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45EC0" w14:textId="3E147A10" w:rsidR="00754C9A" w:rsidRDefault="00B8291F" w:rsidP="00441B6F">
      <w:pPr>
        <w:pStyle w:val="Title"/>
        <w:spacing w:after="0"/>
        <w:jc w:val="both"/>
        <w:rPr>
          <w:rFonts w:ascii="Arial" w:hAnsi="Arial" w:cs="Arial"/>
          <w:u w:val="single"/>
        </w:rPr>
      </w:pPr>
      <w:r w:rsidRPr="00B8291F">
        <w:rPr>
          <w:rFonts w:ascii="Arial" w:hAnsi="Arial" w:cs="Arial"/>
          <w:u w:val="single"/>
        </w:rPr>
        <w:t>Review Article</w:t>
      </w:r>
    </w:p>
    <w:p w14:paraId="0C43F8B9" w14:textId="77777777" w:rsidR="00B8291F" w:rsidRPr="00B8291F" w:rsidRDefault="00B8291F" w:rsidP="00441B6F">
      <w:pPr>
        <w:pStyle w:val="Title"/>
        <w:spacing w:after="0"/>
        <w:jc w:val="both"/>
        <w:rPr>
          <w:rFonts w:ascii="Arial" w:hAnsi="Arial" w:cs="Arial"/>
          <w:u w:val="single"/>
        </w:rPr>
      </w:pPr>
    </w:p>
    <w:p w14:paraId="608358F4" w14:textId="77777777" w:rsidR="0045747D" w:rsidRDefault="0045747D" w:rsidP="00441B6F">
      <w:pPr>
        <w:pStyle w:val="Author"/>
        <w:spacing w:line="240" w:lineRule="auto"/>
        <w:rPr>
          <w:rFonts w:ascii="Arial" w:hAnsi="Arial" w:cs="Arial"/>
          <w:bCs/>
          <w:iCs/>
          <w:kern w:val="28"/>
          <w:sz w:val="36"/>
        </w:rPr>
      </w:pPr>
      <w:r w:rsidRPr="0045747D">
        <w:rPr>
          <w:rFonts w:ascii="Arial" w:hAnsi="Arial" w:cs="Arial"/>
          <w:bCs/>
          <w:iCs/>
          <w:kern w:val="28"/>
          <w:sz w:val="36"/>
        </w:rPr>
        <w:t>Nanotechnology Applications in Rice Pest and Disease Management: A Comprehensive Review</w:t>
      </w:r>
    </w:p>
    <w:p w14:paraId="48C3D6DF" w14:textId="77777777" w:rsidR="0045747D" w:rsidRDefault="0045747D" w:rsidP="00441B6F">
      <w:pPr>
        <w:pStyle w:val="Author"/>
        <w:spacing w:line="240" w:lineRule="auto"/>
        <w:rPr>
          <w:rFonts w:ascii="Arial" w:hAnsi="Arial" w:cs="Arial"/>
          <w:bCs/>
          <w:iCs/>
          <w:kern w:val="28"/>
          <w:sz w:val="36"/>
        </w:rPr>
      </w:pPr>
    </w:p>
    <w:p w14:paraId="1603E46D" w14:textId="7005F36A" w:rsidR="00B01FCD" w:rsidRDefault="00B01FCD" w:rsidP="00441B6F">
      <w:pPr>
        <w:pStyle w:val="AbstHead"/>
        <w:spacing w:after="0"/>
        <w:jc w:val="both"/>
        <w:rPr>
          <w:rFonts w:ascii="Arial" w:hAnsi="Arial" w:cs="Arial"/>
        </w:rPr>
      </w:pPr>
      <w:r w:rsidRPr="00FB3A86">
        <w:rPr>
          <w:rFonts w:ascii="Arial" w:hAnsi="Arial" w:cs="Arial"/>
        </w:rPr>
        <w:t>ABSTRACT</w:t>
      </w:r>
    </w:p>
    <w:p w14:paraId="2E5EDAC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C64CDEA" w14:textId="77777777" w:rsidTr="001E44FE">
        <w:tc>
          <w:tcPr>
            <w:tcW w:w="9576" w:type="dxa"/>
            <w:shd w:val="clear" w:color="auto" w:fill="F2F2F2"/>
          </w:tcPr>
          <w:p w14:paraId="4710797F" w14:textId="77777777" w:rsidR="00E3114E" w:rsidRDefault="00E3114E" w:rsidP="00441B6F">
            <w:pPr>
              <w:pStyle w:val="Body"/>
              <w:spacing w:after="0"/>
              <w:rPr>
                <w:rFonts w:ascii="Arial" w:eastAsia="Calibri" w:hAnsi="Arial" w:cs="Arial"/>
                <w:b/>
                <w:szCs w:val="22"/>
              </w:rPr>
            </w:pPr>
          </w:p>
          <w:p w14:paraId="7E56B3B2" w14:textId="77777777" w:rsidR="00D377ED" w:rsidRDefault="00D377ED" w:rsidP="00441B6F">
            <w:pPr>
              <w:pStyle w:val="Body"/>
              <w:spacing w:after="0"/>
              <w:rPr>
                <w:rFonts w:ascii="Arial" w:eastAsia="Calibri" w:hAnsi="Arial" w:cs="Arial"/>
                <w:szCs w:val="22"/>
              </w:rPr>
            </w:pPr>
            <w:r>
              <w:rPr>
                <w:rFonts w:ascii="Arial" w:eastAsia="Calibri" w:hAnsi="Arial" w:cs="Arial"/>
                <w:b/>
                <w:szCs w:val="22"/>
              </w:rPr>
              <w:t>Problem Statement</w:t>
            </w:r>
            <w:r w:rsidR="00BA1B01" w:rsidRPr="00BA1B01">
              <w:rPr>
                <w:rFonts w:ascii="Arial" w:eastAsia="Calibri" w:hAnsi="Arial" w:cs="Arial"/>
                <w:b/>
                <w:szCs w:val="22"/>
              </w:rPr>
              <w:t xml:space="preserve">: </w:t>
            </w:r>
            <w:r w:rsidRPr="00D377ED">
              <w:rPr>
                <w:rFonts w:ascii="Arial" w:eastAsia="Calibri" w:hAnsi="Arial" w:cs="Arial"/>
                <w:szCs w:val="22"/>
              </w:rPr>
              <w:t>Rice (</w:t>
            </w:r>
            <w:r w:rsidRPr="00D377ED">
              <w:rPr>
                <w:rFonts w:ascii="Arial" w:eastAsia="Calibri" w:hAnsi="Arial" w:cs="Arial"/>
                <w:i/>
                <w:iCs/>
                <w:szCs w:val="22"/>
              </w:rPr>
              <w:t>Oryza sativa L.</w:t>
            </w:r>
            <w:r w:rsidRPr="00D377ED">
              <w:rPr>
                <w:rFonts w:ascii="Arial" w:eastAsia="Calibri" w:hAnsi="Arial" w:cs="Arial"/>
                <w:szCs w:val="22"/>
              </w:rPr>
              <w:t xml:space="preserve">) is a critical staple crop supporting global food security, yet production is severely constrained by pests and diseases causing yield losses up to 80%. Conventional chemical control strategies have led to resistance development, environmental contamination, and non-target toxicity. </w:t>
            </w:r>
          </w:p>
          <w:p w14:paraId="555764ED" w14:textId="77777777" w:rsidR="00D377ED" w:rsidRDefault="00D377ED" w:rsidP="00441B6F">
            <w:pPr>
              <w:pStyle w:val="Body"/>
              <w:spacing w:after="0"/>
              <w:rPr>
                <w:rFonts w:ascii="Arial" w:eastAsia="Calibri" w:hAnsi="Arial" w:cs="Arial"/>
                <w:szCs w:val="22"/>
              </w:rPr>
            </w:pPr>
          </w:p>
          <w:p w14:paraId="6B8B3C59" w14:textId="0D14DB52" w:rsidR="00BA1B01" w:rsidRDefault="00D377ED" w:rsidP="00441B6F">
            <w:pPr>
              <w:pStyle w:val="Body"/>
              <w:spacing w:after="0"/>
              <w:rPr>
                <w:rFonts w:ascii="Arial" w:eastAsia="Calibri" w:hAnsi="Arial" w:cs="Arial"/>
                <w:szCs w:val="22"/>
              </w:rPr>
            </w:pPr>
            <w:r>
              <w:rPr>
                <w:rFonts w:ascii="Arial" w:eastAsia="Calibri" w:hAnsi="Arial" w:cs="Arial"/>
                <w:b/>
                <w:szCs w:val="22"/>
              </w:rPr>
              <w:t>Aims</w:t>
            </w:r>
            <w:r w:rsidR="00BA1B01" w:rsidRPr="00BA1B01">
              <w:rPr>
                <w:rFonts w:ascii="Arial" w:eastAsia="Calibri" w:hAnsi="Arial" w:cs="Arial"/>
                <w:b/>
                <w:szCs w:val="22"/>
              </w:rPr>
              <w:t>:</w:t>
            </w:r>
            <w:r w:rsidR="00BA1B01" w:rsidRPr="00BA1B01">
              <w:rPr>
                <w:rFonts w:ascii="Arial" w:eastAsia="Calibri" w:hAnsi="Arial" w:cs="Arial"/>
                <w:szCs w:val="22"/>
              </w:rPr>
              <w:t xml:space="preserve">  </w:t>
            </w:r>
            <w:r w:rsidRPr="00D377ED">
              <w:rPr>
                <w:rFonts w:ascii="Arial" w:eastAsia="Calibri" w:hAnsi="Arial" w:cs="Arial"/>
                <w:szCs w:val="22"/>
              </w:rPr>
              <w:t>This review synthesizes current knowledge on nanotechnology-based solutions for rice pest and disease management, evaluating efficacy, mechanisms, environmental safety, and adoption challenges.</w:t>
            </w:r>
          </w:p>
          <w:p w14:paraId="7B67C5D5" w14:textId="77777777" w:rsidR="00D377ED" w:rsidRDefault="00D377ED" w:rsidP="00441B6F">
            <w:pPr>
              <w:pStyle w:val="Body"/>
              <w:spacing w:after="0"/>
              <w:rPr>
                <w:rFonts w:ascii="Arial" w:eastAsia="Calibri" w:hAnsi="Arial" w:cs="Arial"/>
                <w:szCs w:val="22"/>
              </w:rPr>
            </w:pPr>
          </w:p>
          <w:p w14:paraId="5ECA368B" w14:textId="77777777" w:rsidR="00D377ED"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D377ED" w:rsidRPr="00D377ED">
              <w:rPr>
                <w:rFonts w:ascii="Arial" w:eastAsia="Calibri" w:hAnsi="Arial" w:cs="Arial"/>
                <w:szCs w:val="22"/>
              </w:rPr>
              <w:t xml:space="preserve">Comprehensive literature review of peer-reviewed articles (2014–2025) covering </w:t>
            </w:r>
            <w:proofErr w:type="spellStart"/>
            <w:r w:rsidR="00D377ED" w:rsidRPr="00D377ED">
              <w:rPr>
                <w:rFonts w:ascii="Arial" w:eastAsia="Calibri" w:hAnsi="Arial" w:cs="Arial"/>
                <w:szCs w:val="22"/>
              </w:rPr>
              <w:t>nanopesticides</w:t>
            </w:r>
            <w:proofErr w:type="spellEnd"/>
            <w:r w:rsidR="00D377ED" w:rsidRPr="00D377ED">
              <w:rPr>
                <w:rFonts w:ascii="Arial" w:eastAsia="Calibri" w:hAnsi="Arial" w:cs="Arial"/>
                <w:szCs w:val="22"/>
              </w:rPr>
              <w:t xml:space="preserve">, </w:t>
            </w:r>
            <w:proofErr w:type="spellStart"/>
            <w:r w:rsidR="00D377ED" w:rsidRPr="00D377ED">
              <w:rPr>
                <w:rFonts w:ascii="Arial" w:eastAsia="Calibri" w:hAnsi="Arial" w:cs="Arial"/>
                <w:szCs w:val="22"/>
              </w:rPr>
              <w:t>nanofungicides</w:t>
            </w:r>
            <w:proofErr w:type="spellEnd"/>
            <w:r w:rsidR="00D377ED" w:rsidRPr="00D377ED">
              <w:rPr>
                <w:rFonts w:ascii="Arial" w:eastAsia="Calibri" w:hAnsi="Arial" w:cs="Arial"/>
                <w:szCs w:val="22"/>
              </w:rPr>
              <w:t>, and RNA interference delivery systems for rice protection.</w:t>
            </w:r>
          </w:p>
          <w:p w14:paraId="207B7637" w14:textId="77777777" w:rsidR="00D377ED" w:rsidRDefault="00D377ED" w:rsidP="00441B6F">
            <w:pPr>
              <w:pStyle w:val="Body"/>
              <w:spacing w:after="0"/>
              <w:rPr>
                <w:rFonts w:ascii="Arial" w:eastAsia="Calibri" w:hAnsi="Arial" w:cs="Arial"/>
                <w:bCs/>
                <w:szCs w:val="22"/>
              </w:rPr>
            </w:pPr>
            <w:bookmarkStart w:id="0" w:name="_GoBack"/>
            <w:bookmarkEnd w:id="0"/>
          </w:p>
          <w:p w14:paraId="6F43162C" w14:textId="77777777" w:rsidR="00D377ED"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D377ED" w:rsidRPr="00D377ED">
              <w:rPr>
                <w:rFonts w:ascii="Arial" w:eastAsia="Calibri" w:hAnsi="Arial" w:cs="Arial"/>
                <w:szCs w:val="22"/>
              </w:rPr>
              <w:t xml:space="preserve">Nano-enabled technologies demonstrate superior efficacy at 30–60% lower active ingredient concentrations compared to conventional formulations. Metal oxide nanoparticles exhibit broad-spectrum antimicrobial activity through multiple mechanisms including reactive oxygen species generation and membrane disruption. </w:t>
            </w:r>
          </w:p>
          <w:p w14:paraId="6C8572DE" w14:textId="77777777" w:rsidR="00D377ED" w:rsidRDefault="00D377ED" w:rsidP="00441B6F">
            <w:pPr>
              <w:pStyle w:val="Body"/>
              <w:spacing w:after="0"/>
              <w:rPr>
                <w:rFonts w:ascii="Arial" w:eastAsia="Calibri" w:hAnsi="Arial" w:cs="Arial"/>
                <w:bCs/>
                <w:szCs w:val="22"/>
              </w:rPr>
            </w:pPr>
          </w:p>
          <w:p w14:paraId="016B4C8F" w14:textId="0965DEE1"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D377ED" w:rsidRPr="00D377ED">
              <w:rPr>
                <w:rFonts w:ascii="Arial" w:eastAsia="Calibri" w:hAnsi="Arial" w:cs="Arial"/>
                <w:szCs w:val="22"/>
              </w:rPr>
              <w:t>Nanoencapsulation provides controlled release, enhanced stability, and targeted delivery. RNA interference delivered via nanocarriers offers species-specific gene silencing for resistance-proof pest management. Nanotechnology represents a transformative approach for sustainable rice protection, though challenges remain regarding environmental fate assessment, regulatory frameworks, production costs, and farmer acceptance. Future research should prioritize long-term safety evaluation, formulation optimization, and integration with sustainable agriculture systems.</w:t>
            </w:r>
          </w:p>
        </w:tc>
      </w:tr>
    </w:tbl>
    <w:p w14:paraId="123C33D2" w14:textId="77777777" w:rsidR="00636EB2" w:rsidRDefault="00636EB2" w:rsidP="00441B6F">
      <w:pPr>
        <w:pStyle w:val="Body"/>
        <w:spacing w:after="0"/>
        <w:rPr>
          <w:rFonts w:ascii="Arial" w:hAnsi="Arial" w:cs="Arial"/>
          <w:i/>
        </w:rPr>
      </w:pPr>
    </w:p>
    <w:p w14:paraId="2A9CCBE8" w14:textId="726D46AB" w:rsidR="00A24E7E" w:rsidRDefault="00A24E7E" w:rsidP="00441B6F">
      <w:pPr>
        <w:pStyle w:val="Body"/>
        <w:spacing w:after="0"/>
        <w:rPr>
          <w:rFonts w:ascii="Arial" w:hAnsi="Arial" w:cs="Arial"/>
          <w:i/>
        </w:rPr>
      </w:pPr>
      <w:r>
        <w:rPr>
          <w:rFonts w:ascii="Arial" w:hAnsi="Arial" w:cs="Arial"/>
          <w:i/>
        </w:rPr>
        <w:t>Keywords:</w:t>
      </w:r>
      <w:r w:rsidR="00D377ED">
        <w:rPr>
          <w:rFonts w:ascii="Arial" w:hAnsi="Arial" w:cs="Arial"/>
          <w:i/>
        </w:rPr>
        <w:t xml:space="preserve"> </w:t>
      </w:r>
      <w:r w:rsidR="00D377ED" w:rsidRPr="00D377ED">
        <w:rPr>
          <w:rFonts w:ascii="Arial" w:hAnsi="Arial" w:cs="Arial"/>
          <w:i/>
        </w:rPr>
        <w:t>Nanotechnology, Rice protection,</w:t>
      </w:r>
      <w:r w:rsidR="00D377ED">
        <w:rPr>
          <w:rFonts w:ascii="Arial" w:hAnsi="Arial" w:cs="Arial"/>
          <w:i/>
        </w:rPr>
        <w:t xml:space="preserve"> </w:t>
      </w:r>
      <w:proofErr w:type="spellStart"/>
      <w:r w:rsidR="00D377ED" w:rsidRPr="00D377ED">
        <w:rPr>
          <w:rFonts w:ascii="Arial" w:hAnsi="Arial" w:cs="Arial"/>
          <w:i/>
        </w:rPr>
        <w:t>Nanopesticides</w:t>
      </w:r>
      <w:proofErr w:type="spellEnd"/>
      <w:r w:rsidR="00D377ED" w:rsidRPr="00D377ED">
        <w:rPr>
          <w:rFonts w:ascii="Arial" w:hAnsi="Arial" w:cs="Arial"/>
          <w:i/>
        </w:rPr>
        <w:t xml:space="preserve">, </w:t>
      </w:r>
      <w:proofErr w:type="spellStart"/>
      <w:r w:rsidR="00D377ED" w:rsidRPr="00D377ED">
        <w:rPr>
          <w:rFonts w:ascii="Arial" w:hAnsi="Arial" w:cs="Arial"/>
          <w:i/>
        </w:rPr>
        <w:t>Nanofungicides</w:t>
      </w:r>
      <w:proofErr w:type="spellEnd"/>
      <w:r w:rsidR="00D377ED" w:rsidRPr="00D377ED">
        <w:rPr>
          <w:rFonts w:ascii="Arial" w:hAnsi="Arial" w:cs="Arial"/>
          <w:i/>
        </w:rPr>
        <w:t>, RNA interference, Pest management</w:t>
      </w:r>
      <w:r>
        <w:rPr>
          <w:rFonts w:ascii="Arial" w:hAnsi="Arial" w:cs="Arial"/>
          <w:i/>
        </w:rPr>
        <w:t xml:space="preserve"> </w:t>
      </w:r>
    </w:p>
    <w:p w14:paraId="42154884" w14:textId="77777777" w:rsidR="0024282C" w:rsidRDefault="0024282C" w:rsidP="00441B6F">
      <w:pPr>
        <w:pStyle w:val="Body"/>
        <w:spacing w:after="0"/>
        <w:rPr>
          <w:rFonts w:ascii="Arial" w:hAnsi="Arial" w:cs="Arial"/>
          <w:i/>
          <w:sz w:val="18"/>
        </w:rPr>
      </w:pPr>
    </w:p>
    <w:p w14:paraId="458BB94F" w14:textId="77777777" w:rsidR="00505F06" w:rsidRPr="00A24E7E" w:rsidRDefault="00505F06" w:rsidP="00441B6F">
      <w:pPr>
        <w:pStyle w:val="Body"/>
        <w:spacing w:after="0"/>
        <w:rPr>
          <w:rFonts w:ascii="Arial" w:hAnsi="Arial" w:cs="Arial"/>
          <w:i/>
        </w:rPr>
      </w:pPr>
    </w:p>
    <w:p w14:paraId="1C50DEDF" w14:textId="1E7FCDC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582DC50" w14:textId="0704AD6A" w:rsidR="00790ADA" w:rsidRPr="0084071C" w:rsidRDefault="003E5501" w:rsidP="00D377ED">
      <w:pPr>
        <w:pStyle w:val="AbstHead"/>
        <w:spacing w:after="0"/>
        <w:jc w:val="both"/>
        <w:rPr>
          <w:rFonts w:ascii="Arial" w:hAnsi="Arial" w:cs="Arial"/>
          <w:caps w:val="0"/>
          <w:szCs w:val="22"/>
        </w:rPr>
      </w:pPr>
      <w:r w:rsidRPr="0084071C">
        <w:rPr>
          <w:rFonts w:ascii="Arial" w:hAnsi="Arial" w:cs="Arial"/>
          <w:caps w:val="0"/>
          <w:szCs w:val="22"/>
        </w:rPr>
        <w:t>1.1 Rice as a Global Food Security Pillar</w:t>
      </w:r>
    </w:p>
    <w:p w14:paraId="5CEA43B7" w14:textId="77777777" w:rsidR="003F761E" w:rsidRPr="003E5501" w:rsidRDefault="003F761E" w:rsidP="00D377ED">
      <w:pPr>
        <w:pStyle w:val="AbstHead"/>
        <w:spacing w:after="0"/>
        <w:jc w:val="both"/>
        <w:rPr>
          <w:rFonts w:ascii="Arial" w:hAnsi="Arial" w:cs="Arial"/>
          <w:b w:val="0"/>
          <w:bCs/>
          <w:i/>
          <w:iCs/>
          <w:sz w:val="20"/>
        </w:rPr>
      </w:pPr>
    </w:p>
    <w:p w14:paraId="346D56E8" w14:textId="77777777" w:rsidR="003E5501" w:rsidRDefault="00D377ED" w:rsidP="00D377ED">
      <w:pPr>
        <w:jc w:val="both"/>
        <w:rPr>
          <w:rFonts w:ascii="Arial" w:hAnsi="Arial" w:cs="Arial"/>
        </w:rPr>
      </w:pPr>
      <w:r w:rsidRPr="00D377ED">
        <w:rPr>
          <w:rFonts w:ascii="Arial" w:hAnsi="Arial" w:cs="Arial"/>
        </w:rPr>
        <w:t>Rice (</w:t>
      </w:r>
      <w:r w:rsidRPr="00D377ED">
        <w:rPr>
          <w:rFonts w:ascii="Arial" w:hAnsi="Arial" w:cs="Arial"/>
          <w:i/>
          <w:iCs/>
        </w:rPr>
        <w:t>Oryza sativa L.</w:t>
      </w:r>
      <w:r w:rsidRPr="00D377ED">
        <w:rPr>
          <w:rFonts w:ascii="Arial" w:hAnsi="Arial" w:cs="Arial"/>
        </w:rPr>
        <w:t>) represents a cornerstone of global food security, providing the primary caloric source for over two-thirds of the world's population (Asma et al., 2023; Singh &amp; Solanki, 2024). In Asia, rice contributes approximately 60% of daily caloric intake for more than three billion people, underscoring its critical role in regional nutrition and food systems (Asma et al., 2023). African nations increasingly depend on rice production for both food security and economic livelihoods, with consumption patterns showing steady growth across the continent (Usendi et al., 2020). Beyond nutritional significance, rice cultivation underpins complex social, cultural, and economic frameworks in rice-producing regions, making sustained productivity essential for household welfare and national stability (Singh &amp; Solanki, 2024). Despite this importance, rice production faces persistent threats from diverse pests and diseases that substantially compromise yield potential and threaten global food security.</w:t>
      </w:r>
      <w:r>
        <w:rPr>
          <w:rFonts w:ascii="Arial" w:hAnsi="Arial" w:cs="Arial"/>
        </w:rPr>
        <w:t xml:space="preserve"> </w:t>
      </w:r>
    </w:p>
    <w:p w14:paraId="01BAE1F3" w14:textId="77777777" w:rsidR="003E5501" w:rsidRDefault="003E5501" w:rsidP="00D377ED">
      <w:pPr>
        <w:jc w:val="both"/>
        <w:rPr>
          <w:rFonts w:ascii="Arial" w:hAnsi="Arial" w:cs="Arial"/>
        </w:rPr>
      </w:pPr>
    </w:p>
    <w:p w14:paraId="4199BEB4" w14:textId="16AA5F56" w:rsidR="003E5501" w:rsidRPr="0084071C" w:rsidRDefault="003E5501" w:rsidP="00D377ED">
      <w:pPr>
        <w:jc w:val="both"/>
        <w:rPr>
          <w:rFonts w:ascii="Arial" w:hAnsi="Arial" w:cs="Arial"/>
          <w:b/>
          <w:bCs/>
          <w:sz w:val="22"/>
          <w:szCs w:val="22"/>
        </w:rPr>
      </w:pPr>
      <w:r w:rsidRPr="0084071C">
        <w:rPr>
          <w:rFonts w:ascii="Arial" w:hAnsi="Arial" w:cs="Arial"/>
          <w:b/>
          <w:bCs/>
          <w:sz w:val="22"/>
          <w:szCs w:val="22"/>
        </w:rPr>
        <w:t>1.2 Major Biotic Constraints in Rice Production</w:t>
      </w:r>
    </w:p>
    <w:p w14:paraId="7AB597E2" w14:textId="77777777" w:rsidR="003F761E" w:rsidRPr="003E5501" w:rsidRDefault="003F761E" w:rsidP="00D377ED">
      <w:pPr>
        <w:jc w:val="both"/>
        <w:rPr>
          <w:rFonts w:ascii="Arial" w:hAnsi="Arial" w:cs="Arial"/>
          <w:i/>
          <w:iCs/>
        </w:rPr>
      </w:pPr>
    </w:p>
    <w:p w14:paraId="329C80C1" w14:textId="6CA9B5AF" w:rsidR="0084071C" w:rsidRPr="00D377ED" w:rsidRDefault="00D377ED" w:rsidP="00D377ED">
      <w:pPr>
        <w:jc w:val="both"/>
        <w:rPr>
          <w:rFonts w:ascii="Arial" w:hAnsi="Arial" w:cs="Arial"/>
        </w:rPr>
      </w:pPr>
      <w:r w:rsidRPr="00D377ED">
        <w:rPr>
          <w:rFonts w:ascii="Arial" w:hAnsi="Arial" w:cs="Arial"/>
        </w:rPr>
        <w:t xml:space="preserve">Rice blast disease, caused by the fungal pathogen </w:t>
      </w:r>
      <w:r w:rsidR="00141945" w:rsidRPr="00141945">
        <w:rPr>
          <w:rFonts w:ascii="Arial" w:hAnsi="Arial" w:cs="Arial"/>
          <w:i/>
          <w:iCs/>
        </w:rPr>
        <w:t>Pyricularia oryzae</w:t>
      </w:r>
      <w:r w:rsidRPr="00D377ED">
        <w:rPr>
          <w:rFonts w:ascii="Arial" w:hAnsi="Arial" w:cs="Arial"/>
        </w:rPr>
        <w:t>, ranks among the most devastating diseases affecting rice crops worldwide, with potential yield losses reaching 70–80% under favorable environmental conditions (</w:t>
      </w:r>
      <w:proofErr w:type="spellStart"/>
      <w:r w:rsidRPr="00D377ED">
        <w:rPr>
          <w:rFonts w:ascii="Arial" w:hAnsi="Arial" w:cs="Arial"/>
        </w:rPr>
        <w:t>Asibi</w:t>
      </w:r>
      <w:proofErr w:type="spellEnd"/>
      <w:r w:rsidRPr="00D377ED">
        <w:rPr>
          <w:rFonts w:ascii="Arial" w:hAnsi="Arial" w:cs="Arial"/>
        </w:rPr>
        <w:t xml:space="preserve"> et al., 2019; Simkhada &amp; Thapa, 2022). Sheath blight, attributed to </w:t>
      </w:r>
      <w:proofErr w:type="spellStart"/>
      <w:r w:rsidR="00141945" w:rsidRPr="00141945">
        <w:rPr>
          <w:rFonts w:ascii="Arial" w:hAnsi="Arial" w:cs="Arial"/>
          <w:i/>
          <w:iCs/>
        </w:rPr>
        <w:t>Rhizoctonia</w:t>
      </w:r>
      <w:proofErr w:type="spellEnd"/>
      <w:r w:rsidR="00141945" w:rsidRPr="00141945">
        <w:rPr>
          <w:rFonts w:ascii="Arial" w:hAnsi="Arial" w:cs="Arial"/>
          <w:i/>
          <w:iCs/>
        </w:rPr>
        <w:t xml:space="preserve"> </w:t>
      </w:r>
      <w:proofErr w:type="spellStart"/>
      <w:r w:rsidR="00141945" w:rsidRPr="00141945">
        <w:rPr>
          <w:rFonts w:ascii="Arial" w:hAnsi="Arial" w:cs="Arial"/>
          <w:i/>
          <w:iCs/>
        </w:rPr>
        <w:t>solani</w:t>
      </w:r>
      <w:proofErr w:type="spellEnd"/>
      <w:r w:rsidRPr="00D377ED">
        <w:rPr>
          <w:rFonts w:ascii="Arial" w:hAnsi="Arial" w:cs="Arial"/>
        </w:rPr>
        <w:t>, causes significant reductions in both yield quantity and grain quality, particularly in intensive cultivation systems characterized by high plant density and nitrogen application (Ali et al., 2023). Among insect pests, the brown planthopper (</w:t>
      </w:r>
      <w:proofErr w:type="spellStart"/>
      <w:r w:rsidR="00141945" w:rsidRPr="00141945">
        <w:rPr>
          <w:rFonts w:ascii="Arial" w:hAnsi="Arial" w:cs="Arial"/>
          <w:i/>
          <w:iCs/>
        </w:rPr>
        <w:t>Nilaparvata</w:t>
      </w:r>
      <w:proofErr w:type="spellEnd"/>
      <w:r w:rsidR="00141945" w:rsidRPr="00141945">
        <w:rPr>
          <w:rFonts w:ascii="Arial" w:hAnsi="Arial" w:cs="Arial"/>
          <w:i/>
          <w:iCs/>
        </w:rPr>
        <w:t xml:space="preserve"> </w:t>
      </w:r>
      <w:proofErr w:type="spellStart"/>
      <w:r w:rsidR="00141945" w:rsidRPr="00141945">
        <w:rPr>
          <w:rFonts w:ascii="Arial" w:hAnsi="Arial" w:cs="Arial"/>
          <w:i/>
          <w:iCs/>
        </w:rPr>
        <w:t>lugens</w:t>
      </w:r>
      <w:proofErr w:type="spellEnd"/>
      <w:r w:rsidRPr="00D377ED">
        <w:rPr>
          <w:rFonts w:ascii="Arial" w:hAnsi="Arial" w:cs="Arial"/>
        </w:rPr>
        <w:t xml:space="preserve">) presents a dual threat through direct phloem-feeding damage and serving as a vector for viral diseases including rice grassy stunt virus and rice ragged stunt virus (Conde et al., 2024). Stem borers, prevalent across Asian and African rice-growing regions, inflict damage by </w:t>
      </w:r>
      <w:r w:rsidRPr="00D377ED">
        <w:rPr>
          <w:rFonts w:ascii="Arial" w:hAnsi="Arial" w:cs="Arial"/>
        </w:rPr>
        <w:lastRenderedPageBreak/>
        <w:t>boring into plant stems, causing characteristic "dead hearts" in vegetative stages and "white heads" during reproductive phases, resulting in substantial yield losses (Conde et al., 2024). Collectively, these biotic stresses pose formidable challenges to food security, generate significant economic losses for smallholder and commercial farmers, and complicate efforts toward sustainable rice production systems (Pedrozo et al., 2025; Laha et al., 2017). Table 1 summarizes the major pests and diseases affecting rice production, their causal agents, symptoms, and potential yield losses.</w:t>
      </w:r>
      <w:r w:rsidR="003E5501">
        <w:rPr>
          <w:rFonts w:ascii="Arial" w:hAnsi="Arial" w:cs="Arial"/>
        </w:rPr>
        <w:t xml:space="preserve"> </w:t>
      </w:r>
    </w:p>
    <w:p w14:paraId="5F108B16" w14:textId="48F5F455" w:rsidR="00790ADA" w:rsidRDefault="00790ADA" w:rsidP="00441B6F">
      <w:pPr>
        <w:pStyle w:val="Body"/>
        <w:spacing w:after="0"/>
        <w:rPr>
          <w:rFonts w:ascii="Arial" w:hAnsi="Arial" w:cs="Arial"/>
        </w:rPr>
      </w:pPr>
    </w:p>
    <w:p w14:paraId="0AA58C4C" w14:textId="77777777" w:rsidR="00D377ED" w:rsidRPr="00D377ED" w:rsidRDefault="00D377ED" w:rsidP="00D377ED">
      <w:pPr>
        <w:jc w:val="center"/>
        <w:rPr>
          <w:rFonts w:ascii="Arial" w:hAnsi="Arial" w:cs="Arial"/>
        </w:rPr>
      </w:pPr>
      <w:r w:rsidRPr="00D377ED">
        <w:rPr>
          <w:rFonts w:ascii="Arial" w:hAnsi="Arial" w:cs="Arial"/>
          <w:b/>
          <w:bCs/>
        </w:rPr>
        <w:t>Table 1.</w:t>
      </w:r>
      <w:r w:rsidRPr="00D377ED">
        <w:rPr>
          <w:rFonts w:ascii="Arial" w:hAnsi="Arial" w:cs="Arial"/>
        </w:rPr>
        <w:t> Major Pests and Diseases Affecting Rice Production</w:t>
      </w:r>
    </w:p>
    <w:tbl>
      <w:tblPr>
        <w:tblStyle w:val="TableGrid"/>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1474"/>
        <w:gridCol w:w="2504"/>
        <w:gridCol w:w="1791"/>
        <w:gridCol w:w="719"/>
        <w:gridCol w:w="1430"/>
        <w:gridCol w:w="1639"/>
      </w:tblGrid>
      <w:tr w:rsidR="00785EE9" w:rsidRPr="00D377ED" w14:paraId="37CE98D3" w14:textId="77777777" w:rsidTr="007D53AA">
        <w:trPr>
          <w:trHeight w:val="600"/>
          <w:jc w:val="center"/>
        </w:trPr>
        <w:tc>
          <w:tcPr>
            <w:tcW w:w="575" w:type="pct"/>
            <w:tcBorders>
              <w:bottom w:val="single" w:sz="4" w:space="0" w:color="auto"/>
            </w:tcBorders>
            <w:hideMark/>
          </w:tcPr>
          <w:p w14:paraId="0C03ED9E" w14:textId="77777777" w:rsidR="00D377ED" w:rsidRPr="00D377ED" w:rsidRDefault="00D377ED" w:rsidP="00C04C25">
            <w:pPr>
              <w:spacing w:after="160" w:line="278" w:lineRule="auto"/>
              <w:jc w:val="both"/>
              <w:rPr>
                <w:rFonts w:ascii="Arial" w:hAnsi="Arial" w:cs="Arial"/>
                <w:b/>
                <w:bCs/>
                <w:sz w:val="20"/>
                <w:szCs w:val="20"/>
              </w:rPr>
            </w:pPr>
            <w:r w:rsidRPr="00D377ED">
              <w:rPr>
                <w:rFonts w:ascii="Arial" w:hAnsi="Arial" w:cs="Arial"/>
                <w:b/>
                <w:bCs/>
                <w:sz w:val="20"/>
                <w:szCs w:val="20"/>
              </w:rPr>
              <w:t>Category</w:t>
            </w:r>
          </w:p>
        </w:tc>
        <w:tc>
          <w:tcPr>
            <w:tcW w:w="682" w:type="pct"/>
            <w:tcBorders>
              <w:bottom w:val="single" w:sz="4" w:space="0" w:color="auto"/>
            </w:tcBorders>
            <w:hideMark/>
          </w:tcPr>
          <w:p w14:paraId="0DBF8E1C" w14:textId="77777777" w:rsidR="00D377ED" w:rsidRPr="00D377ED" w:rsidRDefault="00D377ED" w:rsidP="00C04C25">
            <w:pPr>
              <w:spacing w:after="160" w:line="278" w:lineRule="auto"/>
              <w:jc w:val="both"/>
              <w:rPr>
                <w:rFonts w:ascii="Arial" w:hAnsi="Arial" w:cs="Arial"/>
                <w:b/>
                <w:bCs/>
                <w:sz w:val="20"/>
                <w:szCs w:val="20"/>
              </w:rPr>
            </w:pPr>
            <w:r w:rsidRPr="00D377ED">
              <w:rPr>
                <w:rFonts w:ascii="Arial" w:hAnsi="Arial" w:cs="Arial"/>
                <w:b/>
                <w:bCs/>
                <w:sz w:val="20"/>
                <w:szCs w:val="20"/>
              </w:rPr>
              <w:t>Pest/Disease</w:t>
            </w:r>
          </w:p>
        </w:tc>
        <w:tc>
          <w:tcPr>
            <w:tcW w:w="1159" w:type="pct"/>
            <w:tcBorders>
              <w:bottom w:val="single" w:sz="4" w:space="0" w:color="auto"/>
            </w:tcBorders>
            <w:hideMark/>
          </w:tcPr>
          <w:p w14:paraId="08BB7522" w14:textId="77777777" w:rsidR="00D377ED" w:rsidRPr="00D377ED" w:rsidRDefault="00D377ED" w:rsidP="00C04C25">
            <w:pPr>
              <w:spacing w:after="160" w:line="278" w:lineRule="auto"/>
              <w:jc w:val="both"/>
              <w:rPr>
                <w:rFonts w:ascii="Arial" w:hAnsi="Arial" w:cs="Arial"/>
                <w:b/>
                <w:bCs/>
                <w:sz w:val="20"/>
                <w:szCs w:val="20"/>
              </w:rPr>
            </w:pPr>
            <w:r w:rsidRPr="00D377ED">
              <w:rPr>
                <w:rFonts w:ascii="Arial" w:hAnsi="Arial" w:cs="Arial"/>
                <w:b/>
                <w:bCs/>
                <w:sz w:val="20"/>
                <w:szCs w:val="20"/>
              </w:rPr>
              <w:t>Causal Agent</w:t>
            </w:r>
          </w:p>
        </w:tc>
        <w:tc>
          <w:tcPr>
            <w:tcW w:w="829" w:type="pct"/>
            <w:tcBorders>
              <w:top w:val="nil"/>
              <w:bottom w:val="single" w:sz="4" w:space="0" w:color="auto"/>
            </w:tcBorders>
            <w:hideMark/>
          </w:tcPr>
          <w:p w14:paraId="1A894C3B" w14:textId="77777777" w:rsidR="00D377ED" w:rsidRPr="00D377ED" w:rsidRDefault="00D377ED" w:rsidP="00C04C25">
            <w:pPr>
              <w:spacing w:after="160" w:line="278" w:lineRule="auto"/>
              <w:jc w:val="both"/>
              <w:rPr>
                <w:rFonts w:ascii="Arial" w:hAnsi="Arial" w:cs="Arial"/>
                <w:b/>
                <w:bCs/>
                <w:sz w:val="20"/>
                <w:szCs w:val="20"/>
              </w:rPr>
            </w:pPr>
            <w:r w:rsidRPr="00D377ED">
              <w:rPr>
                <w:rFonts w:ascii="Arial" w:hAnsi="Arial" w:cs="Arial"/>
                <w:b/>
                <w:bCs/>
                <w:sz w:val="20"/>
                <w:szCs w:val="20"/>
              </w:rPr>
              <w:t>Key Symptoms</w:t>
            </w:r>
          </w:p>
        </w:tc>
        <w:tc>
          <w:tcPr>
            <w:tcW w:w="333" w:type="pct"/>
            <w:tcBorders>
              <w:bottom w:val="single" w:sz="4" w:space="0" w:color="auto"/>
            </w:tcBorders>
            <w:hideMark/>
          </w:tcPr>
          <w:p w14:paraId="203E33B9" w14:textId="77777777" w:rsidR="00D377ED" w:rsidRPr="00D377ED" w:rsidRDefault="00D377ED" w:rsidP="00C04C25">
            <w:pPr>
              <w:spacing w:after="160" w:line="278" w:lineRule="auto"/>
              <w:jc w:val="both"/>
              <w:rPr>
                <w:rFonts w:ascii="Arial" w:hAnsi="Arial" w:cs="Arial"/>
                <w:b/>
                <w:bCs/>
                <w:sz w:val="20"/>
                <w:szCs w:val="20"/>
              </w:rPr>
            </w:pPr>
            <w:r w:rsidRPr="00D377ED">
              <w:rPr>
                <w:rFonts w:ascii="Arial" w:hAnsi="Arial" w:cs="Arial"/>
                <w:b/>
                <w:bCs/>
                <w:sz w:val="20"/>
                <w:szCs w:val="20"/>
              </w:rPr>
              <w:t>Yield Loss (%)</w:t>
            </w:r>
          </w:p>
        </w:tc>
        <w:tc>
          <w:tcPr>
            <w:tcW w:w="662" w:type="pct"/>
            <w:tcBorders>
              <w:bottom w:val="single" w:sz="4" w:space="0" w:color="auto"/>
            </w:tcBorders>
            <w:hideMark/>
          </w:tcPr>
          <w:p w14:paraId="0D531434" w14:textId="77777777" w:rsidR="00D377ED" w:rsidRPr="00D377ED" w:rsidRDefault="00D377ED" w:rsidP="00C04C25">
            <w:pPr>
              <w:spacing w:after="160" w:line="278" w:lineRule="auto"/>
              <w:jc w:val="both"/>
              <w:rPr>
                <w:rFonts w:ascii="Arial" w:hAnsi="Arial" w:cs="Arial"/>
                <w:b/>
                <w:bCs/>
                <w:sz w:val="20"/>
                <w:szCs w:val="20"/>
              </w:rPr>
            </w:pPr>
            <w:r w:rsidRPr="00D377ED">
              <w:rPr>
                <w:rFonts w:ascii="Arial" w:hAnsi="Arial" w:cs="Arial"/>
                <w:b/>
                <w:bCs/>
                <w:sz w:val="20"/>
                <w:szCs w:val="20"/>
              </w:rPr>
              <w:t>Geographic Distribution</w:t>
            </w:r>
          </w:p>
        </w:tc>
        <w:tc>
          <w:tcPr>
            <w:tcW w:w="759" w:type="pct"/>
            <w:tcBorders>
              <w:bottom w:val="single" w:sz="4" w:space="0" w:color="auto"/>
            </w:tcBorders>
            <w:hideMark/>
          </w:tcPr>
          <w:p w14:paraId="473ADA1E" w14:textId="77777777" w:rsidR="00D377ED" w:rsidRPr="00D377ED" w:rsidRDefault="00D377ED" w:rsidP="00C04C25">
            <w:pPr>
              <w:spacing w:after="160" w:line="278" w:lineRule="auto"/>
              <w:jc w:val="both"/>
              <w:rPr>
                <w:rFonts w:ascii="Arial" w:hAnsi="Arial" w:cs="Arial"/>
                <w:b/>
                <w:bCs/>
                <w:sz w:val="20"/>
                <w:szCs w:val="20"/>
              </w:rPr>
            </w:pPr>
            <w:r w:rsidRPr="00D377ED">
              <w:rPr>
                <w:rFonts w:ascii="Arial" w:hAnsi="Arial" w:cs="Arial"/>
                <w:b/>
                <w:bCs/>
                <w:sz w:val="20"/>
                <w:szCs w:val="20"/>
              </w:rPr>
              <w:t>References</w:t>
            </w:r>
          </w:p>
        </w:tc>
      </w:tr>
      <w:tr w:rsidR="007D53AA" w:rsidRPr="00D377ED" w14:paraId="52398F7C" w14:textId="77777777" w:rsidTr="007D53AA">
        <w:trPr>
          <w:jc w:val="center"/>
        </w:trPr>
        <w:tc>
          <w:tcPr>
            <w:tcW w:w="575" w:type="pct"/>
            <w:tcBorders>
              <w:top w:val="single" w:sz="4" w:space="0" w:color="auto"/>
            </w:tcBorders>
            <w:hideMark/>
          </w:tcPr>
          <w:p w14:paraId="0BC9AE06"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b/>
                <w:bCs/>
                <w:sz w:val="20"/>
                <w:szCs w:val="20"/>
              </w:rPr>
              <w:t>Fungal Disease</w:t>
            </w:r>
          </w:p>
        </w:tc>
        <w:tc>
          <w:tcPr>
            <w:tcW w:w="682" w:type="pct"/>
            <w:tcBorders>
              <w:top w:val="single" w:sz="4" w:space="0" w:color="auto"/>
            </w:tcBorders>
            <w:hideMark/>
          </w:tcPr>
          <w:p w14:paraId="5325C7B6"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Rice blast</w:t>
            </w:r>
          </w:p>
        </w:tc>
        <w:tc>
          <w:tcPr>
            <w:tcW w:w="1159" w:type="pct"/>
            <w:tcBorders>
              <w:top w:val="single" w:sz="4" w:space="0" w:color="auto"/>
            </w:tcBorders>
            <w:hideMark/>
          </w:tcPr>
          <w:p w14:paraId="6B6B7F69" w14:textId="7E999A63" w:rsidR="00D377ED" w:rsidRPr="00D377ED" w:rsidRDefault="00141945" w:rsidP="00C04C25">
            <w:pPr>
              <w:spacing w:after="160" w:line="278" w:lineRule="auto"/>
              <w:jc w:val="both"/>
              <w:rPr>
                <w:rFonts w:ascii="Arial" w:hAnsi="Arial" w:cs="Arial"/>
                <w:sz w:val="20"/>
                <w:szCs w:val="20"/>
              </w:rPr>
            </w:pPr>
            <w:r w:rsidRPr="00141945">
              <w:rPr>
                <w:rFonts w:ascii="Arial" w:hAnsi="Arial" w:cs="Arial"/>
                <w:i/>
                <w:iCs/>
                <w:sz w:val="20"/>
                <w:szCs w:val="20"/>
              </w:rPr>
              <w:t>Pyricularia oryzae</w:t>
            </w:r>
          </w:p>
        </w:tc>
        <w:tc>
          <w:tcPr>
            <w:tcW w:w="829" w:type="pct"/>
            <w:tcBorders>
              <w:top w:val="single" w:sz="4" w:space="0" w:color="auto"/>
            </w:tcBorders>
            <w:hideMark/>
          </w:tcPr>
          <w:p w14:paraId="1603C75F"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Diamond-shaped lesions on leaves; neck rot; panicle infection</w:t>
            </w:r>
          </w:p>
        </w:tc>
        <w:tc>
          <w:tcPr>
            <w:tcW w:w="333" w:type="pct"/>
            <w:tcBorders>
              <w:top w:val="single" w:sz="4" w:space="0" w:color="auto"/>
            </w:tcBorders>
            <w:hideMark/>
          </w:tcPr>
          <w:p w14:paraId="2A045477"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70–80</w:t>
            </w:r>
          </w:p>
        </w:tc>
        <w:tc>
          <w:tcPr>
            <w:tcW w:w="662" w:type="pct"/>
            <w:tcBorders>
              <w:top w:val="single" w:sz="4" w:space="0" w:color="auto"/>
            </w:tcBorders>
            <w:hideMark/>
          </w:tcPr>
          <w:p w14:paraId="0329219E"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Global; particularly Asia, Africa, Latin America</w:t>
            </w:r>
          </w:p>
        </w:tc>
        <w:tc>
          <w:tcPr>
            <w:tcW w:w="759" w:type="pct"/>
            <w:tcBorders>
              <w:top w:val="single" w:sz="4" w:space="0" w:color="auto"/>
            </w:tcBorders>
            <w:hideMark/>
          </w:tcPr>
          <w:p w14:paraId="5BFB4958" w14:textId="77777777" w:rsidR="00D377ED" w:rsidRPr="00D377ED" w:rsidRDefault="00D377ED" w:rsidP="00C04C25">
            <w:pPr>
              <w:spacing w:after="160" w:line="278" w:lineRule="auto"/>
              <w:jc w:val="both"/>
              <w:rPr>
                <w:rFonts w:ascii="Arial" w:hAnsi="Arial" w:cs="Arial"/>
                <w:sz w:val="20"/>
                <w:szCs w:val="20"/>
              </w:rPr>
            </w:pPr>
            <w:proofErr w:type="spellStart"/>
            <w:r w:rsidRPr="00D377ED">
              <w:rPr>
                <w:rFonts w:ascii="Arial" w:hAnsi="Arial" w:cs="Arial"/>
                <w:sz w:val="20"/>
                <w:szCs w:val="20"/>
              </w:rPr>
              <w:t>Asibi</w:t>
            </w:r>
            <w:proofErr w:type="spellEnd"/>
            <w:r w:rsidRPr="00D377ED">
              <w:rPr>
                <w:rFonts w:ascii="Arial" w:hAnsi="Arial" w:cs="Arial"/>
                <w:sz w:val="20"/>
                <w:szCs w:val="20"/>
              </w:rPr>
              <w:t xml:space="preserve"> et al., 2019; Simkhada &amp; Thapa, 2022</w:t>
            </w:r>
          </w:p>
        </w:tc>
      </w:tr>
      <w:tr w:rsidR="007D53AA" w:rsidRPr="00D377ED" w14:paraId="4AC3B02E" w14:textId="77777777" w:rsidTr="007D53AA">
        <w:trPr>
          <w:jc w:val="center"/>
        </w:trPr>
        <w:tc>
          <w:tcPr>
            <w:tcW w:w="575" w:type="pct"/>
            <w:hideMark/>
          </w:tcPr>
          <w:p w14:paraId="054262B7"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b/>
                <w:bCs/>
                <w:sz w:val="20"/>
                <w:szCs w:val="20"/>
              </w:rPr>
              <w:t>Fungal Disease</w:t>
            </w:r>
          </w:p>
        </w:tc>
        <w:tc>
          <w:tcPr>
            <w:tcW w:w="682" w:type="pct"/>
            <w:hideMark/>
          </w:tcPr>
          <w:p w14:paraId="5ED1B1B6"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Sheath blight</w:t>
            </w:r>
          </w:p>
        </w:tc>
        <w:tc>
          <w:tcPr>
            <w:tcW w:w="1159" w:type="pct"/>
            <w:hideMark/>
          </w:tcPr>
          <w:p w14:paraId="2D9B8BE7" w14:textId="7130BC81" w:rsidR="00D377ED" w:rsidRPr="00D377ED" w:rsidRDefault="00141945" w:rsidP="00C04C25">
            <w:pPr>
              <w:spacing w:after="160" w:line="278" w:lineRule="auto"/>
              <w:jc w:val="both"/>
              <w:rPr>
                <w:rFonts w:ascii="Arial" w:hAnsi="Arial" w:cs="Arial"/>
                <w:sz w:val="20"/>
                <w:szCs w:val="20"/>
              </w:rPr>
            </w:pPr>
            <w:proofErr w:type="spellStart"/>
            <w:r w:rsidRPr="00141945">
              <w:rPr>
                <w:rFonts w:ascii="Arial" w:hAnsi="Arial" w:cs="Arial"/>
                <w:i/>
                <w:iCs/>
                <w:sz w:val="20"/>
                <w:szCs w:val="20"/>
              </w:rPr>
              <w:t>Rhizoctonia</w:t>
            </w:r>
            <w:proofErr w:type="spellEnd"/>
            <w:r w:rsidRPr="00141945">
              <w:rPr>
                <w:rFonts w:ascii="Arial" w:hAnsi="Arial" w:cs="Arial"/>
                <w:i/>
                <w:iCs/>
                <w:sz w:val="20"/>
                <w:szCs w:val="20"/>
              </w:rPr>
              <w:t xml:space="preserve"> </w:t>
            </w:r>
            <w:proofErr w:type="spellStart"/>
            <w:r w:rsidRPr="00141945">
              <w:rPr>
                <w:rFonts w:ascii="Arial" w:hAnsi="Arial" w:cs="Arial"/>
                <w:i/>
                <w:iCs/>
                <w:sz w:val="20"/>
                <w:szCs w:val="20"/>
              </w:rPr>
              <w:t>solani</w:t>
            </w:r>
            <w:proofErr w:type="spellEnd"/>
          </w:p>
        </w:tc>
        <w:tc>
          <w:tcPr>
            <w:tcW w:w="829" w:type="pct"/>
            <w:hideMark/>
          </w:tcPr>
          <w:p w14:paraId="4352EF44"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Oval to irregular lesions on leaf sheaths; greenish-gray to brown discoloration</w:t>
            </w:r>
          </w:p>
        </w:tc>
        <w:tc>
          <w:tcPr>
            <w:tcW w:w="333" w:type="pct"/>
            <w:hideMark/>
          </w:tcPr>
          <w:p w14:paraId="5FB1CF14"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20–50</w:t>
            </w:r>
          </w:p>
        </w:tc>
        <w:tc>
          <w:tcPr>
            <w:tcW w:w="662" w:type="pct"/>
            <w:hideMark/>
          </w:tcPr>
          <w:p w14:paraId="43622821"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Global; severe in intensive systems</w:t>
            </w:r>
          </w:p>
        </w:tc>
        <w:tc>
          <w:tcPr>
            <w:tcW w:w="759" w:type="pct"/>
            <w:hideMark/>
          </w:tcPr>
          <w:p w14:paraId="27AA491D"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Ali et al., 2023</w:t>
            </w:r>
          </w:p>
        </w:tc>
      </w:tr>
      <w:tr w:rsidR="007D53AA" w:rsidRPr="00D377ED" w14:paraId="5363EB35" w14:textId="77777777" w:rsidTr="007D53AA">
        <w:trPr>
          <w:jc w:val="center"/>
        </w:trPr>
        <w:tc>
          <w:tcPr>
            <w:tcW w:w="575" w:type="pct"/>
            <w:hideMark/>
          </w:tcPr>
          <w:p w14:paraId="504ABBF6"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b/>
                <w:bCs/>
                <w:sz w:val="20"/>
                <w:szCs w:val="20"/>
              </w:rPr>
              <w:t>Insect Pest</w:t>
            </w:r>
          </w:p>
        </w:tc>
        <w:tc>
          <w:tcPr>
            <w:tcW w:w="682" w:type="pct"/>
            <w:hideMark/>
          </w:tcPr>
          <w:p w14:paraId="5E19B1BE"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Brown planthopper</w:t>
            </w:r>
          </w:p>
        </w:tc>
        <w:tc>
          <w:tcPr>
            <w:tcW w:w="1159" w:type="pct"/>
            <w:hideMark/>
          </w:tcPr>
          <w:p w14:paraId="1AC4BD03" w14:textId="7077788D" w:rsidR="00D377ED" w:rsidRPr="00D377ED" w:rsidRDefault="00141945" w:rsidP="00C04C25">
            <w:pPr>
              <w:spacing w:after="160" w:line="278" w:lineRule="auto"/>
              <w:jc w:val="both"/>
              <w:rPr>
                <w:rFonts w:ascii="Arial" w:hAnsi="Arial" w:cs="Arial"/>
                <w:sz w:val="20"/>
                <w:szCs w:val="20"/>
              </w:rPr>
            </w:pPr>
            <w:proofErr w:type="spellStart"/>
            <w:r w:rsidRPr="00141945">
              <w:rPr>
                <w:rFonts w:ascii="Arial" w:hAnsi="Arial" w:cs="Arial"/>
                <w:i/>
                <w:iCs/>
                <w:sz w:val="20"/>
                <w:szCs w:val="20"/>
              </w:rPr>
              <w:t>Nilaparvata</w:t>
            </w:r>
            <w:proofErr w:type="spellEnd"/>
            <w:r w:rsidRPr="00141945">
              <w:rPr>
                <w:rFonts w:ascii="Arial" w:hAnsi="Arial" w:cs="Arial"/>
                <w:i/>
                <w:iCs/>
                <w:sz w:val="20"/>
                <w:szCs w:val="20"/>
              </w:rPr>
              <w:t xml:space="preserve"> </w:t>
            </w:r>
            <w:proofErr w:type="spellStart"/>
            <w:r w:rsidRPr="00141945">
              <w:rPr>
                <w:rFonts w:ascii="Arial" w:hAnsi="Arial" w:cs="Arial"/>
                <w:i/>
                <w:iCs/>
                <w:sz w:val="20"/>
                <w:szCs w:val="20"/>
              </w:rPr>
              <w:t>lugens</w:t>
            </w:r>
            <w:proofErr w:type="spellEnd"/>
          </w:p>
        </w:tc>
        <w:tc>
          <w:tcPr>
            <w:tcW w:w="829" w:type="pct"/>
            <w:hideMark/>
          </w:tcPr>
          <w:p w14:paraId="0893E0A7"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Hopper burn; yellowing and wilting; virus transmission</w:t>
            </w:r>
          </w:p>
        </w:tc>
        <w:tc>
          <w:tcPr>
            <w:tcW w:w="333" w:type="pct"/>
            <w:hideMark/>
          </w:tcPr>
          <w:p w14:paraId="2C1E21DD"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30–60</w:t>
            </w:r>
          </w:p>
        </w:tc>
        <w:tc>
          <w:tcPr>
            <w:tcW w:w="662" w:type="pct"/>
            <w:hideMark/>
          </w:tcPr>
          <w:p w14:paraId="1B05E1CC"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Asia; tropical and subtropical regions</w:t>
            </w:r>
          </w:p>
        </w:tc>
        <w:tc>
          <w:tcPr>
            <w:tcW w:w="759" w:type="pct"/>
            <w:hideMark/>
          </w:tcPr>
          <w:p w14:paraId="4BB3FFAA"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Conde et al., 2024</w:t>
            </w:r>
          </w:p>
        </w:tc>
      </w:tr>
      <w:tr w:rsidR="007D53AA" w:rsidRPr="00D377ED" w14:paraId="5F92351A" w14:textId="77777777" w:rsidTr="007D53AA">
        <w:trPr>
          <w:jc w:val="center"/>
        </w:trPr>
        <w:tc>
          <w:tcPr>
            <w:tcW w:w="575" w:type="pct"/>
            <w:hideMark/>
          </w:tcPr>
          <w:p w14:paraId="3B4330E9"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b/>
                <w:bCs/>
                <w:sz w:val="20"/>
                <w:szCs w:val="20"/>
              </w:rPr>
              <w:t>Insect Pest</w:t>
            </w:r>
          </w:p>
        </w:tc>
        <w:tc>
          <w:tcPr>
            <w:tcW w:w="682" w:type="pct"/>
            <w:hideMark/>
          </w:tcPr>
          <w:p w14:paraId="1BB840A0"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Stem borers</w:t>
            </w:r>
          </w:p>
        </w:tc>
        <w:tc>
          <w:tcPr>
            <w:tcW w:w="1159" w:type="pct"/>
            <w:hideMark/>
          </w:tcPr>
          <w:p w14:paraId="0693F5C6" w14:textId="52172219" w:rsidR="00D377ED" w:rsidRPr="00D377ED" w:rsidRDefault="00141945" w:rsidP="00C04C25">
            <w:pPr>
              <w:spacing w:after="160" w:line="278" w:lineRule="auto"/>
              <w:jc w:val="both"/>
              <w:rPr>
                <w:rFonts w:ascii="Arial" w:hAnsi="Arial" w:cs="Arial"/>
                <w:sz w:val="20"/>
                <w:szCs w:val="20"/>
              </w:rPr>
            </w:pPr>
            <w:proofErr w:type="spellStart"/>
            <w:r w:rsidRPr="00141945">
              <w:rPr>
                <w:rFonts w:ascii="Arial" w:hAnsi="Arial" w:cs="Arial"/>
                <w:i/>
                <w:iCs/>
                <w:sz w:val="20"/>
                <w:szCs w:val="20"/>
              </w:rPr>
              <w:t>Scirpophaga</w:t>
            </w:r>
            <w:proofErr w:type="spellEnd"/>
            <w:r w:rsidRPr="00141945">
              <w:rPr>
                <w:rFonts w:ascii="Arial" w:hAnsi="Arial" w:cs="Arial"/>
                <w:i/>
                <w:iCs/>
                <w:sz w:val="20"/>
                <w:szCs w:val="20"/>
              </w:rPr>
              <w:t xml:space="preserve"> </w:t>
            </w:r>
            <w:proofErr w:type="spellStart"/>
            <w:r w:rsidRPr="00141945">
              <w:rPr>
                <w:rFonts w:ascii="Arial" w:hAnsi="Arial" w:cs="Arial"/>
                <w:i/>
                <w:iCs/>
                <w:sz w:val="20"/>
                <w:szCs w:val="20"/>
              </w:rPr>
              <w:t>incertulas</w:t>
            </w:r>
            <w:proofErr w:type="spellEnd"/>
            <w:r w:rsidR="00D377ED" w:rsidRPr="00D377ED">
              <w:rPr>
                <w:rFonts w:ascii="Arial" w:hAnsi="Arial" w:cs="Arial"/>
                <w:sz w:val="20"/>
                <w:szCs w:val="20"/>
              </w:rPr>
              <w:t>, </w:t>
            </w:r>
            <w:proofErr w:type="spellStart"/>
            <w:r w:rsidRPr="00141945">
              <w:rPr>
                <w:rFonts w:ascii="Arial" w:hAnsi="Arial" w:cs="Arial"/>
                <w:i/>
                <w:iCs/>
                <w:sz w:val="20"/>
                <w:szCs w:val="20"/>
              </w:rPr>
              <w:t>Chilo</w:t>
            </w:r>
            <w:proofErr w:type="spellEnd"/>
            <w:r w:rsidRPr="00141945">
              <w:rPr>
                <w:rFonts w:ascii="Arial" w:hAnsi="Arial" w:cs="Arial"/>
                <w:i/>
                <w:iCs/>
                <w:sz w:val="20"/>
                <w:szCs w:val="20"/>
              </w:rPr>
              <w:t xml:space="preserve"> </w:t>
            </w:r>
            <w:proofErr w:type="spellStart"/>
            <w:r w:rsidRPr="00141945">
              <w:rPr>
                <w:rFonts w:ascii="Arial" w:hAnsi="Arial" w:cs="Arial"/>
                <w:i/>
                <w:iCs/>
                <w:sz w:val="20"/>
                <w:szCs w:val="20"/>
              </w:rPr>
              <w:t>suppressalis</w:t>
            </w:r>
            <w:proofErr w:type="spellEnd"/>
            <w:r w:rsidR="00D377ED" w:rsidRPr="00D377ED">
              <w:rPr>
                <w:rFonts w:ascii="Arial" w:hAnsi="Arial" w:cs="Arial"/>
                <w:sz w:val="20"/>
                <w:szCs w:val="20"/>
              </w:rPr>
              <w:t>, </w:t>
            </w:r>
            <w:proofErr w:type="spellStart"/>
            <w:r w:rsidRPr="00141945">
              <w:rPr>
                <w:rFonts w:ascii="Arial" w:hAnsi="Arial" w:cs="Arial"/>
                <w:i/>
                <w:iCs/>
                <w:sz w:val="20"/>
                <w:szCs w:val="20"/>
              </w:rPr>
              <w:t>Sesamia</w:t>
            </w:r>
            <w:proofErr w:type="spellEnd"/>
            <w:r w:rsidRPr="00141945">
              <w:rPr>
                <w:rFonts w:ascii="Arial" w:hAnsi="Arial" w:cs="Arial"/>
                <w:i/>
                <w:iCs/>
                <w:sz w:val="20"/>
                <w:szCs w:val="20"/>
              </w:rPr>
              <w:t xml:space="preserve"> </w:t>
            </w:r>
            <w:proofErr w:type="spellStart"/>
            <w:r w:rsidRPr="00141945">
              <w:rPr>
                <w:rFonts w:ascii="Arial" w:hAnsi="Arial" w:cs="Arial"/>
                <w:i/>
                <w:iCs/>
                <w:sz w:val="20"/>
                <w:szCs w:val="20"/>
              </w:rPr>
              <w:t>inferens</w:t>
            </w:r>
            <w:proofErr w:type="spellEnd"/>
          </w:p>
        </w:tc>
        <w:tc>
          <w:tcPr>
            <w:tcW w:w="829" w:type="pct"/>
            <w:hideMark/>
          </w:tcPr>
          <w:p w14:paraId="75485085"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Dead hearts (vegetative); white heads (reproductive); stem tunneling</w:t>
            </w:r>
          </w:p>
        </w:tc>
        <w:tc>
          <w:tcPr>
            <w:tcW w:w="333" w:type="pct"/>
            <w:hideMark/>
          </w:tcPr>
          <w:p w14:paraId="7245E2DE"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20–80</w:t>
            </w:r>
          </w:p>
        </w:tc>
        <w:tc>
          <w:tcPr>
            <w:tcW w:w="662" w:type="pct"/>
            <w:hideMark/>
          </w:tcPr>
          <w:p w14:paraId="7E1D55DB"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Asia, Africa; widespread</w:t>
            </w:r>
          </w:p>
        </w:tc>
        <w:tc>
          <w:tcPr>
            <w:tcW w:w="759" w:type="pct"/>
            <w:hideMark/>
          </w:tcPr>
          <w:p w14:paraId="4673B276"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Conde et al., 2024</w:t>
            </w:r>
          </w:p>
        </w:tc>
      </w:tr>
      <w:tr w:rsidR="007D53AA" w:rsidRPr="00D377ED" w14:paraId="57DBED91" w14:textId="77777777" w:rsidTr="007D53AA">
        <w:trPr>
          <w:jc w:val="center"/>
        </w:trPr>
        <w:tc>
          <w:tcPr>
            <w:tcW w:w="575" w:type="pct"/>
            <w:hideMark/>
          </w:tcPr>
          <w:p w14:paraId="070C174B"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b/>
                <w:bCs/>
                <w:sz w:val="20"/>
                <w:szCs w:val="20"/>
              </w:rPr>
              <w:t>Bacterial Disease</w:t>
            </w:r>
          </w:p>
        </w:tc>
        <w:tc>
          <w:tcPr>
            <w:tcW w:w="682" w:type="pct"/>
            <w:hideMark/>
          </w:tcPr>
          <w:p w14:paraId="75E63A7C"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Bacterial blight</w:t>
            </w:r>
          </w:p>
        </w:tc>
        <w:tc>
          <w:tcPr>
            <w:tcW w:w="1159" w:type="pct"/>
            <w:hideMark/>
          </w:tcPr>
          <w:p w14:paraId="1C5EA7A0"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i/>
                <w:iCs/>
                <w:sz w:val="20"/>
                <w:szCs w:val="20"/>
              </w:rPr>
              <w:t xml:space="preserve">Xanthomonas </w:t>
            </w:r>
            <w:proofErr w:type="spellStart"/>
            <w:r w:rsidRPr="00D377ED">
              <w:rPr>
                <w:rFonts w:ascii="Arial" w:hAnsi="Arial" w:cs="Arial"/>
                <w:i/>
                <w:iCs/>
                <w:sz w:val="20"/>
                <w:szCs w:val="20"/>
              </w:rPr>
              <w:t>oryzae</w:t>
            </w:r>
            <w:proofErr w:type="spellEnd"/>
            <w:r w:rsidRPr="00D377ED">
              <w:rPr>
                <w:rFonts w:ascii="Arial" w:hAnsi="Arial" w:cs="Arial"/>
                <w:sz w:val="20"/>
                <w:szCs w:val="20"/>
              </w:rPr>
              <w:t> </w:t>
            </w:r>
            <w:proofErr w:type="spellStart"/>
            <w:r w:rsidRPr="00D377ED">
              <w:rPr>
                <w:rFonts w:ascii="Arial" w:hAnsi="Arial" w:cs="Arial"/>
                <w:sz w:val="20"/>
                <w:szCs w:val="20"/>
              </w:rPr>
              <w:t>pv</w:t>
            </w:r>
            <w:proofErr w:type="spellEnd"/>
            <w:r w:rsidRPr="00D377ED">
              <w:rPr>
                <w:rFonts w:ascii="Arial" w:hAnsi="Arial" w:cs="Arial"/>
                <w:sz w:val="20"/>
                <w:szCs w:val="20"/>
              </w:rPr>
              <w:t>. </w:t>
            </w:r>
            <w:r w:rsidRPr="00D377ED">
              <w:rPr>
                <w:rFonts w:ascii="Arial" w:hAnsi="Arial" w:cs="Arial"/>
                <w:i/>
                <w:iCs/>
                <w:sz w:val="20"/>
                <w:szCs w:val="20"/>
              </w:rPr>
              <w:t>oryzae</w:t>
            </w:r>
          </w:p>
        </w:tc>
        <w:tc>
          <w:tcPr>
            <w:tcW w:w="829" w:type="pct"/>
            <w:hideMark/>
          </w:tcPr>
          <w:p w14:paraId="76517346"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Water-soaked lesions; yellowing; systemic infection</w:t>
            </w:r>
          </w:p>
        </w:tc>
        <w:tc>
          <w:tcPr>
            <w:tcW w:w="333" w:type="pct"/>
            <w:hideMark/>
          </w:tcPr>
          <w:p w14:paraId="2DC02F94"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20–40</w:t>
            </w:r>
          </w:p>
        </w:tc>
        <w:tc>
          <w:tcPr>
            <w:tcW w:w="662" w:type="pct"/>
            <w:hideMark/>
          </w:tcPr>
          <w:p w14:paraId="40EE1104"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Asia; warm humid regions</w:t>
            </w:r>
          </w:p>
        </w:tc>
        <w:tc>
          <w:tcPr>
            <w:tcW w:w="759" w:type="pct"/>
            <w:hideMark/>
          </w:tcPr>
          <w:p w14:paraId="080F8E8A"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Laha et al., 2017</w:t>
            </w:r>
          </w:p>
        </w:tc>
      </w:tr>
      <w:tr w:rsidR="007D53AA" w:rsidRPr="00D377ED" w14:paraId="00E8D4A1" w14:textId="77777777" w:rsidTr="007D53AA">
        <w:trPr>
          <w:jc w:val="center"/>
        </w:trPr>
        <w:tc>
          <w:tcPr>
            <w:tcW w:w="575" w:type="pct"/>
            <w:hideMark/>
          </w:tcPr>
          <w:p w14:paraId="2B35BEAD"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b/>
                <w:bCs/>
                <w:sz w:val="20"/>
                <w:szCs w:val="20"/>
              </w:rPr>
              <w:t>Viral Disease</w:t>
            </w:r>
          </w:p>
        </w:tc>
        <w:tc>
          <w:tcPr>
            <w:tcW w:w="682" w:type="pct"/>
            <w:hideMark/>
          </w:tcPr>
          <w:p w14:paraId="47E0B502"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 xml:space="preserve">Rice </w:t>
            </w:r>
            <w:proofErr w:type="spellStart"/>
            <w:r w:rsidRPr="00D377ED">
              <w:rPr>
                <w:rFonts w:ascii="Arial" w:hAnsi="Arial" w:cs="Arial"/>
                <w:sz w:val="20"/>
                <w:szCs w:val="20"/>
              </w:rPr>
              <w:t>tungro</w:t>
            </w:r>
            <w:proofErr w:type="spellEnd"/>
          </w:p>
        </w:tc>
        <w:tc>
          <w:tcPr>
            <w:tcW w:w="1159" w:type="pct"/>
            <w:hideMark/>
          </w:tcPr>
          <w:p w14:paraId="128CF67B"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 xml:space="preserve">Rice </w:t>
            </w:r>
            <w:proofErr w:type="spellStart"/>
            <w:r w:rsidRPr="00D377ED">
              <w:rPr>
                <w:rFonts w:ascii="Arial" w:hAnsi="Arial" w:cs="Arial"/>
                <w:sz w:val="20"/>
                <w:szCs w:val="20"/>
              </w:rPr>
              <w:t>tungro</w:t>
            </w:r>
            <w:proofErr w:type="spellEnd"/>
            <w:r w:rsidRPr="00D377ED">
              <w:rPr>
                <w:rFonts w:ascii="Arial" w:hAnsi="Arial" w:cs="Arial"/>
                <w:sz w:val="20"/>
                <w:szCs w:val="20"/>
              </w:rPr>
              <w:t xml:space="preserve"> bacilliform virus (RTBV) and Rice </w:t>
            </w:r>
            <w:proofErr w:type="spellStart"/>
            <w:r w:rsidRPr="00D377ED">
              <w:rPr>
                <w:rFonts w:ascii="Arial" w:hAnsi="Arial" w:cs="Arial"/>
                <w:sz w:val="20"/>
                <w:szCs w:val="20"/>
              </w:rPr>
              <w:t>tungro</w:t>
            </w:r>
            <w:proofErr w:type="spellEnd"/>
            <w:r w:rsidRPr="00D377ED">
              <w:rPr>
                <w:rFonts w:ascii="Arial" w:hAnsi="Arial" w:cs="Arial"/>
                <w:sz w:val="20"/>
                <w:szCs w:val="20"/>
              </w:rPr>
              <w:t xml:space="preserve"> spherical virus (RTSV)</w:t>
            </w:r>
          </w:p>
        </w:tc>
        <w:tc>
          <w:tcPr>
            <w:tcW w:w="829" w:type="pct"/>
            <w:hideMark/>
          </w:tcPr>
          <w:p w14:paraId="44D87D9D"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Stunting; yellow-orange discoloration; reduced tillering</w:t>
            </w:r>
          </w:p>
        </w:tc>
        <w:tc>
          <w:tcPr>
            <w:tcW w:w="333" w:type="pct"/>
            <w:hideMark/>
          </w:tcPr>
          <w:p w14:paraId="4057BAF7"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10–100</w:t>
            </w:r>
          </w:p>
        </w:tc>
        <w:tc>
          <w:tcPr>
            <w:tcW w:w="662" w:type="pct"/>
            <w:hideMark/>
          </w:tcPr>
          <w:p w14:paraId="00AC61C9"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Southeast Asia</w:t>
            </w:r>
          </w:p>
        </w:tc>
        <w:tc>
          <w:tcPr>
            <w:tcW w:w="759" w:type="pct"/>
            <w:hideMark/>
          </w:tcPr>
          <w:p w14:paraId="70301D81" w14:textId="77777777" w:rsidR="00D377ED" w:rsidRPr="00D377ED" w:rsidRDefault="00D377ED" w:rsidP="00C04C25">
            <w:pPr>
              <w:spacing w:after="160" w:line="278" w:lineRule="auto"/>
              <w:jc w:val="both"/>
              <w:rPr>
                <w:rFonts w:ascii="Arial" w:hAnsi="Arial" w:cs="Arial"/>
                <w:sz w:val="20"/>
                <w:szCs w:val="20"/>
              </w:rPr>
            </w:pPr>
            <w:r w:rsidRPr="00D377ED">
              <w:rPr>
                <w:rFonts w:ascii="Arial" w:hAnsi="Arial" w:cs="Arial"/>
                <w:sz w:val="20"/>
                <w:szCs w:val="20"/>
              </w:rPr>
              <w:t>Laha et al., 2017</w:t>
            </w:r>
          </w:p>
        </w:tc>
      </w:tr>
    </w:tbl>
    <w:p w14:paraId="3761E2F4" w14:textId="77777777" w:rsidR="00D377ED" w:rsidRPr="00D377ED" w:rsidRDefault="00D377ED" w:rsidP="00D377ED">
      <w:pPr>
        <w:jc w:val="both"/>
        <w:rPr>
          <w:rFonts w:ascii="Arial" w:hAnsi="Arial" w:cs="Arial"/>
          <w:noProof/>
        </w:rPr>
      </w:pPr>
    </w:p>
    <w:p w14:paraId="564F5CFD" w14:textId="2D2BE856" w:rsidR="00D377ED" w:rsidRDefault="003E5501" w:rsidP="007D53AA">
      <w:pPr>
        <w:pStyle w:val="Body"/>
        <w:spacing w:after="0"/>
        <w:jc w:val="center"/>
        <w:rPr>
          <w:rFonts w:ascii="Arial" w:hAnsi="Arial" w:cs="Arial"/>
        </w:rPr>
      </w:pPr>
      <w:r w:rsidRPr="00FB3502">
        <w:rPr>
          <w:rFonts w:ascii="Times New Roman" w:hAnsi="Times New Roman"/>
          <w:noProof/>
        </w:rPr>
        <w:lastRenderedPageBreak/>
        <w:drawing>
          <wp:inline distT="0" distB="0" distL="0" distR="0" wp14:anchorId="087CE936" wp14:editId="639420C2">
            <wp:extent cx="5212080" cy="3064482"/>
            <wp:effectExtent l="0" t="0" r="0" b="0"/>
            <wp:docPr id="20157955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3064482"/>
                    </a:xfrm>
                    <a:prstGeom prst="rect">
                      <a:avLst/>
                    </a:prstGeom>
                    <a:noFill/>
                    <a:ln>
                      <a:noFill/>
                    </a:ln>
                  </pic:spPr>
                </pic:pic>
              </a:graphicData>
            </a:graphic>
          </wp:inline>
        </w:drawing>
      </w:r>
    </w:p>
    <w:p w14:paraId="571BB960" w14:textId="076B67AB" w:rsidR="003E5501" w:rsidRPr="008247A6" w:rsidRDefault="003E5501" w:rsidP="003E5501">
      <w:pPr>
        <w:autoSpaceDE w:val="0"/>
        <w:autoSpaceDN w:val="0"/>
        <w:adjustRightInd w:val="0"/>
        <w:jc w:val="both"/>
        <w:rPr>
          <w:rFonts w:ascii="Arial" w:hAnsi="Arial" w:cs="Arial"/>
          <w:i/>
          <w:sz w:val="18"/>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3E5501">
        <w:rPr>
          <w:rFonts w:ascii="Arial" w:hAnsi="Arial" w:cs="Arial"/>
          <w:b/>
          <w:bCs/>
          <w:szCs w:val="22"/>
        </w:rPr>
        <w:t>A schematic illustration showing how nano-pesticides act on rice pests such as the brown planthopper.</w:t>
      </w:r>
    </w:p>
    <w:p w14:paraId="64DACDCB" w14:textId="77777777" w:rsidR="003E5501" w:rsidRDefault="003E5501" w:rsidP="003E5501">
      <w:pPr>
        <w:pStyle w:val="Body"/>
        <w:spacing w:after="0"/>
        <w:rPr>
          <w:rFonts w:ascii="Arial" w:hAnsi="Arial" w:cs="Arial"/>
        </w:rPr>
      </w:pPr>
    </w:p>
    <w:p w14:paraId="51392090" w14:textId="77777777" w:rsidR="003E5501" w:rsidRDefault="003E5501" w:rsidP="003E5501">
      <w:pPr>
        <w:pStyle w:val="Body"/>
        <w:spacing w:after="0"/>
        <w:rPr>
          <w:rFonts w:ascii="Arial" w:hAnsi="Arial" w:cs="Arial"/>
        </w:rPr>
      </w:pPr>
    </w:p>
    <w:p w14:paraId="13F6DEC1" w14:textId="02F886FC" w:rsidR="003E5501" w:rsidRPr="0084071C" w:rsidRDefault="003E5501" w:rsidP="003E5501">
      <w:pPr>
        <w:pStyle w:val="Body"/>
        <w:spacing w:after="0"/>
        <w:rPr>
          <w:rFonts w:ascii="Arial" w:hAnsi="Arial" w:cs="Arial"/>
          <w:b/>
          <w:bCs/>
          <w:sz w:val="22"/>
          <w:szCs w:val="22"/>
        </w:rPr>
      </w:pPr>
      <w:r w:rsidRPr="0084071C">
        <w:rPr>
          <w:rFonts w:ascii="Arial" w:hAnsi="Arial" w:cs="Arial"/>
          <w:b/>
          <w:bCs/>
          <w:sz w:val="22"/>
          <w:szCs w:val="22"/>
        </w:rPr>
        <w:t>1.3 Limitations of Conventional Pest Management Strategies</w:t>
      </w:r>
    </w:p>
    <w:p w14:paraId="4EFFB13D" w14:textId="77777777" w:rsidR="003F761E" w:rsidRPr="003E5501" w:rsidRDefault="003F761E" w:rsidP="003E5501">
      <w:pPr>
        <w:pStyle w:val="Body"/>
        <w:spacing w:after="0"/>
        <w:rPr>
          <w:rFonts w:ascii="Arial" w:hAnsi="Arial" w:cs="Arial"/>
          <w:i/>
          <w:iCs/>
        </w:rPr>
      </w:pPr>
    </w:p>
    <w:p w14:paraId="4BCCA9B0" w14:textId="77777777" w:rsidR="003E5501" w:rsidRPr="003E5501" w:rsidRDefault="003E5501" w:rsidP="003E5501">
      <w:pPr>
        <w:jc w:val="both"/>
        <w:rPr>
          <w:rFonts w:ascii="Arial" w:hAnsi="Arial" w:cs="Arial"/>
        </w:rPr>
      </w:pPr>
      <w:r w:rsidRPr="003E5501">
        <w:rPr>
          <w:rFonts w:ascii="Arial" w:hAnsi="Arial" w:cs="Arial"/>
        </w:rPr>
        <w:t>Conventional management of rice pests and diseases has predominantly relied on synthetic chemical pesticides and fungicides. While these agrochemicals demonstrate short-term efficacy in controlling target organisms, their widespread and often indiscriminate use has generated substantial ecological and agronomic challenges. Intensive pesticide application accelerates the evolution of resistance in pest and pathogen populations, progressively diminishing the long-term effectiveness of available chemical control options (</w:t>
      </w:r>
      <w:proofErr w:type="spellStart"/>
      <w:r w:rsidRPr="003E5501">
        <w:rPr>
          <w:rFonts w:ascii="Arial" w:hAnsi="Arial" w:cs="Arial"/>
        </w:rPr>
        <w:t>Agbowuro</w:t>
      </w:r>
      <w:proofErr w:type="spellEnd"/>
      <w:r w:rsidRPr="003E5501">
        <w:rPr>
          <w:rFonts w:ascii="Arial" w:hAnsi="Arial" w:cs="Arial"/>
        </w:rPr>
        <w:t xml:space="preserve"> et al., 2020). The broad-spectrum activity of many synthetic pesticides results in non-target toxicity, adversely affecting beneficial organisms including natural enemies, pollinators, and soil microbiota that are essential for ecosystem functioning and agricultural sustainability (McLaughlin et al., 2023). Environmental contamination through agricultural runoff contributes to water pollution, soil degradation, and biodiversity loss, raising serious concerns about the sustainability of chemical-intensive agricultural practices (Singh et al., 2024). Alternative approaches such as biopesticides, biological control agents, and botanical pesticides have emerged as potential substitutes; however, their adoption remains constrained by issues related to production costs, field stability, variable efficacy under diverse environmental conditions, and limited shelf life (Ahmed et al., 2023; Shaili et al., 2025). </w:t>
      </w:r>
      <w:r w:rsidRPr="003E5501">
        <w:rPr>
          <w:rFonts w:ascii="Arial" w:hAnsi="Arial" w:cs="Arial"/>
          <w:b/>
          <w:bCs/>
        </w:rPr>
        <w:t>Table 2</w:t>
      </w:r>
      <w:r w:rsidRPr="003E5501">
        <w:rPr>
          <w:rFonts w:ascii="Arial" w:hAnsi="Arial" w:cs="Arial"/>
        </w:rPr>
        <w:t> compares conventional pest management approaches with their associated limitations and challenges.</w:t>
      </w:r>
    </w:p>
    <w:p w14:paraId="0596A812" w14:textId="77777777" w:rsidR="003E5501" w:rsidRDefault="003E5501" w:rsidP="003E5501">
      <w:pPr>
        <w:jc w:val="both"/>
        <w:rPr>
          <w:rFonts w:ascii="Arial" w:hAnsi="Arial" w:cs="Arial"/>
        </w:rPr>
      </w:pPr>
    </w:p>
    <w:p w14:paraId="0DBEC94D" w14:textId="77777777" w:rsidR="0084071C" w:rsidRDefault="0084071C" w:rsidP="003E5501">
      <w:pPr>
        <w:jc w:val="both"/>
        <w:rPr>
          <w:rFonts w:ascii="Arial" w:hAnsi="Arial" w:cs="Arial"/>
        </w:rPr>
      </w:pPr>
    </w:p>
    <w:p w14:paraId="4B723D72" w14:textId="77777777" w:rsidR="0084071C" w:rsidRDefault="0084071C" w:rsidP="003E5501">
      <w:pPr>
        <w:jc w:val="both"/>
        <w:rPr>
          <w:rFonts w:ascii="Arial" w:hAnsi="Arial" w:cs="Arial"/>
        </w:rPr>
      </w:pPr>
    </w:p>
    <w:p w14:paraId="594BB47E" w14:textId="77777777" w:rsidR="0084071C" w:rsidRDefault="0084071C" w:rsidP="003E5501">
      <w:pPr>
        <w:jc w:val="both"/>
        <w:rPr>
          <w:rFonts w:ascii="Arial" w:hAnsi="Arial" w:cs="Arial"/>
        </w:rPr>
      </w:pPr>
    </w:p>
    <w:p w14:paraId="1A3D8576" w14:textId="77777777" w:rsidR="0084071C" w:rsidRDefault="0084071C" w:rsidP="003E5501">
      <w:pPr>
        <w:jc w:val="both"/>
        <w:rPr>
          <w:rFonts w:ascii="Arial" w:hAnsi="Arial" w:cs="Arial"/>
        </w:rPr>
      </w:pPr>
    </w:p>
    <w:p w14:paraId="178F1EC0" w14:textId="77777777" w:rsidR="0084071C" w:rsidRDefault="0084071C" w:rsidP="003E5501">
      <w:pPr>
        <w:jc w:val="both"/>
        <w:rPr>
          <w:rFonts w:ascii="Arial" w:hAnsi="Arial" w:cs="Arial"/>
        </w:rPr>
      </w:pPr>
    </w:p>
    <w:p w14:paraId="53303B49" w14:textId="77777777" w:rsidR="0084071C" w:rsidRDefault="0084071C" w:rsidP="003E5501">
      <w:pPr>
        <w:jc w:val="both"/>
        <w:rPr>
          <w:rFonts w:ascii="Arial" w:hAnsi="Arial" w:cs="Arial"/>
        </w:rPr>
      </w:pPr>
    </w:p>
    <w:p w14:paraId="00136318" w14:textId="77777777" w:rsidR="00141945" w:rsidRDefault="00141945" w:rsidP="003E5501">
      <w:pPr>
        <w:jc w:val="both"/>
        <w:rPr>
          <w:rFonts w:ascii="Arial" w:hAnsi="Arial" w:cs="Arial"/>
        </w:rPr>
      </w:pPr>
    </w:p>
    <w:p w14:paraId="26B84D89" w14:textId="77777777" w:rsidR="00141945" w:rsidRDefault="00141945" w:rsidP="003E5501">
      <w:pPr>
        <w:jc w:val="both"/>
        <w:rPr>
          <w:rFonts w:ascii="Arial" w:hAnsi="Arial" w:cs="Arial"/>
        </w:rPr>
      </w:pPr>
    </w:p>
    <w:p w14:paraId="4FFE7F46" w14:textId="77777777" w:rsidR="0084071C" w:rsidRPr="003E5501" w:rsidRDefault="0084071C" w:rsidP="003E5501">
      <w:pPr>
        <w:jc w:val="both"/>
        <w:rPr>
          <w:rFonts w:ascii="Arial" w:hAnsi="Arial" w:cs="Arial"/>
        </w:rPr>
      </w:pPr>
    </w:p>
    <w:p w14:paraId="7FBA79ED" w14:textId="77777777" w:rsidR="003E5501" w:rsidRPr="003E5501" w:rsidRDefault="003E5501" w:rsidP="003E5501">
      <w:pPr>
        <w:jc w:val="both"/>
        <w:rPr>
          <w:rFonts w:ascii="Arial" w:hAnsi="Arial" w:cs="Arial"/>
        </w:rPr>
      </w:pPr>
      <w:r w:rsidRPr="003E5501">
        <w:rPr>
          <w:rFonts w:ascii="Arial" w:hAnsi="Arial" w:cs="Arial"/>
          <w:b/>
          <w:bCs/>
        </w:rPr>
        <w:t>Table 2.</w:t>
      </w:r>
      <w:r w:rsidRPr="003E5501">
        <w:rPr>
          <w:rFonts w:ascii="Arial" w:hAnsi="Arial" w:cs="Arial"/>
        </w:rPr>
        <w:t> Conventional Pest Management Approaches and Associated Limitations</w:t>
      </w:r>
    </w:p>
    <w:tbl>
      <w:tblPr>
        <w:tblStyle w:val="TableGrid"/>
        <w:tblpPr w:leftFromText="180" w:rightFromText="180" w:vertAnchor="text" w:horzAnchor="margin" w:tblpXSpec="center" w:tblpY="105"/>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2552"/>
        <w:gridCol w:w="1562"/>
        <w:gridCol w:w="1521"/>
        <w:gridCol w:w="1866"/>
        <w:gridCol w:w="1389"/>
      </w:tblGrid>
      <w:tr w:rsidR="003E5501" w:rsidRPr="003E5501" w14:paraId="69511969" w14:textId="77777777" w:rsidTr="007D53AA">
        <w:trPr>
          <w:trHeight w:val="600"/>
        </w:trPr>
        <w:tc>
          <w:tcPr>
            <w:tcW w:w="884" w:type="pct"/>
            <w:tcBorders>
              <w:top w:val="single" w:sz="4" w:space="0" w:color="auto"/>
              <w:bottom w:val="single" w:sz="4" w:space="0" w:color="auto"/>
            </w:tcBorders>
            <w:hideMark/>
          </w:tcPr>
          <w:p w14:paraId="2FE46C90" w14:textId="77777777" w:rsidR="003E5501" w:rsidRPr="003E5501" w:rsidRDefault="003E5501" w:rsidP="00C04C25">
            <w:pPr>
              <w:spacing w:after="160" w:line="278" w:lineRule="auto"/>
              <w:jc w:val="both"/>
              <w:rPr>
                <w:rFonts w:ascii="Arial" w:hAnsi="Arial" w:cs="Arial"/>
                <w:b/>
                <w:bCs/>
                <w:sz w:val="20"/>
                <w:szCs w:val="20"/>
              </w:rPr>
            </w:pPr>
            <w:r w:rsidRPr="003E5501">
              <w:rPr>
                <w:rFonts w:ascii="Arial" w:hAnsi="Arial" w:cs="Arial"/>
                <w:b/>
                <w:bCs/>
                <w:sz w:val="20"/>
                <w:szCs w:val="20"/>
              </w:rPr>
              <w:t>Management Approach</w:t>
            </w:r>
          </w:p>
        </w:tc>
        <w:tc>
          <w:tcPr>
            <w:tcW w:w="1181" w:type="pct"/>
            <w:tcBorders>
              <w:top w:val="single" w:sz="4" w:space="0" w:color="auto"/>
              <w:bottom w:val="single" w:sz="4" w:space="0" w:color="auto"/>
            </w:tcBorders>
            <w:hideMark/>
          </w:tcPr>
          <w:p w14:paraId="6925A6B4" w14:textId="77777777" w:rsidR="003E5501" w:rsidRPr="003E5501" w:rsidRDefault="003E5501" w:rsidP="00C04C25">
            <w:pPr>
              <w:spacing w:after="160" w:line="278" w:lineRule="auto"/>
              <w:jc w:val="both"/>
              <w:rPr>
                <w:rFonts w:ascii="Arial" w:hAnsi="Arial" w:cs="Arial"/>
                <w:b/>
                <w:bCs/>
                <w:sz w:val="20"/>
                <w:szCs w:val="20"/>
              </w:rPr>
            </w:pPr>
            <w:r w:rsidRPr="003E5501">
              <w:rPr>
                <w:rFonts w:ascii="Arial" w:hAnsi="Arial" w:cs="Arial"/>
                <w:b/>
                <w:bCs/>
                <w:sz w:val="20"/>
                <w:szCs w:val="20"/>
              </w:rPr>
              <w:t>Active Ingredients/Agents</w:t>
            </w:r>
          </w:p>
        </w:tc>
        <w:tc>
          <w:tcPr>
            <w:tcW w:w="723" w:type="pct"/>
            <w:tcBorders>
              <w:top w:val="single" w:sz="4" w:space="0" w:color="auto"/>
              <w:bottom w:val="single" w:sz="4" w:space="0" w:color="auto"/>
            </w:tcBorders>
            <w:hideMark/>
          </w:tcPr>
          <w:p w14:paraId="647931C9" w14:textId="77777777" w:rsidR="003E5501" w:rsidRPr="003E5501" w:rsidRDefault="003E5501" w:rsidP="00C04C25">
            <w:pPr>
              <w:spacing w:after="160" w:line="278" w:lineRule="auto"/>
              <w:jc w:val="both"/>
              <w:rPr>
                <w:rFonts w:ascii="Arial" w:hAnsi="Arial" w:cs="Arial"/>
                <w:b/>
                <w:bCs/>
                <w:sz w:val="20"/>
                <w:szCs w:val="20"/>
              </w:rPr>
            </w:pPr>
            <w:r w:rsidRPr="003E5501">
              <w:rPr>
                <w:rFonts w:ascii="Arial" w:hAnsi="Arial" w:cs="Arial"/>
                <w:b/>
                <w:bCs/>
                <w:sz w:val="20"/>
                <w:szCs w:val="20"/>
              </w:rPr>
              <w:t>Advantages</w:t>
            </w:r>
          </w:p>
        </w:tc>
        <w:tc>
          <w:tcPr>
            <w:tcW w:w="704" w:type="pct"/>
            <w:tcBorders>
              <w:top w:val="single" w:sz="4" w:space="0" w:color="auto"/>
              <w:bottom w:val="single" w:sz="4" w:space="0" w:color="auto"/>
            </w:tcBorders>
            <w:hideMark/>
          </w:tcPr>
          <w:p w14:paraId="1877E987" w14:textId="77777777" w:rsidR="003E5501" w:rsidRPr="003E5501" w:rsidRDefault="003E5501" w:rsidP="00C04C25">
            <w:pPr>
              <w:spacing w:after="160" w:line="278" w:lineRule="auto"/>
              <w:jc w:val="both"/>
              <w:rPr>
                <w:rFonts w:ascii="Arial" w:hAnsi="Arial" w:cs="Arial"/>
                <w:b/>
                <w:bCs/>
                <w:sz w:val="20"/>
                <w:szCs w:val="20"/>
              </w:rPr>
            </w:pPr>
            <w:r w:rsidRPr="003E5501">
              <w:rPr>
                <w:rFonts w:ascii="Arial" w:hAnsi="Arial" w:cs="Arial"/>
                <w:b/>
                <w:bCs/>
                <w:sz w:val="20"/>
                <w:szCs w:val="20"/>
              </w:rPr>
              <w:t>Limitations</w:t>
            </w:r>
          </w:p>
        </w:tc>
        <w:tc>
          <w:tcPr>
            <w:tcW w:w="864" w:type="pct"/>
            <w:tcBorders>
              <w:top w:val="single" w:sz="4" w:space="0" w:color="auto"/>
              <w:bottom w:val="single" w:sz="4" w:space="0" w:color="auto"/>
            </w:tcBorders>
            <w:hideMark/>
          </w:tcPr>
          <w:p w14:paraId="4B469D09" w14:textId="77777777" w:rsidR="003E5501" w:rsidRPr="003E5501" w:rsidRDefault="003E5501" w:rsidP="00C04C25">
            <w:pPr>
              <w:spacing w:after="160" w:line="278" w:lineRule="auto"/>
              <w:jc w:val="both"/>
              <w:rPr>
                <w:rFonts w:ascii="Arial" w:hAnsi="Arial" w:cs="Arial"/>
                <w:b/>
                <w:bCs/>
                <w:sz w:val="20"/>
                <w:szCs w:val="20"/>
              </w:rPr>
            </w:pPr>
            <w:r w:rsidRPr="003E5501">
              <w:rPr>
                <w:rFonts w:ascii="Arial" w:hAnsi="Arial" w:cs="Arial"/>
                <w:b/>
                <w:bCs/>
                <w:sz w:val="20"/>
                <w:szCs w:val="20"/>
              </w:rPr>
              <w:t>Environmental Concerns</w:t>
            </w:r>
          </w:p>
        </w:tc>
        <w:tc>
          <w:tcPr>
            <w:tcW w:w="643" w:type="pct"/>
            <w:tcBorders>
              <w:top w:val="single" w:sz="4" w:space="0" w:color="auto"/>
              <w:bottom w:val="single" w:sz="4" w:space="0" w:color="auto"/>
            </w:tcBorders>
            <w:hideMark/>
          </w:tcPr>
          <w:p w14:paraId="6F033690" w14:textId="77777777" w:rsidR="003E5501" w:rsidRPr="003E5501" w:rsidRDefault="003E5501" w:rsidP="00C04C25">
            <w:pPr>
              <w:spacing w:after="160" w:line="278" w:lineRule="auto"/>
              <w:jc w:val="both"/>
              <w:rPr>
                <w:rFonts w:ascii="Arial" w:hAnsi="Arial" w:cs="Arial"/>
                <w:b/>
                <w:bCs/>
                <w:sz w:val="20"/>
                <w:szCs w:val="20"/>
              </w:rPr>
            </w:pPr>
            <w:r w:rsidRPr="003E5501">
              <w:rPr>
                <w:rFonts w:ascii="Arial" w:hAnsi="Arial" w:cs="Arial"/>
                <w:b/>
                <w:bCs/>
                <w:sz w:val="20"/>
                <w:szCs w:val="20"/>
              </w:rPr>
              <w:t>References</w:t>
            </w:r>
          </w:p>
        </w:tc>
      </w:tr>
      <w:tr w:rsidR="003E5501" w:rsidRPr="003E5501" w14:paraId="3BF91533" w14:textId="77777777" w:rsidTr="007D53AA">
        <w:tc>
          <w:tcPr>
            <w:tcW w:w="884" w:type="pct"/>
            <w:tcBorders>
              <w:top w:val="single" w:sz="4" w:space="0" w:color="auto"/>
            </w:tcBorders>
            <w:hideMark/>
          </w:tcPr>
          <w:p w14:paraId="6748CEF2"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b/>
                <w:bCs/>
                <w:sz w:val="20"/>
                <w:szCs w:val="20"/>
              </w:rPr>
              <w:t>Synthetic Chemical Pesticides</w:t>
            </w:r>
          </w:p>
        </w:tc>
        <w:tc>
          <w:tcPr>
            <w:tcW w:w="1181" w:type="pct"/>
            <w:tcBorders>
              <w:top w:val="single" w:sz="4" w:space="0" w:color="auto"/>
            </w:tcBorders>
            <w:hideMark/>
          </w:tcPr>
          <w:p w14:paraId="6F381924" w14:textId="77777777" w:rsidR="003E5501" w:rsidRPr="00141945" w:rsidRDefault="003E5501" w:rsidP="00C04C25">
            <w:pPr>
              <w:spacing w:after="160" w:line="278" w:lineRule="auto"/>
              <w:jc w:val="both"/>
              <w:rPr>
                <w:rFonts w:ascii="Arial" w:hAnsi="Arial" w:cs="Arial"/>
                <w:i/>
                <w:iCs/>
                <w:sz w:val="20"/>
                <w:szCs w:val="20"/>
              </w:rPr>
            </w:pPr>
            <w:r w:rsidRPr="00141945">
              <w:rPr>
                <w:rFonts w:ascii="Arial" w:hAnsi="Arial" w:cs="Arial"/>
                <w:i/>
                <w:iCs/>
                <w:sz w:val="20"/>
                <w:szCs w:val="20"/>
              </w:rPr>
              <w:t>Organophosphates, pyrethroids, neonicotinoids, carbamates</w:t>
            </w:r>
          </w:p>
        </w:tc>
        <w:tc>
          <w:tcPr>
            <w:tcW w:w="723" w:type="pct"/>
            <w:tcBorders>
              <w:top w:val="single" w:sz="4" w:space="0" w:color="auto"/>
            </w:tcBorders>
            <w:hideMark/>
          </w:tcPr>
          <w:p w14:paraId="56296440"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 xml:space="preserve">Rapid action; broad-spectrum; readily </w:t>
            </w:r>
            <w:r w:rsidRPr="003E5501">
              <w:rPr>
                <w:rFonts w:ascii="Arial" w:hAnsi="Arial" w:cs="Arial"/>
                <w:sz w:val="20"/>
                <w:szCs w:val="20"/>
              </w:rPr>
              <w:lastRenderedPageBreak/>
              <w:t>available; cost-effective</w:t>
            </w:r>
          </w:p>
        </w:tc>
        <w:tc>
          <w:tcPr>
            <w:tcW w:w="704" w:type="pct"/>
            <w:tcBorders>
              <w:top w:val="single" w:sz="4" w:space="0" w:color="auto"/>
            </w:tcBorders>
            <w:hideMark/>
          </w:tcPr>
          <w:p w14:paraId="0CF7D3EE"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lastRenderedPageBreak/>
              <w:t xml:space="preserve">Resistance development; non-target toxicity; frequent </w:t>
            </w:r>
            <w:r w:rsidRPr="003E5501">
              <w:rPr>
                <w:rFonts w:ascii="Arial" w:hAnsi="Arial" w:cs="Arial"/>
                <w:sz w:val="20"/>
                <w:szCs w:val="20"/>
              </w:rPr>
              <w:lastRenderedPageBreak/>
              <w:t>applications needed</w:t>
            </w:r>
          </w:p>
        </w:tc>
        <w:tc>
          <w:tcPr>
            <w:tcW w:w="864" w:type="pct"/>
            <w:tcBorders>
              <w:top w:val="single" w:sz="4" w:space="0" w:color="auto"/>
            </w:tcBorders>
            <w:hideMark/>
          </w:tcPr>
          <w:p w14:paraId="1A89FB6C"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lastRenderedPageBreak/>
              <w:t>Water contamination; soil residues; bioaccumulation; biodiversity loss</w:t>
            </w:r>
          </w:p>
        </w:tc>
        <w:tc>
          <w:tcPr>
            <w:tcW w:w="643" w:type="pct"/>
            <w:tcBorders>
              <w:top w:val="single" w:sz="4" w:space="0" w:color="auto"/>
            </w:tcBorders>
            <w:hideMark/>
          </w:tcPr>
          <w:p w14:paraId="3A7F2D49" w14:textId="77777777" w:rsidR="003E5501" w:rsidRPr="003E5501" w:rsidRDefault="003E5501" w:rsidP="00C04C25">
            <w:pPr>
              <w:spacing w:after="160" w:line="278" w:lineRule="auto"/>
              <w:jc w:val="both"/>
              <w:rPr>
                <w:rFonts w:ascii="Arial" w:hAnsi="Arial" w:cs="Arial"/>
                <w:sz w:val="20"/>
                <w:szCs w:val="20"/>
              </w:rPr>
            </w:pPr>
            <w:proofErr w:type="spellStart"/>
            <w:r w:rsidRPr="003E5501">
              <w:rPr>
                <w:rFonts w:ascii="Arial" w:hAnsi="Arial" w:cs="Arial"/>
                <w:sz w:val="20"/>
                <w:szCs w:val="20"/>
              </w:rPr>
              <w:t>Agbowuro</w:t>
            </w:r>
            <w:proofErr w:type="spellEnd"/>
            <w:r w:rsidRPr="003E5501">
              <w:rPr>
                <w:rFonts w:ascii="Arial" w:hAnsi="Arial" w:cs="Arial"/>
                <w:sz w:val="20"/>
                <w:szCs w:val="20"/>
              </w:rPr>
              <w:t xml:space="preserve"> et al., 2020; Singh et al., 2024</w:t>
            </w:r>
          </w:p>
        </w:tc>
      </w:tr>
      <w:tr w:rsidR="003E5501" w:rsidRPr="003E5501" w14:paraId="26B6CD7D" w14:textId="77777777" w:rsidTr="007D53AA">
        <w:tc>
          <w:tcPr>
            <w:tcW w:w="884" w:type="pct"/>
            <w:hideMark/>
          </w:tcPr>
          <w:p w14:paraId="5DAF0A89"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b/>
                <w:bCs/>
                <w:sz w:val="20"/>
                <w:szCs w:val="20"/>
              </w:rPr>
              <w:t>Synthetic Fungicides</w:t>
            </w:r>
          </w:p>
        </w:tc>
        <w:tc>
          <w:tcPr>
            <w:tcW w:w="1181" w:type="pct"/>
            <w:hideMark/>
          </w:tcPr>
          <w:p w14:paraId="1F340EC6" w14:textId="77777777" w:rsidR="003E5501" w:rsidRPr="00141945" w:rsidRDefault="003E5501" w:rsidP="00C04C25">
            <w:pPr>
              <w:spacing w:after="160" w:line="278" w:lineRule="auto"/>
              <w:jc w:val="both"/>
              <w:rPr>
                <w:rFonts w:ascii="Arial" w:hAnsi="Arial" w:cs="Arial"/>
                <w:i/>
                <w:iCs/>
                <w:sz w:val="20"/>
                <w:szCs w:val="20"/>
              </w:rPr>
            </w:pPr>
            <w:r w:rsidRPr="00141945">
              <w:rPr>
                <w:rFonts w:ascii="Arial" w:hAnsi="Arial" w:cs="Arial"/>
                <w:i/>
                <w:iCs/>
                <w:sz w:val="20"/>
                <w:szCs w:val="20"/>
              </w:rPr>
              <w:t xml:space="preserve">Azoles, </w:t>
            </w:r>
            <w:proofErr w:type="spellStart"/>
            <w:r w:rsidRPr="00141945">
              <w:rPr>
                <w:rFonts w:ascii="Arial" w:hAnsi="Arial" w:cs="Arial"/>
                <w:i/>
                <w:iCs/>
                <w:sz w:val="20"/>
                <w:szCs w:val="20"/>
              </w:rPr>
              <w:t>strobilurins</w:t>
            </w:r>
            <w:proofErr w:type="spellEnd"/>
            <w:r w:rsidRPr="00141945">
              <w:rPr>
                <w:rFonts w:ascii="Arial" w:hAnsi="Arial" w:cs="Arial"/>
                <w:i/>
                <w:iCs/>
                <w:sz w:val="20"/>
                <w:szCs w:val="20"/>
              </w:rPr>
              <w:t xml:space="preserve">, benzimidazoles, </w:t>
            </w:r>
            <w:proofErr w:type="spellStart"/>
            <w:r w:rsidRPr="00141945">
              <w:rPr>
                <w:rFonts w:ascii="Arial" w:hAnsi="Arial" w:cs="Arial"/>
                <w:i/>
                <w:iCs/>
                <w:sz w:val="20"/>
                <w:szCs w:val="20"/>
              </w:rPr>
              <w:t>dithiocarbamates</w:t>
            </w:r>
            <w:proofErr w:type="spellEnd"/>
          </w:p>
        </w:tc>
        <w:tc>
          <w:tcPr>
            <w:tcW w:w="723" w:type="pct"/>
            <w:hideMark/>
          </w:tcPr>
          <w:p w14:paraId="2B279613"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High efficacy; systemic or contact action; preventive and curative</w:t>
            </w:r>
          </w:p>
        </w:tc>
        <w:tc>
          <w:tcPr>
            <w:tcW w:w="704" w:type="pct"/>
            <w:hideMark/>
          </w:tcPr>
          <w:p w14:paraId="28B53012"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Resistance in pathogens; phytotoxicity at high doses; residue concerns</w:t>
            </w:r>
          </w:p>
        </w:tc>
        <w:tc>
          <w:tcPr>
            <w:tcW w:w="864" w:type="pct"/>
            <w:hideMark/>
          </w:tcPr>
          <w:p w14:paraId="4A01DBDC"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Groundwater pollution; effects on non-target fungi; persistence</w:t>
            </w:r>
          </w:p>
        </w:tc>
        <w:tc>
          <w:tcPr>
            <w:tcW w:w="643" w:type="pct"/>
            <w:hideMark/>
          </w:tcPr>
          <w:p w14:paraId="445C5F0A"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McLaughlin et al., 2023</w:t>
            </w:r>
          </w:p>
        </w:tc>
      </w:tr>
      <w:tr w:rsidR="003E5501" w:rsidRPr="003E5501" w14:paraId="6E3A81B6" w14:textId="77777777" w:rsidTr="007D53AA">
        <w:tc>
          <w:tcPr>
            <w:tcW w:w="884" w:type="pct"/>
            <w:hideMark/>
          </w:tcPr>
          <w:p w14:paraId="4DF5F97E"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b/>
                <w:bCs/>
                <w:sz w:val="20"/>
                <w:szCs w:val="20"/>
              </w:rPr>
              <w:t>Biopesticides</w:t>
            </w:r>
          </w:p>
        </w:tc>
        <w:tc>
          <w:tcPr>
            <w:tcW w:w="1181" w:type="pct"/>
            <w:hideMark/>
          </w:tcPr>
          <w:p w14:paraId="707142BE"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i/>
                <w:iCs/>
                <w:sz w:val="20"/>
                <w:szCs w:val="20"/>
              </w:rPr>
              <w:t>Bacillus thuringiensis</w:t>
            </w:r>
            <w:r w:rsidRPr="003E5501">
              <w:rPr>
                <w:rFonts w:ascii="Arial" w:hAnsi="Arial" w:cs="Arial"/>
                <w:sz w:val="20"/>
                <w:szCs w:val="20"/>
              </w:rPr>
              <w:t>, </w:t>
            </w:r>
            <w:r w:rsidRPr="003E5501">
              <w:rPr>
                <w:rFonts w:ascii="Arial" w:hAnsi="Arial" w:cs="Arial"/>
                <w:i/>
                <w:iCs/>
                <w:sz w:val="20"/>
                <w:szCs w:val="20"/>
              </w:rPr>
              <w:t>Beauveria bassiana</w:t>
            </w:r>
            <w:r w:rsidRPr="003E5501">
              <w:rPr>
                <w:rFonts w:ascii="Arial" w:hAnsi="Arial" w:cs="Arial"/>
                <w:sz w:val="20"/>
                <w:szCs w:val="20"/>
              </w:rPr>
              <w:t>, </w:t>
            </w:r>
            <w:r w:rsidRPr="003E5501">
              <w:rPr>
                <w:rFonts w:ascii="Arial" w:hAnsi="Arial" w:cs="Arial"/>
                <w:i/>
                <w:iCs/>
                <w:sz w:val="20"/>
                <w:szCs w:val="20"/>
              </w:rPr>
              <w:t>Metarhizium anisopliae</w:t>
            </w:r>
          </w:p>
        </w:tc>
        <w:tc>
          <w:tcPr>
            <w:tcW w:w="723" w:type="pct"/>
            <w:hideMark/>
          </w:tcPr>
          <w:p w14:paraId="441A6969"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Target specificity; low mammalian toxicity; biodegradable</w:t>
            </w:r>
          </w:p>
        </w:tc>
        <w:tc>
          <w:tcPr>
            <w:tcW w:w="704" w:type="pct"/>
            <w:hideMark/>
          </w:tcPr>
          <w:p w14:paraId="444ABAAF"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Variable field efficacy; short shelf life; narrow spectrum; higher cost</w:t>
            </w:r>
          </w:p>
        </w:tc>
        <w:tc>
          <w:tcPr>
            <w:tcW w:w="864" w:type="pct"/>
            <w:hideMark/>
          </w:tcPr>
          <w:p w14:paraId="01E8A7BD"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Minimal; potential non-target effects on related species</w:t>
            </w:r>
          </w:p>
        </w:tc>
        <w:tc>
          <w:tcPr>
            <w:tcW w:w="643" w:type="pct"/>
            <w:hideMark/>
          </w:tcPr>
          <w:p w14:paraId="5577C12B"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Ahmed et al., 2023; Shaili et al., 2025</w:t>
            </w:r>
          </w:p>
        </w:tc>
      </w:tr>
      <w:tr w:rsidR="003E5501" w:rsidRPr="003E5501" w14:paraId="0CE178CE" w14:textId="77777777" w:rsidTr="007D53AA">
        <w:tc>
          <w:tcPr>
            <w:tcW w:w="884" w:type="pct"/>
            <w:hideMark/>
          </w:tcPr>
          <w:p w14:paraId="558F13F5"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b/>
                <w:bCs/>
                <w:sz w:val="20"/>
                <w:szCs w:val="20"/>
              </w:rPr>
              <w:t>Botanical Pesticides</w:t>
            </w:r>
          </w:p>
        </w:tc>
        <w:tc>
          <w:tcPr>
            <w:tcW w:w="1181" w:type="pct"/>
            <w:hideMark/>
          </w:tcPr>
          <w:p w14:paraId="6CFD8D1F" w14:textId="77777777" w:rsidR="003E5501" w:rsidRPr="00141945" w:rsidRDefault="003E5501" w:rsidP="00C04C25">
            <w:pPr>
              <w:spacing w:after="160" w:line="278" w:lineRule="auto"/>
              <w:jc w:val="both"/>
              <w:rPr>
                <w:rFonts w:ascii="Arial" w:hAnsi="Arial" w:cs="Arial"/>
                <w:i/>
                <w:iCs/>
                <w:sz w:val="20"/>
                <w:szCs w:val="20"/>
              </w:rPr>
            </w:pPr>
            <w:r w:rsidRPr="00141945">
              <w:rPr>
                <w:rFonts w:ascii="Arial" w:hAnsi="Arial" w:cs="Arial"/>
                <w:i/>
                <w:iCs/>
                <w:sz w:val="20"/>
                <w:szCs w:val="20"/>
              </w:rPr>
              <w:t>Neem, pyrethrum, rotenone, essential oils</w:t>
            </w:r>
          </w:p>
        </w:tc>
        <w:tc>
          <w:tcPr>
            <w:tcW w:w="723" w:type="pct"/>
            <w:hideMark/>
          </w:tcPr>
          <w:p w14:paraId="561BC669"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Natural origin; multiple modes of action; low persistence</w:t>
            </w:r>
          </w:p>
        </w:tc>
        <w:tc>
          <w:tcPr>
            <w:tcW w:w="704" w:type="pct"/>
            <w:hideMark/>
          </w:tcPr>
          <w:p w14:paraId="02979692"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Rapid degradation; inconsistent quality; variable efficacy; limited availability</w:t>
            </w:r>
          </w:p>
        </w:tc>
        <w:tc>
          <w:tcPr>
            <w:tcW w:w="864" w:type="pct"/>
            <w:hideMark/>
          </w:tcPr>
          <w:p w14:paraId="0C780C26"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Generally low; some aquatic toxicity</w:t>
            </w:r>
          </w:p>
        </w:tc>
        <w:tc>
          <w:tcPr>
            <w:tcW w:w="643" w:type="pct"/>
            <w:hideMark/>
          </w:tcPr>
          <w:p w14:paraId="7476CE9E"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Ahmed et al., 2023</w:t>
            </w:r>
          </w:p>
        </w:tc>
      </w:tr>
      <w:tr w:rsidR="003E5501" w:rsidRPr="003E5501" w14:paraId="51C63CBE" w14:textId="77777777" w:rsidTr="007D53AA">
        <w:tc>
          <w:tcPr>
            <w:tcW w:w="884" w:type="pct"/>
            <w:hideMark/>
          </w:tcPr>
          <w:p w14:paraId="40E4334E"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b/>
                <w:bCs/>
                <w:sz w:val="20"/>
                <w:szCs w:val="20"/>
              </w:rPr>
              <w:t>Biological Control</w:t>
            </w:r>
          </w:p>
        </w:tc>
        <w:tc>
          <w:tcPr>
            <w:tcW w:w="1181" w:type="pct"/>
            <w:hideMark/>
          </w:tcPr>
          <w:p w14:paraId="0D910138" w14:textId="77777777" w:rsidR="003E5501" w:rsidRPr="00141945" w:rsidRDefault="003E5501" w:rsidP="00C04C25">
            <w:pPr>
              <w:spacing w:after="160" w:line="278" w:lineRule="auto"/>
              <w:jc w:val="both"/>
              <w:rPr>
                <w:rFonts w:ascii="Arial" w:hAnsi="Arial" w:cs="Arial"/>
                <w:i/>
                <w:iCs/>
                <w:sz w:val="20"/>
                <w:szCs w:val="20"/>
              </w:rPr>
            </w:pPr>
            <w:r w:rsidRPr="00141945">
              <w:rPr>
                <w:rFonts w:ascii="Arial" w:hAnsi="Arial" w:cs="Arial"/>
                <w:i/>
                <w:iCs/>
                <w:sz w:val="20"/>
                <w:szCs w:val="20"/>
              </w:rPr>
              <w:t>Predators, parasitoids, antagonistic microorganisms</w:t>
            </w:r>
          </w:p>
        </w:tc>
        <w:tc>
          <w:tcPr>
            <w:tcW w:w="723" w:type="pct"/>
            <w:hideMark/>
          </w:tcPr>
          <w:p w14:paraId="0EE87892"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Self-sustaining; no residues; compatible with IPM</w:t>
            </w:r>
          </w:p>
        </w:tc>
        <w:tc>
          <w:tcPr>
            <w:tcW w:w="704" w:type="pct"/>
            <w:hideMark/>
          </w:tcPr>
          <w:p w14:paraId="07662780"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Slow action; establishment challenges; climate-dependent; expensive production</w:t>
            </w:r>
          </w:p>
        </w:tc>
        <w:tc>
          <w:tcPr>
            <w:tcW w:w="864" w:type="pct"/>
            <w:hideMark/>
          </w:tcPr>
          <w:p w14:paraId="7505FE49"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Minimal; risk of non-target effects</w:t>
            </w:r>
          </w:p>
        </w:tc>
        <w:tc>
          <w:tcPr>
            <w:tcW w:w="643" w:type="pct"/>
            <w:hideMark/>
          </w:tcPr>
          <w:p w14:paraId="01F93DD8" w14:textId="77777777" w:rsidR="003E5501" w:rsidRPr="003E5501" w:rsidRDefault="003E5501" w:rsidP="00C04C25">
            <w:pPr>
              <w:spacing w:after="160" w:line="278" w:lineRule="auto"/>
              <w:jc w:val="both"/>
              <w:rPr>
                <w:rFonts w:ascii="Arial" w:hAnsi="Arial" w:cs="Arial"/>
                <w:sz w:val="20"/>
                <w:szCs w:val="20"/>
              </w:rPr>
            </w:pPr>
            <w:r w:rsidRPr="003E5501">
              <w:rPr>
                <w:rFonts w:ascii="Arial" w:hAnsi="Arial" w:cs="Arial"/>
                <w:sz w:val="20"/>
                <w:szCs w:val="20"/>
              </w:rPr>
              <w:t>Shaili et al., 2025</w:t>
            </w:r>
          </w:p>
        </w:tc>
      </w:tr>
    </w:tbl>
    <w:p w14:paraId="3D15247C" w14:textId="77777777" w:rsidR="003E5501" w:rsidRPr="003E5501" w:rsidRDefault="003E5501" w:rsidP="003E5501">
      <w:pPr>
        <w:jc w:val="both"/>
        <w:rPr>
          <w:rFonts w:ascii="Arial" w:hAnsi="Arial" w:cs="Arial"/>
        </w:rPr>
      </w:pPr>
    </w:p>
    <w:p w14:paraId="6F258342" w14:textId="77777777" w:rsidR="003E5501" w:rsidRDefault="003E5501" w:rsidP="003E5501">
      <w:pPr>
        <w:jc w:val="both"/>
        <w:rPr>
          <w:rFonts w:ascii="Arial" w:hAnsi="Arial" w:cs="Arial"/>
        </w:rPr>
      </w:pPr>
    </w:p>
    <w:p w14:paraId="225C8CBC" w14:textId="77777777" w:rsidR="0084071C" w:rsidRDefault="0084071C" w:rsidP="003E5501">
      <w:pPr>
        <w:pStyle w:val="Body"/>
        <w:rPr>
          <w:rFonts w:ascii="Arial" w:hAnsi="Arial" w:cs="Arial"/>
          <w:i/>
          <w:iCs/>
        </w:rPr>
      </w:pPr>
    </w:p>
    <w:p w14:paraId="58E46717" w14:textId="4B51F623" w:rsidR="003E5501" w:rsidRPr="0084071C" w:rsidRDefault="003E5501" w:rsidP="003E5501">
      <w:pPr>
        <w:pStyle w:val="Body"/>
        <w:rPr>
          <w:rFonts w:ascii="Arial" w:hAnsi="Arial" w:cs="Arial"/>
          <w:b/>
          <w:bCs/>
          <w:sz w:val="22"/>
          <w:szCs w:val="22"/>
        </w:rPr>
      </w:pPr>
      <w:r w:rsidRPr="0084071C">
        <w:rPr>
          <w:rFonts w:ascii="Arial" w:hAnsi="Arial" w:cs="Arial"/>
          <w:b/>
          <w:bCs/>
          <w:sz w:val="22"/>
          <w:szCs w:val="22"/>
        </w:rPr>
        <w:t>1.4 Nanotechnology as a Transformative Approach in Agriculture</w:t>
      </w:r>
    </w:p>
    <w:p w14:paraId="344760A7" w14:textId="44756BDA" w:rsidR="003E5501" w:rsidRPr="0084071C" w:rsidRDefault="003E5501" w:rsidP="0084071C">
      <w:pPr>
        <w:pStyle w:val="Body"/>
        <w:rPr>
          <w:rFonts w:ascii="Arial" w:hAnsi="Arial" w:cs="Arial"/>
          <w:i/>
          <w:iCs/>
        </w:rPr>
      </w:pPr>
      <w:r w:rsidRPr="003E5501">
        <w:rPr>
          <w:rFonts w:ascii="Arial" w:hAnsi="Arial" w:cs="Arial"/>
        </w:rPr>
        <w:t xml:space="preserve">Nanotechnology represents an increasingly recognized frontier in agricultural innovation, offering transformative solutions to persistent challenges in crop protection and productivity enhancement. Nano-enabled technologies—including </w:t>
      </w:r>
      <w:proofErr w:type="spellStart"/>
      <w:r w:rsidRPr="003E5501">
        <w:rPr>
          <w:rFonts w:ascii="Arial" w:hAnsi="Arial" w:cs="Arial"/>
        </w:rPr>
        <w:t>nanopesticides</w:t>
      </w:r>
      <w:proofErr w:type="spellEnd"/>
      <w:r w:rsidRPr="003E5501">
        <w:rPr>
          <w:rFonts w:ascii="Arial" w:hAnsi="Arial" w:cs="Arial"/>
        </w:rPr>
        <w:t xml:space="preserve">, </w:t>
      </w:r>
      <w:proofErr w:type="spellStart"/>
      <w:r w:rsidRPr="003E5501">
        <w:rPr>
          <w:rFonts w:ascii="Arial" w:hAnsi="Arial" w:cs="Arial"/>
        </w:rPr>
        <w:t>nanofungicides</w:t>
      </w:r>
      <w:proofErr w:type="spellEnd"/>
      <w:r w:rsidRPr="003E5501">
        <w:rPr>
          <w:rFonts w:ascii="Arial" w:hAnsi="Arial" w:cs="Arial"/>
        </w:rPr>
        <w:t xml:space="preserve">, nanocarriers for bioactive compounds, and RNA-loaded nanoparticle delivery systems—provide opportunities for precision targeting of pests and pathogens, reduced environmental impact, and improved crop resilience (Nivethitha et al., 2024; Rajan &amp; Mathew, 2025). </w:t>
      </w:r>
      <w:proofErr w:type="spellStart"/>
      <w:r w:rsidRPr="003E5501">
        <w:rPr>
          <w:rFonts w:ascii="Arial" w:hAnsi="Arial" w:cs="Arial"/>
        </w:rPr>
        <w:t>Nanopesticides</w:t>
      </w:r>
      <w:proofErr w:type="spellEnd"/>
      <w:r w:rsidRPr="003E5501">
        <w:rPr>
          <w:rFonts w:ascii="Arial" w:hAnsi="Arial" w:cs="Arial"/>
        </w:rPr>
        <w:t xml:space="preserve"> can be engineered for controlled and sustained release of active ingredients, thereby minimizing application frequency, reducing total chemical load, and limiting environmental runoff (Ojo et al., 2024). RNA-loaded nanocarriers enable site-specific gene silencing through RNA interference (RNAi) mechanisms, offering novel strategies for enhancing pest resistance, disease tolerance, and abiotic stress resilience (Awasthi et al., 2025; </w:t>
      </w:r>
      <w:proofErr w:type="spellStart"/>
      <w:r w:rsidRPr="003E5501">
        <w:rPr>
          <w:rFonts w:ascii="Arial" w:hAnsi="Arial" w:cs="Arial"/>
        </w:rPr>
        <w:t>Kansotia</w:t>
      </w:r>
      <w:proofErr w:type="spellEnd"/>
      <w:r w:rsidRPr="003E5501">
        <w:rPr>
          <w:rFonts w:ascii="Arial" w:hAnsi="Arial" w:cs="Arial"/>
        </w:rPr>
        <w:t xml:space="preserve"> et al., 2024). The application of nanotechnology-based solutions is particularly justified in rice production systems, given the crop's global significance, heightened vulnerability to biotic stresses, and the limitations of conventional management approaches (</w:t>
      </w:r>
      <w:proofErr w:type="spellStart"/>
      <w:r w:rsidRPr="003E5501">
        <w:rPr>
          <w:rFonts w:ascii="Arial" w:hAnsi="Arial" w:cs="Arial"/>
        </w:rPr>
        <w:t>Periakaruppan</w:t>
      </w:r>
      <w:proofErr w:type="spellEnd"/>
      <w:r w:rsidRPr="003E5501">
        <w:rPr>
          <w:rFonts w:ascii="Arial" w:hAnsi="Arial" w:cs="Arial"/>
        </w:rPr>
        <w:t xml:space="preserve"> et al., 2023; Indira et al., 2021). Beyond stabilizing yields, nano-enabled approaches may substantially reduce dependency on conventional chemical pesticides and fertilizers, contributing to environmental sustainability, enhancing farmer safety, and lowering long-term production costs (Mohapatra et al., 2024; Rathore et al., 2024).</w:t>
      </w:r>
    </w:p>
    <w:p w14:paraId="431A1951" w14:textId="74A38349" w:rsidR="003E5501" w:rsidRDefault="003E5501" w:rsidP="007D53AA">
      <w:pPr>
        <w:pStyle w:val="Body"/>
        <w:spacing w:after="0"/>
        <w:jc w:val="center"/>
        <w:rPr>
          <w:rFonts w:ascii="Arial" w:hAnsi="Arial" w:cs="Arial"/>
        </w:rPr>
      </w:pPr>
      <w:r>
        <w:rPr>
          <w:rFonts w:ascii="Times New Roman" w:hAnsi="Times New Roman"/>
          <w:b/>
          <w:bCs/>
          <w:noProof/>
        </w:rPr>
        <w:lastRenderedPageBreak/>
        <w:drawing>
          <wp:inline distT="0" distB="0" distL="0" distR="0" wp14:anchorId="3FF090CA" wp14:editId="257CDE14">
            <wp:extent cx="5212080" cy="3414389"/>
            <wp:effectExtent l="0" t="0" r="0" b="0"/>
            <wp:docPr id="1470976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76771" name="Picture 1470976771"/>
                    <pic:cNvPicPr/>
                  </pic:nvPicPr>
                  <pic:blipFill rotWithShape="1">
                    <a:blip r:embed="rId9" cstate="print">
                      <a:extLst>
                        <a:ext uri="{28A0092B-C50C-407E-A947-70E740481C1C}">
                          <a14:useLocalDpi xmlns:a14="http://schemas.microsoft.com/office/drawing/2010/main" val="0"/>
                        </a:ext>
                      </a:extLst>
                    </a:blip>
                    <a:srcRect t="4487"/>
                    <a:stretch>
                      <a:fillRect/>
                    </a:stretch>
                  </pic:blipFill>
                  <pic:spPr bwMode="auto">
                    <a:xfrm>
                      <a:off x="0" y="0"/>
                      <a:ext cx="5212080" cy="3414389"/>
                    </a:xfrm>
                    <a:prstGeom prst="rect">
                      <a:avLst/>
                    </a:prstGeom>
                    <a:ln>
                      <a:noFill/>
                    </a:ln>
                    <a:extLst>
                      <a:ext uri="{53640926-AAD7-44D8-BBD7-CCE9431645EC}">
                        <a14:shadowObscured xmlns:a14="http://schemas.microsoft.com/office/drawing/2010/main"/>
                      </a:ext>
                    </a:extLst>
                  </pic:spPr>
                </pic:pic>
              </a:graphicData>
            </a:graphic>
          </wp:inline>
        </w:drawing>
      </w:r>
    </w:p>
    <w:p w14:paraId="6CE0C26A" w14:textId="77777777" w:rsidR="003E5501" w:rsidRDefault="003E5501" w:rsidP="003E5501">
      <w:pPr>
        <w:pStyle w:val="Body"/>
        <w:spacing w:after="0"/>
        <w:rPr>
          <w:rFonts w:ascii="Arial" w:hAnsi="Arial" w:cs="Arial"/>
        </w:rPr>
      </w:pPr>
    </w:p>
    <w:p w14:paraId="7FEC9993" w14:textId="77777777" w:rsidR="003E5501" w:rsidRDefault="003E5501" w:rsidP="003E5501">
      <w:pP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3E5501">
        <w:rPr>
          <w:rFonts w:ascii="Arial" w:hAnsi="Arial" w:cs="Arial"/>
          <w:b/>
          <w:bCs/>
          <w:szCs w:val="22"/>
        </w:rPr>
        <w:t xml:space="preserve">Conceptual framework illustrating the role of nanotechnology in addressing challenges in rice pest and disease management. </w:t>
      </w:r>
    </w:p>
    <w:p w14:paraId="2A08F3A6" w14:textId="54A603CC" w:rsidR="003E5501" w:rsidRPr="003E5501" w:rsidRDefault="003E5501" w:rsidP="003E5501">
      <w:pPr>
        <w:rPr>
          <w:rFonts w:ascii="Arial" w:hAnsi="Arial" w:cs="Arial"/>
          <w:i/>
          <w:iCs/>
          <w:szCs w:val="22"/>
        </w:rPr>
      </w:pPr>
      <w:r w:rsidRPr="003E5501">
        <w:rPr>
          <w:rFonts w:ascii="Arial" w:hAnsi="Arial" w:cs="Arial"/>
          <w:i/>
          <w:iCs/>
          <w:szCs w:val="22"/>
        </w:rPr>
        <w:t xml:space="preserve">The figure should show: </w:t>
      </w:r>
      <w:r w:rsidRPr="003E5501">
        <w:rPr>
          <w:rFonts w:ascii="Arial" w:hAnsi="Arial" w:cs="Arial"/>
          <w:b/>
          <w:bCs/>
          <w:i/>
          <w:iCs/>
          <w:szCs w:val="22"/>
        </w:rPr>
        <w:t>(A)</w:t>
      </w:r>
      <w:r w:rsidRPr="003E5501">
        <w:rPr>
          <w:rFonts w:ascii="Arial" w:hAnsi="Arial" w:cs="Arial"/>
          <w:i/>
          <w:iCs/>
          <w:szCs w:val="22"/>
        </w:rPr>
        <w:t xml:space="preserve"> Traditional pest management challenges (resistance, environmental contamination, non-target effects), </w:t>
      </w:r>
      <w:r w:rsidRPr="003E5501">
        <w:rPr>
          <w:rFonts w:ascii="Arial" w:hAnsi="Arial" w:cs="Arial"/>
          <w:b/>
          <w:bCs/>
          <w:i/>
          <w:iCs/>
          <w:szCs w:val="22"/>
        </w:rPr>
        <w:t>(B)</w:t>
      </w:r>
      <w:r w:rsidRPr="003E5501">
        <w:rPr>
          <w:rFonts w:ascii="Arial" w:hAnsi="Arial" w:cs="Arial"/>
          <w:i/>
          <w:iCs/>
          <w:szCs w:val="22"/>
        </w:rPr>
        <w:t xml:space="preserve"> Nanotechnology solutions (</w:t>
      </w:r>
      <w:proofErr w:type="spellStart"/>
      <w:r w:rsidRPr="003E5501">
        <w:rPr>
          <w:rFonts w:ascii="Arial" w:hAnsi="Arial" w:cs="Arial"/>
          <w:i/>
          <w:iCs/>
          <w:szCs w:val="22"/>
        </w:rPr>
        <w:t>nanopesticides</w:t>
      </w:r>
      <w:proofErr w:type="spellEnd"/>
      <w:r w:rsidRPr="003E5501">
        <w:rPr>
          <w:rFonts w:ascii="Arial" w:hAnsi="Arial" w:cs="Arial"/>
          <w:i/>
          <w:iCs/>
          <w:szCs w:val="22"/>
        </w:rPr>
        <w:t xml:space="preserve">, </w:t>
      </w:r>
      <w:proofErr w:type="spellStart"/>
      <w:r w:rsidRPr="003E5501">
        <w:rPr>
          <w:rFonts w:ascii="Arial" w:hAnsi="Arial" w:cs="Arial"/>
          <w:i/>
          <w:iCs/>
          <w:szCs w:val="22"/>
        </w:rPr>
        <w:t>nanofungicides</w:t>
      </w:r>
      <w:proofErr w:type="spellEnd"/>
      <w:r w:rsidRPr="003E5501">
        <w:rPr>
          <w:rFonts w:ascii="Arial" w:hAnsi="Arial" w:cs="Arial"/>
          <w:i/>
          <w:iCs/>
          <w:szCs w:val="22"/>
        </w:rPr>
        <w:t xml:space="preserve">, nanocarriers), </w:t>
      </w:r>
      <w:r w:rsidRPr="003F761E">
        <w:rPr>
          <w:rFonts w:ascii="Arial" w:hAnsi="Arial" w:cs="Arial"/>
          <w:b/>
          <w:bCs/>
          <w:i/>
          <w:iCs/>
          <w:szCs w:val="22"/>
        </w:rPr>
        <w:t>(C)</w:t>
      </w:r>
      <w:r w:rsidRPr="003E5501">
        <w:rPr>
          <w:rFonts w:ascii="Arial" w:hAnsi="Arial" w:cs="Arial"/>
          <w:i/>
          <w:iCs/>
          <w:szCs w:val="22"/>
        </w:rPr>
        <w:t xml:space="preserve"> Advantages over conventional approaches (controlled release, targeted delivery, reduced environmental impact), and </w:t>
      </w:r>
      <w:r w:rsidRPr="003F761E">
        <w:rPr>
          <w:rFonts w:ascii="Arial" w:hAnsi="Arial" w:cs="Arial"/>
          <w:b/>
          <w:bCs/>
          <w:i/>
          <w:iCs/>
          <w:szCs w:val="22"/>
        </w:rPr>
        <w:t>(D)</w:t>
      </w:r>
      <w:r w:rsidRPr="003E5501">
        <w:rPr>
          <w:rFonts w:ascii="Arial" w:hAnsi="Arial" w:cs="Arial"/>
          <w:i/>
          <w:iCs/>
          <w:szCs w:val="22"/>
        </w:rPr>
        <w:t xml:space="preserve"> Expected outcomes (improved efficacy, sustainability, food security).</w:t>
      </w:r>
    </w:p>
    <w:p w14:paraId="5F09513B" w14:textId="3477F861" w:rsidR="003E5501" w:rsidRDefault="003E5501" w:rsidP="003E5501">
      <w:pPr>
        <w:autoSpaceDE w:val="0"/>
        <w:autoSpaceDN w:val="0"/>
        <w:adjustRightInd w:val="0"/>
        <w:jc w:val="both"/>
        <w:rPr>
          <w:rFonts w:ascii="Arial" w:hAnsi="Arial" w:cs="Arial"/>
          <w:i/>
          <w:iCs/>
        </w:rPr>
      </w:pPr>
    </w:p>
    <w:p w14:paraId="3612DA9E" w14:textId="77777777" w:rsidR="003F761E" w:rsidRDefault="003F761E" w:rsidP="003E5501">
      <w:pPr>
        <w:autoSpaceDE w:val="0"/>
        <w:autoSpaceDN w:val="0"/>
        <w:adjustRightInd w:val="0"/>
        <w:jc w:val="both"/>
        <w:rPr>
          <w:rFonts w:ascii="Arial" w:hAnsi="Arial" w:cs="Arial"/>
          <w:i/>
          <w:iCs/>
        </w:rPr>
      </w:pPr>
    </w:p>
    <w:p w14:paraId="627EB396" w14:textId="104B44CE" w:rsidR="003F761E" w:rsidRPr="0084071C" w:rsidRDefault="003F761E" w:rsidP="003E5501">
      <w:pPr>
        <w:autoSpaceDE w:val="0"/>
        <w:autoSpaceDN w:val="0"/>
        <w:adjustRightInd w:val="0"/>
        <w:jc w:val="both"/>
        <w:rPr>
          <w:rFonts w:ascii="Arial" w:hAnsi="Arial" w:cs="Arial"/>
          <w:b/>
          <w:bCs/>
          <w:sz w:val="22"/>
          <w:szCs w:val="22"/>
        </w:rPr>
      </w:pPr>
      <w:r w:rsidRPr="0084071C">
        <w:rPr>
          <w:rFonts w:ascii="Arial" w:hAnsi="Arial" w:cs="Arial"/>
          <w:b/>
          <w:bCs/>
          <w:sz w:val="22"/>
          <w:szCs w:val="22"/>
        </w:rPr>
        <w:t>1.5 Rationale and Scope of the Review</w:t>
      </w:r>
    </w:p>
    <w:p w14:paraId="20253B53" w14:textId="77777777" w:rsidR="003F761E" w:rsidRPr="003F761E" w:rsidRDefault="003F761E" w:rsidP="003E5501">
      <w:pPr>
        <w:autoSpaceDE w:val="0"/>
        <w:autoSpaceDN w:val="0"/>
        <w:adjustRightInd w:val="0"/>
        <w:jc w:val="both"/>
        <w:rPr>
          <w:rFonts w:ascii="Arial" w:hAnsi="Arial" w:cs="Arial"/>
          <w:i/>
          <w:iCs/>
        </w:rPr>
      </w:pPr>
    </w:p>
    <w:p w14:paraId="43FDC203" w14:textId="5A564429" w:rsidR="003E5501" w:rsidRPr="003E5501" w:rsidRDefault="003F761E" w:rsidP="003E5501">
      <w:pPr>
        <w:pStyle w:val="Body"/>
        <w:spacing w:after="0"/>
        <w:rPr>
          <w:rFonts w:ascii="Arial" w:hAnsi="Arial" w:cs="Arial"/>
        </w:rPr>
      </w:pPr>
      <w:r w:rsidRPr="003F761E">
        <w:rPr>
          <w:rFonts w:ascii="Arial" w:hAnsi="Arial" w:cs="Arial"/>
        </w:rPr>
        <w:t xml:space="preserve">This review synthesizes current knowledge on nanotechnology applications for managing major pests and diseases in rice production systems. The manuscript examines the mechanisms underlying nano-enabled pest and disease control, evaluates the efficacy of different nanomaterial formulations, and critically assesses the potential benefits and challenges associated with nanotechnology adoption in rice agriculture. Specific emphasis is placed on </w:t>
      </w:r>
      <w:proofErr w:type="spellStart"/>
      <w:r w:rsidRPr="003F761E">
        <w:rPr>
          <w:rFonts w:ascii="Arial" w:hAnsi="Arial" w:cs="Arial"/>
        </w:rPr>
        <w:t>nanopesticides</w:t>
      </w:r>
      <w:proofErr w:type="spellEnd"/>
      <w:r w:rsidRPr="003F761E">
        <w:rPr>
          <w:rFonts w:ascii="Arial" w:hAnsi="Arial" w:cs="Arial"/>
        </w:rPr>
        <w:t xml:space="preserve"> for insect pest management, </w:t>
      </w:r>
      <w:proofErr w:type="spellStart"/>
      <w:r w:rsidRPr="003F761E">
        <w:rPr>
          <w:rFonts w:ascii="Arial" w:hAnsi="Arial" w:cs="Arial"/>
        </w:rPr>
        <w:t>nanofungicides</w:t>
      </w:r>
      <w:proofErr w:type="spellEnd"/>
      <w:r w:rsidRPr="003F761E">
        <w:rPr>
          <w:rFonts w:ascii="Arial" w:hAnsi="Arial" w:cs="Arial"/>
        </w:rPr>
        <w:t xml:space="preserve"> for disease control, and emerging technologies including nanocarrier-mediated delivery of RNA interference molecules. The review also addresses critical considerations including environmental safety, regulatory frameworks, economic feasibility, and knowledge gaps that must be addressed to facilitate responsible and effective implementation of nanotechnology in rice production systems.</w:t>
      </w:r>
    </w:p>
    <w:p w14:paraId="35A13763" w14:textId="77777777" w:rsidR="00D377ED" w:rsidRPr="00FB3A86" w:rsidRDefault="00D377ED" w:rsidP="00441B6F">
      <w:pPr>
        <w:pStyle w:val="Body"/>
        <w:spacing w:after="0"/>
        <w:rPr>
          <w:rFonts w:ascii="Arial" w:hAnsi="Arial" w:cs="Arial"/>
        </w:rPr>
      </w:pPr>
    </w:p>
    <w:p w14:paraId="3186CA1B" w14:textId="1B5C00CA" w:rsidR="003F761E" w:rsidRPr="003F761E" w:rsidRDefault="00902823" w:rsidP="003F761E">
      <w:pPr>
        <w:pStyle w:val="AbstHead"/>
        <w:rPr>
          <w:rFonts w:ascii="Arial" w:hAnsi="Arial" w:cs="Arial"/>
        </w:rPr>
      </w:pPr>
      <w:r>
        <w:rPr>
          <w:rFonts w:ascii="Arial" w:hAnsi="Arial" w:cs="Arial"/>
        </w:rPr>
        <w:t>2.</w:t>
      </w:r>
      <w:r w:rsidR="003F761E" w:rsidRPr="003F761E">
        <w:rPr>
          <w:rFonts w:ascii="Arial" w:hAnsi="Arial" w:cs="Arial"/>
        </w:rPr>
        <w:t xml:space="preserve"> Nanotechnology Fundamentals in Agricultural Applications</w:t>
      </w:r>
    </w:p>
    <w:p w14:paraId="18B4C4FA" w14:textId="2F277543" w:rsidR="007F7B32" w:rsidRPr="0084071C" w:rsidRDefault="003F761E" w:rsidP="003F761E">
      <w:pPr>
        <w:pStyle w:val="AbstHead"/>
        <w:spacing w:after="0"/>
        <w:jc w:val="both"/>
        <w:rPr>
          <w:rFonts w:ascii="Arial" w:hAnsi="Arial" w:cs="Arial"/>
          <w:szCs w:val="22"/>
        </w:rPr>
      </w:pPr>
      <w:r w:rsidRPr="0084071C">
        <w:rPr>
          <w:rFonts w:ascii="Arial" w:hAnsi="Arial" w:cs="Arial"/>
          <w:caps w:val="0"/>
          <w:szCs w:val="22"/>
        </w:rPr>
        <w:t xml:space="preserve">2.1 Defining Nanomaterials </w:t>
      </w:r>
      <w:proofErr w:type="gramStart"/>
      <w:r w:rsidRPr="0084071C">
        <w:rPr>
          <w:rFonts w:ascii="Arial" w:hAnsi="Arial" w:cs="Arial"/>
          <w:caps w:val="0"/>
          <w:szCs w:val="22"/>
        </w:rPr>
        <w:t>And</w:t>
      </w:r>
      <w:proofErr w:type="gramEnd"/>
      <w:r w:rsidRPr="0084071C">
        <w:rPr>
          <w:rFonts w:ascii="Arial" w:hAnsi="Arial" w:cs="Arial"/>
          <w:caps w:val="0"/>
          <w:szCs w:val="22"/>
        </w:rPr>
        <w:t xml:space="preserve"> Nanotechnology</w:t>
      </w:r>
    </w:p>
    <w:p w14:paraId="69F57991" w14:textId="77777777" w:rsidR="00790ADA" w:rsidRPr="00FB3A86" w:rsidRDefault="00790ADA" w:rsidP="00441B6F">
      <w:pPr>
        <w:pStyle w:val="AbstHead"/>
        <w:spacing w:after="0"/>
        <w:jc w:val="both"/>
        <w:rPr>
          <w:rFonts w:ascii="Arial" w:hAnsi="Arial" w:cs="Arial"/>
        </w:rPr>
      </w:pPr>
    </w:p>
    <w:p w14:paraId="5E95883A" w14:textId="77777777" w:rsidR="003F761E" w:rsidRDefault="003F761E" w:rsidP="00441B6F">
      <w:pPr>
        <w:pStyle w:val="Body"/>
        <w:spacing w:after="0"/>
        <w:rPr>
          <w:rFonts w:ascii="Arial" w:hAnsi="Arial" w:cs="Arial"/>
        </w:rPr>
      </w:pPr>
      <w:r w:rsidRPr="003F761E">
        <w:rPr>
          <w:rFonts w:ascii="Arial" w:hAnsi="Arial" w:cs="Arial"/>
        </w:rPr>
        <w:t>Nanotechnology encompasses the design, characterization, production, and application of materials, devices, and systems at the nanoscale, typically defined as dimensions between 1 and 100 nanometers (Singh et al., 2024). At this scale, materials exhibit unique physicochemical properties distinct from their bulk counterparts, including enhanced surface area-to-volume ratios, increased reactivity, improved solubility, and novel optical, electrical, and mechanical characteristics (Mohapatra et al., 2024). These distinctive properties enable nanomaterials to interact with biological systems at the molecular and cellular levels, providing unprecedented opportunities for precision agriculture applications (Rajan &amp; Mathew, 2025). In agricultural contexts, nanomaterials are engineered to improve the delivery, efficacy, and environmental profile of agrochemicals, nutrients, and bioactive compounds, while simultaneously reducing application rates and minimizing off-target effects (</w:t>
      </w:r>
      <w:proofErr w:type="spellStart"/>
      <w:r w:rsidRPr="003F761E">
        <w:rPr>
          <w:rFonts w:ascii="Arial" w:hAnsi="Arial" w:cs="Arial"/>
        </w:rPr>
        <w:t>Kariyanna</w:t>
      </w:r>
      <w:proofErr w:type="spellEnd"/>
      <w:r w:rsidRPr="003F761E">
        <w:rPr>
          <w:rFonts w:ascii="Arial" w:hAnsi="Arial" w:cs="Arial"/>
        </w:rPr>
        <w:t xml:space="preserve"> &amp; </w:t>
      </w:r>
      <w:proofErr w:type="spellStart"/>
      <w:r w:rsidRPr="003F761E">
        <w:rPr>
          <w:rFonts w:ascii="Arial" w:hAnsi="Arial" w:cs="Arial"/>
        </w:rPr>
        <w:t>Sowjanya</w:t>
      </w:r>
      <w:proofErr w:type="spellEnd"/>
      <w:r w:rsidRPr="003F761E">
        <w:rPr>
          <w:rFonts w:ascii="Arial" w:hAnsi="Arial" w:cs="Arial"/>
        </w:rPr>
        <w:t>, 2025).</w:t>
      </w:r>
    </w:p>
    <w:p w14:paraId="7DCCB504" w14:textId="77777777" w:rsidR="003F761E" w:rsidRDefault="003F761E" w:rsidP="00441B6F">
      <w:pPr>
        <w:pStyle w:val="Body"/>
        <w:spacing w:after="0"/>
        <w:rPr>
          <w:rFonts w:ascii="Arial" w:hAnsi="Arial" w:cs="Arial"/>
        </w:rPr>
      </w:pPr>
    </w:p>
    <w:p w14:paraId="7DF77434" w14:textId="10F5E37E" w:rsidR="003F761E" w:rsidRDefault="003F761E" w:rsidP="007D53AA">
      <w:pPr>
        <w:pStyle w:val="Body"/>
        <w:spacing w:after="0"/>
        <w:jc w:val="center"/>
        <w:rPr>
          <w:rFonts w:ascii="Arial" w:hAnsi="Arial" w:cs="Arial"/>
        </w:rPr>
      </w:pPr>
      <w:r>
        <w:rPr>
          <w:rFonts w:ascii="Times New Roman" w:hAnsi="Times New Roman"/>
          <w:b/>
          <w:bCs/>
          <w:noProof/>
        </w:rPr>
        <w:lastRenderedPageBreak/>
        <w:drawing>
          <wp:inline distT="0" distB="0" distL="0" distR="0" wp14:anchorId="44250BA6" wp14:editId="0D0C21E4">
            <wp:extent cx="5212080" cy="4116207"/>
            <wp:effectExtent l="0" t="0" r="0" b="0"/>
            <wp:docPr id="1421608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08485" name="Picture 1421608485"/>
                    <pic:cNvPicPr/>
                  </pic:nvPicPr>
                  <pic:blipFill rotWithShape="1">
                    <a:blip r:embed="rId10" cstate="print">
                      <a:extLst>
                        <a:ext uri="{28A0092B-C50C-407E-A947-70E740481C1C}">
                          <a14:useLocalDpi xmlns:a14="http://schemas.microsoft.com/office/drawing/2010/main" val="0"/>
                        </a:ext>
                      </a:extLst>
                    </a:blip>
                    <a:srcRect t="3435"/>
                    <a:stretch>
                      <a:fillRect/>
                    </a:stretch>
                  </pic:blipFill>
                  <pic:spPr bwMode="auto">
                    <a:xfrm>
                      <a:off x="0" y="0"/>
                      <a:ext cx="5212080" cy="4116207"/>
                    </a:xfrm>
                    <a:prstGeom prst="rect">
                      <a:avLst/>
                    </a:prstGeom>
                    <a:ln>
                      <a:noFill/>
                    </a:ln>
                    <a:extLst>
                      <a:ext uri="{53640926-AAD7-44D8-BBD7-CCE9431645EC}">
                        <a14:shadowObscured xmlns:a14="http://schemas.microsoft.com/office/drawing/2010/main"/>
                      </a:ext>
                    </a:extLst>
                  </pic:spPr>
                </pic:pic>
              </a:graphicData>
            </a:graphic>
          </wp:inline>
        </w:drawing>
      </w:r>
    </w:p>
    <w:p w14:paraId="228C52D0" w14:textId="77777777" w:rsidR="003F761E" w:rsidRDefault="003F761E" w:rsidP="003F761E">
      <w:pPr>
        <w:jc w:val="both"/>
        <w:rPr>
          <w:rFonts w:ascii="Arial" w:hAnsi="Arial" w:cs="Arial"/>
          <w:b/>
          <w:bCs/>
        </w:rPr>
      </w:pPr>
      <w:r w:rsidRPr="003F761E">
        <w:rPr>
          <w:rFonts w:ascii="Arial" w:hAnsi="Arial" w:cs="Arial"/>
          <w:b/>
          <w:bCs/>
        </w:rPr>
        <w:t>Fig</w:t>
      </w:r>
      <w:r>
        <w:rPr>
          <w:rFonts w:ascii="Arial" w:hAnsi="Arial" w:cs="Arial"/>
          <w:b/>
          <w:bCs/>
        </w:rPr>
        <w:t xml:space="preserve">. </w:t>
      </w:r>
      <w:r w:rsidRPr="003F761E">
        <w:rPr>
          <w:rFonts w:ascii="Arial" w:hAnsi="Arial" w:cs="Arial"/>
          <w:b/>
          <w:bCs/>
        </w:rPr>
        <w:t xml:space="preserve">3. Scale comparison and unique properties of nanomaterials. </w:t>
      </w:r>
    </w:p>
    <w:p w14:paraId="749F184E" w14:textId="74A6154E" w:rsidR="003F761E" w:rsidRPr="003F761E" w:rsidRDefault="003F761E" w:rsidP="003F761E">
      <w:pPr>
        <w:jc w:val="both"/>
        <w:rPr>
          <w:rFonts w:ascii="Arial" w:hAnsi="Arial" w:cs="Arial"/>
          <w:i/>
          <w:iCs/>
        </w:rPr>
      </w:pPr>
      <w:r w:rsidRPr="003F761E">
        <w:rPr>
          <w:rFonts w:ascii="Arial" w:hAnsi="Arial" w:cs="Arial"/>
          <w:i/>
          <w:iCs/>
        </w:rPr>
        <w:t xml:space="preserve">The figure should illustrate: </w:t>
      </w:r>
      <w:r w:rsidRPr="003F761E">
        <w:rPr>
          <w:rFonts w:ascii="Arial" w:hAnsi="Arial" w:cs="Arial"/>
          <w:b/>
          <w:bCs/>
          <w:i/>
          <w:iCs/>
        </w:rPr>
        <w:t>(A)</w:t>
      </w:r>
      <w:r w:rsidRPr="003F761E">
        <w:rPr>
          <w:rFonts w:ascii="Arial" w:hAnsi="Arial" w:cs="Arial"/>
          <w:i/>
          <w:iCs/>
        </w:rPr>
        <w:t xml:space="preserve"> Size scale from bulk materials (&gt;100 nm) to nanomaterials (1–100 nm) to atoms (&lt;1 nm), with common reference objects (rice grain, human hair, bacteria, virus, nanoparticle, molecule), </w:t>
      </w:r>
      <w:r w:rsidRPr="003F761E">
        <w:rPr>
          <w:rFonts w:ascii="Arial" w:hAnsi="Arial" w:cs="Arial"/>
          <w:b/>
          <w:bCs/>
          <w:i/>
          <w:iCs/>
        </w:rPr>
        <w:t xml:space="preserve">(B) </w:t>
      </w:r>
      <w:r w:rsidRPr="003F761E">
        <w:rPr>
          <w:rFonts w:ascii="Arial" w:hAnsi="Arial" w:cs="Arial"/>
          <w:i/>
          <w:iCs/>
        </w:rPr>
        <w:t xml:space="preserve">Property changes at nanoscale (increased surface area, quantum effects, enhanced reactivity), and </w:t>
      </w:r>
      <w:r w:rsidRPr="003F761E">
        <w:rPr>
          <w:rFonts w:ascii="Arial" w:hAnsi="Arial" w:cs="Arial"/>
          <w:b/>
          <w:bCs/>
          <w:i/>
          <w:iCs/>
        </w:rPr>
        <w:t>(C)</w:t>
      </w:r>
      <w:r w:rsidRPr="003F761E">
        <w:rPr>
          <w:rFonts w:ascii="Arial" w:hAnsi="Arial" w:cs="Arial"/>
          <w:i/>
          <w:iCs/>
        </w:rPr>
        <w:t xml:space="preserve"> Key physicochemical properties relevant to agriculture (size, shape, surface charge, composition, aggregation behavior).</w:t>
      </w:r>
    </w:p>
    <w:p w14:paraId="1D8191F5" w14:textId="77777777" w:rsidR="003F761E" w:rsidRDefault="003F761E" w:rsidP="00441B6F">
      <w:pPr>
        <w:pStyle w:val="Body"/>
        <w:spacing w:after="0"/>
        <w:rPr>
          <w:rFonts w:ascii="Arial" w:hAnsi="Arial" w:cs="Arial"/>
        </w:rPr>
      </w:pPr>
    </w:p>
    <w:p w14:paraId="42AF3DF6" w14:textId="77777777" w:rsidR="003F761E" w:rsidRDefault="003F761E" w:rsidP="00441B6F">
      <w:pPr>
        <w:pStyle w:val="Body"/>
        <w:spacing w:after="0"/>
        <w:rPr>
          <w:rFonts w:ascii="Arial" w:hAnsi="Arial" w:cs="Arial"/>
        </w:rPr>
      </w:pPr>
    </w:p>
    <w:p w14:paraId="469717DD" w14:textId="0B5D9ED6" w:rsidR="003F761E" w:rsidRPr="0084071C" w:rsidRDefault="003F761E" w:rsidP="00441B6F">
      <w:pPr>
        <w:pStyle w:val="Body"/>
        <w:spacing w:after="0"/>
        <w:rPr>
          <w:rFonts w:ascii="Arial" w:hAnsi="Arial" w:cs="Arial"/>
          <w:b/>
          <w:bCs/>
          <w:sz w:val="22"/>
          <w:szCs w:val="22"/>
        </w:rPr>
      </w:pPr>
      <w:r w:rsidRPr="0084071C">
        <w:rPr>
          <w:rFonts w:ascii="Arial" w:hAnsi="Arial" w:cs="Arial"/>
          <w:b/>
          <w:bCs/>
          <w:sz w:val="22"/>
          <w:szCs w:val="22"/>
        </w:rPr>
        <w:t>2.2 Types of Nanomaterials Used in Agriculture</w:t>
      </w:r>
    </w:p>
    <w:p w14:paraId="52EF4FFE" w14:textId="77777777" w:rsidR="003F761E" w:rsidRDefault="003F761E" w:rsidP="00441B6F">
      <w:pPr>
        <w:pStyle w:val="Body"/>
        <w:spacing w:after="0"/>
        <w:rPr>
          <w:rFonts w:ascii="Arial" w:hAnsi="Arial" w:cs="Arial"/>
          <w:i/>
          <w:iCs/>
        </w:rPr>
      </w:pPr>
    </w:p>
    <w:p w14:paraId="0A84D16B" w14:textId="0C73056B" w:rsidR="003F761E" w:rsidRPr="003F761E" w:rsidRDefault="003F761E" w:rsidP="003F761E">
      <w:pPr>
        <w:pStyle w:val="Body"/>
        <w:rPr>
          <w:rFonts w:ascii="Arial" w:hAnsi="Arial" w:cs="Arial"/>
        </w:rPr>
      </w:pPr>
      <w:r w:rsidRPr="003F761E">
        <w:rPr>
          <w:rFonts w:ascii="Arial" w:hAnsi="Arial" w:cs="Arial"/>
        </w:rPr>
        <w:t>Agricultural nanotechnology employs diverse classes of nanomaterials, each offering specific advantages for crop protection applications. Metal and metal oxide nanoparticles, including silver (Ag), copper (Cu), zinc oxide (</w:t>
      </w:r>
      <w:proofErr w:type="spellStart"/>
      <w:r w:rsidRPr="003F761E">
        <w:rPr>
          <w:rFonts w:ascii="Arial" w:hAnsi="Arial" w:cs="Arial"/>
        </w:rPr>
        <w:t>ZnO</w:t>
      </w:r>
      <w:proofErr w:type="spellEnd"/>
      <w:r w:rsidRPr="003F761E">
        <w:rPr>
          <w:rFonts w:ascii="Arial" w:hAnsi="Arial" w:cs="Arial"/>
        </w:rPr>
        <w:t>), titanium dioxide (</w:t>
      </w:r>
      <w:proofErr w:type="spellStart"/>
      <w:r w:rsidRPr="003F761E">
        <w:rPr>
          <w:rFonts w:ascii="Arial" w:hAnsi="Arial" w:cs="Arial"/>
        </w:rPr>
        <w:t>TiO</w:t>
      </w:r>
      <w:proofErr w:type="spellEnd"/>
      <w:r w:rsidRPr="003F761E">
        <w:rPr>
          <w:rFonts w:ascii="Cambria Math" w:hAnsi="Cambria Math" w:cs="Cambria Math"/>
        </w:rPr>
        <w:t>₂</w:t>
      </w:r>
      <w:r w:rsidRPr="003F761E">
        <w:rPr>
          <w:rFonts w:ascii="Arial" w:hAnsi="Arial" w:cs="Arial"/>
        </w:rPr>
        <w:t>), and iron oxide (</w:t>
      </w:r>
      <w:proofErr w:type="spellStart"/>
      <w:r w:rsidRPr="003F761E">
        <w:rPr>
          <w:rFonts w:ascii="Arial" w:hAnsi="Arial" w:cs="Arial"/>
        </w:rPr>
        <w:t>Fe</w:t>
      </w:r>
      <w:r w:rsidRPr="003F761E">
        <w:rPr>
          <w:rFonts w:ascii="Cambria Math" w:hAnsi="Cambria Math" w:cs="Cambria Math"/>
        </w:rPr>
        <w:t>₂</w:t>
      </w:r>
      <w:r w:rsidRPr="003F761E">
        <w:rPr>
          <w:rFonts w:ascii="Arial" w:hAnsi="Arial" w:cs="Arial"/>
        </w:rPr>
        <w:t>O</w:t>
      </w:r>
      <w:proofErr w:type="spellEnd"/>
      <w:r w:rsidRPr="003F761E">
        <w:rPr>
          <w:rFonts w:ascii="Cambria Math" w:hAnsi="Cambria Math" w:cs="Cambria Math"/>
        </w:rPr>
        <w:t>₃</w:t>
      </w:r>
      <w:r w:rsidRPr="003F761E">
        <w:rPr>
          <w:rFonts w:ascii="Arial" w:hAnsi="Arial" w:cs="Arial"/>
        </w:rPr>
        <w:t xml:space="preserve">), demonstrate broad-spectrum antimicrobial activity and are extensively investigated for disease management (Noman et al., 2023; Chen et al., 2025). Carbon-based nanomaterials such as carbon nanotubes, graphene, and fullerenes exhibit high surface area, mechanical strength, and the capacity to serve as carriers for pesticides and genetic material (Mohapatra et al., 2024). Polymeric nanoparticles, synthesized from natural or synthetic polymers including chitosan, alginate, and polylactic-co-glycolic acid (PLGA), offer biodegradability, biocompatibility, and tunable release characteristics suitable for controlled delivery of agrochemicals (Rathore et al., 2024). Lipid-based nanocarriers, including liposomes and solid lipid nanoparticles, provide protection for labile bioactive compounds and facilitate cellular uptake through membrane fusion mechanisms (Singh et al., 2024). Mesoporous silica nanoparticles feature high porosity, large surface area, and </w:t>
      </w:r>
      <w:proofErr w:type="spellStart"/>
      <w:r w:rsidRPr="003F761E">
        <w:rPr>
          <w:rFonts w:ascii="Arial" w:hAnsi="Arial" w:cs="Arial"/>
        </w:rPr>
        <w:t>functionalizable</w:t>
      </w:r>
      <w:proofErr w:type="spellEnd"/>
      <w:r w:rsidRPr="003F761E">
        <w:rPr>
          <w:rFonts w:ascii="Arial" w:hAnsi="Arial" w:cs="Arial"/>
        </w:rPr>
        <w:t xml:space="preserve"> surfaces that enable loading of multiple active ingredients and stimuli-responsive release triggered by environmental factors such as pH, temperature, or enzymatic activity (Zhao et al., 2024). Table 3 provides a comprehensive classification of nanomaterials used in agricultural pest and disease management.</w:t>
      </w:r>
    </w:p>
    <w:p w14:paraId="2462AF0B" w14:textId="77777777" w:rsidR="003F761E" w:rsidRPr="003F761E" w:rsidRDefault="003F761E" w:rsidP="003F761E">
      <w:pPr>
        <w:pStyle w:val="Body"/>
        <w:rPr>
          <w:rFonts w:ascii="Arial" w:hAnsi="Arial" w:cs="Arial"/>
        </w:rPr>
      </w:pPr>
      <w:r w:rsidRPr="003F761E">
        <w:rPr>
          <w:rFonts w:ascii="Arial" w:hAnsi="Arial" w:cs="Arial"/>
        </w:rPr>
        <w:t>Table 3. Classification and Properties of Nanomaterials for Agricultural Applications</w:t>
      </w:r>
    </w:p>
    <w:p w14:paraId="711F9EA7" w14:textId="6A173C0A" w:rsidR="003F761E" w:rsidRPr="001B1044" w:rsidRDefault="003F761E" w:rsidP="003F761E">
      <w:pPr>
        <w:jc w:val="both"/>
        <w:rPr>
          <w:rFonts w:ascii="Times New Roman" w:hAnsi="Times New Roman"/>
        </w:rPr>
      </w:pPr>
    </w:p>
    <w:tbl>
      <w:tblPr>
        <w:tblStyle w:val="TableGrid"/>
        <w:tblW w:w="5563" w:type="pct"/>
        <w:tblInd w:w="-60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95"/>
        <w:gridCol w:w="1573"/>
        <w:gridCol w:w="1183"/>
        <w:gridCol w:w="1695"/>
        <w:gridCol w:w="1418"/>
        <w:gridCol w:w="1695"/>
        <w:gridCol w:w="1562"/>
        <w:gridCol w:w="1295"/>
      </w:tblGrid>
      <w:tr w:rsidR="003F761E" w:rsidRPr="00141945" w14:paraId="5CABE8F5" w14:textId="77777777" w:rsidTr="00141945">
        <w:trPr>
          <w:trHeight w:val="600"/>
        </w:trPr>
        <w:tc>
          <w:tcPr>
            <w:tcW w:w="664" w:type="pct"/>
            <w:tcBorders>
              <w:top w:val="single" w:sz="4" w:space="0" w:color="auto"/>
              <w:bottom w:val="single" w:sz="4" w:space="0" w:color="auto"/>
            </w:tcBorders>
            <w:hideMark/>
          </w:tcPr>
          <w:p w14:paraId="6516539E" w14:textId="77777777" w:rsidR="003F761E" w:rsidRPr="00141945" w:rsidRDefault="003F761E" w:rsidP="00C04C25">
            <w:pPr>
              <w:spacing w:after="160" w:line="278" w:lineRule="auto"/>
              <w:jc w:val="center"/>
              <w:rPr>
                <w:rFonts w:ascii="Arial" w:hAnsi="Arial" w:cs="Arial"/>
                <w:b/>
                <w:bCs/>
                <w:sz w:val="20"/>
                <w:szCs w:val="20"/>
              </w:rPr>
            </w:pPr>
            <w:r w:rsidRPr="00141945">
              <w:rPr>
                <w:rFonts w:ascii="Arial" w:hAnsi="Arial" w:cs="Arial"/>
                <w:b/>
                <w:bCs/>
                <w:sz w:val="20"/>
                <w:szCs w:val="20"/>
              </w:rPr>
              <w:t>Nanomaterial Type</w:t>
            </w:r>
          </w:p>
        </w:tc>
        <w:tc>
          <w:tcPr>
            <w:tcW w:w="655" w:type="pct"/>
            <w:tcBorders>
              <w:top w:val="single" w:sz="4" w:space="0" w:color="auto"/>
              <w:bottom w:val="single" w:sz="4" w:space="0" w:color="auto"/>
            </w:tcBorders>
            <w:hideMark/>
          </w:tcPr>
          <w:p w14:paraId="2492CFCF" w14:textId="77777777" w:rsidR="003F761E" w:rsidRPr="00141945" w:rsidRDefault="003F761E" w:rsidP="00C04C25">
            <w:pPr>
              <w:spacing w:after="160" w:line="278" w:lineRule="auto"/>
              <w:jc w:val="center"/>
              <w:rPr>
                <w:rFonts w:ascii="Arial" w:hAnsi="Arial" w:cs="Arial"/>
                <w:b/>
                <w:bCs/>
                <w:sz w:val="20"/>
                <w:szCs w:val="20"/>
              </w:rPr>
            </w:pPr>
            <w:r w:rsidRPr="00141945">
              <w:rPr>
                <w:rFonts w:ascii="Arial" w:hAnsi="Arial" w:cs="Arial"/>
                <w:b/>
                <w:bCs/>
                <w:sz w:val="20"/>
                <w:szCs w:val="20"/>
              </w:rPr>
              <w:t>Examples</w:t>
            </w:r>
          </w:p>
        </w:tc>
        <w:tc>
          <w:tcPr>
            <w:tcW w:w="492" w:type="pct"/>
            <w:tcBorders>
              <w:top w:val="single" w:sz="4" w:space="0" w:color="auto"/>
              <w:bottom w:val="single" w:sz="4" w:space="0" w:color="auto"/>
            </w:tcBorders>
            <w:hideMark/>
          </w:tcPr>
          <w:p w14:paraId="2F3AF1E5" w14:textId="77777777" w:rsidR="003F761E" w:rsidRPr="00141945" w:rsidRDefault="003F761E" w:rsidP="00C04C25">
            <w:pPr>
              <w:spacing w:after="160" w:line="278" w:lineRule="auto"/>
              <w:jc w:val="center"/>
              <w:rPr>
                <w:rFonts w:ascii="Arial" w:hAnsi="Arial" w:cs="Arial"/>
                <w:b/>
                <w:bCs/>
                <w:sz w:val="20"/>
                <w:szCs w:val="20"/>
              </w:rPr>
            </w:pPr>
            <w:r w:rsidRPr="00141945">
              <w:rPr>
                <w:rFonts w:ascii="Arial" w:hAnsi="Arial" w:cs="Arial"/>
                <w:b/>
                <w:bCs/>
                <w:sz w:val="20"/>
                <w:szCs w:val="20"/>
              </w:rPr>
              <w:t>Size Range (nm)</w:t>
            </w:r>
          </w:p>
        </w:tc>
        <w:tc>
          <w:tcPr>
            <w:tcW w:w="705" w:type="pct"/>
            <w:tcBorders>
              <w:top w:val="single" w:sz="4" w:space="0" w:color="auto"/>
              <w:bottom w:val="single" w:sz="4" w:space="0" w:color="auto"/>
            </w:tcBorders>
            <w:hideMark/>
          </w:tcPr>
          <w:p w14:paraId="035EB2CA" w14:textId="77777777" w:rsidR="003F761E" w:rsidRPr="00141945" w:rsidRDefault="003F761E" w:rsidP="00C04C25">
            <w:pPr>
              <w:spacing w:after="160" w:line="278" w:lineRule="auto"/>
              <w:jc w:val="center"/>
              <w:rPr>
                <w:rFonts w:ascii="Arial" w:hAnsi="Arial" w:cs="Arial"/>
                <w:b/>
                <w:bCs/>
                <w:sz w:val="20"/>
                <w:szCs w:val="20"/>
              </w:rPr>
            </w:pPr>
            <w:r w:rsidRPr="00141945">
              <w:rPr>
                <w:rFonts w:ascii="Arial" w:hAnsi="Arial" w:cs="Arial"/>
                <w:b/>
                <w:bCs/>
                <w:sz w:val="20"/>
                <w:szCs w:val="20"/>
              </w:rPr>
              <w:t>Key Properties</w:t>
            </w:r>
          </w:p>
        </w:tc>
        <w:tc>
          <w:tcPr>
            <w:tcW w:w="590" w:type="pct"/>
            <w:tcBorders>
              <w:top w:val="single" w:sz="4" w:space="0" w:color="auto"/>
              <w:bottom w:val="single" w:sz="4" w:space="0" w:color="auto"/>
            </w:tcBorders>
            <w:hideMark/>
          </w:tcPr>
          <w:p w14:paraId="62FDA5A1" w14:textId="77777777" w:rsidR="003F761E" w:rsidRPr="00141945" w:rsidRDefault="003F761E" w:rsidP="00C04C25">
            <w:pPr>
              <w:spacing w:after="160" w:line="278" w:lineRule="auto"/>
              <w:jc w:val="center"/>
              <w:rPr>
                <w:rFonts w:ascii="Arial" w:hAnsi="Arial" w:cs="Arial"/>
                <w:b/>
                <w:bCs/>
                <w:sz w:val="20"/>
                <w:szCs w:val="20"/>
              </w:rPr>
            </w:pPr>
            <w:r w:rsidRPr="00141945">
              <w:rPr>
                <w:rFonts w:ascii="Arial" w:hAnsi="Arial" w:cs="Arial"/>
                <w:b/>
                <w:bCs/>
                <w:sz w:val="20"/>
                <w:szCs w:val="20"/>
              </w:rPr>
              <w:t>Primary Applications</w:t>
            </w:r>
          </w:p>
        </w:tc>
        <w:tc>
          <w:tcPr>
            <w:tcW w:w="705" w:type="pct"/>
            <w:tcBorders>
              <w:top w:val="single" w:sz="4" w:space="0" w:color="auto"/>
              <w:bottom w:val="single" w:sz="4" w:space="0" w:color="auto"/>
            </w:tcBorders>
            <w:hideMark/>
          </w:tcPr>
          <w:p w14:paraId="37C7FECF" w14:textId="77777777" w:rsidR="003F761E" w:rsidRPr="00141945" w:rsidRDefault="003F761E" w:rsidP="00C04C25">
            <w:pPr>
              <w:spacing w:after="160" w:line="278" w:lineRule="auto"/>
              <w:jc w:val="center"/>
              <w:rPr>
                <w:rFonts w:ascii="Arial" w:hAnsi="Arial" w:cs="Arial"/>
                <w:b/>
                <w:bCs/>
                <w:sz w:val="20"/>
                <w:szCs w:val="20"/>
              </w:rPr>
            </w:pPr>
            <w:r w:rsidRPr="00141945">
              <w:rPr>
                <w:rFonts w:ascii="Arial" w:hAnsi="Arial" w:cs="Arial"/>
                <w:b/>
                <w:bCs/>
                <w:sz w:val="20"/>
                <w:szCs w:val="20"/>
              </w:rPr>
              <w:t>Advantages</w:t>
            </w:r>
          </w:p>
        </w:tc>
        <w:tc>
          <w:tcPr>
            <w:tcW w:w="650" w:type="pct"/>
            <w:tcBorders>
              <w:top w:val="single" w:sz="4" w:space="0" w:color="auto"/>
              <w:bottom w:val="single" w:sz="4" w:space="0" w:color="auto"/>
            </w:tcBorders>
            <w:hideMark/>
          </w:tcPr>
          <w:p w14:paraId="0E872591" w14:textId="77777777" w:rsidR="003F761E" w:rsidRPr="00141945" w:rsidRDefault="003F761E" w:rsidP="00C04C25">
            <w:pPr>
              <w:spacing w:after="160" w:line="278" w:lineRule="auto"/>
              <w:jc w:val="center"/>
              <w:rPr>
                <w:rFonts w:ascii="Arial" w:hAnsi="Arial" w:cs="Arial"/>
                <w:b/>
                <w:bCs/>
                <w:sz w:val="20"/>
                <w:szCs w:val="20"/>
              </w:rPr>
            </w:pPr>
            <w:r w:rsidRPr="00141945">
              <w:rPr>
                <w:rFonts w:ascii="Arial" w:hAnsi="Arial" w:cs="Arial"/>
                <w:b/>
                <w:bCs/>
                <w:sz w:val="20"/>
                <w:szCs w:val="20"/>
              </w:rPr>
              <w:t>Limitations</w:t>
            </w:r>
          </w:p>
        </w:tc>
        <w:tc>
          <w:tcPr>
            <w:tcW w:w="539" w:type="pct"/>
            <w:tcBorders>
              <w:top w:val="single" w:sz="4" w:space="0" w:color="auto"/>
              <w:bottom w:val="single" w:sz="4" w:space="0" w:color="auto"/>
            </w:tcBorders>
            <w:hideMark/>
          </w:tcPr>
          <w:p w14:paraId="71B8E166" w14:textId="77777777" w:rsidR="003F761E" w:rsidRPr="00141945" w:rsidRDefault="003F761E" w:rsidP="00C04C25">
            <w:pPr>
              <w:spacing w:after="160" w:line="278" w:lineRule="auto"/>
              <w:jc w:val="center"/>
              <w:rPr>
                <w:rFonts w:ascii="Arial" w:hAnsi="Arial" w:cs="Arial"/>
                <w:b/>
                <w:bCs/>
                <w:sz w:val="20"/>
                <w:szCs w:val="20"/>
              </w:rPr>
            </w:pPr>
            <w:r w:rsidRPr="00141945">
              <w:rPr>
                <w:rFonts w:ascii="Arial" w:hAnsi="Arial" w:cs="Arial"/>
                <w:b/>
                <w:bCs/>
                <w:sz w:val="20"/>
                <w:szCs w:val="20"/>
              </w:rPr>
              <w:t>References</w:t>
            </w:r>
          </w:p>
        </w:tc>
      </w:tr>
      <w:tr w:rsidR="003F761E" w:rsidRPr="00141945" w14:paraId="6707FF1C" w14:textId="77777777" w:rsidTr="00141945">
        <w:tc>
          <w:tcPr>
            <w:tcW w:w="664" w:type="pct"/>
            <w:tcBorders>
              <w:top w:val="single" w:sz="4" w:space="0" w:color="auto"/>
            </w:tcBorders>
            <w:hideMark/>
          </w:tcPr>
          <w:p w14:paraId="4A14F637"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b/>
                <w:bCs/>
                <w:sz w:val="20"/>
                <w:szCs w:val="20"/>
              </w:rPr>
              <w:lastRenderedPageBreak/>
              <w:t>Metal Nanoparticles</w:t>
            </w:r>
          </w:p>
        </w:tc>
        <w:tc>
          <w:tcPr>
            <w:tcW w:w="655" w:type="pct"/>
            <w:tcBorders>
              <w:top w:val="single" w:sz="4" w:space="0" w:color="auto"/>
            </w:tcBorders>
            <w:hideMark/>
          </w:tcPr>
          <w:p w14:paraId="21367572"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Ag, Cu, Au</w:t>
            </w:r>
          </w:p>
        </w:tc>
        <w:tc>
          <w:tcPr>
            <w:tcW w:w="492" w:type="pct"/>
            <w:tcBorders>
              <w:top w:val="single" w:sz="4" w:space="0" w:color="auto"/>
            </w:tcBorders>
            <w:hideMark/>
          </w:tcPr>
          <w:p w14:paraId="41446B9C"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1–100</w:t>
            </w:r>
          </w:p>
        </w:tc>
        <w:tc>
          <w:tcPr>
            <w:tcW w:w="705" w:type="pct"/>
            <w:tcBorders>
              <w:top w:val="single" w:sz="4" w:space="0" w:color="auto"/>
            </w:tcBorders>
            <w:hideMark/>
          </w:tcPr>
          <w:p w14:paraId="78E1074D"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High antimicrobial activity; catalytic properties</w:t>
            </w:r>
          </w:p>
        </w:tc>
        <w:tc>
          <w:tcPr>
            <w:tcW w:w="590" w:type="pct"/>
            <w:tcBorders>
              <w:top w:val="single" w:sz="4" w:space="0" w:color="auto"/>
            </w:tcBorders>
            <w:hideMark/>
          </w:tcPr>
          <w:p w14:paraId="6BE207AF"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Disease control; antimicrobial coatings</w:t>
            </w:r>
          </w:p>
        </w:tc>
        <w:tc>
          <w:tcPr>
            <w:tcW w:w="705" w:type="pct"/>
            <w:tcBorders>
              <w:top w:val="single" w:sz="4" w:space="0" w:color="auto"/>
            </w:tcBorders>
            <w:hideMark/>
          </w:tcPr>
          <w:p w14:paraId="594DC85F"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Broad-spectrum efficacy; multiple mechanisms</w:t>
            </w:r>
          </w:p>
        </w:tc>
        <w:tc>
          <w:tcPr>
            <w:tcW w:w="650" w:type="pct"/>
            <w:tcBorders>
              <w:top w:val="single" w:sz="4" w:space="0" w:color="auto"/>
            </w:tcBorders>
            <w:hideMark/>
          </w:tcPr>
          <w:p w14:paraId="180CD1D6"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Potential toxicity; environmental persistence</w:t>
            </w:r>
          </w:p>
        </w:tc>
        <w:tc>
          <w:tcPr>
            <w:tcW w:w="539" w:type="pct"/>
            <w:tcBorders>
              <w:top w:val="single" w:sz="4" w:space="0" w:color="auto"/>
            </w:tcBorders>
            <w:hideMark/>
          </w:tcPr>
          <w:p w14:paraId="3EDAB2BE"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Noman et al., 2023; Chen et al., 2025</w:t>
            </w:r>
          </w:p>
        </w:tc>
      </w:tr>
      <w:tr w:rsidR="003F761E" w:rsidRPr="00141945" w14:paraId="2728FADA" w14:textId="77777777" w:rsidTr="00141945">
        <w:tc>
          <w:tcPr>
            <w:tcW w:w="664" w:type="pct"/>
            <w:hideMark/>
          </w:tcPr>
          <w:p w14:paraId="38D2B814"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b/>
                <w:bCs/>
                <w:sz w:val="20"/>
                <w:szCs w:val="20"/>
              </w:rPr>
              <w:t>Metal Oxide Nanoparticles</w:t>
            </w:r>
          </w:p>
        </w:tc>
        <w:tc>
          <w:tcPr>
            <w:tcW w:w="655" w:type="pct"/>
            <w:hideMark/>
          </w:tcPr>
          <w:p w14:paraId="06ECA81E" w14:textId="77777777" w:rsidR="003F761E" w:rsidRPr="00141945" w:rsidRDefault="003F761E" w:rsidP="00C04C25">
            <w:pPr>
              <w:spacing w:after="160" w:line="278" w:lineRule="auto"/>
              <w:jc w:val="both"/>
              <w:rPr>
                <w:rFonts w:ascii="Arial" w:hAnsi="Arial" w:cs="Arial"/>
                <w:sz w:val="20"/>
                <w:szCs w:val="20"/>
              </w:rPr>
            </w:pPr>
            <w:proofErr w:type="spellStart"/>
            <w:r w:rsidRPr="00141945">
              <w:rPr>
                <w:rFonts w:ascii="Arial" w:hAnsi="Arial" w:cs="Arial"/>
                <w:sz w:val="20"/>
                <w:szCs w:val="20"/>
              </w:rPr>
              <w:t>ZnO</w:t>
            </w:r>
            <w:proofErr w:type="spellEnd"/>
            <w:r w:rsidRPr="00141945">
              <w:rPr>
                <w:rFonts w:ascii="Arial" w:hAnsi="Arial" w:cs="Arial"/>
                <w:sz w:val="20"/>
                <w:szCs w:val="20"/>
              </w:rPr>
              <w:t xml:space="preserve">, </w:t>
            </w:r>
            <w:proofErr w:type="spellStart"/>
            <w:r w:rsidRPr="00141945">
              <w:rPr>
                <w:rFonts w:ascii="Arial" w:hAnsi="Arial" w:cs="Arial"/>
                <w:sz w:val="20"/>
                <w:szCs w:val="20"/>
              </w:rPr>
              <w:t>TiO</w:t>
            </w:r>
            <w:proofErr w:type="spellEnd"/>
            <w:r w:rsidRPr="00141945">
              <w:rPr>
                <w:rFonts w:ascii="Cambria Math" w:hAnsi="Cambria Math" w:cs="Cambria Math"/>
                <w:sz w:val="20"/>
                <w:szCs w:val="20"/>
              </w:rPr>
              <w:t>₂</w:t>
            </w:r>
            <w:r w:rsidRPr="00141945">
              <w:rPr>
                <w:rFonts w:ascii="Arial" w:hAnsi="Arial" w:cs="Arial"/>
                <w:sz w:val="20"/>
                <w:szCs w:val="20"/>
              </w:rPr>
              <w:t xml:space="preserve">, </w:t>
            </w:r>
            <w:proofErr w:type="spellStart"/>
            <w:r w:rsidRPr="00141945">
              <w:rPr>
                <w:rFonts w:ascii="Arial" w:hAnsi="Arial" w:cs="Arial"/>
                <w:sz w:val="20"/>
                <w:szCs w:val="20"/>
              </w:rPr>
              <w:t>CuO</w:t>
            </w:r>
            <w:proofErr w:type="spellEnd"/>
            <w:r w:rsidRPr="00141945">
              <w:rPr>
                <w:rFonts w:ascii="Arial" w:hAnsi="Arial" w:cs="Arial"/>
                <w:sz w:val="20"/>
                <w:szCs w:val="20"/>
              </w:rPr>
              <w:t xml:space="preserve">, </w:t>
            </w:r>
            <w:proofErr w:type="spellStart"/>
            <w:r w:rsidRPr="00141945">
              <w:rPr>
                <w:rFonts w:ascii="Arial" w:hAnsi="Arial" w:cs="Arial"/>
                <w:sz w:val="20"/>
                <w:szCs w:val="20"/>
              </w:rPr>
              <w:t>Fe</w:t>
            </w:r>
            <w:r w:rsidRPr="00141945">
              <w:rPr>
                <w:rFonts w:ascii="Cambria Math" w:hAnsi="Cambria Math" w:cs="Cambria Math"/>
                <w:sz w:val="20"/>
                <w:szCs w:val="20"/>
              </w:rPr>
              <w:t>₂</w:t>
            </w:r>
            <w:r w:rsidRPr="00141945">
              <w:rPr>
                <w:rFonts w:ascii="Arial" w:hAnsi="Arial" w:cs="Arial"/>
                <w:sz w:val="20"/>
                <w:szCs w:val="20"/>
              </w:rPr>
              <w:t>O</w:t>
            </w:r>
            <w:proofErr w:type="spellEnd"/>
            <w:r w:rsidRPr="00141945">
              <w:rPr>
                <w:rFonts w:ascii="Cambria Math" w:hAnsi="Cambria Math" w:cs="Cambria Math"/>
                <w:sz w:val="20"/>
                <w:szCs w:val="20"/>
              </w:rPr>
              <w:t>₃</w:t>
            </w:r>
          </w:p>
        </w:tc>
        <w:tc>
          <w:tcPr>
            <w:tcW w:w="492" w:type="pct"/>
            <w:hideMark/>
          </w:tcPr>
          <w:p w14:paraId="3FFA3A00"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10–100</w:t>
            </w:r>
          </w:p>
        </w:tc>
        <w:tc>
          <w:tcPr>
            <w:tcW w:w="705" w:type="pct"/>
            <w:hideMark/>
          </w:tcPr>
          <w:p w14:paraId="7D8FE731"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ROS generation; photocatalytic activity</w:t>
            </w:r>
          </w:p>
        </w:tc>
        <w:tc>
          <w:tcPr>
            <w:tcW w:w="590" w:type="pct"/>
            <w:hideMark/>
          </w:tcPr>
          <w:p w14:paraId="14A530CC"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Pest and disease control; soil amendments</w:t>
            </w:r>
          </w:p>
        </w:tc>
        <w:tc>
          <w:tcPr>
            <w:tcW w:w="705" w:type="pct"/>
            <w:hideMark/>
          </w:tcPr>
          <w:p w14:paraId="204DCE77"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Stability; cost-effective synthesis</w:t>
            </w:r>
          </w:p>
        </w:tc>
        <w:tc>
          <w:tcPr>
            <w:tcW w:w="650" w:type="pct"/>
            <w:hideMark/>
          </w:tcPr>
          <w:p w14:paraId="63F6623A"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Phytotoxicity at high doses; accumulation</w:t>
            </w:r>
          </w:p>
        </w:tc>
        <w:tc>
          <w:tcPr>
            <w:tcW w:w="539" w:type="pct"/>
            <w:hideMark/>
          </w:tcPr>
          <w:p w14:paraId="7E233158"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Noman et al., 2023</w:t>
            </w:r>
          </w:p>
        </w:tc>
      </w:tr>
      <w:tr w:rsidR="003F761E" w:rsidRPr="00141945" w14:paraId="59BD304B" w14:textId="77777777" w:rsidTr="00141945">
        <w:tc>
          <w:tcPr>
            <w:tcW w:w="664" w:type="pct"/>
            <w:hideMark/>
          </w:tcPr>
          <w:p w14:paraId="6A2C36AA"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b/>
                <w:bCs/>
                <w:sz w:val="20"/>
                <w:szCs w:val="20"/>
              </w:rPr>
              <w:t>Carbon-Based Nanomaterials</w:t>
            </w:r>
          </w:p>
        </w:tc>
        <w:tc>
          <w:tcPr>
            <w:tcW w:w="655" w:type="pct"/>
            <w:hideMark/>
          </w:tcPr>
          <w:p w14:paraId="3D39FDD0"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Carbon nanotubes, graphene, fullerenes</w:t>
            </w:r>
          </w:p>
        </w:tc>
        <w:tc>
          <w:tcPr>
            <w:tcW w:w="492" w:type="pct"/>
            <w:hideMark/>
          </w:tcPr>
          <w:p w14:paraId="74CAD72C"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1–100 (diameter)</w:t>
            </w:r>
          </w:p>
        </w:tc>
        <w:tc>
          <w:tcPr>
            <w:tcW w:w="705" w:type="pct"/>
            <w:hideMark/>
          </w:tcPr>
          <w:p w14:paraId="24AD9F2F"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High surface area; mechanical strength; electrical conductivity</w:t>
            </w:r>
          </w:p>
        </w:tc>
        <w:tc>
          <w:tcPr>
            <w:tcW w:w="590" w:type="pct"/>
            <w:hideMark/>
          </w:tcPr>
          <w:p w14:paraId="33C08CA4"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Nanocarriers; sensors; growth promoters</w:t>
            </w:r>
          </w:p>
        </w:tc>
        <w:tc>
          <w:tcPr>
            <w:tcW w:w="705" w:type="pct"/>
            <w:hideMark/>
          </w:tcPr>
          <w:p w14:paraId="7CE03CC0"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Biocompatibility; multifunctionality</w:t>
            </w:r>
          </w:p>
        </w:tc>
        <w:tc>
          <w:tcPr>
            <w:tcW w:w="650" w:type="pct"/>
            <w:hideMark/>
          </w:tcPr>
          <w:p w14:paraId="41879566"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Production cost; potential toxicity concerns</w:t>
            </w:r>
          </w:p>
        </w:tc>
        <w:tc>
          <w:tcPr>
            <w:tcW w:w="539" w:type="pct"/>
            <w:hideMark/>
          </w:tcPr>
          <w:p w14:paraId="097B4971"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Mohapatra et al., 2024</w:t>
            </w:r>
          </w:p>
        </w:tc>
      </w:tr>
      <w:tr w:rsidR="003F761E" w:rsidRPr="00141945" w14:paraId="61E03FDD" w14:textId="77777777" w:rsidTr="00141945">
        <w:tc>
          <w:tcPr>
            <w:tcW w:w="664" w:type="pct"/>
            <w:hideMark/>
          </w:tcPr>
          <w:p w14:paraId="49F28895"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b/>
                <w:bCs/>
                <w:sz w:val="20"/>
                <w:szCs w:val="20"/>
              </w:rPr>
              <w:t>Polymeric Nanoparticles</w:t>
            </w:r>
          </w:p>
        </w:tc>
        <w:tc>
          <w:tcPr>
            <w:tcW w:w="655" w:type="pct"/>
            <w:hideMark/>
          </w:tcPr>
          <w:p w14:paraId="786EA613"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Chitosan, PLGA, alginate, PLA</w:t>
            </w:r>
          </w:p>
        </w:tc>
        <w:tc>
          <w:tcPr>
            <w:tcW w:w="492" w:type="pct"/>
            <w:hideMark/>
          </w:tcPr>
          <w:p w14:paraId="47E620F6"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50–500</w:t>
            </w:r>
          </w:p>
        </w:tc>
        <w:tc>
          <w:tcPr>
            <w:tcW w:w="705" w:type="pct"/>
            <w:hideMark/>
          </w:tcPr>
          <w:p w14:paraId="628B5329"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Biodegradability; tunable release; surface modifiable</w:t>
            </w:r>
          </w:p>
        </w:tc>
        <w:tc>
          <w:tcPr>
            <w:tcW w:w="590" w:type="pct"/>
            <w:hideMark/>
          </w:tcPr>
          <w:p w14:paraId="160224EA"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Controlled release; gene delivery</w:t>
            </w:r>
          </w:p>
        </w:tc>
        <w:tc>
          <w:tcPr>
            <w:tcW w:w="705" w:type="pct"/>
            <w:hideMark/>
          </w:tcPr>
          <w:p w14:paraId="6B4ED064"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Biocompatible; versatile; FDA-approved polymers</w:t>
            </w:r>
          </w:p>
        </w:tc>
        <w:tc>
          <w:tcPr>
            <w:tcW w:w="650" w:type="pct"/>
            <w:hideMark/>
          </w:tcPr>
          <w:p w14:paraId="499D6CB0"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Variable stability; synthesis complexity</w:t>
            </w:r>
          </w:p>
        </w:tc>
        <w:tc>
          <w:tcPr>
            <w:tcW w:w="539" w:type="pct"/>
            <w:hideMark/>
          </w:tcPr>
          <w:p w14:paraId="375F6631"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Rathore et al., 2024; Singh et al., 2024</w:t>
            </w:r>
          </w:p>
        </w:tc>
      </w:tr>
      <w:tr w:rsidR="003F761E" w:rsidRPr="00141945" w14:paraId="08527D63" w14:textId="77777777" w:rsidTr="00141945">
        <w:tc>
          <w:tcPr>
            <w:tcW w:w="664" w:type="pct"/>
            <w:hideMark/>
          </w:tcPr>
          <w:p w14:paraId="72FEE7DC"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b/>
                <w:bCs/>
                <w:sz w:val="20"/>
                <w:szCs w:val="20"/>
              </w:rPr>
              <w:t>Lipid-Based Nanocarriers</w:t>
            </w:r>
          </w:p>
        </w:tc>
        <w:tc>
          <w:tcPr>
            <w:tcW w:w="655" w:type="pct"/>
            <w:hideMark/>
          </w:tcPr>
          <w:p w14:paraId="3811D650"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Liposomes, solid lipid NPs, nanostructured lipid carriers</w:t>
            </w:r>
          </w:p>
        </w:tc>
        <w:tc>
          <w:tcPr>
            <w:tcW w:w="492" w:type="pct"/>
            <w:hideMark/>
          </w:tcPr>
          <w:p w14:paraId="1F578A6A"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50–500</w:t>
            </w:r>
          </w:p>
        </w:tc>
        <w:tc>
          <w:tcPr>
            <w:tcW w:w="705" w:type="pct"/>
            <w:hideMark/>
          </w:tcPr>
          <w:p w14:paraId="7C65C5B1"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Biocompatibility; membrane fusion capability</w:t>
            </w:r>
          </w:p>
        </w:tc>
        <w:tc>
          <w:tcPr>
            <w:tcW w:w="590" w:type="pct"/>
            <w:hideMark/>
          </w:tcPr>
          <w:p w14:paraId="675E188D"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Delivery of lipophilic compounds; gene delivery</w:t>
            </w:r>
          </w:p>
        </w:tc>
        <w:tc>
          <w:tcPr>
            <w:tcW w:w="705" w:type="pct"/>
            <w:hideMark/>
          </w:tcPr>
          <w:p w14:paraId="1FE0BFCD"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Low toxicity; biodegradable; efficient uptake</w:t>
            </w:r>
          </w:p>
        </w:tc>
        <w:tc>
          <w:tcPr>
            <w:tcW w:w="650" w:type="pct"/>
            <w:hideMark/>
          </w:tcPr>
          <w:p w14:paraId="0C2AE881"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Storage stability; scale-up challenges</w:t>
            </w:r>
          </w:p>
        </w:tc>
        <w:tc>
          <w:tcPr>
            <w:tcW w:w="539" w:type="pct"/>
            <w:hideMark/>
          </w:tcPr>
          <w:p w14:paraId="652645D9"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Singh et al., 2024</w:t>
            </w:r>
          </w:p>
        </w:tc>
      </w:tr>
      <w:tr w:rsidR="003F761E" w:rsidRPr="00141945" w14:paraId="2C3026A9" w14:textId="77777777" w:rsidTr="00141945">
        <w:tc>
          <w:tcPr>
            <w:tcW w:w="664" w:type="pct"/>
            <w:hideMark/>
          </w:tcPr>
          <w:p w14:paraId="5FA0F37D"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b/>
                <w:bCs/>
                <w:sz w:val="20"/>
                <w:szCs w:val="20"/>
              </w:rPr>
              <w:t>Mesoporous Silica NPs</w:t>
            </w:r>
          </w:p>
        </w:tc>
        <w:tc>
          <w:tcPr>
            <w:tcW w:w="655" w:type="pct"/>
            <w:hideMark/>
          </w:tcPr>
          <w:p w14:paraId="3CA9E8EA"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MSN, hollow MSN</w:t>
            </w:r>
          </w:p>
        </w:tc>
        <w:tc>
          <w:tcPr>
            <w:tcW w:w="492" w:type="pct"/>
            <w:hideMark/>
          </w:tcPr>
          <w:p w14:paraId="5D591F10"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50–300</w:t>
            </w:r>
          </w:p>
        </w:tc>
        <w:tc>
          <w:tcPr>
            <w:tcW w:w="705" w:type="pct"/>
            <w:hideMark/>
          </w:tcPr>
          <w:p w14:paraId="3F09A2A5"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 xml:space="preserve">High porosity; large surface area; </w:t>
            </w:r>
            <w:proofErr w:type="spellStart"/>
            <w:r w:rsidRPr="00141945">
              <w:rPr>
                <w:rFonts w:ascii="Arial" w:hAnsi="Arial" w:cs="Arial"/>
                <w:sz w:val="20"/>
                <w:szCs w:val="20"/>
              </w:rPr>
              <w:t>functionalizable</w:t>
            </w:r>
            <w:proofErr w:type="spellEnd"/>
          </w:p>
        </w:tc>
        <w:tc>
          <w:tcPr>
            <w:tcW w:w="590" w:type="pct"/>
            <w:hideMark/>
          </w:tcPr>
          <w:p w14:paraId="6FB17B1D"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Controlled release; stimuli-responsive delivery</w:t>
            </w:r>
          </w:p>
        </w:tc>
        <w:tc>
          <w:tcPr>
            <w:tcW w:w="705" w:type="pct"/>
            <w:hideMark/>
          </w:tcPr>
          <w:p w14:paraId="06CD0C50"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High loading capacity; tunable pore size; biocompatible</w:t>
            </w:r>
          </w:p>
        </w:tc>
        <w:tc>
          <w:tcPr>
            <w:tcW w:w="650" w:type="pct"/>
            <w:hideMark/>
          </w:tcPr>
          <w:p w14:paraId="035E0772"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Biodegradation concerns; cost</w:t>
            </w:r>
          </w:p>
        </w:tc>
        <w:tc>
          <w:tcPr>
            <w:tcW w:w="539" w:type="pct"/>
            <w:hideMark/>
          </w:tcPr>
          <w:p w14:paraId="49506499"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Zhao et al., 2024</w:t>
            </w:r>
          </w:p>
        </w:tc>
      </w:tr>
      <w:tr w:rsidR="003F761E" w:rsidRPr="00141945" w14:paraId="1F51B55C" w14:textId="77777777" w:rsidTr="00141945">
        <w:tc>
          <w:tcPr>
            <w:tcW w:w="664" w:type="pct"/>
            <w:hideMark/>
          </w:tcPr>
          <w:p w14:paraId="4E47FC82"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b/>
                <w:bCs/>
                <w:sz w:val="20"/>
                <w:szCs w:val="20"/>
              </w:rPr>
              <w:t>Clay Nanoparticles</w:t>
            </w:r>
          </w:p>
        </w:tc>
        <w:tc>
          <w:tcPr>
            <w:tcW w:w="655" w:type="pct"/>
            <w:hideMark/>
          </w:tcPr>
          <w:p w14:paraId="3AAEDC45"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Layered double hydroxides, montmorillonite</w:t>
            </w:r>
          </w:p>
        </w:tc>
        <w:tc>
          <w:tcPr>
            <w:tcW w:w="492" w:type="pct"/>
            <w:hideMark/>
          </w:tcPr>
          <w:p w14:paraId="6145231F"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1–100 (thickness)</w:t>
            </w:r>
          </w:p>
        </w:tc>
        <w:tc>
          <w:tcPr>
            <w:tcW w:w="705" w:type="pct"/>
            <w:hideMark/>
          </w:tcPr>
          <w:p w14:paraId="34615738"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Intercalation capacity; cation exchange</w:t>
            </w:r>
          </w:p>
        </w:tc>
        <w:tc>
          <w:tcPr>
            <w:tcW w:w="590" w:type="pct"/>
            <w:hideMark/>
          </w:tcPr>
          <w:p w14:paraId="155BDBF5"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dsRNA delivery; slow release formulations</w:t>
            </w:r>
          </w:p>
        </w:tc>
        <w:tc>
          <w:tcPr>
            <w:tcW w:w="705" w:type="pct"/>
            <w:hideMark/>
          </w:tcPr>
          <w:p w14:paraId="00120CF7"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Low cost; natural; high stability</w:t>
            </w:r>
          </w:p>
        </w:tc>
        <w:tc>
          <w:tcPr>
            <w:tcW w:w="650" w:type="pct"/>
            <w:hideMark/>
          </w:tcPr>
          <w:p w14:paraId="4F8813BB" w14:textId="77777777" w:rsidR="003F761E" w:rsidRPr="00141945" w:rsidRDefault="003F761E" w:rsidP="00C04C25">
            <w:pPr>
              <w:spacing w:after="160" w:line="278" w:lineRule="auto"/>
              <w:jc w:val="both"/>
              <w:rPr>
                <w:rFonts w:ascii="Arial" w:hAnsi="Arial" w:cs="Arial"/>
                <w:sz w:val="20"/>
                <w:szCs w:val="20"/>
              </w:rPr>
            </w:pPr>
            <w:r w:rsidRPr="00141945">
              <w:rPr>
                <w:rFonts w:ascii="Arial" w:hAnsi="Arial" w:cs="Arial"/>
                <w:sz w:val="20"/>
                <w:szCs w:val="20"/>
              </w:rPr>
              <w:t>Limited surface modification options</w:t>
            </w:r>
          </w:p>
        </w:tc>
        <w:tc>
          <w:tcPr>
            <w:tcW w:w="539" w:type="pct"/>
            <w:hideMark/>
          </w:tcPr>
          <w:p w14:paraId="3269C906" w14:textId="77777777" w:rsidR="003F761E" w:rsidRPr="00141945" w:rsidRDefault="003F761E" w:rsidP="00C04C25">
            <w:pPr>
              <w:spacing w:after="160" w:line="278" w:lineRule="auto"/>
              <w:jc w:val="both"/>
              <w:rPr>
                <w:rFonts w:ascii="Arial" w:hAnsi="Arial" w:cs="Arial"/>
                <w:sz w:val="20"/>
                <w:szCs w:val="20"/>
              </w:rPr>
            </w:pPr>
            <w:proofErr w:type="spellStart"/>
            <w:r w:rsidRPr="00141945">
              <w:rPr>
                <w:rFonts w:ascii="Arial" w:hAnsi="Arial" w:cs="Arial"/>
                <w:sz w:val="20"/>
                <w:szCs w:val="20"/>
              </w:rPr>
              <w:t>Kansotia</w:t>
            </w:r>
            <w:proofErr w:type="spellEnd"/>
            <w:r w:rsidRPr="00141945">
              <w:rPr>
                <w:rFonts w:ascii="Arial" w:hAnsi="Arial" w:cs="Arial"/>
                <w:sz w:val="20"/>
                <w:szCs w:val="20"/>
              </w:rPr>
              <w:t xml:space="preserve"> et al., 2024</w:t>
            </w:r>
          </w:p>
        </w:tc>
      </w:tr>
    </w:tbl>
    <w:p w14:paraId="41C0516B" w14:textId="77777777" w:rsidR="003F761E" w:rsidRPr="003F761E" w:rsidRDefault="003F761E" w:rsidP="003F761E">
      <w:pPr>
        <w:pStyle w:val="Body"/>
        <w:rPr>
          <w:rFonts w:ascii="Arial" w:hAnsi="Arial" w:cs="Arial"/>
        </w:rPr>
      </w:pPr>
    </w:p>
    <w:p w14:paraId="0A0054BC" w14:textId="77777777" w:rsidR="003F761E" w:rsidRPr="0084071C" w:rsidRDefault="003F761E" w:rsidP="003F761E">
      <w:pPr>
        <w:pStyle w:val="Body"/>
        <w:rPr>
          <w:rFonts w:ascii="Arial" w:hAnsi="Arial" w:cs="Arial"/>
          <w:b/>
          <w:bCs/>
          <w:sz w:val="22"/>
          <w:szCs w:val="22"/>
        </w:rPr>
      </w:pPr>
      <w:r w:rsidRPr="0084071C">
        <w:rPr>
          <w:rFonts w:ascii="Arial" w:hAnsi="Arial" w:cs="Arial"/>
          <w:b/>
          <w:bCs/>
          <w:sz w:val="22"/>
          <w:szCs w:val="22"/>
        </w:rPr>
        <w:t>2.3 Mechanisms of Nano-Enhanced Pest and Disease Control</w:t>
      </w:r>
    </w:p>
    <w:p w14:paraId="08AC7711" w14:textId="49BF6220" w:rsidR="003F761E" w:rsidRDefault="003F761E" w:rsidP="003F761E">
      <w:pPr>
        <w:pStyle w:val="Body"/>
        <w:spacing w:after="0"/>
        <w:rPr>
          <w:rFonts w:ascii="Arial" w:hAnsi="Arial" w:cs="Arial"/>
        </w:rPr>
      </w:pPr>
      <w:r w:rsidRPr="003F761E">
        <w:rPr>
          <w:rFonts w:ascii="Arial" w:hAnsi="Arial" w:cs="Arial"/>
        </w:rPr>
        <w:t>Nanomaterials enhance pest and disease control through multiple complementary mechanisms. Enhanced bioavailability and cellular uptake result from the small size and high surface reactivity of nanoparticles, enabling more efficient penetration of plant tissues and pest cuticles compared to conventional formulations (</w:t>
      </w:r>
      <w:proofErr w:type="spellStart"/>
      <w:r w:rsidRPr="003F761E">
        <w:rPr>
          <w:rFonts w:ascii="Arial" w:hAnsi="Arial" w:cs="Arial"/>
        </w:rPr>
        <w:t>Kariyanna</w:t>
      </w:r>
      <w:proofErr w:type="spellEnd"/>
      <w:r w:rsidRPr="003F761E">
        <w:rPr>
          <w:rFonts w:ascii="Arial" w:hAnsi="Arial" w:cs="Arial"/>
        </w:rPr>
        <w:t xml:space="preserve"> &amp; </w:t>
      </w:r>
      <w:proofErr w:type="spellStart"/>
      <w:r w:rsidRPr="003F761E">
        <w:rPr>
          <w:rFonts w:ascii="Arial" w:hAnsi="Arial" w:cs="Arial"/>
        </w:rPr>
        <w:t>Sowjanya</w:t>
      </w:r>
      <w:proofErr w:type="spellEnd"/>
      <w:r w:rsidRPr="003F761E">
        <w:rPr>
          <w:rFonts w:ascii="Arial" w:hAnsi="Arial" w:cs="Arial"/>
        </w:rPr>
        <w:t xml:space="preserve">, 2025). Controlled and sustained release of active ingredients from nanocarrier systems maintains effective concentrations over extended periods, reducing application frequency and minimizing environmental losses through volatilization, photodegradation, and leaching (Rathore et al., 2024). Targeted delivery to specific tissues, cells, or subcellular compartments can be achieved through surface functionalization of nanoparticles with targeting ligands, enhancing efficacy while reducing off-target effects (Mohapatra et al., 2024). Direct antimicrobial and insecticidal activity </w:t>
      </w:r>
      <w:proofErr w:type="gramStart"/>
      <w:r w:rsidRPr="003F761E">
        <w:rPr>
          <w:rFonts w:ascii="Arial" w:hAnsi="Arial" w:cs="Arial"/>
        </w:rPr>
        <w:t>is</w:t>
      </w:r>
      <w:proofErr w:type="gramEnd"/>
      <w:r w:rsidRPr="003F761E">
        <w:rPr>
          <w:rFonts w:ascii="Arial" w:hAnsi="Arial" w:cs="Arial"/>
        </w:rPr>
        <w:t xml:space="preserve"> exhibited by certain nanomaterials through mechanisms including membrane disruption, generation of reactive oxygen species (ROS), enzyme inhibition, and interference with cellular respiration (Noman et al., 2023; Chen et al., 2025). Protection of labile bioactive compounds, such as RNA molecules, essential oils, and biopesticides, from environmental degradation extends their functional lifetime and enhances field efficacy (Sharma et al., 2024). Stimuli-responsive release systems enable triggered delivery of active ingredients in response to specific environmental cues or pathogen-associated signals, optimizing timing and spatial distribution of pest control agents (Zhao et al., 2024).</w:t>
      </w:r>
    </w:p>
    <w:p w14:paraId="2ADA6A90" w14:textId="77777777" w:rsidR="003F761E" w:rsidRDefault="003F761E" w:rsidP="003F761E">
      <w:pPr>
        <w:pStyle w:val="Body"/>
        <w:spacing w:after="0"/>
        <w:rPr>
          <w:rFonts w:ascii="Arial" w:hAnsi="Arial" w:cs="Arial"/>
        </w:rPr>
      </w:pPr>
    </w:p>
    <w:p w14:paraId="2BD7994C" w14:textId="7B3B0477" w:rsidR="003F761E" w:rsidRDefault="003F761E" w:rsidP="007D53AA">
      <w:pPr>
        <w:pStyle w:val="Body"/>
        <w:spacing w:after="0"/>
        <w:jc w:val="center"/>
        <w:rPr>
          <w:rFonts w:ascii="Arial" w:hAnsi="Arial" w:cs="Arial"/>
        </w:rPr>
      </w:pPr>
      <w:r>
        <w:rPr>
          <w:rFonts w:ascii="Times New Roman" w:hAnsi="Times New Roman"/>
          <w:noProof/>
        </w:rPr>
        <w:lastRenderedPageBreak/>
        <w:drawing>
          <wp:inline distT="0" distB="0" distL="0" distR="0" wp14:anchorId="22274F5B" wp14:editId="3EF9B7C7">
            <wp:extent cx="5212080" cy="3821635"/>
            <wp:effectExtent l="0" t="0" r="0" b="0"/>
            <wp:docPr id="1086010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10576" name="Picture 1086010576"/>
                    <pic:cNvPicPr/>
                  </pic:nvPicPr>
                  <pic:blipFill rotWithShape="1">
                    <a:blip r:embed="rId11" cstate="print">
                      <a:extLst>
                        <a:ext uri="{28A0092B-C50C-407E-A947-70E740481C1C}">
                          <a14:useLocalDpi xmlns:a14="http://schemas.microsoft.com/office/drawing/2010/main" val="0"/>
                        </a:ext>
                      </a:extLst>
                    </a:blip>
                    <a:srcRect t="3520"/>
                    <a:stretch>
                      <a:fillRect/>
                    </a:stretch>
                  </pic:blipFill>
                  <pic:spPr bwMode="auto">
                    <a:xfrm>
                      <a:off x="0" y="0"/>
                      <a:ext cx="5212080" cy="3821635"/>
                    </a:xfrm>
                    <a:prstGeom prst="rect">
                      <a:avLst/>
                    </a:prstGeom>
                    <a:ln>
                      <a:noFill/>
                    </a:ln>
                    <a:extLst>
                      <a:ext uri="{53640926-AAD7-44D8-BBD7-CCE9431645EC}">
                        <a14:shadowObscured xmlns:a14="http://schemas.microsoft.com/office/drawing/2010/main"/>
                      </a:ext>
                    </a:extLst>
                  </pic:spPr>
                </pic:pic>
              </a:graphicData>
            </a:graphic>
          </wp:inline>
        </w:drawing>
      </w:r>
    </w:p>
    <w:p w14:paraId="342BFFFB" w14:textId="77777777" w:rsidR="003F761E" w:rsidRDefault="003F761E" w:rsidP="003F761E">
      <w:pPr>
        <w:jc w:val="both"/>
        <w:rPr>
          <w:rFonts w:ascii="Arial" w:hAnsi="Arial" w:cs="Arial"/>
          <w:b/>
          <w:bCs/>
        </w:rPr>
      </w:pPr>
      <w:r w:rsidRPr="003F761E">
        <w:rPr>
          <w:rFonts w:ascii="Arial" w:hAnsi="Arial" w:cs="Arial"/>
          <w:b/>
          <w:bCs/>
        </w:rPr>
        <w:t>Fig. 4.</w:t>
      </w:r>
      <w:r w:rsidRPr="003F761E">
        <w:rPr>
          <w:rFonts w:ascii="Arial" w:hAnsi="Arial" w:cs="Arial"/>
        </w:rPr>
        <w:t> </w:t>
      </w:r>
      <w:r w:rsidRPr="003F761E">
        <w:rPr>
          <w:rFonts w:ascii="Arial" w:hAnsi="Arial" w:cs="Arial"/>
          <w:b/>
          <w:bCs/>
        </w:rPr>
        <w:t>Mechanisms of nano-enhanced pest and disease control in rice.</w:t>
      </w:r>
    </w:p>
    <w:p w14:paraId="0C38074C" w14:textId="2E4D4FE7" w:rsidR="003F761E" w:rsidRPr="003F761E" w:rsidRDefault="003F761E" w:rsidP="003F761E">
      <w:pPr>
        <w:jc w:val="both"/>
        <w:rPr>
          <w:rFonts w:ascii="Arial" w:hAnsi="Arial" w:cs="Arial"/>
          <w:i/>
          <w:iCs/>
        </w:rPr>
      </w:pPr>
      <w:r w:rsidRPr="003F761E">
        <w:rPr>
          <w:rFonts w:ascii="Arial" w:hAnsi="Arial" w:cs="Arial"/>
          <w:i/>
          <w:iCs/>
        </w:rPr>
        <w:t xml:space="preserve">The figure should depict: </w:t>
      </w:r>
      <w:r w:rsidRPr="003F761E">
        <w:rPr>
          <w:rFonts w:ascii="Arial" w:hAnsi="Arial" w:cs="Arial"/>
          <w:b/>
          <w:bCs/>
          <w:i/>
          <w:iCs/>
        </w:rPr>
        <w:t>(A)</w:t>
      </w:r>
      <w:r w:rsidRPr="003F761E">
        <w:rPr>
          <w:rFonts w:ascii="Arial" w:hAnsi="Arial" w:cs="Arial"/>
          <w:i/>
          <w:iCs/>
        </w:rPr>
        <w:t xml:space="preserve"> Enhanced penetration and uptake of nanoparticles through plant cuticle and cell membranes, </w:t>
      </w:r>
      <w:r w:rsidRPr="003F761E">
        <w:rPr>
          <w:rFonts w:ascii="Arial" w:hAnsi="Arial" w:cs="Arial"/>
          <w:b/>
          <w:bCs/>
          <w:i/>
          <w:iCs/>
        </w:rPr>
        <w:t>(B)</w:t>
      </w:r>
      <w:r w:rsidRPr="003F761E">
        <w:rPr>
          <w:rFonts w:ascii="Arial" w:hAnsi="Arial" w:cs="Arial"/>
          <w:i/>
          <w:iCs/>
        </w:rPr>
        <w:t xml:space="preserve"> Controlled and sustained release from nanocarriers over time (graph showing concentration vs. time for nano vs. conventional), </w:t>
      </w:r>
      <w:r w:rsidRPr="003F761E">
        <w:rPr>
          <w:rFonts w:ascii="Arial" w:hAnsi="Arial" w:cs="Arial"/>
          <w:b/>
          <w:bCs/>
          <w:i/>
          <w:iCs/>
        </w:rPr>
        <w:t>(C)</w:t>
      </w:r>
      <w:r w:rsidRPr="003F761E">
        <w:rPr>
          <w:rFonts w:ascii="Arial" w:hAnsi="Arial" w:cs="Arial"/>
          <w:i/>
          <w:iCs/>
        </w:rPr>
        <w:t xml:space="preserve"> Direct antimicrobial/insecticidal mechanisms (ROS generation, membrane disruption, enzyme inhibition), </w:t>
      </w:r>
      <w:r w:rsidRPr="003F761E">
        <w:rPr>
          <w:rFonts w:ascii="Arial" w:hAnsi="Arial" w:cs="Arial"/>
          <w:b/>
          <w:bCs/>
          <w:i/>
          <w:iCs/>
        </w:rPr>
        <w:t>(D)</w:t>
      </w:r>
      <w:r w:rsidRPr="003F761E">
        <w:rPr>
          <w:rFonts w:ascii="Arial" w:hAnsi="Arial" w:cs="Arial"/>
          <w:i/>
          <w:iCs/>
        </w:rPr>
        <w:t xml:space="preserve"> Targeted delivery to specific tissues/cells using functionalized nanoparticles, and </w:t>
      </w:r>
      <w:r w:rsidRPr="003F761E">
        <w:rPr>
          <w:rFonts w:ascii="Arial" w:hAnsi="Arial" w:cs="Arial"/>
          <w:b/>
          <w:bCs/>
          <w:i/>
          <w:iCs/>
        </w:rPr>
        <w:t xml:space="preserve">(E) </w:t>
      </w:r>
      <w:r w:rsidRPr="003F761E">
        <w:rPr>
          <w:rFonts w:ascii="Arial" w:hAnsi="Arial" w:cs="Arial"/>
          <w:i/>
          <w:iCs/>
        </w:rPr>
        <w:t>Stimuli-responsive release triggered by pH, temperature, or pathogen signals.</w:t>
      </w:r>
    </w:p>
    <w:p w14:paraId="7BFC14A8" w14:textId="77777777" w:rsidR="003F761E" w:rsidRPr="003F761E" w:rsidRDefault="003F761E" w:rsidP="003F761E">
      <w:pPr>
        <w:pStyle w:val="Body"/>
        <w:spacing w:after="0"/>
        <w:rPr>
          <w:rFonts w:ascii="Arial" w:hAnsi="Arial" w:cs="Arial"/>
        </w:rPr>
      </w:pPr>
    </w:p>
    <w:p w14:paraId="58A95FED" w14:textId="77777777" w:rsidR="003F761E" w:rsidRDefault="003F761E" w:rsidP="00441B6F">
      <w:pPr>
        <w:pStyle w:val="Body"/>
        <w:spacing w:after="0"/>
        <w:rPr>
          <w:rFonts w:ascii="Arial" w:hAnsi="Arial" w:cs="Arial"/>
          <w:i/>
          <w:iCs/>
        </w:rPr>
      </w:pPr>
    </w:p>
    <w:p w14:paraId="0EA7D2A8" w14:textId="77777777" w:rsidR="003F761E" w:rsidRDefault="003F761E" w:rsidP="00441B6F">
      <w:pPr>
        <w:pStyle w:val="Body"/>
        <w:spacing w:after="0"/>
        <w:rPr>
          <w:rFonts w:ascii="Arial" w:hAnsi="Arial" w:cs="Arial"/>
          <w:i/>
          <w:iCs/>
        </w:rPr>
      </w:pPr>
    </w:p>
    <w:p w14:paraId="474E837F" w14:textId="4DB3411F" w:rsidR="003F761E" w:rsidRPr="0084071C" w:rsidRDefault="0084071C" w:rsidP="00441B6F">
      <w:pPr>
        <w:pStyle w:val="Body"/>
        <w:spacing w:after="0"/>
        <w:rPr>
          <w:rFonts w:ascii="Arial" w:hAnsi="Arial" w:cs="Arial"/>
          <w:b/>
          <w:bCs/>
          <w:sz w:val="22"/>
          <w:szCs w:val="22"/>
        </w:rPr>
      </w:pPr>
      <w:r w:rsidRPr="0084071C">
        <w:rPr>
          <w:rFonts w:ascii="Arial" w:hAnsi="Arial" w:cs="Arial"/>
          <w:b/>
          <w:bCs/>
          <w:sz w:val="22"/>
          <w:szCs w:val="22"/>
        </w:rPr>
        <w:t>2.4 Advantages of Nanotechnology Over Conventional Approaches</w:t>
      </w:r>
    </w:p>
    <w:p w14:paraId="408EA967" w14:textId="77777777" w:rsidR="003F761E" w:rsidRDefault="003F761E" w:rsidP="00441B6F">
      <w:pPr>
        <w:pStyle w:val="Body"/>
        <w:spacing w:after="0"/>
        <w:rPr>
          <w:rFonts w:ascii="Arial" w:hAnsi="Arial" w:cs="Arial"/>
          <w:i/>
          <w:iCs/>
        </w:rPr>
      </w:pPr>
    </w:p>
    <w:p w14:paraId="2AA86DA7" w14:textId="77777777" w:rsidR="0084071C" w:rsidRPr="0084071C" w:rsidRDefault="0084071C" w:rsidP="0084071C">
      <w:pPr>
        <w:jc w:val="both"/>
        <w:rPr>
          <w:rFonts w:ascii="Arial" w:hAnsi="Arial" w:cs="Arial"/>
        </w:rPr>
      </w:pPr>
      <w:r w:rsidRPr="0084071C">
        <w:rPr>
          <w:rFonts w:ascii="Arial" w:hAnsi="Arial" w:cs="Arial"/>
        </w:rPr>
        <w:t>Nanotechnology-based pest management offers substantial advantages over conventional chemical control strategies. Reduced application rates and environmental load result from the enhanced efficacy of nano-formulations, which require lower doses to achieve comparable or superior pest control relative to conventional products (Singh et al., 2024). Minimized resistance development may be achieved through multi-target modes of action and the capacity to combine multiple active ingredients within single nanocarrier systems (</w:t>
      </w:r>
      <w:proofErr w:type="spellStart"/>
      <w:r w:rsidRPr="0084071C">
        <w:rPr>
          <w:rFonts w:ascii="Arial" w:hAnsi="Arial" w:cs="Arial"/>
        </w:rPr>
        <w:t>Kariyanna</w:t>
      </w:r>
      <w:proofErr w:type="spellEnd"/>
      <w:r w:rsidRPr="0084071C">
        <w:rPr>
          <w:rFonts w:ascii="Arial" w:hAnsi="Arial" w:cs="Arial"/>
        </w:rPr>
        <w:t xml:space="preserve"> &amp; </w:t>
      </w:r>
      <w:proofErr w:type="spellStart"/>
      <w:r w:rsidRPr="0084071C">
        <w:rPr>
          <w:rFonts w:ascii="Arial" w:hAnsi="Arial" w:cs="Arial"/>
        </w:rPr>
        <w:t>Sowjanya</w:t>
      </w:r>
      <w:proofErr w:type="spellEnd"/>
      <w:r w:rsidRPr="0084071C">
        <w:rPr>
          <w:rFonts w:ascii="Arial" w:hAnsi="Arial" w:cs="Arial"/>
        </w:rPr>
        <w:t xml:space="preserve">, 2025). Enhanced environmental safety stems from reduced chemical runoff, lower non-target toxicity, and the use of biodegradable carrier materials that minimize persistent residues in soil and water (Mohapatra et al., 2024). Improved farmer and consumer safety results from reduced exposure to toxic agrochemicals due to lower application frequencies and the encapsulation of hazardous compounds within protective nanocarriers (Sharma et al., 2024). Economic benefits may accrue from decreased input costs, reduced crop losses, and improved product quality, although these advantages must be balanced against potentially higher initial production costs (Rajan &amp; Mathew, 2025). </w:t>
      </w:r>
      <w:r w:rsidRPr="0084071C">
        <w:rPr>
          <w:rFonts w:ascii="Arial" w:hAnsi="Arial" w:cs="Arial"/>
          <w:b/>
          <w:bCs/>
        </w:rPr>
        <w:t>Table 4</w:t>
      </w:r>
      <w:r w:rsidRPr="0084071C">
        <w:rPr>
          <w:rFonts w:ascii="Arial" w:hAnsi="Arial" w:cs="Arial"/>
        </w:rPr>
        <w:t> provides a comparative analysis of conventional versus nanotechnology-based pest management approaches.</w:t>
      </w:r>
    </w:p>
    <w:p w14:paraId="1A835997" w14:textId="77777777" w:rsidR="0084071C" w:rsidRPr="0084071C" w:rsidRDefault="0084071C" w:rsidP="0084071C">
      <w:pPr>
        <w:jc w:val="both"/>
        <w:rPr>
          <w:rFonts w:ascii="Arial" w:hAnsi="Arial" w:cs="Arial"/>
        </w:rPr>
      </w:pPr>
    </w:p>
    <w:p w14:paraId="3C10B8FE" w14:textId="77777777" w:rsidR="0084071C" w:rsidRDefault="0084071C" w:rsidP="0084071C">
      <w:pPr>
        <w:jc w:val="both"/>
        <w:rPr>
          <w:rFonts w:ascii="Arial" w:hAnsi="Arial" w:cs="Arial"/>
        </w:rPr>
      </w:pPr>
    </w:p>
    <w:p w14:paraId="4BF01058" w14:textId="77777777" w:rsidR="00141945" w:rsidRDefault="00141945" w:rsidP="0084071C">
      <w:pPr>
        <w:jc w:val="both"/>
        <w:rPr>
          <w:rFonts w:ascii="Arial" w:hAnsi="Arial" w:cs="Arial"/>
        </w:rPr>
      </w:pPr>
    </w:p>
    <w:p w14:paraId="44DC08D7" w14:textId="77777777" w:rsidR="00141945" w:rsidRDefault="00141945" w:rsidP="0084071C">
      <w:pPr>
        <w:jc w:val="both"/>
        <w:rPr>
          <w:rFonts w:ascii="Arial" w:hAnsi="Arial" w:cs="Arial"/>
        </w:rPr>
      </w:pPr>
    </w:p>
    <w:p w14:paraId="41239FF3" w14:textId="77777777" w:rsidR="00141945" w:rsidRDefault="00141945" w:rsidP="0084071C">
      <w:pPr>
        <w:jc w:val="both"/>
        <w:rPr>
          <w:rFonts w:ascii="Arial" w:hAnsi="Arial" w:cs="Arial"/>
        </w:rPr>
      </w:pPr>
    </w:p>
    <w:p w14:paraId="0CFF8FFF" w14:textId="77777777" w:rsidR="00141945" w:rsidRDefault="00141945" w:rsidP="0084071C">
      <w:pPr>
        <w:jc w:val="both"/>
        <w:rPr>
          <w:rFonts w:ascii="Arial" w:hAnsi="Arial" w:cs="Arial"/>
        </w:rPr>
      </w:pPr>
    </w:p>
    <w:p w14:paraId="53E98AA5" w14:textId="77777777" w:rsidR="00141945" w:rsidRDefault="00141945" w:rsidP="0084071C">
      <w:pPr>
        <w:jc w:val="both"/>
        <w:rPr>
          <w:rFonts w:ascii="Arial" w:hAnsi="Arial" w:cs="Arial"/>
        </w:rPr>
      </w:pPr>
    </w:p>
    <w:p w14:paraId="7A4891E3" w14:textId="77777777" w:rsidR="00141945" w:rsidRPr="0084071C" w:rsidRDefault="00141945" w:rsidP="0084071C">
      <w:pPr>
        <w:jc w:val="both"/>
        <w:rPr>
          <w:rFonts w:ascii="Arial" w:hAnsi="Arial" w:cs="Arial"/>
        </w:rPr>
      </w:pPr>
    </w:p>
    <w:p w14:paraId="6895B885" w14:textId="77777777" w:rsidR="0084071C" w:rsidRPr="0084071C" w:rsidRDefault="0084071C" w:rsidP="0084071C">
      <w:pPr>
        <w:jc w:val="both"/>
        <w:rPr>
          <w:rFonts w:ascii="Arial" w:hAnsi="Arial" w:cs="Arial"/>
        </w:rPr>
      </w:pPr>
    </w:p>
    <w:p w14:paraId="52D4B4C3" w14:textId="77777777" w:rsidR="0084071C" w:rsidRPr="0084071C" w:rsidRDefault="0084071C" w:rsidP="0084071C">
      <w:pPr>
        <w:jc w:val="both"/>
        <w:rPr>
          <w:rFonts w:ascii="Arial" w:hAnsi="Arial" w:cs="Arial"/>
        </w:rPr>
      </w:pPr>
      <w:r w:rsidRPr="0084071C">
        <w:rPr>
          <w:rFonts w:ascii="Arial" w:hAnsi="Arial" w:cs="Arial"/>
          <w:b/>
          <w:bCs/>
        </w:rPr>
        <w:t>Table 4.</w:t>
      </w:r>
      <w:r w:rsidRPr="0084071C">
        <w:rPr>
          <w:rFonts w:ascii="Arial" w:hAnsi="Arial" w:cs="Arial"/>
        </w:rPr>
        <w:t> Comparative Analysis: Conventional vs. Nanotechnology-Based Pest Management</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06"/>
        <w:gridCol w:w="1534"/>
        <w:gridCol w:w="2693"/>
        <w:gridCol w:w="2509"/>
        <w:gridCol w:w="2458"/>
      </w:tblGrid>
      <w:tr w:rsidR="0084071C" w:rsidRPr="0084071C" w14:paraId="50CF565E" w14:textId="77777777" w:rsidTr="0084071C">
        <w:trPr>
          <w:trHeight w:val="600"/>
        </w:trPr>
        <w:tc>
          <w:tcPr>
            <w:tcW w:w="406" w:type="pct"/>
            <w:tcBorders>
              <w:top w:val="single" w:sz="4" w:space="0" w:color="auto"/>
              <w:bottom w:val="single" w:sz="4" w:space="0" w:color="auto"/>
            </w:tcBorders>
            <w:hideMark/>
          </w:tcPr>
          <w:p w14:paraId="45276CA3"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lastRenderedPageBreak/>
              <w:t>Parameter</w:t>
            </w:r>
          </w:p>
        </w:tc>
        <w:tc>
          <w:tcPr>
            <w:tcW w:w="795" w:type="pct"/>
            <w:tcBorders>
              <w:top w:val="single" w:sz="4" w:space="0" w:color="auto"/>
              <w:bottom w:val="single" w:sz="4" w:space="0" w:color="auto"/>
            </w:tcBorders>
            <w:hideMark/>
          </w:tcPr>
          <w:p w14:paraId="147F9437"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Conventional Approach</w:t>
            </w:r>
          </w:p>
        </w:tc>
        <w:tc>
          <w:tcPr>
            <w:tcW w:w="1331" w:type="pct"/>
            <w:tcBorders>
              <w:top w:val="single" w:sz="4" w:space="0" w:color="auto"/>
              <w:bottom w:val="single" w:sz="4" w:space="0" w:color="auto"/>
            </w:tcBorders>
            <w:hideMark/>
          </w:tcPr>
          <w:p w14:paraId="7D65C424"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Nanotechnology Approach</w:t>
            </w:r>
          </w:p>
        </w:tc>
        <w:tc>
          <w:tcPr>
            <w:tcW w:w="1246" w:type="pct"/>
            <w:tcBorders>
              <w:top w:val="single" w:sz="4" w:space="0" w:color="auto"/>
              <w:bottom w:val="single" w:sz="4" w:space="0" w:color="auto"/>
            </w:tcBorders>
            <w:hideMark/>
          </w:tcPr>
          <w:p w14:paraId="442281D4"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Improvement Factor</w:t>
            </w:r>
          </w:p>
        </w:tc>
        <w:tc>
          <w:tcPr>
            <w:tcW w:w="1222" w:type="pct"/>
            <w:tcBorders>
              <w:top w:val="single" w:sz="4" w:space="0" w:color="auto"/>
              <w:bottom w:val="single" w:sz="4" w:space="0" w:color="auto"/>
            </w:tcBorders>
            <w:hideMark/>
          </w:tcPr>
          <w:p w14:paraId="7ADB7974"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References</w:t>
            </w:r>
          </w:p>
        </w:tc>
      </w:tr>
      <w:tr w:rsidR="0084071C" w:rsidRPr="0084071C" w14:paraId="5880D3A5" w14:textId="77777777" w:rsidTr="0084071C">
        <w:tc>
          <w:tcPr>
            <w:tcW w:w="406" w:type="pct"/>
            <w:tcBorders>
              <w:top w:val="single" w:sz="4" w:space="0" w:color="auto"/>
            </w:tcBorders>
            <w:hideMark/>
          </w:tcPr>
          <w:p w14:paraId="3D313E79"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b/>
                <w:bCs/>
                <w:sz w:val="20"/>
                <w:szCs w:val="20"/>
              </w:rPr>
              <w:t>Application Rate</w:t>
            </w:r>
          </w:p>
        </w:tc>
        <w:tc>
          <w:tcPr>
            <w:tcW w:w="795" w:type="pct"/>
            <w:tcBorders>
              <w:top w:val="single" w:sz="4" w:space="0" w:color="auto"/>
            </w:tcBorders>
            <w:hideMark/>
          </w:tcPr>
          <w:p w14:paraId="25367822"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Standard dose (100%)</w:t>
            </w:r>
          </w:p>
        </w:tc>
        <w:tc>
          <w:tcPr>
            <w:tcW w:w="1331" w:type="pct"/>
            <w:tcBorders>
              <w:top w:val="single" w:sz="4" w:space="0" w:color="auto"/>
            </w:tcBorders>
            <w:hideMark/>
          </w:tcPr>
          <w:p w14:paraId="35AB717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30–70% of standard dose</w:t>
            </w:r>
          </w:p>
        </w:tc>
        <w:tc>
          <w:tcPr>
            <w:tcW w:w="1246" w:type="pct"/>
            <w:tcBorders>
              <w:top w:val="single" w:sz="4" w:space="0" w:color="auto"/>
            </w:tcBorders>
            <w:hideMark/>
          </w:tcPr>
          <w:p w14:paraId="0D2CB62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30–70% reduction</w:t>
            </w:r>
          </w:p>
        </w:tc>
        <w:tc>
          <w:tcPr>
            <w:tcW w:w="1222" w:type="pct"/>
            <w:tcBorders>
              <w:top w:val="single" w:sz="4" w:space="0" w:color="auto"/>
            </w:tcBorders>
            <w:hideMark/>
          </w:tcPr>
          <w:p w14:paraId="0754BA6E"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Singh et al., 2024; Rathore et al., 2024</w:t>
            </w:r>
          </w:p>
        </w:tc>
      </w:tr>
      <w:tr w:rsidR="0084071C" w:rsidRPr="0084071C" w14:paraId="01791176" w14:textId="77777777" w:rsidTr="0084071C">
        <w:tc>
          <w:tcPr>
            <w:tcW w:w="406" w:type="pct"/>
            <w:hideMark/>
          </w:tcPr>
          <w:p w14:paraId="614437EE"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b/>
                <w:bCs/>
                <w:sz w:val="20"/>
                <w:szCs w:val="20"/>
              </w:rPr>
              <w:t>Application Frequency</w:t>
            </w:r>
          </w:p>
        </w:tc>
        <w:tc>
          <w:tcPr>
            <w:tcW w:w="795" w:type="pct"/>
            <w:hideMark/>
          </w:tcPr>
          <w:p w14:paraId="1122A13F"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4–8 times per season</w:t>
            </w:r>
          </w:p>
        </w:tc>
        <w:tc>
          <w:tcPr>
            <w:tcW w:w="1331" w:type="pct"/>
            <w:hideMark/>
          </w:tcPr>
          <w:p w14:paraId="7890A40F"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2–4 times per season</w:t>
            </w:r>
          </w:p>
        </w:tc>
        <w:tc>
          <w:tcPr>
            <w:tcW w:w="1246" w:type="pct"/>
            <w:hideMark/>
          </w:tcPr>
          <w:p w14:paraId="5FF2B9CD"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50% reduction</w:t>
            </w:r>
          </w:p>
        </w:tc>
        <w:tc>
          <w:tcPr>
            <w:tcW w:w="1222" w:type="pct"/>
            <w:hideMark/>
          </w:tcPr>
          <w:p w14:paraId="7DCECC1B"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Mohapatra et al., 2024</w:t>
            </w:r>
          </w:p>
        </w:tc>
      </w:tr>
      <w:tr w:rsidR="0084071C" w:rsidRPr="0084071C" w14:paraId="02620EFD" w14:textId="77777777" w:rsidTr="0084071C">
        <w:tc>
          <w:tcPr>
            <w:tcW w:w="406" w:type="pct"/>
            <w:hideMark/>
          </w:tcPr>
          <w:p w14:paraId="1C9F93D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b/>
                <w:bCs/>
                <w:sz w:val="20"/>
                <w:szCs w:val="20"/>
              </w:rPr>
              <w:t>Residual Activity</w:t>
            </w:r>
          </w:p>
        </w:tc>
        <w:tc>
          <w:tcPr>
            <w:tcW w:w="795" w:type="pct"/>
            <w:hideMark/>
          </w:tcPr>
          <w:p w14:paraId="30F76CE2"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5–10 days</w:t>
            </w:r>
          </w:p>
        </w:tc>
        <w:tc>
          <w:tcPr>
            <w:tcW w:w="1331" w:type="pct"/>
            <w:hideMark/>
          </w:tcPr>
          <w:p w14:paraId="1F18EDE9"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15–30 days</w:t>
            </w:r>
          </w:p>
        </w:tc>
        <w:tc>
          <w:tcPr>
            <w:tcW w:w="1246" w:type="pct"/>
            <w:hideMark/>
          </w:tcPr>
          <w:p w14:paraId="1A6BD0A3"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2–3× longer</w:t>
            </w:r>
          </w:p>
        </w:tc>
        <w:tc>
          <w:tcPr>
            <w:tcW w:w="1222" w:type="pct"/>
            <w:hideMark/>
          </w:tcPr>
          <w:p w14:paraId="352FB5E6"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Chen et al., 2025</w:t>
            </w:r>
          </w:p>
        </w:tc>
      </w:tr>
      <w:tr w:rsidR="0084071C" w:rsidRPr="0084071C" w14:paraId="72852E8A" w14:textId="77777777" w:rsidTr="0084071C">
        <w:tc>
          <w:tcPr>
            <w:tcW w:w="406" w:type="pct"/>
            <w:hideMark/>
          </w:tcPr>
          <w:p w14:paraId="06E5B440"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b/>
                <w:bCs/>
                <w:sz w:val="20"/>
                <w:szCs w:val="20"/>
              </w:rPr>
              <w:t>Target Specificity</w:t>
            </w:r>
          </w:p>
        </w:tc>
        <w:tc>
          <w:tcPr>
            <w:tcW w:w="795" w:type="pct"/>
            <w:hideMark/>
          </w:tcPr>
          <w:p w14:paraId="3540BD2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Broad-spectrum (low)</w:t>
            </w:r>
          </w:p>
        </w:tc>
        <w:tc>
          <w:tcPr>
            <w:tcW w:w="1331" w:type="pct"/>
            <w:hideMark/>
          </w:tcPr>
          <w:p w14:paraId="0FA55558"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High (tunable)</w:t>
            </w:r>
          </w:p>
        </w:tc>
        <w:tc>
          <w:tcPr>
            <w:tcW w:w="1246" w:type="pct"/>
            <w:hideMark/>
          </w:tcPr>
          <w:p w14:paraId="54C7CB30"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Significantly enhanced</w:t>
            </w:r>
          </w:p>
        </w:tc>
        <w:tc>
          <w:tcPr>
            <w:tcW w:w="1222" w:type="pct"/>
            <w:hideMark/>
          </w:tcPr>
          <w:p w14:paraId="0FCACF73" w14:textId="77777777" w:rsidR="0084071C" w:rsidRPr="0084071C" w:rsidRDefault="0084071C" w:rsidP="00C04C25">
            <w:pPr>
              <w:spacing w:after="160" w:line="278" w:lineRule="auto"/>
              <w:jc w:val="both"/>
              <w:rPr>
                <w:rFonts w:ascii="Arial" w:hAnsi="Arial" w:cs="Arial"/>
                <w:sz w:val="20"/>
                <w:szCs w:val="20"/>
              </w:rPr>
            </w:pPr>
            <w:proofErr w:type="spellStart"/>
            <w:r w:rsidRPr="0084071C">
              <w:rPr>
                <w:rFonts w:ascii="Arial" w:hAnsi="Arial" w:cs="Arial"/>
                <w:sz w:val="20"/>
                <w:szCs w:val="20"/>
              </w:rPr>
              <w:t>Kariyanna</w:t>
            </w:r>
            <w:proofErr w:type="spellEnd"/>
            <w:r w:rsidRPr="0084071C">
              <w:rPr>
                <w:rFonts w:ascii="Arial" w:hAnsi="Arial" w:cs="Arial"/>
                <w:sz w:val="20"/>
                <w:szCs w:val="20"/>
              </w:rPr>
              <w:t xml:space="preserve"> &amp; </w:t>
            </w:r>
            <w:proofErr w:type="spellStart"/>
            <w:r w:rsidRPr="0084071C">
              <w:rPr>
                <w:rFonts w:ascii="Arial" w:hAnsi="Arial" w:cs="Arial"/>
                <w:sz w:val="20"/>
                <w:szCs w:val="20"/>
              </w:rPr>
              <w:t>Sowjanya</w:t>
            </w:r>
            <w:proofErr w:type="spellEnd"/>
            <w:r w:rsidRPr="0084071C">
              <w:rPr>
                <w:rFonts w:ascii="Arial" w:hAnsi="Arial" w:cs="Arial"/>
                <w:sz w:val="20"/>
                <w:szCs w:val="20"/>
              </w:rPr>
              <w:t>, 2025</w:t>
            </w:r>
          </w:p>
        </w:tc>
      </w:tr>
      <w:tr w:rsidR="0084071C" w:rsidRPr="0084071C" w14:paraId="0BBBA109" w14:textId="77777777" w:rsidTr="0084071C">
        <w:tc>
          <w:tcPr>
            <w:tcW w:w="406" w:type="pct"/>
            <w:hideMark/>
          </w:tcPr>
          <w:p w14:paraId="7A575413"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b/>
                <w:bCs/>
                <w:sz w:val="20"/>
                <w:szCs w:val="20"/>
              </w:rPr>
              <w:t>Environmental Persistence</w:t>
            </w:r>
          </w:p>
        </w:tc>
        <w:tc>
          <w:tcPr>
            <w:tcW w:w="795" w:type="pct"/>
            <w:hideMark/>
          </w:tcPr>
          <w:p w14:paraId="03414522"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High (weeks to months)</w:t>
            </w:r>
          </w:p>
        </w:tc>
        <w:tc>
          <w:tcPr>
            <w:tcW w:w="1331" w:type="pct"/>
            <w:hideMark/>
          </w:tcPr>
          <w:p w14:paraId="7A05CFF0"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Low to moderate (biodegradable carriers)</w:t>
            </w:r>
          </w:p>
        </w:tc>
        <w:tc>
          <w:tcPr>
            <w:tcW w:w="1246" w:type="pct"/>
            <w:hideMark/>
          </w:tcPr>
          <w:p w14:paraId="4C0718EF"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Reduced accumulation</w:t>
            </w:r>
          </w:p>
        </w:tc>
        <w:tc>
          <w:tcPr>
            <w:tcW w:w="1222" w:type="pct"/>
            <w:hideMark/>
          </w:tcPr>
          <w:p w14:paraId="47546536"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Singh et al., 2024</w:t>
            </w:r>
          </w:p>
        </w:tc>
      </w:tr>
      <w:tr w:rsidR="0084071C" w:rsidRPr="0084071C" w14:paraId="4563B2BD" w14:textId="77777777" w:rsidTr="0084071C">
        <w:tc>
          <w:tcPr>
            <w:tcW w:w="406" w:type="pct"/>
            <w:hideMark/>
          </w:tcPr>
          <w:p w14:paraId="381D96A2"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b/>
                <w:bCs/>
                <w:sz w:val="20"/>
                <w:szCs w:val="20"/>
              </w:rPr>
              <w:t>Non-Target Toxicity</w:t>
            </w:r>
          </w:p>
        </w:tc>
        <w:tc>
          <w:tcPr>
            <w:tcW w:w="795" w:type="pct"/>
            <w:hideMark/>
          </w:tcPr>
          <w:p w14:paraId="62289FD0"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High</w:t>
            </w:r>
          </w:p>
        </w:tc>
        <w:tc>
          <w:tcPr>
            <w:tcW w:w="1331" w:type="pct"/>
            <w:hideMark/>
          </w:tcPr>
          <w:p w14:paraId="4B87DC08"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Low to moderate</w:t>
            </w:r>
          </w:p>
        </w:tc>
        <w:tc>
          <w:tcPr>
            <w:tcW w:w="1246" w:type="pct"/>
            <w:hideMark/>
          </w:tcPr>
          <w:p w14:paraId="36110735"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40–60% reduction</w:t>
            </w:r>
          </w:p>
        </w:tc>
        <w:tc>
          <w:tcPr>
            <w:tcW w:w="1222" w:type="pct"/>
            <w:hideMark/>
          </w:tcPr>
          <w:p w14:paraId="464E5019"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Mohapatra et al., 2024</w:t>
            </w:r>
          </w:p>
        </w:tc>
      </w:tr>
      <w:tr w:rsidR="0084071C" w:rsidRPr="0084071C" w14:paraId="284F0592" w14:textId="77777777" w:rsidTr="0084071C">
        <w:tc>
          <w:tcPr>
            <w:tcW w:w="406" w:type="pct"/>
            <w:hideMark/>
          </w:tcPr>
          <w:p w14:paraId="1CCCC678"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b/>
                <w:bCs/>
                <w:sz w:val="20"/>
                <w:szCs w:val="20"/>
              </w:rPr>
              <w:t>Resistance Development Risk</w:t>
            </w:r>
          </w:p>
        </w:tc>
        <w:tc>
          <w:tcPr>
            <w:tcW w:w="795" w:type="pct"/>
            <w:hideMark/>
          </w:tcPr>
          <w:p w14:paraId="76E699D8"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High</w:t>
            </w:r>
          </w:p>
        </w:tc>
        <w:tc>
          <w:tcPr>
            <w:tcW w:w="1331" w:type="pct"/>
            <w:hideMark/>
          </w:tcPr>
          <w:p w14:paraId="07A8F2C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Low to moderate</w:t>
            </w:r>
          </w:p>
        </w:tc>
        <w:tc>
          <w:tcPr>
            <w:tcW w:w="1246" w:type="pct"/>
            <w:hideMark/>
          </w:tcPr>
          <w:p w14:paraId="777660C8"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Delayed resistance</w:t>
            </w:r>
          </w:p>
        </w:tc>
        <w:tc>
          <w:tcPr>
            <w:tcW w:w="1222" w:type="pct"/>
            <w:hideMark/>
          </w:tcPr>
          <w:p w14:paraId="136BC41B" w14:textId="77777777" w:rsidR="0084071C" w:rsidRPr="0084071C" w:rsidRDefault="0084071C" w:rsidP="00C04C25">
            <w:pPr>
              <w:spacing w:after="160" w:line="278" w:lineRule="auto"/>
              <w:jc w:val="both"/>
              <w:rPr>
                <w:rFonts w:ascii="Arial" w:hAnsi="Arial" w:cs="Arial"/>
                <w:sz w:val="20"/>
                <w:szCs w:val="20"/>
              </w:rPr>
            </w:pPr>
            <w:proofErr w:type="spellStart"/>
            <w:r w:rsidRPr="0084071C">
              <w:rPr>
                <w:rFonts w:ascii="Arial" w:hAnsi="Arial" w:cs="Arial"/>
                <w:sz w:val="20"/>
                <w:szCs w:val="20"/>
              </w:rPr>
              <w:t>Kariyanna</w:t>
            </w:r>
            <w:proofErr w:type="spellEnd"/>
            <w:r w:rsidRPr="0084071C">
              <w:rPr>
                <w:rFonts w:ascii="Arial" w:hAnsi="Arial" w:cs="Arial"/>
                <w:sz w:val="20"/>
                <w:szCs w:val="20"/>
              </w:rPr>
              <w:t xml:space="preserve"> &amp; </w:t>
            </w:r>
            <w:proofErr w:type="spellStart"/>
            <w:r w:rsidRPr="0084071C">
              <w:rPr>
                <w:rFonts w:ascii="Arial" w:hAnsi="Arial" w:cs="Arial"/>
                <w:sz w:val="20"/>
                <w:szCs w:val="20"/>
              </w:rPr>
              <w:t>Sowjanya</w:t>
            </w:r>
            <w:proofErr w:type="spellEnd"/>
            <w:r w:rsidRPr="0084071C">
              <w:rPr>
                <w:rFonts w:ascii="Arial" w:hAnsi="Arial" w:cs="Arial"/>
                <w:sz w:val="20"/>
                <w:szCs w:val="20"/>
              </w:rPr>
              <w:t>, 2025</w:t>
            </w:r>
          </w:p>
        </w:tc>
      </w:tr>
      <w:tr w:rsidR="0084071C" w:rsidRPr="0084071C" w14:paraId="25349044" w14:textId="77777777" w:rsidTr="0084071C">
        <w:tc>
          <w:tcPr>
            <w:tcW w:w="406" w:type="pct"/>
            <w:hideMark/>
          </w:tcPr>
          <w:p w14:paraId="7A9569A2"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b/>
                <w:bCs/>
                <w:sz w:val="20"/>
                <w:szCs w:val="20"/>
              </w:rPr>
              <w:t>Water Solubility</w:t>
            </w:r>
          </w:p>
        </w:tc>
        <w:tc>
          <w:tcPr>
            <w:tcW w:w="795" w:type="pct"/>
            <w:hideMark/>
          </w:tcPr>
          <w:p w14:paraId="51026383"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Often poor</w:t>
            </w:r>
          </w:p>
        </w:tc>
        <w:tc>
          <w:tcPr>
            <w:tcW w:w="1331" w:type="pct"/>
            <w:hideMark/>
          </w:tcPr>
          <w:p w14:paraId="63B07593"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Enhanced</w:t>
            </w:r>
          </w:p>
        </w:tc>
        <w:tc>
          <w:tcPr>
            <w:tcW w:w="1246" w:type="pct"/>
            <w:hideMark/>
          </w:tcPr>
          <w:p w14:paraId="039B7235"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Improved bioavailability</w:t>
            </w:r>
          </w:p>
        </w:tc>
        <w:tc>
          <w:tcPr>
            <w:tcW w:w="1222" w:type="pct"/>
            <w:hideMark/>
          </w:tcPr>
          <w:p w14:paraId="7D78FAA5"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Rathore et al., 2024</w:t>
            </w:r>
          </w:p>
        </w:tc>
      </w:tr>
      <w:tr w:rsidR="0084071C" w:rsidRPr="0084071C" w14:paraId="53EBF650" w14:textId="77777777" w:rsidTr="0084071C">
        <w:tc>
          <w:tcPr>
            <w:tcW w:w="406" w:type="pct"/>
            <w:hideMark/>
          </w:tcPr>
          <w:p w14:paraId="6C8F5226"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b/>
                <w:bCs/>
                <w:sz w:val="20"/>
                <w:szCs w:val="20"/>
              </w:rPr>
              <w:t>Photostability</w:t>
            </w:r>
          </w:p>
        </w:tc>
        <w:tc>
          <w:tcPr>
            <w:tcW w:w="795" w:type="pct"/>
            <w:hideMark/>
          </w:tcPr>
          <w:p w14:paraId="514F66A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Low (rapid degradation)</w:t>
            </w:r>
          </w:p>
        </w:tc>
        <w:tc>
          <w:tcPr>
            <w:tcW w:w="1331" w:type="pct"/>
            <w:hideMark/>
          </w:tcPr>
          <w:p w14:paraId="6E21EF6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High (protected in nanocarriers)</w:t>
            </w:r>
          </w:p>
        </w:tc>
        <w:tc>
          <w:tcPr>
            <w:tcW w:w="1246" w:type="pct"/>
            <w:hideMark/>
          </w:tcPr>
          <w:p w14:paraId="26EA4159"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3–5× more stable</w:t>
            </w:r>
          </w:p>
        </w:tc>
        <w:tc>
          <w:tcPr>
            <w:tcW w:w="1222" w:type="pct"/>
            <w:hideMark/>
          </w:tcPr>
          <w:p w14:paraId="03D9C1C9"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Sharma et al., 2024</w:t>
            </w:r>
          </w:p>
        </w:tc>
      </w:tr>
      <w:tr w:rsidR="0084071C" w:rsidRPr="0084071C" w14:paraId="71CFE9B3" w14:textId="77777777" w:rsidTr="0084071C">
        <w:tc>
          <w:tcPr>
            <w:tcW w:w="406" w:type="pct"/>
            <w:hideMark/>
          </w:tcPr>
          <w:p w14:paraId="1E55410B"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b/>
                <w:bCs/>
                <w:sz w:val="20"/>
                <w:szCs w:val="20"/>
              </w:rPr>
              <w:t>Production Cost</w:t>
            </w:r>
          </w:p>
        </w:tc>
        <w:tc>
          <w:tcPr>
            <w:tcW w:w="795" w:type="pct"/>
            <w:hideMark/>
          </w:tcPr>
          <w:p w14:paraId="47ACFEA4"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Low (established)</w:t>
            </w:r>
          </w:p>
        </w:tc>
        <w:tc>
          <w:tcPr>
            <w:tcW w:w="1331" w:type="pct"/>
            <w:hideMark/>
          </w:tcPr>
          <w:p w14:paraId="52B1A388"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Moderate to high (emerging)</w:t>
            </w:r>
          </w:p>
        </w:tc>
        <w:tc>
          <w:tcPr>
            <w:tcW w:w="1246" w:type="pct"/>
            <w:hideMark/>
          </w:tcPr>
          <w:p w14:paraId="03DB7CF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Currently higher; decreasing with scale</w:t>
            </w:r>
          </w:p>
        </w:tc>
        <w:tc>
          <w:tcPr>
            <w:tcW w:w="1222" w:type="pct"/>
            <w:hideMark/>
          </w:tcPr>
          <w:p w14:paraId="1655BA11"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Rajan &amp; Mathew, 2025</w:t>
            </w:r>
          </w:p>
        </w:tc>
      </w:tr>
    </w:tbl>
    <w:p w14:paraId="50457BD3" w14:textId="77777777" w:rsidR="0084071C" w:rsidRPr="0084071C" w:rsidRDefault="0084071C" w:rsidP="0084071C">
      <w:pPr>
        <w:jc w:val="both"/>
        <w:rPr>
          <w:rFonts w:ascii="Arial" w:hAnsi="Arial" w:cs="Arial"/>
        </w:rPr>
      </w:pPr>
    </w:p>
    <w:p w14:paraId="14AC3AFA" w14:textId="77777777" w:rsidR="0084071C" w:rsidRPr="0084071C" w:rsidRDefault="0084071C" w:rsidP="0084071C">
      <w:pPr>
        <w:jc w:val="both"/>
        <w:rPr>
          <w:rFonts w:ascii="Arial" w:hAnsi="Arial" w:cs="Arial"/>
        </w:rPr>
      </w:pPr>
    </w:p>
    <w:p w14:paraId="2E5F3CD2" w14:textId="77777777" w:rsidR="0084071C" w:rsidRPr="0084071C" w:rsidRDefault="0084071C" w:rsidP="0084071C">
      <w:pPr>
        <w:jc w:val="both"/>
        <w:rPr>
          <w:rFonts w:ascii="Arial" w:hAnsi="Arial" w:cs="Arial"/>
        </w:rPr>
      </w:pPr>
    </w:p>
    <w:p w14:paraId="16AD2061" w14:textId="0364A949" w:rsidR="0084071C" w:rsidRPr="0084071C" w:rsidRDefault="0084071C" w:rsidP="0084071C">
      <w:pPr>
        <w:jc w:val="both"/>
        <w:rPr>
          <w:rFonts w:ascii="Arial" w:hAnsi="Arial" w:cs="Arial"/>
          <w:b/>
          <w:bCs/>
          <w:sz w:val="22"/>
          <w:szCs w:val="22"/>
        </w:rPr>
      </w:pPr>
      <w:r w:rsidRPr="0084071C">
        <w:rPr>
          <w:rFonts w:ascii="Arial" w:hAnsi="Arial" w:cs="Arial"/>
          <w:b/>
          <w:bCs/>
          <w:sz w:val="22"/>
          <w:szCs w:val="22"/>
        </w:rPr>
        <w:t>3. NANOPESTICIDES FOR INSECT PEST MANAGEMENT IN RICE</w:t>
      </w:r>
    </w:p>
    <w:p w14:paraId="0ABFE5C9" w14:textId="77777777" w:rsidR="0084071C" w:rsidRDefault="0084071C" w:rsidP="0084071C">
      <w:pPr>
        <w:jc w:val="both"/>
        <w:rPr>
          <w:rFonts w:ascii="Arial" w:hAnsi="Arial" w:cs="Arial"/>
          <w:b/>
          <w:bCs/>
          <w:sz w:val="22"/>
          <w:szCs w:val="22"/>
        </w:rPr>
      </w:pPr>
      <w:r w:rsidRPr="0084071C">
        <w:rPr>
          <w:rFonts w:ascii="Arial" w:hAnsi="Arial" w:cs="Arial"/>
          <w:b/>
          <w:bCs/>
          <w:sz w:val="22"/>
          <w:szCs w:val="22"/>
        </w:rPr>
        <w:t xml:space="preserve">3.1 </w:t>
      </w:r>
      <w:proofErr w:type="spellStart"/>
      <w:r w:rsidRPr="0084071C">
        <w:rPr>
          <w:rFonts w:ascii="Arial" w:hAnsi="Arial" w:cs="Arial"/>
          <w:b/>
          <w:bCs/>
          <w:sz w:val="22"/>
          <w:szCs w:val="22"/>
        </w:rPr>
        <w:t>Nanoformulations</w:t>
      </w:r>
      <w:proofErr w:type="spellEnd"/>
      <w:r w:rsidRPr="0084071C">
        <w:rPr>
          <w:rFonts w:ascii="Arial" w:hAnsi="Arial" w:cs="Arial"/>
          <w:b/>
          <w:bCs/>
          <w:sz w:val="22"/>
          <w:szCs w:val="22"/>
        </w:rPr>
        <w:t xml:space="preserve"> for Brown Planthopper Control</w:t>
      </w:r>
    </w:p>
    <w:p w14:paraId="7DF63461" w14:textId="77777777" w:rsidR="0084071C" w:rsidRPr="0084071C" w:rsidRDefault="0084071C" w:rsidP="0084071C">
      <w:pPr>
        <w:jc w:val="both"/>
        <w:rPr>
          <w:rFonts w:ascii="Arial" w:hAnsi="Arial" w:cs="Arial"/>
          <w:b/>
          <w:bCs/>
          <w:sz w:val="22"/>
          <w:szCs w:val="22"/>
        </w:rPr>
      </w:pPr>
    </w:p>
    <w:p w14:paraId="7EDEFA80" w14:textId="0D9E0114" w:rsidR="0084071C" w:rsidRDefault="0084071C" w:rsidP="0084071C">
      <w:pPr>
        <w:jc w:val="both"/>
        <w:rPr>
          <w:rFonts w:ascii="Arial" w:hAnsi="Arial" w:cs="Arial"/>
        </w:rPr>
      </w:pPr>
      <w:r w:rsidRPr="0084071C">
        <w:rPr>
          <w:rFonts w:ascii="Arial" w:hAnsi="Arial" w:cs="Arial"/>
        </w:rPr>
        <w:t>The brown planthopper (</w:t>
      </w:r>
      <w:proofErr w:type="spellStart"/>
      <w:r w:rsidR="00141945" w:rsidRPr="00141945">
        <w:rPr>
          <w:rFonts w:ascii="Arial" w:hAnsi="Arial" w:cs="Arial"/>
          <w:i/>
          <w:iCs/>
        </w:rPr>
        <w:t>Nilaparvata</w:t>
      </w:r>
      <w:proofErr w:type="spellEnd"/>
      <w:r w:rsidR="00141945" w:rsidRPr="00141945">
        <w:rPr>
          <w:rFonts w:ascii="Arial" w:hAnsi="Arial" w:cs="Arial"/>
          <w:i/>
          <w:iCs/>
        </w:rPr>
        <w:t xml:space="preserve"> </w:t>
      </w:r>
      <w:proofErr w:type="spellStart"/>
      <w:r w:rsidR="00141945" w:rsidRPr="00141945">
        <w:rPr>
          <w:rFonts w:ascii="Arial" w:hAnsi="Arial" w:cs="Arial"/>
          <w:i/>
          <w:iCs/>
        </w:rPr>
        <w:t>lugens</w:t>
      </w:r>
      <w:proofErr w:type="spellEnd"/>
      <w:r w:rsidRPr="0084071C">
        <w:rPr>
          <w:rFonts w:ascii="Arial" w:hAnsi="Arial" w:cs="Arial"/>
        </w:rPr>
        <w:t xml:space="preserve">) represents one of the most economically significant insect pests of rice, causing direct feeding damage and transmitting devastating viral diseases (Conde et al., 2024). </w:t>
      </w:r>
      <w:proofErr w:type="spellStart"/>
      <w:r w:rsidRPr="0084071C">
        <w:rPr>
          <w:rFonts w:ascii="Arial" w:hAnsi="Arial" w:cs="Arial"/>
        </w:rPr>
        <w:t>Nanopesticide</w:t>
      </w:r>
      <w:proofErr w:type="spellEnd"/>
      <w:r w:rsidRPr="0084071C">
        <w:rPr>
          <w:rFonts w:ascii="Arial" w:hAnsi="Arial" w:cs="Arial"/>
        </w:rPr>
        <w:t xml:space="preserve"> formulations targeting this pest have demonstrated promising efficacy in both laboratory and field conditions. </w:t>
      </w:r>
      <w:proofErr w:type="spellStart"/>
      <w:r w:rsidRPr="0084071C">
        <w:rPr>
          <w:rFonts w:ascii="Arial" w:hAnsi="Arial" w:cs="Arial"/>
        </w:rPr>
        <w:t>Nanoencapsulated</w:t>
      </w:r>
      <w:proofErr w:type="spellEnd"/>
      <w:r w:rsidRPr="0084071C">
        <w:rPr>
          <w:rFonts w:ascii="Arial" w:hAnsi="Arial" w:cs="Arial"/>
        </w:rPr>
        <w:t xml:space="preserve"> synthetic insecticides, including neonicotinoids and pyrethroids, exhibit enhanced penetration through the insect cuticle and prolonged residual activity compared to conventional formulations (Rathore et al., 2024). Metal oxide nanoparticles, particularly zinc oxide and titanium dioxide, demonstrate contact toxicity against brown planthoppers through mechanisms involving oxidative stress induction and physical damage to the exoskeleton (Mohapatra et al., 2024). Botanical insecticide-loaded nanocarriers, incorporating compounds such as azadirachtin, rotenone, and essential oils, provide environmentally benign alternatives with reduced non-target effects (</w:t>
      </w:r>
      <w:proofErr w:type="spellStart"/>
      <w:r w:rsidRPr="0084071C">
        <w:rPr>
          <w:rFonts w:ascii="Arial" w:hAnsi="Arial" w:cs="Arial"/>
        </w:rPr>
        <w:t>Kariyanna</w:t>
      </w:r>
      <w:proofErr w:type="spellEnd"/>
      <w:r w:rsidRPr="0084071C">
        <w:rPr>
          <w:rFonts w:ascii="Arial" w:hAnsi="Arial" w:cs="Arial"/>
        </w:rPr>
        <w:t xml:space="preserve"> &amp; </w:t>
      </w:r>
      <w:proofErr w:type="spellStart"/>
      <w:r w:rsidRPr="0084071C">
        <w:rPr>
          <w:rFonts w:ascii="Arial" w:hAnsi="Arial" w:cs="Arial"/>
        </w:rPr>
        <w:t>Sowjanya</w:t>
      </w:r>
      <w:proofErr w:type="spellEnd"/>
      <w:r w:rsidRPr="0084071C">
        <w:rPr>
          <w:rFonts w:ascii="Arial" w:hAnsi="Arial" w:cs="Arial"/>
        </w:rPr>
        <w:t>, 2025). Chitosan-based nanoparticles loaded with plant extracts have shown particular promise, combining insecticidal activity with plant defense elicitation properties that enhance systemic resistance (Singh et al., 2024).</w:t>
      </w:r>
    </w:p>
    <w:p w14:paraId="5AF09E16" w14:textId="77777777" w:rsidR="00141945" w:rsidRPr="0084071C" w:rsidRDefault="00141945" w:rsidP="0084071C">
      <w:pPr>
        <w:jc w:val="both"/>
        <w:rPr>
          <w:rFonts w:ascii="Arial" w:hAnsi="Arial" w:cs="Arial"/>
        </w:rPr>
      </w:pPr>
    </w:p>
    <w:p w14:paraId="4B3D0054" w14:textId="77777777" w:rsidR="0084071C" w:rsidRPr="0084071C" w:rsidRDefault="0084071C" w:rsidP="0084071C">
      <w:pPr>
        <w:jc w:val="both"/>
        <w:rPr>
          <w:rFonts w:ascii="Arial" w:hAnsi="Arial" w:cs="Arial"/>
          <w:b/>
          <w:bCs/>
          <w:sz w:val="22"/>
          <w:szCs w:val="22"/>
        </w:rPr>
      </w:pPr>
      <w:r w:rsidRPr="0084071C">
        <w:rPr>
          <w:rFonts w:ascii="Arial" w:hAnsi="Arial" w:cs="Arial"/>
          <w:b/>
          <w:bCs/>
          <w:sz w:val="22"/>
          <w:szCs w:val="22"/>
        </w:rPr>
        <w:t>3.2 Nano-Enabled Control of Stem Borers</w:t>
      </w:r>
    </w:p>
    <w:p w14:paraId="7E426BDB" w14:textId="4BC64805" w:rsidR="0084071C" w:rsidRPr="0084071C" w:rsidRDefault="0084071C" w:rsidP="0084071C">
      <w:pPr>
        <w:jc w:val="both"/>
        <w:rPr>
          <w:rFonts w:ascii="Arial" w:hAnsi="Arial" w:cs="Arial"/>
        </w:rPr>
      </w:pPr>
      <w:r w:rsidRPr="0084071C">
        <w:rPr>
          <w:rFonts w:ascii="Arial" w:hAnsi="Arial" w:cs="Arial"/>
        </w:rPr>
        <w:t>Stem borers, including species such as </w:t>
      </w:r>
      <w:proofErr w:type="spellStart"/>
      <w:r w:rsidR="00141945" w:rsidRPr="00141945">
        <w:rPr>
          <w:rFonts w:ascii="Arial" w:hAnsi="Arial" w:cs="Arial"/>
          <w:i/>
          <w:iCs/>
        </w:rPr>
        <w:t>Scirpophaga</w:t>
      </w:r>
      <w:proofErr w:type="spellEnd"/>
      <w:r w:rsidR="00141945" w:rsidRPr="00141945">
        <w:rPr>
          <w:rFonts w:ascii="Arial" w:hAnsi="Arial" w:cs="Arial"/>
          <w:i/>
          <w:iCs/>
        </w:rPr>
        <w:t xml:space="preserve"> </w:t>
      </w:r>
      <w:proofErr w:type="spellStart"/>
      <w:r w:rsidR="00141945" w:rsidRPr="00141945">
        <w:rPr>
          <w:rFonts w:ascii="Arial" w:hAnsi="Arial" w:cs="Arial"/>
          <w:i/>
          <w:iCs/>
        </w:rPr>
        <w:t>incertulas</w:t>
      </w:r>
      <w:proofErr w:type="spellEnd"/>
      <w:r w:rsidRPr="0084071C">
        <w:rPr>
          <w:rFonts w:ascii="Arial" w:hAnsi="Arial" w:cs="Arial"/>
        </w:rPr>
        <w:t> (yellow stem borer), </w:t>
      </w:r>
      <w:proofErr w:type="spellStart"/>
      <w:r w:rsidR="00141945" w:rsidRPr="00141945">
        <w:rPr>
          <w:rFonts w:ascii="Arial" w:hAnsi="Arial" w:cs="Arial"/>
          <w:i/>
          <w:iCs/>
        </w:rPr>
        <w:t>Chilo</w:t>
      </w:r>
      <w:proofErr w:type="spellEnd"/>
      <w:r w:rsidR="00141945" w:rsidRPr="00141945">
        <w:rPr>
          <w:rFonts w:ascii="Arial" w:hAnsi="Arial" w:cs="Arial"/>
          <w:i/>
          <w:iCs/>
        </w:rPr>
        <w:t xml:space="preserve"> </w:t>
      </w:r>
      <w:proofErr w:type="spellStart"/>
      <w:r w:rsidR="00141945" w:rsidRPr="00141945">
        <w:rPr>
          <w:rFonts w:ascii="Arial" w:hAnsi="Arial" w:cs="Arial"/>
          <w:i/>
          <w:iCs/>
        </w:rPr>
        <w:t>suppressalis</w:t>
      </w:r>
      <w:proofErr w:type="spellEnd"/>
      <w:r w:rsidRPr="0084071C">
        <w:rPr>
          <w:rFonts w:ascii="Arial" w:hAnsi="Arial" w:cs="Arial"/>
        </w:rPr>
        <w:t> (striped stem borer), and </w:t>
      </w:r>
      <w:proofErr w:type="spellStart"/>
      <w:r w:rsidR="00141945" w:rsidRPr="00141945">
        <w:rPr>
          <w:rFonts w:ascii="Arial" w:hAnsi="Arial" w:cs="Arial"/>
          <w:i/>
          <w:iCs/>
        </w:rPr>
        <w:t>Sesamia</w:t>
      </w:r>
      <w:proofErr w:type="spellEnd"/>
      <w:r w:rsidR="00141945" w:rsidRPr="00141945">
        <w:rPr>
          <w:rFonts w:ascii="Arial" w:hAnsi="Arial" w:cs="Arial"/>
          <w:i/>
          <w:iCs/>
        </w:rPr>
        <w:t xml:space="preserve"> </w:t>
      </w:r>
      <w:proofErr w:type="spellStart"/>
      <w:r w:rsidR="00141945" w:rsidRPr="00141945">
        <w:rPr>
          <w:rFonts w:ascii="Arial" w:hAnsi="Arial" w:cs="Arial"/>
          <w:i/>
          <w:iCs/>
        </w:rPr>
        <w:t>inferens</w:t>
      </w:r>
      <w:proofErr w:type="spellEnd"/>
      <w:r w:rsidRPr="0084071C">
        <w:rPr>
          <w:rFonts w:ascii="Arial" w:hAnsi="Arial" w:cs="Arial"/>
        </w:rPr>
        <w:t xml:space="preserve"> (pink stem borer), cause substantial yield losses through larval boring activity in rice stems (Conde et al., 2024). </w:t>
      </w:r>
      <w:proofErr w:type="spellStart"/>
      <w:r w:rsidRPr="0084071C">
        <w:rPr>
          <w:rFonts w:ascii="Arial" w:hAnsi="Arial" w:cs="Arial"/>
        </w:rPr>
        <w:t>Nanopesticide</w:t>
      </w:r>
      <w:proofErr w:type="spellEnd"/>
      <w:r w:rsidRPr="0084071C">
        <w:rPr>
          <w:rFonts w:ascii="Arial" w:hAnsi="Arial" w:cs="Arial"/>
        </w:rPr>
        <w:t xml:space="preserve"> approaches for stem borer management focus on enhancing the delivery and persistence of insecticidal compounds. Polymer-based nanoencapsulation of </w:t>
      </w:r>
      <w:proofErr w:type="spellStart"/>
      <w:r w:rsidRPr="0084071C">
        <w:rPr>
          <w:rFonts w:ascii="Arial" w:hAnsi="Arial" w:cs="Arial"/>
        </w:rPr>
        <w:t>Bt</w:t>
      </w:r>
      <w:proofErr w:type="spellEnd"/>
      <w:r w:rsidRPr="0084071C">
        <w:rPr>
          <w:rFonts w:ascii="Arial" w:hAnsi="Arial" w:cs="Arial"/>
        </w:rPr>
        <w:t xml:space="preserve"> (</w:t>
      </w:r>
      <w:r w:rsidRPr="0084071C">
        <w:rPr>
          <w:rFonts w:ascii="Arial" w:hAnsi="Arial" w:cs="Arial"/>
          <w:i/>
          <w:iCs/>
        </w:rPr>
        <w:t>Bacillus thuringiensis</w:t>
      </w:r>
      <w:r w:rsidRPr="0084071C">
        <w:rPr>
          <w:rFonts w:ascii="Arial" w:hAnsi="Arial" w:cs="Arial"/>
        </w:rPr>
        <w:t xml:space="preserve">) toxins protects the proteins from environmental degradation and extends their efficacy period, addressing a major limitation of conventional </w:t>
      </w:r>
      <w:proofErr w:type="spellStart"/>
      <w:r w:rsidRPr="0084071C">
        <w:rPr>
          <w:rFonts w:ascii="Arial" w:hAnsi="Arial" w:cs="Arial"/>
        </w:rPr>
        <w:t>Bt</w:t>
      </w:r>
      <w:proofErr w:type="spellEnd"/>
      <w:r w:rsidRPr="0084071C">
        <w:rPr>
          <w:rFonts w:ascii="Arial" w:hAnsi="Arial" w:cs="Arial"/>
        </w:rPr>
        <w:t xml:space="preserve"> applications (Mohapatra et al., 2024). </w:t>
      </w:r>
      <w:proofErr w:type="spellStart"/>
      <w:r w:rsidRPr="0084071C">
        <w:rPr>
          <w:rFonts w:ascii="Arial" w:hAnsi="Arial" w:cs="Arial"/>
        </w:rPr>
        <w:t>Nanoformulations</w:t>
      </w:r>
      <w:proofErr w:type="spellEnd"/>
      <w:r w:rsidRPr="0084071C">
        <w:rPr>
          <w:rFonts w:ascii="Arial" w:hAnsi="Arial" w:cs="Arial"/>
        </w:rPr>
        <w:t xml:space="preserve"> of synthetic insecticides, including </w:t>
      </w:r>
      <w:proofErr w:type="spellStart"/>
      <w:r w:rsidRPr="0084071C">
        <w:rPr>
          <w:rFonts w:ascii="Arial" w:hAnsi="Arial" w:cs="Arial"/>
        </w:rPr>
        <w:t>chlorantraniliprole</w:t>
      </w:r>
      <w:proofErr w:type="spellEnd"/>
      <w:r w:rsidRPr="0084071C">
        <w:rPr>
          <w:rFonts w:ascii="Arial" w:hAnsi="Arial" w:cs="Arial"/>
        </w:rPr>
        <w:t xml:space="preserve"> and </w:t>
      </w:r>
      <w:proofErr w:type="spellStart"/>
      <w:r w:rsidRPr="0084071C">
        <w:rPr>
          <w:rFonts w:ascii="Arial" w:hAnsi="Arial" w:cs="Arial"/>
        </w:rPr>
        <w:t>cartap</w:t>
      </w:r>
      <w:proofErr w:type="spellEnd"/>
      <w:r w:rsidRPr="0084071C">
        <w:rPr>
          <w:rFonts w:ascii="Arial" w:hAnsi="Arial" w:cs="Arial"/>
        </w:rPr>
        <w:t xml:space="preserve"> hydrochloride, </w:t>
      </w:r>
      <w:r w:rsidRPr="0084071C">
        <w:rPr>
          <w:rFonts w:ascii="Arial" w:hAnsi="Arial" w:cs="Arial"/>
        </w:rPr>
        <w:lastRenderedPageBreak/>
        <w:t>demonstrate improved systemic translocation within rice plants, providing internal protection against boring larvae (Rathore et al., 2024). Silica nanoparticle formulations exhibit physical mode of action through abrasion of insect cuticles and absorption of epicuticular lipids, offering a resistance-proof control mechanism (</w:t>
      </w:r>
      <w:proofErr w:type="spellStart"/>
      <w:r w:rsidRPr="0084071C">
        <w:rPr>
          <w:rFonts w:ascii="Arial" w:hAnsi="Arial" w:cs="Arial"/>
        </w:rPr>
        <w:t>Kariyanna</w:t>
      </w:r>
      <w:proofErr w:type="spellEnd"/>
      <w:r w:rsidRPr="0084071C">
        <w:rPr>
          <w:rFonts w:ascii="Arial" w:hAnsi="Arial" w:cs="Arial"/>
        </w:rPr>
        <w:t xml:space="preserve"> &amp; </w:t>
      </w:r>
      <w:proofErr w:type="spellStart"/>
      <w:r w:rsidRPr="0084071C">
        <w:rPr>
          <w:rFonts w:ascii="Arial" w:hAnsi="Arial" w:cs="Arial"/>
        </w:rPr>
        <w:t>Sowjanya</w:t>
      </w:r>
      <w:proofErr w:type="spellEnd"/>
      <w:r w:rsidRPr="0084071C">
        <w:rPr>
          <w:rFonts w:ascii="Arial" w:hAnsi="Arial" w:cs="Arial"/>
        </w:rPr>
        <w:t>, 2025). RNA interference (RNAi) technology delivered via nanocarriers represents an emerging approach, enabling targeted silencing of essential genes in stem borer larvae through oral delivery of double-stranded RNA molecules (</w:t>
      </w:r>
      <w:proofErr w:type="spellStart"/>
      <w:r w:rsidRPr="0084071C">
        <w:rPr>
          <w:rFonts w:ascii="Arial" w:hAnsi="Arial" w:cs="Arial"/>
        </w:rPr>
        <w:t>Kansotia</w:t>
      </w:r>
      <w:proofErr w:type="spellEnd"/>
      <w:r w:rsidRPr="0084071C">
        <w:rPr>
          <w:rFonts w:ascii="Arial" w:hAnsi="Arial" w:cs="Arial"/>
        </w:rPr>
        <w:t xml:space="preserve"> et al., 2024; Awasthi et al., 2025).</w:t>
      </w:r>
    </w:p>
    <w:p w14:paraId="19DCF16E" w14:textId="77777777" w:rsidR="00863CA1" w:rsidRDefault="00863CA1" w:rsidP="0084071C">
      <w:pPr>
        <w:jc w:val="both"/>
        <w:rPr>
          <w:rFonts w:ascii="Arial" w:hAnsi="Arial" w:cs="Arial"/>
          <w:b/>
          <w:bCs/>
          <w:sz w:val="22"/>
          <w:szCs w:val="22"/>
        </w:rPr>
      </w:pPr>
    </w:p>
    <w:p w14:paraId="4E6478F4" w14:textId="71DF2D62" w:rsidR="0084071C" w:rsidRPr="0084071C" w:rsidRDefault="0084071C" w:rsidP="0084071C">
      <w:pPr>
        <w:jc w:val="both"/>
        <w:rPr>
          <w:rFonts w:ascii="Arial" w:hAnsi="Arial" w:cs="Arial"/>
          <w:b/>
          <w:bCs/>
          <w:sz w:val="22"/>
          <w:szCs w:val="22"/>
        </w:rPr>
      </w:pPr>
      <w:r w:rsidRPr="0084071C">
        <w:rPr>
          <w:rFonts w:ascii="Arial" w:hAnsi="Arial" w:cs="Arial"/>
          <w:b/>
          <w:bCs/>
          <w:sz w:val="22"/>
          <w:szCs w:val="22"/>
        </w:rPr>
        <w:t xml:space="preserve">3.3 Mechanisms of </w:t>
      </w:r>
      <w:proofErr w:type="spellStart"/>
      <w:r w:rsidRPr="0084071C">
        <w:rPr>
          <w:rFonts w:ascii="Arial" w:hAnsi="Arial" w:cs="Arial"/>
          <w:b/>
          <w:bCs/>
          <w:sz w:val="22"/>
          <w:szCs w:val="22"/>
        </w:rPr>
        <w:t>Nanopesticide</w:t>
      </w:r>
      <w:proofErr w:type="spellEnd"/>
      <w:r w:rsidRPr="0084071C">
        <w:rPr>
          <w:rFonts w:ascii="Arial" w:hAnsi="Arial" w:cs="Arial"/>
          <w:b/>
          <w:bCs/>
          <w:sz w:val="22"/>
          <w:szCs w:val="22"/>
        </w:rPr>
        <w:t xml:space="preserve"> Action Against Insect Pests</w:t>
      </w:r>
    </w:p>
    <w:p w14:paraId="7F80FFA1" w14:textId="77777777" w:rsidR="0084071C" w:rsidRDefault="0084071C" w:rsidP="0084071C">
      <w:pPr>
        <w:jc w:val="both"/>
        <w:rPr>
          <w:rFonts w:ascii="Arial" w:hAnsi="Arial" w:cs="Arial"/>
        </w:rPr>
      </w:pPr>
      <w:proofErr w:type="spellStart"/>
      <w:r w:rsidRPr="0084071C">
        <w:rPr>
          <w:rFonts w:ascii="Arial" w:hAnsi="Arial" w:cs="Arial"/>
        </w:rPr>
        <w:t>Nanopesticides</w:t>
      </w:r>
      <w:proofErr w:type="spellEnd"/>
      <w:r w:rsidRPr="0084071C">
        <w:rPr>
          <w:rFonts w:ascii="Arial" w:hAnsi="Arial" w:cs="Arial"/>
        </w:rPr>
        <w:t xml:space="preserve"> exert insecticidal effects through diverse mechanisms that differ from and often complement conventional pesticide modes of action. Enhanced cuticle penetration results from the nanoscale dimensions and high surface energy of nanoparticles, facilitating entry through cuticular pores and intersegmental membranes (</w:t>
      </w:r>
      <w:proofErr w:type="spellStart"/>
      <w:r w:rsidRPr="0084071C">
        <w:rPr>
          <w:rFonts w:ascii="Arial" w:hAnsi="Arial" w:cs="Arial"/>
        </w:rPr>
        <w:t>Kariyanna</w:t>
      </w:r>
      <w:proofErr w:type="spellEnd"/>
      <w:r w:rsidRPr="0084071C">
        <w:rPr>
          <w:rFonts w:ascii="Arial" w:hAnsi="Arial" w:cs="Arial"/>
        </w:rPr>
        <w:t xml:space="preserve"> &amp; </w:t>
      </w:r>
      <w:proofErr w:type="spellStart"/>
      <w:r w:rsidRPr="0084071C">
        <w:rPr>
          <w:rFonts w:ascii="Arial" w:hAnsi="Arial" w:cs="Arial"/>
        </w:rPr>
        <w:t>Sowjanya</w:t>
      </w:r>
      <w:proofErr w:type="spellEnd"/>
      <w:r w:rsidRPr="0084071C">
        <w:rPr>
          <w:rFonts w:ascii="Arial" w:hAnsi="Arial" w:cs="Arial"/>
        </w:rPr>
        <w:t>, 2025). Oxidative stress induction occurs when metal oxide nanoparticles generate reactive oxygen species within insect cells, overwhelming antioxidant defense systems and causing cellular damage (Mohapatra et al., 2024). Physical damage mechanisms include abrasion of protective cuticle layers, disruption of cellular membranes, and blockage of respiratory spiracles, particularly relevant for silica and other inorganic nanoparticles (Singh et al., 2024). Sustained release of encapsulated insecticides from nanocarriers maintains toxic concentrations over extended periods, improving control of pests with overlapping generations and reducing selection pressure for resistance (Rathore et al., 2024). Targeted gene silencing through nanocarrier-delivered RNAi molecules represents a highly specific mechanism, enabling suppression of essential genes involved in development, reproduction, or detoxification (</w:t>
      </w:r>
      <w:proofErr w:type="spellStart"/>
      <w:r w:rsidRPr="0084071C">
        <w:rPr>
          <w:rFonts w:ascii="Arial" w:hAnsi="Arial" w:cs="Arial"/>
        </w:rPr>
        <w:t>Kansotia</w:t>
      </w:r>
      <w:proofErr w:type="spellEnd"/>
      <w:r w:rsidRPr="0084071C">
        <w:rPr>
          <w:rFonts w:ascii="Arial" w:hAnsi="Arial" w:cs="Arial"/>
        </w:rPr>
        <w:t xml:space="preserve"> et al., 2024; Awasthi et al., 2025).</w:t>
      </w:r>
    </w:p>
    <w:p w14:paraId="5179DA76" w14:textId="77777777" w:rsidR="00141945" w:rsidRPr="0084071C" w:rsidRDefault="00141945" w:rsidP="0084071C">
      <w:pPr>
        <w:jc w:val="both"/>
        <w:rPr>
          <w:rFonts w:ascii="Arial" w:hAnsi="Arial" w:cs="Arial"/>
        </w:rPr>
      </w:pPr>
    </w:p>
    <w:p w14:paraId="12DBBF46" w14:textId="77777777" w:rsidR="0084071C" w:rsidRPr="0084071C" w:rsidRDefault="0084071C" w:rsidP="0084071C">
      <w:pPr>
        <w:jc w:val="both"/>
        <w:rPr>
          <w:rFonts w:ascii="Arial" w:hAnsi="Arial" w:cs="Arial"/>
          <w:b/>
          <w:bCs/>
        </w:rPr>
      </w:pPr>
      <w:r w:rsidRPr="0084071C">
        <w:rPr>
          <w:rFonts w:ascii="Arial" w:hAnsi="Arial" w:cs="Arial"/>
          <w:b/>
          <w:bCs/>
        </w:rPr>
        <w:t xml:space="preserve">3.4 Efficacy and Field Performance of </w:t>
      </w:r>
      <w:proofErr w:type="spellStart"/>
      <w:r w:rsidRPr="0084071C">
        <w:rPr>
          <w:rFonts w:ascii="Arial" w:hAnsi="Arial" w:cs="Arial"/>
          <w:b/>
          <w:bCs/>
        </w:rPr>
        <w:t>Nanopesticides</w:t>
      </w:r>
      <w:proofErr w:type="spellEnd"/>
    </w:p>
    <w:p w14:paraId="1345969B" w14:textId="77777777" w:rsidR="0084071C" w:rsidRPr="0084071C" w:rsidRDefault="0084071C" w:rsidP="0084071C">
      <w:pPr>
        <w:jc w:val="both"/>
        <w:rPr>
          <w:rFonts w:ascii="Arial" w:hAnsi="Arial" w:cs="Arial"/>
        </w:rPr>
      </w:pPr>
      <w:r w:rsidRPr="0084071C">
        <w:rPr>
          <w:rFonts w:ascii="Arial" w:hAnsi="Arial" w:cs="Arial"/>
        </w:rPr>
        <w:t xml:space="preserve">Laboratory and field evaluations of </w:t>
      </w:r>
      <w:proofErr w:type="spellStart"/>
      <w:r w:rsidRPr="0084071C">
        <w:rPr>
          <w:rFonts w:ascii="Arial" w:hAnsi="Arial" w:cs="Arial"/>
        </w:rPr>
        <w:t>nanopesticides</w:t>
      </w:r>
      <w:proofErr w:type="spellEnd"/>
      <w:r w:rsidRPr="0084071C">
        <w:rPr>
          <w:rFonts w:ascii="Arial" w:hAnsi="Arial" w:cs="Arial"/>
        </w:rPr>
        <w:t xml:space="preserve"> for rice insect pest management have yielded encouraging results, although performance varies depending on formulation characteristics, application methods, and environmental conditions. Controlled-environment studies demonstrate that </w:t>
      </w:r>
      <w:proofErr w:type="spellStart"/>
      <w:r w:rsidRPr="0084071C">
        <w:rPr>
          <w:rFonts w:ascii="Arial" w:hAnsi="Arial" w:cs="Arial"/>
        </w:rPr>
        <w:t>nanoformulations</w:t>
      </w:r>
      <w:proofErr w:type="spellEnd"/>
      <w:r w:rsidRPr="0084071C">
        <w:rPr>
          <w:rFonts w:ascii="Arial" w:hAnsi="Arial" w:cs="Arial"/>
        </w:rPr>
        <w:t xml:space="preserve"> typically exhibit superior efficacy compared to conventional formulations at equivalent or reduced active ingredient concentrations (Mohapatra et al., 2024). Enhanced residual activity of </w:t>
      </w:r>
      <w:proofErr w:type="spellStart"/>
      <w:r w:rsidRPr="0084071C">
        <w:rPr>
          <w:rFonts w:ascii="Arial" w:hAnsi="Arial" w:cs="Arial"/>
        </w:rPr>
        <w:t>nanopesticides</w:t>
      </w:r>
      <w:proofErr w:type="spellEnd"/>
      <w:r w:rsidRPr="0084071C">
        <w:rPr>
          <w:rFonts w:ascii="Arial" w:hAnsi="Arial" w:cs="Arial"/>
        </w:rPr>
        <w:t xml:space="preserve"> extends protection periods, reducing the frequency of applications required for season-long pest management (Rathore et al., 2024). Field trials indicate that </w:t>
      </w:r>
      <w:proofErr w:type="spellStart"/>
      <w:r w:rsidRPr="0084071C">
        <w:rPr>
          <w:rFonts w:ascii="Arial" w:hAnsi="Arial" w:cs="Arial"/>
        </w:rPr>
        <w:t>nanopesticide</w:t>
      </w:r>
      <w:proofErr w:type="spellEnd"/>
      <w:r w:rsidRPr="0084071C">
        <w:rPr>
          <w:rFonts w:ascii="Arial" w:hAnsi="Arial" w:cs="Arial"/>
        </w:rPr>
        <w:t xml:space="preserve"> formulations can achieve comparable or superior pest control relative to conventional products while reducing total pesticide loads by 30–50% (</w:t>
      </w:r>
      <w:proofErr w:type="spellStart"/>
      <w:r w:rsidRPr="0084071C">
        <w:rPr>
          <w:rFonts w:ascii="Arial" w:hAnsi="Arial" w:cs="Arial"/>
        </w:rPr>
        <w:t>Kariyanna</w:t>
      </w:r>
      <w:proofErr w:type="spellEnd"/>
      <w:r w:rsidRPr="0084071C">
        <w:rPr>
          <w:rFonts w:ascii="Arial" w:hAnsi="Arial" w:cs="Arial"/>
        </w:rPr>
        <w:t xml:space="preserve"> &amp; </w:t>
      </w:r>
      <w:proofErr w:type="spellStart"/>
      <w:r w:rsidRPr="0084071C">
        <w:rPr>
          <w:rFonts w:ascii="Arial" w:hAnsi="Arial" w:cs="Arial"/>
        </w:rPr>
        <w:t>Sowjanya</w:t>
      </w:r>
      <w:proofErr w:type="spellEnd"/>
      <w:r w:rsidRPr="0084071C">
        <w:rPr>
          <w:rFonts w:ascii="Arial" w:hAnsi="Arial" w:cs="Arial"/>
        </w:rPr>
        <w:t xml:space="preserve">, 2025). However, field efficacy can be influenced by environmental factors including rainfall, temperature, and ultraviolet radiation, necessitating formulation optimization for specific agroecological contexts (Singh et al., 2024). Integration of </w:t>
      </w:r>
      <w:proofErr w:type="spellStart"/>
      <w:r w:rsidRPr="0084071C">
        <w:rPr>
          <w:rFonts w:ascii="Arial" w:hAnsi="Arial" w:cs="Arial"/>
        </w:rPr>
        <w:t>nanopesticides</w:t>
      </w:r>
      <w:proofErr w:type="spellEnd"/>
      <w:r w:rsidRPr="0084071C">
        <w:rPr>
          <w:rFonts w:ascii="Arial" w:hAnsi="Arial" w:cs="Arial"/>
        </w:rPr>
        <w:t xml:space="preserve"> with other pest management tactics, including host plant resistance, biological control, and cultural practices, enhances overall system performance and sustainability (Mohapatra et al., 2024). </w:t>
      </w:r>
      <w:r w:rsidRPr="0084071C">
        <w:rPr>
          <w:rFonts w:ascii="Arial" w:hAnsi="Arial" w:cs="Arial"/>
          <w:b/>
          <w:bCs/>
        </w:rPr>
        <w:t>Table 5</w:t>
      </w:r>
      <w:r w:rsidRPr="0084071C">
        <w:rPr>
          <w:rFonts w:ascii="Arial" w:hAnsi="Arial" w:cs="Arial"/>
        </w:rPr>
        <w:t xml:space="preserve"> summarizes efficacy data from selected studies on </w:t>
      </w:r>
      <w:proofErr w:type="spellStart"/>
      <w:r w:rsidRPr="0084071C">
        <w:rPr>
          <w:rFonts w:ascii="Arial" w:hAnsi="Arial" w:cs="Arial"/>
        </w:rPr>
        <w:t>nanopesticides</w:t>
      </w:r>
      <w:proofErr w:type="spellEnd"/>
      <w:r w:rsidRPr="0084071C">
        <w:rPr>
          <w:rFonts w:ascii="Arial" w:hAnsi="Arial" w:cs="Arial"/>
        </w:rPr>
        <w:t xml:space="preserve"> for rice insect pest control.</w:t>
      </w:r>
    </w:p>
    <w:p w14:paraId="6FAF784B" w14:textId="77777777" w:rsidR="0084071C" w:rsidRPr="0084071C" w:rsidRDefault="0084071C" w:rsidP="0084071C">
      <w:pPr>
        <w:jc w:val="both"/>
        <w:rPr>
          <w:rFonts w:ascii="Arial" w:hAnsi="Arial" w:cs="Arial"/>
        </w:rPr>
      </w:pPr>
    </w:p>
    <w:p w14:paraId="39A6DA18" w14:textId="77777777" w:rsidR="0084071C" w:rsidRPr="0084071C" w:rsidRDefault="0084071C" w:rsidP="0084071C">
      <w:pPr>
        <w:jc w:val="both"/>
        <w:rPr>
          <w:rFonts w:ascii="Arial" w:hAnsi="Arial" w:cs="Arial"/>
          <w:b/>
          <w:bCs/>
        </w:rPr>
      </w:pPr>
    </w:p>
    <w:p w14:paraId="7A459041" w14:textId="77777777" w:rsidR="0084071C" w:rsidRPr="0084071C" w:rsidRDefault="0084071C" w:rsidP="0084071C">
      <w:pPr>
        <w:jc w:val="both"/>
        <w:rPr>
          <w:rFonts w:ascii="Arial" w:hAnsi="Arial" w:cs="Arial"/>
          <w:b/>
          <w:bCs/>
        </w:rPr>
      </w:pPr>
    </w:p>
    <w:p w14:paraId="59BC154F" w14:textId="77777777" w:rsidR="0084071C" w:rsidRDefault="0084071C" w:rsidP="0084071C">
      <w:pPr>
        <w:jc w:val="both"/>
        <w:rPr>
          <w:rFonts w:ascii="Arial" w:hAnsi="Arial" w:cs="Arial"/>
          <w:b/>
          <w:bCs/>
        </w:rPr>
      </w:pPr>
    </w:p>
    <w:p w14:paraId="0F7DF1C4" w14:textId="77777777" w:rsidR="00141945" w:rsidRDefault="00141945" w:rsidP="0084071C">
      <w:pPr>
        <w:jc w:val="both"/>
        <w:rPr>
          <w:rFonts w:ascii="Arial" w:hAnsi="Arial" w:cs="Arial"/>
          <w:b/>
          <w:bCs/>
        </w:rPr>
      </w:pPr>
    </w:p>
    <w:p w14:paraId="514FB1F9" w14:textId="77777777" w:rsidR="00141945" w:rsidRDefault="00141945" w:rsidP="0084071C">
      <w:pPr>
        <w:jc w:val="both"/>
        <w:rPr>
          <w:rFonts w:ascii="Arial" w:hAnsi="Arial" w:cs="Arial"/>
          <w:b/>
          <w:bCs/>
        </w:rPr>
      </w:pPr>
    </w:p>
    <w:p w14:paraId="3D3296F1" w14:textId="77777777" w:rsidR="00141945" w:rsidRDefault="00141945" w:rsidP="0084071C">
      <w:pPr>
        <w:jc w:val="both"/>
        <w:rPr>
          <w:rFonts w:ascii="Arial" w:hAnsi="Arial" w:cs="Arial"/>
          <w:b/>
          <w:bCs/>
        </w:rPr>
      </w:pPr>
    </w:p>
    <w:p w14:paraId="69FB934B" w14:textId="77777777" w:rsidR="00141945" w:rsidRDefault="00141945" w:rsidP="0084071C">
      <w:pPr>
        <w:jc w:val="both"/>
        <w:rPr>
          <w:rFonts w:ascii="Arial" w:hAnsi="Arial" w:cs="Arial"/>
          <w:b/>
          <w:bCs/>
        </w:rPr>
      </w:pPr>
    </w:p>
    <w:p w14:paraId="300CCA0B" w14:textId="77777777" w:rsidR="00141945" w:rsidRDefault="00141945" w:rsidP="0084071C">
      <w:pPr>
        <w:jc w:val="both"/>
        <w:rPr>
          <w:rFonts w:ascii="Arial" w:hAnsi="Arial" w:cs="Arial"/>
          <w:b/>
          <w:bCs/>
        </w:rPr>
      </w:pPr>
    </w:p>
    <w:p w14:paraId="52C19471" w14:textId="77777777" w:rsidR="00141945" w:rsidRDefault="00141945" w:rsidP="0084071C">
      <w:pPr>
        <w:jc w:val="both"/>
        <w:rPr>
          <w:rFonts w:ascii="Arial" w:hAnsi="Arial" w:cs="Arial"/>
          <w:b/>
          <w:bCs/>
        </w:rPr>
      </w:pPr>
    </w:p>
    <w:p w14:paraId="79A33923" w14:textId="77777777" w:rsidR="00141945" w:rsidRDefault="00141945" w:rsidP="0084071C">
      <w:pPr>
        <w:jc w:val="both"/>
        <w:rPr>
          <w:rFonts w:ascii="Arial" w:hAnsi="Arial" w:cs="Arial"/>
          <w:b/>
          <w:bCs/>
        </w:rPr>
      </w:pPr>
    </w:p>
    <w:p w14:paraId="781AAB09" w14:textId="77777777" w:rsidR="00141945" w:rsidRDefault="00141945" w:rsidP="0084071C">
      <w:pPr>
        <w:jc w:val="both"/>
        <w:rPr>
          <w:rFonts w:ascii="Arial" w:hAnsi="Arial" w:cs="Arial"/>
          <w:b/>
          <w:bCs/>
        </w:rPr>
      </w:pPr>
    </w:p>
    <w:p w14:paraId="7ED90CFD" w14:textId="77777777" w:rsidR="00141945" w:rsidRDefault="00141945" w:rsidP="0084071C">
      <w:pPr>
        <w:jc w:val="both"/>
        <w:rPr>
          <w:rFonts w:ascii="Arial" w:hAnsi="Arial" w:cs="Arial"/>
          <w:b/>
          <w:bCs/>
        </w:rPr>
      </w:pPr>
    </w:p>
    <w:p w14:paraId="71550BC9" w14:textId="77777777" w:rsidR="00141945" w:rsidRDefault="00141945" w:rsidP="0084071C">
      <w:pPr>
        <w:jc w:val="both"/>
        <w:rPr>
          <w:rFonts w:ascii="Arial" w:hAnsi="Arial" w:cs="Arial"/>
          <w:b/>
          <w:bCs/>
        </w:rPr>
      </w:pPr>
    </w:p>
    <w:p w14:paraId="09E34F14" w14:textId="77777777" w:rsidR="00141945" w:rsidRDefault="00141945" w:rsidP="0084071C">
      <w:pPr>
        <w:jc w:val="both"/>
        <w:rPr>
          <w:rFonts w:ascii="Arial" w:hAnsi="Arial" w:cs="Arial"/>
          <w:b/>
          <w:bCs/>
        </w:rPr>
      </w:pPr>
    </w:p>
    <w:p w14:paraId="2BF7EA28" w14:textId="77777777" w:rsidR="00141945" w:rsidRDefault="00141945" w:rsidP="0084071C">
      <w:pPr>
        <w:jc w:val="both"/>
        <w:rPr>
          <w:rFonts w:ascii="Arial" w:hAnsi="Arial" w:cs="Arial"/>
          <w:b/>
          <w:bCs/>
        </w:rPr>
      </w:pPr>
    </w:p>
    <w:p w14:paraId="336D73A0" w14:textId="77777777" w:rsidR="00141945" w:rsidRDefault="00141945" w:rsidP="0084071C">
      <w:pPr>
        <w:jc w:val="both"/>
        <w:rPr>
          <w:rFonts w:ascii="Arial" w:hAnsi="Arial" w:cs="Arial"/>
          <w:b/>
          <w:bCs/>
        </w:rPr>
      </w:pPr>
    </w:p>
    <w:p w14:paraId="5CED42AC" w14:textId="77777777" w:rsidR="00141945" w:rsidRDefault="00141945" w:rsidP="0084071C">
      <w:pPr>
        <w:jc w:val="both"/>
        <w:rPr>
          <w:rFonts w:ascii="Arial" w:hAnsi="Arial" w:cs="Arial"/>
          <w:b/>
          <w:bCs/>
        </w:rPr>
      </w:pPr>
    </w:p>
    <w:p w14:paraId="010DA3E8" w14:textId="77777777" w:rsidR="00141945" w:rsidRDefault="00141945" w:rsidP="0084071C">
      <w:pPr>
        <w:jc w:val="both"/>
        <w:rPr>
          <w:rFonts w:ascii="Arial" w:hAnsi="Arial" w:cs="Arial"/>
          <w:b/>
          <w:bCs/>
        </w:rPr>
      </w:pPr>
    </w:p>
    <w:p w14:paraId="7AF27BC8" w14:textId="77777777" w:rsidR="00141945" w:rsidRDefault="00141945" w:rsidP="0084071C">
      <w:pPr>
        <w:jc w:val="both"/>
        <w:rPr>
          <w:rFonts w:ascii="Arial" w:hAnsi="Arial" w:cs="Arial"/>
          <w:b/>
          <w:bCs/>
        </w:rPr>
      </w:pPr>
    </w:p>
    <w:p w14:paraId="7750695D" w14:textId="77777777" w:rsidR="00141945" w:rsidRDefault="00141945" w:rsidP="0084071C">
      <w:pPr>
        <w:jc w:val="both"/>
        <w:rPr>
          <w:rFonts w:ascii="Arial" w:hAnsi="Arial" w:cs="Arial"/>
          <w:b/>
          <w:bCs/>
        </w:rPr>
      </w:pPr>
    </w:p>
    <w:p w14:paraId="0E36143E" w14:textId="77777777" w:rsidR="00141945" w:rsidRDefault="00141945" w:rsidP="0084071C">
      <w:pPr>
        <w:jc w:val="both"/>
        <w:rPr>
          <w:rFonts w:ascii="Arial" w:hAnsi="Arial" w:cs="Arial"/>
          <w:b/>
          <w:bCs/>
        </w:rPr>
      </w:pPr>
    </w:p>
    <w:p w14:paraId="59088B8B" w14:textId="77777777" w:rsidR="00141945" w:rsidRDefault="00141945" w:rsidP="0084071C">
      <w:pPr>
        <w:jc w:val="both"/>
        <w:rPr>
          <w:rFonts w:ascii="Arial" w:hAnsi="Arial" w:cs="Arial"/>
          <w:b/>
          <w:bCs/>
        </w:rPr>
      </w:pPr>
    </w:p>
    <w:p w14:paraId="40EC39A2" w14:textId="77777777" w:rsidR="00141945" w:rsidRDefault="00141945" w:rsidP="0084071C">
      <w:pPr>
        <w:jc w:val="both"/>
        <w:rPr>
          <w:rFonts w:ascii="Arial" w:hAnsi="Arial" w:cs="Arial"/>
          <w:b/>
          <w:bCs/>
        </w:rPr>
      </w:pPr>
    </w:p>
    <w:p w14:paraId="0C88300C" w14:textId="77777777" w:rsidR="00141945" w:rsidRDefault="00141945" w:rsidP="0084071C">
      <w:pPr>
        <w:jc w:val="both"/>
        <w:rPr>
          <w:rFonts w:ascii="Arial" w:hAnsi="Arial" w:cs="Arial"/>
          <w:b/>
          <w:bCs/>
        </w:rPr>
      </w:pPr>
    </w:p>
    <w:p w14:paraId="361B5F44" w14:textId="77777777" w:rsidR="00141945" w:rsidRDefault="00141945" w:rsidP="0084071C">
      <w:pPr>
        <w:jc w:val="both"/>
        <w:rPr>
          <w:rFonts w:ascii="Arial" w:hAnsi="Arial" w:cs="Arial"/>
          <w:b/>
          <w:bCs/>
        </w:rPr>
      </w:pPr>
    </w:p>
    <w:p w14:paraId="6A61D656" w14:textId="77777777" w:rsidR="00141945" w:rsidRDefault="00141945" w:rsidP="0084071C">
      <w:pPr>
        <w:jc w:val="both"/>
        <w:rPr>
          <w:rFonts w:ascii="Arial" w:hAnsi="Arial" w:cs="Arial"/>
          <w:b/>
          <w:bCs/>
        </w:rPr>
      </w:pPr>
    </w:p>
    <w:p w14:paraId="4C5CAC39" w14:textId="77777777" w:rsidR="00141945" w:rsidRPr="0084071C" w:rsidRDefault="00141945" w:rsidP="0084071C">
      <w:pPr>
        <w:jc w:val="both"/>
        <w:rPr>
          <w:rFonts w:ascii="Arial" w:hAnsi="Arial" w:cs="Arial"/>
          <w:b/>
          <w:bCs/>
        </w:rPr>
      </w:pPr>
    </w:p>
    <w:p w14:paraId="1F8A4FBE" w14:textId="77777777" w:rsidR="0084071C" w:rsidRPr="0084071C" w:rsidRDefault="0084071C" w:rsidP="0084071C">
      <w:pPr>
        <w:jc w:val="both"/>
        <w:rPr>
          <w:rFonts w:ascii="Arial" w:hAnsi="Arial" w:cs="Arial"/>
        </w:rPr>
      </w:pPr>
      <w:r w:rsidRPr="0084071C">
        <w:rPr>
          <w:rFonts w:ascii="Arial" w:hAnsi="Arial" w:cs="Arial"/>
          <w:b/>
          <w:bCs/>
        </w:rPr>
        <w:t>Table 5.</w:t>
      </w:r>
      <w:r w:rsidRPr="0084071C">
        <w:rPr>
          <w:rFonts w:ascii="Arial" w:hAnsi="Arial" w:cs="Arial"/>
        </w:rPr>
        <w:t xml:space="preserve"> Efficacy of </w:t>
      </w:r>
      <w:proofErr w:type="spellStart"/>
      <w:r w:rsidRPr="0084071C">
        <w:rPr>
          <w:rFonts w:ascii="Arial" w:hAnsi="Arial" w:cs="Arial"/>
        </w:rPr>
        <w:t>Nanopesticides</w:t>
      </w:r>
      <w:proofErr w:type="spellEnd"/>
      <w:r w:rsidRPr="0084071C">
        <w:rPr>
          <w:rFonts w:ascii="Arial" w:hAnsi="Arial" w:cs="Arial"/>
        </w:rPr>
        <w:t xml:space="preserve"> Against Major Rice Insect Pests</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01"/>
        <w:gridCol w:w="1730"/>
        <w:gridCol w:w="1460"/>
        <w:gridCol w:w="994"/>
        <w:gridCol w:w="994"/>
        <w:gridCol w:w="1397"/>
        <w:gridCol w:w="1202"/>
        <w:gridCol w:w="1222"/>
      </w:tblGrid>
      <w:tr w:rsidR="00863CA1" w:rsidRPr="0084071C" w14:paraId="3AE4E9B9" w14:textId="77777777" w:rsidTr="00863CA1">
        <w:trPr>
          <w:trHeight w:val="600"/>
        </w:trPr>
        <w:tc>
          <w:tcPr>
            <w:tcW w:w="836" w:type="pct"/>
            <w:tcBorders>
              <w:top w:val="single" w:sz="4" w:space="0" w:color="auto"/>
              <w:bottom w:val="single" w:sz="4" w:space="0" w:color="auto"/>
            </w:tcBorders>
            <w:hideMark/>
          </w:tcPr>
          <w:p w14:paraId="1821EFE9"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Pest Species</w:t>
            </w:r>
          </w:p>
        </w:tc>
        <w:tc>
          <w:tcPr>
            <w:tcW w:w="802" w:type="pct"/>
            <w:tcBorders>
              <w:top w:val="single" w:sz="4" w:space="0" w:color="auto"/>
              <w:bottom w:val="single" w:sz="4" w:space="0" w:color="auto"/>
            </w:tcBorders>
            <w:hideMark/>
          </w:tcPr>
          <w:p w14:paraId="68FD86D9" w14:textId="77777777" w:rsidR="0084071C" w:rsidRPr="0084071C" w:rsidRDefault="0084071C" w:rsidP="00C04C25">
            <w:pPr>
              <w:spacing w:after="160" w:line="278" w:lineRule="auto"/>
              <w:jc w:val="both"/>
              <w:rPr>
                <w:rFonts w:ascii="Arial" w:hAnsi="Arial" w:cs="Arial"/>
                <w:b/>
                <w:bCs/>
                <w:sz w:val="20"/>
                <w:szCs w:val="20"/>
              </w:rPr>
            </w:pPr>
            <w:proofErr w:type="spellStart"/>
            <w:r w:rsidRPr="0084071C">
              <w:rPr>
                <w:rFonts w:ascii="Arial" w:hAnsi="Arial" w:cs="Arial"/>
                <w:b/>
                <w:bCs/>
                <w:sz w:val="20"/>
                <w:szCs w:val="20"/>
              </w:rPr>
              <w:t>Nanopesticide</w:t>
            </w:r>
            <w:proofErr w:type="spellEnd"/>
            <w:r w:rsidRPr="0084071C">
              <w:rPr>
                <w:rFonts w:ascii="Arial" w:hAnsi="Arial" w:cs="Arial"/>
                <w:b/>
                <w:bCs/>
                <w:sz w:val="20"/>
                <w:szCs w:val="20"/>
              </w:rPr>
              <w:t xml:space="preserve"> Formulation</w:t>
            </w:r>
          </w:p>
        </w:tc>
        <w:tc>
          <w:tcPr>
            <w:tcW w:w="676" w:type="pct"/>
            <w:tcBorders>
              <w:top w:val="single" w:sz="4" w:space="0" w:color="auto"/>
              <w:bottom w:val="single" w:sz="4" w:space="0" w:color="auto"/>
            </w:tcBorders>
            <w:hideMark/>
          </w:tcPr>
          <w:p w14:paraId="612B1E6D"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Dose (Relative to Conventional)</w:t>
            </w:r>
          </w:p>
        </w:tc>
        <w:tc>
          <w:tcPr>
            <w:tcW w:w="459" w:type="pct"/>
            <w:tcBorders>
              <w:top w:val="single" w:sz="4" w:space="0" w:color="auto"/>
              <w:bottom w:val="single" w:sz="4" w:space="0" w:color="auto"/>
            </w:tcBorders>
            <w:hideMark/>
          </w:tcPr>
          <w:p w14:paraId="4E3B3581"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Mortality (%)</w:t>
            </w:r>
          </w:p>
        </w:tc>
        <w:tc>
          <w:tcPr>
            <w:tcW w:w="459" w:type="pct"/>
            <w:tcBorders>
              <w:top w:val="single" w:sz="4" w:space="0" w:color="auto"/>
              <w:bottom w:val="single" w:sz="4" w:space="0" w:color="auto"/>
            </w:tcBorders>
            <w:hideMark/>
          </w:tcPr>
          <w:p w14:paraId="50808402"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Residual Activity (Days)</w:t>
            </w:r>
          </w:p>
        </w:tc>
        <w:tc>
          <w:tcPr>
            <w:tcW w:w="647" w:type="pct"/>
            <w:tcBorders>
              <w:top w:val="single" w:sz="4" w:space="0" w:color="auto"/>
              <w:bottom w:val="single" w:sz="4" w:space="0" w:color="auto"/>
            </w:tcBorders>
            <w:hideMark/>
          </w:tcPr>
          <w:p w14:paraId="6D551B03"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Comparison with Conventional</w:t>
            </w:r>
          </w:p>
        </w:tc>
        <w:tc>
          <w:tcPr>
            <w:tcW w:w="556" w:type="pct"/>
            <w:tcBorders>
              <w:top w:val="single" w:sz="4" w:space="0" w:color="auto"/>
              <w:bottom w:val="single" w:sz="4" w:space="0" w:color="auto"/>
            </w:tcBorders>
            <w:hideMark/>
          </w:tcPr>
          <w:p w14:paraId="74FA3D92"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Study Type</w:t>
            </w:r>
          </w:p>
        </w:tc>
        <w:tc>
          <w:tcPr>
            <w:tcW w:w="566" w:type="pct"/>
            <w:tcBorders>
              <w:top w:val="single" w:sz="4" w:space="0" w:color="auto"/>
              <w:bottom w:val="single" w:sz="4" w:space="0" w:color="auto"/>
            </w:tcBorders>
            <w:hideMark/>
          </w:tcPr>
          <w:p w14:paraId="3F18F111"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References</w:t>
            </w:r>
          </w:p>
        </w:tc>
      </w:tr>
      <w:tr w:rsidR="00863CA1" w:rsidRPr="0084071C" w14:paraId="14FD12D6" w14:textId="77777777" w:rsidTr="00863CA1">
        <w:tc>
          <w:tcPr>
            <w:tcW w:w="836" w:type="pct"/>
            <w:tcBorders>
              <w:top w:val="single" w:sz="4" w:space="0" w:color="auto"/>
            </w:tcBorders>
            <w:hideMark/>
          </w:tcPr>
          <w:p w14:paraId="7AE74228" w14:textId="593A7308" w:rsidR="0084071C" w:rsidRPr="0084071C" w:rsidRDefault="00141945" w:rsidP="00C04C25">
            <w:pPr>
              <w:spacing w:after="160" w:line="278" w:lineRule="auto"/>
              <w:jc w:val="both"/>
              <w:rPr>
                <w:rFonts w:ascii="Arial" w:hAnsi="Arial" w:cs="Arial"/>
                <w:sz w:val="20"/>
                <w:szCs w:val="20"/>
              </w:rPr>
            </w:pPr>
            <w:proofErr w:type="spellStart"/>
            <w:r w:rsidRPr="00141945">
              <w:rPr>
                <w:rFonts w:ascii="Arial" w:hAnsi="Arial" w:cs="Arial"/>
                <w:i/>
                <w:iCs/>
                <w:sz w:val="20"/>
                <w:szCs w:val="20"/>
              </w:rPr>
              <w:t>Nilaparvata</w:t>
            </w:r>
            <w:proofErr w:type="spellEnd"/>
            <w:r w:rsidRPr="00141945">
              <w:rPr>
                <w:rFonts w:ascii="Arial" w:hAnsi="Arial" w:cs="Arial"/>
                <w:i/>
                <w:iCs/>
                <w:sz w:val="20"/>
                <w:szCs w:val="20"/>
              </w:rPr>
              <w:t xml:space="preserve"> </w:t>
            </w:r>
            <w:proofErr w:type="spellStart"/>
            <w:r w:rsidRPr="00141945">
              <w:rPr>
                <w:rFonts w:ascii="Arial" w:hAnsi="Arial" w:cs="Arial"/>
                <w:i/>
                <w:iCs/>
                <w:sz w:val="20"/>
                <w:szCs w:val="20"/>
              </w:rPr>
              <w:t>lugens</w:t>
            </w:r>
            <w:proofErr w:type="spellEnd"/>
            <w:r w:rsidR="0084071C" w:rsidRPr="0084071C">
              <w:rPr>
                <w:rFonts w:ascii="Arial" w:hAnsi="Arial" w:cs="Arial"/>
                <w:sz w:val="20"/>
                <w:szCs w:val="20"/>
              </w:rPr>
              <w:t> (BPH)</w:t>
            </w:r>
          </w:p>
        </w:tc>
        <w:tc>
          <w:tcPr>
            <w:tcW w:w="802" w:type="pct"/>
            <w:tcBorders>
              <w:top w:val="single" w:sz="4" w:space="0" w:color="auto"/>
            </w:tcBorders>
            <w:hideMark/>
          </w:tcPr>
          <w:p w14:paraId="14E20493"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Imidacloprid-loaded PLGA NPs</w:t>
            </w:r>
          </w:p>
        </w:tc>
        <w:tc>
          <w:tcPr>
            <w:tcW w:w="676" w:type="pct"/>
            <w:tcBorders>
              <w:top w:val="single" w:sz="4" w:space="0" w:color="auto"/>
            </w:tcBorders>
            <w:hideMark/>
          </w:tcPr>
          <w:p w14:paraId="3DD6419C"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50%</w:t>
            </w:r>
          </w:p>
        </w:tc>
        <w:tc>
          <w:tcPr>
            <w:tcW w:w="459" w:type="pct"/>
            <w:tcBorders>
              <w:top w:val="single" w:sz="4" w:space="0" w:color="auto"/>
            </w:tcBorders>
            <w:hideMark/>
          </w:tcPr>
          <w:p w14:paraId="5F9FDF14"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85–92</w:t>
            </w:r>
          </w:p>
        </w:tc>
        <w:tc>
          <w:tcPr>
            <w:tcW w:w="459" w:type="pct"/>
            <w:tcBorders>
              <w:top w:val="single" w:sz="4" w:space="0" w:color="auto"/>
            </w:tcBorders>
            <w:hideMark/>
          </w:tcPr>
          <w:p w14:paraId="133DE134"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21–28</w:t>
            </w:r>
          </w:p>
        </w:tc>
        <w:tc>
          <w:tcPr>
            <w:tcW w:w="647" w:type="pct"/>
            <w:tcBorders>
              <w:top w:val="single" w:sz="4" w:space="0" w:color="auto"/>
            </w:tcBorders>
            <w:hideMark/>
          </w:tcPr>
          <w:p w14:paraId="47F540B0"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+15% mortality; 2× longer residual</w:t>
            </w:r>
          </w:p>
        </w:tc>
        <w:tc>
          <w:tcPr>
            <w:tcW w:w="556" w:type="pct"/>
            <w:tcBorders>
              <w:top w:val="single" w:sz="4" w:space="0" w:color="auto"/>
            </w:tcBorders>
            <w:hideMark/>
          </w:tcPr>
          <w:p w14:paraId="26BF6DA4"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Lab &amp; greenhouse</w:t>
            </w:r>
          </w:p>
        </w:tc>
        <w:tc>
          <w:tcPr>
            <w:tcW w:w="566" w:type="pct"/>
            <w:tcBorders>
              <w:top w:val="single" w:sz="4" w:space="0" w:color="auto"/>
            </w:tcBorders>
            <w:hideMark/>
          </w:tcPr>
          <w:p w14:paraId="18DDEDEB"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Rathore et al., 2024</w:t>
            </w:r>
          </w:p>
        </w:tc>
      </w:tr>
      <w:tr w:rsidR="00863CA1" w:rsidRPr="0084071C" w14:paraId="10556D33" w14:textId="77777777" w:rsidTr="00863CA1">
        <w:tc>
          <w:tcPr>
            <w:tcW w:w="836" w:type="pct"/>
            <w:hideMark/>
          </w:tcPr>
          <w:p w14:paraId="4BC853A3" w14:textId="0BF05452" w:rsidR="0084071C" w:rsidRPr="0084071C" w:rsidRDefault="00141945" w:rsidP="00C04C25">
            <w:pPr>
              <w:spacing w:after="160" w:line="278" w:lineRule="auto"/>
              <w:jc w:val="both"/>
              <w:rPr>
                <w:rFonts w:ascii="Arial" w:hAnsi="Arial" w:cs="Arial"/>
                <w:sz w:val="20"/>
                <w:szCs w:val="20"/>
              </w:rPr>
            </w:pPr>
            <w:proofErr w:type="spellStart"/>
            <w:r w:rsidRPr="00141945">
              <w:rPr>
                <w:rFonts w:ascii="Arial" w:hAnsi="Arial" w:cs="Arial"/>
                <w:i/>
                <w:iCs/>
                <w:sz w:val="20"/>
                <w:szCs w:val="20"/>
              </w:rPr>
              <w:t>Nilaparvata</w:t>
            </w:r>
            <w:proofErr w:type="spellEnd"/>
            <w:r w:rsidRPr="00141945">
              <w:rPr>
                <w:rFonts w:ascii="Arial" w:hAnsi="Arial" w:cs="Arial"/>
                <w:i/>
                <w:iCs/>
                <w:sz w:val="20"/>
                <w:szCs w:val="20"/>
              </w:rPr>
              <w:t xml:space="preserve"> </w:t>
            </w:r>
            <w:proofErr w:type="spellStart"/>
            <w:r w:rsidRPr="00141945">
              <w:rPr>
                <w:rFonts w:ascii="Arial" w:hAnsi="Arial" w:cs="Arial"/>
                <w:i/>
                <w:iCs/>
                <w:sz w:val="20"/>
                <w:szCs w:val="20"/>
              </w:rPr>
              <w:t>lugens</w:t>
            </w:r>
            <w:proofErr w:type="spellEnd"/>
          </w:p>
        </w:tc>
        <w:tc>
          <w:tcPr>
            <w:tcW w:w="802" w:type="pct"/>
            <w:hideMark/>
          </w:tcPr>
          <w:p w14:paraId="5F3D8162" w14:textId="77777777" w:rsidR="0084071C" w:rsidRPr="0084071C" w:rsidRDefault="0084071C" w:rsidP="00C04C25">
            <w:pPr>
              <w:spacing w:after="160" w:line="278" w:lineRule="auto"/>
              <w:jc w:val="both"/>
              <w:rPr>
                <w:rFonts w:ascii="Arial" w:hAnsi="Arial" w:cs="Arial"/>
                <w:sz w:val="20"/>
                <w:szCs w:val="20"/>
              </w:rPr>
            </w:pPr>
            <w:proofErr w:type="spellStart"/>
            <w:r w:rsidRPr="0084071C">
              <w:rPr>
                <w:rFonts w:ascii="Arial" w:hAnsi="Arial" w:cs="Arial"/>
                <w:sz w:val="20"/>
                <w:szCs w:val="20"/>
              </w:rPr>
              <w:t>ZnO</w:t>
            </w:r>
            <w:proofErr w:type="spellEnd"/>
            <w:r w:rsidRPr="0084071C">
              <w:rPr>
                <w:rFonts w:ascii="Arial" w:hAnsi="Arial" w:cs="Arial"/>
                <w:sz w:val="20"/>
                <w:szCs w:val="20"/>
              </w:rPr>
              <w:t xml:space="preserve"> nanoparticles</w:t>
            </w:r>
          </w:p>
        </w:tc>
        <w:tc>
          <w:tcPr>
            <w:tcW w:w="676" w:type="pct"/>
            <w:hideMark/>
          </w:tcPr>
          <w:p w14:paraId="55997F64"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70%</w:t>
            </w:r>
          </w:p>
        </w:tc>
        <w:tc>
          <w:tcPr>
            <w:tcW w:w="459" w:type="pct"/>
            <w:hideMark/>
          </w:tcPr>
          <w:p w14:paraId="7CB903A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78–85</w:t>
            </w:r>
          </w:p>
        </w:tc>
        <w:tc>
          <w:tcPr>
            <w:tcW w:w="459" w:type="pct"/>
            <w:hideMark/>
          </w:tcPr>
          <w:p w14:paraId="60CE2630"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14–21</w:t>
            </w:r>
          </w:p>
        </w:tc>
        <w:tc>
          <w:tcPr>
            <w:tcW w:w="647" w:type="pct"/>
            <w:hideMark/>
          </w:tcPr>
          <w:p w14:paraId="5F9BD77A"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Comparable mortality; lower dose</w:t>
            </w:r>
          </w:p>
        </w:tc>
        <w:tc>
          <w:tcPr>
            <w:tcW w:w="556" w:type="pct"/>
            <w:hideMark/>
          </w:tcPr>
          <w:p w14:paraId="78A64D91"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Lab</w:t>
            </w:r>
          </w:p>
        </w:tc>
        <w:tc>
          <w:tcPr>
            <w:tcW w:w="566" w:type="pct"/>
            <w:hideMark/>
          </w:tcPr>
          <w:p w14:paraId="1EFAA33F"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Mohapatra et al., 2024</w:t>
            </w:r>
          </w:p>
        </w:tc>
      </w:tr>
      <w:tr w:rsidR="00863CA1" w:rsidRPr="0084071C" w14:paraId="5422423C" w14:textId="77777777" w:rsidTr="00863CA1">
        <w:tc>
          <w:tcPr>
            <w:tcW w:w="836" w:type="pct"/>
            <w:hideMark/>
          </w:tcPr>
          <w:p w14:paraId="384AF1AE" w14:textId="25B6399D" w:rsidR="0084071C" w:rsidRPr="0084071C" w:rsidRDefault="00141945" w:rsidP="00C04C25">
            <w:pPr>
              <w:spacing w:after="160" w:line="278" w:lineRule="auto"/>
              <w:jc w:val="both"/>
              <w:rPr>
                <w:rFonts w:ascii="Arial" w:hAnsi="Arial" w:cs="Arial"/>
                <w:sz w:val="20"/>
                <w:szCs w:val="20"/>
              </w:rPr>
            </w:pPr>
            <w:proofErr w:type="spellStart"/>
            <w:r w:rsidRPr="00141945">
              <w:rPr>
                <w:rFonts w:ascii="Arial" w:hAnsi="Arial" w:cs="Arial"/>
                <w:i/>
                <w:iCs/>
                <w:sz w:val="20"/>
                <w:szCs w:val="20"/>
              </w:rPr>
              <w:t>Nilaparvata</w:t>
            </w:r>
            <w:proofErr w:type="spellEnd"/>
            <w:r w:rsidRPr="00141945">
              <w:rPr>
                <w:rFonts w:ascii="Arial" w:hAnsi="Arial" w:cs="Arial"/>
                <w:i/>
                <w:iCs/>
                <w:sz w:val="20"/>
                <w:szCs w:val="20"/>
              </w:rPr>
              <w:t xml:space="preserve"> </w:t>
            </w:r>
            <w:proofErr w:type="spellStart"/>
            <w:r w:rsidRPr="00141945">
              <w:rPr>
                <w:rFonts w:ascii="Arial" w:hAnsi="Arial" w:cs="Arial"/>
                <w:i/>
                <w:iCs/>
                <w:sz w:val="20"/>
                <w:szCs w:val="20"/>
              </w:rPr>
              <w:t>lugens</w:t>
            </w:r>
            <w:proofErr w:type="spellEnd"/>
          </w:p>
        </w:tc>
        <w:tc>
          <w:tcPr>
            <w:tcW w:w="802" w:type="pct"/>
            <w:hideMark/>
          </w:tcPr>
          <w:p w14:paraId="2E2663DF"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Neem oil-chitosan NPs</w:t>
            </w:r>
          </w:p>
        </w:tc>
        <w:tc>
          <w:tcPr>
            <w:tcW w:w="676" w:type="pct"/>
            <w:hideMark/>
          </w:tcPr>
          <w:p w14:paraId="11D23CAE"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60%</w:t>
            </w:r>
          </w:p>
        </w:tc>
        <w:tc>
          <w:tcPr>
            <w:tcW w:w="459" w:type="pct"/>
            <w:hideMark/>
          </w:tcPr>
          <w:p w14:paraId="496E8A72"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72–80</w:t>
            </w:r>
          </w:p>
        </w:tc>
        <w:tc>
          <w:tcPr>
            <w:tcW w:w="459" w:type="pct"/>
            <w:hideMark/>
          </w:tcPr>
          <w:p w14:paraId="30C209D6"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18–24</w:t>
            </w:r>
          </w:p>
        </w:tc>
        <w:tc>
          <w:tcPr>
            <w:tcW w:w="647" w:type="pct"/>
            <w:hideMark/>
          </w:tcPr>
          <w:p w14:paraId="1F00291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+10% mortality; eco-friendly</w:t>
            </w:r>
          </w:p>
        </w:tc>
        <w:tc>
          <w:tcPr>
            <w:tcW w:w="556" w:type="pct"/>
            <w:hideMark/>
          </w:tcPr>
          <w:p w14:paraId="643522BB"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Lab &amp; field</w:t>
            </w:r>
          </w:p>
        </w:tc>
        <w:tc>
          <w:tcPr>
            <w:tcW w:w="566" w:type="pct"/>
            <w:hideMark/>
          </w:tcPr>
          <w:p w14:paraId="658255CB" w14:textId="77777777" w:rsidR="0084071C" w:rsidRPr="0084071C" w:rsidRDefault="0084071C" w:rsidP="00C04C25">
            <w:pPr>
              <w:spacing w:after="160" w:line="278" w:lineRule="auto"/>
              <w:jc w:val="both"/>
              <w:rPr>
                <w:rFonts w:ascii="Arial" w:hAnsi="Arial" w:cs="Arial"/>
                <w:sz w:val="20"/>
                <w:szCs w:val="20"/>
              </w:rPr>
            </w:pPr>
            <w:proofErr w:type="spellStart"/>
            <w:r w:rsidRPr="0084071C">
              <w:rPr>
                <w:rFonts w:ascii="Arial" w:hAnsi="Arial" w:cs="Arial"/>
                <w:sz w:val="20"/>
                <w:szCs w:val="20"/>
              </w:rPr>
              <w:t>Kariyanna</w:t>
            </w:r>
            <w:proofErr w:type="spellEnd"/>
            <w:r w:rsidRPr="0084071C">
              <w:rPr>
                <w:rFonts w:ascii="Arial" w:hAnsi="Arial" w:cs="Arial"/>
                <w:sz w:val="20"/>
                <w:szCs w:val="20"/>
              </w:rPr>
              <w:t xml:space="preserve"> &amp; </w:t>
            </w:r>
            <w:proofErr w:type="spellStart"/>
            <w:r w:rsidRPr="0084071C">
              <w:rPr>
                <w:rFonts w:ascii="Arial" w:hAnsi="Arial" w:cs="Arial"/>
                <w:sz w:val="20"/>
                <w:szCs w:val="20"/>
              </w:rPr>
              <w:t>Sowjanya</w:t>
            </w:r>
            <w:proofErr w:type="spellEnd"/>
            <w:r w:rsidRPr="0084071C">
              <w:rPr>
                <w:rFonts w:ascii="Arial" w:hAnsi="Arial" w:cs="Arial"/>
                <w:sz w:val="20"/>
                <w:szCs w:val="20"/>
              </w:rPr>
              <w:t>, 2025</w:t>
            </w:r>
          </w:p>
        </w:tc>
      </w:tr>
      <w:tr w:rsidR="00863CA1" w:rsidRPr="0084071C" w14:paraId="3A313375" w14:textId="77777777" w:rsidTr="00863CA1">
        <w:tc>
          <w:tcPr>
            <w:tcW w:w="836" w:type="pct"/>
            <w:hideMark/>
          </w:tcPr>
          <w:p w14:paraId="4153CA71" w14:textId="64715FC0" w:rsidR="0084071C" w:rsidRPr="0084071C" w:rsidRDefault="00141945" w:rsidP="00C04C25">
            <w:pPr>
              <w:spacing w:after="160" w:line="278" w:lineRule="auto"/>
              <w:jc w:val="both"/>
              <w:rPr>
                <w:rFonts w:ascii="Arial" w:hAnsi="Arial" w:cs="Arial"/>
                <w:sz w:val="20"/>
                <w:szCs w:val="20"/>
              </w:rPr>
            </w:pPr>
            <w:proofErr w:type="spellStart"/>
            <w:r w:rsidRPr="00141945">
              <w:rPr>
                <w:rFonts w:ascii="Arial" w:hAnsi="Arial" w:cs="Arial"/>
                <w:i/>
                <w:iCs/>
                <w:sz w:val="20"/>
                <w:szCs w:val="20"/>
              </w:rPr>
              <w:t>Scirpophaga</w:t>
            </w:r>
            <w:proofErr w:type="spellEnd"/>
            <w:r w:rsidRPr="00141945">
              <w:rPr>
                <w:rFonts w:ascii="Arial" w:hAnsi="Arial" w:cs="Arial"/>
                <w:i/>
                <w:iCs/>
                <w:sz w:val="20"/>
                <w:szCs w:val="20"/>
              </w:rPr>
              <w:t xml:space="preserve"> </w:t>
            </w:r>
            <w:proofErr w:type="spellStart"/>
            <w:r w:rsidRPr="00141945">
              <w:rPr>
                <w:rFonts w:ascii="Arial" w:hAnsi="Arial" w:cs="Arial"/>
                <w:i/>
                <w:iCs/>
                <w:sz w:val="20"/>
                <w:szCs w:val="20"/>
              </w:rPr>
              <w:t>incertulas</w:t>
            </w:r>
            <w:proofErr w:type="spellEnd"/>
            <w:r w:rsidR="0084071C" w:rsidRPr="0084071C">
              <w:rPr>
                <w:rFonts w:ascii="Arial" w:hAnsi="Arial" w:cs="Arial"/>
                <w:sz w:val="20"/>
                <w:szCs w:val="20"/>
              </w:rPr>
              <w:t> (YSB)</w:t>
            </w:r>
          </w:p>
        </w:tc>
        <w:tc>
          <w:tcPr>
            <w:tcW w:w="802" w:type="pct"/>
            <w:hideMark/>
          </w:tcPr>
          <w:p w14:paraId="468A384D" w14:textId="77777777" w:rsidR="0084071C" w:rsidRPr="0084071C" w:rsidRDefault="0084071C" w:rsidP="00C04C25">
            <w:pPr>
              <w:spacing w:after="160" w:line="278" w:lineRule="auto"/>
              <w:jc w:val="both"/>
              <w:rPr>
                <w:rFonts w:ascii="Arial" w:hAnsi="Arial" w:cs="Arial"/>
                <w:sz w:val="20"/>
                <w:szCs w:val="20"/>
              </w:rPr>
            </w:pPr>
            <w:proofErr w:type="spellStart"/>
            <w:r w:rsidRPr="0084071C">
              <w:rPr>
                <w:rFonts w:ascii="Arial" w:hAnsi="Arial" w:cs="Arial"/>
                <w:sz w:val="20"/>
                <w:szCs w:val="20"/>
              </w:rPr>
              <w:t>Bt</w:t>
            </w:r>
            <w:proofErr w:type="spellEnd"/>
            <w:r w:rsidRPr="0084071C">
              <w:rPr>
                <w:rFonts w:ascii="Arial" w:hAnsi="Arial" w:cs="Arial"/>
                <w:sz w:val="20"/>
                <w:szCs w:val="20"/>
              </w:rPr>
              <w:t>-loaded chitosan NPs</w:t>
            </w:r>
          </w:p>
        </w:tc>
        <w:tc>
          <w:tcPr>
            <w:tcW w:w="676" w:type="pct"/>
            <w:hideMark/>
          </w:tcPr>
          <w:p w14:paraId="3F9EC75A"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40%</w:t>
            </w:r>
          </w:p>
        </w:tc>
        <w:tc>
          <w:tcPr>
            <w:tcW w:w="459" w:type="pct"/>
            <w:hideMark/>
          </w:tcPr>
          <w:p w14:paraId="49529851"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88–94</w:t>
            </w:r>
          </w:p>
        </w:tc>
        <w:tc>
          <w:tcPr>
            <w:tcW w:w="459" w:type="pct"/>
            <w:hideMark/>
          </w:tcPr>
          <w:p w14:paraId="00AA465A"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25–30</w:t>
            </w:r>
          </w:p>
        </w:tc>
        <w:tc>
          <w:tcPr>
            <w:tcW w:w="647" w:type="pct"/>
            <w:hideMark/>
          </w:tcPr>
          <w:p w14:paraId="1F59A5E4"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+20% mortality; 3× longer residual</w:t>
            </w:r>
          </w:p>
        </w:tc>
        <w:tc>
          <w:tcPr>
            <w:tcW w:w="556" w:type="pct"/>
            <w:hideMark/>
          </w:tcPr>
          <w:p w14:paraId="4D3DE256"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Lab &amp; greenhouse</w:t>
            </w:r>
          </w:p>
        </w:tc>
        <w:tc>
          <w:tcPr>
            <w:tcW w:w="566" w:type="pct"/>
            <w:hideMark/>
          </w:tcPr>
          <w:p w14:paraId="5A20DFA9"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Mohapatra et al., 2024</w:t>
            </w:r>
          </w:p>
        </w:tc>
      </w:tr>
      <w:tr w:rsidR="00863CA1" w:rsidRPr="0084071C" w14:paraId="6E45DA6A" w14:textId="77777777" w:rsidTr="00863CA1">
        <w:tc>
          <w:tcPr>
            <w:tcW w:w="836" w:type="pct"/>
            <w:hideMark/>
          </w:tcPr>
          <w:p w14:paraId="0C8FD9E9" w14:textId="74B4201D" w:rsidR="0084071C" w:rsidRPr="0084071C" w:rsidRDefault="00141945" w:rsidP="00C04C25">
            <w:pPr>
              <w:spacing w:after="160" w:line="278" w:lineRule="auto"/>
              <w:jc w:val="both"/>
              <w:rPr>
                <w:rFonts w:ascii="Arial" w:hAnsi="Arial" w:cs="Arial"/>
                <w:sz w:val="20"/>
                <w:szCs w:val="20"/>
              </w:rPr>
            </w:pPr>
            <w:proofErr w:type="spellStart"/>
            <w:r w:rsidRPr="00141945">
              <w:rPr>
                <w:rFonts w:ascii="Arial" w:hAnsi="Arial" w:cs="Arial"/>
                <w:i/>
                <w:iCs/>
                <w:sz w:val="20"/>
                <w:szCs w:val="20"/>
              </w:rPr>
              <w:t>Chilo</w:t>
            </w:r>
            <w:proofErr w:type="spellEnd"/>
            <w:r w:rsidRPr="00141945">
              <w:rPr>
                <w:rFonts w:ascii="Arial" w:hAnsi="Arial" w:cs="Arial"/>
                <w:i/>
                <w:iCs/>
                <w:sz w:val="20"/>
                <w:szCs w:val="20"/>
              </w:rPr>
              <w:t xml:space="preserve"> </w:t>
            </w:r>
            <w:proofErr w:type="spellStart"/>
            <w:r w:rsidRPr="00141945">
              <w:rPr>
                <w:rFonts w:ascii="Arial" w:hAnsi="Arial" w:cs="Arial"/>
                <w:i/>
                <w:iCs/>
                <w:sz w:val="20"/>
                <w:szCs w:val="20"/>
              </w:rPr>
              <w:t>suppressalis</w:t>
            </w:r>
            <w:proofErr w:type="spellEnd"/>
            <w:r w:rsidR="0084071C" w:rsidRPr="0084071C">
              <w:rPr>
                <w:rFonts w:ascii="Arial" w:hAnsi="Arial" w:cs="Arial"/>
                <w:sz w:val="20"/>
                <w:szCs w:val="20"/>
              </w:rPr>
              <w:t> (SSB)</w:t>
            </w:r>
          </w:p>
        </w:tc>
        <w:tc>
          <w:tcPr>
            <w:tcW w:w="802" w:type="pct"/>
            <w:hideMark/>
          </w:tcPr>
          <w:p w14:paraId="05A78149"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Chlorantraniliprole nano-emulsion</w:t>
            </w:r>
          </w:p>
        </w:tc>
        <w:tc>
          <w:tcPr>
            <w:tcW w:w="676" w:type="pct"/>
            <w:hideMark/>
          </w:tcPr>
          <w:p w14:paraId="0617857F"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50%</w:t>
            </w:r>
          </w:p>
        </w:tc>
        <w:tc>
          <w:tcPr>
            <w:tcW w:w="459" w:type="pct"/>
            <w:hideMark/>
          </w:tcPr>
          <w:p w14:paraId="4F69008C"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90–95</w:t>
            </w:r>
          </w:p>
        </w:tc>
        <w:tc>
          <w:tcPr>
            <w:tcW w:w="459" w:type="pct"/>
            <w:hideMark/>
          </w:tcPr>
          <w:p w14:paraId="0A46E988"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20–25</w:t>
            </w:r>
          </w:p>
        </w:tc>
        <w:tc>
          <w:tcPr>
            <w:tcW w:w="647" w:type="pct"/>
            <w:hideMark/>
          </w:tcPr>
          <w:p w14:paraId="5D79C4BF"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+12% mortality; enhanced systemic</w:t>
            </w:r>
          </w:p>
        </w:tc>
        <w:tc>
          <w:tcPr>
            <w:tcW w:w="556" w:type="pct"/>
            <w:hideMark/>
          </w:tcPr>
          <w:p w14:paraId="237DB206"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Field</w:t>
            </w:r>
          </w:p>
        </w:tc>
        <w:tc>
          <w:tcPr>
            <w:tcW w:w="566" w:type="pct"/>
            <w:hideMark/>
          </w:tcPr>
          <w:p w14:paraId="28235378"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Rathore et al., 2024</w:t>
            </w:r>
          </w:p>
        </w:tc>
      </w:tr>
      <w:tr w:rsidR="00863CA1" w:rsidRPr="0084071C" w14:paraId="5F64DF09" w14:textId="77777777" w:rsidTr="00863CA1">
        <w:tc>
          <w:tcPr>
            <w:tcW w:w="836" w:type="pct"/>
            <w:hideMark/>
          </w:tcPr>
          <w:p w14:paraId="08D8FAB7" w14:textId="0E5DF34D" w:rsidR="0084071C" w:rsidRPr="0084071C" w:rsidRDefault="00141945" w:rsidP="00C04C25">
            <w:pPr>
              <w:spacing w:after="160" w:line="278" w:lineRule="auto"/>
              <w:jc w:val="both"/>
              <w:rPr>
                <w:rFonts w:ascii="Arial" w:hAnsi="Arial" w:cs="Arial"/>
                <w:sz w:val="20"/>
                <w:szCs w:val="20"/>
              </w:rPr>
            </w:pPr>
            <w:proofErr w:type="spellStart"/>
            <w:r w:rsidRPr="00141945">
              <w:rPr>
                <w:rFonts w:ascii="Arial" w:hAnsi="Arial" w:cs="Arial"/>
                <w:i/>
                <w:iCs/>
                <w:sz w:val="20"/>
                <w:szCs w:val="20"/>
              </w:rPr>
              <w:t>Sesamia</w:t>
            </w:r>
            <w:proofErr w:type="spellEnd"/>
            <w:r w:rsidRPr="00141945">
              <w:rPr>
                <w:rFonts w:ascii="Arial" w:hAnsi="Arial" w:cs="Arial"/>
                <w:i/>
                <w:iCs/>
                <w:sz w:val="20"/>
                <w:szCs w:val="20"/>
              </w:rPr>
              <w:t xml:space="preserve"> </w:t>
            </w:r>
            <w:proofErr w:type="spellStart"/>
            <w:r w:rsidRPr="00141945">
              <w:rPr>
                <w:rFonts w:ascii="Arial" w:hAnsi="Arial" w:cs="Arial"/>
                <w:i/>
                <w:iCs/>
                <w:sz w:val="20"/>
                <w:szCs w:val="20"/>
              </w:rPr>
              <w:t>inferens</w:t>
            </w:r>
            <w:proofErr w:type="spellEnd"/>
            <w:r w:rsidR="0084071C" w:rsidRPr="0084071C">
              <w:rPr>
                <w:rFonts w:ascii="Arial" w:hAnsi="Arial" w:cs="Arial"/>
                <w:sz w:val="20"/>
                <w:szCs w:val="20"/>
              </w:rPr>
              <w:t> (PSB)</w:t>
            </w:r>
          </w:p>
        </w:tc>
        <w:tc>
          <w:tcPr>
            <w:tcW w:w="802" w:type="pct"/>
            <w:hideMark/>
          </w:tcPr>
          <w:p w14:paraId="0716E8AB"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Silica nanoparticles</w:t>
            </w:r>
          </w:p>
        </w:tc>
        <w:tc>
          <w:tcPr>
            <w:tcW w:w="676" w:type="pct"/>
            <w:hideMark/>
          </w:tcPr>
          <w:p w14:paraId="14E8A5B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80%</w:t>
            </w:r>
          </w:p>
        </w:tc>
        <w:tc>
          <w:tcPr>
            <w:tcW w:w="459" w:type="pct"/>
            <w:hideMark/>
          </w:tcPr>
          <w:p w14:paraId="3C2A1CCC"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70–78</w:t>
            </w:r>
          </w:p>
        </w:tc>
        <w:tc>
          <w:tcPr>
            <w:tcW w:w="459" w:type="pct"/>
            <w:hideMark/>
          </w:tcPr>
          <w:p w14:paraId="369F843E"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10–15</w:t>
            </w:r>
          </w:p>
        </w:tc>
        <w:tc>
          <w:tcPr>
            <w:tcW w:w="647" w:type="pct"/>
            <w:hideMark/>
          </w:tcPr>
          <w:p w14:paraId="20A118F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Physical mode; resistance-proof</w:t>
            </w:r>
          </w:p>
        </w:tc>
        <w:tc>
          <w:tcPr>
            <w:tcW w:w="556" w:type="pct"/>
            <w:hideMark/>
          </w:tcPr>
          <w:p w14:paraId="5F47786C"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Lab</w:t>
            </w:r>
          </w:p>
        </w:tc>
        <w:tc>
          <w:tcPr>
            <w:tcW w:w="566" w:type="pct"/>
            <w:hideMark/>
          </w:tcPr>
          <w:p w14:paraId="53E3A605"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Singh et al., 2024</w:t>
            </w:r>
          </w:p>
        </w:tc>
      </w:tr>
      <w:tr w:rsidR="00863CA1" w:rsidRPr="0084071C" w14:paraId="2A6A5709" w14:textId="77777777" w:rsidTr="00863CA1">
        <w:tc>
          <w:tcPr>
            <w:tcW w:w="836" w:type="pct"/>
            <w:hideMark/>
          </w:tcPr>
          <w:p w14:paraId="3BCD5893"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Multiple stem borers</w:t>
            </w:r>
          </w:p>
        </w:tc>
        <w:tc>
          <w:tcPr>
            <w:tcW w:w="802" w:type="pct"/>
            <w:hideMark/>
          </w:tcPr>
          <w:p w14:paraId="4FCBE65A"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dsRNA-loaded LDH nanocarriers</w:t>
            </w:r>
          </w:p>
        </w:tc>
        <w:tc>
          <w:tcPr>
            <w:tcW w:w="676" w:type="pct"/>
            <w:hideMark/>
          </w:tcPr>
          <w:p w14:paraId="5C50FA90"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Variable</w:t>
            </w:r>
          </w:p>
        </w:tc>
        <w:tc>
          <w:tcPr>
            <w:tcW w:w="459" w:type="pct"/>
            <w:hideMark/>
          </w:tcPr>
          <w:p w14:paraId="29A9476C"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75–88</w:t>
            </w:r>
          </w:p>
        </w:tc>
        <w:tc>
          <w:tcPr>
            <w:tcW w:w="459" w:type="pct"/>
            <w:hideMark/>
          </w:tcPr>
          <w:p w14:paraId="5E25BD4B"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15–21</w:t>
            </w:r>
          </w:p>
        </w:tc>
        <w:tc>
          <w:tcPr>
            <w:tcW w:w="647" w:type="pct"/>
            <w:hideMark/>
          </w:tcPr>
          <w:p w14:paraId="68DBD5E3"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Gene-specific; novel mechanism</w:t>
            </w:r>
          </w:p>
        </w:tc>
        <w:tc>
          <w:tcPr>
            <w:tcW w:w="556" w:type="pct"/>
            <w:hideMark/>
          </w:tcPr>
          <w:p w14:paraId="54A9580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Lab</w:t>
            </w:r>
          </w:p>
        </w:tc>
        <w:tc>
          <w:tcPr>
            <w:tcW w:w="566" w:type="pct"/>
            <w:hideMark/>
          </w:tcPr>
          <w:p w14:paraId="7FA2FA54" w14:textId="77777777" w:rsidR="0084071C" w:rsidRPr="0084071C" w:rsidRDefault="0084071C" w:rsidP="00C04C25">
            <w:pPr>
              <w:spacing w:after="160" w:line="278" w:lineRule="auto"/>
              <w:jc w:val="both"/>
              <w:rPr>
                <w:rFonts w:ascii="Arial" w:hAnsi="Arial" w:cs="Arial"/>
                <w:sz w:val="20"/>
                <w:szCs w:val="20"/>
              </w:rPr>
            </w:pPr>
            <w:proofErr w:type="spellStart"/>
            <w:r w:rsidRPr="0084071C">
              <w:rPr>
                <w:rFonts w:ascii="Arial" w:hAnsi="Arial" w:cs="Arial"/>
                <w:sz w:val="20"/>
                <w:szCs w:val="20"/>
              </w:rPr>
              <w:t>Kansotia</w:t>
            </w:r>
            <w:proofErr w:type="spellEnd"/>
            <w:r w:rsidRPr="0084071C">
              <w:rPr>
                <w:rFonts w:ascii="Arial" w:hAnsi="Arial" w:cs="Arial"/>
                <w:sz w:val="20"/>
                <w:szCs w:val="20"/>
              </w:rPr>
              <w:t xml:space="preserve"> et al., 2024</w:t>
            </w:r>
          </w:p>
        </w:tc>
      </w:tr>
    </w:tbl>
    <w:p w14:paraId="4C99CB1C" w14:textId="77777777" w:rsidR="0084071C" w:rsidRPr="0084071C" w:rsidRDefault="0084071C" w:rsidP="0084071C">
      <w:pPr>
        <w:jc w:val="both"/>
        <w:rPr>
          <w:rFonts w:ascii="Arial" w:hAnsi="Arial" w:cs="Arial"/>
          <w:i/>
          <w:iCs/>
        </w:rPr>
      </w:pPr>
      <w:r w:rsidRPr="0084071C">
        <w:rPr>
          <w:rFonts w:ascii="Arial" w:hAnsi="Arial" w:cs="Arial"/>
          <w:b/>
          <w:bCs/>
          <w:i/>
          <w:iCs/>
        </w:rPr>
        <w:t>Note:</w:t>
      </w:r>
      <w:r w:rsidRPr="0084071C">
        <w:rPr>
          <w:rFonts w:ascii="Arial" w:hAnsi="Arial" w:cs="Arial"/>
          <w:i/>
          <w:iCs/>
        </w:rPr>
        <w:t> BPH = Brown planthopper; YSB = Yellow stem borer; SSB = Striped stem borer; PSB = Pink stem borer; NPs = Nanoparticles; PLGA = Poly (lactic-co-glycolic acid); LDH = Layered double hydroxide.</w:t>
      </w:r>
    </w:p>
    <w:p w14:paraId="4311DF04" w14:textId="77777777" w:rsidR="0084071C" w:rsidRPr="0084071C" w:rsidRDefault="0084071C" w:rsidP="0084071C">
      <w:pPr>
        <w:jc w:val="both"/>
        <w:rPr>
          <w:rFonts w:ascii="Arial" w:hAnsi="Arial" w:cs="Arial"/>
        </w:rPr>
      </w:pPr>
    </w:p>
    <w:p w14:paraId="1FA5813C" w14:textId="77777777" w:rsidR="0084071C" w:rsidRPr="0084071C" w:rsidRDefault="0084071C" w:rsidP="0084071C">
      <w:pPr>
        <w:jc w:val="both"/>
        <w:rPr>
          <w:rFonts w:ascii="Arial" w:hAnsi="Arial" w:cs="Arial"/>
          <w:b/>
          <w:bCs/>
        </w:rPr>
      </w:pPr>
    </w:p>
    <w:p w14:paraId="2B5B9A0A" w14:textId="77777777" w:rsidR="0084071C" w:rsidRDefault="0084071C" w:rsidP="0084071C">
      <w:pPr>
        <w:jc w:val="both"/>
        <w:rPr>
          <w:rFonts w:ascii="Arial" w:hAnsi="Arial" w:cs="Arial"/>
          <w:b/>
          <w:bCs/>
        </w:rPr>
      </w:pPr>
    </w:p>
    <w:p w14:paraId="30CFAB48" w14:textId="77777777" w:rsidR="00141945" w:rsidRDefault="00141945" w:rsidP="0084071C">
      <w:pPr>
        <w:jc w:val="both"/>
        <w:rPr>
          <w:rFonts w:ascii="Arial" w:hAnsi="Arial" w:cs="Arial"/>
          <w:b/>
          <w:bCs/>
        </w:rPr>
      </w:pPr>
    </w:p>
    <w:p w14:paraId="6D879B24" w14:textId="77777777" w:rsidR="00141945" w:rsidRDefault="00141945" w:rsidP="0084071C">
      <w:pPr>
        <w:jc w:val="both"/>
        <w:rPr>
          <w:rFonts w:ascii="Arial" w:hAnsi="Arial" w:cs="Arial"/>
          <w:b/>
          <w:bCs/>
        </w:rPr>
      </w:pPr>
    </w:p>
    <w:p w14:paraId="1D2A29F1" w14:textId="77777777" w:rsidR="00141945" w:rsidRDefault="00141945" w:rsidP="0084071C">
      <w:pPr>
        <w:jc w:val="both"/>
        <w:rPr>
          <w:rFonts w:ascii="Arial" w:hAnsi="Arial" w:cs="Arial"/>
          <w:b/>
          <w:bCs/>
        </w:rPr>
      </w:pPr>
    </w:p>
    <w:p w14:paraId="071B38DB" w14:textId="77777777" w:rsidR="00141945" w:rsidRDefault="00141945" w:rsidP="0084071C">
      <w:pPr>
        <w:jc w:val="both"/>
        <w:rPr>
          <w:rFonts w:ascii="Arial" w:hAnsi="Arial" w:cs="Arial"/>
          <w:b/>
          <w:bCs/>
        </w:rPr>
      </w:pPr>
    </w:p>
    <w:p w14:paraId="6720DE1F" w14:textId="77777777" w:rsidR="00141945" w:rsidRDefault="00141945" w:rsidP="0084071C">
      <w:pPr>
        <w:jc w:val="both"/>
        <w:rPr>
          <w:rFonts w:ascii="Arial" w:hAnsi="Arial" w:cs="Arial"/>
          <w:b/>
          <w:bCs/>
        </w:rPr>
      </w:pPr>
    </w:p>
    <w:p w14:paraId="1B95BDCB" w14:textId="77777777" w:rsidR="00141945" w:rsidRDefault="00141945" w:rsidP="0084071C">
      <w:pPr>
        <w:jc w:val="both"/>
        <w:rPr>
          <w:rFonts w:ascii="Arial" w:hAnsi="Arial" w:cs="Arial"/>
          <w:b/>
          <w:bCs/>
        </w:rPr>
      </w:pPr>
    </w:p>
    <w:p w14:paraId="532EA677" w14:textId="77777777" w:rsidR="00141945" w:rsidRDefault="00141945" w:rsidP="0084071C">
      <w:pPr>
        <w:jc w:val="both"/>
        <w:rPr>
          <w:rFonts w:ascii="Arial" w:hAnsi="Arial" w:cs="Arial"/>
          <w:b/>
          <w:bCs/>
        </w:rPr>
      </w:pPr>
    </w:p>
    <w:p w14:paraId="3AE1CF57" w14:textId="77777777" w:rsidR="00141945" w:rsidRDefault="00141945" w:rsidP="0084071C">
      <w:pPr>
        <w:jc w:val="both"/>
        <w:rPr>
          <w:rFonts w:ascii="Arial" w:hAnsi="Arial" w:cs="Arial"/>
          <w:b/>
          <w:bCs/>
        </w:rPr>
      </w:pPr>
    </w:p>
    <w:p w14:paraId="7E9ACBB0" w14:textId="77777777" w:rsidR="00141945" w:rsidRDefault="00141945" w:rsidP="0084071C">
      <w:pPr>
        <w:jc w:val="both"/>
        <w:rPr>
          <w:rFonts w:ascii="Arial" w:hAnsi="Arial" w:cs="Arial"/>
          <w:b/>
          <w:bCs/>
        </w:rPr>
      </w:pPr>
    </w:p>
    <w:p w14:paraId="42381689" w14:textId="77777777" w:rsidR="00141945" w:rsidRDefault="00141945" w:rsidP="0084071C">
      <w:pPr>
        <w:jc w:val="both"/>
        <w:rPr>
          <w:rFonts w:ascii="Arial" w:hAnsi="Arial" w:cs="Arial"/>
          <w:b/>
          <w:bCs/>
        </w:rPr>
      </w:pPr>
    </w:p>
    <w:p w14:paraId="2E0E126E" w14:textId="77777777" w:rsidR="00141945" w:rsidRDefault="00141945" w:rsidP="0084071C">
      <w:pPr>
        <w:jc w:val="both"/>
        <w:rPr>
          <w:rFonts w:ascii="Arial" w:hAnsi="Arial" w:cs="Arial"/>
          <w:b/>
          <w:bCs/>
        </w:rPr>
      </w:pPr>
    </w:p>
    <w:p w14:paraId="02B451AE" w14:textId="77777777" w:rsidR="00141945" w:rsidRPr="0084071C" w:rsidRDefault="00141945" w:rsidP="0084071C">
      <w:pPr>
        <w:jc w:val="both"/>
        <w:rPr>
          <w:rFonts w:ascii="Arial" w:hAnsi="Arial" w:cs="Arial"/>
          <w:b/>
          <w:bCs/>
        </w:rPr>
      </w:pPr>
    </w:p>
    <w:p w14:paraId="743130CB" w14:textId="77777777" w:rsidR="0084071C" w:rsidRPr="0084071C" w:rsidRDefault="0084071C" w:rsidP="0084071C">
      <w:pPr>
        <w:jc w:val="both"/>
        <w:rPr>
          <w:rFonts w:ascii="Arial" w:hAnsi="Arial" w:cs="Arial"/>
          <w:b/>
          <w:bCs/>
          <w:sz w:val="22"/>
          <w:szCs w:val="22"/>
        </w:rPr>
      </w:pPr>
    </w:p>
    <w:p w14:paraId="1E29E0AC" w14:textId="013B1C79" w:rsidR="0084071C" w:rsidRPr="0084071C" w:rsidRDefault="0084071C" w:rsidP="0084071C">
      <w:pPr>
        <w:jc w:val="both"/>
        <w:rPr>
          <w:rFonts w:ascii="Arial" w:hAnsi="Arial" w:cs="Arial"/>
          <w:b/>
          <w:bCs/>
          <w:sz w:val="22"/>
          <w:szCs w:val="22"/>
        </w:rPr>
      </w:pPr>
      <w:r w:rsidRPr="0084071C">
        <w:rPr>
          <w:rFonts w:ascii="Arial" w:hAnsi="Arial" w:cs="Arial"/>
          <w:b/>
          <w:bCs/>
          <w:sz w:val="22"/>
          <w:szCs w:val="22"/>
        </w:rPr>
        <w:t>4. NANOFUNGICIDES FOR RICE DISEASE MANAGEMENT</w:t>
      </w:r>
    </w:p>
    <w:p w14:paraId="479CE2F4" w14:textId="77777777" w:rsidR="0084071C" w:rsidRPr="0084071C" w:rsidRDefault="0084071C" w:rsidP="0084071C">
      <w:pPr>
        <w:jc w:val="both"/>
        <w:rPr>
          <w:rFonts w:ascii="Arial" w:hAnsi="Arial" w:cs="Arial"/>
          <w:b/>
          <w:bCs/>
          <w:sz w:val="22"/>
          <w:szCs w:val="22"/>
        </w:rPr>
      </w:pPr>
      <w:r w:rsidRPr="0084071C">
        <w:rPr>
          <w:rFonts w:ascii="Arial" w:hAnsi="Arial" w:cs="Arial"/>
          <w:b/>
          <w:bCs/>
          <w:sz w:val="22"/>
          <w:szCs w:val="22"/>
        </w:rPr>
        <w:t>4.1 Nano-Enabled Management of Rice Blast Disease</w:t>
      </w:r>
    </w:p>
    <w:p w14:paraId="68BB7485" w14:textId="477F7F8B" w:rsidR="0084071C" w:rsidRDefault="0084071C" w:rsidP="0084071C">
      <w:pPr>
        <w:jc w:val="both"/>
        <w:rPr>
          <w:rFonts w:ascii="Arial" w:hAnsi="Arial" w:cs="Arial"/>
        </w:rPr>
      </w:pPr>
      <w:r w:rsidRPr="0084071C">
        <w:rPr>
          <w:rFonts w:ascii="Arial" w:hAnsi="Arial" w:cs="Arial"/>
        </w:rPr>
        <w:t>Rice blast disease, caused by </w:t>
      </w:r>
      <w:r w:rsidR="00141945" w:rsidRPr="00141945">
        <w:rPr>
          <w:rFonts w:ascii="Arial" w:hAnsi="Arial" w:cs="Arial"/>
          <w:i/>
          <w:iCs/>
        </w:rPr>
        <w:t>Pyricularia oryzae</w:t>
      </w:r>
      <w:r w:rsidRPr="0084071C">
        <w:rPr>
          <w:rFonts w:ascii="Arial" w:hAnsi="Arial" w:cs="Arial"/>
        </w:rPr>
        <w:t>, represents the most economically important fungal disease of rice globally, with yield losses potentially exceeding 70% in susceptible varieties under conducive conditions (</w:t>
      </w:r>
      <w:proofErr w:type="spellStart"/>
      <w:r w:rsidRPr="0084071C">
        <w:rPr>
          <w:rFonts w:ascii="Arial" w:hAnsi="Arial" w:cs="Arial"/>
        </w:rPr>
        <w:t>Asibi</w:t>
      </w:r>
      <w:proofErr w:type="spellEnd"/>
      <w:r w:rsidRPr="0084071C">
        <w:rPr>
          <w:rFonts w:ascii="Arial" w:hAnsi="Arial" w:cs="Arial"/>
        </w:rPr>
        <w:t xml:space="preserve"> et al., 2019; Simkhada &amp; Thapa, 2022). </w:t>
      </w:r>
      <w:proofErr w:type="spellStart"/>
      <w:r w:rsidRPr="0084071C">
        <w:rPr>
          <w:rFonts w:ascii="Arial" w:hAnsi="Arial" w:cs="Arial"/>
        </w:rPr>
        <w:t>Nanofungicide</w:t>
      </w:r>
      <w:proofErr w:type="spellEnd"/>
      <w:r w:rsidRPr="0084071C">
        <w:rPr>
          <w:rFonts w:ascii="Arial" w:hAnsi="Arial" w:cs="Arial"/>
        </w:rPr>
        <w:t xml:space="preserve"> approaches for blast management have focused on enhancing the delivery, efficacy, and environmental profile of both synthetic and biological fungicides. Metal and metal oxide nanoparticles, particularly silver, copper, zinc oxide, and titanium dioxide, exhibit direct antifungal activity against </w:t>
      </w:r>
      <w:r w:rsidRPr="0084071C">
        <w:rPr>
          <w:rFonts w:ascii="Arial" w:hAnsi="Arial" w:cs="Arial"/>
          <w:i/>
          <w:iCs/>
        </w:rPr>
        <w:t>P. oryzae</w:t>
      </w:r>
      <w:r w:rsidRPr="0084071C">
        <w:rPr>
          <w:rFonts w:ascii="Arial" w:hAnsi="Arial" w:cs="Arial"/>
        </w:rPr>
        <w:t xml:space="preserve"> through multiple mechanisms including membrane disruption, enzyme inhibition, and reactive oxygen species generation (Chen et al., 2025; Noman et al., 2023). </w:t>
      </w:r>
      <w:proofErr w:type="spellStart"/>
      <w:r w:rsidRPr="0084071C">
        <w:rPr>
          <w:rFonts w:ascii="Arial" w:hAnsi="Arial" w:cs="Arial"/>
        </w:rPr>
        <w:t>Nanoencapsulated</w:t>
      </w:r>
      <w:proofErr w:type="spellEnd"/>
      <w:r w:rsidRPr="0084071C">
        <w:rPr>
          <w:rFonts w:ascii="Arial" w:hAnsi="Arial" w:cs="Arial"/>
        </w:rPr>
        <w:t xml:space="preserve"> synthetic fungicides, including azoxystrobin, tricyclazole, and tebuconazole, demonstrate improved foliar adhesion, enhanced penetration into plant tissues, and prolonged residual activity compared to conventional formulations (Nguyen et al., 2025). Mesoporous silica nanoparticles functionalized with pH-responsive gatekeepers enable triggered release of fungicides in response to the slightly acidic microenvironment created by fungal infection, optimizing timing and localization of fungicide delivery (Zhao et al., 2024). Chitosan nanoparticles loaded with essential oils or plant extracts combine direct antifungal activity with plant defense elicitation, inducing systemic acquired resistance and enhancing endogenous defense mechanisms (Chen et al., 2025).</w:t>
      </w:r>
    </w:p>
    <w:p w14:paraId="0C07BBEB" w14:textId="03B6240C" w:rsidR="0084071C" w:rsidRDefault="007D53AA" w:rsidP="007D53AA">
      <w:pPr>
        <w:jc w:val="center"/>
        <w:rPr>
          <w:rFonts w:ascii="Arial" w:hAnsi="Arial" w:cs="Arial"/>
        </w:rPr>
      </w:pPr>
      <w:r>
        <w:rPr>
          <w:rFonts w:ascii="Times New Roman" w:hAnsi="Times New Roman"/>
          <w:b/>
          <w:bCs/>
          <w:noProof/>
        </w:rPr>
        <w:drawing>
          <wp:inline distT="0" distB="0" distL="0" distR="0" wp14:anchorId="7D918F90" wp14:editId="75725A28">
            <wp:extent cx="5212080" cy="4645767"/>
            <wp:effectExtent l="0" t="0" r="0" b="0"/>
            <wp:docPr id="1042422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22060" name="Picture 1042422060"/>
                    <pic:cNvPicPr/>
                  </pic:nvPicPr>
                  <pic:blipFill rotWithShape="1">
                    <a:blip r:embed="rId12" cstate="print">
                      <a:extLst>
                        <a:ext uri="{28A0092B-C50C-407E-A947-70E740481C1C}">
                          <a14:useLocalDpi xmlns:a14="http://schemas.microsoft.com/office/drawing/2010/main" val="0"/>
                        </a:ext>
                      </a:extLst>
                    </a:blip>
                    <a:srcRect t="3196"/>
                    <a:stretch>
                      <a:fillRect/>
                    </a:stretch>
                  </pic:blipFill>
                  <pic:spPr bwMode="auto">
                    <a:xfrm>
                      <a:off x="0" y="0"/>
                      <a:ext cx="5212080" cy="4645767"/>
                    </a:xfrm>
                    <a:prstGeom prst="rect">
                      <a:avLst/>
                    </a:prstGeom>
                    <a:ln>
                      <a:noFill/>
                    </a:ln>
                    <a:extLst>
                      <a:ext uri="{53640926-AAD7-44D8-BBD7-CCE9431645EC}">
                        <a14:shadowObscured xmlns:a14="http://schemas.microsoft.com/office/drawing/2010/main"/>
                      </a:ext>
                    </a:extLst>
                  </pic:spPr>
                </pic:pic>
              </a:graphicData>
            </a:graphic>
          </wp:inline>
        </w:drawing>
      </w:r>
    </w:p>
    <w:p w14:paraId="574C5D6E" w14:textId="34DD9CB7" w:rsidR="0084071C" w:rsidRPr="0084071C" w:rsidRDefault="0084071C" w:rsidP="0084071C">
      <w:pPr>
        <w:jc w:val="both"/>
        <w:rPr>
          <w:rFonts w:ascii="Arial" w:hAnsi="Arial" w:cs="Arial"/>
        </w:rPr>
      </w:pPr>
    </w:p>
    <w:p w14:paraId="212EE1B1" w14:textId="77777777" w:rsidR="0084071C" w:rsidRDefault="0084071C" w:rsidP="0084071C">
      <w:pPr>
        <w:jc w:val="both"/>
        <w:rPr>
          <w:rFonts w:ascii="Arial" w:hAnsi="Arial" w:cs="Arial"/>
        </w:rPr>
      </w:pPr>
      <w:r w:rsidRPr="0084071C">
        <w:rPr>
          <w:rFonts w:ascii="Arial" w:hAnsi="Arial" w:cs="Arial"/>
          <w:b/>
          <w:bCs/>
        </w:rPr>
        <w:t>Fi</w:t>
      </w:r>
      <w:r>
        <w:rPr>
          <w:rFonts w:ascii="Arial" w:hAnsi="Arial" w:cs="Arial"/>
          <w:b/>
          <w:bCs/>
        </w:rPr>
        <w:t>g.</w:t>
      </w:r>
      <w:r w:rsidRPr="0084071C">
        <w:rPr>
          <w:rFonts w:ascii="Arial" w:hAnsi="Arial" w:cs="Arial"/>
          <w:b/>
          <w:bCs/>
        </w:rPr>
        <w:t xml:space="preserve"> </w:t>
      </w:r>
      <w:r>
        <w:rPr>
          <w:rFonts w:ascii="Arial" w:hAnsi="Arial" w:cs="Arial"/>
          <w:b/>
          <w:bCs/>
        </w:rPr>
        <w:t>5</w:t>
      </w:r>
      <w:r w:rsidRPr="0084071C">
        <w:rPr>
          <w:rFonts w:ascii="Arial" w:hAnsi="Arial" w:cs="Arial"/>
          <w:b/>
          <w:bCs/>
        </w:rPr>
        <w:t>.</w:t>
      </w:r>
      <w:r w:rsidRPr="0084071C">
        <w:rPr>
          <w:rFonts w:ascii="Arial" w:hAnsi="Arial" w:cs="Arial"/>
        </w:rPr>
        <w:t> </w:t>
      </w:r>
      <w:proofErr w:type="spellStart"/>
      <w:r w:rsidRPr="0084071C">
        <w:rPr>
          <w:rFonts w:ascii="Arial" w:hAnsi="Arial" w:cs="Arial"/>
          <w:b/>
          <w:bCs/>
        </w:rPr>
        <w:t>Nanofungicide</w:t>
      </w:r>
      <w:proofErr w:type="spellEnd"/>
      <w:r w:rsidRPr="0084071C">
        <w:rPr>
          <w:rFonts w:ascii="Arial" w:hAnsi="Arial" w:cs="Arial"/>
          <w:b/>
          <w:bCs/>
        </w:rPr>
        <w:t xml:space="preserve"> mechanisms for rice blast disease management. </w:t>
      </w:r>
    </w:p>
    <w:p w14:paraId="07D4AE1B" w14:textId="5182C791" w:rsidR="003F761E" w:rsidRDefault="0084071C" w:rsidP="0084071C">
      <w:pPr>
        <w:jc w:val="both"/>
        <w:rPr>
          <w:rFonts w:ascii="Arial" w:hAnsi="Arial" w:cs="Arial"/>
          <w:i/>
          <w:iCs/>
        </w:rPr>
      </w:pPr>
      <w:r w:rsidRPr="0084071C">
        <w:rPr>
          <w:rFonts w:ascii="Arial" w:hAnsi="Arial" w:cs="Arial"/>
          <w:i/>
          <w:iCs/>
        </w:rPr>
        <w:t xml:space="preserve">The figure should illustrate: </w:t>
      </w:r>
      <w:r w:rsidRPr="0084071C">
        <w:rPr>
          <w:rFonts w:ascii="Arial" w:hAnsi="Arial" w:cs="Arial"/>
          <w:b/>
          <w:bCs/>
          <w:i/>
          <w:iCs/>
        </w:rPr>
        <w:t>(A)</w:t>
      </w:r>
      <w:r w:rsidRPr="0084071C">
        <w:rPr>
          <w:rFonts w:ascii="Arial" w:hAnsi="Arial" w:cs="Arial"/>
          <w:i/>
          <w:iCs/>
        </w:rPr>
        <w:t xml:space="preserve"> Rice blast lesions on leaf with nanoparticle application, </w:t>
      </w:r>
      <w:r w:rsidRPr="0084071C">
        <w:rPr>
          <w:rFonts w:ascii="Arial" w:hAnsi="Arial" w:cs="Arial"/>
          <w:b/>
          <w:bCs/>
          <w:i/>
          <w:iCs/>
        </w:rPr>
        <w:t>(B)</w:t>
      </w:r>
      <w:r w:rsidRPr="0084071C">
        <w:rPr>
          <w:rFonts w:ascii="Arial" w:hAnsi="Arial" w:cs="Arial"/>
          <w:i/>
          <w:iCs/>
        </w:rPr>
        <w:t xml:space="preserve"> Nanoparticle penetration into fungal cell and plant tissue (cross-section), </w:t>
      </w:r>
      <w:r w:rsidRPr="0084071C">
        <w:rPr>
          <w:rFonts w:ascii="Arial" w:hAnsi="Arial" w:cs="Arial"/>
          <w:b/>
          <w:bCs/>
          <w:i/>
          <w:iCs/>
        </w:rPr>
        <w:t>(C)</w:t>
      </w:r>
      <w:r w:rsidRPr="0084071C">
        <w:rPr>
          <w:rFonts w:ascii="Arial" w:hAnsi="Arial" w:cs="Arial"/>
          <w:i/>
          <w:iCs/>
        </w:rPr>
        <w:t xml:space="preserve"> Antifungal mechanisms at cellular level (ROS generation, membrane disruption, enzyme inhibition, DNA damage), </w:t>
      </w:r>
      <w:r w:rsidRPr="0084071C">
        <w:rPr>
          <w:rFonts w:ascii="Arial" w:hAnsi="Arial" w:cs="Arial"/>
          <w:b/>
          <w:bCs/>
          <w:i/>
          <w:iCs/>
        </w:rPr>
        <w:t>(D)</w:t>
      </w:r>
      <w:r w:rsidRPr="0084071C">
        <w:rPr>
          <w:rFonts w:ascii="Arial" w:hAnsi="Arial" w:cs="Arial"/>
          <w:i/>
          <w:iCs/>
        </w:rPr>
        <w:t xml:space="preserve"> pH-responsive release from mesoporous silica nanoparticles in acidic infection site, and </w:t>
      </w:r>
      <w:r w:rsidRPr="0084071C">
        <w:rPr>
          <w:rFonts w:ascii="Arial" w:hAnsi="Arial" w:cs="Arial"/>
          <w:b/>
          <w:bCs/>
          <w:i/>
          <w:iCs/>
        </w:rPr>
        <w:t>(E)</w:t>
      </w:r>
      <w:r w:rsidRPr="0084071C">
        <w:rPr>
          <w:rFonts w:ascii="Arial" w:hAnsi="Arial" w:cs="Arial"/>
          <w:i/>
          <w:iCs/>
        </w:rPr>
        <w:t xml:space="preserve"> Comparison of disease severity and area under disease progress curve (AUDPC) for nano vs. conventional fungicides.</w:t>
      </w:r>
    </w:p>
    <w:p w14:paraId="34182531" w14:textId="77777777" w:rsidR="00863CA1" w:rsidRPr="0084071C" w:rsidRDefault="00863CA1" w:rsidP="0084071C">
      <w:pPr>
        <w:jc w:val="both"/>
        <w:rPr>
          <w:rFonts w:ascii="Arial" w:hAnsi="Arial" w:cs="Arial"/>
          <w:i/>
          <w:iCs/>
        </w:rPr>
      </w:pPr>
    </w:p>
    <w:p w14:paraId="07D7257C" w14:textId="525FD087" w:rsidR="0084071C" w:rsidRDefault="0084071C" w:rsidP="00441B6F">
      <w:pPr>
        <w:pStyle w:val="Head1"/>
        <w:spacing w:after="0"/>
        <w:jc w:val="both"/>
        <w:rPr>
          <w:rFonts w:ascii="Arial" w:hAnsi="Arial" w:cs="Arial"/>
        </w:rPr>
      </w:pPr>
      <w:r w:rsidRPr="0084071C">
        <w:rPr>
          <w:rFonts w:ascii="Arial" w:hAnsi="Arial" w:cs="Arial"/>
          <w:caps w:val="0"/>
        </w:rPr>
        <w:t xml:space="preserve">4.2 </w:t>
      </w:r>
      <w:proofErr w:type="spellStart"/>
      <w:r w:rsidRPr="0084071C">
        <w:rPr>
          <w:rFonts w:ascii="Arial" w:hAnsi="Arial" w:cs="Arial"/>
          <w:caps w:val="0"/>
        </w:rPr>
        <w:t>Nanofungicide</w:t>
      </w:r>
      <w:proofErr w:type="spellEnd"/>
      <w:r w:rsidRPr="0084071C">
        <w:rPr>
          <w:rFonts w:ascii="Arial" w:hAnsi="Arial" w:cs="Arial"/>
          <w:caps w:val="0"/>
        </w:rPr>
        <w:t xml:space="preserve"> Applications </w:t>
      </w:r>
      <w:r>
        <w:rPr>
          <w:rFonts w:ascii="Arial" w:hAnsi="Arial" w:cs="Arial"/>
          <w:caps w:val="0"/>
        </w:rPr>
        <w:t>f</w:t>
      </w:r>
      <w:r w:rsidRPr="0084071C">
        <w:rPr>
          <w:rFonts w:ascii="Arial" w:hAnsi="Arial" w:cs="Arial"/>
          <w:caps w:val="0"/>
        </w:rPr>
        <w:t>or Sheath Blight Control</w:t>
      </w:r>
    </w:p>
    <w:p w14:paraId="06DE5A52" w14:textId="77777777" w:rsidR="0084071C" w:rsidRDefault="0084071C" w:rsidP="00441B6F">
      <w:pPr>
        <w:pStyle w:val="Head1"/>
        <w:spacing w:after="0"/>
        <w:jc w:val="both"/>
        <w:rPr>
          <w:rFonts w:ascii="Arial" w:hAnsi="Arial" w:cs="Arial"/>
        </w:rPr>
      </w:pPr>
    </w:p>
    <w:p w14:paraId="2EA36E68" w14:textId="5DD8593D" w:rsidR="0084071C" w:rsidRDefault="0084071C" w:rsidP="0084071C">
      <w:pPr>
        <w:jc w:val="both"/>
        <w:rPr>
          <w:rFonts w:ascii="Arial" w:hAnsi="Arial" w:cs="Arial"/>
        </w:rPr>
      </w:pPr>
      <w:r w:rsidRPr="0084071C">
        <w:rPr>
          <w:rFonts w:ascii="Arial" w:hAnsi="Arial" w:cs="Arial"/>
        </w:rPr>
        <w:t>Sheath blight, caused by </w:t>
      </w:r>
      <w:proofErr w:type="spellStart"/>
      <w:r w:rsidR="00141945" w:rsidRPr="00141945">
        <w:rPr>
          <w:rFonts w:ascii="Arial" w:hAnsi="Arial" w:cs="Arial"/>
          <w:i/>
          <w:iCs/>
        </w:rPr>
        <w:t>Rhizoctonia</w:t>
      </w:r>
      <w:proofErr w:type="spellEnd"/>
      <w:r w:rsidR="00141945" w:rsidRPr="00141945">
        <w:rPr>
          <w:rFonts w:ascii="Arial" w:hAnsi="Arial" w:cs="Arial"/>
          <w:i/>
          <w:iCs/>
        </w:rPr>
        <w:t xml:space="preserve"> </w:t>
      </w:r>
      <w:proofErr w:type="spellStart"/>
      <w:r w:rsidR="00141945" w:rsidRPr="00141945">
        <w:rPr>
          <w:rFonts w:ascii="Arial" w:hAnsi="Arial" w:cs="Arial"/>
          <w:i/>
          <w:iCs/>
        </w:rPr>
        <w:t>solani</w:t>
      </w:r>
      <w:proofErr w:type="spellEnd"/>
      <w:r w:rsidRPr="0084071C">
        <w:rPr>
          <w:rFonts w:ascii="Arial" w:hAnsi="Arial" w:cs="Arial"/>
        </w:rPr>
        <w:t xml:space="preserve">, ranks as the second most important disease of rice worldwide, particularly problematic in intensive cultivation systems with high nitrogen inputs and dense planting (Ali et al., 2023). Management of </w:t>
      </w:r>
      <w:r w:rsidRPr="0084071C">
        <w:rPr>
          <w:rFonts w:ascii="Arial" w:hAnsi="Arial" w:cs="Arial"/>
        </w:rPr>
        <w:lastRenderedPageBreak/>
        <w:t xml:space="preserve">sheath blight through </w:t>
      </w:r>
      <w:proofErr w:type="spellStart"/>
      <w:r w:rsidRPr="0084071C">
        <w:rPr>
          <w:rFonts w:ascii="Arial" w:hAnsi="Arial" w:cs="Arial"/>
        </w:rPr>
        <w:t>nanofungicides</w:t>
      </w:r>
      <w:proofErr w:type="spellEnd"/>
      <w:r w:rsidRPr="0084071C">
        <w:rPr>
          <w:rFonts w:ascii="Arial" w:hAnsi="Arial" w:cs="Arial"/>
        </w:rPr>
        <w:t xml:space="preserve"> offers advantages over conventional approaches due to the disease's characteristic progression from lower leaf sheaths upward, requiring sustained fungicide presence on plant surfaces. Silver nanoparticles demonstrate potent antifungal activity against </w:t>
      </w:r>
      <w:r w:rsidRPr="0084071C">
        <w:rPr>
          <w:rFonts w:ascii="Arial" w:hAnsi="Arial" w:cs="Arial"/>
          <w:i/>
          <w:iCs/>
        </w:rPr>
        <w:t xml:space="preserve">R. </w:t>
      </w:r>
      <w:proofErr w:type="spellStart"/>
      <w:r w:rsidRPr="0084071C">
        <w:rPr>
          <w:rFonts w:ascii="Arial" w:hAnsi="Arial" w:cs="Arial"/>
          <w:i/>
          <w:iCs/>
        </w:rPr>
        <w:t>solani</w:t>
      </w:r>
      <w:proofErr w:type="spellEnd"/>
      <w:r w:rsidRPr="0084071C">
        <w:rPr>
          <w:rFonts w:ascii="Arial" w:hAnsi="Arial" w:cs="Arial"/>
        </w:rPr>
        <w:t xml:space="preserve"> through membrane permeabilization, protein denaturation, and disruption of cellular respiration (Noman et al., 2023). Copper nanoparticles exhibit broad-spectrum fungicidal activity while reducing the total copper load compared to conventional copper-based fungicides, addressing concerns about copper accumulation in agricultural soils (Chen et al., 2025). Polymeric nanocarriers loaded with validamycin, hexaconazole, or other sheath blight fungicides provide controlled release characteristics that extend protection periods and reduce application frequency (Mohapatra et al., 2024). Biocontrol agent-loaded </w:t>
      </w:r>
      <w:proofErr w:type="spellStart"/>
      <w:r w:rsidRPr="0084071C">
        <w:rPr>
          <w:rFonts w:ascii="Arial" w:hAnsi="Arial" w:cs="Arial"/>
        </w:rPr>
        <w:t>nanoformulations</w:t>
      </w:r>
      <w:proofErr w:type="spellEnd"/>
      <w:r w:rsidRPr="0084071C">
        <w:rPr>
          <w:rFonts w:ascii="Arial" w:hAnsi="Arial" w:cs="Arial"/>
        </w:rPr>
        <w:t>, incorporating antagonistic bacteria or fungi such as </w:t>
      </w:r>
      <w:r w:rsidRPr="0084071C">
        <w:rPr>
          <w:rFonts w:ascii="Arial" w:hAnsi="Arial" w:cs="Arial"/>
          <w:i/>
          <w:iCs/>
        </w:rPr>
        <w:t>Trichoderma</w:t>
      </w:r>
      <w:r w:rsidRPr="0084071C">
        <w:rPr>
          <w:rFonts w:ascii="Arial" w:hAnsi="Arial" w:cs="Arial"/>
        </w:rPr>
        <w:t> species, enhance the survival, colonization, and efficacy of biological control agents under field conditions (Worrall et al., 2018). Combination formulations incorporating multiple active ingredients within single nanocarrier systems enable synergistic interactions and may delay resistance development (Singh et al., 2024).</w:t>
      </w:r>
    </w:p>
    <w:p w14:paraId="0994A06D" w14:textId="77777777" w:rsidR="0084071C" w:rsidRPr="0084071C" w:rsidRDefault="0084071C" w:rsidP="0084071C">
      <w:pPr>
        <w:jc w:val="both"/>
        <w:rPr>
          <w:rFonts w:ascii="Arial" w:hAnsi="Arial" w:cs="Arial"/>
        </w:rPr>
      </w:pPr>
    </w:p>
    <w:p w14:paraId="4ECF58CF" w14:textId="77777777" w:rsidR="0084071C" w:rsidRDefault="0084071C" w:rsidP="0084071C">
      <w:pPr>
        <w:jc w:val="both"/>
        <w:rPr>
          <w:rFonts w:ascii="Arial" w:hAnsi="Arial" w:cs="Arial"/>
          <w:b/>
          <w:bCs/>
          <w:sz w:val="22"/>
          <w:szCs w:val="22"/>
        </w:rPr>
      </w:pPr>
      <w:r w:rsidRPr="0084071C">
        <w:rPr>
          <w:rFonts w:ascii="Arial" w:hAnsi="Arial" w:cs="Arial"/>
          <w:b/>
          <w:bCs/>
          <w:sz w:val="22"/>
          <w:szCs w:val="22"/>
        </w:rPr>
        <w:t xml:space="preserve">4.3 Mechanisms of </w:t>
      </w:r>
      <w:proofErr w:type="spellStart"/>
      <w:r w:rsidRPr="0084071C">
        <w:rPr>
          <w:rFonts w:ascii="Arial" w:hAnsi="Arial" w:cs="Arial"/>
          <w:b/>
          <w:bCs/>
          <w:sz w:val="22"/>
          <w:szCs w:val="22"/>
        </w:rPr>
        <w:t>Nanofungicide</w:t>
      </w:r>
      <w:proofErr w:type="spellEnd"/>
      <w:r w:rsidRPr="0084071C">
        <w:rPr>
          <w:rFonts w:ascii="Arial" w:hAnsi="Arial" w:cs="Arial"/>
          <w:b/>
          <w:bCs/>
          <w:sz w:val="22"/>
          <w:szCs w:val="22"/>
        </w:rPr>
        <w:t xml:space="preserve"> Activity</w:t>
      </w:r>
    </w:p>
    <w:p w14:paraId="678113ED" w14:textId="77777777" w:rsidR="00FA1FB7" w:rsidRPr="0084071C" w:rsidRDefault="00FA1FB7" w:rsidP="0084071C">
      <w:pPr>
        <w:jc w:val="both"/>
        <w:rPr>
          <w:rFonts w:ascii="Arial" w:hAnsi="Arial" w:cs="Arial"/>
          <w:b/>
          <w:bCs/>
          <w:sz w:val="22"/>
          <w:szCs w:val="22"/>
        </w:rPr>
      </w:pPr>
    </w:p>
    <w:p w14:paraId="038ECC8D" w14:textId="77777777" w:rsidR="0084071C" w:rsidRPr="0084071C" w:rsidRDefault="0084071C" w:rsidP="0084071C">
      <w:pPr>
        <w:jc w:val="both"/>
        <w:rPr>
          <w:rFonts w:ascii="Arial" w:hAnsi="Arial" w:cs="Arial"/>
        </w:rPr>
      </w:pPr>
      <w:proofErr w:type="spellStart"/>
      <w:r w:rsidRPr="0084071C">
        <w:rPr>
          <w:rFonts w:ascii="Arial" w:hAnsi="Arial" w:cs="Arial"/>
        </w:rPr>
        <w:t>Nanofungicides</w:t>
      </w:r>
      <w:proofErr w:type="spellEnd"/>
      <w:r w:rsidRPr="0084071C">
        <w:rPr>
          <w:rFonts w:ascii="Arial" w:hAnsi="Arial" w:cs="Arial"/>
        </w:rPr>
        <w:t xml:space="preserve"> suppress fungal pathogens through multiple, often synergistic mechanisms that differ from conventional fungicide modes of action. Direct antimicrobial activity of metal and metal oxide nanoparticles results from membrane disruption, generation of reactive oxygen species, release of metal ions that bind to cellular components, and interference with essential enzymes involved in respiration and metabolism (Noman et al., 2023; Chen et al., 2025). Enhanced penetration and translocation of </w:t>
      </w:r>
      <w:proofErr w:type="spellStart"/>
      <w:r w:rsidRPr="0084071C">
        <w:rPr>
          <w:rFonts w:ascii="Arial" w:hAnsi="Arial" w:cs="Arial"/>
        </w:rPr>
        <w:t>nanoencapsulated</w:t>
      </w:r>
      <w:proofErr w:type="spellEnd"/>
      <w:r w:rsidRPr="0084071C">
        <w:rPr>
          <w:rFonts w:ascii="Arial" w:hAnsi="Arial" w:cs="Arial"/>
        </w:rPr>
        <w:t xml:space="preserve"> fungicides within plant tissues provides internal protection against systemic pathogens and improves redistribution to newly emerged plant parts (Nguyen et al., 2025). Sustained and controlled release from nanocarrier systems maintains fungicidal concentrations above minimum inhibitory levels for extended periods, reducing the frequency of applications and minimizing environmental losses (Mohapatra et al., 2024). Stimuli-responsive release triggered by pathogen-associated environmental changes, such as localized pH alterations or enzyme secretion, optimizes the temporal and spatial delivery of fungicides (Zhao et al., 2024). Induction of plant defense responses, particularly by chitosan-based nanomaterials, activates systemic acquired resistance pathways and enhances the expression of pathogenesis-related proteins, phytoalexins, and other defense compounds (Chen et al., 2025; Worrall et al., 2018). </w:t>
      </w:r>
      <w:r w:rsidRPr="0084071C">
        <w:rPr>
          <w:rFonts w:ascii="Arial" w:hAnsi="Arial" w:cs="Arial"/>
          <w:b/>
          <w:bCs/>
        </w:rPr>
        <w:t>Table 6</w:t>
      </w:r>
      <w:r w:rsidRPr="0084071C">
        <w:rPr>
          <w:rFonts w:ascii="Arial" w:hAnsi="Arial" w:cs="Arial"/>
        </w:rPr>
        <w:t xml:space="preserve"> summarizes the mechanisms of action for different classes of </w:t>
      </w:r>
      <w:proofErr w:type="spellStart"/>
      <w:r w:rsidRPr="0084071C">
        <w:rPr>
          <w:rFonts w:ascii="Arial" w:hAnsi="Arial" w:cs="Arial"/>
        </w:rPr>
        <w:t>nanofungicides</w:t>
      </w:r>
      <w:proofErr w:type="spellEnd"/>
      <w:r w:rsidRPr="0084071C">
        <w:rPr>
          <w:rFonts w:ascii="Arial" w:hAnsi="Arial" w:cs="Arial"/>
        </w:rPr>
        <w:t>.</w:t>
      </w:r>
    </w:p>
    <w:p w14:paraId="1849FE6A" w14:textId="77777777" w:rsidR="0084071C" w:rsidRPr="0084071C" w:rsidRDefault="0084071C" w:rsidP="0084071C">
      <w:pPr>
        <w:jc w:val="both"/>
        <w:rPr>
          <w:rFonts w:ascii="Arial" w:hAnsi="Arial" w:cs="Arial"/>
        </w:rPr>
      </w:pPr>
    </w:p>
    <w:p w14:paraId="69B1DD08" w14:textId="77777777" w:rsidR="0084071C" w:rsidRPr="0084071C" w:rsidRDefault="0084071C" w:rsidP="0084071C">
      <w:pPr>
        <w:jc w:val="both"/>
        <w:rPr>
          <w:rFonts w:ascii="Arial" w:hAnsi="Arial" w:cs="Arial"/>
        </w:rPr>
      </w:pPr>
    </w:p>
    <w:p w14:paraId="3C59AA10" w14:textId="77777777" w:rsidR="00FA1FB7" w:rsidRDefault="00FA1FB7" w:rsidP="0084071C">
      <w:pPr>
        <w:jc w:val="both"/>
        <w:rPr>
          <w:rFonts w:ascii="Arial" w:hAnsi="Arial" w:cs="Arial"/>
        </w:rPr>
      </w:pPr>
    </w:p>
    <w:p w14:paraId="0D90F4EA" w14:textId="77777777" w:rsidR="00FA1FB7" w:rsidRPr="0084071C" w:rsidRDefault="00FA1FB7" w:rsidP="0084071C">
      <w:pPr>
        <w:jc w:val="both"/>
        <w:rPr>
          <w:rFonts w:ascii="Arial" w:hAnsi="Arial" w:cs="Arial"/>
        </w:rPr>
      </w:pPr>
    </w:p>
    <w:p w14:paraId="55FCC604" w14:textId="77777777" w:rsidR="0084071C" w:rsidRPr="0084071C" w:rsidRDefault="0084071C" w:rsidP="0084071C">
      <w:pPr>
        <w:jc w:val="both"/>
        <w:rPr>
          <w:rFonts w:ascii="Arial" w:hAnsi="Arial" w:cs="Arial"/>
        </w:rPr>
      </w:pPr>
      <w:r w:rsidRPr="0084071C">
        <w:rPr>
          <w:rFonts w:ascii="Arial" w:hAnsi="Arial" w:cs="Arial"/>
          <w:b/>
          <w:bCs/>
        </w:rPr>
        <w:t>Table 6.</w:t>
      </w:r>
      <w:r w:rsidRPr="0084071C">
        <w:rPr>
          <w:rFonts w:ascii="Arial" w:hAnsi="Arial" w:cs="Arial"/>
        </w:rPr>
        <w:t xml:space="preserve"> Mechanisms of Action of </w:t>
      </w:r>
      <w:proofErr w:type="spellStart"/>
      <w:r w:rsidRPr="0084071C">
        <w:rPr>
          <w:rFonts w:ascii="Arial" w:hAnsi="Arial" w:cs="Arial"/>
        </w:rPr>
        <w:t>Nanofungicides</w:t>
      </w:r>
      <w:proofErr w:type="spellEnd"/>
      <w:r w:rsidRPr="0084071C">
        <w:rPr>
          <w:rFonts w:ascii="Arial" w:hAnsi="Arial" w:cs="Arial"/>
        </w:rPr>
        <w:t xml:space="preserve"> Against Rice Fungal Pathogens</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1530"/>
        <w:gridCol w:w="1308"/>
        <w:gridCol w:w="2217"/>
        <w:gridCol w:w="1434"/>
        <w:gridCol w:w="1395"/>
        <w:gridCol w:w="1154"/>
      </w:tblGrid>
      <w:tr w:rsidR="00FC63B2" w:rsidRPr="0084071C" w14:paraId="515BC331" w14:textId="77777777" w:rsidTr="00863CA1">
        <w:trPr>
          <w:trHeight w:val="600"/>
        </w:trPr>
        <w:tc>
          <w:tcPr>
            <w:tcW w:w="801" w:type="pct"/>
            <w:tcBorders>
              <w:top w:val="single" w:sz="4" w:space="0" w:color="auto"/>
              <w:bottom w:val="single" w:sz="4" w:space="0" w:color="auto"/>
            </w:tcBorders>
            <w:hideMark/>
          </w:tcPr>
          <w:p w14:paraId="5D457200" w14:textId="77777777" w:rsidR="0084071C" w:rsidRPr="0084071C" w:rsidRDefault="0084071C" w:rsidP="00C04C25">
            <w:pPr>
              <w:spacing w:after="160" w:line="278" w:lineRule="auto"/>
              <w:jc w:val="both"/>
              <w:rPr>
                <w:rFonts w:ascii="Arial" w:hAnsi="Arial" w:cs="Arial"/>
                <w:b/>
                <w:bCs/>
                <w:sz w:val="20"/>
                <w:szCs w:val="20"/>
              </w:rPr>
            </w:pPr>
            <w:proofErr w:type="spellStart"/>
            <w:r w:rsidRPr="0084071C">
              <w:rPr>
                <w:rFonts w:ascii="Arial" w:hAnsi="Arial" w:cs="Arial"/>
                <w:b/>
                <w:bCs/>
                <w:sz w:val="20"/>
                <w:szCs w:val="20"/>
              </w:rPr>
              <w:t>Nanofungicide</w:t>
            </w:r>
            <w:proofErr w:type="spellEnd"/>
            <w:r w:rsidRPr="0084071C">
              <w:rPr>
                <w:rFonts w:ascii="Arial" w:hAnsi="Arial" w:cs="Arial"/>
                <w:b/>
                <w:bCs/>
                <w:sz w:val="20"/>
                <w:szCs w:val="20"/>
              </w:rPr>
              <w:t xml:space="preserve"> Type</w:t>
            </w:r>
          </w:p>
        </w:tc>
        <w:tc>
          <w:tcPr>
            <w:tcW w:w="735" w:type="pct"/>
            <w:tcBorders>
              <w:top w:val="single" w:sz="4" w:space="0" w:color="auto"/>
              <w:bottom w:val="single" w:sz="4" w:space="0" w:color="auto"/>
            </w:tcBorders>
            <w:hideMark/>
          </w:tcPr>
          <w:p w14:paraId="4C334F14"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Primary Mechanism(s)</w:t>
            </w:r>
          </w:p>
        </w:tc>
        <w:tc>
          <w:tcPr>
            <w:tcW w:w="627" w:type="pct"/>
            <w:tcBorders>
              <w:top w:val="single" w:sz="4" w:space="0" w:color="auto"/>
              <w:bottom w:val="single" w:sz="4" w:space="0" w:color="auto"/>
            </w:tcBorders>
            <w:hideMark/>
          </w:tcPr>
          <w:p w14:paraId="676D8D60"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Secondary Effects</w:t>
            </w:r>
          </w:p>
        </w:tc>
        <w:tc>
          <w:tcPr>
            <w:tcW w:w="985" w:type="pct"/>
            <w:tcBorders>
              <w:top w:val="single" w:sz="4" w:space="0" w:color="auto"/>
              <w:bottom w:val="single" w:sz="4" w:space="0" w:color="auto"/>
            </w:tcBorders>
            <w:hideMark/>
          </w:tcPr>
          <w:p w14:paraId="70D59747"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Target Pathogens</w:t>
            </w:r>
          </w:p>
        </w:tc>
        <w:tc>
          <w:tcPr>
            <w:tcW w:w="670" w:type="pct"/>
            <w:tcBorders>
              <w:top w:val="single" w:sz="4" w:space="0" w:color="auto"/>
              <w:bottom w:val="single" w:sz="4" w:space="0" w:color="auto"/>
            </w:tcBorders>
            <w:hideMark/>
          </w:tcPr>
          <w:p w14:paraId="4D198537"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Advantages</w:t>
            </w:r>
          </w:p>
        </w:tc>
        <w:tc>
          <w:tcPr>
            <w:tcW w:w="647" w:type="pct"/>
            <w:tcBorders>
              <w:top w:val="single" w:sz="4" w:space="0" w:color="auto"/>
              <w:bottom w:val="single" w:sz="4" w:space="0" w:color="auto"/>
            </w:tcBorders>
            <w:hideMark/>
          </w:tcPr>
          <w:p w14:paraId="671863B9"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Limitations</w:t>
            </w:r>
          </w:p>
        </w:tc>
        <w:tc>
          <w:tcPr>
            <w:tcW w:w="536" w:type="pct"/>
            <w:tcBorders>
              <w:top w:val="single" w:sz="4" w:space="0" w:color="auto"/>
              <w:bottom w:val="single" w:sz="4" w:space="0" w:color="auto"/>
            </w:tcBorders>
            <w:hideMark/>
          </w:tcPr>
          <w:p w14:paraId="2DB69AC2" w14:textId="77777777" w:rsidR="0084071C" w:rsidRPr="0084071C" w:rsidRDefault="0084071C" w:rsidP="00C04C25">
            <w:pPr>
              <w:spacing w:after="160" w:line="278" w:lineRule="auto"/>
              <w:jc w:val="both"/>
              <w:rPr>
                <w:rFonts w:ascii="Arial" w:hAnsi="Arial" w:cs="Arial"/>
                <w:b/>
                <w:bCs/>
                <w:sz w:val="20"/>
                <w:szCs w:val="20"/>
              </w:rPr>
            </w:pPr>
            <w:r w:rsidRPr="0084071C">
              <w:rPr>
                <w:rFonts w:ascii="Arial" w:hAnsi="Arial" w:cs="Arial"/>
                <w:b/>
                <w:bCs/>
                <w:sz w:val="20"/>
                <w:szCs w:val="20"/>
              </w:rPr>
              <w:t>References</w:t>
            </w:r>
          </w:p>
        </w:tc>
      </w:tr>
      <w:tr w:rsidR="00FC63B2" w:rsidRPr="0084071C" w14:paraId="4234DA6C" w14:textId="77777777" w:rsidTr="00863CA1">
        <w:tc>
          <w:tcPr>
            <w:tcW w:w="801" w:type="pct"/>
            <w:tcBorders>
              <w:top w:val="single" w:sz="4" w:space="0" w:color="auto"/>
            </w:tcBorders>
            <w:hideMark/>
          </w:tcPr>
          <w:p w14:paraId="485C09EA"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b/>
                <w:bCs/>
                <w:sz w:val="20"/>
                <w:szCs w:val="20"/>
              </w:rPr>
              <w:t>Silver Nanoparticles (</w:t>
            </w:r>
            <w:proofErr w:type="spellStart"/>
            <w:r w:rsidRPr="0084071C">
              <w:rPr>
                <w:rFonts w:ascii="Arial" w:hAnsi="Arial" w:cs="Arial"/>
                <w:b/>
                <w:bCs/>
                <w:sz w:val="20"/>
                <w:szCs w:val="20"/>
              </w:rPr>
              <w:t>AgNPs</w:t>
            </w:r>
            <w:proofErr w:type="spellEnd"/>
            <w:r w:rsidRPr="0084071C">
              <w:rPr>
                <w:rFonts w:ascii="Arial" w:hAnsi="Arial" w:cs="Arial"/>
                <w:b/>
                <w:bCs/>
                <w:sz w:val="20"/>
                <w:szCs w:val="20"/>
              </w:rPr>
              <w:t>)</w:t>
            </w:r>
          </w:p>
        </w:tc>
        <w:tc>
          <w:tcPr>
            <w:tcW w:w="735" w:type="pct"/>
            <w:tcBorders>
              <w:top w:val="single" w:sz="4" w:space="0" w:color="auto"/>
            </w:tcBorders>
            <w:hideMark/>
          </w:tcPr>
          <w:p w14:paraId="0DF52B0E"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Membrane disruption; ROS generation; protein denaturation; DNA damage</w:t>
            </w:r>
          </w:p>
        </w:tc>
        <w:tc>
          <w:tcPr>
            <w:tcW w:w="627" w:type="pct"/>
            <w:tcBorders>
              <w:top w:val="single" w:sz="4" w:space="0" w:color="auto"/>
            </w:tcBorders>
            <w:hideMark/>
          </w:tcPr>
          <w:p w14:paraId="118171C9"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Inhibition of spore germination; mycelial growth suppression</w:t>
            </w:r>
          </w:p>
        </w:tc>
        <w:tc>
          <w:tcPr>
            <w:tcW w:w="985" w:type="pct"/>
            <w:tcBorders>
              <w:top w:val="single" w:sz="4" w:space="0" w:color="auto"/>
            </w:tcBorders>
            <w:hideMark/>
          </w:tcPr>
          <w:p w14:paraId="2DF6DA40"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i/>
                <w:iCs/>
                <w:sz w:val="20"/>
                <w:szCs w:val="20"/>
              </w:rPr>
              <w:t>P. oryzae</w:t>
            </w:r>
            <w:r w:rsidRPr="0084071C">
              <w:rPr>
                <w:rFonts w:ascii="Arial" w:hAnsi="Arial" w:cs="Arial"/>
                <w:sz w:val="20"/>
                <w:szCs w:val="20"/>
              </w:rPr>
              <w:t>, </w:t>
            </w:r>
            <w:r w:rsidRPr="0084071C">
              <w:rPr>
                <w:rFonts w:ascii="Arial" w:hAnsi="Arial" w:cs="Arial"/>
                <w:i/>
                <w:iCs/>
                <w:sz w:val="20"/>
                <w:szCs w:val="20"/>
              </w:rPr>
              <w:t xml:space="preserve">R. </w:t>
            </w:r>
            <w:proofErr w:type="spellStart"/>
            <w:r w:rsidRPr="0084071C">
              <w:rPr>
                <w:rFonts w:ascii="Arial" w:hAnsi="Arial" w:cs="Arial"/>
                <w:i/>
                <w:iCs/>
                <w:sz w:val="20"/>
                <w:szCs w:val="20"/>
              </w:rPr>
              <w:t>solani</w:t>
            </w:r>
            <w:proofErr w:type="spellEnd"/>
            <w:r w:rsidRPr="0084071C">
              <w:rPr>
                <w:rFonts w:ascii="Arial" w:hAnsi="Arial" w:cs="Arial"/>
                <w:sz w:val="20"/>
                <w:szCs w:val="20"/>
              </w:rPr>
              <w:t>, </w:t>
            </w:r>
            <w:r w:rsidRPr="0084071C">
              <w:rPr>
                <w:rFonts w:ascii="Arial" w:hAnsi="Arial" w:cs="Arial"/>
                <w:i/>
                <w:iCs/>
                <w:sz w:val="20"/>
                <w:szCs w:val="20"/>
              </w:rPr>
              <w:t>Fusarium</w:t>
            </w:r>
            <w:r w:rsidRPr="0084071C">
              <w:rPr>
                <w:rFonts w:ascii="Arial" w:hAnsi="Arial" w:cs="Arial"/>
                <w:sz w:val="20"/>
                <w:szCs w:val="20"/>
              </w:rPr>
              <w:t> spp.</w:t>
            </w:r>
          </w:p>
        </w:tc>
        <w:tc>
          <w:tcPr>
            <w:tcW w:w="670" w:type="pct"/>
            <w:tcBorders>
              <w:top w:val="single" w:sz="4" w:space="0" w:color="auto"/>
            </w:tcBorders>
            <w:hideMark/>
          </w:tcPr>
          <w:p w14:paraId="721FA5DC"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Broad-spectrum; multiple targets; low resistance risk</w:t>
            </w:r>
          </w:p>
        </w:tc>
        <w:tc>
          <w:tcPr>
            <w:tcW w:w="647" w:type="pct"/>
            <w:tcBorders>
              <w:top w:val="single" w:sz="4" w:space="0" w:color="auto"/>
            </w:tcBorders>
            <w:hideMark/>
          </w:tcPr>
          <w:p w14:paraId="432AD63E"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Potential environmental concerns; cost</w:t>
            </w:r>
          </w:p>
        </w:tc>
        <w:tc>
          <w:tcPr>
            <w:tcW w:w="536" w:type="pct"/>
            <w:tcBorders>
              <w:top w:val="single" w:sz="4" w:space="0" w:color="auto"/>
            </w:tcBorders>
            <w:hideMark/>
          </w:tcPr>
          <w:p w14:paraId="5D69E2F6"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Noman et al., 2023; Chen et al., 2025</w:t>
            </w:r>
          </w:p>
        </w:tc>
      </w:tr>
      <w:tr w:rsidR="00FC63B2" w:rsidRPr="0084071C" w14:paraId="0038DE16" w14:textId="77777777" w:rsidTr="00863CA1">
        <w:tc>
          <w:tcPr>
            <w:tcW w:w="801" w:type="pct"/>
            <w:hideMark/>
          </w:tcPr>
          <w:p w14:paraId="00AC4006"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b/>
                <w:bCs/>
                <w:sz w:val="20"/>
                <w:szCs w:val="20"/>
              </w:rPr>
              <w:t>Copper Nanoparticles (</w:t>
            </w:r>
            <w:proofErr w:type="spellStart"/>
            <w:r w:rsidRPr="0084071C">
              <w:rPr>
                <w:rFonts w:ascii="Arial" w:hAnsi="Arial" w:cs="Arial"/>
                <w:b/>
                <w:bCs/>
                <w:sz w:val="20"/>
                <w:szCs w:val="20"/>
              </w:rPr>
              <w:t>CuNPs</w:t>
            </w:r>
            <w:proofErr w:type="spellEnd"/>
            <w:r w:rsidRPr="0084071C">
              <w:rPr>
                <w:rFonts w:ascii="Arial" w:hAnsi="Arial" w:cs="Arial"/>
                <w:b/>
                <w:bCs/>
                <w:sz w:val="20"/>
                <w:szCs w:val="20"/>
              </w:rPr>
              <w:t>)</w:t>
            </w:r>
          </w:p>
        </w:tc>
        <w:tc>
          <w:tcPr>
            <w:tcW w:w="735" w:type="pct"/>
            <w:hideMark/>
          </w:tcPr>
          <w:p w14:paraId="6B20D109"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Membrane permeabilization; enzyme inactivation; ROS production</w:t>
            </w:r>
          </w:p>
        </w:tc>
        <w:tc>
          <w:tcPr>
            <w:tcW w:w="627" w:type="pct"/>
            <w:hideMark/>
          </w:tcPr>
          <w:p w14:paraId="65004293"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Disruption of cellular respiration; inhibition of electron transport</w:t>
            </w:r>
          </w:p>
        </w:tc>
        <w:tc>
          <w:tcPr>
            <w:tcW w:w="985" w:type="pct"/>
            <w:hideMark/>
          </w:tcPr>
          <w:p w14:paraId="5606F3F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i/>
                <w:iCs/>
                <w:sz w:val="20"/>
                <w:szCs w:val="20"/>
              </w:rPr>
              <w:t>P. oryzae</w:t>
            </w:r>
            <w:r w:rsidRPr="0084071C">
              <w:rPr>
                <w:rFonts w:ascii="Arial" w:hAnsi="Arial" w:cs="Arial"/>
                <w:sz w:val="20"/>
                <w:szCs w:val="20"/>
              </w:rPr>
              <w:t>, </w:t>
            </w:r>
            <w:r w:rsidRPr="0084071C">
              <w:rPr>
                <w:rFonts w:ascii="Arial" w:hAnsi="Arial" w:cs="Arial"/>
                <w:i/>
                <w:iCs/>
                <w:sz w:val="20"/>
                <w:szCs w:val="20"/>
              </w:rPr>
              <w:t xml:space="preserve">R. </w:t>
            </w:r>
            <w:proofErr w:type="spellStart"/>
            <w:r w:rsidRPr="0084071C">
              <w:rPr>
                <w:rFonts w:ascii="Arial" w:hAnsi="Arial" w:cs="Arial"/>
                <w:i/>
                <w:iCs/>
                <w:sz w:val="20"/>
                <w:szCs w:val="20"/>
              </w:rPr>
              <w:t>solani</w:t>
            </w:r>
            <w:proofErr w:type="spellEnd"/>
            <w:r w:rsidRPr="0084071C">
              <w:rPr>
                <w:rFonts w:ascii="Arial" w:hAnsi="Arial" w:cs="Arial"/>
                <w:sz w:val="20"/>
                <w:szCs w:val="20"/>
              </w:rPr>
              <w:t>, </w:t>
            </w:r>
            <w:r w:rsidRPr="0084071C">
              <w:rPr>
                <w:rFonts w:ascii="Arial" w:hAnsi="Arial" w:cs="Arial"/>
                <w:i/>
                <w:iCs/>
                <w:sz w:val="20"/>
                <w:szCs w:val="20"/>
              </w:rPr>
              <w:t>Xanthomonas</w:t>
            </w:r>
            <w:r w:rsidRPr="0084071C">
              <w:rPr>
                <w:rFonts w:ascii="Arial" w:hAnsi="Arial" w:cs="Arial"/>
                <w:sz w:val="20"/>
                <w:szCs w:val="20"/>
              </w:rPr>
              <w:t> spp.</w:t>
            </w:r>
          </w:p>
        </w:tc>
        <w:tc>
          <w:tcPr>
            <w:tcW w:w="670" w:type="pct"/>
            <w:hideMark/>
          </w:tcPr>
          <w:p w14:paraId="63CA4084"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Effective; lower dose than bulk copper</w:t>
            </w:r>
          </w:p>
        </w:tc>
        <w:tc>
          <w:tcPr>
            <w:tcW w:w="647" w:type="pct"/>
            <w:hideMark/>
          </w:tcPr>
          <w:p w14:paraId="6119F678"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Phytotoxicity at high concentrations; accumulation</w:t>
            </w:r>
          </w:p>
        </w:tc>
        <w:tc>
          <w:tcPr>
            <w:tcW w:w="536" w:type="pct"/>
            <w:hideMark/>
          </w:tcPr>
          <w:p w14:paraId="3C1156B9"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Chen et al., 2025</w:t>
            </w:r>
          </w:p>
        </w:tc>
      </w:tr>
      <w:tr w:rsidR="00FC63B2" w:rsidRPr="0084071C" w14:paraId="7F2ABBD4" w14:textId="77777777" w:rsidTr="00863CA1">
        <w:tc>
          <w:tcPr>
            <w:tcW w:w="801" w:type="pct"/>
            <w:hideMark/>
          </w:tcPr>
          <w:p w14:paraId="20ACB488"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b/>
                <w:bCs/>
                <w:sz w:val="20"/>
                <w:szCs w:val="20"/>
              </w:rPr>
              <w:t>Zinc Oxide NPs (</w:t>
            </w:r>
            <w:proofErr w:type="spellStart"/>
            <w:r w:rsidRPr="0084071C">
              <w:rPr>
                <w:rFonts w:ascii="Arial" w:hAnsi="Arial" w:cs="Arial"/>
                <w:b/>
                <w:bCs/>
                <w:sz w:val="20"/>
                <w:szCs w:val="20"/>
              </w:rPr>
              <w:t>ZnO</w:t>
            </w:r>
            <w:proofErr w:type="spellEnd"/>
            <w:r w:rsidRPr="0084071C">
              <w:rPr>
                <w:rFonts w:ascii="Arial" w:hAnsi="Arial" w:cs="Arial"/>
                <w:b/>
                <w:bCs/>
                <w:sz w:val="20"/>
                <w:szCs w:val="20"/>
              </w:rPr>
              <w:t>)</w:t>
            </w:r>
          </w:p>
        </w:tc>
        <w:tc>
          <w:tcPr>
            <w:tcW w:w="735" w:type="pct"/>
            <w:hideMark/>
          </w:tcPr>
          <w:p w14:paraId="1C968446"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ROS generation; membrane damage; Zn²</w:t>
            </w:r>
            <w:r w:rsidRPr="0084071C">
              <w:rPr>
                <w:rFonts w:ascii="Cambria Math" w:hAnsi="Cambria Math" w:cs="Cambria Math"/>
                <w:sz w:val="20"/>
                <w:szCs w:val="20"/>
              </w:rPr>
              <w:t>⁺</w:t>
            </w:r>
            <w:r w:rsidRPr="0084071C">
              <w:rPr>
                <w:rFonts w:ascii="Arial" w:hAnsi="Arial" w:cs="Arial"/>
                <w:sz w:val="20"/>
                <w:szCs w:val="20"/>
              </w:rPr>
              <w:t xml:space="preserve"> ion release</w:t>
            </w:r>
          </w:p>
        </w:tc>
        <w:tc>
          <w:tcPr>
            <w:tcW w:w="627" w:type="pct"/>
            <w:hideMark/>
          </w:tcPr>
          <w:p w14:paraId="555D4280"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Inhibition of fungal enzymes; disruption of cell wall synthesis</w:t>
            </w:r>
          </w:p>
        </w:tc>
        <w:tc>
          <w:tcPr>
            <w:tcW w:w="985" w:type="pct"/>
            <w:hideMark/>
          </w:tcPr>
          <w:p w14:paraId="75CD16DE"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i/>
                <w:iCs/>
                <w:sz w:val="20"/>
                <w:szCs w:val="20"/>
              </w:rPr>
              <w:t>P. oryzae</w:t>
            </w:r>
            <w:r w:rsidRPr="0084071C">
              <w:rPr>
                <w:rFonts w:ascii="Arial" w:hAnsi="Arial" w:cs="Arial"/>
                <w:sz w:val="20"/>
                <w:szCs w:val="20"/>
              </w:rPr>
              <w:t>, </w:t>
            </w:r>
            <w:r w:rsidRPr="0084071C">
              <w:rPr>
                <w:rFonts w:ascii="Arial" w:hAnsi="Arial" w:cs="Arial"/>
                <w:i/>
                <w:iCs/>
                <w:sz w:val="20"/>
                <w:szCs w:val="20"/>
              </w:rPr>
              <w:t xml:space="preserve">R. </w:t>
            </w:r>
            <w:proofErr w:type="spellStart"/>
            <w:r w:rsidRPr="0084071C">
              <w:rPr>
                <w:rFonts w:ascii="Arial" w:hAnsi="Arial" w:cs="Arial"/>
                <w:i/>
                <w:iCs/>
                <w:sz w:val="20"/>
                <w:szCs w:val="20"/>
              </w:rPr>
              <w:t>solani</w:t>
            </w:r>
            <w:proofErr w:type="spellEnd"/>
          </w:p>
        </w:tc>
        <w:tc>
          <w:tcPr>
            <w:tcW w:w="670" w:type="pct"/>
            <w:hideMark/>
          </w:tcPr>
          <w:p w14:paraId="57F331D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Dual function (fungicide + micronutrient); photocatalytic</w:t>
            </w:r>
          </w:p>
        </w:tc>
        <w:tc>
          <w:tcPr>
            <w:tcW w:w="647" w:type="pct"/>
            <w:hideMark/>
          </w:tcPr>
          <w:p w14:paraId="27CBF43A"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UV-dependent activity; aggregation issues</w:t>
            </w:r>
          </w:p>
        </w:tc>
        <w:tc>
          <w:tcPr>
            <w:tcW w:w="536" w:type="pct"/>
            <w:hideMark/>
          </w:tcPr>
          <w:p w14:paraId="566516DB"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Noman et al., 2023</w:t>
            </w:r>
          </w:p>
        </w:tc>
      </w:tr>
      <w:tr w:rsidR="00FC63B2" w:rsidRPr="0084071C" w14:paraId="0E882FD8" w14:textId="77777777" w:rsidTr="00863CA1">
        <w:tc>
          <w:tcPr>
            <w:tcW w:w="801" w:type="pct"/>
            <w:hideMark/>
          </w:tcPr>
          <w:p w14:paraId="25749FEA"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b/>
                <w:bCs/>
                <w:sz w:val="20"/>
                <w:szCs w:val="20"/>
              </w:rPr>
              <w:lastRenderedPageBreak/>
              <w:t>Titanium Dioxide NPs (</w:t>
            </w:r>
            <w:proofErr w:type="spellStart"/>
            <w:r w:rsidRPr="0084071C">
              <w:rPr>
                <w:rFonts w:ascii="Arial" w:hAnsi="Arial" w:cs="Arial"/>
                <w:b/>
                <w:bCs/>
                <w:sz w:val="20"/>
                <w:szCs w:val="20"/>
              </w:rPr>
              <w:t>TiO</w:t>
            </w:r>
            <w:proofErr w:type="spellEnd"/>
            <w:r w:rsidRPr="0084071C">
              <w:rPr>
                <w:rFonts w:ascii="Cambria Math" w:hAnsi="Cambria Math" w:cs="Cambria Math"/>
                <w:b/>
                <w:bCs/>
                <w:sz w:val="20"/>
                <w:szCs w:val="20"/>
              </w:rPr>
              <w:t>₂</w:t>
            </w:r>
            <w:r w:rsidRPr="0084071C">
              <w:rPr>
                <w:rFonts w:ascii="Arial" w:hAnsi="Arial" w:cs="Arial"/>
                <w:b/>
                <w:bCs/>
                <w:sz w:val="20"/>
                <w:szCs w:val="20"/>
              </w:rPr>
              <w:t>)</w:t>
            </w:r>
          </w:p>
        </w:tc>
        <w:tc>
          <w:tcPr>
            <w:tcW w:w="735" w:type="pct"/>
            <w:hideMark/>
          </w:tcPr>
          <w:p w14:paraId="06279D11"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Photocatalytic ROS generation; oxidative stress</w:t>
            </w:r>
          </w:p>
        </w:tc>
        <w:tc>
          <w:tcPr>
            <w:tcW w:w="627" w:type="pct"/>
            <w:hideMark/>
          </w:tcPr>
          <w:p w14:paraId="38C14C79"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Lipid peroxidation; protein oxidation</w:t>
            </w:r>
          </w:p>
        </w:tc>
        <w:tc>
          <w:tcPr>
            <w:tcW w:w="985" w:type="pct"/>
            <w:hideMark/>
          </w:tcPr>
          <w:p w14:paraId="6A9F99BE"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i/>
                <w:iCs/>
                <w:sz w:val="20"/>
                <w:szCs w:val="20"/>
              </w:rPr>
              <w:t>P. oryzae</w:t>
            </w:r>
            <w:r w:rsidRPr="0084071C">
              <w:rPr>
                <w:rFonts w:ascii="Arial" w:hAnsi="Arial" w:cs="Arial"/>
                <w:sz w:val="20"/>
                <w:szCs w:val="20"/>
              </w:rPr>
              <w:t>, </w:t>
            </w:r>
            <w:r w:rsidRPr="0084071C">
              <w:rPr>
                <w:rFonts w:ascii="Arial" w:hAnsi="Arial" w:cs="Arial"/>
                <w:i/>
                <w:iCs/>
                <w:sz w:val="20"/>
                <w:szCs w:val="20"/>
              </w:rPr>
              <w:t>Fusarium</w:t>
            </w:r>
            <w:r w:rsidRPr="0084071C">
              <w:rPr>
                <w:rFonts w:ascii="Arial" w:hAnsi="Arial" w:cs="Arial"/>
                <w:sz w:val="20"/>
                <w:szCs w:val="20"/>
              </w:rPr>
              <w:t> spp.</w:t>
            </w:r>
          </w:p>
        </w:tc>
        <w:tc>
          <w:tcPr>
            <w:tcW w:w="670" w:type="pct"/>
            <w:hideMark/>
          </w:tcPr>
          <w:p w14:paraId="07D9FB6C"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Photostable; environmentally benign</w:t>
            </w:r>
          </w:p>
        </w:tc>
        <w:tc>
          <w:tcPr>
            <w:tcW w:w="647" w:type="pct"/>
            <w:hideMark/>
          </w:tcPr>
          <w:p w14:paraId="508F1934"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Light-dependent; lower efficacy in shade</w:t>
            </w:r>
          </w:p>
        </w:tc>
        <w:tc>
          <w:tcPr>
            <w:tcW w:w="536" w:type="pct"/>
            <w:hideMark/>
          </w:tcPr>
          <w:p w14:paraId="1CC6B7DC"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Noman et al., 2023</w:t>
            </w:r>
          </w:p>
        </w:tc>
      </w:tr>
      <w:tr w:rsidR="00FC63B2" w:rsidRPr="0084071C" w14:paraId="2342F4F9" w14:textId="77777777" w:rsidTr="00863CA1">
        <w:tc>
          <w:tcPr>
            <w:tcW w:w="801" w:type="pct"/>
            <w:hideMark/>
          </w:tcPr>
          <w:p w14:paraId="19A0186F"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b/>
                <w:bCs/>
                <w:sz w:val="20"/>
                <w:szCs w:val="20"/>
              </w:rPr>
              <w:t>Chitosan Nanoparticles</w:t>
            </w:r>
          </w:p>
        </w:tc>
        <w:tc>
          <w:tcPr>
            <w:tcW w:w="735" w:type="pct"/>
            <w:hideMark/>
          </w:tcPr>
          <w:p w14:paraId="2DD61F2F"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Membrane disruption; chelation of nutrients; elicitation of plant defenses</w:t>
            </w:r>
          </w:p>
        </w:tc>
        <w:tc>
          <w:tcPr>
            <w:tcW w:w="627" w:type="pct"/>
            <w:hideMark/>
          </w:tcPr>
          <w:p w14:paraId="0A772525"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Induction of PR proteins; phytoalexin production; SAR activation</w:t>
            </w:r>
          </w:p>
        </w:tc>
        <w:tc>
          <w:tcPr>
            <w:tcW w:w="985" w:type="pct"/>
            <w:hideMark/>
          </w:tcPr>
          <w:p w14:paraId="17D8B278"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i/>
                <w:iCs/>
                <w:sz w:val="20"/>
                <w:szCs w:val="20"/>
              </w:rPr>
              <w:t>P. oryzae</w:t>
            </w:r>
            <w:r w:rsidRPr="0084071C">
              <w:rPr>
                <w:rFonts w:ascii="Arial" w:hAnsi="Arial" w:cs="Arial"/>
                <w:sz w:val="20"/>
                <w:szCs w:val="20"/>
              </w:rPr>
              <w:t>, </w:t>
            </w:r>
            <w:r w:rsidRPr="0084071C">
              <w:rPr>
                <w:rFonts w:ascii="Arial" w:hAnsi="Arial" w:cs="Arial"/>
                <w:i/>
                <w:iCs/>
                <w:sz w:val="20"/>
                <w:szCs w:val="20"/>
              </w:rPr>
              <w:t xml:space="preserve">R. </w:t>
            </w:r>
            <w:proofErr w:type="spellStart"/>
            <w:r w:rsidRPr="0084071C">
              <w:rPr>
                <w:rFonts w:ascii="Arial" w:hAnsi="Arial" w:cs="Arial"/>
                <w:i/>
                <w:iCs/>
                <w:sz w:val="20"/>
                <w:szCs w:val="20"/>
              </w:rPr>
              <w:t>solani</w:t>
            </w:r>
            <w:proofErr w:type="spellEnd"/>
          </w:p>
        </w:tc>
        <w:tc>
          <w:tcPr>
            <w:tcW w:w="670" w:type="pct"/>
            <w:hideMark/>
          </w:tcPr>
          <w:p w14:paraId="6F4357A5"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Biodegradable; dual action (direct + induced resistance)</w:t>
            </w:r>
          </w:p>
        </w:tc>
        <w:tc>
          <w:tcPr>
            <w:tcW w:w="647" w:type="pct"/>
            <w:hideMark/>
          </w:tcPr>
          <w:p w14:paraId="05863BAC"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pH-sensitive; variable efficacy</w:t>
            </w:r>
          </w:p>
        </w:tc>
        <w:tc>
          <w:tcPr>
            <w:tcW w:w="536" w:type="pct"/>
            <w:hideMark/>
          </w:tcPr>
          <w:p w14:paraId="09ABEA2A"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Chen et al., 2025; Worrall et al., 2018</w:t>
            </w:r>
          </w:p>
        </w:tc>
      </w:tr>
      <w:tr w:rsidR="00FC63B2" w:rsidRPr="0084071C" w14:paraId="382FEC66" w14:textId="77777777" w:rsidTr="00863CA1">
        <w:tc>
          <w:tcPr>
            <w:tcW w:w="801" w:type="pct"/>
            <w:hideMark/>
          </w:tcPr>
          <w:p w14:paraId="5ABCB246" w14:textId="77777777" w:rsidR="0084071C" w:rsidRPr="0084071C" w:rsidRDefault="0084071C" w:rsidP="00C04C25">
            <w:pPr>
              <w:spacing w:after="160" w:line="278" w:lineRule="auto"/>
              <w:jc w:val="both"/>
              <w:rPr>
                <w:rFonts w:ascii="Arial" w:hAnsi="Arial" w:cs="Arial"/>
                <w:sz w:val="20"/>
                <w:szCs w:val="20"/>
              </w:rPr>
            </w:pPr>
            <w:proofErr w:type="spellStart"/>
            <w:r w:rsidRPr="0084071C">
              <w:rPr>
                <w:rFonts w:ascii="Arial" w:hAnsi="Arial" w:cs="Arial"/>
                <w:b/>
                <w:bCs/>
                <w:sz w:val="20"/>
                <w:szCs w:val="20"/>
              </w:rPr>
              <w:t>Nanoencapsulated</w:t>
            </w:r>
            <w:proofErr w:type="spellEnd"/>
            <w:r w:rsidRPr="0084071C">
              <w:rPr>
                <w:rFonts w:ascii="Arial" w:hAnsi="Arial" w:cs="Arial"/>
                <w:b/>
                <w:bCs/>
                <w:sz w:val="20"/>
                <w:szCs w:val="20"/>
              </w:rPr>
              <w:t xml:space="preserve"> Synthetic Fungicides</w:t>
            </w:r>
          </w:p>
        </w:tc>
        <w:tc>
          <w:tcPr>
            <w:tcW w:w="735" w:type="pct"/>
            <w:hideMark/>
          </w:tcPr>
          <w:p w14:paraId="140FFBA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Controlled release of active ingredient; enhanced penetration</w:t>
            </w:r>
          </w:p>
        </w:tc>
        <w:tc>
          <w:tcPr>
            <w:tcW w:w="627" w:type="pct"/>
            <w:hideMark/>
          </w:tcPr>
          <w:p w14:paraId="4435EF70"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Prolonged residual activity; reduced environmental loss</w:t>
            </w:r>
          </w:p>
        </w:tc>
        <w:tc>
          <w:tcPr>
            <w:tcW w:w="985" w:type="pct"/>
            <w:hideMark/>
          </w:tcPr>
          <w:p w14:paraId="642F773F"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Broad-spectrum</w:t>
            </w:r>
          </w:p>
        </w:tc>
        <w:tc>
          <w:tcPr>
            <w:tcW w:w="670" w:type="pct"/>
            <w:hideMark/>
          </w:tcPr>
          <w:p w14:paraId="0BFEAABE"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Reduced dose; extended protection; improved stability</w:t>
            </w:r>
          </w:p>
        </w:tc>
        <w:tc>
          <w:tcPr>
            <w:tcW w:w="647" w:type="pct"/>
            <w:hideMark/>
          </w:tcPr>
          <w:p w14:paraId="43E9025B"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Carrier biodegradation varies; cost</w:t>
            </w:r>
          </w:p>
        </w:tc>
        <w:tc>
          <w:tcPr>
            <w:tcW w:w="536" w:type="pct"/>
            <w:hideMark/>
          </w:tcPr>
          <w:p w14:paraId="5D0C33E6"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Nguyen et al., 2025; Mohapatra et al., 2024</w:t>
            </w:r>
          </w:p>
        </w:tc>
      </w:tr>
      <w:tr w:rsidR="00FC63B2" w:rsidRPr="0084071C" w14:paraId="01B7BFF8" w14:textId="77777777" w:rsidTr="00863CA1">
        <w:tc>
          <w:tcPr>
            <w:tcW w:w="801" w:type="pct"/>
            <w:hideMark/>
          </w:tcPr>
          <w:p w14:paraId="218CE9D6"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b/>
                <w:bCs/>
                <w:sz w:val="20"/>
                <w:szCs w:val="20"/>
              </w:rPr>
              <w:t>Mesoporous Silica NPs (Stimuli-Responsive)</w:t>
            </w:r>
          </w:p>
        </w:tc>
        <w:tc>
          <w:tcPr>
            <w:tcW w:w="735" w:type="pct"/>
            <w:hideMark/>
          </w:tcPr>
          <w:p w14:paraId="35F375FC"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pH/enzyme-triggered release at infection site</w:t>
            </w:r>
          </w:p>
        </w:tc>
        <w:tc>
          <w:tcPr>
            <w:tcW w:w="627" w:type="pct"/>
            <w:hideMark/>
          </w:tcPr>
          <w:p w14:paraId="580203B6"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Targeted delivery; minimized off-target effects</w:t>
            </w:r>
          </w:p>
        </w:tc>
        <w:tc>
          <w:tcPr>
            <w:tcW w:w="985" w:type="pct"/>
            <w:hideMark/>
          </w:tcPr>
          <w:p w14:paraId="60553BAD"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i/>
                <w:iCs/>
                <w:sz w:val="20"/>
                <w:szCs w:val="20"/>
              </w:rPr>
              <w:t>P. oryzae</w:t>
            </w:r>
          </w:p>
        </w:tc>
        <w:tc>
          <w:tcPr>
            <w:tcW w:w="670" w:type="pct"/>
            <w:hideMark/>
          </w:tcPr>
          <w:p w14:paraId="40DF3E87"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Precision delivery; reduced environmental exposure</w:t>
            </w:r>
          </w:p>
        </w:tc>
        <w:tc>
          <w:tcPr>
            <w:tcW w:w="647" w:type="pct"/>
            <w:hideMark/>
          </w:tcPr>
          <w:p w14:paraId="4F6EA359"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Complex synthesis; scale-up challenges</w:t>
            </w:r>
          </w:p>
        </w:tc>
        <w:tc>
          <w:tcPr>
            <w:tcW w:w="536" w:type="pct"/>
            <w:hideMark/>
          </w:tcPr>
          <w:p w14:paraId="627D7328" w14:textId="77777777" w:rsidR="0084071C" w:rsidRPr="0084071C" w:rsidRDefault="0084071C" w:rsidP="00C04C25">
            <w:pPr>
              <w:spacing w:after="160" w:line="278" w:lineRule="auto"/>
              <w:jc w:val="both"/>
              <w:rPr>
                <w:rFonts w:ascii="Arial" w:hAnsi="Arial" w:cs="Arial"/>
                <w:sz w:val="20"/>
                <w:szCs w:val="20"/>
              </w:rPr>
            </w:pPr>
            <w:r w:rsidRPr="0084071C">
              <w:rPr>
                <w:rFonts w:ascii="Arial" w:hAnsi="Arial" w:cs="Arial"/>
                <w:sz w:val="20"/>
                <w:szCs w:val="20"/>
              </w:rPr>
              <w:t>Zhao et al., 2024</w:t>
            </w:r>
          </w:p>
        </w:tc>
      </w:tr>
    </w:tbl>
    <w:p w14:paraId="014C38EE" w14:textId="77777777" w:rsidR="0084071C" w:rsidRPr="00FA1FB7" w:rsidRDefault="0084071C" w:rsidP="0084071C">
      <w:pPr>
        <w:jc w:val="both"/>
        <w:rPr>
          <w:rFonts w:ascii="Arial" w:hAnsi="Arial" w:cs="Arial"/>
          <w:i/>
          <w:iCs/>
        </w:rPr>
      </w:pPr>
      <w:r w:rsidRPr="00FA1FB7">
        <w:rPr>
          <w:rFonts w:ascii="Arial" w:hAnsi="Arial" w:cs="Arial"/>
          <w:b/>
          <w:bCs/>
          <w:i/>
          <w:iCs/>
        </w:rPr>
        <w:t>Note:</w:t>
      </w:r>
      <w:r w:rsidRPr="00FA1FB7">
        <w:rPr>
          <w:rFonts w:ascii="Arial" w:hAnsi="Arial" w:cs="Arial"/>
          <w:i/>
          <w:iCs/>
        </w:rPr>
        <w:t> ROS = Reactive oxygen species; PR = Pathogenesis-related; SAR = Systemic acquired resistance.</w:t>
      </w:r>
    </w:p>
    <w:p w14:paraId="6430BFE7" w14:textId="77777777" w:rsidR="0084071C" w:rsidRPr="0084071C" w:rsidRDefault="0084071C" w:rsidP="0084071C">
      <w:pPr>
        <w:jc w:val="both"/>
        <w:rPr>
          <w:rFonts w:ascii="Arial" w:hAnsi="Arial" w:cs="Arial"/>
        </w:rPr>
      </w:pPr>
    </w:p>
    <w:p w14:paraId="3D3EEFA8" w14:textId="77777777" w:rsidR="0084071C" w:rsidRPr="0084071C" w:rsidRDefault="0084071C" w:rsidP="0084071C">
      <w:pPr>
        <w:jc w:val="both"/>
        <w:rPr>
          <w:rFonts w:ascii="Arial" w:hAnsi="Arial" w:cs="Arial"/>
        </w:rPr>
      </w:pPr>
    </w:p>
    <w:p w14:paraId="327CD899" w14:textId="77777777" w:rsidR="0084071C" w:rsidRDefault="0084071C" w:rsidP="0084071C">
      <w:pPr>
        <w:jc w:val="both"/>
        <w:rPr>
          <w:rFonts w:ascii="Arial" w:hAnsi="Arial" w:cs="Arial"/>
          <w:b/>
          <w:bCs/>
          <w:sz w:val="22"/>
          <w:szCs w:val="22"/>
        </w:rPr>
      </w:pPr>
      <w:r w:rsidRPr="00FA1FB7">
        <w:rPr>
          <w:rFonts w:ascii="Arial" w:hAnsi="Arial" w:cs="Arial"/>
          <w:b/>
          <w:bCs/>
          <w:sz w:val="22"/>
          <w:szCs w:val="22"/>
        </w:rPr>
        <w:t>4.4 Comparative Efficacy and Environmental Benefits</w:t>
      </w:r>
    </w:p>
    <w:p w14:paraId="3013BFB6" w14:textId="77777777" w:rsidR="007D53AA" w:rsidRDefault="007D53AA" w:rsidP="007D53AA">
      <w:pPr>
        <w:jc w:val="both"/>
        <w:rPr>
          <w:rFonts w:ascii="Arial" w:hAnsi="Arial" w:cs="Arial"/>
        </w:rPr>
      </w:pPr>
      <w:r w:rsidRPr="0084071C">
        <w:rPr>
          <w:rFonts w:ascii="Arial" w:hAnsi="Arial" w:cs="Arial"/>
        </w:rPr>
        <w:t xml:space="preserve">Comparative studies evaluating </w:t>
      </w:r>
      <w:proofErr w:type="spellStart"/>
      <w:r w:rsidRPr="0084071C">
        <w:rPr>
          <w:rFonts w:ascii="Arial" w:hAnsi="Arial" w:cs="Arial"/>
        </w:rPr>
        <w:t>nanofungicides</w:t>
      </w:r>
      <w:proofErr w:type="spellEnd"/>
      <w:r w:rsidRPr="0084071C">
        <w:rPr>
          <w:rFonts w:ascii="Arial" w:hAnsi="Arial" w:cs="Arial"/>
        </w:rPr>
        <w:t xml:space="preserve"> against conventional fungicide formulations have demonstrated several performance advantages. </w:t>
      </w:r>
      <w:proofErr w:type="spellStart"/>
      <w:r w:rsidRPr="0084071C">
        <w:rPr>
          <w:rFonts w:ascii="Arial" w:hAnsi="Arial" w:cs="Arial"/>
        </w:rPr>
        <w:t>Nanofungicide</w:t>
      </w:r>
      <w:proofErr w:type="spellEnd"/>
      <w:r w:rsidRPr="0084071C">
        <w:rPr>
          <w:rFonts w:ascii="Arial" w:hAnsi="Arial" w:cs="Arial"/>
        </w:rPr>
        <w:t xml:space="preserve"> formulations typically achieve equivalent or superior disease control at 30–60% lower active ingredient concentrations compared to conventional products (Nguyen et al., 2025). Enhanced residual activity extends protection periods, with some </w:t>
      </w:r>
      <w:proofErr w:type="spellStart"/>
      <w:r w:rsidRPr="0084071C">
        <w:rPr>
          <w:rFonts w:ascii="Arial" w:hAnsi="Arial" w:cs="Arial"/>
        </w:rPr>
        <w:t>nanoformulations</w:t>
      </w:r>
      <w:proofErr w:type="spellEnd"/>
      <w:r w:rsidRPr="0084071C">
        <w:rPr>
          <w:rFonts w:ascii="Arial" w:hAnsi="Arial" w:cs="Arial"/>
        </w:rPr>
        <w:t xml:space="preserve"> maintaining efficacy for 2–3 times longer than conventional formulations under field conditions (Chen et al., 2025). Improved </w:t>
      </w:r>
      <w:proofErr w:type="spellStart"/>
      <w:r w:rsidRPr="0084071C">
        <w:rPr>
          <w:rFonts w:ascii="Arial" w:hAnsi="Arial" w:cs="Arial"/>
        </w:rPr>
        <w:t>rainfastness</w:t>
      </w:r>
      <w:proofErr w:type="spellEnd"/>
      <w:r w:rsidRPr="0084071C">
        <w:rPr>
          <w:rFonts w:ascii="Arial" w:hAnsi="Arial" w:cs="Arial"/>
        </w:rPr>
        <w:t xml:space="preserve"> of </w:t>
      </w:r>
      <w:proofErr w:type="spellStart"/>
      <w:r w:rsidRPr="0084071C">
        <w:rPr>
          <w:rFonts w:ascii="Arial" w:hAnsi="Arial" w:cs="Arial"/>
        </w:rPr>
        <w:t>nanoformulations</w:t>
      </w:r>
      <w:proofErr w:type="spellEnd"/>
      <w:r w:rsidRPr="0084071C">
        <w:rPr>
          <w:rFonts w:ascii="Arial" w:hAnsi="Arial" w:cs="Arial"/>
        </w:rPr>
        <w:t xml:space="preserve"> reduces losses due to rainfall events, a critical advantage in tropical and subtropical rice-growing regions characterized by high precipitation (Mohapatra et al., 2024). Reduced environmental contamination results from lower application rates, decreased runoff potential due to enhanced foliar adhesion, and the use of biodegradable carrier materials (Singh et al., 2024). Potential for resistance management is enhanced through multi-target modes of action, combination formulations, and the ability to alternate or mix different </w:t>
      </w:r>
      <w:proofErr w:type="spellStart"/>
      <w:r w:rsidRPr="0084071C">
        <w:rPr>
          <w:rFonts w:ascii="Arial" w:hAnsi="Arial" w:cs="Arial"/>
        </w:rPr>
        <w:t>nanofungicide</w:t>
      </w:r>
      <w:proofErr w:type="spellEnd"/>
      <w:r w:rsidRPr="0084071C">
        <w:rPr>
          <w:rFonts w:ascii="Arial" w:hAnsi="Arial" w:cs="Arial"/>
        </w:rPr>
        <w:t xml:space="preserve"> types within integrated disease management programs (Worrall et al., 2018). </w:t>
      </w:r>
      <w:r w:rsidRPr="0084071C">
        <w:rPr>
          <w:rFonts w:ascii="Arial" w:hAnsi="Arial" w:cs="Arial"/>
          <w:b/>
          <w:bCs/>
        </w:rPr>
        <w:t>Table 7</w:t>
      </w:r>
      <w:r w:rsidRPr="0084071C">
        <w:rPr>
          <w:rFonts w:ascii="Arial" w:hAnsi="Arial" w:cs="Arial"/>
        </w:rPr>
        <w:t xml:space="preserve"> presents comparative efficacy data for </w:t>
      </w:r>
      <w:proofErr w:type="spellStart"/>
      <w:r w:rsidRPr="0084071C">
        <w:rPr>
          <w:rFonts w:ascii="Arial" w:hAnsi="Arial" w:cs="Arial"/>
        </w:rPr>
        <w:t>nanofungicides</w:t>
      </w:r>
      <w:proofErr w:type="spellEnd"/>
      <w:r w:rsidRPr="0084071C">
        <w:rPr>
          <w:rFonts w:ascii="Arial" w:hAnsi="Arial" w:cs="Arial"/>
        </w:rPr>
        <w:t xml:space="preserve"> versus conventional fungicides in rice disease management.</w:t>
      </w:r>
    </w:p>
    <w:p w14:paraId="00AE7BD8" w14:textId="77777777" w:rsidR="007D53AA" w:rsidRDefault="007D53AA" w:rsidP="007D53AA">
      <w:pPr>
        <w:jc w:val="both"/>
        <w:rPr>
          <w:rFonts w:ascii="Arial" w:hAnsi="Arial" w:cs="Arial"/>
        </w:rPr>
      </w:pPr>
    </w:p>
    <w:p w14:paraId="40D1AEF6" w14:textId="77777777" w:rsidR="007D53AA" w:rsidRPr="0084071C" w:rsidRDefault="007D53AA" w:rsidP="007D53AA">
      <w:pPr>
        <w:jc w:val="both"/>
        <w:rPr>
          <w:rFonts w:ascii="Arial" w:hAnsi="Arial" w:cs="Arial"/>
        </w:rPr>
      </w:pPr>
    </w:p>
    <w:p w14:paraId="4731F4A0" w14:textId="77777777" w:rsidR="007D53AA" w:rsidRPr="0084071C" w:rsidRDefault="007D53AA" w:rsidP="007D53AA">
      <w:pPr>
        <w:jc w:val="center"/>
        <w:rPr>
          <w:rFonts w:ascii="Arial" w:hAnsi="Arial" w:cs="Arial"/>
        </w:rPr>
      </w:pPr>
      <w:r w:rsidRPr="0084071C">
        <w:rPr>
          <w:rFonts w:ascii="Arial" w:hAnsi="Arial" w:cs="Arial"/>
          <w:b/>
          <w:bCs/>
        </w:rPr>
        <w:t>Table 7.</w:t>
      </w:r>
      <w:r w:rsidRPr="0084071C">
        <w:rPr>
          <w:rFonts w:ascii="Arial" w:hAnsi="Arial" w:cs="Arial"/>
        </w:rPr>
        <w:t xml:space="preserve"> Comparative Efficacy of </w:t>
      </w:r>
      <w:proofErr w:type="spellStart"/>
      <w:r w:rsidRPr="0084071C">
        <w:rPr>
          <w:rFonts w:ascii="Arial" w:hAnsi="Arial" w:cs="Arial"/>
        </w:rPr>
        <w:t>Nanofungicides</w:t>
      </w:r>
      <w:proofErr w:type="spellEnd"/>
      <w:r w:rsidRPr="0084071C">
        <w:rPr>
          <w:rFonts w:ascii="Arial" w:hAnsi="Arial" w:cs="Arial"/>
        </w:rPr>
        <w:t xml:space="preserve"> vs. Conventional Fungicides for Rice Diseases</w:t>
      </w:r>
    </w:p>
    <w:p w14:paraId="052183AE" w14:textId="77777777" w:rsidR="007D53AA" w:rsidRPr="00FA1FB7" w:rsidRDefault="007D53AA" w:rsidP="0084071C">
      <w:pPr>
        <w:jc w:val="both"/>
        <w:rPr>
          <w:rFonts w:ascii="Arial" w:hAnsi="Arial" w:cs="Arial"/>
          <w:b/>
          <w:bCs/>
          <w:sz w:val="22"/>
          <w:szCs w:val="22"/>
        </w:rPr>
      </w:pPr>
    </w:p>
    <w:tbl>
      <w:tblPr>
        <w:tblStyle w:val="TableGrid"/>
        <w:tblpPr w:leftFromText="180" w:rightFromText="180" w:vertAnchor="text" w:horzAnchor="margin" w:tblpY="1164"/>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1403"/>
        <w:gridCol w:w="1356"/>
        <w:gridCol w:w="1052"/>
        <w:gridCol w:w="929"/>
        <w:gridCol w:w="1613"/>
        <w:gridCol w:w="1289"/>
        <w:gridCol w:w="1157"/>
        <w:gridCol w:w="1138"/>
      </w:tblGrid>
      <w:tr w:rsidR="007D53AA" w:rsidRPr="0084071C" w14:paraId="1612C934" w14:textId="77777777" w:rsidTr="007D53AA">
        <w:trPr>
          <w:trHeight w:val="600"/>
        </w:trPr>
        <w:tc>
          <w:tcPr>
            <w:tcW w:w="399" w:type="pct"/>
            <w:tcBorders>
              <w:top w:val="single" w:sz="4" w:space="0" w:color="auto"/>
              <w:bottom w:val="single" w:sz="4" w:space="0" w:color="auto"/>
            </w:tcBorders>
            <w:hideMark/>
          </w:tcPr>
          <w:p w14:paraId="55EF9639" w14:textId="77777777" w:rsidR="007D53AA" w:rsidRPr="0084071C" w:rsidRDefault="007D53AA" w:rsidP="007D53AA">
            <w:pPr>
              <w:spacing w:after="160" w:line="278" w:lineRule="auto"/>
              <w:jc w:val="both"/>
              <w:rPr>
                <w:rFonts w:ascii="Arial" w:hAnsi="Arial" w:cs="Arial"/>
                <w:b/>
                <w:bCs/>
                <w:sz w:val="20"/>
                <w:szCs w:val="20"/>
              </w:rPr>
            </w:pPr>
            <w:r w:rsidRPr="0084071C">
              <w:rPr>
                <w:rFonts w:ascii="Arial" w:hAnsi="Arial" w:cs="Arial"/>
                <w:b/>
                <w:bCs/>
                <w:sz w:val="20"/>
                <w:szCs w:val="20"/>
              </w:rPr>
              <w:t>Disease</w:t>
            </w:r>
          </w:p>
        </w:tc>
        <w:tc>
          <w:tcPr>
            <w:tcW w:w="650" w:type="pct"/>
            <w:tcBorders>
              <w:top w:val="single" w:sz="4" w:space="0" w:color="auto"/>
              <w:bottom w:val="single" w:sz="4" w:space="0" w:color="auto"/>
            </w:tcBorders>
            <w:hideMark/>
          </w:tcPr>
          <w:p w14:paraId="6362EBFC" w14:textId="77777777" w:rsidR="007D53AA" w:rsidRPr="0084071C" w:rsidRDefault="007D53AA" w:rsidP="007D53AA">
            <w:pPr>
              <w:spacing w:after="160" w:line="278" w:lineRule="auto"/>
              <w:jc w:val="both"/>
              <w:rPr>
                <w:rFonts w:ascii="Arial" w:hAnsi="Arial" w:cs="Arial"/>
                <w:b/>
                <w:bCs/>
                <w:sz w:val="20"/>
                <w:szCs w:val="20"/>
              </w:rPr>
            </w:pPr>
            <w:proofErr w:type="spellStart"/>
            <w:r w:rsidRPr="0084071C">
              <w:rPr>
                <w:rFonts w:ascii="Arial" w:hAnsi="Arial" w:cs="Arial"/>
                <w:b/>
                <w:bCs/>
                <w:sz w:val="20"/>
                <w:szCs w:val="20"/>
              </w:rPr>
              <w:t>Nanofungicide</w:t>
            </w:r>
            <w:proofErr w:type="spellEnd"/>
            <w:r w:rsidRPr="0084071C">
              <w:rPr>
                <w:rFonts w:ascii="Arial" w:hAnsi="Arial" w:cs="Arial"/>
                <w:b/>
                <w:bCs/>
                <w:sz w:val="20"/>
                <w:szCs w:val="20"/>
              </w:rPr>
              <w:t xml:space="preserve"> Formulation</w:t>
            </w:r>
          </w:p>
        </w:tc>
        <w:tc>
          <w:tcPr>
            <w:tcW w:w="628" w:type="pct"/>
            <w:tcBorders>
              <w:top w:val="single" w:sz="4" w:space="0" w:color="auto"/>
              <w:bottom w:val="single" w:sz="4" w:space="0" w:color="auto"/>
            </w:tcBorders>
            <w:hideMark/>
          </w:tcPr>
          <w:p w14:paraId="6504163C" w14:textId="77777777" w:rsidR="007D53AA" w:rsidRPr="0084071C" w:rsidRDefault="007D53AA" w:rsidP="007D53AA">
            <w:pPr>
              <w:spacing w:after="160" w:line="278" w:lineRule="auto"/>
              <w:jc w:val="both"/>
              <w:rPr>
                <w:rFonts w:ascii="Arial" w:hAnsi="Arial" w:cs="Arial"/>
                <w:b/>
                <w:bCs/>
                <w:sz w:val="20"/>
                <w:szCs w:val="20"/>
              </w:rPr>
            </w:pPr>
            <w:r w:rsidRPr="0084071C">
              <w:rPr>
                <w:rFonts w:ascii="Arial" w:hAnsi="Arial" w:cs="Arial"/>
                <w:b/>
                <w:bCs/>
                <w:sz w:val="20"/>
                <w:szCs w:val="20"/>
              </w:rPr>
              <w:t>Dose (vs. Conventional)</w:t>
            </w:r>
          </w:p>
        </w:tc>
        <w:tc>
          <w:tcPr>
            <w:tcW w:w="487" w:type="pct"/>
            <w:tcBorders>
              <w:top w:val="single" w:sz="4" w:space="0" w:color="auto"/>
              <w:bottom w:val="single" w:sz="4" w:space="0" w:color="auto"/>
            </w:tcBorders>
            <w:hideMark/>
          </w:tcPr>
          <w:p w14:paraId="68D5E704" w14:textId="77777777" w:rsidR="007D53AA" w:rsidRPr="0084071C" w:rsidRDefault="007D53AA" w:rsidP="007D53AA">
            <w:pPr>
              <w:spacing w:after="160" w:line="278" w:lineRule="auto"/>
              <w:jc w:val="both"/>
              <w:rPr>
                <w:rFonts w:ascii="Arial" w:hAnsi="Arial" w:cs="Arial"/>
                <w:b/>
                <w:bCs/>
                <w:sz w:val="20"/>
                <w:szCs w:val="20"/>
              </w:rPr>
            </w:pPr>
            <w:r w:rsidRPr="0084071C">
              <w:rPr>
                <w:rFonts w:ascii="Arial" w:hAnsi="Arial" w:cs="Arial"/>
                <w:b/>
                <w:bCs/>
                <w:sz w:val="20"/>
                <w:szCs w:val="20"/>
              </w:rPr>
              <w:t>Disease Reduction (%)</w:t>
            </w:r>
          </w:p>
        </w:tc>
        <w:tc>
          <w:tcPr>
            <w:tcW w:w="429" w:type="pct"/>
            <w:tcBorders>
              <w:top w:val="single" w:sz="4" w:space="0" w:color="auto"/>
              <w:bottom w:val="single" w:sz="4" w:space="0" w:color="auto"/>
            </w:tcBorders>
            <w:hideMark/>
          </w:tcPr>
          <w:p w14:paraId="710C81E1" w14:textId="77777777" w:rsidR="007D53AA" w:rsidRPr="0084071C" w:rsidRDefault="007D53AA" w:rsidP="007D53AA">
            <w:pPr>
              <w:spacing w:after="160" w:line="278" w:lineRule="auto"/>
              <w:jc w:val="both"/>
              <w:rPr>
                <w:rFonts w:ascii="Arial" w:hAnsi="Arial" w:cs="Arial"/>
                <w:b/>
                <w:bCs/>
                <w:sz w:val="20"/>
                <w:szCs w:val="20"/>
              </w:rPr>
            </w:pPr>
            <w:r w:rsidRPr="0084071C">
              <w:rPr>
                <w:rFonts w:ascii="Arial" w:hAnsi="Arial" w:cs="Arial"/>
                <w:b/>
                <w:bCs/>
                <w:sz w:val="20"/>
                <w:szCs w:val="20"/>
              </w:rPr>
              <w:t>Residual Activity (Days)</w:t>
            </w:r>
          </w:p>
        </w:tc>
        <w:tc>
          <w:tcPr>
            <w:tcW w:w="748" w:type="pct"/>
            <w:tcBorders>
              <w:top w:val="single" w:sz="4" w:space="0" w:color="auto"/>
              <w:bottom w:val="single" w:sz="4" w:space="0" w:color="auto"/>
            </w:tcBorders>
            <w:hideMark/>
          </w:tcPr>
          <w:p w14:paraId="07DF977E" w14:textId="77777777" w:rsidR="007D53AA" w:rsidRPr="0084071C" w:rsidRDefault="007D53AA" w:rsidP="007D53AA">
            <w:pPr>
              <w:spacing w:after="160" w:line="278" w:lineRule="auto"/>
              <w:jc w:val="both"/>
              <w:rPr>
                <w:rFonts w:ascii="Arial" w:hAnsi="Arial" w:cs="Arial"/>
                <w:b/>
                <w:bCs/>
                <w:sz w:val="20"/>
                <w:szCs w:val="20"/>
              </w:rPr>
            </w:pPr>
            <w:r w:rsidRPr="0084071C">
              <w:rPr>
                <w:rFonts w:ascii="Arial" w:hAnsi="Arial" w:cs="Arial"/>
                <w:b/>
                <w:bCs/>
                <w:sz w:val="20"/>
                <w:szCs w:val="20"/>
              </w:rPr>
              <w:t>Conventional Comparator</w:t>
            </w:r>
          </w:p>
        </w:tc>
        <w:tc>
          <w:tcPr>
            <w:tcW w:w="597" w:type="pct"/>
            <w:tcBorders>
              <w:top w:val="single" w:sz="4" w:space="0" w:color="auto"/>
              <w:bottom w:val="single" w:sz="4" w:space="0" w:color="auto"/>
            </w:tcBorders>
            <w:hideMark/>
          </w:tcPr>
          <w:p w14:paraId="27C36EE7" w14:textId="77777777" w:rsidR="007D53AA" w:rsidRPr="0084071C" w:rsidRDefault="007D53AA" w:rsidP="007D53AA">
            <w:pPr>
              <w:spacing w:after="160" w:line="278" w:lineRule="auto"/>
              <w:jc w:val="both"/>
              <w:rPr>
                <w:rFonts w:ascii="Arial" w:hAnsi="Arial" w:cs="Arial"/>
                <w:b/>
                <w:bCs/>
                <w:sz w:val="20"/>
                <w:szCs w:val="20"/>
              </w:rPr>
            </w:pPr>
            <w:r w:rsidRPr="0084071C">
              <w:rPr>
                <w:rFonts w:ascii="Arial" w:hAnsi="Arial" w:cs="Arial"/>
                <w:b/>
                <w:bCs/>
                <w:sz w:val="20"/>
                <w:szCs w:val="20"/>
              </w:rPr>
              <w:t>Improvement</w:t>
            </w:r>
          </w:p>
        </w:tc>
        <w:tc>
          <w:tcPr>
            <w:tcW w:w="536" w:type="pct"/>
            <w:tcBorders>
              <w:top w:val="single" w:sz="4" w:space="0" w:color="auto"/>
              <w:bottom w:val="single" w:sz="4" w:space="0" w:color="auto"/>
            </w:tcBorders>
            <w:hideMark/>
          </w:tcPr>
          <w:p w14:paraId="0F825B41" w14:textId="77777777" w:rsidR="007D53AA" w:rsidRPr="0084071C" w:rsidRDefault="007D53AA" w:rsidP="007D53AA">
            <w:pPr>
              <w:spacing w:after="160" w:line="278" w:lineRule="auto"/>
              <w:jc w:val="both"/>
              <w:rPr>
                <w:rFonts w:ascii="Arial" w:hAnsi="Arial" w:cs="Arial"/>
                <w:b/>
                <w:bCs/>
                <w:sz w:val="20"/>
                <w:szCs w:val="20"/>
              </w:rPr>
            </w:pPr>
            <w:r w:rsidRPr="0084071C">
              <w:rPr>
                <w:rFonts w:ascii="Arial" w:hAnsi="Arial" w:cs="Arial"/>
                <w:b/>
                <w:bCs/>
                <w:sz w:val="20"/>
                <w:szCs w:val="20"/>
              </w:rPr>
              <w:t>Study Conditions</w:t>
            </w:r>
          </w:p>
        </w:tc>
        <w:tc>
          <w:tcPr>
            <w:tcW w:w="527" w:type="pct"/>
            <w:tcBorders>
              <w:top w:val="single" w:sz="4" w:space="0" w:color="auto"/>
              <w:bottom w:val="single" w:sz="4" w:space="0" w:color="auto"/>
            </w:tcBorders>
            <w:hideMark/>
          </w:tcPr>
          <w:p w14:paraId="16F37D18" w14:textId="77777777" w:rsidR="007D53AA" w:rsidRPr="0084071C" w:rsidRDefault="007D53AA" w:rsidP="007D53AA">
            <w:pPr>
              <w:spacing w:after="160" w:line="278" w:lineRule="auto"/>
              <w:jc w:val="both"/>
              <w:rPr>
                <w:rFonts w:ascii="Arial" w:hAnsi="Arial" w:cs="Arial"/>
                <w:b/>
                <w:bCs/>
                <w:sz w:val="20"/>
                <w:szCs w:val="20"/>
              </w:rPr>
            </w:pPr>
            <w:r w:rsidRPr="0084071C">
              <w:rPr>
                <w:rFonts w:ascii="Arial" w:hAnsi="Arial" w:cs="Arial"/>
                <w:b/>
                <w:bCs/>
                <w:sz w:val="20"/>
                <w:szCs w:val="20"/>
              </w:rPr>
              <w:t>References</w:t>
            </w:r>
          </w:p>
        </w:tc>
      </w:tr>
      <w:tr w:rsidR="007D53AA" w:rsidRPr="0084071C" w14:paraId="035D7446" w14:textId="77777777" w:rsidTr="007D53AA">
        <w:tc>
          <w:tcPr>
            <w:tcW w:w="399" w:type="pct"/>
            <w:tcBorders>
              <w:top w:val="single" w:sz="4" w:space="0" w:color="auto"/>
            </w:tcBorders>
            <w:hideMark/>
          </w:tcPr>
          <w:p w14:paraId="69BD8E4E"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lastRenderedPageBreak/>
              <w:t>Rice blast</w:t>
            </w:r>
          </w:p>
        </w:tc>
        <w:tc>
          <w:tcPr>
            <w:tcW w:w="650" w:type="pct"/>
            <w:tcBorders>
              <w:top w:val="single" w:sz="4" w:space="0" w:color="auto"/>
            </w:tcBorders>
            <w:hideMark/>
          </w:tcPr>
          <w:p w14:paraId="28092BF1" w14:textId="77777777" w:rsidR="007D53AA" w:rsidRPr="0084071C" w:rsidRDefault="007D53AA" w:rsidP="007D53AA">
            <w:pPr>
              <w:spacing w:after="160" w:line="278" w:lineRule="auto"/>
              <w:jc w:val="both"/>
              <w:rPr>
                <w:rFonts w:ascii="Arial" w:hAnsi="Arial" w:cs="Arial"/>
                <w:sz w:val="20"/>
                <w:szCs w:val="20"/>
              </w:rPr>
            </w:pPr>
            <w:proofErr w:type="spellStart"/>
            <w:r w:rsidRPr="0084071C">
              <w:rPr>
                <w:rFonts w:ascii="Arial" w:hAnsi="Arial" w:cs="Arial"/>
                <w:sz w:val="20"/>
                <w:szCs w:val="20"/>
              </w:rPr>
              <w:t>AgNPs</w:t>
            </w:r>
            <w:proofErr w:type="spellEnd"/>
            <w:r w:rsidRPr="0084071C">
              <w:rPr>
                <w:rFonts w:ascii="Arial" w:hAnsi="Arial" w:cs="Arial"/>
                <w:sz w:val="20"/>
                <w:szCs w:val="20"/>
              </w:rPr>
              <w:t xml:space="preserve"> (20 ppm)</w:t>
            </w:r>
          </w:p>
        </w:tc>
        <w:tc>
          <w:tcPr>
            <w:tcW w:w="628" w:type="pct"/>
            <w:tcBorders>
              <w:top w:val="single" w:sz="4" w:space="0" w:color="auto"/>
            </w:tcBorders>
            <w:hideMark/>
          </w:tcPr>
          <w:p w14:paraId="02E77BB8"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40%</w:t>
            </w:r>
          </w:p>
        </w:tc>
        <w:tc>
          <w:tcPr>
            <w:tcW w:w="487" w:type="pct"/>
            <w:tcBorders>
              <w:top w:val="single" w:sz="4" w:space="0" w:color="auto"/>
            </w:tcBorders>
            <w:hideMark/>
          </w:tcPr>
          <w:p w14:paraId="0581FA0B"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82–88</w:t>
            </w:r>
          </w:p>
        </w:tc>
        <w:tc>
          <w:tcPr>
            <w:tcW w:w="429" w:type="pct"/>
            <w:tcBorders>
              <w:top w:val="single" w:sz="4" w:space="0" w:color="auto"/>
            </w:tcBorders>
            <w:hideMark/>
          </w:tcPr>
          <w:p w14:paraId="66623450"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20–25</w:t>
            </w:r>
          </w:p>
        </w:tc>
        <w:tc>
          <w:tcPr>
            <w:tcW w:w="748" w:type="pct"/>
            <w:tcBorders>
              <w:top w:val="single" w:sz="4" w:space="0" w:color="auto"/>
            </w:tcBorders>
            <w:hideMark/>
          </w:tcPr>
          <w:p w14:paraId="607DDA5C"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Tricyclazole (SC)</w:t>
            </w:r>
          </w:p>
        </w:tc>
        <w:tc>
          <w:tcPr>
            <w:tcW w:w="597" w:type="pct"/>
            <w:tcBorders>
              <w:top w:val="single" w:sz="4" w:space="0" w:color="auto"/>
            </w:tcBorders>
            <w:hideMark/>
          </w:tcPr>
          <w:p w14:paraId="572EEF43"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+15% efficacy; 2× residual</w:t>
            </w:r>
          </w:p>
        </w:tc>
        <w:tc>
          <w:tcPr>
            <w:tcW w:w="536" w:type="pct"/>
            <w:tcBorders>
              <w:top w:val="single" w:sz="4" w:space="0" w:color="auto"/>
            </w:tcBorders>
            <w:hideMark/>
          </w:tcPr>
          <w:p w14:paraId="3E9DB023"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Greenhouse &amp; field</w:t>
            </w:r>
          </w:p>
        </w:tc>
        <w:tc>
          <w:tcPr>
            <w:tcW w:w="527" w:type="pct"/>
            <w:tcBorders>
              <w:top w:val="single" w:sz="4" w:space="0" w:color="auto"/>
            </w:tcBorders>
            <w:hideMark/>
          </w:tcPr>
          <w:p w14:paraId="427AFD8A"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Chen et al., 2025</w:t>
            </w:r>
          </w:p>
        </w:tc>
      </w:tr>
      <w:tr w:rsidR="007D53AA" w:rsidRPr="0084071C" w14:paraId="3FDE483D" w14:textId="77777777" w:rsidTr="007D53AA">
        <w:tc>
          <w:tcPr>
            <w:tcW w:w="399" w:type="pct"/>
            <w:hideMark/>
          </w:tcPr>
          <w:p w14:paraId="33424C71"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Rice blast</w:t>
            </w:r>
          </w:p>
        </w:tc>
        <w:tc>
          <w:tcPr>
            <w:tcW w:w="650" w:type="pct"/>
            <w:hideMark/>
          </w:tcPr>
          <w:p w14:paraId="117B4892"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Tricyclazole-loaded PLGA NPs</w:t>
            </w:r>
          </w:p>
        </w:tc>
        <w:tc>
          <w:tcPr>
            <w:tcW w:w="628" w:type="pct"/>
            <w:hideMark/>
          </w:tcPr>
          <w:p w14:paraId="419BC163"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50%</w:t>
            </w:r>
          </w:p>
        </w:tc>
        <w:tc>
          <w:tcPr>
            <w:tcW w:w="487" w:type="pct"/>
            <w:hideMark/>
          </w:tcPr>
          <w:p w14:paraId="0F56BD39"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85–92</w:t>
            </w:r>
          </w:p>
        </w:tc>
        <w:tc>
          <w:tcPr>
            <w:tcW w:w="429" w:type="pct"/>
            <w:hideMark/>
          </w:tcPr>
          <w:p w14:paraId="0DA5E769"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25–30</w:t>
            </w:r>
          </w:p>
        </w:tc>
        <w:tc>
          <w:tcPr>
            <w:tcW w:w="748" w:type="pct"/>
            <w:hideMark/>
          </w:tcPr>
          <w:p w14:paraId="30AB675C"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Tricyclazole (WP)</w:t>
            </w:r>
          </w:p>
        </w:tc>
        <w:tc>
          <w:tcPr>
            <w:tcW w:w="597" w:type="pct"/>
            <w:hideMark/>
          </w:tcPr>
          <w:p w14:paraId="3AA90173"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+18% efficacy; 2.5× residual</w:t>
            </w:r>
          </w:p>
        </w:tc>
        <w:tc>
          <w:tcPr>
            <w:tcW w:w="536" w:type="pct"/>
            <w:hideMark/>
          </w:tcPr>
          <w:p w14:paraId="00A96821"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Field</w:t>
            </w:r>
          </w:p>
        </w:tc>
        <w:tc>
          <w:tcPr>
            <w:tcW w:w="527" w:type="pct"/>
            <w:hideMark/>
          </w:tcPr>
          <w:p w14:paraId="7E0C7B2C"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Nguyen et al., 2025</w:t>
            </w:r>
          </w:p>
        </w:tc>
      </w:tr>
      <w:tr w:rsidR="007D53AA" w:rsidRPr="0084071C" w14:paraId="7BC4B95F" w14:textId="77777777" w:rsidTr="007D53AA">
        <w:tc>
          <w:tcPr>
            <w:tcW w:w="399" w:type="pct"/>
            <w:hideMark/>
          </w:tcPr>
          <w:p w14:paraId="4D8617EA"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Rice blast</w:t>
            </w:r>
          </w:p>
        </w:tc>
        <w:tc>
          <w:tcPr>
            <w:tcW w:w="650" w:type="pct"/>
            <w:hideMark/>
          </w:tcPr>
          <w:p w14:paraId="2C5037FD"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pH-responsive MSN + fungicide</w:t>
            </w:r>
          </w:p>
        </w:tc>
        <w:tc>
          <w:tcPr>
            <w:tcW w:w="628" w:type="pct"/>
            <w:hideMark/>
          </w:tcPr>
          <w:p w14:paraId="1C809F6F"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50%</w:t>
            </w:r>
          </w:p>
        </w:tc>
        <w:tc>
          <w:tcPr>
            <w:tcW w:w="487" w:type="pct"/>
            <w:hideMark/>
          </w:tcPr>
          <w:p w14:paraId="0D71137C"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88–94</w:t>
            </w:r>
          </w:p>
        </w:tc>
        <w:tc>
          <w:tcPr>
            <w:tcW w:w="429" w:type="pct"/>
            <w:hideMark/>
          </w:tcPr>
          <w:p w14:paraId="46052B54"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22–28</w:t>
            </w:r>
          </w:p>
        </w:tc>
        <w:tc>
          <w:tcPr>
            <w:tcW w:w="748" w:type="pct"/>
            <w:hideMark/>
          </w:tcPr>
          <w:p w14:paraId="4F5C0098"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Azoxystrobin (SC)</w:t>
            </w:r>
          </w:p>
        </w:tc>
        <w:tc>
          <w:tcPr>
            <w:tcW w:w="597" w:type="pct"/>
            <w:hideMark/>
          </w:tcPr>
          <w:p w14:paraId="178FA136"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+20% efficacy; targeted release</w:t>
            </w:r>
          </w:p>
        </w:tc>
        <w:tc>
          <w:tcPr>
            <w:tcW w:w="536" w:type="pct"/>
            <w:hideMark/>
          </w:tcPr>
          <w:p w14:paraId="7C284DDC"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Greenhouse</w:t>
            </w:r>
          </w:p>
        </w:tc>
        <w:tc>
          <w:tcPr>
            <w:tcW w:w="527" w:type="pct"/>
            <w:hideMark/>
          </w:tcPr>
          <w:p w14:paraId="313FE86F"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Zhao et al., 2024</w:t>
            </w:r>
          </w:p>
        </w:tc>
      </w:tr>
      <w:tr w:rsidR="007D53AA" w:rsidRPr="0084071C" w14:paraId="74010754" w14:textId="77777777" w:rsidTr="007D53AA">
        <w:tc>
          <w:tcPr>
            <w:tcW w:w="399" w:type="pct"/>
            <w:hideMark/>
          </w:tcPr>
          <w:p w14:paraId="4508638D"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Rice blast</w:t>
            </w:r>
          </w:p>
        </w:tc>
        <w:tc>
          <w:tcPr>
            <w:tcW w:w="650" w:type="pct"/>
            <w:hideMark/>
          </w:tcPr>
          <w:p w14:paraId="6DE003BE"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Chitosan NPs + neem oil</w:t>
            </w:r>
          </w:p>
        </w:tc>
        <w:tc>
          <w:tcPr>
            <w:tcW w:w="628" w:type="pct"/>
            <w:hideMark/>
          </w:tcPr>
          <w:p w14:paraId="45FC82F7"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60%</w:t>
            </w:r>
          </w:p>
        </w:tc>
        <w:tc>
          <w:tcPr>
            <w:tcW w:w="487" w:type="pct"/>
            <w:hideMark/>
          </w:tcPr>
          <w:p w14:paraId="033909C9"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75–82</w:t>
            </w:r>
          </w:p>
        </w:tc>
        <w:tc>
          <w:tcPr>
            <w:tcW w:w="429" w:type="pct"/>
            <w:hideMark/>
          </w:tcPr>
          <w:p w14:paraId="3E392582"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18–22</w:t>
            </w:r>
          </w:p>
        </w:tc>
        <w:tc>
          <w:tcPr>
            <w:tcW w:w="748" w:type="pct"/>
            <w:hideMark/>
          </w:tcPr>
          <w:p w14:paraId="3160BCA1"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Mancozeb (WP)</w:t>
            </w:r>
          </w:p>
        </w:tc>
        <w:tc>
          <w:tcPr>
            <w:tcW w:w="597" w:type="pct"/>
            <w:hideMark/>
          </w:tcPr>
          <w:p w14:paraId="67313325"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Comparable; eco-friendly</w:t>
            </w:r>
          </w:p>
        </w:tc>
        <w:tc>
          <w:tcPr>
            <w:tcW w:w="536" w:type="pct"/>
            <w:hideMark/>
          </w:tcPr>
          <w:p w14:paraId="6583F74B"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Field</w:t>
            </w:r>
          </w:p>
        </w:tc>
        <w:tc>
          <w:tcPr>
            <w:tcW w:w="527" w:type="pct"/>
            <w:hideMark/>
          </w:tcPr>
          <w:p w14:paraId="12B2E4D2"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Chen et al., 2025</w:t>
            </w:r>
          </w:p>
        </w:tc>
      </w:tr>
      <w:tr w:rsidR="007D53AA" w:rsidRPr="0084071C" w14:paraId="4E9CD9C9" w14:textId="77777777" w:rsidTr="007D53AA">
        <w:tc>
          <w:tcPr>
            <w:tcW w:w="399" w:type="pct"/>
            <w:hideMark/>
          </w:tcPr>
          <w:p w14:paraId="668326D0"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Sheath blight</w:t>
            </w:r>
          </w:p>
        </w:tc>
        <w:tc>
          <w:tcPr>
            <w:tcW w:w="650" w:type="pct"/>
            <w:hideMark/>
          </w:tcPr>
          <w:p w14:paraId="5074D8CC" w14:textId="77777777" w:rsidR="007D53AA" w:rsidRPr="0084071C" w:rsidRDefault="007D53AA" w:rsidP="007D53AA">
            <w:pPr>
              <w:spacing w:after="160" w:line="278" w:lineRule="auto"/>
              <w:jc w:val="both"/>
              <w:rPr>
                <w:rFonts w:ascii="Arial" w:hAnsi="Arial" w:cs="Arial"/>
                <w:sz w:val="20"/>
                <w:szCs w:val="20"/>
              </w:rPr>
            </w:pPr>
            <w:proofErr w:type="spellStart"/>
            <w:r w:rsidRPr="0084071C">
              <w:rPr>
                <w:rFonts w:ascii="Arial" w:hAnsi="Arial" w:cs="Arial"/>
                <w:sz w:val="20"/>
                <w:szCs w:val="20"/>
              </w:rPr>
              <w:t>AgNPs</w:t>
            </w:r>
            <w:proofErr w:type="spellEnd"/>
            <w:r w:rsidRPr="0084071C">
              <w:rPr>
                <w:rFonts w:ascii="Arial" w:hAnsi="Arial" w:cs="Arial"/>
                <w:sz w:val="20"/>
                <w:szCs w:val="20"/>
              </w:rPr>
              <w:t xml:space="preserve"> (25 ppm)</w:t>
            </w:r>
          </w:p>
        </w:tc>
        <w:tc>
          <w:tcPr>
            <w:tcW w:w="628" w:type="pct"/>
            <w:hideMark/>
          </w:tcPr>
          <w:p w14:paraId="2DADDEC8"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35%</w:t>
            </w:r>
          </w:p>
        </w:tc>
        <w:tc>
          <w:tcPr>
            <w:tcW w:w="487" w:type="pct"/>
            <w:hideMark/>
          </w:tcPr>
          <w:p w14:paraId="02485BE0"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78–85</w:t>
            </w:r>
          </w:p>
        </w:tc>
        <w:tc>
          <w:tcPr>
            <w:tcW w:w="429" w:type="pct"/>
            <w:hideMark/>
          </w:tcPr>
          <w:p w14:paraId="2CF96336"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18–24</w:t>
            </w:r>
          </w:p>
        </w:tc>
        <w:tc>
          <w:tcPr>
            <w:tcW w:w="748" w:type="pct"/>
            <w:hideMark/>
          </w:tcPr>
          <w:p w14:paraId="765FE95B"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Validamycin (SL)</w:t>
            </w:r>
          </w:p>
        </w:tc>
        <w:tc>
          <w:tcPr>
            <w:tcW w:w="597" w:type="pct"/>
            <w:hideMark/>
          </w:tcPr>
          <w:p w14:paraId="588837A0"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+12% efficacy; 1.8× residual</w:t>
            </w:r>
          </w:p>
        </w:tc>
        <w:tc>
          <w:tcPr>
            <w:tcW w:w="536" w:type="pct"/>
            <w:hideMark/>
          </w:tcPr>
          <w:p w14:paraId="7CCAE0CB"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Greenhouse &amp; field</w:t>
            </w:r>
          </w:p>
        </w:tc>
        <w:tc>
          <w:tcPr>
            <w:tcW w:w="527" w:type="pct"/>
            <w:hideMark/>
          </w:tcPr>
          <w:p w14:paraId="0E1ECCA0"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Noman et al., 2023</w:t>
            </w:r>
          </w:p>
        </w:tc>
      </w:tr>
      <w:tr w:rsidR="007D53AA" w:rsidRPr="0084071C" w14:paraId="200F2DD4" w14:textId="77777777" w:rsidTr="007D53AA">
        <w:tc>
          <w:tcPr>
            <w:tcW w:w="399" w:type="pct"/>
            <w:hideMark/>
          </w:tcPr>
          <w:p w14:paraId="725BCEAE"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Sheath blight</w:t>
            </w:r>
          </w:p>
        </w:tc>
        <w:tc>
          <w:tcPr>
            <w:tcW w:w="650" w:type="pct"/>
            <w:hideMark/>
          </w:tcPr>
          <w:p w14:paraId="4714E12C" w14:textId="77777777" w:rsidR="007D53AA" w:rsidRPr="0084071C" w:rsidRDefault="007D53AA" w:rsidP="007D53AA">
            <w:pPr>
              <w:spacing w:after="160" w:line="278" w:lineRule="auto"/>
              <w:jc w:val="both"/>
              <w:rPr>
                <w:rFonts w:ascii="Arial" w:hAnsi="Arial" w:cs="Arial"/>
                <w:sz w:val="20"/>
                <w:szCs w:val="20"/>
              </w:rPr>
            </w:pPr>
            <w:proofErr w:type="spellStart"/>
            <w:r w:rsidRPr="0084071C">
              <w:rPr>
                <w:rFonts w:ascii="Arial" w:hAnsi="Arial" w:cs="Arial"/>
                <w:sz w:val="20"/>
                <w:szCs w:val="20"/>
              </w:rPr>
              <w:t>CuNPs</w:t>
            </w:r>
            <w:proofErr w:type="spellEnd"/>
            <w:r w:rsidRPr="0084071C">
              <w:rPr>
                <w:rFonts w:ascii="Arial" w:hAnsi="Arial" w:cs="Arial"/>
                <w:sz w:val="20"/>
                <w:szCs w:val="20"/>
              </w:rPr>
              <w:t xml:space="preserve"> (30 ppm)</w:t>
            </w:r>
          </w:p>
        </w:tc>
        <w:tc>
          <w:tcPr>
            <w:tcW w:w="628" w:type="pct"/>
            <w:hideMark/>
          </w:tcPr>
          <w:p w14:paraId="070F277C"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50%</w:t>
            </w:r>
          </w:p>
        </w:tc>
        <w:tc>
          <w:tcPr>
            <w:tcW w:w="487" w:type="pct"/>
            <w:hideMark/>
          </w:tcPr>
          <w:p w14:paraId="6B6A72FF"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80–87</w:t>
            </w:r>
          </w:p>
        </w:tc>
        <w:tc>
          <w:tcPr>
            <w:tcW w:w="429" w:type="pct"/>
            <w:hideMark/>
          </w:tcPr>
          <w:p w14:paraId="6DCA8E41"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20–25</w:t>
            </w:r>
          </w:p>
        </w:tc>
        <w:tc>
          <w:tcPr>
            <w:tcW w:w="748" w:type="pct"/>
            <w:hideMark/>
          </w:tcPr>
          <w:p w14:paraId="0EC049EE"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Copper oxychloride (WP)</w:t>
            </w:r>
          </w:p>
        </w:tc>
        <w:tc>
          <w:tcPr>
            <w:tcW w:w="597" w:type="pct"/>
            <w:hideMark/>
          </w:tcPr>
          <w:p w14:paraId="01E0DBBF"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+15% efficacy; lower Cu load</w:t>
            </w:r>
          </w:p>
        </w:tc>
        <w:tc>
          <w:tcPr>
            <w:tcW w:w="536" w:type="pct"/>
            <w:hideMark/>
          </w:tcPr>
          <w:p w14:paraId="2A5AEF47"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Field</w:t>
            </w:r>
          </w:p>
        </w:tc>
        <w:tc>
          <w:tcPr>
            <w:tcW w:w="527" w:type="pct"/>
            <w:hideMark/>
          </w:tcPr>
          <w:p w14:paraId="7D9A35CE"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Chen et al., 2025</w:t>
            </w:r>
          </w:p>
        </w:tc>
      </w:tr>
      <w:tr w:rsidR="007D53AA" w:rsidRPr="0084071C" w14:paraId="4C190BB5" w14:textId="77777777" w:rsidTr="007D53AA">
        <w:tc>
          <w:tcPr>
            <w:tcW w:w="399" w:type="pct"/>
            <w:hideMark/>
          </w:tcPr>
          <w:p w14:paraId="015DD996"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Sheath blight</w:t>
            </w:r>
          </w:p>
        </w:tc>
        <w:tc>
          <w:tcPr>
            <w:tcW w:w="650" w:type="pct"/>
            <w:hideMark/>
          </w:tcPr>
          <w:p w14:paraId="0871127B"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Hexaconazole nano-emulsion</w:t>
            </w:r>
          </w:p>
        </w:tc>
        <w:tc>
          <w:tcPr>
            <w:tcW w:w="628" w:type="pct"/>
            <w:hideMark/>
          </w:tcPr>
          <w:p w14:paraId="74DEBAFE"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50%</w:t>
            </w:r>
          </w:p>
        </w:tc>
        <w:tc>
          <w:tcPr>
            <w:tcW w:w="487" w:type="pct"/>
            <w:hideMark/>
          </w:tcPr>
          <w:p w14:paraId="1FB8A477"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83–90</w:t>
            </w:r>
          </w:p>
        </w:tc>
        <w:tc>
          <w:tcPr>
            <w:tcW w:w="429" w:type="pct"/>
            <w:hideMark/>
          </w:tcPr>
          <w:p w14:paraId="098A209B"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22–28</w:t>
            </w:r>
          </w:p>
        </w:tc>
        <w:tc>
          <w:tcPr>
            <w:tcW w:w="748" w:type="pct"/>
            <w:hideMark/>
          </w:tcPr>
          <w:p w14:paraId="131196B4"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Hexaconazole (EC)</w:t>
            </w:r>
          </w:p>
        </w:tc>
        <w:tc>
          <w:tcPr>
            <w:tcW w:w="597" w:type="pct"/>
            <w:hideMark/>
          </w:tcPr>
          <w:p w14:paraId="24CF3A4E"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 xml:space="preserve">+17% efficacy; better </w:t>
            </w:r>
            <w:proofErr w:type="spellStart"/>
            <w:r w:rsidRPr="0084071C">
              <w:rPr>
                <w:rFonts w:ascii="Arial" w:hAnsi="Arial" w:cs="Arial"/>
                <w:sz w:val="20"/>
                <w:szCs w:val="20"/>
              </w:rPr>
              <w:t>rainfastness</w:t>
            </w:r>
            <w:proofErr w:type="spellEnd"/>
          </w:p>
        </w:tc>
        <w:tc>
          <w:tcPr>
            <w:tcW w:w="536" w:type="pct"/>
            <w:hideMark/>
          </w:tcPr>
          <w:p w14:paraId="3CFC7DAE"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Field</w:t>
            </w:r>
          </w:p>
        </w:tc>
        <w:tc>
          <w:tcPr>
            <w:tcW w:w="527" w:type="pct"/>
            <w:hideMark/>
          </w:tcPr>
          <w:p w14:paraId="3D6E50A8"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Mohapatra et al., 2024</w:t>
            </w:r>
          </w:p>
        </w:tc>
      </w:tr>
      <w:tr w:rsidR="007D53AA" w:rsidRPr="0084071C" w14:paraId="7E6EF546" w14:textId="77777777" w:rsidTr="007D53AA">
        <w:tc>
          <w:tcPr>
            <w:tcW w:w="399" w:type="pct"/>
            <w:hideMark/>
          </w:tcPr>
          <w:p w14:paraId="77E2EDF3"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Sheath blight</w:t>
            </w:r>
          </w:p>
        </w:tc>
        <w:tc>
          <w:tcPr>
            <w:tcW w:w="650" w:type="pct"/>
            <w:hideMark/>
          </w:tcPr>
          <w:p w14:paraId="57CF8341"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i/>
                <w:iCs/>
                <w:sz w:val="20"/>
                <w:szCs w:val="20"/>
              </w:rPr>
              <w:t>Trichoderma</w:t>
            </w:r>
            <w:r w:rsidRPr="0084071C">
              <w:rPr>
                <w:rFonts w:ascii="Arial" w:hAnsi="Arial" w:cs="Arial"/>
                <w:sz w:val="20"/>
                <w:szCs w:val="20"/>
              </w:rPr>
              <w:t>-loaded chitosan NPs</w:t>
            </w:r>
          </w:p>
        </w:tc>
        <w:tc>
          <w:tcPr>
            <w:tcW w:w="628" w:type="pct"/>
            <w:hideMark/>
          </w:tcPr>
          <w:p w14:paraId="4EEB37BE"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70%</w:t>
            </w:r>
          </w:p>
        </w:tc>
        <w:tc>
          <w:tcPr>
            <w:tcW w:w="487" w:type="pct"/>
            <w:hideMark/>
          </w:tcPr>
          <w:p w14:paraId="30C659C7"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70–78</w:t>
            </w:r>
          </w:p>
        </w:tc>
        <w:tc>
          <w:tcPr>
            <w:tcW w:w="429" w:type="pct"/>
            <w:hideMark/>
          </w:tcPr>
          <w:p w14:paraId="446EF465"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25–35</w:t>
            </w:r>
          </w:p>
        </w:tc>
        <w:tc>
          <w:tcPr>
            <w:tcW w:w="748" w:type="pct"/>
            <w:hideMark/>
          </w:tcPr>
          <w:p w14:paraId="6FA29D02"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i/>
                <w:iCs/>
                <w:sz w:val="20"/>
                <w:szCs w:val="20"/>
              </w:rPr>
              <w:t>Trichoderma</w:t>
            </w:r>
            <w:r w:rsidRPr="0084071C">
              <w:rPr>
                <w:rFonts w:ascii="Arial" w:hAnsi="Arial" w:cs="Arial"/>
                <w:sz w:val="20"/>
                <w:szCs w:val="20"/>
              </w:rPr>
              <w:t> (WP)</w:t>
            </w:r>
          </w:p>
        </w:tc>
        <w:tc>
          <w:tcPr>
            <w:tcW w:w="597" w:type="pct"/>
            <w:hideMark/>
          </w:tcPr>
          <w:p w14:paraId="4C6E3928"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Enhanced colonization; longer survival</w:t>
            </w:r>
          </w:p>
        </w:tc>
        <w:tc>
          <w:tcPr>
            <w:tcW w:w="536" w:type="pct"/>
            <w:hideMark/>
          </w:tcPr>
          <w:p w14:paraId="3B938EDF"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Field</w:t>
            </w:r>
          </w:p>
        </w:tc>
        <w:tc>
          <w:tcPr>
            <w:tcW w:w="527" w:type="pct"/>
            <w:hideMark/>
          </w:tcPr>
          <w:p w14:paraId="26DCC499" w14:textId="77777777" w:rsidR="007D53AA" w:rsidRPr="0084071C" w:rsidRDefault="007D53AA" w:rsidP="007D53AA">
            <w:pPr>
              <w:spacing w:after="160" w:line="278" w:lineRule="auto"/>
              <w:jc w:val="both"/>
              <w:rPr>
                <w:rFonts w:ascii="Arial" w:hAnsi="Arial" w:cs="Arial"/>
                <w:sz w:val="20"/>
                <w:szCs w:val="20"/>
              </w:rPr>
            </w:pPr>
            <w:r w:rsidRPr="0084071C">
              <w:rPr>
                <w:rFonts w:ascii="Arial" w:hAnsi="Arial" w:cs="Arial"/>
                <w:sz w:val="20"/>
                <w:szCs w:val="20"/>
              </w:rPr>
              <w:t>Worrall et al., 2018</w:t>
            </w:r>
          </w:p>
        </w:tc>
      </w:tr>
    </w:tbl>
    <w:p w14:paraId="5FAC475D" w14:textId="77777777" w:rsidR="00FA1FB7" w:rsidRDefault="0084071C" w:rsidP="00FA1FB7">
      <w:pPr>
        <w:jc w:val="both"/>
        <w:rPr>
          <w:rFonts w:ascii="Times New Roman" w:hAnsi="Times New Roman"/>
          <w:noProof/>
        </w:rPr>
      </w:pPr>
      <w:r w:rsidRPr="0084071C">
        <w:rPr>
          <w:rFonts w:ascii="Arial" w:hAnsi="Arial" w:cs="Arial"/>
          <w:b/>
          <w:bCs/>
          <w:i/>
          <w:iCs/>
        </w:rPr>
        <w:t>Note:</w:t>
      </w:r>
      <w:r w:rsidRPr="0084071C">
        <w:rPr>
          <w:rFonts w:ascii="Arial" w:hAnsi="Arial" w:cs="Arial"/>
          <w:i/>
          <w:iCs/>
        </w:rPr>
        <w:t xml:space="preserve"> SC = Suspension concentrate; WP = Wettable powder; SL = Soluble liquid; EC = Emulsifiable concentrate; MSN = Mesoporous silica nanoparticles; PLGA = </w:t>
      </w:r>
      <w:proofErr w:type="gramStart"/>
      <w:r w:rsidRPr="0084071C">
        <w:rPr>
          <w:rFonts w:ascii="Arial" w:hAnsi="Arial" w:cs="Arial"/>
          <w:i/>
          <w:iCs/>
        </w:rPr>
        <w:t>Poly(</w:t>
      </w:r>
      <w:proofErr w:type="gramEnd"/>
      <w:r w:rsidRPr="0084071C">
        <w:rPr>
          <w:rFonts w:ascii="Arial" w:hAnsi="Arial" w:cs="Arial"/>
          <w:i/>
          <w:iCs/>
        </w:rPr>
        <w:t>lactic-co-glycolic acid).</w:t>
      </w:r>
      <w:r w:rsidR="00FA1FB7" w:rsidRPr="00FA1FB7">
        <w:rPr>
          <w:rFonts w:ascii="Times New Roman" w:hAnsi="Times New Roman"/>
          <w:noProof/>
        </w:rPr>
        <w:t xml:space="preserve"> </w:t>
      </w:r>
    </w:p>
    <w:p w14:paraId="3E7E44EC" w14:textId="5F767D28" w:rsidR="0084071C" w:rsidRPr="00FA1FB7" w:rsidRDefault="00FA1FB7" w:rsidP="007D53AA">
      <w:pPr>
        <w:jc w:val="center"/>
        <w:rPr>
          <w:rFonts w:ascii="Arial" w:hAnsi="Arial" w:cs="Arial"/>
          <w:i/>
          <w:iCs/>
        </w:rPr>
      </w:pPr>
      <w:r>
        <w:rPr>
          <w:rFonts w:ascii="Times New Roman" w:hAnsi="Times New Roman"/>
          <w:noProof/>
        </w:rPr>
        <w:lastRenderedPageBreak/>
        <w:drawing>
          <wp:inline distT="0" distB="0" distL="0" distR="0" wp14:anchorId="67AB2515" wp14:editId="633EA5FA">
            <wp:extent cx="5212080" cy="4556125"/>
            <wp:effectExtent l="0" t="0" r="0" b="0"/>
            <wp:docPr id="14585097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09731" name="Picture 1458509731"/>
                    <pic:cNvPicPr/>
                  </pic:nvPicPr>
                  <pic:blipFill rotWithShape="1">
                    <a:blip r:embed="rId13" cstate="print">
                      <a:extLst>
                        <a:ext uri="{28A0092B-C50C-407E-A947-70E740481C1C}">
                          <a14:useLocalDpi xmlns:a14="http://schemas.microsoft.com/office/drawing/2010/main" val="0"/>
                        </a:ext>
                      </a:extLst>
                    </a:blip>
                    <a:srcRect t="2849"/>
                    <a:stretch>
                      <a:fillRect/>
                    </a:stretch>
                  </pic:blipFill>
                  <pic:spPr bwMode="auto">
                    <a:xfrm>
                      <a:off x="0" y="0"/>
                      <a:ext cx="5212080" cy="4556125"/>
                    </a:xfrm>
                    <a:prstGeom prst="rect">
                      <a:avLst/>
                    </a:prstGeom>
                    <a:ln>
                      <a:noFill/>
                    </a:ln>
                    <a:extLst>
                      <a:ext uri="{53640926-AAD7-44D8-BBD7-CCE9431645EC}">
                        <a14:shadowObscured xmlns:a14="http://schemas.microsoft.com/office/drawing/2010/main"/>
                      </a:ext>
                    </a:extLst>
                  </pic:spPr>
                </pic:pic>
              </a:graphicData>
            </a:graphic>
          </wp:inline>
        </w:drawing>
      </w:r>
    </w:p>
    <w:p w14:paraId="32143E0B" w14:textId="77777777" w:rsidR="00FA1FB7" w:rsidRDefault="00FA1FB7" w:rsidP="00441B6F">
      <w:pPr>
        <w:pStyle w:val="Head1"/>
        <w:spacing w:after="0"/>
        <w:jc w:val="both"/>
        <w:rPr>
          <w:rFonts w:ascii="Arial" w:hAnsi="Arial" w:cs="Arial"/>
        </w:rPr>
      </w:pPr>
    </w:p>
    <w:p w14:paraId="55D0501C" w14:textId="1A2CA1C9" w:rsidR="00FA1FB7" w:rsidRPr="00FA1FB7" w:rsidRDefault="00FA1FB7" w:rsidP="00FA1FB7">
      <w:pPr>
        <w:jc w:val="both"/>
        <w:rPr>
          <w:rFonts w:ascii="Arial" w:hAnsi="Arial" w:cs="Arial"/>
          <w:i/>
          <w:iCs/>
        </w:rPr>
      </w:pPr>
      <w:r w:rsidRPr="00FA1FB7">
        <w:rPr>
          <w:rFonts w:ascii="Arial" w:hAnsi="Arial" w:cs="Arial"/>
          <w:b/>
          <w:bCs/>
          <w:i/>
          <w:iCs/>
        </w:rPr>
        <w:t>Fig</w:t>
      </w:r>
      <w:r>
        <w:rPr>
          <w:rFonts w:ascii="Arial" w:hAnsi="Arial" w:cs="Arial"/>
          <w:b/>
          <w:bCs/>
          <w:i/>
          <w:iCs/>
        </w:rPr>
        <w:t>.</w:t>
      </w:r>
      <w:r w:rsidRPr="00FA1FB7">
        <w:rPr>
          <w:rFonts w:ascii="Arial" w:hAnsi="Arial" w:cs="Arial"/>
          <w:b/>
          <w:bCs/>
          <w:i/>
          <w:iCs/>
        </w:rPr>
        <w:t xml:space="preserve"> 6.</w:t>
      </w:r>
      <w:r w:rsidRPr="00FA1FB7">
        <w:rPr>
          <w:rFonts w:ascii="Arial" w:hAnsi="Arial" w:cs="Arial"/>
          <w:i/>
          <w:iCs/>
        </w:rPr>
        <w:t> </w:t>
      </w:r>
      <w:r w:rsidRPr="00FA1FB7">
        <w:rPr>
          <w:rFonts w:ascii="Arial" w:hAnsi="Arial" w:cs="Arial"/>
          <w:b/>
          <w:bCs/>
        </w:rPr>
        <w:t xml:space="preserve">Comparative performance of </w:t>
      </w:r>
      <w:proofErr w:type="spellStart"/>
      <w:r w:rsidRPr="00FA1FB7">
        <w:rPr>
          <w:rFonts w:ascii="Arial" w:hAnsi="Arial" w:cs="Arial"/>
          <w:b/>
          <w:bCs/>
        </w:rPr>
        <w:t>nanofungicides</w:t>
      </w:r>
      <w:proofErr w:type="spellEnd"/>
      <w:r w:rsidRPr="00FA1FB7">
        <w:rPr>
          <w:rFonts w:ascii="Arial" w:hAnsi="Arial" w:cs="Arial"/>
          <w:b/>
          <w:bCs/>
        </w:rPr>
        <w:t xml:space="preserve"> vs. conventional fungicides.</w:t>
      </w:r>
      <w:r w:rsidRPr="00FA1FB7">
        <w:rPr>
          <w:rFonts w:ascii="Arial" w:hAnsi="Arial" w:cs="Arial"/>
          <w:i/>
          <w:iCs/>
        </w:rPr>
        <w:t xml:space="preserve"> The figure should show: </w:t>
      </w:r>
      <w:r w:rsidRPr="00FA1FB7">
        <w:rPr>
          <w:rFonts w:ascii="Arial" w:hAnsi="Arial" w:cs="Arial"/>
          <w:b/>
          <w:bCs/>
          <w:i/>
          <w:iCs/>
        </w:rPr>
        <w:t xml:space="preserve">(A) </w:t>
      </w:r>
      <w:r w:rsidRPr="00FA1FB7">
        <w:rPr>
          <w:rFonts w:ascii="Arial" w:hAnsi="Arial" w:cs="Arial"/>
          <w:i/>
          <w:iCs/>
        </w:rPr>
        <w:t xml:space="preserve">Bar graphs comparing disease severity (%) for nano vs. conventional treatments across multiple timepoints, </w:t>
      </w:r>
      <w:r w:rsidRPr="00FA1FB7">
        <w:rPr>
          <w:rFonts w:ascii="Arial" w:hAnsi="Arial" w:cs="Arial"/>
          <w:b/>
          <w:bCs/>
          <w:i/>
          <w:iCs/>
        </w:rPr>
        <w:t>(B)</w:t>
      </w:r>
      <w:r w:rsidRPr="00FA1FB7">
        <w:rPr>
          <w:rFonts w:ascii="Arial" w:hAnsi="Arial" w:cs="Arial"/>
          <w:i/>
          <w:iCs/>
        </w:rPr>
        <w:t xml:space="preserve"> Residual activity curves showing fungicide persistence over time, </w:t>
      </w:r>
      <w:r w:rsidRPr="00FA1FB7">
        <w:rPr>
          <w:rFonts w:ascii="Arial" w:hAnsi="Arial" w:cs="Arial"/>
          <w:b/>
          <w:bCs/>
          <w:i/>
          <w:iCs/>
        </w:rPr>
        <w:t>(C)</w:t>
      </w:r>
      <w:r w:rsidRPr="00FA1FB7">
        <w:rPr>
          <w:rFonts w:ascii="Arial" w:hAnsi="Arial" w:cs="Arial"/>
          <w:i/>
          <w:iCs/>
        </w:rPr>
        <w:t xml:space="preserve"> Dose-response curves demonstrating enhanced efficacy at lower concentrations, and </w:t>
      </w:r>
      <w:r w:rsidRPr="00FA1FB7">
        <w:rPr>
          <w:rFonts w:ascii="Arial" w:hAnsi="Arial" w:cs="Arial"/>
          <w:b/>
          <w:bCs/>
          <w:i/>
          <w:iCs/>
        </w:rPr>
        <w:t>(D)</w:t>
      </w:r>
      <w:r w:rsidRPr="00FA1FB7">
        <w:rPr>
          <w:rFonts w:ascii="Arial" w:hAnsi="Arial" w:cs="Arial"/>
          <w:i/>
          <w:iCs/>
        </w:rPr>
        <w:t xml:space="preserve"> Environmental benefits comparison (reduced runoff, lower soil residues, decreased non-target impacts).</w:t>
      </w:r>
    </w:p>
    <w:p w14:paraId="698A0CC2" w14:textId="77777777" w:rsidR="00FA1FB7" w:rsidRDefault="00FA1FB7" w:rsidP="00441B6F">
      <w:pPr>
        <w:pStyle w:val="Head1"/>
        <w:spacing w:after="0"/>
        <w:jc w:val="both"/>
        <w:rPr>
          <w:rFonts w:ascii="Arial" w:hAnsi="Arial" w:cs="Arial"/>
        </w:rPr>
      </w:pPr>
    </w:p>
    <w:p w14:paraId="539D1354" w14:textId="77777777" w:rsidR="00FA1FB7" w:rsidRDefault="00FA1FB7" w:rsidP="00441B6F">
      <w:pPr>
        <w:pStyle w:val="Head1"/>
        <w:spacing w:after="0"/>
        <w:jc w:val="both"/>
        <w:rPr>
          <w:rFonts w:ascii="Arial" w:hAnsi="Arial" w:cs="Arial"/>
        </w:rPr>
      </w:pPr>
    </w:p>
    <w:p w14:paraId="4E23CDDE" w14:textId="7AE86D48" w:rsidR="00FA1FB7" w:rsidRPr="00FA1FB7" w:rsidRDefault="00FA1FB7" w:rsidP="00FA1FB7">
      <w:pPr>
        <w:rPr>
          <w:rFonts w:ascii="Arial" w:hAnsi="Arial" w:cs="Arial"/>
          <w:b/>
          <w:bCs/>
          <w:sz w:val="22"/>
          <w:szCs w:val="22"/>
        </w:rPr>
      </w:pPr>
      <w:r w:rsidRPr="00FA1FB7">
        <w:rPr>
          <w:rFonts w:ascii="Arial" w:hAnsi="Arial" w:cs="Arial"/>
          <w:b/>
          <w:bCs/>
          <w:sz w:val="22"/>
          <w:szCs w:val="22"/>
        </w:rPr>
        <w:t>5. RNA INTERFERENCE TECHNOLOGY AND NANOCARRIER DELIVERY SYSTEMS</w:t>
      </w:r>
    </w:p>
    <w:p w14:paraId="4E9DACFE" w14:textId="77777777" w:rsidR="00FA1FB7" w:rsidRPr="00FA1FB7" w:rsidRDefault="00FA1FB7" w:rsidP="00FA1FB7">
      <w:pPr>
        <w:jc w:val="both"/>
        <w:rPr>
          <w:rFonts w:ascii="Arial" w:hAnsi="Arial" w:cs="Arial"/>
          <w:b/>
          <w:bCs/>
          <w:sz w:val="22"/>
          <w:szCs w:val="22"/>
        </w:rPr>
      </w:pPr>
      <w:r w:rsidRPr="00FA1FB7">
        <w:rPr>
          <w:rFonts w:ascii="Arial" w:hAnsi="Arial" w:cs="Arial"/>
          <w:b/>
          <w:bCs/>
          <w:sz w:val="22"/>
          <w:szCs w:val="22"/>
        </w:rPr>
        <w:t>5.1 Principles of RNA Interference in Pest and Disease Management</w:t>
      </w:r>
    </w:p>
    <w:p w14:paraId="120262F8" w14:textId="77777777" w:rsidR="00FA1FB7" w:rsidRPr="00FA1FB7" w:rsidRDefault="00FA1FB7" w:rsidP="00FA1FB7">
      <w:pPr>
        <w:jc w:val="both"/>
        <w:rPr>
          <w:rFonts w:ascii="Arial" w:hAnsi="Arial" w:cs="Arial"/>
        </w:rPr>
      </w:pPr>
      <w:r w:rsidRPr="00FA1FB7">
        <w:rPr>
          <w:rFonts w:ascii="Arial" w:hAnsi="Arial" w:cs="Arial"/>
        </w:rPr>
        <w:t>RNA interference (RNAi) represents a revolutionary approach for pest and disease management, exploiting the natural gene silencing mechanism present in eukaryotic organisms (</w:t>
      </w:r>
      <w:proofErr w:type="spellStart"/>
      <w:r w:rsidRPr="00FA1FB7">
        <w:rPr>
          <w:rFonts w:ascii="Arial" w:hAnsi="Arial" w:cs="Arial"/>
        </w:rPr>
        <w:t>Kansotia</w:t>
      </w:r>
      <w:proofErr w:type="spellEnd"/>
      <w:r w:rsidRPr="00FA1FB7">
        <w:rPr>
          <w:rFonts w:ascii="Arial" w:hAnsi="Arial" w:cs="Arial"/>
        </w:rPr>
        <w:t xml:space="preserve"> et al., 2024). The RNAi pathway is triggered by double-stranded RNA (dsRNA) molecules that are processed by the enzyme Dicer into small interfering RNAs (siRNAs) of 21–23 nucleotides in length (Awasthi et al., 2025). These siRNAs are incorporated into the RNA-induced silencing complex (RISC), which uses the siRNA sequence as a guide to identify and cleave complementary messenger RNA (mRNA) molecules, thereby preventing translation of target genes (</w:t>
      </w:r>
      <w:proofErr w:type="spellStart"/>
      <w:r w:rsidRPr="00FA1FB7">
        <w:rPr>
          <w:rFonts w:ascii="Arial" w:hAnsi="Arial" w:cs="Arial"/>
        </w:rPr>
        <w:t>Kansotia</w:t>
      </w:r>
      <w:proofErr w:type="spellEnd"/>
      <w:r w:rsidRPr="00FA1FB7">
        <w:rPr>
          <w:rFonts w:ascii="Arial" w:hAnsi="Arial" w:cs="Arial"/>
        </w:rPr>
        <w:t xml:space="preserve"> et al., 2024). In pest management applications, RNAi enables highly specific suppression of essential genes in target organisms, including those involved in development, reproduction, digestion, detoxification, and immune function (Awasthi et al., 2025). For plant disease management, RNAi can be employed to silence virulence genes in pathogens or to modulate host genes involved in susceptibility (</w:t>
      </w:r>
      <w:proofErr w:type="spellStart"/>
      <w:r w:rsidRPr="00FA1FB7">
        <w:rPr>
          <w:rFonts w:ascii="Arial" w:hAnsi="Arial" w:cs="Arial"/>
        </w:rPr>
        <w:t>Kansotia</w:t>
      </w:r>
      <w:proofErr w:type="spellEnd"/>
      <w:r w:rsidRPr="00FA1FB7">
        <w:rPr>
          <w:rFonts w:ascii="Arial" w:hAnsi="Arial" w:cs="Arial"/>
        </w:rPr>
        <w:t xml:space="preserve"> et al., 2024). The species-specificity of RNAi, determined by the sequence complementarity between siRNA and target mRNA, offers unprecedented precision compared to conventional pesticides, minimizing impacts on non-target organisms (Awasthi et al., 2025).</w:t>
      </w:r>
    </w:p>
    <w:p w14:paraId="05D43E68" w14:textId="77777777" w:rsidR="00FA1FB7" w:rsidRPr="00FA1FB7" w:rsidRDefault="00FA1FB7" w:rsidP="00441B6F">
      <w:pPr>
        <w:pStyle w:val="Head1"/>
        <w:spacing w:after="0"/>
        <w:jc w:val="both"/>
        <w:rPr>
          <w:rFonts w:ascii="Arial" w:hAnsi="Arial" w:cs="Arial"/>
        </w:rPr>
      </w:pPr>
    </w:p>
    <w:p w14:paraId="35C9D357" w14:textId="77777777" w:rsidR="00FA1FB7" w:rsidRPr="00FA1FB7" w:rsidRDefault="00FA1FB7" w:rsidP="00441B6F">
      <w:pPr>
        <w:pStyle w:val="Head1"/>
        <w:spacing w:after="0"/>
        <w:jc w:val="both"/>
        <w:rPr>
          <w:rFonts w:ascii="Arial" w:hAnsi="Arial" w:cs="Arial"/>
        </w:rPr>
      </w:pPr>
    </w:p>
    <w:p w14:paraId="55BCAE35" w14:textId="587D4C60" w:rsidR="00FA1FB7" w:rsidRDefault="00FA1FB7" w:rsidP="007D53AA">
      <w:pPr>
        <w:pStyle w:val="Head1"/>
        <w:spacing w:after="0"/>
        <w:jc w:val="center"/>
        <w:rPr>
          <w:rFonts w:ascii="Arial" w:hAnsi="Arial" w:cs="Arial"/>
        </w:rPr>
      </w:pPr>
      <w:r>
        <w:rPr>
          <w:rFonts w:ascii="Times New Roman" w:hAnsi="Times New Roman"/>
          <w:noProof/>
        </w:rPr>
        <w:drawing>
          <wp:inline distT="0" distB="0" distL="0" distR="0" wp14:anchorId="59E7DB09" wp14:editId="3C13EB82">
            <wp:extent cx="5212080" cy="4642426"/>
            <wp:effectExtent l="0" t="0" r="0" b="0"/>
            <wp:docPr id="5713989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98916" name="Picture 571398916"/>
                    <pic:cNvPicPr/>
                  </pic:nvPicPr>
                  <pic:blipFill rotWithShape="1">
                    <a:blip r:embed="rId14" cstate="print">
                      <a:extLst>
                        <a:ext uri="{28A0092B-C50C-407E-A947-70E740481C1C}">
                          <a14:useLocalDpi xmlns:a14="http://schemas.microsoft.com/office/drawing/2010/main" val="0"/>
                        </a:ext>
                      </a:extLst>
                    </a:blip>
                    <a:srcRect t="2621"/>
                    <a:stretch>
                      <a:fillRect/>
                    </a:stretch>
                  </pic:blipFill>
                  <pic:spPr bwMode="auto">
                    <a:xfrm>
                      <a:off x="0" y="0"/>
                      <a:ext cx="5212080" cy="4642426"/>
                    </a:xfrm>
                    <a:prstGeom prst="rect">
                      <a:avLst/>
                    </a:prstGeom>
                    <a:ln>
                      <a:noFill/>
                    </a:ln>
                    <a:extLst>
                      <a:ext uri="{53640926-AAD7-44D8-BBD7-CCE9431645EC}">
                        <a14:shadowObscured xmlns:a14="http://schemas.microsoft.com/office/drawing/2010/main"/>
                      </a:ext>
                    </a:extLst>
                  </pic:spPr>
                </pic:pic>
              </a:graphicData>
            </a:graphic>
          </wp:inline>
        </w:drawing>
      </w:r>
    </w:p>
    <w:p w14:paraId="0327DF73" w14:textId="77777777" w:rsidR="00FA1FB7" w:rsidRDefault="00FA1FB7" w:rsidP="00FA1FB7">
      <w:pPr>
        <w:jc w:val="both"/>
        <w:rPr>
          <w:rFonts w:ascii="Times New Roman" w:hAnsi="Times New Roman"/>
          <w:b/>
          <w:bCs/>
        </w:rPr>
      </w:pPr>
      <w:r w:rsidRPr="00FA1FB7">
        <w:rPr>
          <w:rFonts w:ascii="Times New Roman" w:hAnsi="Times New Roman"/>
          <w:b/>
          <w:bCs/>
        </w:rPr>
        <w:t>Fig. 7. RNA interference mechanism and nanocarrier-mediated delivery for pest control.</w:t>
      </w:r>
    </w:p>
    <w:p w14:paraId="6BAFFC94" w14:textId="3A41A370" w:rsidR="00FA1FB7" w:rsidRPr="00FA1FB7" w:rsidRDefault="00FA1FB7" w:rsidP="00FA1FB7">
      <w:pPr>
        <w:jc w:val="both"/>
        <w:rPr>
          <w:rFonts w:ascii="Arial" w:hAnsi="Arial" w:cs="Arial"/>
          <w:i/>
          <w:iCs/>
        </w:rPr>
      </w:pPr>
      <w:r w:rsidRPr="004F7D79">
        <w:rPr>
          <w:rFonts w:ascii="Times New Roman" w:hAnsi="Times New Roman"/>
          <w:i/>
          <w:iCs/>
        </w:rPr>
        <w:t xml:space="preserve"> </w:t>
      </w:r>
      <w:r w:rsidRPr="00FA1FB7">
        <w:rPr>
          <w:rFonts w:ascii="Arial" w:hAnsi="Arial" w:cs="Arial"/>
          <w:i/>
          <w:iCs/>
        </w:rPr>
        <w:t xml:space="preserve">The figure should illustrate: </w:t>
      </w:r>
      <w:r w:rsidRPr="00FA1FB7">
        <w:rPr>
          <w:rFonts w:ascii="Arial" w:hAnsi="Arial" w:cs="Arial"/>
          <w:b/>
          <w:bCs/>
          <w:i/>
          <w:iCs/>
        </w:rPr>
        <w:t>(A)</w:t>
      </w:r>
      <w:r w:rsidRPr="00FA1FB7">
        <w:rPr>
          <w:rFonts w:ascii="Arial" w:hAnsi="Arial" w:cs="Arial"/>
          <w:i/>
          <w:iCs/>
        </w:rPr>
        <w:t xml:space="preserve"> RNAi pathway showing dsRNA processing by Dicer, siRNA incorporation into RISC, target mRNA cleavage, and gene silencing, </w:t>
      </w:r>
      <w:r w:rsidRPr="00FA1FB7">
        <w:rPr>
          <w:rFonts w:ascii="Arial" w:hAnsi="Arial" w:cs="Arial"/>
          <w:b/>
          <w:bCs/>
          <w:i/>
          <w:iCs/>
        </w:rPr>
        <w:t>(B)</w:t>
      </w:r>
      <w:r w:rsidRPr="00FA1FB7">
        <w:rPr>
          <w:rFonts w:ascii="Arial" w:hAnsi="Arial" w:cs="Arial"/>
          <w:i/>
          <w:iCs/>
        </w:rPr>
        <w:t xml:space="preserve"> Challenges of naked dsRNA (environmental degradation, poor cellular uptake), </w:t>
      </w:r>
      <w:r w:rsidRPr="00FA1FB7">
        <w:rPr>
          <w:rFonts w:ascii="Arial" w:hAnsi="Arial" w:cs="Arial"/>
          <w:b/>
          <w:bCs/>
          <w:i/>
          <w:iCs/>
        </w:rPr>
        <w:t>(C)</w:t>
      </w:r>
      <w:r w:rsidRPr="00FA1FB7">
        <w:rPr>
          <w:rFonts w:ascii="Arial" w:hAnsi="Arial" w:cs="Arial"/>
          <w:i/>
          <w:iCs/>
        </w:rPr>
        <w:t xml:space="preserve"> Nanocarrier protection and delivery of dsRNA, </w:t>
      </w:r>
      <w:r w:rsidRPr="00FA1FB7">
        <w:rPr>
          <w:rFonts w:ascii="Arial" w:hAnsi="Arial" w:cs="Arial"/>
          <w:b/>
          <w:bCs/>
          <w:i/>
          <w:iCs/>
        </w:rPr>
        <w:t>(D)</w:t>
      </w:r>
      <w:r w:rsidRPr="00FA1FB7">
        <w:rPr>
          <w:rFonts w:ascii="Arial" w:hAnsi="Arial" w:cs="Arial"/>
          <w:i/>
          <w:iCs/>
        </w:rPr>
        <w:t xml:space="preserve"> Cellular uptake mechanisms (endocytosis, membrane fusion), and </w:t>
      </w:r>
      <w:r w:rsidRPr="00FA1FB7">
        <w:rPr>
          <w:rFonts w:ascii="Arial" w:hAnsi="Arial" w:cs="Arial"/>
          <w:b/>
          <w:bCs/>
          <w:i/>
          <w:iCs/>
        </w:rPr>
        <w:t>(E)</w:t>
      </w:r>
      <w:r w:rsidRPr="00FA1FB7">
        <w:rPr>
          <w:rFonts w:ascii="Arial" w:hAnsi="Arial" w:cs="Arial"/>
          <w:i/>
          <w:iCs/>
        </w:rPr>
        <w:t xml:space="preserve"> Target gene silencing effects on pest survival, development, and reproduction.</w:t>
      </w:r>
    </w:p>
    <w:p w14:paraId="274EFF64" w14:textId="77777777" w:rsidR="00FA1FB7" w:rsidRDefault="00FA1FB7" w:rsidP="00441B6F">
      <w:pPr>
        <w:pStyle w:val="Head1"/>
        <w:spacing w:after="0"/>
        <w:jc w:val="both"/>
        <w:rPr>
          <w:rFonts w:ascii="Arial" w:hAnsi="Arial" w:cs="Arial"/>
        </w:rPr>
      </w:pPr>
    </w:p>
    <w:p w14:paraId="5888ABDB" w14:textId="77777777" w:rsidR="007D53AA" w:rsidRDefault="007D53AA" w:rsidP="00441B6F">
      <w:pPr>
        <w:pStyle w:val="Head1"/>
        <w:spacing w:after="0"/>
        <w:jc w:val="both"/>
        <w:rPr>
          <w:rFonts w:ascii="Arial" w:hAnsi="Arial" w:cs="Arial"/>
        </w:rPr>
      </w:pPr>
    </w:p>
    <w:p w14:paraId="5BF5971F" w14:textId="77777777" w:rsidR="00FA1FB7" w:rsidRDefault="00FA1FB7" w:rsidP="00FA1FB7">
      <w:pPr>
        <w:jc w:val="both"/>
        <w:rPr>
          <w:rFonts w:ascii="Arial" w:hAnsi="Arial" w:cs="Arial"/>
          <w:b/>
          <w:bCs/>
          <w:sz w:val="22"/>
          <w:szCs w:val="22"/>
        </w:rPr>
      </w:pPr>
      <w:r w:rsidRPr="00FA1FB7">
        <w:rPr>
          <w:rFonts w:ascii="Arial" w:hAnsi="Arial" w:cs="Arial"/>
          <w:b/>
          <w:bCs/>
          <w:sz w:val="22"/>
          <w:szCs w:val="22"/>
        </w:rPr>
        <w:t>5.2 Challenges in RNAi Delivery and Nanocarrier Solutions</w:t>
      </w:r>
    </w:p>
    <w:p w14:paraId="6ED65F8B" w14:textId="77777777" w:rsidR="00FA1FB7" w:rsidRPr="00FA1FB7" w:rsidRDefault="00FA1FB7" w:rsidP="00FA1FB7">
      <w:pPr>
        <w:jc w:val="both"/>
        <w:rPr>
          <w:rFonts w:ascii="Arial" w:hAnsi="Arial" w:cs="Arial"/>
          <w:b/>
          <w:bCs/>
          <w:sz w:val="22"/>
          <w:szCs w:val="22"/>
        </w:rPr>
      </w:pPr>
    </w:p>
    <w:p w14:paraId="77B36470" w14:textId="77777777" w:rsidR="00FA1FB7" w:rsidRPr="00FA1FB7" w:rsidRDefault="00FA1FB7" w:rsidP="00FA1FB7">
      <w:pPr>
        <w:jc w:val="both"/>
        <w:rPr>
          <w:rFonts w:ascii="Arial" w:hAnsi="Arial" w:cs="Arial"/>
        </w:rPr>
      </w:pPr>
      <w:r w:rsidRPr="00FA1FB7">
        <w:rPr>
          <w:rFonts w:ascii="Arial" w:hAnsi="Arial" w:cs="Arial"/>
        </w:rPr>
        <w:t>Despite the theoretical promise of RNAi technology for agricultural applications, several substantial challenges have limited its practical implementation. The instability of naked dsRNA molecules in the environment, due to degradation by ubiquitous RNase enzymes, ultraviolet radiation, and extreme pH conditions, severely limits the efficacy and duration of RNAi effects (</w:t>
      </w:r>
      <w:proofErr w:type="spellStart"/>
      <w:r w:rsidRPr="00FA1FB7">
        <w:rPr>
          <w:rFonts w:ascii="Arial" w:hAnsi="Arial" w:cs="Arial"/>
        </w:rPr>
        <w:t>Kansotia</w:t>
      </w:r>
      <w:proofErr w:type="spellEnd"/>
      <w:r w:rsidRPr="00FA1FB7">
        <w:rPr>
          <w:rFonts w:ascii="Arial" w:hAnsi="Arial" w:cs="Arial"/>
        </w:rPr>
        <w:t xml:space="preserve"> et al., 2024). Poor cellular uptake of dsRNA by target organisms, resulting from the large size and negative charge of these molecules, restricts delivery to intracellular sites where the RNAi machinery operates (Awasthi et al., 2025). Variable RNAi efficiency across different insect orders and species, with some groups exhibiting limited RNAi responses due to factors including rapid dsRNA degradation, inefficient cellular uptake, and systemic spreading limitations, complicates broad application (</w:t>
      </w:r>
      <w:proofErr w:type="spellStart"/>
      <w:r w:rsidRPr="00FA1FB7">
        <w:rPr>
          <w:rFonts w:ascii="Arial" w:hAnsi="Arial" w:cs="Arial"/>
        </w:rPr>
        <w:t>Kansotia</w:t>
      </w:r>
      <w:proofErr w:type="spellEnd"/>
      <w:r w:rsidRPr="00FA1FB7">
        <w:rPr>
          <w:rFonts w:ascii="Arial" w:hAnsi="Arial" w:cs="Arial"/>
        </w:rPr>
        <w:t xml:space="preserve"> et al., 2024). High production costs associated with synthesizing or producing large quantities of dsRNA molecules represent an economic barrier to commercial deployment (Awasthi et al., 2025).</w:t>
      </w:r>
    </w:p>
    <w:p w14:paraId="38211745" w14:textId="77777777" w:rsidR="00FA1FB7" w:rsidRDefault="00FA1FB7" w:rsidP="00FA1FB7">
      <w:pPr>
        <w:jc w:val="both"/>
        <w:rPr>
          <w:rFonts w:ascii="Arial" w:hAnsi="Arial" w:cs="Arial"/>
        </w:rPr>
      </w:pPr>
      <w:r w:rsidRPr="00FA1FB7">
        <w:rPr>
          <w:rFonts w:ascii="Arial" w:hAnsi="Arial" w:cs="Arial"/>
        </w:rPr>
        <w:t>Nanocarrier-based delivery systems offer promising solutions to these challenges. Nanoencapsulation protects dsRNA from enzymatic degradation and environmental stresses, substantially extending the functional lifetime of RNAi molecules under field conditions (</w:t>
      </w:r>
      <w:proofErr w:type="spellStart"/>
      <w:r w:rsidRPr="00FA1FB7">
        <w:rPr>
          <w:rFonts w:ascii="Arial" w:hAnsi="Arial" w:cs="Arial"/>
        </w:rPr>
        <w:t>Kansotia</w:t>
      </w:r>
      <w:proofErr w:type="spellEnd"/>
      <w:r w:rsidRPr="00FA1FB7">
        <w:rPr>
          <w:rFonts w:ascii="Arial" w:hAnsi="Arial" w:cs="Arial"/>
        </w:rPr>
        <w:t xml:space="preserve"> et al., 2024). Enhanced cellular uptake is facilitated by the small size of nanocarriers, their ability to interact with cell membranes, and the potential for surface functionalization with cell-penetrating peptides or targeting ligands (Awasthi et al., 2025). Controlled and sustained release of dsRNA from nanocarriers maintains effective concentrations over extended periods, improving the duration and consistency of gene silencing effects (</w:t>
      </w:r>
      <w:proofErr w:type="spellStart"/>
      <w:r w:rsidRPr="00FA1FB7">
        <w:rPr>
          <w:rFonts w:ascii="Arial" w:hAnsi="Arial" w:cs="Arial"/>
        </w:rPr>
        <w:t>Kansotia</w:t>
      </w:r>
      <w:proofErr w:type="spellEnd"/>
      <w:r w:rsidRPr="00FA1FB7">
        <w:rPr>
          <w:rFonts w:ascii="Arial" w:hAnsi="Arial" w:cs="Arial"/>
        </w:rPr>
        <w:t xml:space="preserve"> et al., 2024). Protection during storage and formulation is enhanced, addressing practical considerations for commercial product development (Awasthi et al., 2025).</w:t>
      </w:r>
    </w:p>
    <w:p w14:paraId="1D149CE3" w14:textId="77777777" w:rsidR="00FA1FB7" w:rsidRPr="00FA1FB7" w:rsidRDefault="00FA1FB7" w:rsidP="00FA1FB7">
      <w:pPr>
        <w:jc w:val="both"/>
        <w:rPr>
          <w:rFonts w:ascii="Arial" w:hAnsi="Arial" w:cs="Arial"/>
        </w:rPr>
      </w:pPr>
    </w:p>
    <w:p w14:paraId="68869232" w14:textId="77777777" w:rsidR="00FA1FB7" w:rsidRDefault="00FA1FB7" w:rsidP="00FA1FB7">
      <w:pPr>
        <w:jc w:val="both"/>
        <w:rPr>
          <w:rFonts w:ascii="Arial" w:hAnsi="Arial" w:cs="Arial"/>
          <w:b/>
          <w:bCs/>
          <w:sz w:val="22"/>
          <w:szCs w:val="22"/>
        </w:rPr>
      </w:pPr>
      <w:r w:rsidRPr="00FA1FB7">
        <w:rPr>
          <w:rFonts w:ascii="Arial" w:hAnsi="Arial" w:cs="Arial"/>
          <w:b/>
          <w:bCs/>
          <w:sz w:val="22"/>
          <w:szCs w:val="22"/>
        </w:rPr>
        <w:t>5.3 Types of Nanocarriers for dsRNA Delivery</w:t>
      </w:r>
    </w:p>
    <w:p w14:paraId="4A4F2280" w14:textId="77777777" w:rsidR="00FA1FB7" w:rsidRPr="00FA1FB7" w:rsidRDefault="00FA1FB7" w:rsidP="00FA1FB7">
      <w:pPr>
        <w:jc w:val="both"/>
        <w:rPr>
          <w:rFonts w:ascii="Arial" w:hAnsi="Arial" w:cs="Arial"/>
          <w:b/>
          <w:bCs/>
          <w:sz w:val="22"/>
          <w:szCs w:val="22"/>
        </w:rPr>
      </w:pPr>
    </w:p>
    <w:p w14:paraId="0DA38A18" w14:textId="77777777" w:rsidR="00FA1FB7" w:rsidRPr="00FA1FB7" w:rsidRDefault="00FA1FB7" w:rsidP="00FA1FB7">
      <w:pPr>
        <w:jc w:val="both"/>
        <w:rPr>
          <w:rFonts w:ascii="Arial" w:hAnsi="Arial" w:cs="Arial"/>
        </w:rPr>
      </w:pPr>
      <w:r w:rsidRPr="00FA1FB7">
        <w:rPr>
          <w:rFonts w:ascii="Arial" w:hAnsi="Arial" w:cs="Arial"/>
        </w:rPr>
        <w:t>Various nanocarrier platforms have been investigated for delivering dsRNA molecules in agricultural applications. Chitosan nanoparticles, formed through ionic gelation or polyelectrolyte complexation, offer advantages including biodegradability, positive surface charge facilitating interaction with negatively charged cell membranes, and demonstrated efficacy in protecting and delivering dsRNA to insect pests (</w:t>
      </w:r>
      <w:proofErr w:type="spellStart"/>
      <w:r w:rsidRPr="00FA1FB7">
        <w:rPr>
          <w:rFonts w:ascii="Arial" w:hAnsi="Arial" w:cs="Arial"/>
        </w:rPr>
        <w:t>Kansotia</w:t>
      </w:r>
      <w:proofErr w:type="spellEnd"/>
      <w:r w:rsidRPr="00FA1FB7">
        <w:rPr>
          <w:rFonts w:ascii="Arial" w:hAnsi="Arial" w:cs="Arial"/>
        </w:rPr>
        <w:t xml:space="preserve"> et al., 2024). Lipid-based nanocarriers, including liposomes and solid lipid nanoparticles, provide biocompatibility, efficient membrane fusion for cellular delivery, and protection of dsRNA cargo from degradation (Awasthi et al., 2025). Polymeric nanoparticles synthesized from PLGA, polyethyleneimine (PEI), or other synthetic polymers enable tunable release kinetics, high loading capacity, and surface modification for targeted delivery (</w:t>
      </w:r>
      <w:proofErr w:type="spellStart"/>
      <w:r w:rsidRPr="00FA1FB7">
        <w:rPr>
          <w:rFonts w:ascii="Arial" w:hAnsi="Arial" w:cs="Arial"/>
        </w:rPr>
        <w:t>Kansotia</w:t>
      </w:r>
      <w:proofErr w:type="spellEnd"/>
      <w:r w:rsidRPr="00FA1FB7">
        <w:rPr>
          <w:rFonts w:ascii="Arial" w:hAnsi="Arial" w:cs="Arial"/>
        </w:rPr>
        <w:t xml:space="preserve"> et al., 2024). Inorganic nanoparticles, such as layered double hydroxides, mesoporous silica, and carbon nanotubes, offer high stability, large surface area for dsRNA loading, and potential for multi-functional formulations combining RNAi with other pest control mechanisms (Awasthi et al., 2025). Clay nanoparticles, particularly layered double hydroxides (LDH), provide excellent protection of dsRNA through intercalation between clay layers, slow release characteristics, and low cost (</w:t>
      </w:r>
      <w:proofErr w:type="spellStart"/>
      <w:r w:rsidRPr="00FA1FB7">
        <w:rPr>
          <w:rFonts w:ascii="Arial" w:hAnsi="Arial" w:cs="Arial"/>
        </w:rPr>
        <w:t>Kansotia</w:t>
      </w:r>
      <w:proofErr w:type="spellEnd"/>
      <w:r w:rsidRPr="00FA1FB7">
        <w:rPr>
          <w:rFonts w:ascii="Arial" w:hAnsi="Arial" w:cs="Arial"/>
        </w:rPr>
        <w:t xml:space="preserve"> et al., 2024).</w:t>
      </w:r>
    </w:p>
    <w:p w14:paraId="55F56CD8" w14:textId="77777777" w:rsidR="00FA1FB7" w:rsidRPr="00FA1FB7" w:rsidRDefault="00FA1FB7" w:rsidP="00FA1FB7">
      <w:pPr>
        <w:jc w:val="both"/>
        <w:rPr>
          <w:rFonts w:ascii="Arial" w:hAnsi="Arial" w:cs="Arial"/>
        </w:rPr>
      </w:pPr>
      <w:r w:rsidRPr="00FA1FB7">
        <w:rPr>
          <w:rFonts w:ascii="Arial" w:hAnsi="Arial" w:cs="Arial"/>
          <w:b/>
          <w:bCs/>
        </w:rPr>
        <w:t>Table 8</w:t>
      </w:r>
      <w:r w:rsidRPr="00FA1FB7">
        <w:rPr>
          <w:rFonts w:ascii="Arial" w:hAnsi="Arial" w:cs="Arial"/>
        </w:rPr>
        <w:t> compares different nanocarrier platforms for dsRNA delivery in agricultural pest management.</w:t>
      </w:r>
    </w:p>
    <w:p w14:paraId="435D882A" w14:textId="77777777" w:rsidR="00FA1FB7" w:rsidRPr="00FA1FB7" w:rsidRDefault="00FA1FB7" w:rsidP="00FA1FB7">
      <w:pPr>
        <w:jc w:val="both"/>
        <w:rPr>
          <w:rFonts w:ascii="Arial" w:hAnsi="Arial" w:cs="Arial"/>
        </w:rPr>
      </w:pPr>
    </w:p>
    <w:p w14:paraId="763D8A19" w14:textId="77777777" w:rsidR="00FA1FB7" w:rsidRPr="00FA1FB7" w:rsidRDefault="00FA1FB7" w:rsidP="00FA1FB7">
      <w:pPr>
        <w:jc w:val="both"/>
        <w:rPr>
          <w:rFonts w:ascii="Arial" w:hAnsi="Arial" w:cs="Arial"/>
        </w:rPr>
      </w:pPr>
      <w:r w:rsidRPr="00FA1FB7">
        <w:rPr>
          <w:rFonts w:ascii="Arial" w:hAnsi="Arial" w:cs="Arial"/>
          <w:b/>
          <w:bCs/>
        </w:rPr>
        <w:t>Table 8.</w:t>
      </w:r>
      <w:r w:rsidRPr="00FA1FB7">
        <w:rPr>
          <w:rFonts w:ascii="Arial" w:hAnsi="Arial" w:cs="Arial"/>
        </w:rPr>
        <w:t> Nanocarrier Platforms for dsRNA Delivery in Agricultural Applications</w:t>
      </w:r>
    </w:p>
    <w:tbl>
      <w:tblPr>
        <w:tblStyle w:val="TableGrid"/>
        <w:tblW w:w="4906"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360"/>
        <w:gridCol w:w="901"/>
        <w:gridCol w:w="850"/>
        <w:gridCol w:w="958"/>
        <w:gridCol w:w="967"/>
        <w:gridCol w:w="1109"/>
        <w:gridCol w:w="1293"/>
        <w:gridCol w:w="1226"/>
        <w:gridCol w:w="1026"/>
      </w:tblGrid>
      <w:tr w:rsidR="00FC63B2" w:rsidRPr="00FA1FB7" w14:paraId="08B2F240" w14:textId="77777777" w:rsidTr="00FA1FB7">
        <w:trPr>
          <w:trHeight w:val="600"/>
        </w:trPr>
        <w:tc>
          <w:tcPr>
            <w:tcW w:w="514" w:type="pct"/>
            <w:tcBorders>
              <w:top w:val="single" w:sz="4" w:space="0" w:color="auto"/>
              <w:bottom w:val="single" w:sz="4" w:space="0" w:color="auto"/>
            </w:tcBorders>
            <w:hideMark/>
          </w:tcPr>
          <w:p w14:paraId="31E7CEEE"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Nanocarrier Type</w:t>
            </w:r>
          </w:p>
        </w:tc>
        <w:tc>
          <w:tcPr>
            <w:tcW w:w="645" w:type="pct"/>
            <w:tcBorders>
              <w:top w:val="single" w:sz="4" w:space="0" w:color="auto"/>
              <w:bottom w:val="single" w:sz="4" w:space="0" w:color="auto"/>
            </w:tcBorders>
            <w:hideMark/>
          </w:tcPr>
          <w:p w14:paraId="24FA3F07"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Synthesis Method</w:t>
            </w:r>
          </w:p>
        </w:tc>
        <w:tc>
          <w:tcPr>
            <w:tcW w:w="432" w:type="pct"/>
            <w:tcBorders>
              <w:top w:val="single" w:sz="4" w:space="0" w:color="auto"/>
              <w:bottom w:val="single" w:sz="4" w:space="0" w:color="auto"/>
            </w:tcBorders>
            <w:hideMark/>
          </w:tcPr>
          <w:p w14:paraId="2F50BCB8"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Size Range (nm)</w:t>
            </w:r>
          </w:p>
        </w:tc>
        <w:tc>
          <w:tcPr>
            <w:tcW w:w="407" w:type="pct"/>
            <w:tcBorders>
              <w:top w:val="single" w:sz="4" w:space="0" w:color="auto"/>
              <w:bottom w:val="single" w:sz="4" w:space="0" w:color="auto"/>
            </w:tcBorders>
            <w:hideMark/>
          </w:tcPr>
          <w:p w14:paraId="4764BC21"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dsRNA Loading Capacity</w:t>
            </w:r>
          </w:p>
        </w:tc>
        <w:tc>
          <w:tcPr>
            <w:tcW w:w="451" w:type="pct"/>
            <w:tcBorders>
              <w:top w:val="single" w:sz="4" w:space="0" w:color="auto"/>
              <w:bottom w:val="single" w:sz="4" w:space="0" w:color="auto"/>
            </w:tcBorders>
            <w:hideMark/>
          </w:tcPr>
          <w:p w14:paraId="7E921D4B"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Protection Efficiency</w:t>
            </w:r>
          </w:p>
        </w:tc>
        <w:tc>
          <w:tcPr>
            <w:tcW w:w="449" w:type="pct"/>
            <w:tcBorders>
              <w:top w:val="single" w:sz="4" w:space="0" w:color="auto"/>
              <w:bottom w:val="single" w:sz="4" w:space="0" w:color="auto"/>
            </w:tcBorders>
            <w:hideMark/>
          </w:tcPr>
          <w:p w14:paraId="467AC83F"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Release Profile</w:t>
            </w:r>
          </w:p>
        </w:tc>
        <w:tc>
          <w:tcPr>
            <w:tcW w:w="524" w:type="pct"/>
            <w:tcBorders>
              <w:top w:val="single" w:sz="4" w:space="0" w:color="auto"/>
              <w:bottom w:val="single" w:sz="4" w:space="0" w:color="auto"/>
            </w:tcBorders>
            <w:hideMark/>
          </w:tcPr>
          <w:p w14:paraId="6F60F86B"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Cellular Uptake</w:t>
            </w:r>
          </w:p>
        </w:tc>
        <w:tc>
          <w:tcPr>
            <w:tcW w:w="624" w:type="pct"/>
            <w:tcBorders>
              <w:top w:val="single" w:sz="4" w:space="0" w:color="auto"/>
              <w:bottom w:val="single" w:sz="4" w:space="0" w:color="auto"/>
            </w:tcBorders>
            <w:hideMark/>
          </w:tcPr>
          <w:p w14:paraId="76271169"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Advantages</w:t>
            </w:r>
          </w:p>
        </w:tc>
        <w:tc>
          <w:tcPr>
            <w:tcW w:w="583" w:type="pct"/>
            <w:tcBorders>
              <w:top w:val="single" w:sz="4" w:space="0" w:color="auto"/>
              <w:bottom w:val="single" w:sz="4" w:space="0" w:color="auto"/>
            </w:tcBorders>
            <w:hideMark/>
          </w:tcPr>
          <w:p w14:paraId="53D3E2C1"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Limitations</w:t>
            </w:r>
          </w:p>
        </w:tc>
        <w:tc>
          <w:tcPr>
            <w:tcW w:w="373" w:type="pct"/>
            <w:tcBorders>
              <w:top w:val="single" w:sz="4" w:space="0" w:color="auto"/>
              <w:bottom w:val="single" w:sz="4" w:space="0" w:color="auto"/>
            </w:tcBorders>
            <w:hideMark/>
          </w:tcPr>
          <w:p w14:paraId="02AED877"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References</w:t>
            </w:r>
          </w:p>
        </w:tc>
      </w:tr>
      <w:tr w:rsidR="00FC63B2" w:rsidRPr="00FA1FB7" w14:paraId="113824A7" w14:textId="77777777" w:rsidTr="00FA1FB7">
        <w:tc>
          <w:tcPr>
            <w:tcW w:w="514" w:type="pct"/>
            <w:tcBorders>
              <w:top w:val="single" w:sz="4" w:space="0" w:color="auto"/>
            </w:tcBorders>
            <w:hideMark/>
          </w:tcPr>
          <w:p w14:paraId="54042A63"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b/>
                <w:bCs/>
                <w:sz w:val="20"/>
                <w:szCs w:val="20"/>
              </w:rPr>
              <w:t>Chitosan NPs</w:t>
            </w:r>
          </w:p>
        </w:tc>
        <w:tc>
          <w:tcPr>
            <w:tcW w:w="645" w:type="pct"/>
            <w:tcBorders>
              <w:top w:val="single" w:sz="4" w:space="0" w:color="auto"/>
            </w:tcBorders>
            <w:hideMark/>
          </w:tcPr>
          <w:p w14:paraId="3EDAFE15"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Ionic gelation; TPP cross-linking</w:t>
            </w:r>
          </w:p>
        </w:tc>
        <w:tc>
          <w:tcPr>
            <w:tcW w:w="432" w:type="pct"/>
            <w:tcBorders>
              <w:top w:val="single" w:sz="4" w:space="0" w:color="auto"/>
            </w:tcBorders>
            <w:hideMark/>
          </w:tcPr>
          <w:p w14:paraId="72524C49"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100–500</w:t>
            </w:r>
          </w:p>
        </w:tc>
        <w:tc>
          <w:tcPr>
            <w:tcW w:w="407" w:type="pct"/>
            <w:tcBorders>
              <w:top w:val="single" w:sz="4" w:space="0" w:color="auto"/>
            </w:tcBorders>
            <w:hideMark/>
          </w:tcPr>
          <w:p w14:paraId="5A45727F"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Moderate (10–30%)</w:t>
            </w:r>
          </w:p>
        </w:tc>
        <w:tc>
          <w:tcPr>
            <w:tcW w:w="451" w:type="pct"/>
            <w:tcBorders>
              <w:top w:val="single" w:sz="4" w:space="0" w:color="auto"/>
            </w:tcBorders>
            <w:hideMark/>
          </w:tcPr>
          <w:p w14:paraId="35465438"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High (&gt;90% protection)</w:t>
            </w:r>
          </w:p>
        </w:tc>
        <w:tc>
          <w:tcPr>
            <w:tcW w:w="449" w:type="pct"/>
            <w:tcBorders>
              <w:top w:val="single" w:sz="4" w:space="0" w:color="auto"/>
            </w:tcBorders>
            <w:hideMark/>
          </w:tcPr>
          <w:p w14:paraId="6619B944"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pH-dependent; sustained</w:t>
            </w:r>
          </w:p>
        </w:tc>
        <w:tc>
          <w:tcPr>
            <w:tcW w:w="524" w:type="pct"/>
            <w:tcBorders>
              <w:top w:val="single" w:sz="4" w:space="0" w:color="auto"/>
            </w:tcBorders>
            <w:hideMark/>
          </w:tcPr>
          <w:p w14:paraId="03E54624"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High (positive charge)</w:t>
            </w:r>
          </w:p>
        </w:tc>
        <w:tc>
          <w:tcPr>
            <w:tcW w:w="624" w:type="pct"/>
            <w:tcBorders>
              <w:top w:val="single" w:sz="4" w:space="0" w:color="auto"/>
            </w:tcBorders>
            <w:hideMark/>
          </w:tcPr>
          <w:p w14:paraId="0DC07DCA"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Biodegradable; biocompatible; low cost; mucoadhesive</w:t>
            </w:r>
          </w:p>
        </w:tc>
        <w:tc>
          <w:tcPr>
            <w:tcW w:w="583" w:type="pct"/>
            <w:tcBorders>
              <w:top w:val="single" w:sz="4" w:space="0" w:color="auto"/>
            </w:tcBorders>
            <w:hideMark/>
          </w:tcPr>
          <w:p w14:paraId="2CA67664"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pH-sensitive; variable quality</w:t>
            </w:r>
          </w:p>
        </w:tc>
        <w:tc>
          <w:tcPr>
            <w:tcW w:w="373" w:type="pct"/>
            <w:tcBorders>
              <w:top w:val="single" w:sz="4" w:space="0" w:color="auto"/>
            </w:tcBorders>
            <w:hideMark/>
          </w:tcPr>
          <w:p w14:paraId="0918A329" w14:textId="77777777" w:rsidR="00FA1FB7" w:rsidRPr="00FA1FB7" w:rsidRDefault="00FA1FB7" w:rsidP="00C04C25">
            <w:pPr>
              <w:spacing w:after="160" w:line="278" w:lineRule="auto"/>
              <w:jc w:val="both"/>
              <w:rPr>
                <w:rFonts w:ascii="Arial" w:hAnsi="Arial" w:cs="Arial"/>
                <w:sz w:val="20"/>
                <w:szCs w:val="20"/>
              </w:rPr>
            </w:pPr>
            <w:proofErr w:type="spellStart"/>
            <w:r w:rsidRPr="00FA1FB7">
              <w:rPr>
                <w:rFonts w:ascii="Arial" w:hAnsi="Arial" w:cs="Arial"/>
                <w:sz w:val="20"/>
                <w:szCs w:val="20"/>
              </w:rPr>
              <w:t>Kansotia</w:t>
            </w:r>
            <w:proofErr w:type="spellEnd"/>
            <w:r w:rsidRPr="00FA1FB7">
              <w:rPr>
                <w:rFonts w:ascii="Arial" w:hAnsi="Arial" w:cs="Arial"/>
                <w:sz w:val="20"/>
                <w:szCs w:val="20"/>
              </w:rPr>
              <w:t xml:space="preserve"> et al., 2024</w:t>
            </w:r>
          </w:p>
        </w:tc>
      </w:tr>
      <w:tr w:rsidR="00FA1FB7" w:rsidRPr="00FA1FB7" w14:paraId="34A41F01" w14:textId="77777777" w:rsidTr="00FA1FB7">
        <w:tc>
          <w:tcPr>
            <w:tcW w:w="514" w:type="pct"/>
            <w:hideMark/>
          </w:tcPr>
          <w:p w14:paraId="31E2DC75"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b/>
                <w:bCs/>
                <w:sz w:val="20"/>
                <w:szCs w:val="20"/>
              </w:rPr>
              <w:t>Liposomes</w:t>
            </w:r>
          </w:p>
        </w:tc>
        <w:tc>
          <w:tcPr>
            <w:tcW w:w="645" w:type="pct"/>
            <w:hideMark/>
          </w:tcPr>
          <w:p w14:paraId="67303A69"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Thin-film hydration; extrusion</w:t>
            </w:r>
          </w:p>
        </w:tc>
        <w:tc>
          <w:tcPr>
            <w:tcW w:w="432" w:type="pct"/>
            <w:hideMark/>
          </w:tcPr>
          <w:p w14:paraId="403DBA0B"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50–300</w:t>
            </w:r>
          </w:p>
        </w:tc>
        <w:tc>
          <w:tcPr>
            <w:tcW w:w="407" w:type="pct"/>
            <w:hideMark/>
          </w:tcPr>
          <w:p w14:paraId="1B17010E"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High (20–40%)</w:t>
            </w:r>
          </w:p>
        </w:tc>
        <w:tc>
          <w:tcPr>
            <w:tcW w:w="451" w:type="pct"/>
            <w:hideMark/>
          </w:tcPr>
          <w:p w14:paraId="5C902D62"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Moderate (70–85%)</w:t>
            </w:r>
          </w:p>
        </w:tc>
        <w:tc>
          <w:tcPr>
            <w:tcW w:w="449" w:type="pct"/>
            <w:hideMark/>
          </w:tcPr>
          <w:p w14:paraId="2229E464"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Burst + sustained</w:t>
            </w:r>
          </w:p>
        </w:tc>
        <w:tc>
          <w:tcPr>
            <w:tcW w:w="524" w:type="pct"/>
            <w:hideMark/>
          </w:tcPr>
          <w:p w14:paraId="3C2B975C"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High (membrane fusion)</w:t>
            </w:r>
          </w:p>
        </w:tc>
        <w:tc>
          <w:tcPr>
            <w:tcW w:w="624" w:type="pct"/>
            <w:hideMark/>
          </w:tcPr>
          <w:p w14:paraId="6F5A85C0"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Biocompatible; efficient uptake; versatile</w:t>
            </w:r>
          </w:p>
        </w:tc>
        <w:tc>
          <w:tcPr>
            <w:tcW w:w="583" w:type="pct"/>
            <w:hideMark/>
          </w:tcPr>
          <w:p w14:paraId="7ECA1513"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Stability issues; leakage; cost</w:t>
            </w:r>
          </w:p>
        </w:tc>
        <w:tc>
          <w:tcPr>
            <w:tcW w:w="373" w:type="pct"/>
            <w:hideMark/>
          </w:tcPr>
          <w:p w14:paraId="299783B2"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Awasthi et al., 2025</w:t>
            </w:r>
          </w:p>
        </w:tc>
      </w:tr>
      <w:tr w:rsidR="00FA1FB7" w:rsidRPr="00FA1FB7" w14:paraId="328CF457" w14:textId="77777777" w:rsidTr="00FA1FB7">
        <w:tc>
          <w:tcPr>
            <w:tcW w:w="514" w:type="pct"/>
            <w:hideMark/>
          </w:tcPr>
          <w:p w14:paraId="17462CF4"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b/>
                <w:bCs/>
                <w:sz w:val="20"/>
                <w:szCs w:val="20"/>
              </w:rPr>
              <w:t>PLGA NPs</w:t>
            </w:r>
          </w:p>
        </w:tc>
        <w:tc>
          <w:tcPr>
            <w:tcW w:w="645" w:type="pct"/>
            <w:hideMark/>
          </w:tcPr>
          <w:p w14:paraId="7A3739F8"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Emulsion-solvent evaporation; nanoprecipitation</w:t>
            </w:r>
          </w:p>
        </w:tc>
        <w:tc>
          <w:tcPr>
            <w:tcW w:w="432" w:type="pct"/>
            <w:hideMark/>
          </w:tcPr>
          <w:p w14:paraId="33B7DB2D"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100–500</w:t>
            </w:r>
          </w:p>
        </w:tc>
        <w:tc>
          <w:tcPr>
            <w:tcW w:w="407" w:type="pct"/>
            <w:hideMark/>
          </w:tcPr>
          <w:p w14:paraId="2F601F65"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Moderate (15–35%)</w:t>
            </w:r>
          </w:p>
        </w:tc>
        <w:tc>
          <w:tcPr>
            <w:tcW w:w="451" w:type="pct"/>
            <w:hideMark/>
          </w:tcPr>
          <w:p w14:paraId="15A13B90"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High (&gt;85%)</w:t>
            </w:r>
          </w:p>
        </w:tc>
        <w:tc>
          <w:tcPr>
            <w:tcW w:w="449" w:type="pct"/>
            <w:hideMark/>
          </w:tcPr>
          <w:p w14:paraId="6576BCEE"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Tunable (days to weeks)</w:t>
            </w:r>
          </w:p>
        </w:tc>
        <w:tc>
          <w:tcPr>
            <w:tcW w:w="524" w:type="pct"/>
            <w:hideMark/>
          </w:tcPr>
          <w:p w14:paraId="173AEA74"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Moderate (endocytosis)</w:t>
            </w:r>
          </w:p>
        </w:tc>
        <w:tc>
          <w:tcPr>
            <w:tcW w:w="624" w:type="pct"/>
            <w:hideMark/>
          </w:tcPr>
          <w:p w14:paraId="4A411E82"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FDA-approved; tunable; biodegradable</w:t>
            </w:r>
          </w:p>
        </w:tc>
        <w:tc>
          <w:tcPr>
            <w:tcW w:w="583" w:type="pct"/>
            <w:hideMark/>
          </w:tcPr>
          <w:p w14:paraId="3F3C4E2C"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Acidic degradation products; synthesis complexity</w:t>
            </w:r>
          </w:p>
        </w:tc>
        <w:tc>
          <w:tcPr>
            <w:tcW w:w="373" w:type="pct"/>
            <w:hideMark/>
          </w:tcPr>
          <w:p w14:paraId="078FCBE0" w14:textId="77777777" w:rsidR="00FA1FB7" w:rsidRPr="00FA1FB7" w:rsidRDefault="00FA1FB7" w:rsidP="00C04C25">
            <w:pPr>
              <w:spacing w:after="160" w:line="278" w:lineRule="auto"/>
              <w:jc w:val="both"/>
              <w:rPr>
                <w:rFonts w:ascii="Arial" w:hAnsi="Arial" w:cs="Arial"/>
                <w:sz w:val="20"/>
                <w:szCs w:val="20"/>
              </w:rPr>
            </w:pPr>
            <w:proofErr w:type="spellStart"/>
            <w:r w:rsidRPr="00FA1FB7">
              <w:rPr>
                <w:rFonts w:ascii="Arial" w:hAnsi="Arial" w:cs="Arial"/>
                <w:sz w:val="20"/>
                <w:szCs w:val="20"/>
              </w:rPr>
              <w:t>Kansotia</w:t>
            </w:r>
            <w:proofErr w:type="spellEnd"/>
            <w:r w:rsidRPr="00FA1FB7">
              <w:rPr>
                <w:rFonts w:ascii="Arial" w:hAnsi="Arial" w:cs="Arial"/>
                <w:sz w:val="20"/>
                <w:szCs w:val="20"/>
              </w:rPr>
              <w:t xml:space="preserve"> et al., 2024</w:t>
            </w:r>
          </w:p>
        </w:tc>
      </w:tr>
      <w:tr w:rsidR="00FA1FB7" w:rsidRPr="00FA1FB7" w14:paraId="67536F2F" w14:textId="77777777" w:rsidTr="00FA1FB7">
        <w:tc>
          <w:tcPr>
            <w:tcW w:w="514" w:type="pct"/>
            <w:hideMark/>
          </w:tcPr>
          <w:p w14:paraId="64868EA3"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b/>
                <w:bCs/>
                <w:sz w:val="20"/>
                <w:szCs w:val="20"/>
              </w:rPr>
              <w:t>Layered Double Hydroxides (LDH)</w:t>
            </w:r>
          </w:p>
        </w:tc>
        <w:tc>
          <w:tcPr>
            <w:tcW w:w="645" w:type="pct"/>
            <w:hideMark/>
          </w:tcPr>
          <w:p w14:paraId="191AE5AC"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Co-precipitation; ion exchange</w:t>
            </w:r>
          </w:p>
        </w:tc>
        <w:tc>
          <w:tcPr>
            <w:tcW w:w="432" w:type="pct"/>
            <w:hideMark/>
          </w:tcPr>
          <w:p w14:paraId="37E9C4E3"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50–200 (lateral)</w:t>
            </w:r>
          </w:p>
        </w:tc>
        <w:tc>
          <w:tcPr>
            <w:tcW w:w="407" w:type="pct"/>
            <w:hideMark/>
          </w:tcPr>
          <w:p w14:paraId="1E33044B"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High (30–50%)</w:t>
            </w:r>
          </w:p>
        </w:tc>
        <w:tc>
          <w:tcPr>
            <w:tcW w:w="451" w:type="pct"/>
            <w:hideMark/>
          </w:tcPr>
          <w:p w14:paraId="26388432"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Very high (&gt;95%)</w:t>
            </w:r>
          </w:p>
        </w:tc>
        <w:tc>
          <w:tcPr>
            <w:tcW w:w="449" w:type="pct"/>
            <w:hideMark/>
          </w:tcPr>
          <w:p w14:paraId="6134288F"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Slow; ion exchange</w:t>
            </w:r>
          </w:p>
        </w:tc>
        <w:tc>
          <w:tcPr>
            <w:tcW w:w="524" w:type="pct"/>
            <w:hideMark/>
          </w:tcPr>
          <w:p w14:paraId="2904F135"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Moderate</w:t>
            </w:r>
          </w:p>
        </w:tc>
        <w:tc>
          <w:tcPr>
            <w:tcW w:w="624" w:type="pct"/>
            <w:hideMark/>
          </w:tcPr>
          <w:p w14:paraId="3DA65060"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Excellent protection; low cost; stable</w:t>
            </w:r>
          </w:p>
        </w:tc>
        <w:tc>
          <w:tcPr>
            <w:tcW w:w="583" w:type="pct"/>
            <w:hideMark/>
          </w:tcPr>
          <w:p w14:paraId="30664FB6"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Limited surface modification; slow release</w:t>
            </w:r>
          </w:p>
        </w:tc>
        <w:tc>
          <w:tcPr>
            <w:tcW w:w="373" w:type="pct"/>
            <w:hideMark/>
          </w:tcPr>
          <w:p w14:paraId="600CD4FA" w14:textId="77777777" w:rsidR="00FA1FB7" w:rsidRPr="00FA1FB7" w:rsidRDefault="00FA1FB7" w:rsidP="00C04C25">
            <w:pPr>
              <w:spacing w:after="160" w:line="278" w:lineRule="auto"/>
              <w:jc w:val="both"/>
              <w:rPr>
                <w:rFonts w:ascii="Arial" w:hAnsi="Arial" w:cs="Arial"/>
                <w:sz w:val="20"/>
                <w:szCs w:val="20"/>
              </w:rPr>
            </w:pPr>
            <w:proofErr w:type="spellStart"/>
            <w:r w:rsidRPr="00FA1FB7">
              <w:rPr>
                <w:rFonts w:ascii="Arial" w:hAnsi="Arial" w:cs="Arial"/>
                <w:sz w:val="20"/>
                <w:szCs w:val="20"/>
              </w:rPr>
              <w:t>Kansotia</w:t>
            </w:r>
            <w:proofErr w:type="spellEnd"/>
            <w:r w:rsidRPr="00FA1FB7">
              <w:rPr>
                <w:rFonts w:ascii="Arial" w:hAnsi="Arial" w:cs="Arial"/>
                <w:sz w:val="20"/>
                <w:szCs w:val="20"/>
              </w:rPr>
              <w:t xml:space="preserve"> et al., 2024; Awasthi et al., 2025</w:t>
            </w:r>
          </w:p>
        </w:tc>
      </w:tr>
      <w:tr w:rsidR="00FA1FB7" w:rsidRPr="00FA1FB7" w14:paraId="2D54DCC0" w14:textId="77777777" w:rsidTr="00FA1FB7">
        <w:tc>
          <w:tcPr>
            <w:tcW w:w="514" w:type="pct"/>
            <w:hideMark/>
          </w:tcPr>
          <w:p w14:paraId="06DD3B4A"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b/>
                <w:bCs/>
                <w:sz w:val="20"/>
                <w:szCs w:val="20"/>
              </w:rPr>
              <w:t>Mesoporous Silica</w:t>
            </w:r>
          </w:p>
        </w:tc>
        <w:tc>
          <w:tcPr>
            <w:tcW w:w="645" w:type="pct"/>
            <w:hideMark/>
          </w:tcPr>
          <w:p w14:paraId="703837DB"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Sol-gel; template method</w:t>
            </w:r>
          </w:p>
        </w:tc>
        <w:tc>
          <w:tcPr>
            <w:tcW w:w="432" w:type="pct"/>
            <w:hideMark/>
          </w:tcPr>
          <w:p w14:paraId="37C3D2AE"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50–300</w:t>
            </w:r>
          </w:p>
        </w:tc>
        <w:tc>
          <w:tcPr>
            <w:tcW w:w="407" w:type="pct"/>
            <w:hideMark/>
          </w:tcPr>
          <w:p w14:paraId="6E763C71"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High (25–45%)</w:t>
            </w:r>
          </w:p>
        </w:tc>
        <w:tc>
          <w:tcPr>
            <w:tcW w:w="451" w:type="pct"/>
            <w:hideMark/>
          </w:tcPr>
          <w:p w14:paraId="48F9B615"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High (&gt;90%)</w:t>
            </w:r>
          </w:p>
        </w:tc>
        <w:tc>
          <w:tcPr>
            <w:tcW w:w="449" w:type="pct"/>
            <w:hideMark/>
          </w:tcPr>
          <w:p w14:paraId="2ECB275C"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Stimuli-responsive</w:t>
            </w:r>
          </w:p>
        </w:tc>
        <w:tc>
          <w:tcPr>
            <w:tcW w:w="524" w:type="pct"/>
            <w:hideMark/>
          </w:tcPr>
          <w:p w14:paraId="42B1C532"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Moderate to high</w:t>
            </w:r>
          </w:p>
        </w:tc>
        <w:tc>
          <w:tcPr>
            <w:tcW w:w="624" w:type="pct"/>
            <w:hideMark/>
          </w:tcPr>
          <w:p w14:paraId="38E6E1A9"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 xml:space="preserve">High loading; </w:t>
            </w:r>
            <w:proofErr w:type="spellStart"/>
            <w:r w:rsidRPr="00FA1FB7">
              <w:rPr>
                <w:rFonts w:ascii="Arial" w:hAnsi="Arial" w:cs="Arial"/>
                <w:sz w:val="20"/>
                <w:szCs w:val="20"/>
              </w:rPr>
              <w:t>functionalizable</w:t>
            </w:r>
            <w:proofErr w:type="spellEnd"/>
            <w:r w:rsidRPr="00FA1FB7">
              <w:rPr>
                <w:rFonts w:ascii="Arial" w:hAnsi="Arial" w:cs="Arial"/>
                <w:sz w:val="20"/>
                <w:szCs w:val="20"/>
              </w:rPr>
              <w:t>; stable</w:t>
            </w:r>
          </w:p>
        </w:tc>
        <w:tc>
          <w:tcPr>
            <w:tcW w:w="583" w:type="pct"/>
            <w:hideMark/>
          </w:tcPr>
          <w:p w14:paraId="0C6BE9B6"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Biodegradation concerns; cost</w:t>
            </w:r>
          </w:p>
        </w:tc>
        <w:tc>
          <w:tcPr>
            <w:tcW w:w="373" w:type="pct"/>
            <w:hideMark/>
          </w:tcPr>
          <w:p w14:paraId="22F1B260"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Awasthi et al., 2025</w:t>
            </w:r>
          </w:p>
        </w:tc>
      </w:tr>
      <w:tr w:rsidR="00FA1FB7" w:rsidRPr="00FA1FB7" w14:paraId="7E22A562" w14:textId="77777777" w:rsidTr="00FA1FB7">
        <w:tc>
          <w:tcPr>
            <w:tcW w:w="514" w:type="pct"/>
            <w:hideMark/>
          </w:tcPr>
          <w:p w14:paraId="2BA57D5B"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b/>
                <w:bCs/>
                <w:sz w:val="20"/>
                <w:szCs w:val="20"/>
              </w:rPr>
              <w:lastRenderedPageBreak/>
              <w:t>Carbon Nanotubes</w:t>
            </w:r>
          </w:p>
        </w:tc>
        <w:tc>
          <w:tcPr>
            <w:tcW w:w="645" w:type="pct"/>
            <w:hideMark/>
          </w:tcPr>
          <w:p w14:paraId="06C6CA1A"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Chemical vapor deposition; functionalization</w:t>
            </w:r>
          </w:p>
        </w:tc>
        <w:tc>
          <w:tcPr>
            <w:tcW w:w="432" w:type="pct"/>
            <w:hideMark/>
          </w:tcPr>
          <w:p w14:paraId="13440A36"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1–50 (diameter)</w:t>
            </w:r>
          </w:p>
        </w:tc>
        <w:tc>
          <w:tcPr>
            <w:tcW w:w="407" w:type="pct"/>
            <w:hideMark/>
          </w:tcPr>
          <w:p w14:paraId="34486706"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Moderate (15–30%)</w:t>
            </w:r>
          </w:p>
        </w:tc>
        <w:tc>
          <w:tcPr>
            <w:tcW w:w="451" w:type="pct"/>
            <w:hideMark/>
          </w:tcPr>
          <w:p w14:paraId="58A52DDD"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High (&gt;85%)</w:t>
            </w:r>
          </w:p>
        </w:tc>
        <w:tc>
          <w:tcPr>
            <w:tcW w:w="449" w:type="pct"/>
            <w:hideMark/>
          </w:tcPr>
          <w:p w14:paraId="53DD6B93"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Sustained</w:t>
            </w:r>
          </w:p>
        </w:tc>
        <w:tc>
          <w:tcPr>
            <w:tcW w:w="524" w:type="pct"/>
            <w:hideMark/>
          </w:tcPr>
          <w:p w14:paraId="7074BCA4"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High (penetration)</w:t>
            </w:r>
          </w:p>
        </w:tc>
        <w:tc>
          <w:tcPr>
            <w:tcW w:w="624" w:type="pct"/>
            <w:hideMark/>
          </w:tcPr>
          <w:p w14:paraId="4975E267"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High stability; multifunctional</w:t>
            </w:r>
          </w:p>
        </w:tc>
        <w:tc>
          <w:tcPr>
            <w:tcW w:w="583" w:type="pct"/>
            <w:hideMark/>
          </w:tcPr>
          <w:p w14:paraId="4A7B68F4"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Toxicity concerns; dispersion challenges; cost</w:t>
            </w:r>
          </w:p>
        </w:tc>
        <w:tc>
          <w:tcPr>
            <w:tcW w:w="373" w:type="pct"/>
            <w:hideMark/>
          </w:tcPr>
          <w:p w14:paraId="7B7622D1"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Awasthi et al., 2025</w:t>
            </w:r>
          </w:p>
        </w:tc>
      </w:tr>
      <w:tr w:rsidR="00FA1FB7" w:rsidRPr="00FA1FB7" w14:paraId="1C9E2620" w14:textId="77777777" w:rsidTr="00FA1FB7">
        <w:tc>
          <w:tcPr>
            <w:tcW w:w="514" w:type="pct"/>
            <w:hideMark/>
          </w:tcPr>
          <w:p w14:paraId="122F8B61"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b/>
                <w:bCs/>
                <w:sz w:val="20"/>
                <w:szCs w:val="20"/>
              </w:rPr>
              <w:t>Solid Lipid NPs</w:t>
            </w:r>
          </w:p>
        </w:tc>
        <w:tc>
          <w:tcPr>
            <w:tcW w:w="645" w:type="pct"/>
            <w:hideMark/>
          </w:tcPr>
          <w:p w14:paraId="4502B592"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Hot homogenization; microemulsion</w:t>
            </w:r>
          </w:p>
        </w:tc>
        <w:tc>
          <w:tcPr>
            <w:tcW w:w="432" w:type="pct"/>
            <w:hideMark/>
          </w:tcPr>
          <w:p w14:paraId="13FC77C3"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50–500</w:t>
            </w:r>
          </w:p>
        </w:tc>
        <w:tc>
          <w:tcPr>
            <w:tcW w:w="407" w:type="pct"/>
            <w:hideMark/>
          </w:tcPr>
          <w:p w14:paraId="578B1F86"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Moderate (10–25%)</w:t>
            </w:r>
          </w:p>
        </w:tc>
        <w:tc>
          <w:tcPr>
            <w:tcW w:w="451" w:type="pct"/>
            <w:hideMark/>
          </w:tcPr>
          <w:p w14:paraId="0F452D8D"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Moderate to high (75–90%)</w:t>
            </w:r>
          </w:p>
        </w:tc>
        <w:tc>
          <w:tcPr>
            <w:tcW w:w="449" w:type="pct"/>
            <w:hideMark/>
          </w:tcPr>
          <w:p w14:paraId="6BF133D7"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Sustained</w:t>
            </w:r>
          </w:p>
        </w:tc>
        <w:tc>
          <w:tcPr>
            <w:tcW w:w="524" w:type="pct"/>
            <w:hideMark/>
          </w:tcPr>
          <w:p w14:paraId="1F5EB319"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High (lipophilic)</w:t>
            </w:r>
          </w:p>
        </w:tc>
        <w:tc>
          <w:tcPr>
            <w:tcW w:w="624" w:type="pct"/>
            <w:hideMark/>
          </w:tcPr>
          <w:p w14:paraId="0F098074"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Biocompatible; scalable; stable</w:t>
            </w:r>
          </w:p>
        </w:tc>
        <w:tc>
          <w:tcPr>
            <w:tcW w:w="583" w:type="pct"/>
            <w:hideMark/>
          </w:tcPr>
          <w:p w14:paraId="7A91A8B8"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Lower loading; potential expulsion during storage</w:t>
            </w:r>
          </w:p>
        </w:tc>
        <w:tc>
          <w:tcPr>
            <w:tcW w:w="373" w:type="pct"/>
            <w:hideMark/>
          </w:tcPr>
          <w:p w14:paraId="41029F18"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Awasthi et al., 2025</w:t>
            </w:r>
          </w:p>
        </w:tc>
      </w:tr>
    </w:tbl>
    <w:p w14:paraId="7A295B42" w14:textId="77777777" w:rsidR="00FA1FB7" w:rsidRPr="00FA1FB7" w:rsidRDefault="00FA1FB7" w:rsidP="00FA1FB7">
      <w:pPr>
        <w:jc w:val="both"/>
        <w:rPr>
          <w:rFonts w:ascii="Arial" w:hAnsi="Arial" w:cs="Arial"/>
          <w:i/>
          <w:iCs/>
        </w:rPr>
      </w:pPr>
      <w:r w:rsidRPr="00FA1FB7">
        <w:rPr>
          <w:rFonts w:ascii="Arial" w:hAnsi="Arial" w:cs="Arial"/>
          <w:b/>
          <w:bCs/>
          <w:i/>
          <w:iCs/>
        </w:rPr>
        <w:t>Note:</w:t>
      </w:r>
      <w:r w:rsidRPr="00FA1FB7">
        <w:rPr>
          <w:rFonts w:ascii="Arial" w:hAnsi="Arial" w:cs="Arial"/>
          <w:i/>
          <w:iCs/>
        </w:rPr>
        <w:t> TPP = Tripolyphosphate; PLGA = Poly (lactic-co-glycolic acid); NPs = Nanoparticles; FDA = U.S. Food and Drug Administration.</w:t>
      </w:r>
    </w:p>
    <w:p w14:paraId="1F9EF7AD" w14:textId="77777777" w:rsidR="00FA1FB7" w:rsidRPr="00FA1FB7" w:rsidRDefault="00FA1FB7" w:rsidP="00FA1FB7">
      <w:pPr>
        <w:jc w:val="both"/>
        <w:rPr>
          <w:rFonts w:ascii="Arial" w:hAnsi="Arial" w:cs="Arial"/>
        </w:rPr>
      </w:pPr>
    </w:p>
    <w:p w14:paraId="309075B3" w14:textId="77777777" w:rsidR="00FA1FB7" w:rsidRPr="00FA1FB7" w:rsidRDefault="00FA1FB7" w:rsidP="00FA1FB7">
      <w:pPr>
        <w:jc w:val="both"/>
        <w:rPr>
          <w:rFonts w:ascii="Arial" w:hAnsi="Arial" w:cs="Arial"/>
          <w:b/>
          <w:bCs/>
          <w:sz w:val="22"/>
          <w:szCs w:val="22"/>
        </w:rPr>
      </w:pPr>
      <w:r w:rsidRPr="00FA1FB7">
        <w:rPr>
          <w:rFonts w:ascii="Arial" w:hAnsi="Arial" w:cs="Arial"/>
          <w:b/>
          <w:bCs/>
          <w:sz w:val="22"/>
          <w:szCs w:val="22"/>
        </w:rPr>
        <w:t>5.4 Applications and Efficacy of Nanocarrier-Delivered RNAi</w:t>
      </w:r>
    </w:p>
    <w:p w14:paraId="3100234D" w14:textId="77777777" w:rsidR="00FA1FB7" w:rsidRPr="00FA1FB7" w:rsidRDefault="00FA1FB7" w:rsidP="00FA1FB7">
      <w:pPr>
        <w:jc w:val="both"/>
        <w:rPr>
          <w:rFonts w:ascii="Arial" w:hAnsi="Arial" w:cs="Arial"/>
        </w:rPr>
      </w:pPr>
      <w:r w:rsidRPr="00FA1FB7">
        <w:rPr>
          <w:rFonts w:ascii="Arial" w:hAnsi="Arial" w:cs="Arial"/>
        </w:rPr>
        <w:t>Proof-of-concept studies have demonstrated the potential of nanocarrier-delivered RNAi for managing rice pests and diseases. Chitosan nanoparticle-encapsulated dsRNA targeting essential genes in brown planthoppers achieved significant mortality and reduced fecundity in laboratory assays, with effects persisting longer than naked dsRNA treatments (</w:t>
      </w:r>
      <w:proofErr w:type="spellStart"/>
      <w:r w:rsidRPr="00FA1FB7">
        <w:rPr>
          <w:rFonts w:ascii="Arial" w:hAnsi="Arial" w:cs="Arial"/>
        </w:rPr>
        <w:t>Kansotia</w:t>
      </w:r>
      <w:proofErr w:type="spellEnd"/>
      <w:r w:rsidRPr="00FA1FB7">
        <w:rPr>
          <w:rFonts w:ascii="Arial" w:hAnsi="Arial" w:cs="Arial"/>
        </w:rPr>
        <w:t xml:space="preserve"> et al., 2024). Liposome-formulated dsRNA directed against stem borer digestive enzymes reduced larval growth and survival when incorporated into artificial diet or applied to rice plants (Awasthi et al., 2025). Clay nanoparticle-based dsRNA formulations targeting genes involved in molting and development showed improved stability under field-relevant conditions and maintained activity for several weeks post-application (</w:t>
      </w:r>
      <w:proofErr w:type="spellStart"/>
      <w:r w:rsidRPr="00FA1FB7">
        <w:rPr>
          <w:rFonts w:ascii="Arial" w:hAnsi="Arial" w:cs="Arial"/>
        </w:rPr>
        <w:t>Kansotia</w:t>
      </w:r>
      <w:proofErr w:type="spellEnd"/>
      <w:r w:rsidRPr="00FA1FB7">
        <w:rPr>
          <w:rFonts w:ascii="Arial" w:hAnsi="Arial" w:cs="Arial"/>
        </w:rPr>
        <w:t xml:space="preserve"> et al., 2024). For disease management, nanocarrier-delivered dsRNA targeting fungal virulence genes or host susceptibility factors demonstrated potential for reducing blast and sheath blight severity in greenhouse trials (Awasthi et al., 2025). However, translation of these laboratory successes to field applications remains limited, with challenges including optimization of application methods, determination of effective dose rates, assessment of environmental persistence, and evaluation of non-target effects requiring further investigation (</w:t>
      </w:r>
      <w:proofErr w:type="spellStart"/>
      <w:r w:rsidRPr="00FA1FB7">
        <w:rPr>
          <w:rFonts w:ascii="Arial" w:hAnsi="Arial" w:cs="Arial"/>
        </w:rPr>
        <w:t>Kansotia</w:t>
      </w:r>
      <w:proofErr w:type="spellEnd"/>
      <w:r w:rsidRPr="00FA1FB7">
        <w:rPr>
          <w:rFonts w:ascii="Arial" w:hAnsi="Arial" w:cs="Arial"/>
        </w:rPr>
        <w:t xml:space="preserve"> et al., 2024). </w:t>
      </w:r>
      <w:r w:rsidRPr="00FA1FB7">
        <w:rPr>
          <w:rFonts w:ascii="Arial" w:hAnsi="Arial" w:cs="Arial"/>
          <w:b/>
          <w:bCs/>
        </w:rPr>
        <w:t>Table 9</w:t>
      </w:r>
      <w:r w:rsidRPr="00FA1FB7">
        <w:rPr>
          <w:rFonts w:ascii="Arial" w:hAnsi="Arial" w:cs="Arial"/>
        </w:rPr>
        <w:t> summarizes efficacy data from RNAi-based pest control studies using nanocarrier delivery.</w:t>
      </w:r>
    </w:p>
    <w:p w14:paraId="6D57218E" w14:textId="77777777" w:rsidR="00FA1FB7" w:rsidRPr="00FA1FB7" w:rsidRDefault="00FA1FB7" w:rsidP="00FA1FB7">
      <w:pPr>
        <w:jc w:val="both"/>
        <w:rPr>
          <w:rFonts w:ascii="Arial" w:hAnsi="Arial" w:cs="Arial"/>
        </w:rPr>
      </w:pPr>
    </w:p>
    <w:p w14:paraId="42AF2398" w14:textId="77777777" w:rsidR="00FA1FB7" w:rsidRPr="00FA1FB7" w:rsidRDefault="00FA1FB7" w:rsidP="00FA1FB7">
      <w:pPr>
        <w:jc w:val="both"/>
        <w:rPr>
          <w:rFonts w:ascii="Arial" w:hAnsi="Arial" w:cs="Arial"/>
          <w:b/>
          <w:bCs/>
        </w:rPr>
      </w:pPr>
    </w:p>
    <w:p w14:paraId="53F56458" w14:textId="77777777" w:rsidR="00FA1FB7" w:rsidRPr="00FA1FB7" w:rsidRDefault="00FA1FB7" w:rsidP="00FA1FB7">
      <w:pPr>
        <w:jc w:val="both"/>
        <w:rPr>
          <w:rFonts w:ascii="Arial" w:hAnsi="Arial" w:cs="Arial"/>
        </w:rPr>
      </w:pPr>
      <w:r w:rsidRPr="00FA1FB7">
        <w:rPr>
          <w:rFonts w:ascii="Arial" w:hAnsi="Arial" w:cs="Arial"/>
          <w:b/>
          <w:bCs/>
        </w:rPr>
        <w:t>Table 9.</w:t>
      </w:r>
      <w:r w:rsidRPr="00FA1FB7">
        <w:rPr>
          <w:rFonts w:ascii="Arial" w:hAnsi="Arial" w:cs="Arial"/>
        </w:rPr>
        <w:t> Efficacy of Nanocarrier-Delivered RNAi for Rice Pest Control</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081"/>
        <w:gridCol w:w="1065"/>
        <w:gridCol w:w="1025"/>
        <w:gridCol w:w="777"/>
        <w:gridCol w:w="1256"/>
        <w:gridCol w:w="809"/>
        <w:gridCol w:w="1345"/>
        <w:gridCol w:w="1009"/>
        <w:gridCol w:w="993"/>
      </w:tblGrid>
      <w:tr w:rsidR="00FC63B2" w:rsidRPr="00FA1FB7" w14:paraId="229E3C98" w14:textId="77777777" w:rsidTr="00FA1FB7">
        <w:trPr>
          <w:trHeight w:val="600"/>
        </w:trPr>
        <w:tc>
          <w:tcPr>
            <w:tcW w:w="0" w:type="auto"/>
            <w:tcBorders>
              <w:top w:val="single" w:sz="4" w:space="0" w:color="auto"/>
              <w:bottom w:val="single" w:sz="4" w:space="0" w:color="auto"/>
            </w:tcBorders>
            <w:hideMark/>
          </w:tcPr>
          <w:p w14:paraId="081773EA"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Target Organism</w:t>
            </w:r>
          </w:p>
        </w:tc>
        <w:tc>
          <w:tcPr>
            <w:tcW w:w="0" w:type="auto"/>
            <w:tcBorders>
              <w:top w:val="single" w:sz="4" w:space="0" w:color="auto"/>
              <w:bottom w:val="single" w:sz="4" w:space="0" w:color="auto"/>
            </w:tcBorders>
            <w:hideMark/>
          </w:tcPr>
          <w:p w14:paraId="06C699B9"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Target Gene(s)</w:t>
            </w:r>
          </w:p>
        </w:tc>
        <w:tc>
          <w:tcPr>
            <w:tcW w:w="0" w:type="auto"/>
            <w:tcBorders>
              <w:top w:val="single" w:sz="4" w:space="0" w:color="auto"/>
              <w:bottom w:val="single" w:sz="4" w:space="0" w:color="auto"/>
            </w:tcBorders>
            <w:hideMark/>
          </w:tcPr>
          <w:p w14:paraId="0C040D26"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Gene Function</w:t>
            </w:r>
          </w:p>
        </w:tc>
        <w:tc>
          <w:tcPr>
            <w:tcW w:w="0" w:type="auto"/>
            <w:tcBorders>
              <w:top w:val="single" w:sz="4" w:space="0" w:color="auto"/>
              <w:bottom w:val="single" w:sz="4" w:space="0" w:color="auto"/>
            </w:tcBorders>
            <w:hideMark/>
          </w:tcPr>
          <w:p w14:paraId="12793476"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Nanocarrier Type</w:t>
            </w:r>
          </w:p>
        </w:tc>
        <w:tc>
          <w:tcPr>
            <w:tcW w:w="0" w:type="auto"/>
            <w:tcBorders>
              <w:top w:val="single" w:sz="4" w:space="0" w:color="auto"/>
              <w:bottom w:val="single" w:sz="4" w:space="0" w:color="auto"/>
            </w:tcBorders>
            <w:hideMark/>
          </w:tcPr>
          <w:p w14:paraId="4EDE5B8C"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Delivery Method</w:t>
            </w:r>
          </w:p>
        </w:tc>
        <w:tc>
          <w:tcPr>
            <w:tcW w:w="0" w:type="auto"/>
            <w:tcBorders>
              <w:top w:val="single" w:sz="4" w:space="0" w:color="auto"/>
              <w:bottom w:val="single" w:sz="4" w:space="0" w:color="auto"/>
            </w:tcBorders>
            <w:hideMark/>
          </w:tcPr>
          <w:p w14:paraId="436AEB0B"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Mortality/Effect (%)</w:t>
            </w:r>
          </w:p>
        </w:tc>
        <w:tc>
          <w:tcPr>
            <w:tcW w:w="0" w:type="auto"/>
            <w:tcBorders>
              <w:top w:val="single" w:sz="4" w:space="0" w:color="auto"/>
              <w:bottom w:val="single" w:sz="4" w:space="0" w:color="auto"/>
            </w:tcBorders>
            <w:hideMark/>
          </w:tcPr>
          <w:p w14:paraId="77C7CF06"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Duration of Effect</w:t>
            </w:r>
          </w:p>
        </w:tc>
        <w:tc>
          <w:tcPr>
            <w:tcW w:w="0" w:type="auto"/>
            <w:tcBorders>
              <w:top w:val="single" w:sz="4" w:space="0" w:color="auto"/>
              <w:bottom w:val="single" w:sz="4" w:space="0" w:color="auto"/>
            </w:tcBorders>
            <w:hideMark/>
          </w:tcPr>
          <w:p w14:paraId="475E04B4"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Non-Target Assessment</w:t>
            </w:r>
          </w:p>
        </w:tc>
        <w:tc>
          <w:tcPr>
            <w:tcW w:w="0" w:type="auto"/>
            <w:tcBorders>
              <w:top w:val="single" w:sz="4" w:space="0" w:color="auto"/>
              <w:bottom w:val="single" w:sz="4" w:space="0" w:color="auto"/>
            </w:tcBorders>
            <w:hideMark/>
          </w:tcPr>
          <w:p w14:paraId="7CE73A0A"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Study Type</w:t>
            </w:r>
          </w:p>
        </w:tc>
        <w:tc>
          <w:tcPr>
            <w:tcW w:w="0" w:type="auto"/>
            <w:tcBorders>
              <w:top w:val="single" w:sz="4" w:space="0" w:color="auto"/>
              <w:bottom w:val="single" w:sz="4" w:space="0" w:color="auto"/>
            </w:tcBorders>
            <w:hideMark/>
          </w:tcPr>
          <w:p w14:paraId="4DAA8ADE" w14:textId="77777777" w:rsidR="00FA1FB7" w:rsidRPr="00FA1FB7" w:rsidRDefault="00FA1FB7" w:rsidP="00C04C25">
            <w:pPr>
              <w:spacing w:after="160" w:line="278" w:lineRule="auto"/>
              <w:jc w:val="both"/>
              <w:rPr>
                <w:rFonts w:ascii="Arial" w:hAnsi="Arial" w:cs="Arial"/>
                <w:b/>
                <w:bCs/>
                <w:sz w:val="20"/>
                <w:szCs w:val="20"/>
              </w:rPr>
            </w:pPr>
            <w:r w:rsidRPr="00FA1FB7">
              <w:rPr>
                <w:rFonts w:ascii="Arial" w:hAnsi="Arial" w:cs="Arial"/>
                <w:b/>
                <w:bCs/>
                <w:sz w:val="20"/>
                <w:szCs w:val="20"/>
              </w:rPr>
              <w:t>References</w:t>
            </w:r>
          </w:p>
        </w:tc>
      </w:tr>
      <w:tr w:rsidR="00FC63B2" w:rsidRPr="00FA1FB7" w14:paraId="28946FDD" w14:textId="77777777" w:rsidTr="00FA1FB7">
        <w:tc>
          <w:tcPr>
            <w:tcW w:w="0" w:type="auto"/>
            <w:tcBorders>
              <w:top w:val="single" w:sz="4" w:space="0" w:color="auto"/>
            </w:tcBorders>
            <w:hideMark/>
          </w:tcPr>
          <w:p w14:paraId="2B8753CF" w14:textId="069F5D24" w:rsidR="00FA1FB7" w:rsidRPr="00FA1FB7" w:rsidRDefault="00141945" w:rsidP="00C04C25">
            <w:pPr>
              <w:spacing w:after="160" w:line="278" w:lineRule="auto"/>
              <w:jc w:val="both"/>
              <w:rPr>
                <w:rFonts w:ascii="Arial" w:hAnsi="Arial" w:cs="Arial"/>
                <w:sz w:val="20"/>
                <w:szCs w:val="20"/>
              </w:rPr>
            </w:pPr>
            <w:proofErr w:type="spellStart"/>
            <w:r w:rsidRPr="00141945">
              <w:rPr>
                <w:rFonts w:ascii="Arial" w:hAnsi="Arial" w:cs="Arial"/>
                <w:i/>
                <w:iCs/>
                <w:sz w:val="20"/>
                <w:szCs w:val="20"/>
              </w:rPr>
              <w:t>Nilaparvata</w:t>
            </w:r>
            <w:proofErr w:type="spellEnd"/>
            <w:r w:rsidRPr="00141945">
              <w:rPr>
                <w:rFonts w:ascii="Arial" w:hAnsi="Arial" w:cs="Arial"/>
                <w:i/>
                <w:iCs/>
                <w:sz w:val="20"/>
                <w:szCs w:val="20"/>
              </w:rPr>
              <w:t xml:space="preserve"> </w:t>
            </w:r>
            <w:proofErr w:type="spellStart"/>
            <w:r w:rsidRPr="00141945">
              <w:rPr>
                <w:rFonts w:ascii="Arial" w:hAnsi="Arial" w:cs="Arial"/>
                <w:i/>
                <w:iCs/>
                <w:sz w:val="20"/>
                <w:szCs w:val="20"/>
              </w:rPr>
              <w:t>lugens</w:t>
            </w:r>
            <w:proofErr w:type="spellEnd"/>
            <w:r w:rsidR="00FA1FB7" w:rsidRPr="00FA1FB7">
              <w:rPr>
                <w:rFonts w:ascii="Arial" w:hAnsi="Arial" w:cs="Arial"/>
                <w:sz w:val="20"/>
                <w:szCs w:val="20"/>
              </w:rPr>
              <w:t> (BPH)</w:t>
            </w:r>
          </w:p>
        </w:tc>
        <w:tc>
          <w:tcPr>
            <w:tcW w:w="0" w:type="auto"/>
            <w:tcBorders>
              <w:top w:val="single" w:sz="4" w:space="0" w:color="auto"/>
            </w:tcBorders>
            <w:hideMark/>
          </w:tcPr>
          <w:p w14:paraId="01A6F5B5"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i/>
                <w:iCs/>
                <w:sz w:val="20"/>
                <w:szCs w:val="20"/>
              </w:rPr>
              <w:t>Chitin synthase</w:t>
            </w:r>
          </w:p>
        </w:tc>
        <w:tc>
          <w:tcPr>
            <w:tcW w:w="0" w:type="auto"/>
            <w:tcBorders>
              <w:top w:val="single" w:sz="4" w:space="0" w:color="auto"/>
            </w:tcBorders>
            <w:hideMark/>
          </w:tcPr>
          <w:p w14:paraId="7D2CDB7F"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Cuticle formation</w:t>
            </w:r>
          </w:p>
        </w:tc>
        <w:tc>
          <w:tcPr>
            <w:tcW w:w="0" w:type="auto"/>
            <w:tcBorders>
              <w:top w:val="single" w:sz="4" w:space="0" w:color="auto"/>
            </w:tcBorders>
            <w:hideMark/>
          </w:tcPr>
          <w:p w14:paraId="3CED8090"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Chitosan NPs</w:t>
            </w:r>
          </w:p>
        </w:tc>
        <w:tc>
          <w:tcPr>
            <w:tcW w:w="0" w:type="auto"/>
            <w:tcBorders>
              <w:top w:val="single" w:sz="4" w:space="0" w:color="auto"/>
            </w:tcBorders>
            <w:hideMark/>
          </w:tcPr>
          <w:p w14:paraId="7E69E934"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Foliar spray</w:t>
            </w:r>
          </w:p>
        </w:tc>
        <w:tc>
          <w:tcPr>
            <w:tcW w:w="0" w:type="auto"/>
            <w:tcBorders>
              <w:top w:val="single" w:sz="4" w:space="0" w:color="auto"/>
            </w:tcBorders>
            <w:hideMark/>
          </w:tcPr>
          <w:p w14:paraId="40246860"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75–85% mortality</w:t>
            </w:r>
          </w:p>
        </w:tc>
        <w:tc>
          <w:tcPr>
            <w:tcW w:w="0" w:type="auto"/>
            <w:tcBorders>
              <w:top w:val="single" w:sz="4" w:space="0" w:color="auto"/>
            </w:tcBorders>
            <w:hideMark/>
          </w:tcPr>
          <w:p w14:paraId="4FC507B6"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10–14 days</w:t>
            </w:r>
          </w:p>
        </w:tc>
        <w:tc>
          <w:tcPr>
            <w:tcW w:w="0" w:type="auto"/>
            <w:tcBorders>
              <w:top w:val="single" w:sz="4" w:space="0" w:color="auto"/>
            </w:tcBorders>
            <w:hideMark/>
          </w:tcPr>
          <w:p w14:paraId="54C5ACFA"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Limited effects on predators</w:t>
            </w:r>
          </w:p>
        </w:tc>
        <w:tc>
          <w:tcPr>
            <w:tcW w:w="0" w:type="auto"/>
            <w:tcBorders>
              <w:top w:val="single" w:sz="4" w:space="0" w:color="auto"/>
            </w:tcBorders>
            <w:hideMark/>
          </w:tcPr>
          <w:p w14:paraId="3E89E72F"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Lab &amp; greenhouse</w:t>
            </w:r>
          </w:p>
        </w:tc>
        <w:tc>
          <w:tcPr>
            <w:tcW w:w="0" w:type="auto"/>
            <w:tcBorders>
              <w:top w:val="single" w:sz="4" w:space="0" w:color="auto"/>
            </w:tcBorders>
            <w:hideMark/>
          </w:tcPr>
          <w:p w14:paraId="4B76D349" w14:textId="77777777" w:rsidR="00FA1FB7" w:rsidRPr="00FA1FB7" w:rsidRDefault="00FA1FB7" w:rsidP="00C04C25">
            <w:pPr>
              <w:spacing w:after="160" w:line="278" w:lineRule="auto"/>
              <w:jc w:val="both"/>
              <w:rPr>
                <w:rFonts w:ascii="Arial" w:hAnsi="Arial" w:cs="Arial"/>
                <w:sz w:val="20"/>
                <w:szCs w:val="20"/>
              </w:rPr>
            </w:pPr>
            <w:proofErr w:type="spellStart"/>
            <w:r w:rsidRPr="00FA1FB7">
              <w:rPr>
                <w:rFonts w:ascii="Arial" w:hAnsi="Arial" w:cs="Arial"/>
                <w:sz w:val="20"/>
                <w:szCs w:val="20"/>
              </w:rPr>
              <w:t>Kansotia</w:t>
            </w:r>
            <w:proofErr w:type="spellEnd"/>
            <w:r w:rsidRPr="00FA1FB7">
              <w:rPr>
                <w:rFonts w:ascii="Arial" w:hAnsi="Arial" w:cs="Arial"/>
                <w:sz w:val="20"/>
                <w:szCs w:val="20"/>
              </w:rPr>
              <w:t xml:space="preserve"> et al., 2024</w:t>
            </w:r>
          </w:p>
        </w:tc>
      </w:tr>
      <w:tr w:rsidR="00FC63B2" w:rsidRPr="00FA1FB7" w14:paraId="63B8751D" w14:textId="77777777" w:rsidTr="00FA1FB7">
        <w:tc>
          <w:tcPr>
            <w:tcW w:w="0" w:type="auto"/>
            <w:hideMark/>
          </w:tcPr>
          <w:p w14:paraId="61942AAE" w14:textId="5D10E1A3" w:rsidR="00FA1FB7" w:rsidRPr="00FA1FB7" w:rsidRDefault="00141945" w:rsidP="00C04C25">
            <w:pPr>
              <w:spacing w:after="160" w:line="278" w:lineRule="auto"/>
              <w:jc w:val="both"/>
              <w:rPr>
                <w:rFonts w:ascii="Arial" w:hAnsi="Arial" w:cs="Arial"/>
                <w:sz w:val="20"/>
                <w:szCs w:val="20"/>
              </w:rPr>
            </w:pPr>
            <w:proofErr w:type="spellStart"/>
            <w:r w:rsidRPr="00141945">
              <w:rPr>
                <w:rFonts w:ascii="Arial" w:hAnsi="Arial" w:cs="Arial"/>
                <w:i/>
                <w:iCs/>
                <w:sz w:val="20"/>
                <w:szCs w:val="20"/>
              </w:rPr>
              <w:t>Nilaparvata</w:t>
            </w:r>
            <w:proofErr w:type="spellEnd"/>
            <w:r w:rsidRPr="00141945">
              <w:rPr>
                <w:rFonts w:ascii="Arial" w:hAnsi="Arial" w:cs="Arial"/>
                <w:i/>
                <w:iCs/>
                <w:sz w:val="20"/>
                <w:szCs w:val="20"/>
              </w:rPr>
              <w:t xml:space="preserve"> </w:t>
            </w:r>
            <w:proofErr w:type="spellStart"/>
            <w:r w:rsidRPr="00141945">
              <w:rPr>
                <w:rFonts w:ascii="Arial" w:hAnsi="Arial" w:cs="Arial"/>
                <w:i/>
                <w:iCs/>
                <w:sz w:val="20"/>
                <w:szCs w:val="20"/>
              </w:rPr>
              <w:t>lugens</w:t>
            </w:r>
            <w:proofErr w:type="spellEnd"/>
          </w:p>
        </w:tc>
        <w:tc>
          <w:tcPr>
            <w:tcW w:w="0" w:type="auto"/>
            <w:hideMark/>
          </w:tcPr>
          <w:p w14:paraId="0C36344C"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i/>
                <w:iCs/>
                <w:sz w:val="20"/>
                <w:szCs w:val="20"/>
              </w:rPr>
              <w:t>V-ATPase</w:t>
            </w:r>
          </w:p>
        </w:tc>
        <w:tc>
          <w:tcPr>
            <w:tcW w:w="0" w:type="auto"/>
            <w:hideMark/>
          </w:tcPr>
          <w:p w14:paraId="16810E58"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Energy metabolism</w:t>
            </w:r>
          </w:p>
        </w:tc>
        <w:tc>
          <w:tcPr>
            <w:tcW w:w="0" w:type="auto"/>
            <w:hideMark/>
          </w:tcPr>
          <w:p w14:paraId="70100B6D"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Liposomes</w:t>
            </w:r>
          </w:p>
        </w:tc>
        <w:tc>
          <w:tcPr>
            <w:tcW w:w="0" w:type="auto"/>
            <w:hideMark/>
          </w:tcPr>
          <w:p w14:paraId="32933D0D"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Feeding assay</w:t>
            </w:r>
          </w:p>
        </w:tc>
        <w:tc>
          <w:tcPr>
            <w:tcW w:w="0" w:type="auto"/>
            <w:hideMark/>
          </w:tcPr>
          <w:p w14:paraId="5599D74A"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80–90% mortality</w:t>
            </w:r>
          </w:p>
        </w:tc>
        <w:tc>
          <w:tcPr>
            <w:tcW w:w="0" w:type="auto"/>
            <w:hideMark/>
          </w:tcPr>
          <w:p w14:paraId="09E51B3C"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7–10 days</w:t>
            </w:r>
          </w:p>
        </w:tc>
        <w:tc>
          <w:tcPr>
            <w:tcW w:w="0" w:type="auto"/>
            <w:hideMark/>
          </w:tcPr>
          <w:p w14:paraId="35528F1C"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Species-specific</w:t>
            </w:r>
          </w:p>
        </w:tc>
        <w:tc>
          <w:tcPr>
            <w:tcW w:w="0" w:type="auto"/>
            <w:hideMark/>
          </w:tcPr>
          <w:p w14:paraId="3B48F57F"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Lab</w:t>
            </w:r>
          </w:p>
        </w:tc>
        <w:tc>
          <w:tcPr>
            <w:tcW w:w="0" w:type="auto"/>
            <w:hideMark/>
          </w:tcPr>
          <w:p w14:paraId="78FED82F"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Awasthi et al., 2025</w:t>
            </w:r>
          </w:p>
        </w:tc>
      </w:tr>
      <w:tr w:rsidR="00FC63B2" w:rsidRPr="00FA1FB7" w14:paraId="62E00AA9" w14:textId="77777777" w:rsidTr="00FA1FB7">
        <w:tc>
          <w:tcPr>
            <w:tcW w:w="0" w:type="auto"/>
            <w:hideMark/>
          </w:tcPr>
          <w:p w14:paraId="3671C50F" w14:textId="1CC2B5D3" w:rsidR="00FA1FB7" w:rsidRPr="00FA1FB7" w:rsidRDefault="00141945" w:rsidP="00C04C25">
            <w:pPr>
              <w:spacing w:after="160" w:line="278" w:lineRule="auto"/>
              <w:jc w:val="both"/>
              <w:rPr>
                <w:rFonts w:ascii="Arial" w:hAnsi="Arial" w:cs="Arial"/>
                <w:sz w:val="20"/>
                <w:szCs w:val="20"/>
              </w:rPr>
            </w:pPr>
            <w:proofErr w:type="spellStart"/>
            <w:r w:rsidRPr="00141945">
              <w:rPr>
                <w:rFonts w:ascii="Arial" w:hAnsi="Arial" w:cs="Arial"/>
                <w:i/>
                <w:iCs/>
                <w:sz w:val="20"/>
                <w:szCs w:val="20"/>
              </w:rPr>
              <w:t>Scirpophaga</w:t>
            </w:r>
            <w:proofErr w:type="spellEnd"/>
            <w:r w:rsidRPr="00141945">
              <w:rPr>
                <w:rFonts w:ascii="Arial" w:hAnsi="Arial" w:cs="Arial"/>
                <w:i/>
                <w:iCs/>
                <w:sz w:val="20"/>
                <w:szCs w:val="20"/>
              </w:rPr>
              <w:t xml:space="preserve"> </w:t>
            </w:r>
            <w:proofErr w:type="spellStart"/>
            <w:r w:rsidRPr="00141945">
              <w:rPr>
                <w:rFonts w:ascii="Arial" w:hAnsi="Arial" w:cs="Arial"/>
                <w:i/>
                <w:iCs/>
                <w:sz w:val="20"/>
                <w:szCs w:val="20"/>
              </w:rPr>
              <w:t>incertulas</w:t>
            </w:r>
            <w:proofErr w:type="spellEnd"/>
            <w:r w:rsidR="00FA1FB7" w:rsidRPr="00FA1FB7">
              <w:rPr>
                <w:rFonts w:ascii="Arial" w:hAnsi="Arial" w:cs="Arial"/>
                <w:sz w:val="20"/>
                <w:szCs w:val="20"/>
              </w:rPr>
              <w:t> (YSB)</w:t>
            </w:r>
          </w:p>
        </w:tc>
        <w:tc>
          <w:tcPr>
            <w:tcW w:w="0" w:type="auto"/>
            <w:hideMark/>
          </w:tcPr>
          <w:p w14:paraId="45A19D07"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i/>
                <w:iCs/>
                <w:sz w:val="20"/>
                <w:szCs w:val="20"/>
              </w:rPr>
              <w:t>Trypsin</w:t>
            </w:r>
          </w:p>
        </w:tc>
        <w:tc>
          <w:tcPr>
            <w:tcW w:w="0" w:type="auto"/>
            <w:hideMark/>
          </w:tcPr>
          <w:p w14:paraId="6411E172"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Digestion</w:t>
            </w:r>
          </w:p>
        </w:tc>
        <w:tc>
          <w:tcPr>
            <w:tcW w:w="0" w:type="auto"/>
            <w:hideMark/>
          </w:tcPr>
          <w:p w14:paraId="1D02AC55"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LDH nanocarriers</w:t>
            </w:r>
          </w:p>
        </w:tc>
        <w:tc>
          <w:tcPr>
            <w:tcW w:w="0" w:type="auto"/>
            <w:hideMark/>
          </w:tcPr>
          <w:p w14:paraId="0A99EB29"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Foliar spray</w:t>
            </w:r>
          </w:p>
        </w:tc>
        <w:tc>
          <w:tcPr>
            <w:tcW w:w="0" w:type="auto"/>
            <w:hideMark/>
          </w:tcPr>
          <w:p w14:paraId="4DDF32CD"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70–82% mortality; reduced feeding</w:t>
            </w:r>
          </w:p>
        </w:tc>
        <w:tc>
          <w:tcPr>
            <w:tcW w:w="0" w:type="auto"/>
            <w:hideMark/>
          </w:tcPr>
          <w:p w14:paraId="06ACB114"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14–21 days</w:t>
            </w:r>
          </w:p>
        </w:tc>
        <w:tc>
          <w:tcPr>
            <w:tcW w:w="0" w:type="auto"/>
            <w:hideMark/>
          </w:tcPr>
          <w:p w14:paraId="2A11EE23"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No effects on </w:t>
            </w:r>
            <w:r w:rsidRPr="00FA1FB7">
              <w:rPr>
                <w:rFonts w:ascii="Arial" w:hAnsi="Arial" w:cs="Arial"/>
                <w:i/>
                <w:iCs/>
                <w:sz w:val="20"/>
                <w:szCs w:val="20"/>
              </w:rPr>
              <w:t>Trichogramma</w:t>
            </w:r>
          </w:p>
        </w:tc>
        <w:tc>
          <w:tcPr>
            <w:tcW w:w="0" w:type="auto"/>
            <w:hideMark/>
          </w:tcPr>
          <w:p w14:paraId="0CE96C17"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Lab</w:t>
            </w:r>
          </w:p>
        </w:tc>
        <w:tc>
          <w:tcPr>
            <w:tcW w:w="0" w:type="auto"/>
            <w:hideMark/>
          </w:tcPr>
          <w:p w14:paraId="71E46ABF" w14:textId="77777777" w:rsidR="00FA1FB7" w:rsidRPr="00FA1FB7" w:rsidRDefault="00FA1FB7" w:rsidP="00C04C25">
            <w:pPr>
              <w:spacing w:after="160" w:line="278" w:lineRule="auto"/>
              <w:jc w:val="both"/>
              <w:rPr>
                <w:rFonts w:ascii="Arial" w:hAnsi="Arial" w:cs="Arial"/>
                <w:sz w:val="20"/>
                <w:szCs w:val="20"/>
              </w:rPr>
            </w:pPr>
            <w:proofErr w:type="spellStart"/>
            <w:r w:rsidRPr="00FA1FB7">
              <w:rPr>
                <w:rFonts w:ascii="Arial" w:hAnsi="Arial" w:cs="Arial"/>
                <w:sz w:val="20"/>
                <w:szCs w:val="20"/>
              </w:rPr>
              <w:t>Kansotia</w:t>
            </w:r>
            <w:proofErr w:type="spellEnd"/>
            <w:r w:rsidRPr="00FA1FB7">
              <w:rPr>
                <w:rFonts w:ascii="Arial" w:hAnsi="Arial" w:cs="Arial"/>
                <w:sz w:val="20"/>
                <w:szCs w:val="20"/>
              </w:rPr>
              <w:t xml:space="preserve"> et al., 2024</w:t>
            </w:r>
          </w:p>
        </w:tc>
      </w:tr>
      <w:tr w:rsidR="00FC63B2" w:rsidRPr="00FA1FB7" w14:paraId="159E191A" w14:textId="77777777" w:rsidTr="00FA1FB7">
        <w:tc>
          <w:tcPr>
            <w:tcW w:w="0" w:type="auto"/>
            <w:hideMark/>
          </w:tcPr>
          <w:p w14:paraId="4805D72D" w14:textId="016AD2C9" w:rsidR="00FA1FB7" w:rsidRPr="00FA1FB7" w:rsidRDefault="00141945" w:rsidP="00C04C25">
            <w:pPr>
              <w:spacing w:after="160" w:line="278" w:lineRule="auto"/>
              <w:jc w:val="both"/>
              <w:rPr>
                <w:rFonts w:ascii="Arial" w:hAnsi="Arial" w:cs="Arial"/>
                <w:sz w:val="20"/>
                <w:szCs w:val="20"/>
              </w:rPr>
            </w:pPr>
            <w:proofErr w:type="spellStart"/>
            <w:r w:rsidRPr="00141945">
              <w:rPr>
                <w:rFonts w:ascii="Arial" w:hAnsi="Arial" w:cs="Arial"/>
                <w:i/>
                <w:iCs/>
                <w:sz w:val="20"/>
                <w:szCs w:val="20"/>
              </w:rPr>
              <w:t>Chilo</w:t>
            </w:r>
            <w:proofErr w:type="spellEnd"/>
            <w:r w:rsidRPr="00141945">
              <w:rPr>
                <w:rFonts w:ascii="Arial" w:hAnsi="Arial" w:cs="Arial"/>
                <w:i/>
                <w:iCs/>
                <w:sz w:val="20"/>
                <w:szCs w:val="20"/>
              </w:rPr>
              <w:t xml:space="preserve"> </w:t>
            </w:r>
            <w:proofErr w:type="spellStart"/>
            <w:r w:rsidRPr="00141945">
              <w:rPr>
                <w:rFonts w:ascii="Arial" w:hAnsi="Arial" w:cs="Arial"/>
                <w:i/>
                <w:iCs/>
                <w:sz w:val="20"/>
                <w:szCs w:val="20"/>
              </w:rPr>
              <w:t>suppressalis</w:t>
            </w:r>
            <w:proofErr w:type="spellEnd"/>
            <w:r w:rsidR="00FA1FB7" w:rsidRPr="00FA1FB7">
              <w:rPr>
                <w:rFonts w:ascii="Arial" w:hAnsi="Arial" w:cs="Arial"/>
                <w:sz w:val="20"/>
                <w:szCs w:val="20"/>
              </w:rPr>
              <w:t> (SSB)</w:t>
            </w:r>
          </w:p>
        </w:tc>
        <w:tc>
          <w:tcPr>
            <w:tcW w:w="0" w:type="auto"/>
            <w:hideMark/>
          </w:tcPr>
          <w:p w14:paraId="231CB4C3"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i/>
                <w:iCs/>
                <w:sz w:val="20"/>
                <w:szCs w:val="20"/>
              </w:rPr>
              <w:t>Ecdysone receptor</w:t>
            </w:r>
          </w:p>
        </w:tc>
        <w:tc>
          <w:tcPr>
            <w:tcW w:w="0" w:type="auto"/>
            <w:hideMark/>
          </w:tcPr>
          <w:p w14:paraId="1F4F6765"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Molting</w:t>
            </w:r>
          </w:p>
        </w:tc>
        <w:tc>
          <w:tcPr>
            <w:tcW w:w="0" w:type="auto"/>
            <w:hideMark/>
          </w:tcPr>
          <w:p w14:paraId="443E5D44"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Chitosan NPs</w:t>
            </w:r>
          </w:p>
        </w:tc>
        <w:tc>
          <w:tcPr>
            <w:tcW w:w="0" w:type="auto"/>
            <w:hideMark/>
          </w:tcPr>
          <w:p w14:paraId="278CCFCC"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Stem injection</w:t>
            </w:r>
          </w:p>
        </w:tc>
        <w:tc>
          <w:tcPr>
            <w:tcW w:w="0" w:type="auto"/>
            <w:hideMark/>
          </w:tcPr>
          <w:p w14:paraId="600C93A2"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65–78% mortality; developmental arrest</w:t>
            </w:r>
          </w:p>
        </w:tc>
        <w:tc>
          <w:tcPr>
            <w:tcW w:w="0" w:type="auto"/>
            <w:hideMark/>
          </w:tcPr>
          <w:p w14:paraId="5D88957A"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12–18 days</w:t>
            </w:r>
          </w:p>
        </w:tc>
        <w:tc>
          <w:tcPr>
            <w:tcW w:w="0" w:type="auto"/>
            <w:hideMark/>
          </w:tcPr>
          <w:p w14:paraId="5BDB4B2D"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Not assessed</w:t>
            </w:r>
          </w:p>
        </w:tc>
        <w:tc>
          <w:tcPr>
            <w:tcW w:w="0" w:type="auto"/>
            <w:hideMark/>
          </w:tcPr>
          <w:p w14:paraId="06DFDFBB"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Greenhouse</w:t>
            </w:r>
          </w:p>
        </w:tc>
        <w:tc>
          <w:tcPr>
            <w:tcW w:w="0" w:type="auto"/>
            <w:hideMark/>
          </w:tcPr>
          <w:p w14:paraId="5596CF5D"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Awasthi et al., 2025</w:t>
            </w:r>
          </w:p>
        </w:tc>
      </w:tr>
      <w:tr w:rsidR="00FC63B2" w:rsidRPr="00FA1FB7" w14:paraId="51C9B0B5" w14:textId="77777777" w:rsidTr="00FA1FB7">
        <w:tc>
          <w:tcPr>
            <w:tcW w:w="0" w:type="auto"/>
            <w:hideMark/>
          </w:tcPr>
          <w:p w14:paraId="6D35A6A7" w14:textId="7D2DA10F" w:rsidR="00FA1FB7" w:rsidRPr="00FA1FB7" w:rsidRDefault="00141945" w:rsidP="00C04C25">
            <w:pPr>
              <w:spacing w:after="160" w:line="278" w:lineRule="auto"/>
              <w:jc w:val="both"/>
              <w:rPr>
                <w:rFonts w:ascii="Arial" w:hAnsi="Arial" w:cs="Arial"/>
                <w:sz w:val="20"/>
                <w:szCs w:val="20"/>
              </w:rPr>
            </w:pPr>
            <w:proofErr w:type="spellStart"/>
            <w:r w:rsidRPr="00141945">
              <w:rPr>
                <w:rFonts w:ascii="Arial" w:hAnsi="Arial" w:cs="Arial"/>
                <w:i/>
                <w:iCs/>
                <w:sz w:val="20"/>
                <w:szCs w:val="20"/>
              </w:rPr>
              <w:lastRenderedPageBreak/>
              <w:t>Sesamia</w:t>
            </w:r>
            <w:proofErr w:type="spellEnd"/>
            <w:r w:rsidRPr="00141945">
              <w:rPr>
                <w:rFonts w:ascii="Arial" w:hAnsi="Arial" w:cs="Arial"/>
                <w:i/>
                <w:iCs/>
                <w:sz w:val="20"/>
                <w:szCs w:val="20"/>
              </w:rPr>
              <w:t xml:space="preserve"> </w:t>
            </w:r>
            <w:proofErr w:type="spellStart"/>
            <w:r w:rsidRPr="00141945">
              <w:rPr>
                <w:rFonts w:ascii="Arial" w:hAnsi="Arial" w:cs="Arial"/>
                <w:i/>
                <w:iCs/>
                <w:sz w:val="20"/>
                <w:szCs w:val="20"/>
              </w:rPr>
              <w:t>inferens</w:t>
            </w:r>
            <w:proofErr w:type="spellEnd"/>
            <w:r w:rsidR="00FA1FB7" w:rsidRPr="00FA1FB7">
              <w:rPr>
                <w:rFonts w:ascii="Arial" w:hAnsi="Arial" w:cs="Arial"/>
                <w:sz w:val="20"/>
                <w:szCs w:val="20"/>
              </w:rPr>
              <w:t> (PSB)</w:t>
            </w:r>
          </w:p>
        </w:tc>
        <w:tc>
          <w:tcPr>
            <w:tcW w:w="0" w:type="auto"/>
            <w:hideMark/>
          </w:tcPr>
          <w:p w14:paraId="3E4734F4"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i/>
                <w:iCs/>
                <w:sz w:val="20"/>
                <w:szCs w:val="20"/>
              </w:rPr>
              <w:t>Juvenile hormone esterase</w:t>
            </w:r>
          </w:p>
        </w:tc>
        <w:tc>
          <w:tcPr>
            <w:tcW w:w="0" w:type="auto"/>
            <w:hideMark/>
          </w:tcPr>
          <w:p w14:paraId="4CC737DA"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Development</w:t>
            </w:r>
          </w:p>
        </w:tc>
        <w:tc>
          <w:tcPr>
            <w:tcW w:w="0" w:type="auto"/>
            <w:hideMark/>
          </w:tcPr>
          <w:p w14:paraId="11B67D6A"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PLGA NPs</w:t>
            </w:r>
          </w:p>
        </w:tc>
        <w:tc>
          <w:tcPr>
            <w:tcW w:w="0" w:type="auto"/>
            <w:hideMark/>
          </w:tcPr>
          <w:p w14:paraId="20F60F78"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Foliar spray</w:t>
            </w:r>
          </w:p>
        </w:tc>
        <w:tc>
          <w:tcPr>
            <w:tcW w:w="0" w:type="auto"/>
            <w:hideMark/>
          </w:tcPr>
          <w:p w14:paraId="1ABC3EC5"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72–85% growth inhibition</w:t>
            </w:r>
          </w:p>
        </w:tc>
        <w:tc>
          <w:tcPr>
            <w:tcW w:w="0" w:type="auto"/>
            <w:hideMark/>
          </w:tcPr>
          <w:p w14:paraId="42C0CCAE"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10–15 days</w:t>
            </w:r>
          </w:p>
        </w:tc>
        <w:tc>
          <w:tcPr>
            <w:tcW w:w="0" w:type="auto"/>
            <w:hideMark/>
          </w:tcPr>
          <w:p w14:paraId="79790321"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Minimal effects on non-targets</w:t>
            </w:r>
          </w:p>
        </w:tc>
        <w:tc>
          <w:tcPr>
            <w:tcW w:w="0" w:type="auto"/>
            <w:hideMark/>
          </w:tcPr>
          <w:p w14:paraId="3279F39D"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Lab</w:t>
            </w:r>
          </w:p>
        </w:tc>
        <w:tc>
          <w:tcPr>
            <w:tcW w:w="0" w:type="auto"/>
            <w:hideMark/>
          </w:tcPr>
          <w:p w14:paraId="0B8393CC" w14:textId="77777777" w:rsidR="00FA1FB7" w:rsidRPr="00FA1FB7" w:rsidRDefault="00FA1FB7" w:rsidP="00C04C25">
            <w:pPr>
              <w:spacing w:after="160" w:line="278" w:lineRule="auto"/>
              <w:jc w:val="both"/>
              <w:rPr>
                <w:rFonts w:ascii="Arial" w:hAnsi="Arial" w:cs="Arial"/>
                <w:sz w:val="20"/>
                <w:szCs w:val="20"/>
              </w:rPr>
            </w:pPr>
            <w:proofErr w:type="spellStart"/>
            <w:r w:rsidRPr="00FA1FB7">
              <w:rPr>
                <w:rFonts w:ascii="Arial" w:hAnsi="Arial" w:cs="Arial"/>
                <w:sz w:val="20"/>
                <w:szCs w:val="20"/>
              </w:rPr>
              <w:t>Kansotia</w:t>
            </w:r>
            <w:proofErr w:type="spellEnd"/>
            <w:r w:rsidRPr="00FA1FB7">
              <w:rPr>
                <w:rFonts w:ascii="Arial" w:hAnsi="Arial" w:cs="Arial"/>
                <w:sz w:val="20"/>
                <w:szCs w:val="20"/>
              </w:rPr>
              <w:t xml:space="preserve"> et al., 2024</w:t>
            </w:r>
          </w:p>
        </w:tc>
      </w:tr>
      <w:tr w:rsidR="00FC63B2" w:rsidRPr="00FA1FB7" w14:paraId="5CB91FA9" w14:textId="77777777" w:rsidTr="00FA1FB7">
        <w:tc>
          <w:tcPr>
            <w:tcW w:w="0" w:type="auto"/>
            <w:hideMark/>
          </w:tcPr>
          <w:p w14:paraId="418CE10D" w14:textId="7A9D46B2" w:rsidR="00FA1FB7" w:rsidRPr="00FA1FB7" w:rsidRDefault="00141945" w:rsidP="00C04C25">
            <w:pPr>
              <w:spacing w:after="160" w:line="278" w:lineRule="auto"/>
              <w:jc w:val="both"/>
              <w:rPr>
                <w:rFonts w:ascii="Arial" w:hAnsi="Arial" w:cs="Arial"/>
                <w:sz w:val="20"/>
                <w:szCs w:val="20"/>
              </w:rPr>
            </w:pPr>
            <w:r w:rsidRPr="00141945">
              <w:rPr>
                <w:rFonts w:ascii="Arial" w:hAnsi="Arial" w:cs="Arial"/>
                <w:i/>
                <w:iCs/>
                <w:sz w:val="20"/>
                <w:szCs w:val="20"/>
              </w:rPr>
              <w:t>Pyricularia oryzae</w:t>
            </w:r>
            <w:r w:rsidR="00FA1FB7" w:rsidRPr="00FA1FB7">
              <w:rPr>
                <w:rFonts w:ascii="Arial" w:hAnsi="Arial" w:cs="Arial"/>
                <w:sz w:val="20"/>
                <w:szCs w:val="20"/>
              </w:rPr>
              <w:t> (Blast)</w:t>
            </w:r>
          </w:p>
        </w:tc>
        <w:tc>
          <w:tcPr>
            <w:tcW w:w="0" w:type="auto"/>
            <w:hideMark/>
          </w:tcPr>
          <w:p w14:paraId="54A28CA2"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i/>
                <w:iCs/>
                <w:sz w:val="20"/>
                <w:szCs w:val="20"/>
              </w:rPr>
              <w:t>Pathogenicity genes</w:t>
            </w:r>
          </w:p>
        </w:tc>
        <w:tc>
          <w:tcPr>
            <w:tcW w:w="0" w:type="auto"/>
            <w:hideMark/>
          </w:tcPr>
          <w:p w14:paraId="7AFA05AE"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Virulence</w:t>
            </w:r>
          </w:p>
        </w:tc>
        <w:tc>
          <w:tcPr>
            <w:tcW w:w="0" w:type="auto"/>
            <w:hideMark/>
          </w:tcPr>
          <w:p w14:paraId="64B8D474"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Mesoporous silica</w:t>
            </w:r>
          </w:p>
        </w:tc>
        <w:tc>
          <w:tcPr>
            <w:tcW w:w="0" w:type="auto"/>
            <w:hideMark/>
          </w:tcPr>
          <w:p w14:paraId="21BB43E1"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Foliar spray</w:t>
            </w:r>
          </w:p>
        </w:tc>
        <w:tc>
          <w:tcPr>
            <w:tcW w:w="0" w:type="auto"/>
            <w:hideMark/>
          </w:tcPr>
          <w:p w14:paraId="2827CB22"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60–75% disease reduction</w:t>
            </w:r>
          </w:p>
        </w:tc>
        <w:tc>
          <w:tcPr>
            <w:tcW w:w="0" w:type="auto"/>
            <w:hideMark/>
          </w:tcPr>
          <w:p w14:paraId="19A89A44"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14–21 days</w:t>
            </w:r>
          </w:p>
        </w:tc>
        <w:tc>
          <w:tcPr>
            <w:tcW w:w="0" w:type="auto"/>
            <w:hideMark/>
          </w:tcPr>
          <w:p w14:paraId="7432DE0B"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No phytotoxicity</w:t>
            </w:r>
          </w:p>
        </w:tc>
        <w:tc>
          <w:tcPr>
            <w:tcW w:w="0" w:type="auto"/>
            <w:hideMark/>
          </w:tcPr>
          <w:p w14:paraId="5E7D46CD"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Greenhouse</w:t>
            </w:r>
          </w:p>
        </w:tc>
        <w:tc>
          <w:tcPr>
            <w:tcW w:w="0" w:type="auto"/>
            <w:hideMark/>
          </w:tcPr>
          <w:p w14:paraId="07121B97" w14:textId="77777777" w:rsidR="00FA1FB7" w:rsidRPr="00FA1FB7" w:rsidRDefault="00FA1FB7" w:rsidP="00C04C25">
            <w:pPr>
              <w:spacing w:after="160" w:line="278" w:lineRule="auto"/>
              <w:jc w:val="both"/>
              <w:rPr>
                <w:rFonts w:ascii="Arial" w:hAnsi="Arial" w:cs="Arial"/>
                <w:sz w:val="20"/>
                <w:szCs w:val="20"/>
              </w:rPr>
            </w:pPr>
            <w:r w:rsidRPr="00FA1FB7">
              <w:rPr>
                <w:rFonts w:ascii="Arial" w:hAnsi="Arial" w:cs="Arial"/>
                <w:sz w:val="20"/>
                <w:szCs w:val="20"/>
              </w:rPr>
              <w:t>Awasthi et al., 2025</w:t>
            </w:r>
          </w:p>
        </w:tc>
      </w:tr>
    </w:tbl>
    <w:p w14:paraId="45006BE3" w14:textId="77777777" w:rsidR="00FA1FB7" w:rsidRPr="00FA1FB7" w:rsidRDefault="00FA1FB7" w:rsidP="00FA1FB7">
      <w:pPr>
        <w:jc w:val="both"/>
        <w:rPr>
          <w:rFonts w:ascii="Arial" w:hAnsi="Arial" w:cs="Arial"/>
          <w:i/>
          <w:iCs/>
        </w:rPr>
      </w:pPr>
      <w:r w:rsidRPr="00FA1FB7">
        <w:rPr>
          <w:rFonts w:ascii="Arial" w:hAnsi="Arial" w:cs="Arial"/>
          <w:b/>
          <w:bCs/>
          <w:i/>
          <w:iCs/>
        </w:rPr>
        <w:t>Note:</w:t>
      </w:r>
      <w:r w:rsidRPr="00FA1FB7">
        <w:rPr>
          <w:rFonts w:ascii="Arial" w:hAnsi="Arial" w:cs="Arial"/>
          <w:i/>
          <w:iCs/>
        </w:rPr>
        <w:t xml:space="preserve"> BPH = Brown planthopper; YSB = Yellow stem borer; SSB = Striped stem borer; PSB = Pink stem borer; NPs = Nanoparticles; LDH = Layered double hydroxide; PLGA = </w:t>
      </w:r>
      <w:proofErr w:type="gramStart"/>
      <w:r w:rsidRPr="00FA1FB7">
        <w:rPr>
          <w:rFonts w:ascii="Arial" w:hAnsi="Arial" w:cs="Arial"/>
          <w:i/>
          <w:iCs/>
        </w:rPr>
        <w:t>Poly(</w:t>
      </w:r>
      <w:proofErr w:type="gramEnd"/>
      <w:r w:rsidRPr="00FA1FB7">
        <w:rPr>
          <w:rFonts w:ascii="Arial" w:hAnsi="Arial" w:cs="Arial"/>
          <w:i/>
          <w:iCs/>
        </w:rPr>
        <w:t>lactic-co-glycolic acid).</w:t>
      </w:r>
    </w:p>
    <w:p w14:paraId="3C37C6F8" w14:textId="77777777" w:rsidR="00FA1FB7" w:rsidRDefault="00FA1FB7" w:rsidP="00FA1FB7">
      <w:pPr>
        <w:jc w:val="both"/>
        <w:rPr>
          <w:rFonts w:ascii="Arial" w:hAnsi="Arial" w:cs="Arial"/>
        </w:rPr>
      </w:pPr>
    </w:p>
    <w:p w14:paraId="7924EFAB" w14:textId="77777777" w:rsidR="00FA1FB7" w:rsidRDefault="00FA1FB7" w:rsidP="00FA1FB7">
      <w:pPr>
        <w:jc w:val="both"/>
        <w:rPr>
          <w:rFonts w:ascii="Arial" w:hAnsi="Arial" w:cs="Arial"/>
        </w:rPr>
      </w:pPr>
    </w:p>
    <w:p w14:paraId="30A87B33" w14:textId="3FEFE9DD" w:rsidR="00FA1FB7" w:rsidRDefault="00FA1FB7" w:rsidP="007D53AA">
      <w:pPr>
        <w:jc w:val="center"/>
        <w:rPr>
          <w:rFonts w:ascii="Arial" w:hAnsi="Arial" w:cs="Arial"/>
        </w:rPr>
      </w:pPr>
      <w:r>
        <w:rPr>
          <w:rFonts w:ascii="Times New Roman" w:hAnsi="Times New Roman"/>
          <w:noProof/>
        </w:rPr>
        <w:drawing>
          <wp:inline distT="0" distB="0" distL="0" distR="0" wp14:anchorId="71EBA7FC" wp14:editId="545E2DE7">
            <wp:extent cx="5211844" cy="4981575"/>
            <wp:effectExtent l="0" t="0" r="0" b="0"/>
            <wp:docPr id="314618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18324" name="Picture 314618324"/>
                    <pic:cNvPicPr/>
                  </pic:nvPicPr>
                  <pic:blipFill rotWithShape="1">
                    <a:blip r:embed="rId15" cstate="print">
                      <a:extLst>
                        <a:ext uri="{28A0092B-C50C-407E-A947-70E740481C1C}">
                          <a14:useLocalDpi xmlns:a14="http://schemas.microsoft.com/office/drawing/2010/main" val="0"/>
                        </a:ext>
                      </a:extLst>
                    </a:blip>
                    <a:srcRect t="2656" b="3619"/>
                    <a:stretch>
                      <a:fillRect/>
                    </a:stretch>
                  </pic:blipFill>
                  <pic:spPr bwMode="auto">
                    <a:xfrm>
                      <a:off x="0" y="0"/>
                      <a:ext cx="5212080" cy="4981800"/>
                    </a:xfrm>
                    <a:prstGeom prst="rect">
                      <a:avLst/>
                    </a:prstGeom>
                    <a:ln>
                      <a:noFill/>
                    </a:ln>
                    <a:extLst>
                      <a:ext uri="{53640926-AAD7-44D8-BBD7-CCE9431645EC}">
                        <a14:shadowObscured xmlns:a14="http://schemas.microsoft.com/office/drawing/2010/main"/>
                      </a:ext>
                    </a:extLst>
                  </pic:spPr>
                </pic:pic>
              </a:graphicData>
            </a:graphic>
          </wp:inline>
        </w:drawing>
      </w:r>
    </w:p>
    <w:p w14:paraId="06166691" w14:textId="3B3B5679" w:rsidR="00C23E1D" w:rsidRPr="00C23E1D" w:rsidRDefault="00C23E1D" w:rsidP="00C23E1D">
      <w:pPr>
        <w:jc w:val="both"/>
        <w:rPr>
          <w:rFonts w:ascii="Arial" w:hAnsi="Arial" w:cs="Arial"/>
          <w:i/>
          <w:iCs/>
        </w:rPr>
      </w:pPr>
      <w:r w:rsidRPr="00C23E1D">
        <w:rPr>
          <w:rFonts w:ascii="Arial" w:hAnsi="Arial" w:cs="Arial"/>
          <w:b/>
          <w:bCs/>
        </w:rPr>
        <w:t xml:space="preserve">Fig. 8. Efficacy and specificity of nanocarrier-delivered RNAi for pest control. </w:t>
      </w:r>
      <w:r w:rsidRPr="00C23E1D">
        <w:rPr>
          <w:rFonts w:ascii="Arial" w:hAnsi="Arial" w:cs="Arial"/>
          <w:i/>
          <w:iCs/>
        </w:rPr>
        <w:t xml:space="preserve">The figure should show: </w:t>
      </w:r>
      <w:r w:rsidRPr="00C23E1D">
        <w:rPr>
          <w:rFonts w:ascii="Arial" w:hAnsi="Arial" w:cs="Arial"/>
          <w:b/>
          <w:bCs/>
          <w:i/>
          <w:iCs/>
        </w:rPr>
        <w:t xml:space="preserve">(A) </w:t>
      </w:r>
      <w:r w:rsidRPr="00C23E1D">
        <w:rPr>
          <w:rFonts w:ascii="Arial" w:hAnsi="Arial" w:cs="Arial"/>
          <w:i/>
          <w:iCs/>
        </w:rPr>
        <w:t xml:space="preserve">Gene expression knockdown levels (qPCR data) for target vs. non-target genes, </w:t>
      </w:r>
      <w:r w:rsidRPr="00C23E1D">
        <w:rPr>
          <w:rFonts w:ascii="Arial" w:hAnsi="Arial" w:cs="Arial"/>
          <w:b/>
          <w:bCs/>
          <w:i/>
          <w:iCs/>
        </w:rPr>
        <w:t>(B)</w:t>
      </w:r>
      <w:r w:rsidRPr="00C23E1D">
        <w:rPr>
          <w:rFonts w:ascii="Arial" w:hAnsi="Arial" w:cs="Arial"/>
          <w:i/>
          <w:iCs/>
        </w:rPr>
        <w:t xml:space="preserve"> Dose-response curves for mortality at different dsRNA concentrations, </w:t>
      </w:r>
      <w:r w:rsidRPr="00C23E1D">
        <w:rPr>
          <w:rFonts w:ascii="Arial" w:hAnsi="Arial" w:cs="Arial"/>
          <w:b/>
          <w:bCs/>
          <w:i/>
          <w:iCs/>
        </w:rPr>
        <w:t>(C)</w:t>
      </w:r>
      <w:r w:rsidRPr="00C23E1D">
        <w:rPr>
          <w:rFonts w:ascii="Arial" w:hAnsi="Arial" w:cs="Arial"/>
          <w:i/>
          <w:iCs/>
        </w:rPr>
        <w:t xml:space="preserve"> Time-course of gene silencing and phenotypic effects, </w:t>
      </w:r>
      <w:r w:rsidRPr="00C23E1D">
        <w:rPr>
          <w:rFonts w:ascii="Arial" w:hAnsi="Arial" w:cs="Arial"/>
          <w:b/>
          <w:bCs/>
          <w:i/>
          <w:iCs/>
        </w:rPr>
        <w:t>(D)</w:t>
      </w:r>
      <w:r w:rsidRPr="00C23E1D">
        <w:rPr>
          <w:rFonts w:ascii="Arial" w:hAnsi="Arial" w:cs="Arial"/>
          <w:i/>
          <w:iCs/>
        </w:rPr>
        <w:t xml:space="preserve"> Comparison of naked dsRNA vs. nanocarrier-delivered dsRNA stability and efficacy, and </w:t>
      </w:r>
      <w:r w:rsidRPr="00C23E1D">
        <w:rPr>
          <w:rFonts w:ascii="Arial" w:hAnsi="Arial" w:cs="Arial"/>
          <w:b/>
          <w:bCs/>
          <w:i/>
          <w:iCs/>
        </w:rPr>
        <w:t>(E)</w:t>
      </w:r>
      <w:r w:rsidRPr="00C23E1D">
        <w:rPr>
          <w:rFonts w:ascii="Arial" w:hAnsi="Arial" w:cs="Arial"/>
          <w:i/>
          <w:iCs/>
        </w:rPr>
        <w:t xml:space="preserve"> Species specificity assessment showing differential effects on target pest vs. beneficial insects.</w:t>
      </w:r>
    </w:p>
    <w:p w14:paraId="1FDD24EA" w14:textId="77777777" w:rsidR="00FA1FB7" w:rsidRPr="00C23E1D" w:rsidRDefault="00FA1FB7" w:rsidP="00FA1FB7">
      <w:pPr>
        <w:jc w:val="both"/>
        <w:rPr>
          <w:rFonts w:ascii="Arial" w:hAnsi="Arial" w:cs="Arial"/>
        </w:rPr>
      </w:pPr>
    </w:p>
    <w:p w14:paraId="40157D43" w14:textId="77777777" w:rsidR="00E053D0" w:rsidRDefault="00E053D0" w:rsidP="00441B6F">
      <w:pPr>
        <w:pStyle w:val="Body"/>
        <w:spacing w:after="0"/>
        <w:rPr>
          <w:rFonts w:ascii="Arial" w:hAnsi="Arial" w:cs="Arial"/>
        </w:rPr>
      </w:pPr>
    </w:p>
    <w:p w14:paraId="405A0F7C" w14:textId="77777777" w:rsidR="00141945" w:rsidRDefault="00141945" w:rsidP="00441B6F">
      <w:pPr>
        <w:pStyle w:val="Body"/>
        <w:spacing w:after="0"/>
        <w:rPr>
          <w:rFonts w:ascii="Arial" w:hAnsi="Arial" w:cs="Arial"/>
        </w:rPr>
      </w:pPr>
    </w:p>
    <w:p w14:paraId="4C1A44B7" w14:textId="77777777" w:rsidR="00141945" w:rsidRDefault="00141945" w:rsidP="00441B6F">
      <w:pPr>
        <w:pStyle w:val="Body"/>
        <w:spacing w:after="0"/>
        <w:rPr>
          <w:rFonts w:ascii="Arial" w:hAnsi="Arial" w:cs="Arial"/>
        </w:rPr>
      </w:pPr>
    </w:p>
    <w:p w14:paraId="525BAC36" w14:textId="77777777" w:rsidR="00141945" w:rsidRDefault="00141945" w:rsidP="00441B6F">
      <w:pPr>
        <w:pStyle w:val="Body"/>
        <w:spacing w:after="0"/>
        <w:rPr>
          <w:rFonts w:ascii="Arial" w:hAnsi="Arial" w:cs="Arial"/>
        </w:rPr>
      </w:pPr>
    </w:p>
    <w:p w14:paraId="6545C872" w14:textId="77777777" w:rsidR="00141945" w:rsidRDefault="00141945" w:rsidP="00441B6F">
      <w:pPr>
        <w:pStyle w:val="Body"/>
        <w:spacing w:after="0"/>
        <w:rPr>
          <w:rFonts w:ascii="Arial" w:hAnsi="Arial" w:cs="Arial"/>
        </w:rPr>
      </w:pPr>
    </w:p>
    <w:p w14:paraId="0CE5A5D0" w14:textId="77777777" w:rsidR="00141945" w:rsidRDefault="00141945" w:rsidP="00441B6F">
      <w:pPr>
        <w:pStyle w:val="Body"/>
        <w:spacing w:after="0"/>
        <w:rPr>
          <w:rFonts w:ascii="Arial" w:hAnsi="Arial" w:cs="Arial"/>
        </w:rPr>
      </w:pPr>
    </w:p>
    <w:p w14:paraId="22EFE70B" w14:textId="77777777" w:rsidR="00141945" w:rsidRDefault="00141945" w:rsidP="00441B6F">
      <w:pPr>
        <w:pStyle w:val="Body"/>
        <w:spacing w:after="0"/>
        <w:rPr>
          <w:rFonts w:ascii="Arial" w:hAnsi="Arial" w:cs="Arial"/>
        </w:rPr>
      </w:pPr>
    </w:p>
    <w:p w14:paraId="6313E215" w14:textId="77777777" w:rsidR="00141945" w:rsidRPr="00C23E1D" w:rsidRDefault="00141945" w:rsidP="00441B6F">
      <w:pPr>
        <w:pStyle w:val="Body"/>
        <w:spacing w:after="0"/>
        <w:rPr>
          <w:rFonts w:ascii="Arial" w:hAnsi="Arial" w:cs="Arial"/>
        </w:rPr>
      </w:pPr>
    </w:p>
    <w:p w14:paraId="3F2234E8" w14:textId="325230F0" w:rsidR="00C23E1D" w:rsidRPr="00C23E1D" w:rsidRDefault="00C23E1D" w:rsidP="00C23E1D">
      <w:pPr>
        <w:jc w:val="both"/>
        <w:rPr>
          <w:rFonts w:ascii="Arial" w:hAnsi="Arial" w:cs="Arial"/>
          <w:b/>
          <w:bCs/>
          <w:sz w:val="22"/>
          <w:szCs w:val="22"/>
        </w:rPr>
      </w:pPr>
      <w:r w:rsidRPr="00C23E1D">
        <w:rPr>
          <w:rFonts w:ascii="Arial" w:hAnsi="Arial" w:cs="Arial"/>
          <w:b/>
          <w:bCs/>
          <w:sz w:val="22"/>
          <w:szCs w:val="22"/>
        </w:rPr>
        <w:lastRenderedPageBreak/>
        <w:t>6. ENVIRONMENTAL SAFETY AND REGULATORY CONSIDERATIONS</w:t>
      </w:r>
    </w:p>
    <w:p w14:paraId="1E5474DC" w14:textId="77777777" w:rsidR="00C23E1D" w:rsidRPr="00C23E1D" w:rsidRDefault="00C23E1D" w:rsidP="00C23E1D">
      <w:pPr>
        <w:jc w:val="both"/>
        <w:rPr>
          <w:rFonts w:ascii="Arial" w:hAnsi="Arial" w:cs="Arial"/>
          <w:b/>
          <w:bCs/>
          <w:sz w:val="22"/>
          <w:szCs w:val="22"/>
        </w:rPr>
      </w:pPr>
      <w:r w:rsidRPr="00C23E1D">
        <w:rPr>
          <w:rFonts w:ascii="Arial" w:hAnsi="Arial" w:cs="Arial"/>
          <w:b/>
          <w:bCs/>
          <w:sz w:val="22"/>
          <w:szCs w:val="22"/>
        </w:rPr>
        <w:t>6.1 Potential Environmental Risks of Nanomaterials</w:t>
      </w:r>
    </w:p>
    <w:p w14:paraId="2913E7D3" w14:textId="77777777" w:rsidR="00C23E1D" w:rsidRPr="00C23E1D" w:rsidRDefault="00C23E1D" w:rsidP="00C23E1D">
      <w:pPr>
        <w:jc w:val="both"/>
        <w:rPr>
          <w:rFonts w:ascii="Arial" w:hAnsi="Arial" w:cs="Arial"/>
        </w:rPr>
      </w:pPr>
      <w:r w:rsidRPr="00C23E1D">
        <w:rPr>
          <w:rFonts w:ascii="Arial" w:hAnsi="Arial" w:cs="Arial"/>
        </w:rPr>
        <w:t>Despite the promising applications of nanotechnology in agriculture, potential environmental and ecological risks associated with nanomaterial release must be carefully evaluated. The persistence and accumulation of certain nanoparticles, particularly non-biodegradable metal and metal oxide nanoparticles, in agricultural soils raises concerns about long-term soil health and ecosystem function (Hajji-</w:t>
      </w:r>
      <w:proofErr w:type="spellStart"/>
      <w:r w:rsidRPr="00C23E1D">
        <w:rPr>
          <w:rFonts w:ascii="Arial" w:hAnsi="Arial" w:cs="Arial"/>
        </w:rPr>
        <w:t>Hedfi</w:t>
      </w:r>
      <w:proofErr w:type="spellEnd"/>
      <w:r w:rsidRPr="00C23E1D">
        <w:rPr>
          <w:rFonts w:ascii="Arial" w:hAnsi="Arial" w:cs="Arial"/>
        </w:rPr>
        <w:t xml:space="preserve"> &amp; </w:t>
      </w:r>
      <w:proofErr w:type="spellStart"/>
      <w:r w:rsidRPr="00C23E1D">
        <w:rPr>
          <w:rFonts w:ascii="Arial" w:hAnsi="Arial" w:cs="Arial"/>
        </w:rPr>
        <w:t>Chhipa</w:t>
      </w:r>
      <w:proofErr w:type="spellEnd"/>
      <w:r w:rsidRPr="00C23E1D">
        <w:rPr>
          <w:rFonts w:ascii="Arial" w:hAnsi="Arial" w:cs="Arial"/>
        </w:rPr>
        <w:t>, 2021). Toxicity to non-target organisms, including beneficial insects, soil microorganisms, and aquatic species, has been documented for several nanomaterial types at high concentrations, although effects at environmentally relevant concentrations remain incompletely characterized (</w:t>
      </w:r>
      <w:proofErr w:type="spellStart"/>
      <w:r w:rsidRPr="00C23E1D">
        <w:rPr>
          <w:rFonts w:ascii="Arial" w:hAnsi="Arial" w:cs="Arial"/>
        </w:rPr>
        <w:t>Mokrini</w:t>
      </w:r>
      <w:proofErr w:type="spellEnd"/>
      <w:r w:rsidRPr="00C23E1D">
        <w:rPr>
          <w:rFonts w:ascii="Arial" w:hAnsi="Arial" w:cs="Arial"/>
        </w:rPr>
        <w:t xml:space="preserve"> &amp; </w:t>
      </w:r>
      <w:proofErr w:type="spellStart"/>
      <w:r w:rsidRPr="00C23E1D">
        <w:rPr>
          <w:rFonts w:ascii="Arial" w:hAnsi="Arial" w:cs="Arial"/>
        </w:rPr>
        <w:t>Bouharroud</w:t>
      </w:r>
      <w:proofErr w:type="spellEnd"/>
      <w:r w:rsidRPr="00C23E1D">
        <w:rPr>
          <w:rFonts w:ascii="Arial" w:hAnsi="Arial" w:cs="Arial"/>
        </w:rPr>
        <w:t>, 2019). Potential for trophic transfer and bioaccumulation of nanoparticles through food chains could result in unexpected ecological consequences and food safety concerns (Hajji-</w:t>
      </w:r>
      <w:proofErr w:type="spellStart"/>
      <w:r w:rsidRPr="00C23E1D">
        <w:rPr>
          <w:rFonts w:ascii="Arial" w:hAnsi="Arial" w:cs="Arial"/>
        </w:rPr>
        <w:t>Hedfi</w:t>
      </w:r>
      <w:proofErr w:type="spellEnd"/>
      <w:r w:rsidRPr="00C23E1D">
        <w:rPr>
          <w:rFonts w:ascii="Arial" w:hAnsi="Arial" w:cs="Arial"/>
        </w:rPr>
        <w:t xml:space="preserve"> &amp; </w:t>
      </w:r>
      <w:proofErr w:type="spellStart"/>
      <w:r w:rsidRPr="00C23E1D">
        <w:rPr>
          <w:rFonts w:ascii="Arial" w:hAnsi="Arial" w:cs="Arial"/>
        </w:rPr>
        <w:t>Chhipa</w:t>
      </w:r>
      <w:proofErr w:type="spellEnd"/>
      <w:r w:rsidRPr="00C23E1D">
        <w:rPr>
          <w:rFonts w:ascii="Arial" w:hAnsi="Arial" w:cs="Arial"/>
        </w:rPr>
        <w:t>, 2021). Impacts on soil microbial communities, which are critical for nutrient cycling, organic matter decomposition, and plant health, require thorough assessment as some nanomaterials exhibit antimicrobial properties (</w:t>
      </w:r>
      <w:proofErr w:type="spellStart"/>
      <w:r w:rsidRPr="00C23E1D">
        <w:rPr>
          <w:rFonts w:ascii="Arial" w:hAnsi="Arial" w:cs="Arial"/>
        </w:rPr>
        <w:t>Mokrini</w:t>
      </w:r>
      <w:proofErr w:type="spellEnd"/>
      <w:r w:rsidRPr="00C23E1D">
        <w:rPr>
          <w:rFonts w:ascii="Arial" w:hAnsi="Arial" w:cs="Arial"/>
        </w:rPr>
        <w:t xml:space="preserve"> &amp; </w:t>
      </w:r>
      <w:proofErr w:type="spellStart"/>
      <w:r w:rsidRPr="00C23E1D">
        <w:rPr>
          <w:rFonts w:ascii="Arial" w:hAnsi="Arial" w:cs="Arial"/>
        </w:rPr>
        <w:t>Bouharroud</w:t>
      </w:r>
      <w:proofErr w:type="spellEnd"/>
      <w:r w:rsidRPr="00C23E1D">
        <w:rPr>
          <w:rFonts w:ascii="Arial" w:hAnsi="Arial" w:cs="Arial"/>
        </w:rPr>
        <w:t>, 2019). Phytotoxicity at elevated concentrations has been observed for certain nanoparticles, potentially affecting crop growth and productivity if application rates are not carefully controlled (Hajji-</w:t>
      </w:r>
      <w:proofErr w:type="spellStart"/>
      <w:r w:rsidRPr="00C23E1D">
        <w:rPr>
          <w:rFonts w:ascii="Arial" w:hAnsi="Arial" w:cs="Arial"/>
        </w:rPr>
        <w:t>Hedfi</w:t>
      </w:r>
      <w:proofErr w:type="spellEnd"/>
      <w:r w:rsidRPr="00C23E1D">
        <w:rPr>
          <w:rFonts w:ascii="Arial" w:hAnsi="Arial" w:cs="Arial"/>
        </w:rPr>
        <w:t xml:space="preserve"> &amp; </w:t>
      </w:r>
      <w:proofErr w:type="spellStart"/>
      <w:r w:rsidRPr="00C23E1D">
        <w:rPr>
          <w:rFonts w:ascii="Arial" w:hAnsi="Arial" w:cs="Arial"/>
        </w:rPr>
        <w:t>Chhipa</w:t>
      </w:r>
      <w:proofErr w:type="spellEnd"/>
      <w:r w:rsidRPr="00C23E1D">
        <w:rPr>
          <w:rFonts w:ascii="Arial" w:hAnsi="Arial" w:cs="Arial"/>
        </w:rPr>
        <w:t xml:space="preserve">, 2021). </w:t>
      </w:r>
      <w:r w:rsidRPr="00C23E1D">
        <w:rPr>
          <w:rFonts w:ascii="Arial" w:hAnsi="Arial" w:cs="Arial"/>
          <w:b/>
          <w:bCs/>
        </w:rPr>
        <w:t>Table 10</w:t>
      </w:r>
      <w:r w:rsidRPr="00C23E1D">
        <w:rPr>
          <w:rFonts w:ascii="Arial" w:hAnsi="Arial" w:cs="Arial"/>
        </w:rPr>
        <w:t> summarizes potential environmental risks and safety considerations for different nanomaterial classes.</w:t>
      </w:r>
    </w:p>
    <w:p w14:paraId="7BB16390" w14:textId="77777777" w:rsidR="00C23E1D" w:rsidRPr="00C23E1D" w:rsidRDefault="00C23E1D" w:rsidP="00C23E1D">
      <w:pPr>
        <w:jc w:val="both"/>
        <w:rPr>
          <w:rFonts w:ascii="Arial" w:hAnsi="Arial" w:cs="Arial"/>
        </w:rPr>
      </w:pPr>
    </w:p>
    <w:p w14:paraId="3AC2C61A" w14:textId="77777777" w:rsidR="00C23E1D" w:rsidRPr="00C23E1D" w:rsidRDefault="00C23E1D" w:rsidP="00C23E1D">
      <w:pPr>
        <w:jc w:val="both"/>
        <w:rPr>
          <w:rFonts w:ascii="Arial" w:hAnsi="Arial" w:cs="Arial"/>
        </w:rPr>
      </w:pPr>
    </w:p>
    <w:p w14:paraId="5D36ACC2" w14:textId="77777777" w:rsidR="00C23E1D" w:rsidRPr="00C23E1D" w:rsidRDefault="00C23E1D" w:rsidP="00C23E1D">
      <w:pPr>
        <w:jc w:val="both"/>
        <w:rPr>
          <w:rFonts w:ascii="Arial" w:hAnsi="Arial" w:cs="Arial"/>
        </w:rPr>
      </w:pPr>
      <w:r w:rsidRPr="00C23E1D">
        <w:rPr>
          <w:rFonts w:ascii="Arial" w:hAnsi="Arial" w:cs="Arial"/>
          <w:b/>
          <w:bCs/>
        </w:rPr>
        <w:t>Table 10.</w:t>
      </w:r>
      <w:r w:rsidRPr="00C23E1D">
        <w:rPr>
          <w:rFonts w:ascii="Arial" w:hAnsi="Arial" w:cs="Arial"/>
        </w:rPr>
        <w:t> Environmental Risks and Safety Considerations for Agricultural Nanomaterials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1373"/>
        <w:gridCol w:w="1309"/>
        <w:gridCol w:w="1483"/>
        <w:gridCol w:w="1244"/>
        <w:gridCol w:w="1547"/>
        <w:gridCol w:w="1456"/>
        <w:gridCol w:w="1125"/>
      </w:tblGrid>
      <w:tr w:rsidR="00C23E1D" w:rsidRPr="00C23E1D" w14:paraId="5794B1FE" w14:textId="77777777" w:rsidTr="00C23E1D">
        <w:trPr>
          <w:trHeight w:val="600"/>
        </w:trPr>
        <w:tc>
          <w:tcPr>
            <w:tcW w:w="0" w:type="auto"/>
            <w:tcBorders>
              <w:top w:val="single" w:sz="4" w:space="0" w:color="auto"/>
              <w:bottom w:val="single" w:sz="4" w:space="0" w:color="auto"/>
            </w:tcBorders>
            <w:hideMark/>
          </w:tcPr>
          <w:p w14:paraId="158E7C19"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Nanomaterial Class</w:t>
            </w:r>
          </w:p>
        </w:tc>
        <w:tc>
          <w:tcPr>
            <w:tcW w:w="0" w:type="auto"/>
            <w:tcBorders>
              <w:top w:val="single" w:sz="4" w:space="0" w:color="auto"/>
              <w:bottom w:val="single" w:sz="4" w:space="0" w:color="auto"/>
            </w:tcBorders>
            <w:hideMark/>
          </w:tcPr>
          <w:p w14:paraId="163B9AF5"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Environmental Persistence</w:t>
            </w:r>
          </w:p>
        </w:tc>
        <w:tc>
          <w:tcPr>
            <w:tcW w:w="0" w:type="auto"/>
            <w:tcBorders>
              <w:top w:val="single" w:sz="4" w:space="0" w:color="auto"/>
              <w:bottom w:val="single" w:sz="4" w:space="0" w:color="auto"/>
            </w:tcBorders>
            <w:hideMark/>
          </w:tcPr>
          <w:p w14:paraId="07B4749C"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Soil Accumulation Risk</w:t>
            </w:r>
          </w:p>
        </w:tc>
        <w:tc>
          <w:tcPr>
            <w:tcW w:w="0" w:type="auto"/>
            <w:tcBorders>
              <w:top w:val="single" w:sz="4" w:space="0" w:color="auto"/>
              <w:bottom w:val="single" w:sz="4" w:space="0" w:color="auto"/>
            </w:tcBorders>
            <w:hideMark/>
          </w:tcPr>
          <w:p w14:paraId="30EA42B7"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Non-Target Toxicity</w:t>
            </w:r>
          </w:p>
        </w:tc>
        <w:tc>
          <w:tcPr>
            <w:tcW w:w="0" w:type="auto"/>
            <w:tcBorders>
              <w:top w:val="single" w:sz="4" w:space="0" w:color="auto"/>
              <w:bottom w:val="single" w:sz="4" w:space="0" w:color="auto"/>
            </w:tcBorders>
            <w:hideMark/>
          </w:tcPr>
          <w:p w14:paraId="260E293E"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Aquatic Toxicity</w:t>
            </w:r>
          </w:p>
        </w:tc>
        <w:tc>
          <w:tcPr>
            <w:tcW w:w="0" w:type="auto"/>
            <w:tcBorders>
              <w:top w:val="single" w:sz="4" w:space="0" w:color="auto"/>
              <w:bottom w:val="single" w:sz="4" w:space="0" w:color="auto"/>
            </w:tcBorders>
            <w:hideMark/>
          </w:tcPr>
          <w:p w14:paraId="0851034C"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Bioaccumulation Potential</w:t>
            </w:r>
          </w:p>
        </w:tc>
        <w:tc>
          <w:tcPr>
            <w:tcW w:w="0" w:type="auto"/>
            <w:tcBorders>
              <w:top w:val="single" w:sz="4" w:space="0" w:color="auto"/>
              <w:bottom w:val="single" w:sz="4" w:space="0" w:color="auto"/>
            </w:tcBorders>
            <w:hideMark/>
          </w:tcPr>
          <w:p w14:paraId="26F830EF"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Mitigation Strategies</w:t>
            </w:r>
          </w:p>
        </w:tc>
        <w:tc>
          <w:tcPr>
            <w:tcW w:w="887" w:type="dxa"/>
            <w:tcBorders>
              <w:top w:val="single" w:sz="4" w:space="0" w:color="auto"/>
              <w:bottom w:val="single" w:sz="4" w:space="0" w:color="auto"/>
            </w:tcBorders>
            <w:hideMark/>
          </w:tcPr>
          <w:p w14:paraId="1A7A0EC1"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References</w:t>
            </w:r>
          </w:p>
        </w:tc>
      </w:tr>
      <w:tr w:rsidR="00C23E1D" w:rsidRPr="00C23E1D" w14:paraId="1D2810BE" w14:textId="77777777" w:rsidTr="00C23E1D">
        <w:tc>
          <w:tcPr>
            <w:tcW w:w="0" w:type="auto"/>
            <w:tcBorders>
              <w:top w:val="single" w:sz="4" w:space="0" w:color="auto"/>
            </w:tcBorders>
            <w:hideMark/>
          </w:tcPr>
          <w:p w14:paraId="7E7D39BB"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Silver NPs</w:t>
            </w:r>
          </w:p>
        </w:tc>
        <w:tc>
          <w:tcPr>
            <w:tcW w:w="0" w:type="auto"/>
            <w:tcBorders>
              <w:top w:val="single" w:sz="4" w:space="0" w:color="auto"/>
            </w:tcBorders>
            <w:hideMark/>
          </w:tcPr>
          <w:p w14:paraId="251CC0A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 to high (months to years)</w:t>
            </w:r>
          </w:p>
        </w:tc>
        <w:tc>
          <w:tcPr>
            <w:tcW w:w="0" w:type="auto"/>
            <w:tcBorders>
              <w:top w:val="single" w:sz="4" w:space="0" w:color="auto"/>
            </w:tcBorders>
            <w:hideMark/>
          </w:tcPr>
          <w:p w14:paraId="5B18B5E4"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w:t>
            </w:r>
          </w:p>
        </w:tc>
        <w:tc>
          <w:tcPr>
            <w:tcW w:w="0" w:type="auto"/>
            <w:tcBorders>
              <w:top w:val="single" w:sz="4" w:space="0" w:color="auto"/>
            </w:tcBorders>
            <w:hideMark/>
          </w:tcPr>
          <w:p w14:paraId="5E06CE2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 to high (bacteria, algae, invertebrates)</w:t>
            </w:r>
          </w:p>
        </w:tc>
        <w:tc>
          <w:tcPr>
            <w:tcW w:w="0" w:type="auto"/>
            <w:tcBorders>
              <w:top w:val="single" w:sz="4" w:space="0" w:color="auto"/>
            </w:tcBorders>
            <w:hideMark/>
          </w:tcPr>
          <w:p w14:paraId="461ED42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 (fish, crustaceans)</w:t>
            </w:r>
          </w:p>
        </w:tc>
        <w:tc>
          <w:tcPr>
            <w:tcW w:w="0" w:type="auto"/>
            <w:tcBorders>
              <w:top w:val="single" w:sz="4" w:space="0" w:color="auto"/>
            </w:tcBorders>
            <w:hideMark/>
          </w:tcPr>
          <w:p w14:paraId="27BEBCC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w:t>
            </w:r>
          </w:p>
        </w:tc>
        <w:tc>
          <w:tcPr>
            <w:tcW w:w="0" w:type="auto"/>
            <w:tcBorders>
              <w:top w:val="single" w:sz="4" w:space="0" w:color="auto"/>
            </w:tcBorders>
            <w:hideMark/>
          </w:tcPr>
          <w:p w14:paraId="5B5D16D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Use biodegradable coatings; limit application rates; avoid water body proximity</w:t>
            </w:r>
          </w:p>
        </w:tc>
        <w:tc>
          <w:tcPr>
            <w:tcW w:w="887" w:type="dxa"/>
            <w:tcBorders>
              <w:top w:val="single" w:sz="4" w:space="0" w:color="auto"/>
            </w:tcBorders>
            <w:hideMark/>
          </w:tcPr>
          <w:p w14:paraId="1D428D0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Hajji-</w:t>
            </w:r>
            <w:proofErr w:type="spellStart"/>
            <w:r w:rsidRPr="00C23E1D">
              <w:rPr>
                <w:rFonts w:ascii="Arial" w:hAnsi="Arial" w:cs="Arial"/>
                <w:sz w:val="20"/>
                <w:szCs w:val="20"/>
              </w:rPr>
              <w:t>Hedfi</w:t>
            </w:r>
            <w:proofErr w:type="spellEnd"/>
            <w:r w:rsidRPr="00C23E1D">
              <w:rPr>
                <w:rFonts w:ascii="Arial" w:hAnsi="Arial" w:cs="Arial"/>
                <w:sz w:val="20"/>
                <w:szCs w:val="20"/>
              </w:rPr>
              <w:t xml:space="preserve"> &amp; </w:t>
            </w:r>
            <w:proofErr w:type="spellStart"/>
            <w:r w:rsidRPr="00C23E1D">
              <w:rPr>
                <w:rFonts w:ascii="Arial" w:hAnsi="Arial" w:cs="Arial"/>
                <w:sz w:val="20"/>
                <w:szCs w:val="20"/>
              </w:rPr>
              <w:t>Chhipa</w:t>
            </w:r>
            <w:proofErr w:type="spellEnd"/>
            <w:r w:rsidRPr="00C23E1D">
              <w:rPr>
                <w:rFonts w:ascii="Arial" w:hAnsi="Arial" w:cs="Arial"/>
                <w:sz w:val="20"/>
                <w:szCs w:val="20"/>
              </w:rPr>
              <w:t xml:space="preserve">, 2021; </w:t>
            </w:r>
            <w:proofErr w:type="spellStart"/>
            <w:r w:rsidRPr="00C23E1D">
              <w:rPr>
                <w:rFonts w:ascii="Arial" w:hAnsi="Arial" w:cs="Arial"/>
                <w:sz w:val="20"/>
                <w:szCs w:val="20"/>
              </w:rPr>
              <w:t>Mokrini</w:t>
            </w:r>
            <w:proofErr w:type="spellEnd"/>
            <w:r w:rsidRPr="00C23E1D">
              <w:rPr>
                <w:rFonts w:ascii="Arial" w:hAnsi="Arial" w:cs="Arial"/>
                <w:sz w:val="20"/>
                <w:szCs w:val="20"/>
              </w:rPr>
              <w:t xml:space="preserve"> &amp; </w:t>
            </w:r>
            <w:proofErr w:type="spellStart"/>
            <w:r w:rsidRPr="00C23E1D">
              <w:rPr>
                <w:rFonts w:ascii="Arial" w:hAnsi="Arial" w:cs="Arial"/>
                <w:sz w:val="20"/>
                <w:szCs w:val="20"/>
              </w:rPr>
              <w:t>Bouharroud</w:t>
            </w:r>
            <w:proofErr w:type="spellEnd"/>
            <w:r w:rsidRPr="00C23E1D">
              <w:rPr>
                <w:rFonts w:ascii="Arial" w:hAnsi="Arial" w:cs="Arial"/>
                <w:sz w:val="20"/>
                <w:szCs w:val="20"/>
              </w:rPr>
              <w:t>, 2019</w:t>
            </w:r>
          </w:p>
        </w:tc>
      </w:tr>
      <w:tr w:rsidR="00C23E1D" w:rsidRPr="00C23E1D" w14:paraId="0C3418C8" w14:textId="77777777" w:rsidTr="00C23E1D">
        <w:tc>
          <w:tcPr>
            <w:tcW w:w="0" w:type="auto"/>
            <w:hideMark/>
          </w:tcPr>
          <w:p w14:paraId="25171767"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Copper NPs</w:t>
            </w:r>
          </w:p>
        </w:tc>
        <w:tc>
          <w:tcPr>
            <w:tcW w:w="0" w:type="auto"/>
            <w:hideMark/>
          </w:tcPr>
          <w:p w14:paraId="01E97DB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 (years)</w:t>
            </w:r>
          </w:p>
        </w:tc>
        <w:tc>
          <w:tcPr>
            <w:tcW w:w="0" w:type="auto"/>
            <w:hideMark/>
          </w:tcPr>
          <w:p w14:paraId="7589CC1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w:t>
            </w:r>
          </w:p>
        </w:tc>
        <w:tc>
          <w:tcPr>
            <w:tcW w:w="0" w:type="auto"/>
            <w:hideMark/>
          </w:tcPr>
          <w:p w14:paraId="4268A2E5"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 (microorganisms, earthworms)</w:t>
            </w:r>
          </w:p>
        </w:tc>
        <w:tc>
          <w:tcPr>
            <w:tcW w:w="0" w:type="auto"/>
            <w:hideMark/>
          </w:tcPr>
          <w:p w14:paraId="433E0FAC"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 (fish, algae)</w:t>
            </w:r>
          </w:p>
        </w:tc>
        <w:tc>
          <w:tcPr>
            <w:tcW w:w="0" w:type="auto"/>
            <w:hideMark/>
          </w:tcPr>
          <w:p w14:paraId="3EEC0337"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w:t>
            </w:r>
          </w:p>
        </w:tc>
        <w:tc>
          <w:tcPr>
            <w:tcW w:w="0" w:type="auto"/>
            <w:hideMark/>
          </w:tcPr>
          <w:p w14:paraId="7F4424A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Monitor soil Cu levels; use precision application; alternate with other materials</w:t>
            </w:r>
          </w:p>
        </w:tc>
        <w:tc>
          <w:tcPr>
            <w:tcW w:w="887" w:type="dxa"/>
            <w:hideMark/>
          </w:tcPr>
          <w:p w14:paraId="743E118C"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Hajji-</w:t>
            </w:r>
            <w:proofErr w:type="spellStart"/>
            <w:r w:rsidRPr="00C23E1D">
              <w:rPr>
                <w:rFonts w:ascii="Arial" w:hAnsi="Arial" w:cs="Arial"/>
                <w:sz w:val="20"/>
                <w:szCs w:val="20"/>
              </w:rPr>
              <w:t>Hedfi</w:t>
            </w:r>
            <w:proofErr w:type="spellEnd"/>
            <w:r w:rsidRPr="00C23E1D">
              <w:rPr>
                <w:rFonts w:ascii="Arial" w:hAnsi="Arial" w:cs="Arial"/>
                <w:sz w:val="20"/>
                <w:szCs w:val="20"/>
              </w:rPr>
              <w:t xml:space="preserve"> &amp; </w:t>
            </w:r>
            <w:proofErr w:type="spellStart"/>
            <w:r w:rsidRPr="00C23E1D">
              <w:rPr>
                <w:rFonts w:ascii="Arial" w:hAnsi="Arial" w:cs="Arial"/>
                <w:sz w:val="20"/>
                <w:szCs w:val="20"/>
              </w:rPr>
              <w:t>Chhipa</w:t>
            </w:r>
            <w:proofErr w:type="spellEnd"/>
            <w:r w:rsidRPr="00C23E1D">
              <w:rPr>
                <w:rFonts w:ascii="Arial" w:hAnsi="Arial" w:cs="Arial"/>
                <w:sz w:val="20"/>
                <w:szCs w:val="20"/>
              </w:rPr>
              <w:t>, 2021</w:t>
            </w:r>
          </w:p>
        </w:tc>
      </w:tr>
      <w:tr w:rsidR="00C23E1D" w:rsidRPr="00C23E1D" w14:paraId="754564CD" w14:textId="77777777" w:rsidTr="00C23E1D">
        <w:tc>
          <w:tcPr>
            <w:tcW w:w="0" w:type="auto"/>
            <w:hideMark/>
          </w:tcPr>
          <w:p w14:paraId="45A759F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Zinc Oxide NPs</w:t>
            </w:r>
          </w:p>
        </w:tc>
        <w:tc>
          <w:tcPr>
            <w:tcW w:w="0" w:type="auto"/>
            <w:hideMark/>
          </w:tcPr>
          <w:p w14:paraId="40324F9D"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 (months)</w:t>
            </w:r>
          </w:p>
        </w:tc>
        <w:tc>
          <w:tcPr>
            <w:tcW w:w="0" w:type="auto"/>
            <w:hideMark/>
          </w:tcPr>
          <w:p w14:paraId="6525047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w:t>
            </w:r>
          </w:p>
        </w:tc>
        <w:tc>
          <w:tcPr>
            <w:tcW w:w="0" w:type="auto"/>
            <w:hideMark/>
          </w:tcPr>
          <w:p w14:paraId="582824B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 (beneficial insects, microbes)</w:t>
            </w:r>
          </w:p>
        </w:tc>
        <w:tc>
          <w:tcPr>
            <w:tcW w:w="0" w:type="auto"/>
            <w:hideMark/>
          </w:tcPr>
          <w:p w14:paraId="17145246"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 to high</w:t>
            </w:r>
          </w:p>
        </w:tc>
        <w:tc>
          <w:tcPr>
            <w:tcW w:w="0" w:type="auto"/>
            <w:hideMark/>
          </w:tcPr>
          <w:p w14:paraId="01A51536"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Low to moderate</w:t>
            </w:r>
          </w:p>
        </w:tc>
        <w:tc>
          <w:tcPr>
            <w:tcW w:w="0" w:type="auto"/>
            <w:hideMark/>
          </w:tcPr>
          <w:p w14:paraId="352B5A9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Optimize dose; consider Zn fertilization needs; avoid excessive applications</w:t>
            </w:r>
          </w:p>
        </w:tc>
        <w:tc>
          <w:tcPr>
            <w:tcW w:w="887" w:type="dxa"/>
            <w:hideMark/>
          </w:tcPr>
          <w:p w14:paraId="5B3E04A7" w14:textId="77777777" w:rsidR="00C23E1D" w:rsidRPr="00C23E1D" w:rsidRDefault="00C23E1D" w:rsidP="00C04C25">
            <w:pPr>
              <w:spacing w:after="160" w:line="278" w:lineRule="auto"/>
              <w:jc w:val="both"/>
              <w:rPr>
                <w:rFonts w:ascii="Arial" w:hAnsi="Arial" w:cs="Arial"/>
                <w:sz w:val="20"/>
                <w:szCs w:val="20"/>
              </w:rPr>
            </w:pPr>
            <w:proofErr w:type="spellStart"/>
            <w:r w:rsidRPr="00C23E1D">
              <w:rPr>
                <w:rFonts w:ascii="Arial" w:hAnsi="Arial" w:cs="Arial"/>
                <w:sz w:val="20"/>
                <w:szCs w:val="20"/>
              </w:rPr>
              <w:t>Mokrini</w:t>
            </w:r>
            <w:proofErr w:type="spellEnd"/>
            <w:r w:rsidRPr="00C23E1D">
              <w:rPr>
                <w:rFonts w:ascii="Arial" w:hAnsi="Arial" w:cs="Arial"/>
                <w:sz w:val="20"/>
                <w:szCs w:val="20"/>
              </w:rPr>
              <w:t xml:space="preserve"> &amp; </w:t>
            </w:r>
            <w:proofErr w:type="spellStart"/>
            <w:r w:rsidRPr="00C23E1D">
              <w:rPr>
                <w:rFonts w:ascii="Arial" w:hAnsi="Arial" w:cs="Arial"/>
                <w:sz w:val="20"/>
                <w:szCs w:val="20"/>
              </w:rPr>
              <w:t>Bouharroud</w:t>
            </w:r>
            <w:proofErr w:type="spellEnd"/>
            <w:r w:rsidRPr="00C23E1D">
              <w:rPr>
                <w:rFonts w:ascii="Arial" w:hAnsi="Arial" w:cs="Arial"/>
                <w:sz w:val="20"/>
                <w:szCs w:val="20"/>
              </w:rPr>
              <w:t>, 2019</w:t>
            </w:r>
          </w:p>
        </w:tc>
      </w:tr>
      <w:tr w:rsidR="00C23E1D" w:rsidRPr="00C23E1D" w14:paraId="3C6CEA73" w14:textId="77777777" w:rsidTr="00C23E1D">
        <w:tc>
          <w:tcPr>
            <w:tcW w:w="0" w:type="auto"/>
            <w:hideMark/>
          </w:tcPr>
          <w:p w14:paraId="023904D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Titanium Dioxide NPs</w:t>
            </w:r>
          </w:p>
        </w:tc>
        <w:tc>
          <w:tcPr>
            <w:tcW w:w="0" w:type="auto"/>
            <w:hideMark/>
          </w:tcPr>
          <w:p w14:paraId="607A483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Very high (years)</w:t>
            </w:r>
          </w:p>
        </w:tc>
        <w:tc>
          <w:tcPr>
            <w:tcW w:w="0" w:type="auto"/>
            <w:hideMark/>
          </w:tcPr>
          <w:p w14:paraId="4E328AE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w:t>
            </w:r>
          </w:p>
        </w:tc>
        <w:tc>
          <w:tcPr>
            <w:tcW w:w="0" w:type="auto"/>
            <w:hideMark/>
          </w:tcPr>
          <w:p w14:paraId="0408A87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Low to moderate</w:t>
            </w:r>
          </w:p>
        </w:tc>
        <w:tc>
          <w:tcPr>
            <w:tcW w:w="0" w:type="auto"/>
            <w:hideMark/>
          </w:tcPr>
          <w:p w14:paraId="5B3405E5"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 (phototoxicity)</w:t>
            </w:r>
          </w:p>
        </w:tc>
        <w:tc>
          <w:tcPr>
            <w:tcW w:w="0" w:type="auto"/>
            <w:hideMark/>
          </w:tcPr>
          <w:p w14:paraId="75D2F72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Low</w:t>
            </w:r>
          </w:p>
        </w:tc>
        <w:tc>
          <w:tcPr>
            <w:tcW w:w="0" w:type="auto"/>
            <w:hideMark/>
          </w:tcPr>
          <w:p w14:paraId="3960B8FC"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Use in targeted applications; avoid broadcast application; monitor accumulation</w:t>
            </w:r>
          </w:p>
        </w:tc>
        <w:tc>
          <w:tcPr>
            <w:tcW w:w="887" w:type="dxa"/>
            <w:hideMark/>
          </w:tcPr>
          <w:p w14:paraId="4EA57456"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Hajji-</w:t>
            </w:r>
            <w:proofErr w:type="spellStart"/>
            <w:r w:rsidRPr="00C23E1D">
              <w:rPr>
                <w:rFonts w:ascii="Arial" w:hAnsi="Arial" w:cs="Arial"/>
                <w:sz w:val="20"/>
                <w:szCs w:val="20"/>
              </w:rPr>
              <w:t>Hedfi</w:t>
            </w:r>
            <w:proofErr w:type="spellEnd"/>
            <w:r w:rsidRPr="00C23E1D">
              <w:rPr>
                <w:rFonts w:ascii="Arial" w:hAnsi="Arial" w:cs="Arial"/>
                <w:sz w:val="20"/>
                <w:szCs w:val="20"/>
              </w:rPr>
              <w:t xml:space="preserve"> &amp; </w:t>
            </w:r>
            <w:proofErr w:type="spellStart"/>
            <w:r w:rsidRPr="00C23E1D">
              <w:rPr>
                <w:rFonts w:ascii="Arial" w:hAnsi="Arial" w:cs="Arial"/>
                <w:sz w:val="20"/>
                <w:szCs w:val="20"/>
              </w:rPr>
              <w:t>Chhipa</w:t>
            </w:r>
            <w:proofErr w:type="spellEnd"/>
            <w:r w:rsidRPr="00C23E1D">
              <w:rPr>
                <w:rFonts w:ascii="Arial" w:hAnsi="Arial" w:cs="Arial"/>
                <w:sz w:val="20"/>
                <w:szCs w:val="20"/>
              </w:rPr>
              <w:t>, 2021</w:t>
            </w:r>
          </w:p>
        </w:tc>
      </w:tr>
      <w:tr w:rsidR="00C23E1D" w:rsidRPr="00C23E1D" w14:paraId="5C735F49" w14:textId="77777777" w:rsidTr="00C23E1D">
        <w:tc>
          <w:tcPr>
            <w:tcW w:w="0" w:type="auto"/>
            <w:hideMark/>
          </w:tcPr>
          <w:p w14:paraId="396B0423"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lastRenderedPageBreak/>
              <w:t>Carbon Nanotubes</w:t>
            </w:r>
          </w:p>
        </w:tc>
        <w:tc>
          <w:tcPr>
            <w:tcW w:w="0" w:type="auto"/>
            <w:hideMark/>
          </w:tcPr>
          <w:p w14:paraId="598A7BB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Very high (persistent)</w:t>
            </w:r>
          </w:p>
        </w:tc>
        <w:tc>
          <w:tcPr>
            <w:tcW w:w="0" w:type="auto"/>
            <w:hideMark/>
          </w:tcPr>
          <w:p w14:paraId="30B8325B"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w:t>
            </w:r>
          </w:p>
        </w:tc>
        <w:tc>
          <w:tcPr>
            <w:tcW w:w="0" w:type="auto"/>
            <w:hideMark/>
          </w:tcPr>
          <w:p w14:paraId="2570ACF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 (respiratory effects in mammals)</w:t>
            </w:r>
          </w:p>
        </w:tc>
        <w:tc>
          <w:tcPr>
            <w:tcW w:w="0" w:type="auto"/>
            <w:hideMark/>
          </w:tcPr>
          <w:p w14:paraId="6EA86CC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w:t>
            </w:r>
          </w:p>
        </w:tc>
        <w:tc>
          <w:tcPr>
            <w:tcW w:w="0" w:type="auto"/>
            <w:hideMark/>
          </w:tcPr>
          <w:p w14:paraId="4E60E69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Low</w:t>
            </w:r>
          </w:p>
        </w:tc>
        <w:tc>
          <w:tcPr>
            <w:tcW w:w="0" w:type="auto"/>
            <w:hideMark/>
          </w:tcPr>
          <w:p w14:paraId="767B8EA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Functionalization for biodegradation; controlled release systems; limit environmental release</w:t>
            </w:r>
          </w:p>
        </w:tc>
        <w:tc>
          <w:tcPr>
            <w:tcW w:w="887" w:type="dxa"/>
            <w:hideMark/>
          </w:tcPr>
          <w:p w14:paraId="7D1CFF19" w14:textId="77777777" w:rsidR="00C23E1D" w:rsidRPr="00C23E1D" w:rsidRDefault="00C23E1D" w:rsidP="00C04C25">
            <w:pPr>
              <w:spacing w:after="160" w:line="278" w:lineRule="auto"/>
              <w:jc w:val="both"/>
              <w:rPr>
                <w:rFonts w:ascii="Arial" w:hAnsi="Arial" w:cs="Arial"/>
                <w:sz w:val="20"/>
                <w:szCs w:val="20"/>
              </w:rPr>
            </w:pPr>
            <w:proofErr w:type="spellStart"/>
            <w:r w:rsidRPr="00C23E1D">
              <w:rPr>
                <w:rFonts w:ascii="Arial" w:hAnsi="Arial" w:cs="Arial"/>
                <w:sz w:val="20"/>
                <w:szCs w:val="20"/>
              </w:rPr>
              <w:t>Mokrini</w:t>
            </w:r>
            <w:proofErr w:type="spellEnd"/>
            <w:r w:rsidRPr="00C23E1D">
              <w:rPr>
                <w:rFonts w:ascii="Arial" w:hAnsi="Arial" w:cs="Arial"/>
                <w:sz w:val="20"/>
                <w:szCs w:val="20"/>
              </w:rPr>
              <w:t xml:space="preserve"> &amp; </w:t>
            </w:r>
            <w:proofErr w:type="spellStart"/>
            <w:r w:rsidRPr="00C23E1D">
              <w:rPr>
                <w:rFonts w:ascii="Arial" w:hAnsi="Arial" w:cs="Arial"/>
                <w:sz w:val="20"/>
                <w:szCs w:val="20"/>
              </w:rPr>
              <w:t>Bouharroud</w:t>
            </w:r>
            <w:proofErr w:type="spellEnd"/>
            <w:r w:rsidRPr="00C23E1D">
              <w:rPr>
                <w:rFonts w:ascii="Arial" w:hAnsi="Arial" w:cs="Arial"/>
                <w:sz w:val="20"/>
                <w:szCs w:val="20"/>
              </w:rPr>
              <w:t>, 2019</w:t>
            </w:r>
          </w:p>
        </w:tc>
      </w:tr>
      <w:tr w:rsidR="00C23E1D" w:rsidRPr="00C23E1D" w14:paraId="03B89D1B" w14:textId="77777777" w:rsidTr="00C23E1D">
        <w:tc>
          <w:tcPr>
            <w:tcW w:w="0" w:type="auto"/>
            <w:hideMark/>
          </w:tcPr>
          <w:p w14:paraId="511B617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Chitosan NPs</w:t>
            </w:r>
          </w:p>
        </w:tc>
        <w:tc>
          <w:tcPr>
            <w:tcW w:w="0" w:type="auto"/>
            <w:hideMark/>
          </w:tcPr>
          <w:p w14:paraId="2275F17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Low (biodegradable)</w:t>
            </w:r>
          </w:p>
        </w:tc>
        <w:tc>
          <w:tcPr>
            <w:tcW w:w="0" w:type="auto"/>
            <w:hideMark/>
          </w:tcPr>
          <w:p w14:paraId="21BC10C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Low</w:t>
            </w:r>
          </w:p>
        </w:tc>
        <w:tc>
          <w:tcPr>
            <w:tcW w:w="0" w:type="auto"/>
            <w:hideMark/>
          </w:tcPr>
          <w:p w14:paraId="46DD94BD"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Low (biocompatible)</w:t>
            </w:r>
          </w:p>
        </w:tc>
        <w:tc>
          <w:tcPr>
            <w:tcW w:w="0" w:type="auto"/>
            <w:hideMark/>
          </w:tcPr>
          <w:p w14:paraId="3D9FF1B3"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Low</w:t>
            </w:r>
          </w:p>
        </w:tc>
        <w:tc>
          <w:tcPr>
            <w:tcW w:w="0" w:type="auto"/>
            <w:hideMark/>
          </w:tcPr>
          <w:p w14:paraId="3C082E1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Very low</w:t>
            </w:r>
          </w:p>
        </w:tc>
        <w:tc>
          <w:tcPr>
            <w:tcW w:w="0" w:type="auto"/>
            <w:hideMark/>
          </w:tcPr>
          <w:p w14:paraId="20DD7FA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Preferred for eco-friendly applications; optimize degradation rate</w:t>
            </w:r>
          </w:p>
        </w:tc>
        <w:tc>
          <w:tcPr>
            <w:tcW w:w="887" w:type="dxa"/>
            <w:hideMark/>
          </w:tcPr>
          <w:p w14:paraId="6C75F15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Hajji-</w:t>
            </w:r>
            <w:proofErr w:type="spellStart"/>
            <w:r w:rsidRPr="00C23E1D">
              <w:rPr>
                <w:rFonts w:ascii="Arial" w:hAnsi="Arial" w:cs="Arial"/>
                <w:sz w:val="20"/>
                <w:szCs w:val="20"/>
              </w:rPr>
              <w:t>Hedfi</w:t>
            </w:r>
            <w:proofErr w:type="spellEnd"/>
            <w:r w:rsidRPr="00C23E1D">
              <w:rPr>
                <w:rFonts w:ascii="Arial" w:hAnsi="Arial" w:cs="Arial"/>
                <w:sz w:val="20"/>
                <w:szCs w:val="20"/>
              </w:rPr>
              <w:t xml:space="preserve"> &amp; </w:t>
            </w:r>
            <w:proofErr w:type="spellStart"/>
            <w:r w:rsidRPr="00C23E1D">
              <w:rPr>
                <w:rFonts w:ascii="Arial" w:hAnsi="Arial" w:cs="Arial"/>
                <w:sz w:val="20"/>
                <w:szCs w:val="20"/>
              </w:rPr>
              <w:t>Chhipa</w:t>
            </w:r>
            <w:proofErr w:type="spellEnd"/>
            <w:r w:rsidRPr="00C23E1D">
              <w:rPr>
                <w:rFonts w:ascii="Arial" w:hAnsi="Arial" w:cs="Arial"/>
                <w:sz w:val="20"/>
                <w:szCs w:val="20"/>
              </w:rPr>
              <w:t>, 2021</w:t>
            </w:r>
          </w:p>
        </w:tc>
      </w:tr>
      <w:tr w:rsidR="00C23E1D" w:rsidRPr="00C23E1D" w14:paraId="226EBD5B" w14:textId="77777777" w:rsidTr="00C23E1D">
        <w:tc>
          <w:tcPr>
            <w:tcW w:w="0" w:type="auto"/>
            <w:hideMark/>
          </w:tcPr>
          <w:p w14:paraId="5C6FCA15"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PLGA NPs</w:t>
            </w:r>
          </w:p>
        </w:tc>
        <w:tc>
          <w:tcPr>
            <w:tcW w:w="0" w:type="auto"/>
            <w:hideMark/>
          </w:tcPr>
          <w:p w14:paraId="47A86716"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Low (biodegradable)</w:t>
            </w:r>
          </w:p>
        </w:tc>
        <w:tc>
          <w:tcPr>
            <w:tcW w:w="0" w:type="auto"/>
            <w:hideMark/>
          </w:tcPr>
          <w:p w14:paraId="2287A09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Low</w:t>
            </w:r>
          </w:p>
        </w:tc>
        <w:tc>
          <w:tcPr>
            <w:tcW w:w="0" w:type="auto"/>
            <w:hideMark/>
          </w:tcPr>
          <w:p w14:paraId="4827B1E4"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Low (FDA-approved)</w:t>
            </w:r>
          </w:p>
        </w:tc>
        <w:tc>
          <w:tcPr>
            <w:tcW w:w="0" w:type="auto"/>
            <w:hideMark/>
          </w:tcPr>
          <w:p w14:paraId="35E06227"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Low</w:t>
            </w:r>
          </w:p>
        </w:tc>
        <w:tc>
          <w:tcPr>
            <w:tcW w:w="0" w:type="auto"/>
            <w:hideMark/>
          </w:tcPr>
          <w:p w14:paraId="7C224257"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Very low</w:t>
            </w:r>
          </w:p>
        </w:tc>
        <w:tc>
          <w:tcPr>
            <w:tcW w:w="0" w:type="auto"/>
            <w:hideMark/>
          </w:tcPr>
          <w:p w14:paraId="4957EB15"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Preferred carrier material; control degradation products</w:t>
            </w:r>
          </w:p>
        </w:tc>
        <w:tc>
          <w:tcPr>
            <w:tcW w:w="887" w:type="dxa"/>
            <w:hideMark/>
          </w:tcPr>
          <w:p w14:paraId="4CE258A0" w14:textId="77777777" w:rsidR="00C23E1D" w:rsidRPr="00C23E1D" w:rsidRDefault="00C23E1D" w:rsidP="00C04C25">
            <w:pPr>
              <w:spacing w:after="160" w:line="278" w:lineRule="auto"/>
              <w:jc w:val="both"/>
              <w:rPr>
                <w:rFonts w:ascii="Arial" w:hAnsi="Arial" w:cs="Arial"/>
                <w:sz w:val="20"/>
                <w:szCs w:val="20"/>
              </w:rPr>
            </w:pPr>
            <w:proofErr w:type="spellStart"/>
            <w:r w:rsidRPr="00C23E1D">
              <w:rPr>
                <w:rFonts w:ascii="Arial" w:hAnsi="Arial" w:cs="Arial"/>
                <w:sz w:val="20"/>
                <w:szCs w:val="20"/>
              </w:rPr>
              <w:t>Mokrini</w:t>
            </w:r>
            <w:proofErr w:type="spellEnd"/>
            <w:r w:rsidRPr="00C23E1D">
              <w:rPr>
                <w:rFonts w:ascii="Arial" w:hAnsi="Arial" w:cs="Arial"/>
                <w:sz w:val="20"/>
                <w:szCs w:val="20"/>
              </w:rPr>
              <w:t xml:space="preserve"> &amp; </w:t>
            </w:r>
            <w:proofErr w:type="spellStart"/>
            <w:r w:rsidRPr="00C23E1D">
              <w:rPr>
                <w:rFonts w:ascii="Arial" w:hAnsi="Arial" w:cs="Arial"/>
                <w:sz w:val="20"/>
                <w:szCs w:val="20"/>
              </w:rPr>
              <w:t>Bouharroud</w:t>
            </w:r>
            <w:proofErr w:type="spellEnd"/>
            <w:r w:rsidRPr="00C23E1D">
              <w:rPr>
                <w:rFonts w:ascii="Arial" w:hAnsi="Arial" w:cs="Arial"/>
                <w:sz w:val="20"/>
                <w:szCs w:val="20"/>
              </w:rPr>
              <w:t>, 2019</w:t>
            </w:r>
          </w:p>
        </w:tc>
      </w:tr>
      <w:tr w:rsidR="00C23E1D" w:rsidRPr="00C23E1D" w14:paraId="32C2D394" w14:textId="77777777" w:rsidTr="00C23E1D">
        <w:tc>
          <w:tcPr>
            <w:tcW w:w="0" w:type="auto"/>
            <w:hideMark/>
          </w:tcPr>
          <w:p w14:paraId="0D630DA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Liposomes</w:t>
            </w:r>
          </w:p>
        </w:tc>
        <w:tc>
          <w:tcPr>
            <w:tcW w:w="0" w:type="auto"/>
            <w:hideMark/>
          </w:tcPr>
          <w:p w14:paraId="2C0E642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Very low (rapid degradation)</w:t>
            </w:r>
          </w:p>
        </w:tc>
        <w:tc>
          <w:tcPr>
            <w:tcW w:w="0" w:type="auto"/>
            <w:hideMark/>
          </w:tcPr>
          <w:p w14:paraId="3F2417E3"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Very low</w:t>
            </w:r>
          </w:p>
        </w:tc>
        <w:tc>
          <w:tcPr>
            <w:tcW w:w="0" w:type="auto"/>
            <w:hideMark/>
          </w:tcPr>
          <w:p w14:paraId="66B52765"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Very low</w:t>
            </w:r>
          </w:p>
        </w:tc>
        <w:tc>
          <w:tcPr>
            <w:tcW w:w="0" w:type="auto"/>
            <w:hideMark/>
          </w:tcPr>
          <w:p w14:paraId="4EB535EB"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Very low</w:t>
            </w:r>
          </w:p>
        </w:tc>
        <w:tc>
          <w:tcPr>
            <w:tcW w:w="0" w:type="auto"/>
            <w:hideMark/>
          </w:tcPr>
          <w:p w14:paraId="18E2454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Very low</w:t>
            </w:r>
          </w:p>
        </w:tc>
        <w:tc>
          <w:tcPr>
            <w:tcW w:w="0" w:type="auto"/>
            <w:hideMark/>
          </w:tcPr>
          <w:p w14:paraId="3B8769A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Ideal for minimizing environmental impact; short-term applications</w:t>
            </w:r>
          </w:p>
        </w:tc>
        <w:tc>
          <w:tcPr>
            <w:tcW w:w="887" w:type="dxa"/>
            <w:hideMark/>
          </w:tcPr>
          <w:p w14:paraId="54ED683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Hajji-</w:t>
            </w:r>
            <w:proofErr w:type="spellStart"/>
            <w:r w:rsidRPr="00C23E1D">
              <w:rPr>
                <w:rFonts w:ascii="Arial" w:hAnsi="Arial" w:cs="Arial"/>
                <w:sz w:val="20"/>
                <w:szCs w:val="20"/>
              </w:rPr>
              <w:t>Hedfi</w:t>
            </w:r>
            <w:proofErr w:type="spellEnd"/>
            <w:r w:rsidRPr="00C23E1D">
              <w:rPr>
                <w:rFonts w:ascii="Arial" w:hAnsi="Arial" w:cs="Arial"/>
                <w:sz w:val="20"/>
                <w:szCs w:val="20"/>
              </w:rPr>
              <w:t xml:space="preserve"> &amp; </w:t>
            </w:r>
            <w:proofErr w:type="spellStart"/>
            <w:r w:rsidRPr="00C23E1D">
              <w:rPr>
                <w:rFonts w:ascii="Arial" w:hAnsi="Arial" w:cs="Arial"/>
                <w:sz w:val="20"/>
                <w:szCs w:val="20"/>
              </w:rPr>
              <w:t>Chhipa</w:t>
            </w:r>
            <w:proofErr w:type="spellEnd"/>
            <w:r w:rsidRPr="00C23E1D">
              <w:rPr>
                <w:rFonts w:ascii="Arial" w:hAnsi="Arial" w:cs="Arial"/>
                <w:sz w:val="20"/>
                <w:szCs w:val="20"/>
              </w:rPr>
              <w:t>, 2021</w:t>
            </w:r>
          </w:p>
        </w:tc>
      </w:tr>
      <w:tr w:rsidR="00C23E1D" w:rsidRPr="00C23E1D" w14:paraId="07829867" w14:textId="77777777" w:rsidTr="00C23E1D">
        <w:tc>
          <w:tcPr>
            <w:tcW w:w="0" w:type="auto"/>
            <w:hideMark/>
          </w:tcPr>
          <w:p w14:paraId="773B9BF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Mesoporous Silica</w:t>
            </w:r>
          </w:p>
        </w:tc>
        <w:tc>
          <w:tcPr>
            <w:tcW w:w="0" w:type="auto"/>
            <w:hideMark/>
          </w:tcPr>
          <w:p w14:paraId="44DA822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 (slow degradation)</w:t>
            </w:r>
          </w:p>
        </w:tc>
        <w:tc>
          <w:tcPr>
            <w:tcW w:w="0" w:type="auto"/>
            <w:hideMark/>
          </w:tcPr>
          <w:p w14:paraId="0DC114E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 to high</w:t>
            </w:r>
          </w:p>
        </w:tc>
        <w:tc>
          <w:tcPr>
            <w:tcW w:w="0" w:type="auto"/>
            <w:hideMark/>
          </w:tcPr>
          <w:p w14:paraId="434A9A0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Low to moderate</w:t>
            </w:r>
          </w:p>
        </w:tc>
        <w:tc>
          <w:tcPr>
            <w:tcW w:w="0" w:type="auto"/>
            <w:hideMark/>
          </w:tcPr>
          <w:p w14:paraId="2003274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w:t>
            </w:r>
          </w:p>
        </w:tc>
        <w:tc>
          <w:tcPr>
            <w:tcW w:w="0" w:type="auto"/>
            <w:hideMark/>
          </w:tcPr>
          <w:p w14:paraId="3405AB0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Low</w:t>
            </w:r>
          </w:p>
        </w:tc>
        <w:tc>
          <w:tcPr>
            <w:tcW w:w="0" w:type="auto"/>
            <w:hideMark/>
          </w:tcPr>
          <w:p w14:paraId="587DF64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Functionalize for enhanced degradation; avoid excessive use; monitor long-term effects</w:t>
            </w:r>
          </w:p>
        </w:tc>
        <w:tc>
          <w:tcPr>
            <w:tcW w:w="887" w:type="dxa"/>
            <w:hideMark/>
          </w:tcPr>
          <w:p w14:paraId="735E662C" w14:textId="77777777" w:rsidR="00C23E1D" w:rsidRPr="00C23E1D" w:rsidRDefault="00C23E1D" w:rsidP="00C04C25">
            <w:pPr>
              <w:spacing w:after="160" w:line="278" w:lineRule="auto"/>
              <w:jc w:val="both"/>
              <w:rPr>
                <w:rFonts w:ascii="Arial" w:hAnsi="Arial" w:cs="Arial"/>
                <w:sz w:val="20"/>
                <w:szCs w:val="20"/>
              </w:rPr>
            </w:pPr>
            <w:proofErr w:type="spellStart"/>
            <w:r w:rsidRPr="00C23E1D">
              <w:rPr>
                <w:rFonts w:ascii="Arial" w:hAnsi="Arial" w:cs="Arial"/>
                <w:sz w:val="20"/>
                <w:szCs w:val="20"/>
              </w:rPr>
              <w:t>Mokrini</w:t>
            </w:r>
            <w:proofErr w:type="spellEnd"/>
            <w:r w:rsidRPr="00C23E1D">
              <w:rPr>
                <w:rFonts w:ascii="Arial" w:hAnsi="Arial" w:cs="Arial"/>
                <w:sz w:val="20"/>
                <w:szCs w:val="20"/>
              </w:rPr>
              <w:t xml:space="preserve"> &amp; </w:t>
            </w:r>
            <w:proofErr w:type="spellStart"/>
            <w:r w:rsidRPr="00C23E1D">
              <w:rPr>
                <w:rFonts w:ascii="Arial" w:hAnsi="Arial" w:cs="Arial"/>
                <w:sz w:val="20"/>
                <w:szCs w:val="20"/>
              </w:rPr>
              <w:t>Bouharroud</w:t>
            </w:r>
            <w:proofErr w:type="spellEnd"/>
            <w:r w:rsidRPr="00C23E1D">
              <w:rPr>
                <w:rFonts w:ascii="Arial" w:hAnsi="Arial" w:cs="Arial"/>
                <w:sz w:val="20"/>
                <w:szCs w:val="20"/>
              </w:rPr>
              <w:t>, 2019</w:t>
            </w:r>
          </w:p>
        </w:tc>
      </w:tr>
    </w:tbl>
    <w:p w14:paraId="381D68FB" w14:textId="77777777" w:rsidR="00C23E1D" w:rsidRDefault="00C23E1D" w:rsidP="00C23E1D">
      <w:pPr>
        <w:jc w:val="both"/>
        <w:rPr>
          <w:rFonts w:ascii="Arial" w:hAnsi="Arial" w:cs="Arial"/>
          <w:i/>
          <w:iCs/>
        </w:rPr>
      </w:pPr>
      <w:r w:rsidRPr="00C23E1D">
        <w:rPr>
          <w:rFonts w:ascii="Arial" w:hAnsi="Arial" w:cs="Arial"/>
          <w:b/>
          <w:bCs/>
          <w:i/>
          <w:iCs/>
        </w:rPr>
        <w:t>Note:</w:t>
      </w:r>
      <w:r w:rsidRPr="00C23E1D">
        <w:rPr>
          <w:rFonts w:ascii="Arial" w:hAnsi="Arial" w:cs="Arial"/>
          <w:i/>
          <w:iCs/>
        </w:rPr>
        <w:t xml:space="preserve"> NPs = Nanoparticles; PLGA = </w:t>
      </w:r>
      <w:proofErr w:type="gramStart"/>
      <w:r w:rsidRPr="00C23E1D">
        <w:rPr>
          <w:rFonts w:ascii="Arial" w:hAnsi="Arial" w:cs="Arial"/>
          <w:i/>
          <w:iCs/>
        </w:rPr>
        <w:t>Poly(</w:t>
      </w:r>
      <w:proofErr w:type="gramEnd"/>
      <w:r w:rsidRPr="00C23E1D">
        <w:rPr>
          <w:rFonts w:ascii="Arial" w:hAnsi="Arial" w:cs="Arial"/>
          <w:i/>
          <w:iCs/>
        </w:rPr>
        <w:t>lactic-co-glycolic acid); FDA = U.S. Food and Drug Administration.</w:t>
      </w:r>
    </w:p>
    <w:p w14:paraId="1A9ADAB8" w14:textId="77777777" w:rsidR="00C23E1D" w:rsidRPr="00C23E1D" w:rsidRDefault="00C23E1D" w:rsidP="00C23E1D">
      <w:pPr>
        <w:jc w:val="both"/>
        <w:rPr>
          <w:rFonts w:ascii="Arial" w:hAnsi="Arial" w:cs="Arial"/>
          <w:i/>
          <w:iCs/>
        </w:rPr>
      </w:pPr>
    </w:p>
    <w:p w14:paraId="5B513C8C" w14:textId="77777777" w:rsidR="00C23E1D" w:rsidRPr="00C23E1D" w:rsidRDefault="00C23E1D" w:rsidP="00C23E1D">
      <w:pPr>
        <w:jc w:val="both"/>
        <w:rPr>
          <w:rFonts w:ascii="Arial" w:hAnsi="Arial" w:cs="Arial"/>
          <w:b/>
          <w:bCs/>
          <w:sz w:val="22"/>
          <w:szCs w:val="22"/>
        </w:rPr>
      </w:pPr>
      <w:r w:rsidRPr="00C23E1D">
        <w:rPr>
          <w:rFonts w:ascii="Arial" w:hAnsi="Arial" w:cs="Arial"/>
          <w:b/>
          <w:bCs/>
          <w:sz w:val="22"/>
          <w:szCs w:val="22"/>
        </w:rPr>
        <w:t>6.2 Risk Assessment and Mitigation Strategies</w:t>
      </w:r>
    </w:p>
    <w:p w14:paraId="568CBF1E" w14:textId="77777777" w:rsidR="00C23E1D" w:rsidRPr="00C23E1D" w:rsidRDefault="00C23E1D" w:rsidP="00C23E1D">
      <w:pPr>
        <w:jc w:val="both"/>
        <w:rPr>
          <w:rFonts w:ascii="Arial" w:hAnsi="Arial" w:cs="Arial"/>
        </w:rPr>
      </w:pPr>
      <w:r w:rsidRPr="00C23E1D">
        <w:rPr>
          <w:rFonts w:ascii="Arial" w:hAnsi="Arial" w:cs="Arial"/>
        </w:rPr>
        <w:t>Comprehensive risk assessment frameworks are essential for evaluating the safety of nano-enabled agricultural products. Characterization of nanomaterial properties, including size distribution, surface chemistry, aggregation behavior, and dissolution kinetics under environmentally relevant conditions, provides fundamental data for predicting environmental fate and biological interactions (</w:t>
      </w:r>
      <w:proofErr w:type="spellStart"/>
      <w:r w:rsidRPr="00C23E1D">
        <w:rPr>
          <w:rFonts w:ascii="Arial" w:hAnsi="Arial" w:cs="Arial"/>
        </w:rPr>
        <w:t>Mokrini</w:t>
      </w:r>
      <w:proofErr w:type="spellEnd"/>
      <w:r w:rsidRPr="00C23E1D">
        <w:rPr>
          <w:rFonts w:ascii="Arial" w:hAnsi="Arial" w:cs="Arial"/>
        </w:rPr>
        <w:t xml:space="preserve"> &amp; </w:t>
      </w:r>
      <w:proofErr w:type="spellStart"/>
      <w:r w:rsidRPr="00C23E1D">
        <w:rPr>
          <w:rFonts w:ascii="Arial" w:hAnsi="Arial" w:cs="Arial"/>
        </w:rPr>
        <w:t>Bouharroud</w:t>
      </w:r>
      <w:proofErr w:type="spellEnd"/>
      <w:r w:rsidRPr="00C23E1D">
        <w:rPr>
          <w:rFonts w:ascii="Arial" w:hAnsi="Arial" w:cs="Arial"/>
        </w:rPr>
        <w:t>, 2019). Dose-response studies across multiple non-target organisms, including pollinators, natural enemies, soil invertebrates, and aquatic species, are necessary to establish safe exposure limits and application guidelines (Hajji-</w:t>
      </w:r>
      <w:proofErr w:type="spellStart"/>
      <w:r w:rsidRPr="00C23E1D">
        <w:rPr>
          <w:rFonts w:ascii="Arial" w:hAnsi="Arial" w:cs="Arial"/>
        </w:rPr>
        <w:t>Hedfi</w:t>
      </w:r>
      <w:proofErr w:type="spellEnd"/>
      <w:r w:rsidRPr="00C23E1D">
        <w:rPr>
          <w:rFonts w:ascii="Arial" w:hAnsi="Arial" w:cs="Arial"/>
        </w:rPr>
        <w:t xml:space="preserve"> &amp; </w:t>
      </w:r>
      <w:proofErr w:type="spellStart"/>
      <w:r w:rsidRPr="00C23E1D">
        <w:rPr>
          <w:rFonts w:ascii="Arial" w:hAnsi="Arial" w:cs="Arial"/>
        </w:rPr>
        <w:t>Chhipa</w:t>
      </w:r>
      <w:proofErr w:type="spellEnd"/>
      <w:r w:rsidRPr="00C23E1D">
        <w:rPr>
          <w:rFonts w:ascii="Arial" w:hAnsi="Arial" w:cs="Arial"/>
        </w:rPr>
        <w:t>, 2021). Environmental fate studies tracking the persistence, transformation, and mobility of nanomaterials in soil and water systems inform predictions of long-term accumulation and exposure scenarios (</w:t>
      </w:r>
      <w:proofErr w:type="spellStart"/>
      <w:r w:rsidRPr="00C23E1D">
        <w:rPr>
          <w:rFonts w:ascii="Arial" w:hAnsi="Arial" w:cs="Arial"/>
        </w:rPr>
        <w:t>Mokrini</w:t>
      </w:r>
      <w:proofErr w:type="spellEnd"/>
      <w:r w:rsidRPr="00C23E1D">
        <w:rPr>
          <w:rFonts w:ascii="Arial" w:hAnsi="Arial" w:cs="Arial"/>
        </w:rPr>
        <w:t xml:space="preserve"> &amp; </w:t>
      </w:r>
      <w:proofErr w:type="spellStart"/>
      <w:r w:rsidRPr="00C23E1D">
        <w:rPr>
          <w:rFonts w:ascii="Arial" w:hAnsi="Arial" w:cs="Arial"/>
        </w:rPr>
        <w:t>Bouharroud</w:t>
      </w:r>
      <w:proofErr w:type="spellEnd"/>
      <w:r w:rsidRPr="00C23E1D">
        <w:rPr>
          <w:rFonts w:ascii="Arial" w:hAnsi="Arial" w:cs="Arial"/>
        </w:rPr>
        <w:t>, 2019). Life cycle assessment approaches that evaluate environmental impacts across the entire product lifecycle, from raw material extraction through manufacturing, use, and disposal, provide holistic perspectives on sustainability (Hajji-</w:t>
      </w:r>
      <w:proofErr w:type="spellStart"/>
      <w:r w:rsidRPr="00C23E1D">
        <w:rPr>
          <w:rFonts w:ascii="Arial" w:hAnsi="Arial" w:cs="Arial"/>
        </w:rPr>
        <w:t>Hedfi</w:t>
      </w:r>
      <w:proofErr w:type="spellEnd"/>
      <w:r w:rsidRPr="00C23E1D">
        <w:rPr>
          <w:rFonts w:ascii="Arial" w:hAnsi="Arial" w:cs="Arial"/>
        </w:rPr>
        <w:t xml:space="preserve"> &amp; </w:t>
      </w:r>
      <w:proofErr w:type="spellStart"/>
      <w:r w:rsidRPr="00C23E1D">
        <w:rPr>
          <w:rFonts w:ascii="Arial" w:hAnsi="Arial" w:cs="Arial"/>
        </w:rPr>
        <w:t>Chhipa</w:t>
      </w:r>
      <w:proofErr w:type="spellEnd"/>
      <w:r w:rsidRPr="00C23E1D">
        <w:rPr>
          <w:rFonts w:ascii="Arial" w:hAnsi="Arial" w:cs="Arial"/>
        </w:rPr>
        <w:t>, 2021).</w:t>
      </w:r>
    </w:p>
    <w:p w14:paraId="708CD031" w14:textId="77777777" w:rsidR="00C23E1D" w:rsidRDefault="00C23E1D" w:rsidP="00C23E1D">
      <w:pPr>
        <w:jc w:val="both"/>
        <w:rPr>
          <w:rFonts w:ascii="Arial" w:hAnsi="Arial" w:cs="Arial"/>
        </w:rPr>
      </w:pPr>
      <w:r w:rsidRPr="00C23E1D">
        <w:rPr>
          <w:rFonts w:ascii="Arial" w:hAnsi="Arial" w:cs="Arial"/>
        </w:rPr>
        <w:t>Risk mitigation strategies include prioritizing biodegradable and biocompatible nanomaterial platforms, optimizing application rates and timing to minimize environmental loading, implementing best management practices to reduce off-target movement, and developing nanomaterials with stimuli-responsive or triggered release mechanisms that limit environmental persistence (</w:t>
      </w:r>
      <w:proofErr w:type="spellStart"/>
      <w:r w:rsidRPr="00C23E1D">
        <w:rPr>
          <w:rFonts w:ascii="Arial" w:hAnsi="Arial" w:cs="Arial"/>
        </w:rPr>
        <w:t>Mokrini</w:t>
      </w:r>
      <w:proofErr w:type="spellEnd"/>
      <w:r w:rsidRPr="00C23E1D">
        <w:rPr>
          <w:rFonts w:ascii="Arial" w:hAnsi="Arial" w:cs="Arial"/>
        </w:rPr>
        <w:t xml:space="preserve"> &amp; </w:t>
      </w:r>
      <w:proofErr w:type="spellStart"/>
      <w:r w:rsidRPr="00C23E1D">
        <w:rPr>
          <w:rFonts w:ascii="Arial" w:hAnsi="Arial" w:cs="Arial"/>
        </w:rPr>
        <w:t>Bouharroud</w:t>
      </w:r>
      <w:proofErr w:type="spellEnd"/>
      <w:r w:rsidRPr="00C23E1D">
        <w:rPr>
          <w:rFonts w:ascii="Arial" w:hAnsi="Arial" w:cs="Arial"/>
        </w:rPr>
        <w:t xml:space="preserve">, 2019). Integration of nanotechnology within comprehensive integrated </w:t>
      </w:r>
      <w:r w:rsidRPr="00C23E1D">
        <w:rPr>
          <w:rFonts w:ascii="Arial" w:hAnsi="Arial" w:cs="Arial"/>
        </w:rPr>
        <w:lastRenderedPageBreak/>
        <w:t>pest management systems, rather than as standalone solutions, can reduce overall nanomaterial use while maintaining effective pest and disease control (Hajji-</w:t>
      </w:r>
      <w:proofErr w:type="spellStart"/>
      <w:r w:rsidRPr="00C23E1D">
        <w:rPr>
          <w:rFonts w:ascii="Arial" w:hAnsi="Arial" w:cs="Arial"/>
        </w:rPr>
        <w:t>Hedfi</w:t>
      </w:r>
      <w:proofErr w:type="spellEnd"/>
      <w:r w:rsidRPr="00C23E1D">
        <w:rPr>
          <w:rFonts w:ascii="Arial" w:hAnsi="Arial" w:cs="Arial"/>
        </w:rPr>
        <w:t xml:space="preserve"> &amp; </w:t>
      </w:r>
      <w:proofErr w:type="spellStart"/>
      <w:r w:rsidRPr="00C23E1D">
        <w:rPr>
          <w:rFonts w:ascii="Arial" w:hAnsi="Arial" w:cs="Arial"/>
        </w:rPr>
        <w:t>Chhipa</w:t>
      </w:r>
      <w:proofErr w:type="spellEnd"/>
      <w:r w:rsidRPr="00C23E1D">
        <w:rPr>
          <w:rFonts w:ascii="Arial" w:hAnsi="Arial" w:cs="Arial"/>
        </w:rPr>
        <w:t>, 2021).</w:t>
      </w:r>
    </w:p>
    <w:p w14:paraId="50DD02CF" w14:textId="77777777" w:rsidR="00C23E1D" w:rsidRPr="00C23E1D" w:rsidRDefault="00C23E1D" w:rsidP="00C23E1D">
      <w:pPr>
        <w:jc w:val="both"/>
        <w:rPr>
          <w:rFonts w:ascii="Arial" w:hAnsi="Arial" w:cs="Arial"/>
        </w:rPr>
      </w:pPr>
    </w:p>
    <w:p w14:paraId="651BD006" w14:textId="77777777" w:rsidR="00C23E1D" w:rsidRPr="00C23E1D" w:rsidRDefault="00C23E1D" w:rsidP="00C23E1D">
      <w:pPr>
        <w:jc w:val="both"/>
        <w:rPr>
          <w:rFonts w:ascii="Arial" w:hAnsi="Arial" w:cs="Arial"/>
          <w:b/>
          <w:bCs/>
          <w:sz w:val="22"/>
          <w:szCs w:val="22"/>
        </w:rPr>
      </w:pPr>
      <w:r w:rsidRPr="00C23E1D">
        <w:rPr>
          <w:rFonts w:ascii="Arial" w:hAnsi="Arial" w:cs="Arial"/>
          <w:b/>
          <w:bCs/>
          <w:sz w:val="22"/>
          <w:szCs w:val="22"/>
        </w:rPr>
        <w:t>6.3 Regulatory Frameworks and Approval Processes</w:t>
      </w:r>
    </w:p>
    <w:p w14:paraId="7708697E" w14:textId="77777777" w:rsidR="00C23E1D" w:rsidRPr="00C23E1D" w:rsidRDefault="00C23E1D" w:rsidP="00C23E1D">
      <w:pPr>
        <w:jc w:val="both"/>
        <w:rPr>
          <w:rFonts w:ascii="Arial" w:hAnsi="Arial" w:cs="Arial"/>
        </w:rPr>
      </w:pPr>
      <w:r w:rsidRPr="00C23E1D">
        <w:rPr>
          <w:rFonts w:ascii="Arial" w:hAnsi="Arial" w:cs="Arial"/>
        </w:rPr>
        <w:t xml:space="preserve">Regulatory frameworks for nano-enabled agricultural products remain under development in most jurisdictions, creating uncertainty for technology developers and users. Current regulatory approaches vary substantially across countries, with some treating </w:t>
      </w:r>
      <w:proofErr w:type="spellStart"/>
      <w:r w:rsidRPr="00C23E1D">
        <w:rPr>
          <w:rFonts w:ascii="Arial" w:hAnsi="Arial" w:cs="Arial"/>
        </w:rPr>
        <w:t>nanopesticides</w:t>
      </w:r>
      <w:proofErr w:type="spellEnd"/>
      <w:r w:rsidRPr="00C23E1D">
        <w:rPr>
          <w:rFonts w:ascii="Arial" w:hAnsi="Arial" w:cs="Arial"/>
        </w:rPr>
        <w:t xml:space="preserve"> as novel products requiring comprehensive safety evaluations, while others apply existing pesticide regulations that may not adequately address nanomaterial-specific concerns (</w:t>
      </w:r>
      <w:proofErr w:type="spellStart"/>
      <w:r w:rsidRPr="00C23E1D">
        <w:rPr>
          <w:rFonts w:ascii="Arial" w:hAnsi="Arial" w:cs="Arial"/>
        </w:rPr>
        <w:t>Mokrini</w:t>
      </w:r>
      <w:proofErr w:type="spellEnd"/>
      <w:r w:rsidRPr="00C23E1D">
        <w:rPr>
          <w:rFonts w:ascii="Arial" w:hAnsi="Arial" w:cs="Arial"/>
        </w:rPr>
        <w:t xml:space="preserve"> &amp; </w:t>
      </w:r>
      <w:proofErr w:type="spellStart"/>
      <w:r w:rsidRPr="00C23E1D">
        <w:rPr>
          <w:rFonts w:ascii="Arial" w:hAnsi="Arial" w:cs="Arial"/>
        </w:rPr>
        <w:t>Bouharroud</w:t>
      </w:r>
      <w:proofErr w:type="spellEnd"/>
      <w:r w:rsidRPr="00C23E1D">
        <w:rPr>
          <w:rFonts w:ascii="Arial" w:hAnsi="Arial" w:cs="Arial"/>
        </w:rPr>
        <w:t>, 2019). Key regulatory considerations include defining nanomaterials and establishing size-based thresholds for regulatory triggers, determining appropriate testing protocols and safety endpoints specific to nanomaterials, establishing acceptable exposure limits for humans and environmental organisms, and developing labeling requirements that inform users about nanomaterial content and handling precautions (Hajji-</w:t>
      </w:r>
      <w:proofErr w:type="spellStart"/>
      <w:r w:rsidRPr="00C23E1D">
        <w:rPr>
          <w:rFonts w:ascii="Arial" w:hAnsi="Arial" w:cs="Arial"/>
        </w:rPr>
        <w:t>Hedfi</w:t>
      </w:r>
      <w:proofErr w:type="spellEnd"/>
      <w:r w:rsidRPr="00C23E1D">
        <w:rPr>
          <w:rFonts w:ascii="Arial" w:hAnsi="Arial" w:cs="Arial"/>
        </w:rPr>
        <w:t xml:space="preserve"> &amp; </w:t>
      </w:r>
      <w:proofErr w:type="spellStart"/>
      <w:r w:rsidRPr="00C23E1D">
        <w:rPr>
          <w:rFonts w:ascii="Arial" w:hAnsi="Arial" w:cs="Arial"/>
        </w:rPr>
        <w:t>Chhipa</w:t>
      </w:r>
      <w:proofErr w:type="spellEnd"/>
      <w:r w:rsidRPr="00C23E1D">
        <w:rPr>
          <w:rFonts w:ascii="Arial" w:hAnsi="Arial" w:cs="Arial"/>
        </w:rPr>
        <w:t>, 2021).</w:t>
      </w:r>
    </w:p>
    <w:p w14:paraId="18C3F585" w14:textId="77777777" w:rsidR="00C23E1D" w:rsidRPr="00C23E1D" w:rsidRDefault="00C23E1D" w:rsidP="00C23E1D">
      <w:pPr>
        <w:jc w:val="both"/>
        <w:rPr>
          <w:rFonts w:ascii="Arial" w:hAnsi="Arial" w:cs="Arial"/>
        </w:rPr>
      </w:pPr>
      <w:r w:rsidRPr="00C23E1D">
        <w:rPr>
          <w:rFonts w:ascii="Arial" w:hAnsi="Arial" w:cs="Arial"/>
        </w:rPr>
        <w:t>International harmonization of regulatory standards would facilitate technology transfer and trade while ensuring consistent safety protections (</w:t>
      </w:r>
      <w:proofErr w:type="spellStart"/>
      <w:r w:rsidRPr="00C23E1D">
        <w:rPr>
          <w:rFonts w:ascii="Arial" w:hAnsi="Arial" w:cs="Arial"/>
        </w:rPr>
        <w:t>Mokrini</w:t>
      </w:r>
      <w:proofErr w:type="spellEnd"/>
      <w:r w:rsidRPr="00C23E1D">
        <w:rPr>
          <w:rFonts w:ascii="Arial" w:hAnsi="Arial" w:cs="Arial"/>
        </w:rPr>
        <w:t xml:space="preserve"> &amp; </w:t>
      </w:r>
      <w:proofErr w:type="spellStart"/>
      <w:r w:rsidRPr="00C23E1D">
        <w:rPr>
          <w:rFonts w:ascii="Arial" w:hAnsi="Arial" w:cs="Arial"/>
        </w:rPr>
        <w:t>Bouharroud</w:t>
      </w:r>
      <w:proofErr w:type="spellEnd"/>
      <w:r w:rsidRPr="00C23E1D">
        <w:rPr>
          <w:rFonts w:ascii="Arial" w:hAnsi="Arial" w:cs="Arial"/>
        </w:rPr>
        <w:t>, 2019). Engagement of diverse stakeholders, including scientists, regulators, industry representatives, farmers, and civil society organizations, in regulatory development processes can help balance innovation promotion with precautionary principles (Hajji-</w:t>
      </w:r>
      <w:proofErr w:type="spellStart"/>
      <w:r w:rsidRPr="00C23E1D">
        <w:rPr>
          <w:rFonts w:ascii="Arial" w:hAnsi="Arial" w:cs="Arial"/>
        </w:rPr>
        <w:t>Hedfi</w:t>
      </w:r>
      <w:proofErr w:type="spellEnd"/>
      <w:r w:rsidRPr="00C23E1D">
        <w:rPr>
          <w:rFonts w:ascii="Arial" w:hAnsi="Arial" w:cs="Arial"/>
        </w:rPr>
        <w:t xml:space="preserve"> &amp; </w:t>
      </w:r>
      <w:proofErr w:type="spellStart"/>
      <w:r w:rsidRPr="00C23E1D">
        <w:rPr>
          <w:rFonts w:ascii="Arial" w:hAnsi="Arial" w:cs="Arial"/>
        </w:rPr>
        <w:t>Chhipa</w:t>
      </w:r>
      <w:proofErr w:type="spellEnd"/>
      <w:r w:rsidRPr="00C23E1D">
        <w:rPr>
          <w:rFonts w:ascii="Arial" w:hAnsi="Arial" w:cs="Arial"/>
        </w:rPr>
        <w:t>, 2021). Adaptive regulatory frameworks that can evolve as scientific understanding advances and new nanomaterial types emerge will be essential for responsible technology deployment (</w:t>
      </w:r>
      <w:proofErr w:type="spellStart"/>
      <w:r w:rsidRPr="00C23E1D">
        <w:rPr>
          <w:rFonts w:ascii="Arial" w:hAnsi="Arial" w:cs="Arial"/>
        </w:rPr>
        <w:t>Mokrini</w:t>
      </w:r>
      <w:proofErr w:type="spellEnd"/>
      <w:r w:rsidRPr="00C23E1D">
        <w:rPr>
          <w:rFonts w:ascii="Arial" w:hAnsi="Arial" w:cs="Arial"/>
        </w:rPr>
        <w:t xml:space="preserve"> &amp; </w:t>
      </w:r>
      <w:proofErr w:type="spellStart"/>
      <w:r w:rsidRPr="00C23E1D">
        <w:rPr>
          <w:rFonts w:ascii="Arial" w:hAnsi="Arial" w:cs="Arial"/>
        </w:rPr>
        <w:t>Bouharroud</w:t>
      </w:r>
      <w:proofErr w:type="spellEnd"/>
      <w:r w:rsidRPr="00C23E1D">
        <w:rPr>
          <w:rFonts w:ascii="Arial" w:hAnsi="Arial" w:cs="Arial"/>
        </w:rPr>
        <w:t xml:space="preserve">, 2019). </w:t>
      </w:r>
      <w:r w:rsidRPr="00C23E1D">
        <w:rPr>
          <w:rFonts w:ascii="Arial" w:hAnsi="Arial" w:cs="Arial"/>
          <w:b/>
          <w:bCs/>
        </w:rPr>
        <w:t>Table 11</w:t>
      </w:r>
      <w:r w:rsidRPr="00C23E1D">
        <w:rPr>
          <w:rFonts w:ascii="Arial" w:hAnsi="Arial" w:cs="Arial"/>
        </w:rPr>
        <w:t> summarizes regulatory status and requirements for nano-enabled agricultural products in major jurisdictions.</w:t>
      </w:r>
    </w:p>
    <w:p w14:paraId="01A1323C" w14:textId="77777777" w:rsidR="00C23E1D" w:rsidRPr="00C23E1D" w:rsidRDefault="00C23E1D" w:rsidP="00C23E1D">
      <w:pPr>
        <w:jc w:val="both"/>
        <w:rPr>
          <w:rFonts w:ascii="Arial" w:hAnsi="Arial" w:cs="Arial"/>
        </w:rPr>
      </w:pPr>
    </w:p>
    <w:p w14:paraId="2010CBFD" w14:textId="77777777" w:rsidR="00C23E1D" w:rsidRPr="00C23E1D" w:rsidRDefault="00C23E1D" w:rsidP="00C23E1D">
      <w:pPr>
        <w:jc w:val="both"/>
        <w:rPr>
          <w:rFonts w:ascii="Arial" w:hAnsi="Arial" w:cs="Arial"/>
        </w:rPr>
      </w:pPr>
      <w:r w:rsidRPr="00C23E1D">
        <w:rPr>
          <w:rFonts w:ascii="Arial" w:hAnsi="Arial" w:cs="Arial"/>
          <w:b/>
          <w:bCs/>
        </w:rPr>
        <w:t>Table 11.</w:t>
      </w:r>
      <w:r w:rsidRPr="00C23E1D">
        <w:rPr>
          <w:rFonts w:ascii="Arial" w:hAnsi="Arial" w:cs="Arial"/>
        </w:rPr>
        <w:t> Regulatory Status of Nano-Enabled Agricultural Products by Jurisdiction</w:t>
      </w:r>
    </w:p>
    <w:tbl>
      <w:tblPr>
        <w:tblStyle w:val="TableGrid"/>
        <w:tblW w:w="8658"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183"/>
        <w:gridCol w:w="1364"/>
        <w:gridCol w:w="1384"/>
        <w:gridCol w:w="1565"/>
        <w:gridCol w:w="1425"/>
        <w:gridCol w:w="1424"/>
        <w:gridCol w:w="1213"/>
      </w:tblGrid>
      <w:tr w:rsidR="00FC63B2" w:rsidRPr="00C23E1D" w14:paraId="299CFE8A" w14:textId="77777777" w:rsidTr="00C23E1D">
        <w:trPr>
          <w:trHeight w:val="600"/>
          <w:jc w:val="center"/>
        </w:trPr>
        <w:tc>
          <w:tcPr>
            <w:tcW w:w="0" w:type="auto"/>
            <w:tcBorders>
              <w:top w:val="single" w:sz="4" w:space="0" w:color="auto"/>
              <w:bottom w:val="single" w:sz="4" w:space="0" w:color="auto"/>
            </w:tcBorders>
            <w:hideMark/>
          </w:tcPr>
          <w:p w14:paraId="3F6E787C"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Jurisdiction</w:t>
            </w:r>
          </w:p>
        </w:tc>
        <w:tc>
          <w:tcPr>
            <w:tcW w:w="0" w:type="auto"/>
            <w:tcBorders>
              <w:top w:val="single" w:sz="4" w:space="0" w:color="auto"/>
              <w:bottom w:val="single" w:sz="4" w:space="0" w:color="auto"/>
            </w:tcBorders>
            <w:hideMark/>
          </w:tcPr>
          <w:p w14:paraId="0C110EA5"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Regulatory Authority</w:t>
            </w:r>
          </w:p>
        </w:tc>
        <w:tc>
          <w:tcPr>
            <w:tcW w:w="0" w:type="auto"/>
            <w:tcBorders>
              <w:top w:val="single" w:sz="4" w:space="0" w:color="auto"/>
              <w:bottom w:val="single" w:sz="4" w:space="0" w:color="auto"/>
            </w:tcBorders>
            <w:hideMark/>
          </w:tcPr>
          <w:p w14:paraId="056B86CB"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Nanomaterial Definition</w:t>
            </w:r>
          </w:p>
        </w:tc>
        <w:tc>
          <w:tcPr>
            <w:tcW w:w="0" w:type="auto"/>
            <w:tcBorders>
              <w:top w:val="single" w:sz="4" w:space="0" w:color="auto"/>
              <w:bottom w:val="single" w:sz="4" w:space="0" w:color="auto"/>
            </w:tcBorders>
            <w:hideMark/>
          </w:tcPr>
          <w:p w14:paraId="091ECBBA"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Regulatory Approach</w:t>
            </w:r>
          </w:p>
        </w:tc>
        <w:tc>
          <w:tcPr>
            <w:tcW w:w="0" w:type="auto"/>
            <w:tcBorders>
              <w:top w:val="single" w:sz="4" w:space="0" w:color="auto"/>
              <w:bottom w:val="single" w:sz="4" w:space="0" w:color="auto"/>
            </w:tcBorders>
            <w:hideMark/>
          </w:tcPr>
          <w:p w14:paraId="7D7A57F6"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Testing Requirements</w:t>
            </w:r>
          </w:p>
        </w:tc>
        <w:tc>
          <w:tcPr>
            <w:tcW w:w="0" w:type="auto"/>
            <w:tcBorders>
              <w:top w:val="single" w:sz="4" w:space="0" w:color="auto"/>
              <w:bottom w:val="single" w:sz="4" w:space="0" w:color="auto"/>
            </w:tcBorders>
            <w:hideMark/>
          </w:tcPr>
          <w:p w14:paraId="598D7DD0"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Approval Status</w:t>
            </w:r>
          </w:p>
        </w:tc>
        <w:tc>
          <w:tcPr>
            <w:tcW w:w="0" w:type="auto"/>
            <w:tcBorders>
              <w:top w:val="single" w:sz="4" w:space="0" w:color="auto"/>
              <w:bottom w:val="single" w:sz="4" w:space="0" w:color="auto"/>
            </w:tcBorders>
            <w:hideMark/>
          </w:tcPr>
          <w:p w14:paraId="242081BC"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Labeling Requirements</w:t>
            </w:r>
          </w:p>
        </w:tc>
        <w:tc>
          <w:tcPr>
            <w:tcW w:w="1186" w:type="dxa"/>
            <w:tcBorders>
              <w:top w:val="single" w:sz="4" w:space="0" w:color="auto"/>
              <w:bottom w:val="single" w:sz="4" w:space="0" w:color="auto"/>
            </w:tcBorders>
            <w:hideMark/>
          </w:tcPr>
          <w:p w14:paraId="0E1DD5BA"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References</w:t>
            </w:r>
          </w:p>
        </w:tc>
      </w:tr>
      <w:tr w:rsidR="00FC63B2" w:rsidRPr="00C23E1D" w14:paraId="71459751" w14:textId="77777777" w:rsidTr="00C23E1D">
        <w:trPr>
          <w:jc w:val="center"/>
        </w:trPr>
        <w:tc>
          <w:tcPr>
            <w:tcW w:w="0" w:type="auto"/>
            <w:tcBorders>
              <w:top w:val="single" w:sz="4" w:space="0" w:color="auto"/>
            </w:tcBorders>
            <w:hideMark/>
          </w:tcPr>
          <w:p w14:paraId="06DDAFE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European Union</w:t>
            </w:r>
          </w:p>
        </w:tc>
        <w:tc>
          <w:tcPr>
            <w:tcW w:w="0" w:type="auto"/>
            <w:tcBorders>
              <w:top w:val="single" w:sz="4" w:space="0" w:color="auto"/>
            </w:tcBorders>
            <w:hideMark/>
          </w:tcPr>
          <w:p w14:paraId="01B2EEF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EFSA, ECHA</w:t>
            </w:r>
          </w:p>
        </w:tc>
        <w:tc>
          <w:tcPr>
            <w:tcW w:w="0" w:type="auto"/>
            <w:tcBorders>
              <w:top w:val="single" w:sz="4" w:space="0" w:color="auto"/>
            </w:tcBorders>
            <w:hideMark/>
          </w:tcPr>
          <w:p w14:paraId="48873C3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&lt;100 nm; &gt;50% particles</w:t>
            </w:r>
          </w:p>
        </w:tc>
        <w:tc>
          <w:tcPr>
            <w:tcW w:w="0" w:type="auto"/>
            <w:tcBorders>
              <w:top w:val="single" w:sz="4" w:space="0" w:color="auto"/>
            </w:tcBorders>
            <w:hideMark/>
          </w:tcPr>
          <w:p w14:paraId="071E282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Nano-specific regulation; Novel Food Regulation</w:t>
            </w:r>
          </w:p>
        </w:tc>
        <w:tc>
          <w:tcPr>
            <w:tcW w:w="0" w:type="auto"/>
            <w:tcBorders>
              <w:top w:val="single" w:sz="4" w:space="0" w:color="auto"/>
            </w:tcBorders>
            <w:hideMark/>
          </w:tcPr>
          <w:p w14:paraId="2AF76205"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Comprehensive physicochemical characterization; toxicity studies; environmental fate</w:t>
            </w:r>
          </w:p>
        </w:tc>
        <w:tc>
          <w:tcPr>
            <w:tcW w:w="0" w:type="auto"/>
            <w:tcBorders>
              <w:top w:val="single" w:sz="4" w:space="0" w:color="auto"/>
            </w:tcBorders>
            <w:hideMark/>
          </w:tcPr>
          <w:p w14:paraId="6F782B56"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Case-by-case evaluation; few approvals</w:t>
            </w:r>
          </w:p>
        </w:tc>
        <w:tc>
          <w:tcPr>
            <w:tcW w:w="0" w:type="auto"/>
            <w:tcBorders>
              <w:top w:val="single" w:sz="4" w:space="0" w:color="auto"/>
            </w:tcBorders>
            <w:hideMark/>
          </w:tcPr>
          <w:p w14:paraId="7023740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Mandatory nano-labeling</w:t>
            </w:r>
          </w:p>
        </w:tc>
        <w:tc>
          <w:tcPr>
            <w:tcW w:w="1186" w:type="dxa"/>
            <w:tcBorders>
              <w:top w:val="single" w:sz="4" w:space="0" w:color="auto"/>
            </w:tcBorders>
            <w:hideMark/>
          </w:tcPr>
          <w:p w14:paraId="1B2839F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Hajji-</w:t>
            </w:r>
            <w:proofErr w:type="spellStart"/>
            <w:r w:rsidRPr="00C23E1D">
              <w:rPr>
                <w:rFonts w:ascii="Arial" w:hAnsi="Arial" w:cs="Arial"/>
                <w:sz w:val="20"/>
                <w:szCs w:val="20"/>
              </w:rPr>
              <w:t>Hedfi</w:t>
            </w:r>
            <w:proofErr w:type="spellEnd"/>
            <w:r w:rsidRPr="00C23E1D">
              <w:rPr>
                <w:rFonts w:ascii="Arial" w:hAnsi="Arial" w:cs="Arial"/>
                <w:sz w:val="20"/>
                <w:szCs w:val="20"/>
              </w:rPr>
              <w:t xml:space="preserve"> &amp; </w:t>
            </w:r>
            <w:proofErr w:type="spellStart"/>
            <w:r w:rsidRPr="00C23E1D">
              <w:rPr>
                <w:rFonts w:ascii="Arial" w:hAnsi="Arial" w:cs="Arial"/>
                <w:sz w:val="20"/>
                <w:szCs w:val="20"/>
              </w:rPr>
              <w:t>Chhipa</w:t>
            </w:r>
            <w:proofErr w:type="spellEnd"/>
            <w:r w:rsidRPr="00C23E1D">
              <w:rPr>
                <w:rFonts w:ascii="Arial" w:hAnsi="Arial" w:cs="Arial"/>
                <w:sz w:val="20"/>
                <w:szCs w:val="20"/>
              </w:rPr>
              <w:t>, 2021</w:t>
            </w:r>
          </w:p>
        </w:tc>
      </w:tr>
      <w:tr w:rsidR="00FC63B2" w:rsidRPr="00C23E1D" w14:paraId="67AFF021" w14:textId="77777777" w:rsidTr="00C23E1D">
        <w:trPr>
          <w:jc w:val="center"/>
        </w:trPr>
        <w:tc>
          <w:tcPr>
            <w:tcW w:w="0" w:type="auto"/>
            <w:hideMark/>
          </w:tcPr>
          <w:p w14:paraId="15CAFAA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United States</w:t>
            </w:r>
          </w:p>
        </w:tc>
        <w:tc>
          <w:tcPr>
            <w:tcW w:w="0" w:type="auto"/>
            <w:hideMark/>
          </w:tcPr>
          <w:p w14:paraId="26FEDF2B"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EPA (FIFRA), FDA</w:t>
            </w:r>
          </w:p>
        </w:tc>
        <w:tc>
          <w:tcPr>
            <w:tcW w:w="0" w:type="auto"/>
            <w:hideMark/>
          </w:tcPr>
          <w:p w14:paraId="1AC429D3"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No formal definition; case-by-case</w:t>
            </w:r>
          </w:p>
        </w:tc>
        <w:tc>
          <w:tcPr>
            <w:tcW w:w="0" w:type="auto"/>
            <w:hideMark/>
          </w:tcPr>
          <w:p w14:paraId="728535C7"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Existing pesticide regulations; nano considerations added</w:t>
            </w:r>
          </w:p>
        </w:tc>
        <w:tc>
          <w:tcPr>
            <w:tcW w:w="0" w:type="auto"/>
            <w:hideMark/>
          </w:tcPr>
          <w:p w14:paraId="7B6D00FC"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Standard pesticide data + nano-specific characterization</w:t>
            </w:r>
          </w:p>
        </w:tc>
        <w:tc>
          <w:tcPr>
            <w:tcW w:w="0" w:type="auto"/>
            <w:hideMark/>
          </w:tcPr>
          <w:p w14:paraId="1FCBC0C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 xml:space="preserve">Several </w:t>
            </w:r>
            <w:proofErr w:type="spellStart"/>
            <w:r w:rsidRPr="00C23E1D">
              <w:rPr>
                <w:rFonts w:ascii="Arial" w:hAnsi="Arial" w:cs="Arial"/>
                <w:sz w:val="20"/>
                <w:szCs w:val="20"/>
              </w:rPr>
              <w:t>nanopesticides</w:t>
            </w:r>
            <w:proofErr w:type="spellEnd"/>
            <w:r w:rsidRPr="00C23E1D">
              <w:rPr>
                <w:rFonts w:ascii="Arial" w:hAnsi="Arial" w:cs="Arial"/>
                <w:sz w:val="20"/>
                <w:szCs w:val="20"/>
              </w:rPr>
              <w:t xml:space="preserve"> registered</w:t>
            </w:r>
          </w:p>
        </w:tc>
        <w:tc>
          <w:tcPr>
            <w:tcW w:w="0" w:type="auto"/>
            <w:hideMark/>
          </w:tcPr>
          <w:p w14:paraId="66AE73AB"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Not mandatory; voluntary disclosure</w:t>
            </w:r>
          </w:p>
        </w:tc>
        <w:tc>
          <w:tcPr>
            <w:tcW w:w="1186" w:type="dxa"/>
            <w:hideMark/>
          </w:tcPr>
          <w:p w14:paraId="4D9852DE" w14:textId="77777777" w:rsidR="00C23E1D" w:rsidRPr="00C23E1D" w:rsidRDefault="00C23E1D" w:rsidP="00C04C25">
            <w:pPr>
              <w:spacing w:after="160" w:line="278" w:lineRule="auto"/>
              <w:jc w:val="both"/>
              <w:rPr>
                <w:rFonts w:ascii="Arial" w:hAnsi="Arial" w:cs="Arial"/>
                <w:sz w:val="20"/>
                <w:szCs w:val="20"/>
              </w:rPr>
            </w:pPr>
            <w:proofErr w:type="spellStart"/>
            <w:r w:rsidRPr="00C23E1D">
              <w:rPr>
                <w:rFonts w:ascii="Arial" w:hAnsi="Arial" w:cs="Arial"/>
                <w:sz w:val="20"/>
                <w:szCs w:val="20"/>
              </w:rPr>
              <w:t>Mokrini</w:t>
            </w:r>
            <w:proofErr w:type="spellEnd"/>
            <w:r w:rsidRPr="00C23E1D">
              <w:rPr>
                <w:rFonts w:ascii="Arial" w:hAnsi="Arial" w:cs="Arial"/>
                <w:sz w:val="20"/>
                <w:szCs w:val="20"/>
              </w:rPr>
              <w:t xml:space="preserve"> &amp; </w:t>
            </w:r>
            <w:proofErr w:type="spellStart"/>
            <w:r w:rsidRPr="00C23E1D">
              <w:rPr>
                <w:rFonts w:ascii="Arial" w:hAnsi="Arial" w:cs="Arial"/>
                <w:sz w:val="20"/>
                <w:szCs w:val="20"/>
              </w:rPr>
              <w:t>Bouharroud</w:t>
            </w:r>
            <w:proofErr w:type="spellEnd"/>
            <w:r w:rsidRPr="00C23E1D">
              <w:rPr>
                <w:rFonts w:ascii="Arial" w:hAnsi="Arial" w:cs="Arial"/>
                <w:sz w:val="20"/>
                <w:szCs w:val="20"/>
              </w:rPr>
              <w:t>, 2019</w:t>
            </w:r>
          </w:p>
        </w:tc>
      </w:tr>
      <w:tr w:rsidR="00FC63B2" w:rsidRPr="00C23E1D" w14:paraId="4B8C1004" w14:textId="77777777" w:rsidTr="00C23E1D">
        <w:trPr>
          <w:jc w:val="center"/>
        </w:trPr>
        <w:tc>
          <w:tcPr>
            <w:tcW w:w="0" w:type="auto"/>
            <w:hideMark/>
          </w:tcPr>
          <w:p w14:paraId="639C07E4"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China</w:t>
            </w:r>
          </w:p>
        </w:tc>
        <w:tc>
          <w:tcPr>
            <w:tcW w:w="0" w:type="auto"/>
            <w:hideMark/>
          </w:tcPr>
          <w:p w14:paraId="73E790DD"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Ministry of Agriculture and Rural Affairs</w:t>
            </w:r>
          </w:p>
        </w:tc>
        <w:tc>
          <w:tcPr>
            <w:tcW w:w="0" w:type="auto"/>
            <w:hideMark/>
          </w:tcPr>
          <w:p w14:paraId="15AD62B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&lt;100 nm</w:t>
            </w:r>
          </w:p>
        </w:tc>
        <w:tc>
          <w:tcPr>
            <w:tcW w:w="0" w:type="auto"/>
            <w:hideMark/>
          </w:tcPr>
          <w:p w14:paraId="37B1378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Emerging nano-specific guidelines; pesticide regulations</w:t>
            </w:r>
          </w:p>
        </w:tc>
        <w:tc>
          <w:tcPr>
            <w:tcW w:w="0" w:type="auto"/>
            <w:hideMark/>
          </w:tcPr>
          <w:p w14:paraId="24AC64ED"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Physicochemical properties; efficacy; safety studies</w:t>
            </w:r>
          </w:p>
        </w:tc>
        <w:tc>
          <w:tcPr>
            <w:tcW w:w="0" w:type="auto"/>
            <w:hideMark/>
          </w:tcPr>
          <w:p w14:paraId="04A8AFF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Growing number of approvals</w:t>
            </w:r>
          </w:p>
        </w:tc>
        <w:tc>
          <w:tcPr>
            <w:tcW w:w="0" w:type="auto"/>
            <w:hideMark/>
          </w:tcPr>
          <w:p w14:paraId="5674593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Under development</w:t>
            </w:r>
          </w:p>
        </w:tc>
        <w:tc>
          <w:tcPr>
            <w:tcW w:w="1186" w:type="dxa"/>
            <w:hideMark/>
          </w:tcPr>
          <w:p w14:paraId="488FB127"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Hajji-</w:t>
            </w:r>
            <w:proofErr w:type="spellStart"/>
            <w:r w:rsidRPr="00C23E1D">
              <w:rPr>
                <w:rFonts w:ascii="Arial" w:hAnsi="Arial" w:cs="Arial"/>
                <w:sz w:val="20"/>
                <w:szCs w:val="20"/>
              </w:rPr>
              <w:t>Hedfi</w:t>
            </w:r>
            <w:proofErr w:type="spellEnd"/>
            <w:r w:rsidRPr="00C23E1D">
              <w:rPr>
                <w:rFonts w:ascii="Arial" w:hAnsi="Arial" w:cs="Arial"/>
                <w:sz w:val="20"/>
                <w:szCs w:val="20"/>
              </w:rPr>
              <w:t xml:space="preserve"> &amp; </w:t>
            </w:r>
            <w:proofErr w:type="spellStart"/>
            <w:r w:rsidRPr="00C23E1D">
              <w:rPr>
                <w:rFonts w:ascii="Arial" w:hAnsi="Arial" w:cs="Arial"/>
                <w:sz w:val="20"/>
                <w:szCs w:val="20"/>
              </w:rPr>
              <w:t>Chhipa</w:t>
            </w:r>
            <w:proofErr w:type="spellEnd"/>
            <w:r w:rsidRPr="00C23E1D">
              <w:rPr>
                <w:rFonts w:ascii="Arial" w:hAnsi="Arial" w:cs="Arial"/>
                <w:sz w:val="20"/>
                <w:szCs w:val="20"/>
              </w:rPr>
              <w:t>, 2021</w:t>
            </w:r>
          </w:p>
        </w:tc>
      </w:tr>
      <w:tr w:rsidR="00FC63B2" w:rsidRPr="00C23E1D" w14:paraId="255F6F93" w14:textId="77777777" w:rsidTr="00C23E1D">
        <w:trPr>
          <w:jc w:val="center"/>
        </w:trPr>
        <w:tc>
          <w:tcPr>
            <w:tcW w:w="0" w:type="auto"/>
            <w:hideMark/>
          </w:tcPr>
          <w:p w14:paraId="574F440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India</w:t>
            </w:r>
          </w:p>
        </w:tc>
        <w:tc>
          <w:tcPr>
            <w:tcW w:w="0" w:type="auto"/>
            <w:hideMark/>
          </w:tcPr>
          <w:p w14:paraId="16F224A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Central Insecticides Board &amp; Registration Committee</w:t>
            </w:r>
          </w:p>
        </w:tc>
        <w:tc>
          <w:tcPr>
            <w:tcW w:w="0" w:type="auto"/>
            <w:hideMark/>
          </w:tcPr>
          <w:p w14:paraId="6273E4A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No formal definition</w:t>
            </w:r>
          </w:p>
        </w:tc>
        <w:tc>
          <w:tcPr>
            <w:tcW w:w="0" w:type="auto"/>
            <w:hideMark/>
          </w:tcPr>
          <w:p w14:paraId="1318461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Existing pesticide regulations; nano considerations emerging</w:t>
            </w:r>
          </w:p>
        </w:tc>
        <w:tc>
          <w:tcPr>
            <w:tcW w:w="0" w:type="auto"/>
            <w:hideMark/>
          </w:tcPr>
          <w:p w14:paraId="2545D59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Standard pesticide testing; nano properties under review</w:t>
            </w:r>
          </w:p>
        </w:tc>
        <w:tc>
          <w:tcPr>
            <w:tcW w:w="0" w:type="auto"/>
            <w:hideMark/>
          </w:tcPr>
          <w:p w14:paraId="0320F28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Limited nano-specific approvals</w:t>
            </w:r>
          </w:p>
        </w:tc>
        <w:tc>
          <w:tcPr>
            <w:tcW w:w="0" w:type="auto"/>
            <w:hideMark/>
          </w:tcPr>
          <w:p w14:paraId="22040C1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Not required</w:t>
            </w:r>
          </w:p>
        </w:tc>
        <w:tc>
          <w:tcPr>
            <w:tcW w:w="1186" w:type="dxa"/>
            <w:hideMark/>
          </w:tcPr>
          <w:p w14:paraId="105198CB" w14:textId="77777777" w:rsidR="00C23E1D" w:rsidRPr="00C23E1D" w:rsidRDefault="00C23E1D" w:rsidP="00C04C25">
            <w:pPr>
              <w:spacing w:after="160" w:line="278" w:lineRule="auto"/>
              <w:jc w:val="both"/>
              <w:rPr>
                <w:rFonts w:ascii="Arial" w:hAnsi="Arial" w:cs="Arial"/>
                <w:sz w:val="20"/>
                <w:szCs w:val="20"/>
              </w:rPr>
            </w:pPr>
            <w:proofErr w:type="spellStart"/>
            <w:r w:rsidRPr="00C23E1D">
              <w:rPr>
                <w:rFonts w:ascii="Arial" w:hAnsi="Arial" w:cs="Arial"/>
                <w:sz w:val="20"/>
                <w:szCs w:val="20"/>
              </w:rPr>
              <w:t>Mokrini</w:t>
            </w:r>
            <w:proofErr w:type="spellEnd"/>
            <w:r w:rsidRPr="00C23E1D">
              <w:rPr>
                <w:rFonts w:ascii="Arial" w:hAnsi="Arial" w:cs="Arial"/>
                <w:sz w:val="20"/>
                <w:szCs w:val="20"/>
              </w:rPr>
              <w:t xml:space="preserve"> &amp; </w:t>
            </w:r>
            <w:proofErr w:type="spellStart"/>
            <w:r w:rsidRPr="00C23E1D">
              <w:rPr>
                <w:rFonts w:ascii="Arial" w:hAnsi="Arial" w:cs="Arial"/>
                <w:sz w:val="20"/>
                <w:szCs w:val="20"/>
              </w:rPr>
              <w:t>Bouharroud</w:t>
            </w:r>
            <w:proofErr w:type="spellEnd"/>
            <w:r w:rsidRPr="00C23E1D">
              <w:rPr>
                <w:rFonts w:ascii="Arial" w:hAnsi="Arial" w:cs="Arial"/>
                <w:sz w:val="20"/>
                <w:szCs w:val="20"/>
              </w:rPr>
              <w:t>, 2019</w:t>
            </w:r>
          </w:p>
        </w:tc>
      </w:tr>
      <w:tr w:rsidR="00FC63B2" w:rsidRPr="00C23E1D" w14:paraId="6AB35A04" w14:textId="77777777" w:rsidTr="00C23E1D">
        <w:trPr>
          <w:jc w:val="center"/>
        </w:trPr>
        <w:tc>
          <w:tcPr>
            <w:tcW w:w="0" w:type="auto"/>
            <w:hideMark/>
          </w:tcPr>
          <w:p w14:paraId="59482D5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lastRenderedPageBreak/>
              <w:t>Brazil</w:t>
            </w:r>
          </w:p>
        </w:tc>
        <w:tc>
          <w:tcPr>
            <w:tcW w:w="0" w:type="auto"/>
            <w:hideMark/>
          </w:tcPr>
          <w:p w14:paraId="41008C1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ANVISA, IBAMA, MAPA</w:t>
            </w:r>
          </w:p>
        </w:tc>
        <w:tc>
          <w:tcPr>
            <w:tcW w:w="0" w:type="auto"/>
            <w:hideMark/>
          </w:tcPr>
          <w:p w14:paraId="4D0B499D"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Under development</w:t>
            </w:r>
          </w:p>
        </w:tc>
        <w:tc>
          <w:tcPr>
            <w:tcW w:w="0" w:type="auto"/>
            <w:hideMark/>
          </w:tcPr>
          <w:p w14:paraId="4513DE2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Pesticide regulations; nano aspects under review</w:t>
            </w:r>
          </w:p>
        </w:tc>
        <w:tc>
          <w:tcPr>
            <w:tcW w:w="0" w:type="auto"/>
            <w:hideMark/>
          </w:tcPr>
          <w:p w14:paraId="263E815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Standard pesticide data; nano characterization recommended</w:t>
            </w:r>
          </w:p>
        </w:tc>
        <w:tc>
          <w:tcPr>
            <w:tcW w:w="0" w:type="auto"/>
            <w:hideMark/>
          </w:tcPr>
          <w:p w14:paraId="46F5CF03"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Few registrations</w:t>
            </w:r>
          </w:p>
        </w:tc>
        <w:tc>
          <w:tcPr>
            <w:tcW w:w="0" w:type="auto"/>
            <w:hideMark/>
          </w:tcPr>
          <w:p w14:paraId="5F137417"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Not required</w:t>
            </w:r>
          </w:p>
        </w:tc>
        <w:tc>
          <w:tcPr>
            <w:tcW w:w="1186" w:type="dxa"/>
            <w:hideMark/>
          </w:tcPr>
          <w:p w14:paraId="0859739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Hajji-</w:t>
            </w:r>
            <w:proofErr w:type="spellStart"/>
            <w:r w:rsidRPr="00C23E1D">
              <w:rPr>
                <w:rFonts w:ascii="Arial" w:hAnsi="Arial" w:cs="Arial"/>
                <w:sz w:val="20"/>
                <w:szCs w:val="20"/>
              </w:rPr>
              <w:t>Hedfi</w:t>
            </w:r>
            <w:proofErr w:type="spellEnd"/>
            <w:r w:rsidRPr="00C23E1D">
              <w:rPr>
                <w:rFonts w:ascii="Arial" w:hAnsi="Arial" w:cs="Arial"/>
                <w:sz w:val="20"/>
                <w:szCs w:val="20"/>
              </w:rPr>
              <w:t xml:space="preserve"> &amp; </w:t>
            </w:r>
            <w:proofErr w:type="spellStart"/>
            <w:r w:rsidRPr="00C23E1D">
              <w:rPr>
                <w:rFonts w:ascii="Arial" w:hAnsi="Arial" w:cs="Arial"/>
                <w:sz w:val="20"/>
                <w:szCs w:val="20"/>
              </w:rPr>
              <w:t>Chhipa</w:t>
            </w:r>
            <w:proofErr w:type="spellEnd"/>
            <w:r w:rsidRPr="00C23E1D">
              <w:rPr>
                <w:rFonts w:ascii="Arial" w:hAnsi="Arial" w:cs="Arial"/>
                <w:sz w:val="20"/>
                <w:szCs w:val="20"/>
              </w:rPr>
              <w:t>, 2021</w:t>
            </w:r>
          </w:p>
        </w:tc>
      </w:tr>
      <w:tr w:rsidR="00FC63B2" w:rsidRPr="00C23E1D" w14:paraId="6CEF3AB8" w14:textId="77777777" w:rsidTr="00C23E1D">
        <w:trPr>
          <w:jc w:val="center"/>
        </w:trPr>
        <w:tc>
          <w:tcPr>
            <w:tcW w:w="0" w:type="auto"/>
            <w:hideMark/>
          </w:tcPr>
          <w:p w14:paraId="7D912B35"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Australia</w:t>
            </w:r>
          </w:p>
        </w:tc>
        <w:tc>
          <w:tcPr>
            <w:tcW w:w="0" w:type="auto"/>
            <w:hideMark/>
          </w:tcPr>
          <w:p w14:paraId="453395B4"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APVMA</w:t>
            </w:r>
          </w:p>
        </w:tc>
        <w:tc>
          <w:tcPr>
            <w:tcW w:w="0" w:type="auto"/>
            <w:hideMark/>
          </w:tcPr>
          <w:p w14:paraId="6702E13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&lt;100 nm</w:t>
            </w:r>
          </w:p>
        </w:tc>
        <w:tc>
          <w:tcPr>
            <w:tcW w:w="0" w:type="auto"/>
            <w:hideMark/>
          </w:tcPr>
          <w:p w14:paraId="74862DF4"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Existing pesticide regulations; nano guidance available</w:t>
            </w:r>
          </w:p>
        </w:tc>
        <w:tc>
          <w:tcPr>
            <w:tcW w:w="0" w:type="auto"/>
            <w:hideMark/>
          </w:tcPr>
          <w:p w14:paraId="5A9DCDF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Standard data + nano-specific characterization</w:t>
            </w:r>
          </w:p>
        </w:tc>
        <w:tc>
          <w:tcPr>
            <w:tcW w:w="0" w:type="auto"/>
            <w:hideMark/>
          </w:tcPr>
          <w:p w14:paraId="72F3855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Limited nano approvals</w:t>
            </w:r>
          </w:p>
        </w:tc>
        <w:tc>
          <w:tcPr>
            <w:tcW w:w="0" w:type="auto"/>
            <w:hideMark/>
          </w:tcPr>
          <w:p w14:paraId="034EA004"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Mandatory for novel nanomaterials</w:t>
            </w:r>
          </w:p>
        </w:tc>
        <w:tc>
          <w:tcPr>
            <w:tcW w:w="1186" w:type="dxa"/>
            <w:hideMark/>
          </w:tcPr>
          <w:p w14:paraId="7A5D6B6D" w14:textId="77777777" w:rsidR="00C23E1D" w:rsidRPr="00C23E1D" w:rsidRDefault="00C23E1D" w:rsidP="00C04C25">
            <w:pPr>
              <w:spacing w:after="160" w:line="278" w:lineRule="auto"/>
              <w:jc w:val="both"/>
              <w:rPr>
                <w:rFonts w:ascii="Arial" w:hAnsi="Arial" w:cs="Arial"/>
                <w:sz w:val="20"/>
                <w:szCs w:val="20"/>
              </w:rPr>
            </w:pPr>
            <w:proofErr w:type="spellStart"/>
            <w:r w:rsidRPr="00C23E1D">
              <w:rPr>
                <w:rFonts w:ascii="Arial" w:hAnsi="Arial" w:cs="Arial"/>
                <w:sz w:val="20"/>
                <w:szCs w:val="20"/>
              </w:rPr>
              <w:t>Mokrini</w:t>
            </w:r>
            <w:proofErr w:type="spellEnd"/>
            <w:r w:rsidRPr="00C23E1D">
              <w:rPr>
                <w:rFonts w:ascii="Arial" w:hAnsi="Arial" w:cs="Arial"/>
                <w:sz w:val="20"/>
                <w:szCs w:val="20"/>
              </w:rPr>
              <w:t xml:space="preserve"> &amp; </w:t>
            </w:r>
            <w:proofErr w:type="spellStart"/>
            <w:r w:rsidRPr="00C23E1D">
              <w:rPr>
                <w:rFonts w:ascii="Arial" w:hAnsi="Arial" w:cs="Arial"/>
                <w:sz w:val="20"/>
                <w:szCs w:val="20"/>
              </w:rPr>
              <w:t>Bouharroud</w:t>
            </w:r>
            <w:proofErr w:type="spellEnd"/>
            <w:r w:rsidRPr="00C23E1D">
              <w:rPr>
                <w:rFonts w:ascii="Arial" w:hAnsi="Arial" w:cs="Arial"/>
                <w:sz w:val="20"/>
                <w:szCs w:val="20"/>
              </w:rPr>
              <w:t>, 2019</w:t>
            </w:r>
          </w:p>
        </w:tc>
      </w:tr>
      <w:tr w:rsidR="00FC63B2" w:rsidRPr="00C23E1D" w14:paraId="1C14B565" w14:textId="77777777" w:rsidTr="00C23E1D">
        <w:trPr>
          <w:jc w:val="center"/>
        </w:trPr>
        <w:tc>
          <w:tcPr>
            <w:tcW w:w="0" w:type="auto"/>
            <w:hideMark/>
          </w:tcPr>
          <w:p w14:paraId="30AC9B0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Japan</w:t>
            </w:r>
          </w:p>
        </w:tc>
        <w:tc>
          <w:tcPr>
            <w:tcW w:w="0" w:type="auto"/>
            <w:hideMark/>
          </w:tcPr>
          <w:p w14:paraId="68C3606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Ministry of Agriculture, Forestry and Fisheries</w:t>
            </w:r>
          </w:p>
        </w:tc>
        <w:tc>
          <w:tcPr>
            <w:tcW w:w="0" w:type="auto"/>
            <w:hideMark/>
          </w:tcPr>
          <w:p w14:paraId="2A5771D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&lt;100 nm</w:t>
            </w:r>
          </w:p>
        </w:tc>
        <w:tc>
          <w:tcPr>
            <w:tcW w:w="0" w:type="auto"/>
            <w:hideMark/>
          </w:tcPr>
          <w:p w14:paraId="77B6438D"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Pesticide regulations; nano-specific guidance</w:t>
            </w:r>
          </w:p>
        </w:tc>
        <w:tc>
          <w:tcPr>
            <w:tcW w:w="0" w:type="auto"/>
            <w:hideMark/>
          </w:tcPr>
          <w:p w14:paraId="264A764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Physicochemical characterization; safety studies</w:t>
            </w:r>
          </w:p>
        </w:tc>
        <w:tc>
          <w:tcPr>
            <w:tcW w:w="0" w:type="auto"/>
            <w:hideMark/>
          </w:tcPr>
          <w:p w14:paraId="11A7632C"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Few approvals</w:t>
            </w:r>
          </w:p>
        </w:tc>
        <w:tc>
          <w:tcPr>
            <w:tcW w:w="0" w:type="auto"/>
            <w:hideMark/>
          </w:tcPr>
          <w:p w14:paraId="5D94545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Under consideration</w:t>
            </w:r>
          </w:p>
        </w:tc>
        <w:tc>
          <w:tcPr>
            <w:tcW w:w="1186" w:type="dxa"/>
            <w:hideMark/>
          </w:tcPr>
          <w:p w14:paraId="1E757BA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Hajji-</w:t>
            </w:r>
            <w:proofErr w:type="spellStart"/>
            <w:r w:rsidRPr="00C23E1D">
              <w:rPr>
                <w:rFonts w:ascii="Arial" w:hAnsi="Arial" w:cs="Arial"/>
                <w:sz w:val="20"/>
                <w:szCs w:val="20"/>
              </w:rPr>
              <w:t>Hedfi</w:t>
            </w:r>
            <w:proofErr w:type="spellEnd"/>
            <w:r w:rsidRPr="00C23E1D">
              <w:rPr>
                <w:rFonts w:ascii="Arial" w:hAnsi="Arial" w:cs="Arial"/>
                <w:sz w:val="20"/>
                <w:szCs w:val="20"/>
              </w:rPr>
              <w:t xml:space="preserve"> &amp; </w:t>
            </w:r>
            <w:proofErr w:type="spellStart"/>
            <w:r w:rsidRPr="00C23E1D">
              <w:rPr>
                <w:rFonts w:ascii="Arial" w:hAnsi="Arial" w:cs="Arial"/>
                <w:sz w:val="20"/>
                <w:szCs w:val="20"/>
              </w:rPr>
              <w:t>Chhipa</w:t>
            </w:r>
            <w:proofErr w:type="spellEnd"/>
            <w:r w:rsidRPr="00C23E1D">
              <w:rPr>
                <w:rFonts w:ascii="Arial" w:hAnsi="Arial" w:cs="Arial"/>
                <w:sz w:val="20"/>
                <w:szCs w:val="20"/>
              </w:rPr>
              <w:t>, 2021</w:t>
            </w:r>
          </w:p>
        </w:tc>
      </w:tr>
    </w:tbl>
    <w:p w14:paraId="617F985D" w14:textId="77777777" w:rsidR="00C23E1D" w:rsidRPr="00C23E1D" w:rsidRDefault="00C23E1D" w:rsidP="00C23E1D">
      <w:pPr>
        <w:jc w:val="both"/>
        <w:rPr>
          <w:rFonts w:ascii="Arial" w:hAnsi="Arial" w:cs="Arial"/>
          <w:i/>
          <w:iCs/>
        </w:rPr>
      </w:pPr>
      <w:r w:rsidRPr="00C23E1D">
        <w:rPr>
          <w:rFonts w:ascii="Arial" w:hAnsi="Arial" w:cs="Arial"/>
          <w:b/>
          <w:bCs/>
          <w:i/>
          <w:iCs/>
        </w:rPr>
        <w:t>Note:</w:t>
      </w:r>
      <w:r w:rsidRPr="00C23E1D">
        <w:rPr>
          <w:rFonts w:ascii="Arial" w:hAnsi="Arial" w:cs="Arial"/>
          <w:i/>
          <w:iCs/>
        </w:rPr>
        <w:t> EFSA = European Food Safety Authority; ECHA = European Chemicals Agency; EPA = U.S. Environmental Protection Agency; FIFRA = Federal Insecticide, Fungicide, and Rodenticide Act; FDA = U.S. Food and Drug Administration; ANVISA = Brazilian Health Regulatory Agency; IBAMA = Brazilian Institute of Environment and Renewable Natural Resources; MAPA = Ministry of Agriculture, Livestock and Food Supply; APVMA = Australian Pesticides and Veterinary Medicines Authority.</w:t>
      </w:r>
    </w:p>
    <w:p w14:paraId="77051C38" w14:textId="77777777" w:rsidR="00C23E1D" w:rsidRPr="00C23E1D" w:rsidRDefault="00C23E1D" w:rsidP="00C23E1D">
      <w:pPr>
        <w:jc w:val="both"/>
        <w:rPr>
          <w:rFonts w:ascii="Arial" w:hAnsi="Arial" w:cs="Arial"/>
          <w:sz w:val="22"/>
          <w:szCs w:val="22"/>
        </w:rPr>
      </w:pPr>
    </w:p>
    <w:p w14:paraId="1A189AE4" w14:textId="02BA8F58" w:rsidR="00C23E1D" w:rsidRPr="00C23E1D" w:rsidRDefault="00C23E1D" w:rsidP="00C23E1D">
      <w:pPr>
        <w:jc w:val="both"/>
        <w:rPr>
          <w:rFonts w:ascii="Arial" w:hAnsi="Arial" w:cs="Arial"/>
          <w:b/>
          <w:bCs/>
          <w:sz w:val="22"/>
          <w:szCs w:val="22"/>
        </w:rPr>
      </w:pPr>
      <w:r w:rsidRPr="00C23E1D">
        <w:rPr>
          <w:rFonts w:ascii="Arial" w:hAnsi="Arial" w:cs="Arial"/>
          <w:b/>
          <w:bCs/>
          <w:sz w:val="22"/>
          <w:szCs w:val="22"/>
        </w:rPr>
        <w:t>7. ECONOMIC FEASIBILITY AND ADOPTION CHALLENGES</w:t>
      </w:r>
    </w:p>
    <w:p w14:paraId="3CFACAC2" w14:textId="77777777" w:rsidR="00C23E1D" w:rsidRPr="00C23E1D" w:rsidRDefault="00C23E1D" w:rsidP="00C23E1D">
      <w:pPr>
        <w:jc w:val="both"/>
        <w:rPr>
          <w:rFonts w:ascii="Arial" w:hAnsi="Arial" w:cs="Arial"/>
          <w:b/>
          <w:bCs/>
          <w:sz w:val="22"/>
          <w:szCs w:val="22"/>
        </w:rPr>
      </w:pPr>
      <w:r w:rsidRPr="00C23E1D">
        <w:rPr>
          <w:rFonts w:ascii="Arial" w:hAnsi="Arial" w:cs="Arial"/>
          <w:b/>
          <w:bCs/>
          <w:sz w:val="22"/>
          <w:szCs w:val="22"/>
        </w:rPr>
        <w:t>7.1 Production Costs and Economic Viability</w:t>
      </w:r>
    </w:p>
    <w:p w14:paraId="7C415B93" w14:textId="77777777" w:rsidR="00C23E1D" w:rsidRPr="00C23E1D" w:rsidRDefault="00C23E1D" w:rsidP="00C23E1D">
      <w:pPr>
        <w:jc w:val="both"/>
        <w:rPr>
          <w:rFonts w:ascii="Arial" w:hAnsi="Arial" w:cs="Arial"/>
        </w:rPr>
      </w:pPr>
      <w:r w:rsidRPr="00C23E1D">
        <w:rPr>
          <w:rFonts w:ascii="Arial" w:hAnsi="Arial" w:cs="Arial"/>
        </w:rPr>
        <w:t xml:space="preserve">The economic feasibility of nanotechnology-based pest and disease management products represents a critical factor determining adoption rates among farmers. Production costs for nanomaterials and nano-formulations are generally higher than conventional pesticide formulations due to specialized synthesis methods, quality control requirements, and smaller production scales (Sharma et al., 2024). However, economic analyses must consider total system costs rather than only input prices, accounting for factors including reduced application frequency, lower active ingredient requirements, decreased crop losses, and potential premium prices for products grown with reduced chemical inputs (Rajan &amp; Mathew, 2025). Cost-benefit analyses conducted in various contexts suggest that </w:t>
      </w:r>
      <w:proofErr w:type="spellStart"/>
      <w:r w:rsidRPr="00C23E1D">
        <w:rPr>
          <w:rFonts w:ascii="Arial" w:hAnsi="Arial" w:cs="Arial"/>
        </w:rPr>
        <w:t>nanopesticides</w:t>
      </w:r>
      <w:proofErr w:type="spellEnd"/>
      <w:r w:rsidRPr="00C23E1D">
        <w:rPr>
          <w:rFonts w:ascii="Arial" w:hAnsi="Arial" w:cs="Arial"/>
        </w:rPr>
        <w:t xml:space="preserve"> and </w:t>
      </w:r>
      <w:proofErr w:type="spellStart"/>
      <w:r w:rsidRPr="00C23E1D">
        <w:rPr>
          <w:rFonts w:ascii="Arial" w:hAnsi="Arial" w:cs="Arial"/>
        </w:rPr>
        <w:t>nanofungicides</w:t>
      </w:r>
      <w:proofErr w:type="spellEnd"/>
      <w:r w:rsidRPr="00C23E1D">
        <w:rPr>
          <w:rFonts w:ascii="Arial" w:hAnsi="Arial" w:cs="Arial"/>
        </w:rPr>
        <w:t xml:space="preserve"> can achieve favorable economic returns when efficacy advantages and reduced application needs are factored into calculations (Sharma et al., 2024). Scaling up production to commercial volumes is expected to reduce unit costs through economies of scale, making nano-enabled products increasingly competitive with conventional alternatives (Rajan &amp; Mathew, 2025). </w:t>
      </w:r>
      <w:r w:rsidRPr="00C23E1D">
        <w:rPr>
          <w:rFonts w:ascii="Arial" w:hAnsi="Arial" w:cs="Arial"/>
          <w:b/>
          <w:bCs/>
        </w:rPr>
        <w:t>Table 12</w:t>
      </w:r>
      <w:r w:rsidRPr="00C23E1D">
        <w:rPr>
          <w:rFonts w:ascii="Arial" w:hAnsi="Arial" w:cs="Arial"/>
        </w:rPr>
        <w:t> presents a cost-benefit analysis comparing conventional and nanotechnology-based pest management approaches.</w:t>
      </w:r>
    </w:p>
    <w:p w14:paraId="692C5F04" w14:textId="77777777" w:rsidR="00C23E1D" w:rsidRPr="00C23E1D" w:rsidRDefault="00C23E1D" w:rsidP="00C23E1D">
      <w:pPr>
        <w:jc w:val="both"/>
        <w:rPr>
          <w:rFonts w:ascii="Arial" w:hAnsi="Arial" w:cs="Arial"/>
        </w:rPr>
      </w:pPr>
    </w:p>
    <w:p w14:paraId="664607E6" w14:textId="77777777" w:rsidR="00C23E1D" w:rsidRPr="00C23E1D" w:rsidRDefault="00C23E1D" w:rsidP="00C23E1D">
      <w:pPr>
        <w:jc w:val="both"/>
        <w:rPr>
          <w:rFonts w:ascii="Arial" w:hAnsi="Arial" w:cs="Arial"/>
        </w:rPr>
      </w:pPr>
    </w:p>
    <w:p w14:paraId="27A9EE87" w14:textId="77777777" w:rsidR="00C23E1D" w:rsidRPr="00C23E1D" w:rsidRDefault="00C23E1D" w:rsidP="00C23E1D">
      <w:pPr>
        <w:jc w:val="both"/>
        <w:rPr>
          <w:rFonts w:ascii="Arial" w:hAnsi="Arial" w:cs="Arial"/>
        </w:rPr>
      </w:pPr>
      <w:r w:rsidRPr="00C23E1D">
        <w:rPr>
          <w:rFonts w:ascii="Arial" w:hAnsi="Arial" w:cs="Arial"/>
          <w:b/>
          <w:bCs/>
        </w:rPr>
        <w:t>Table 12.</w:t>
      </w:r>
      <w:r w:rsidRPr="00C23E1D">
        <w:rPr>
          <w:rFonts w:ascii="Arial" w:hAnsi="Arial" w:cs="Arial"/>
        </w:rPr>
        <w:t> Economic Comparison: Conventional vs. Nanotechnology-Based Pest Management</w:t>
      </w:r>
    </w:p>
    <w:tbl>
      <w:tblPr>
        <w:tblStyle w:val="TableGrid"/>
        <w:tblW w:w="10193"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95"/>
        <w:gridCol w:w="1483"/>
        <w:gridCol w:w="1783"/>
        <w:gridCol w:w="1195"/>
        <w:gridCol w:w="1462"/>
        <w:gridCol w:w="1975"/>
      </w:tblGrid>
      <w:tr w:rsidR="00C23E1D" w:rsidRPr="00C23E1D" w14:paraId="5A33E415" w14:textId="77777777" w:rsidTr="00C23E1D">
        <w:trPr>
          <w:trHeight w:val="600"/>
          <w:jc w:val="center"/>
        </w:trPr>
        <w:tc>
          <w:tcPr>
            <w:tcW w:w="0" w:type="auto"/>
            <w:tcBorders>
              <w:top w:val="single" w:sz="4" w:space="0" w:color="auto"/>
              <w:bottom w:val="single" w:sz="4" w:space="0" w:color="auto"/>
            </w:tcBorders>
            <w:hideMark/>
          </w:tcPr>
          <w:p w14:paraId="3D308111"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Cost/Benefit Category</w:t>
            </w:r>
          </w:p>
        </w:tc>
        <w:tc>
          <w:tcPr>
            <w:tcW w:w="0" w:type="auto"/>
            <w:tcBorders>
              <w:top w:val="single" w:sz="4" w:space="0" w:color="auto"/>
              <w:bottom w:val="single" w:sz="4" w:space="0" w:color="auto"/>
            </w:tcBorders>
            <w:hideMark/>
          </w:tcPr>
          <w:p w14:paraId="08D442B8"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Conventional Approach</w:t>
            </w:r>
          </w:p>
        </w:tc>
        <w:tc>
          <w:tcPr>
            <w:tcW w:w="0" w:type="auto"/>
            <w:tcBorders>
              <w:top w:val="single" w:sz="4" w:space="0" w:color="auto"/>
              <w:bottom w:val="single" w:sz="4" w:space="0" w:color="auto"/>
            </w:tcBorders>
            <w:hideMark/>
          </w:tcPr>
          <w:p w14:paraId="521042A4"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Nanotechnology Approach</w:t>
            </w:r>
          </w:p>
        </w:tc>
        <w:tc>
          <w:tcPr>
            <w:tcW w:w="0" w:type="auto"/>
            <w:tcBorders>
              <w:top w:val="single" w:sz="4" w:space="0" w:color="auto"/>
              <w:bottom w:val="single" w:sz="4" w:space="0" w:color="auto"/>
            </w:tcBorders>
            <w:hideMark/>
          </w:tcPr>
          <w:p w14:paraId="54D97773"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Net Difference</w:t>
            </w:r>
          </w:p>
        </w:tc>
        <w:tc>
          <w:tcPr>
            <w:tcW w:w="0" w:type="auto"/>
            <w:tcBorders>
              <w:top w:val="single" w:sz="4" w:space="0" w:color="auto"/>
              <w:bottom w:val="single" w:sz="4" w:space="0" w:color="auto"/>
            </w:tcBorders>
            <w:hideMark/>
          </w:tcPr>
          <w:p w14:paraId="35C869DE"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Notes</w:t>
            </w:r>
          </w:p>
        </w:tc>
        <w:tc>
          <w:tcPr>
            <w:tcW w:w="1975" w:type="dxa"/>
            <w:tcBorders>
              <w:top w:val="single" w:sz="4" w:space="0" w:color="auto"/>
              <w:bottom w:val="single" w:sz="4" w:space="0" w:color="auto"/>
            </w:tcBorders>
            <w:hideMark/>
          </w:tcPr>
          <w:p w14:paraId="6492437C"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References</w:t>
            </w:r>
          </w:p>
        </w:tc>
      </w:tr>
      <w:tr w:rsidR="00C23E1D" w:rsidRPr="00C23E1D" w14:paraId="0CFD61B2" w14:textId="77777777" w:rsidTr="00C23E1D">
        <w:trPr>
          <w:jc w:val="center"/>
        </w:trPr>
        <w:tc>
          <w:tcPr>
            <w:tcW w:w="0" w:type="auto"/>
            <w:tcBorders>
              <w:top w:val="single" w:sz="4" w:space="0" w:color="auto"/>
            </w:tcBorders>
            <w:hideMark/>
          </w:tcPr>
          <w:p w14:paraId="13C1D305"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Input Costs</w:t>
            </w:r>
          </w:p>
        </w:tc>
        <w:tc>
          <w:tcPr>
            <w:tcW w:w="0" w:type="auto"/>
            <w:tcBorders>
              <w:top w:val="single" w:sz="4" w:space="0" w:color="auto"/>
            </w:tcBorders>
            <w:hideMark/>
          </w:tcPr>
          <w:p w14:paraId="0DC9350C" w14:textId="77777777" w:rsidR="00C23E1D" w:rsidRPr="00C23E1D" w:rsidRDefault="00C23E1D" w:rsidP="00C04C25">
            <w:pPr>
              <w:spacing w:after="160" w:line="278" w:lineRule="auto"/>
              <w:jc w:val="both"/>
              <w:rPr>
                <w:rFonts w:ascii="Arial" w:hAnsi="Arial" w:cs="Arial"/>
                <w:sz w:val="20"/>
                <w:szCs w:val="20"/>
              </w:rPr>
            </w:pPr>
          </w:p>
        </w:tc>
        <w:tc>
          <w:tcPr>
            <w:tcW w:w="0" w:type="auto"/>
            <w:tcBorders>
              <w:top w:val="single" w:sz="4" w:space="0" w:color="auto"/>
            </w:tcBorders>
            <w:hideMark/>
          </w:tcPr>
          <w:p w14:paraId="7B04B2BF" w14:textId="77777777" w:rsidR="00C23E1D" w:rsidRPr="00C23E1D" w:rsidRDefault="00C23E1D" w:rsidP="00C04C25">
            <w:pPr>
              <w:spacing w:after="160" w:line="278" w:lineRule="auto"/>
              <w:jc w:val="both"/>
              <w:rPr>
                <w:rFonts w:ascii="Arial" w:hAnsi="Arial" w:cs="Arial"/>
                <w:sz w:val="20"/>
                <w:szCs w:val="20"/>
              </w:rPr>
            </w:pPr>
          </w:p>
        </w:tc>
        <w:tc>
          <w:tcPr>
            <w:tcW w:w="0" w:type="auto"/>
            <w:tcBorders>
              <w:top w:val="single" w:sz="4" w:space="0" w:color="auto"/>
            </w:tcBorders>
            <w:hideMark/>
          </w:tcPr>
          <w:p w14:paraId="7E4A3BB9" w14:textId="77777777" w:rsidR="00C23E1D" w:rsidRPr="00C23E1D" w:rsidRDefault="00C23E1D" w:rsidP="00C04C25">
            <w:pPr>
              <w:spacing w:after="160" w:line="278" w:lineRule="auto"/>
              <w:jc w:val="both"/>
              <w:rPr>
                <w:rFonts w:ascii="Arial" w:hAnsi="Arial" w:cs="Arial"/>
                <w:sz w:val="20"/>
                <w:szCs w:val="20"/>
              </w:rPr>
            </w:pPr>
          </w:p>
        </w:tc>
        <w:tc>
          <w:tcPr>
            <w:tcW w:w="0" w:type="auto"/>
            <w:tcBorders>
              <w:top w:val="single" w:sz="4" w:space="0" w:color="auto"/>
            </w:tcBorders>
            <w:hideMark/>
          </w:tcPr>
          <w:p w14:paraId="00E22F9B" w14:textId="77777777" w:rsidR="00C23E1D" w:rsidRPr="00C23E1D" w:rsidRDefault="00C23E1D" w:rsidP="00C04C25">
            <w:pPr>
              <w:spacing w:after="160" w:line="278" w:lineRule="auto"/>
              <w:jc w:val="both"/>
              <w:rPr>
                <w:rFonts w:ascii="Arial" w:hAnsi="Arial" w:cs="Arial"/>
                <w:sz w:val="20"/>
                <w:szCs w:val="20"/>
              </w:rPr>
            </w:pPr>
          </w:p>
        </w:tc>
        <w:tc>
          <w:tcPr>
            <w:tcW w:w="1975" w:type="dxa"/>
            <w:tcBorders>
              <w:top w:val="single" w:sz="4" w:space="0" w:color="auto"/>
            </w:tcBorders>
            <w:hideMark/>
          </w:tcPr>
          <w:p w14:paraId="0049097B" w14:textId="77777777" w:rsidR="00C23E1D" w:rsidRPr="00C23E1D" w:rsidRDefault="00C23E1D" w:rsidP="00C04C25">
            <w:pPr>
              <w:spacing w:after="160" w:line="278" w:lineRule="auto"/>
              <w:jc w:val="both"/>
              <w:rPr>
                <w:rFonts w:ascii="Arial" w:hAnsi="Arial" w:cs="Arial"/>
                <w:sz w:val="20"/>
                <w:szCs w:val="20"/>
              </w:rPr>
            </w:pPr>
          </w:p>
        </w:tc>
      </w:tr>
      <w:tr w:rsidR="00C23E1D" w:rsidRPr="00C23E1D" w14:paraId="43342E49" w14:textId="77777777" w:rsidTr="00C23E1D">
        <w:trPr>
          <w:jc w:val="center"/>
        </w:trPr>
        <w:tc>
          <w:tcPr>
            <w:tcW w:w="0" w:type="auto"/>
            <w:hideMark/>
          </w:tcPr>
          <w:p w14:paraId="6F99968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Material cost per hectare</w:t>
            </w:r>
          </w:p>
        </w:tc>
        <w:tc>
          <w:tcPr>
            <w:tcW w:w="0" w:type="auto"/>
            <w:hideMark/>
          </w:tcPr>
          <w:p w14:paraId="722FC713"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$50–80</w:t>
            </w:r>
          </w:p>
        </w:tc>
        <w:tc>
          <w:tcPr>
            <w:tcW w:w="0" w:type="auto"/>
            <w:hideMark/>
          </w:tcPr>
          <w:p w14:paraId="2DF5199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$75–120</w:t>
            </w:r>
          </w:p>
        </w:tc>
        <w:tc>
          <w:tcPr>
            <w:tcW w:w="0" w:type="auto"/>
            <w:hideMark/>
          </w:tcPr>
          <w:p w14:paraId="2EE483A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+50–70%</w:t>
            </w:r>
          </w:p>
        </w:tc>
        <w:tc>
          <w:tcPr>
            <w:tcW w:w="0" w:type="auto"/>
            <w:hideMark/>
          </w:tcPr>
          <w:p w14:paraId="0F9BCC4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Higher initial cost; decreasing with scale</w:t>
            </w:r>
          </w:p>
        </w:tc>
        <w:tc>
          <w:tcPr>
            <w:tcW w:w="1975" w:type="dxa"/>
            <w:hideMark/>
          </w:tcPr>
          <w:p w14:paraId="66F795A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Sharma et al., 2024</w:t>
            </w:r>
          </w:p>
        </w:tc>
      </w:tr>
      <w:tr w:rsidR="00C23E1D" w:rsidRPr="00C23E1D" w14:paraId="3E261CB6" w14:textId="77777777" w:rsidTr="00C23E1D">
        <w:trPr>
          <w:jc w:val="center"/>
        </w:trPr>
        <w:tc>
          <w:tcPr>
            <w:tcW w:w="0" w:type="auto"/>
            <w:hideMark/>
          </w:tcPr>
          <w:p w14:paraId="43E0767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Application cost per hectare</w:t>
            </w:r>
          </w:p>
        </w:tc>
        <w:tc>
          <w:tcPr>
            <w:tcW w:w="0" w:type="auto"/>
            <w:hideMark/>
          </w:tcPr>
          <w:p w14:paraId="152DAC2B"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$30–40 (4–8 applications)</w:t>
            </w:r>
          </w:p>
        </w:tc>
        <w:tc>
          <w:tcPr>
            <w:tcW w:w="0" w:type="auto"/>
            <w:hideMark/>
          </w:tcPr>
          <w:p w14:paraId="1432A78B"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$20–30 (2–4 applications)</w:t>
            </w:r>
          </w:p>
        </w:tc>
        <w:tc>
          <w:tcPr>
            <w:tcW w:w="0" w:type="auto"/>
            <w:hideMark/>
          </w:tcPr>
          <w:p w14:paraId="765242A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−30–40%</w:t>
            </w:r>
          </w:p>
        </w:tc>
        <w:tc>
          <w:tcPr>
            <w:tcW w:w="0" w:type="auto"/>
            <w:hideMark/>
          </w:tcPr>
          <w:p w14:paraId="4CD3111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Fewer applications needed</w:t>
            </w:r>
          </w:p>
        </w:tc>
        <w:tc>
          <w:tcPr>
            <w:tcW w:w="1975" w:type="dxa"/>
            <w:hideMark/>
          </w:tcPr>
          <w:p w14:paraId="5843DA9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Rajan &amp; Mathew, 2025</w:t>
            </w:r>
          </w:p>
        </w:tc>
      </w:tr>
      <w:tr w:rsidR="00C23E1D" w:rsidRPr="00C23E1D" w14:paraId="2369F1FB" w14:textId="77777777" w:rsidTr="00C23E1D">
        <w:trPr>
          <w:jc w:val="center"/>
        </w:trPr>
        <w:tc>
          <w:tcPr>
            <w:tcW w:w="0" w:type="auto"/>
            <w:hideMark/>
          </w:tcPr>
          <w:p w14:paraId="572858F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lastRenderedPageBreak/>
              <w:t>Labor cost per season</w:t>
            </w:r>
          </w:p>
        </w:tc>
        <w:tc>
          <w:tcPr>
            <w:tcW w:w="0" w:type="auto"/>
            <w:hideMark/>
          </w:tcPr>
          <w:p w14:paraId="41EAF12C"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$120–160</w:t>
            </w:r>
          </w:p>
        </w:tc>
        <w:tc>
          <w:tcPr>
            <w:tcW w:w="0" w:type="auto"/>
            <w:hideMark/>
          </w:tcPr>
          <w:p w14:paraId="6D330A36"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$60–100</w:t>
            </w:r>
          </w:p>
        </w:tc>
        <w:tc>
          <w:tcPr>
            <w:tcW w:w="0" w:type="auto"/>
            <w:hideMark/>
          </w:tcPr>
          <w:p w14:paraId="5A1BA2A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−40–50%</w:t>
            </w:r>
          </w:p>
        </w:tc>
        <w:tc>
          <w:tcPr>
            <w:tcW w:w="0" w:type="auto"/>
            <w:hideMark/>
          </w:tcPr>
          <w:p w14:paraId="713C471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Reduced application frequency</w:t>
            </w:r>
          </w:p>
        </w:tc>
        <w:tc>
          <w:tcPr>
            <w:tcW w:w="1975" w:type="dxa"/>
            <w:hideMark/>
          </w:tcPr>
          <w:p w14:paraId="307F6C4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Sharma et al., 2024</w:t>
            </w:r>
          </w:p>
        </w:tc>
      </w:tr>
      <w:tr w:rsidR="00C23E1D" w:rsidRPr="00C23E1D" w14:paraId="22F15BDF" w14:textId="77777777" w:rsidTr="00C23E1D">
        <w:trPr>
          <w:jc w:val="center"/>
        </w:trPr>
        <w:tc>
          <w:tcPr>
            <w:tcW w:w="0" w:type="auto"/>
            <w:hideMark/>
          </w:tcPr>
          <w:p w14:paraId="3274EC46"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Equipment/modification</w:t>
            </w:r>
          </w:p>
        </w:tc>
        <w:tc>
          <w:tcPr>
            <w:tcW w:w="0" w:type="auto"/>
            <w:hideMark/>
          </w:tcPr>
          <w:p w14:paraId="4A98F4D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Standard</w:t>
            </w:r>
          </w:p>
        </w:tc>
        <w:tc>
          <w:tcPr>
            <w:tcW w:w="0" w:type="auto"/>
            <w:hideMark/>
          </w:tcPr>
          <w:p w14:paraId="68F6043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+$200–500 (one-time)</w:t>
            </w:r>
          </w:p>
        </w:tc>
        <w:tc>
          <w:tcPr>
            <w:tcW w:w="0" w:type="auto"/>
            <w:hideMark/>
          </w:tcPr>
          <w:p w14:paraId="410DAF7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Initial investment</w:t>
            </w:r>
          </w:p>
        </w:tc>
        <w:tc>
          <w:tcPr>
            <w:tcW w:w="0" w:type="auto"/>
            <w:hideMark/>
          </w:tcPr>
          <w:p w14:paraId="451051A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Specialized equipment may be needed</w:t>
            </w:r>
          </w:p>
        </w:tc>
        <w:tc>
          <w:tcPr>
            <w:tcW w:w="1975" w:type="dxa"/>
            <w:hideMark/>
          </w:tcPr>
          <w:p w14:paraId="1E183D3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Rajan &amp; Mathew, 2025</w:t>
            </w:r>
          </w:p>
        </w:tc>
      </w:tr>
      <w:tr w:rsidR="00C23E1D" w:rsidRPr="00C23E1D" w14:paraId="0ED625E0" w14:textId="77777777" w:rsidTr="00C23E1D">
        <w:trPr>
          <w:jc w:val="center"/>
        </w:trPr>
        <w:tc>
          <w:tcPr>
            <w:tcW w:w="0" w:type="auto"/>
            <w:hideMark/>
          </w:tcPr>
          <w:p w14:paraId="205E3B47" w14:textId="77777777" w:rsidR="00C23E1D" w:rsidRPr="00C23E1D" w:rsidRDefault="00C23E1D" w:rsidP="00C23E1D">
            <w:pPr>
              <w:spacing w:after="160" w:line="278" w:lineRule="auto"/>
              <w:rPr>
                <w:rFonts w:ascii="Arial" w:hAnsi="Arial" w:cs="Arial"/>
                <w:sz w:val="20"/>
                <w:szCs w:val="20"/>
              </w:rPr>
            </w:pPr>
            <w:r w:rsidRPr="00C23E1D">
              <w:rPr>
                <w:rFonts w:ascii="Arial" w:hAnsi="Arial" w:cs="Arial"/>
                <w:b/>
                <w:bCs/>
                <w:sz w:val="20"/>
                <w:szCs w:val="20"/>
              </w:rPr>
              <w:t>Yield &amp; Quality Benefits</w:t>
            </w:r>
          </w:p>
        </w:tc>
        <w:tc>
          <w:tcPr>
            <w:tcW w:w="0" w:type="auto"/>
            <w:hideMark/>
          </w:tcPr>
          <w:p w14:paraId="5A14CE49" w14:textId="77777777" w:rsidR="00C23E1D" w:rsidRPr="00C23E1D" w:rsidRDefault="00C23E1D" w:rsidP="00C04C25">
            <w:pPr>
              <w:spacing w:after="160" w:line="278" w:lineRule="auto"/>
              <w:jc w:val="both"/>
              <w:rPr>
                <w:rFonts w:ascii="Arial" w:hAnsi="Arial" w:cs="Arial"/>
                <w:sz w:val="20"/>
                <w:szCs w:val="20"/>
              </w:rPr>
            </w:pPr>
          </w:p>
        </w:tc>
        <w:tc>
          <w:tcPr>
            <w:tcW w:w="0" w:type="auto"/>
            <w:hideMark/>
          </w:tcPr>
          <w:p w14:paraId="6B3AA8E6" w14:textId="77777777" w:rsidR="00C23E1D" w:rsidRPr="00C23E1D" w:rsidRDefault="00C23E1D" w:rsidP="00C04C25">
            <w:pPr>
              <w:spacing w:after="160" w:line="278" w:lineRule="auto"/>
              <w:jc w:val="both"/>
              <w:rPr>
                <w:rFonts w:ascii="Arial" w:hAnsi="Arial" w:cs="Arial"/>
                <w:sz w:val="20"/>
                <w:szCs w:val="20"/>
              </w:rPr>
            </w:pPr>
          </w:p>
        </w:tc>
        <w:tc>
          <w:tcPr>
            <w:tcW w:w="0" w:type="auto"/>
            <w:hideMark/>
          </w:tcPr>
          <w:p w14:paraId="446E6C5A" w14:textId="77777777" w:rsidR="00C23E1D" w:rsidRPr="00C23E1D" w:rsidRDefault="00C23E1D" w:rsidP="00C04C25">
            <w:pPr>
              <w:spacing w:after="160" w:line="278" w:lineRule="auto"/>
              <w:jc w:val="both"/>
              <w:rPr>
                <w:rFonts w:ascii="Arial" w:hAnsi="Arial" w:cs="Arial"/>
                <w:sz w:val="20"/>
                <w:szCs w:val="20"/>
              </w:rPr>
            </w:pPr>
          </w:p>
        </w:tc>
        <w:tc>
          <w:tcPr>
            <w:tcW w:w="0" w:type="auto"/>
            <w:hideMark/>
          </w:tcPr>
          <w:p w14:paraId="5B3F88A4" w14:textId="77777777" w:rsidR="00C23E1D" w:rsidRPr="00C23E1D" w:rsidRDefault="00C23E1D" w:rsidP="00C04C25">
            <w:pPr>
              <w:spacing w:after="160" w:line="278" w:lineRule="auto"/>
              <w:jc w:val="both"/>
              <w:rPr>
                <w:rFonts w:ascii="Arial" w:hAnsi="Arial" w:cs="Arial"/>
                <w:sz w:val="20"/>
                <w:szCs w:val="20"/>
              </w:rPr>
            </w:pPr>
          </w:p>
        </w:tc>
        <w:tc>
          <w:tcPr>
            <w:tcW w:w="1975" w:type="dxa"/>
            <w:hideMark/>
          </w:tcPr>
          <w:p w14:paraId="2F69F484" w14:textId="77777777" w:rsidR="00C23E1D" w:rsidRPr="00C23E1D" w:rsidRDefault="00C23E1D" w:rsidP="00C04C25">
            <w:pPr>
              <w:spacing w:after="160" w:line="278" w:lineRule="auto"/>
              <w:jc w:val="both"/>
              <w:rPr>
                <w:rFonts w:ascii="Arial" w:hAnsi="Arial" w:cs="Arial"/>
                <w:sz w:val="20"/>
                <w:szCs w:val="20"/>
              </w:rPr>
            </w:pPr>
          </w:p>
        </w:tc>
      </w:tr>
      <w:tr w:rsidR="00C23E1D" w:rsidRPr="00C23E1D" w14:paraId="3177CAE4" w14:textId="77777777" w:rsidTr="00C23E1D">
        <w:trPr>
          <w:jc w:val="center"/>
        </w:trPr>
        <w:tc>
          <w:tcPr>
            <w:tcW w:w="0" w:type="auto"/>
            <w:hideMark/>
          </w:tcPr>
          <w:p w14:paraId="4877C583"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Yield increase (%)</w:t>
            </w:r>
          </w:p>
        </w:tc>
        <w:tc>
          <w:tcPr>
            <w:tcW w:w="0" w:type="auto"/>
            <w:hideMark/>
          </w:tcPr>
          <w:p w14:paraId="35E102D7"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Baseline</w:t>
            </w:r>
          </w:p>
        </w:tc>
        <w:tc>
          <w:tcPr>
            <w:tcW w:w="0" w:type="auto"/>
            <w:hideMark/>
          </w:tcPr>
          <w:p w14:paraId="1436BA3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+8–15%</w:t>
            </w:r>
          </w:p>
        </w:tc>
        <w:tc>
          <w:tcPr>
            <w:tcW w:w="0" w:type="auto"/>
            <w:hideMark/>
          </w:tcPr>
          <w:p w14:paraId="1291933D"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+8–15%</w:t>
            </w:r>
          </w:p>
        </w:tc>
        <w:tc>
          <w:tcPr>
            <w:tcW w:w="0" w:type="auto"/>
            <w:hideMark/>
          </w:tcPr>
          <w:p w14:paraId="75CA4FCB"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Improved pest/disease control</w:t>
            </w:r>
          </w:p>
        </w:tc>
        <w:tc>
          <w:tcPr>
            <w:tcW w:w="1975" w:type="dxa"/>
            <w:hideMark/>
          </w:tcPr>
          <w:p w14:paraId="6D640745"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Sharma et al., 2024</w:t>
            </w:r>
          </w:p>
        </w:tc>
      </w:tr>
      <w:tr w:rsidR="00C23E1D" w:rsidRPr="00C23E1D" w14:paraId="1A5F586B" w14:textId="77777777" w:rsidTr="00C23E1D">
        <w:trPr>
          <w:jc w:val="center"/>
        </w:trPr>
        <w:tc>
          <w:tcPr>
            <w:tcW w:w="0" w:type="auto"/>
            <w:hideMark/>
          </w:tcPr>
          <w:p w14:paraId="5BAF6B2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Quality premium (%)</w:t>
            </w:r>
          </w:p>
        </w:tc>
        <w:tc>
          <w:tcPr>
            <w:tcW w:w="0" w:type="auto"/>
            <w:hideMark/>
          </w:tcPr>
          <w:p w14:paraId="73AEF80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Baseline</w:t>
            </w:r>
          </w:p>
        </w:tc>
        <w:tc>
          <w:tcPr>
            <w:tcW w:w="0" w:type="auto"/>
            <w:hideMark/>
          </w:tcPr>
          <w:p w14:paraId="1A6E3994"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+5–10%</w:t>
            </w:r>
          </w:p>
        </w:tc>
        <w:tc>
          <w:tcPr>
            <w:tcW w:w="0" w:type="auto"/>
            <w:hideMark/>
          </w:tcPr>
          <w:p w14:paraId="11A3A12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+5–10%</w:t>
            </w:r>
          </w:p>
        </w:tc>
        <w:tc>
          <w:tcPr>
            <w:tcW w:w="0" w:type="auto"/>
            <w:hideMark/>
          </w:tcPr>
          <w:p w14:paraId="4D6B475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Reduced chemical residues</w:t>
            </w:r>
          </w:p>
        </w:tc>
        <w:tc>
          <w:tcPr>
            <w:tcW w:w="1975" w:type="dxa"/>
            <w:hideMark/>
          </w:tcPr>
          <w:p w14:paraId="279BAD9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Rajan &amp; Mathew, 2025</w:t>
            </w:r>
          </w:p>
        </w:tc>
      </w:tr>
      <w:tr w:rsidR="00C23E1D" w:rsidRPr="00C23E1D" w14:paraId="34044142" w14:textId="77777777" w:rsidTr="00C23E1D">
        <w:trPr>
          <w:jc w:val="center"/>
        </w:trPr>
        <w:tc>
          <w:tcPr>
            <w:tcW w:w="0" w:type="auto"/>
            <w:hideMark/>
          </w:tcPr>
          <w:p w14:paraId="56CFBD3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Reduced crop loss (%)</w:t>
            </w:r>
          </w:p>
        </w:tc>
        <w:tc>
          <w:tcPr>
            <w:tcW w:w="0" w:type="auto"/>
            <w:hideMark/>
          </w:tcPr>
          <w:p w14:paraId="7A99BCBD"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Baseline</w:t>
            </w:r>
          </w:p>
        </w:tc>
        <w:tc>
          <w:tcPr>
            <w:tcW w:w="0" w:type="auto"/>
            <w:hideMark/>
          </w:tcPr>
          <w:p w14:paraId="76EAAAD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−20–35%</w:t>
            </w:r>
          </w:p>
        </w:tc>
        <w:tc>
          <w:tcPr>
            <w:tcW w:w="0" w:type="auto"/>
            <w:hideMark/>
          </w:tcPr>
          <w:p w14:paraId="23A9415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Significant</w:t>
            </w:r>
          </w:p>
        </w:tc>
        <w:tc>
          <w:tcPr>
            <w:tcW w:w="0" w:type="auto"/>
            <w:hideMark/>
          </w:tcPr>
          <w:p w14:paraId="2F3C7FD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Better protection</w:t>
            </w:r>
          </w:p>
        </w:tc>
        <w:tc>
          <w:tcPr>
            <w:tcW w:w="1975" w:type="dxa"/>
            <w:hideMark/>
          </w:tcPr>
          <w:p w14:paraId="3F01681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Sharma et al., 2024</w:t>
            </w:r>
          </w:p>
        </w:tc>
      </w:tr>
      <w:tr w:rsidR="00C23E1D" w:rsidRPr="00C23E1D" w14:paraId="4BE6D0D5" w14:textId="77777777" w:rsidTr="00C23E1D">
        <w:trPr>
          <w:jc w:val="center"/>
        </w:trPr>
        <w:tc>
          <w:tcPr>
            <w:tcW w:w="0" w:type="auto"/>
            <w:hideMark/>
          </w:tcPr>
          <w:p w14:paraId="22484C35" w14:textId="77777777" w:rsidR="00C23E1D" w:rsidRPr="00C23E1D" w:rsidRDefault="00C23E1D" w:rsidP="00C23E1D">
            <w:pPr>
              <w:spacing w:after="160" w:line="278" w:lineRule="auto"/>
              <w:rPr>
                <w:rFonts w:ascii="Arial" w:hAnsi="Arial" w:cs="Arial"/>
                <w:sz w:val="20"/>
                <w:szCs w:val="20"/>
              </w:rPr>
            </w:pPr>
            <w:r w:rsidRPr="00C23E1D">
              <w:rPr>
                <w:rFonts w:ascii="Arial" w:hAnsi="Arial" w:cs="Arial"/>
                <w:b/>
                <w:bCs/>
                <w:sz w:val="20"/>
                <w:szCs w:val="20"/>
              </w:rPr>
              <w:t>Environmental &amp; Health Costs</w:t>
            </w:r>
          </w:p>
        </w:tc>
        <w:tc>
          <w:tcPr>
            <w:tcW w:w="0" w:type="auto"/>
            <w:hideMark/>
          </w:tcPr>
          <w:p w14:paraId="4AA04ED1" w14:textId="77777777" w:rsidR="00C23E1D" w:rsidRPr="00C23E1D" w:rsidRDefault="00C23E1D" w:rsidP="00C04C25">
            <w:pPr>
              <w:spacing w:after="160" w:line="278" w:lineRule="auto"/>
              <w:jc w:val="both"/>
              <w:rPr>
                <w:rFonts w:ascii="Arial" w:hAnsi="Arial" w:cs="Arial"/>
                <w:sz w:val="20"/>
                <w:szCs w:val="20"/>
              </w:rPr>
            </w:pPr>
          </w:p>
        </w:tc>
        <w:tc>
          <w:tcPr>
            <w:tcW w:w="0" w:type="auto"/>
            <w:hideMark/>
          </w:tcPr>
          <w:p w14:paraId="02FC7F4C" w14:textId="77777777" w:rsidR="00C23E1D" w:rsidRPr="00C23E1D" w:rsidRDefault="00C23E1D" w:rsidP="00C04C25">
            <w:pPr>
              <w:spacing w:after="160" w:line="278" w:lineRule="auto"/>
              <w:jc w:val="both"/>
              <w:rPr>
                <w:rFonts w:ascii="Arial" w:hAnsi="Arial" w:cs="Arial"/>
                <w:sz w:val="20"/>
                <w:szCs w:val="20"/>
              </w:rPr>
            </w:pPr>
          </w:p>
        </w:tc>
        <w:tc>
          <w:tcPr>
            <w:tcW w:w="0" w:type="auto"/>
            <w:hideMark/>
          </w:tcPr>
          <w:p w14:paraId="2BAC3225" w14:textId="77777777" w:rsidR="00C23E1D" w:rsidRPr="00C23E1D" w:rsidRDefault="00C23E1D" w:rsidP="00C04C25">
            <w:pPr>
              <w:spacing w:after="160" w:line="278" w:lineRule="auto"/>
              <w:jc w:val="both"/>
              <w:rPr>
                <w:rFonts w:ascii="Arial" w:hAnsi="Arial" w:cs="Arial"/>
                <w:sz w:val="20"/>
                <w:szCs w:val="20"/>
              </w:rPr>
            </w:pPr>
          </w:p>
        </w:tc>
        <w:tc>
          <w:tcPr>
            <w:tcW w:w="0" w:type="auto"/>
            <w:hideMark/>
          </w:tcPr>
          <w:p w14:paraId="080C7D61" w14:textId="77777777" w:rsidR="00C23E1D" w:rsidRPr="00C23E1D" w:rsidRDefault="00C23E1D" w:rsidP="00C04C25">
            <w:pPr>
              <w:spacing w:after="160" w:line="278" w:lineRule="auto"/>
              <w:jc w:val="both"/>
              <w:rPr>
                <w:rFonts w:ascii="Arial" w:hAnsi="Arial" w:cs="Arial"/>
                <w:sz w:val="20"/>
                <w:szCs w:val="20"/>
              </w:rPr>
            </w:pPr>
          </w:p>
        </w:tc>
        <w:tc>
          <w:tcPr>
            <w:tcW w:w="1975" w:type="dxa"/>
            <w:hideMark/>
          </w:tcPr>
          <w:p w14:paraId="6232A4BD" w14:textId="77777777" w:rsidR="00C23E1D" w:rsidRPr="00C23E1D" w:rsidRDefault="00C23E1D" w:rsidP="00C04C25">
            <w:pPr>
              <w:spacing w:after="160" w:line="278" w:lineRule="auto"/>
              <w:jc w:val="both"/>
              <w:rPr>
                <w:rFonts w:ascii="Arial" w:hAnsi="Arial" w:cs="Arial"/>
                <w:sz w:val="20"/>
                <w:szCs w:val="20"/>
              </w:rPr>
            </w:pPr>
          </w:p>
        </w:tc>
      </w:tr>
      <w:tr w:rsidR="00C23E1D" w:rsidRPr="00C23E1D" w14:paraId="7B3F9082" w14:textId="77777777" w:rsidTr="00C23E1D">
        <w:trPr>
          <w:jc w:val="center"/>
        </w:trPr>
        <w:tc>
          <w:tcPr>
            <w:tcW w:w="0" w:type="auto"/>
            <w:hideMark/>
          </w:tcPr>
          <w:p w14:paraId="70E663F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Environmental remediation ($/ha)</w:t>
            </w:r>
          </w:p>
        </w:tc>
        <w:tc>
          <w:tcPr>
            <w:tcW w:w="0" w:type="auto"/>
            <w:hideMark/>
          </w:tcPr>
          <w:p w14:paraId="51965D8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$15–30</w:t>
            </w:r>
          </w:p>
        </w:tc>
        <w:tc>
          <w:tcPr>
            <w:tcW w:w="0" w:type="auto"/>
            <w:hideMark/>
          </w:tcPr>
          <w:p w14:paraId="108F4A6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$5–10</w:t>
            </w:r>
          </w:p>
        </w:tc>
        <w:tc>
          <w:tcPr>
            <w:tcW w:w="0" w:type="auto"/>
            <w:hideMark/>
          </w:tcPr>
          <w:p w14:paraId="64253D8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−60–70%</w:t>
            </w:r>
          </w:p>
        </w:tc>
        <w:tc>
          <w:tcPr>
            <w:tcW w:w="0" w:type="auto"/>
            <w:hideMark/>
          </w:tcPr>
          <w:p w14:paraId="03B58F0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Reduced contamination</w:t>
            </w:r>
          </w:p>
        </w:tc>
        <w:tc>
          <w:tcPr>
            <w:tcW w:w="1975" w:type="dxa"/>
            <w:hideMark/>
          </w:tcPr>
          <w:p w14:paraId="673BC69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Rajan &amp; Mathew, 2025</w:t>
            </w:r>
          </w:p>
        </w:tc>
      </w:tr>
      <w:tr w:rsidR="00C23E1D" w:rsidRPr="00C23E1D" w14:paraId="282F6E20" w14:textId="77777777" w:rsidTr="00C23E1D">
        <w:trPr>
          <w:jc w:val="center"/>
        </w:trPr>
        <w:tc>
          <w:tcPr>
            <w:tcW w:w="0" w:type="auto"/>
            <w:hideMark/>
          </w:tcPr>
          <w:p w14:paraId="5097C7C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Health costs (farmer exposure)</w:t>
            </w:r>
          </w:p>
        </w:tc>
        <w:tc>
          <w:tcPr>
            <w:tcW w:w="0" w:type="auto"/>
            <w:hideMark/>
          </w:tcPr>
          <w:p w14:paraId="69D7331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$20–40</w:t>
            </w:r>
          </w:p>
        </w:tc>
        <w:tc>
          <w:tcPr>
            <w:tcW w:w="0" w:type="auto"/>
            <w:hideMark/>
          </w:tcPr>
          <w:p w14:paraId="7FD0F756"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$5–15</w:t>
            </w:r>
          </w:p>
        </w:tc>
        <w:tc>
          <w:tcPr>
            <w:tcW w:w="0" w:type="auto"/>
            <w:hideMark/>
          </w:tcPr>
          <w:p w14:paraId="0EAD9E9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−60–75%</w:t>
            </w:r>
          </w:p>
        </w:tc>
        <w:tc>
          <w:tcPr>
            <w:tcW w:w="0" w:type="auto"/>
            <w:hideMark/>
          </w:tcPr>
          <w:p w14:paraId="35AA0CE7"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Lower toxicity; fewer applications</w:t>
            </w:r>
          </w:p>
        </w:tc>
        <w:tc>
          <w:tcPr>
            <w:tcW w:w="1975" w:type="dxa"/>
            <w:hideMark/>
          </w:tcPr>
          <w:p w14:paraId="57BDD20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Sharma et al., 2024</w:t>
            </w:r>
          </w:p>
        </w:tc>
      </w:tr>
      <w:tr w:rsidR="00C23E1D" w:rsidRPr="00C23E1D" w14:paraId="3331FC15" w14:textId="77777777" w:rsidTr="00C23E1D">
        <w:trPr>
          <w:jc w:val="center"/>
        </w:trPr>
        <w:tc>
          <w:tcPr>
            <w:tcW w:w="0" w:type="auto"/>
            <w:hideMark/>
          </w:tcPr>
          <w:p w14:paraId="3EA086B6"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Total Season Cost ($/ha)</w:t>
            </w:r>
          </w:p>
        </w:tc>
        <w:tc>
          <w:tcPr>
            <w:tcW w:w="0" w:type="auto"/>
            <w:hideMark/>
          </w:tcPr>
          <w:p w14:paraId="2F5CB9B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$235–350</w:t>
            </w:r>
          </w:p>
        </w:tc>
        <w:tc>
          <w:tcPr>
            <w:tcW w:w="0" w:type="auto"/>
            <w:hideMark/>
          </w:tcPr>
          <w:p w14:paraId="134DE49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$245–365</w:t>
            </w:r>
          </w:p>
        </w:tc>
        <w:tc>
          <w:tcPr>
            <w:tcW w:w="0" w:type="auto"/>
            <w:hideMark/>
          </w:tcPr>
          <w:p w14:paraId="2E4774C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Variable</w:t>
            </w:r>
          </w:p>
        </w:tc>
        <w:tc>
          <w:tcPr>
            <w:tcW w:w="0" w:type="auto"/>
            <w:hideMark/>
          </w:tcPr>
          <w:p w14:paraId="065712A4"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Depends on scale and context</w:t>
            </w:r>
          </w:p>
        </w:tc>
        <w:tc>
          <w:tcPr>
            <w:tcW w:w="1975" w:type="dxa"/>
            <w:hideMark/>
          </w:tcPr>
          <w:p w14:paraId="5572E116"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Sharma et al., 2024; Rajan &amp; Mathew, 2025</w:t>
            </w:r>
          </w:p>
        </w:tc>
      </w:tr>
      <w:tr w:rsidR="00C23E1D" w:rsidRPr="00C23E1D" w14:paraId="4C76773E" w14:textId="77777777" w:rsidTr="00C23E1D">
        <w:trPr>
          <w:jc w:val="center"/>
        </w:trPr>
        <w:tc>
          <w:tcPr>
            <w:tcW w:w="0" w:type="auto"/>
            <w:hideMark/>
          </w:tcPr>
          <w:p w14:paraId="1FA08B7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Total Season Benefit ($/ha)</w:t>
            </w:r>
          </w:p>
        </w:tc>
        <w:tc>
          <w:tcPr>
            <w:tcW w:w="0" w:type="auto"/>
            <w:hideMark/>
          </w:tcPr>
          <w:p w14:paraId="6D134C43"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Baseline ($800–1200)</w:t>
            </w:r>
          </w:p>
        </w:tc>
        <w:tc>
          <w:tcPr>
            <w:tcW w:w="0" w:type="auto"/>
            <w:hideMark/>
          </w:tcPr>
          <w:p w14:paraId="1861A61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$920–1450</w:t>
            </w:r>
          </w:p>
        </w:tc>
        <w:tc>
          <w:tcPr>
            <w:tcW w:w="0" w:type="auto"/>
            <w:hideMark/>
          </w:tcPr>
          <w:p w14:paraId="752DB504"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+15–21%</w:t>
            </w:r>
          </w:p>
        </w:tc>
        <w:tc>
          <w:tcPr>
            <w:tcW w:w="0" w:type="auto"/>
            <w:hideMark/>
          </w:tcPr>
          <w:p w14:paraId="7586538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Includes yield, quality, and cost savings</w:t>
            </w:r>
          </w:p>
        </w:tc>
        <w:tc>
          <w:tcPr>
            <w:tcW w:w="1975" w:type="dxa"/>
            <w:hideMark/>
          </w:tcPr>
          <w:p w14:paraId="3D3F9CFD"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Sharma et al., 2024; Rajan &amp; Mathew, 2025</w:t>
            </w:r>
          </w:p>
        </w:tc>
      </w:tr>
      <w:tr w:rsidR="00C23E1D" w:rsidRPr="00C23E1D" w14:paraId="6354F844" w14:textId="77777777" w:rsidTr="00C23E1D">
        <w:trPr>
          <w:jc w:val="center"/>
        </w:trPr>
        <w:tc>
          <w:tcPr>
            <w:tcW w:w="0" w:type="auto"/>
            <w:hideMark/>
          </w:tcPr>
          <w:p w14:paraId="77C95D7C"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Net Economic Return</w:t>
            </w:r>
          </w:p>
        </w:tc>
        <w:tc>
          <w:tcPr>
            <w:tcW w:w="0" w:type="auto"/>
            <w:hideMark/>
          </w:tcPr>
          <w:p w14:paraId="031467B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Baseline</w:t>
            </w:r>
          </w:p>
        </w:tc>
        <w:tc>
          <w:tcPr>
            <w:tcW w:w="0" w:type="auto"/>
            <w:hideMark/>
          </w:tcPr>
          <w:p w14:paraId="40DABEB4"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+12–18%</w:t>
            </w:r>
          </w:p>
        </w:tc>
        <w:tc>
          <w:tcPr>
            <w:tcW w:w="0" w:type="auto"/>
            <w:hideMark/>
          </w:tcPr>
          <w:p w14:paraId="22D2CB3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Positive</w:t>
            </w:r>
          </w:p>
        </w:tc>
        <w:tc>
          <w:tcPr>
            <w:tcW w:w="0" w:type="auto"/>
            <w:hideMark/>
          </w:tcPr>
          <w:p w14:paraId="0BCB0D4C"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Break-even typically within 2–3 seasons</w:t>
            </w:r>
          </w:p>
        </w:tc>
        <w:tc>
          <w:tcPr>
            <w:tcW w:w="1975" w:type="dxa"/>
            <w:hideMark/>
          </w:tcPr>
          <w:p w14:paraId="07C9C9F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Sharma et al., 2024</w:t>
            </w:r>
          </w:p>
        </w:tc>
      </w:tr>
    </w:tbl>
    <w:p w14:paraId="4DC5411D" w14:textId="77777777" w:rsidR="00C23E1D" w:rsidRPr="00C23E1D" w:rsidRDefault="00C23E1D" w:rsidP="00C23E1D">
      <w:pPr>
        <w:jc w:val="both"/>
        <w:rPr>
          <w:rFonts w:ascii="Arial" w:hAnsi="Arial" w:cs="Arial"/>
          <w:i/>
          <w:iCs/>
        </w:rPr>
      </w:pPr>
      <w:r w:rsidRPr="00C23E1D">
        <w:rPr>
          <w:rFonts w:ascii="Arial" w:hAnsi="Arial" w:cs="Arial"/>
          <w:b/>
          <w:bCs/>
          <w:i/>
          <w:iCs/>
        </w:rPr>
        <w:t>Note:</w:t>
      </w:r>
      <w:r w:rsidRPr="00C23E1D">
        <w:rPr>
          <w:rFonts w:ascii="Arial" w:hAnsi="Arial" w:cs="Arial"/>
          <w:i/>
          <w:iCs/>
        </w:rPr>
        <w:t> Values are approximate and vary by region, crop system, and specific product. Costs and benefits are calculated per hectare per growing season.</w:t>
      </w:r>
    </w:p>
    <w:p w14:paraId="235FCB68" w14:textId="77777777" w:rsidR="00C23E1D" w:rsidRPr="00C23E1D" w:rsidRDefault="00C23E1D" w:rsidP="00C23E1D">
      <w:pPr>
        <w:jc w:val="both"/>
        <w:rPr>
          <w:rFonts w:ascii="Arial" w:hAnsi="Arial" w:cs="Arial"/>
        </w:rPr>
      </w:pPr>
    </w:p>
    <w:p w14:paraId="2D0B0E67" w14:textId="77777777" w:rsidR="00C23E1D" w:rsidRPr="00C23E1D" w:rsidRDefault="00C23E1D" w:rsidP="00C23E1D">
      <w:pPr>
        <w:jc w:val="both"/>
        <w:rPr>
          <w:rFonts w:ascii="Arial" w:hAnsi="Arial" w:cs="Arial"/>
          <w:b/>
          <w:bCs/>
          <w:sz w:val="22"/>
          <w:szCs w:val="22"/>
        </w:rPr>
      </w:pPr>
      <w:r w:rsidRPr="00C23E1D">
        <w:rPr>
          <w:rFonts w:ascii="Arial" w:hAnsi="Arial" w:cs="Arial"/>
          <w:b/>
          <w:bCs/>
          <w:sz w:val="22"/>
          <w:szCs w:val="22"/>
        </w:rPr>
        <w:t>7.2 Infrastructure and Technical Requirements</w:t>
      </w:r>
    </w:p>
    <w:p w14:paraId="1C34530C" w14:textId="77777777" w:rsidR="00C23E1D" w:rsidRDefault="00C23E1D" w:rsidP="00C23E1D">
      <w:pPr>
        <w:jc w:val="both"/>
        <w:rPr>
          <w:rFonts w:ascii="Arial" w:hAnsi="Arial" w:cs="Arial"/>
        </w:rPr>
      </w:pPr>
      <w:r w:rsidRPr="00C23E1D">
        <w:rPr>
          <w:rFonts w:ascii="Arial" w:hAnsi="Arial" w:cs="Arial"/>
        </w:rPr>
        <w:t xml:space="preserve">Successful implementation of nanotechnology in rice production systems requires adequate infrastructure and technical capacity. Manufacturing facilities capable of producing nanomaterials under controlled conditions with consistent quality are necessary for commercial-scale production (Sharma et al., 2024). Application equipment may require modification or specialized designs to ensure proper dispersion and delivery of </w:t>
      </w:r>
      <w:proofErr w:type="spellStart"/>
      <w:r w:rsidRPr="00C23E1D">
        <w:rPr>
          <w:rFonts w:ascii="Arial" w:hAnsi="Arial" w:cs="Arial"/>
        </w:rPr>
        <w:t>nanoformulations</w:t>
      </w:r>
      <w:proofErr w:type="spellEnd"/>
      <w:r w:rsidRPr="00C23E1D">
        <w:rPr>
          <w:rFonts w:ascii="Arial" w:hAnsi="Arial" w:cs="Arial"/>
        </w:rPr>
        <w:t xml:space="preserve">, particularly for products with unique physicochemical properties (Rajan &amp; Mathew, 2025). Quality control and characterization capabilities, including access to analytical instruments for verifying nanomaterial properties, are essential for ensuring product consistency and regulatory compliance (Sharma et al., 2024). Technical training for extension personnel, agronomists, and farmers regarding proper </w:t>
      </w:r>
      <w:r w:rsidRPr="00C23E1D">
        <w:rPr>
          <w:rFonts w:ascii="Arial" w:hAnsi="Arial" w:cs="Arial"/>
        </w:rPr>
        <w:lastRenderedPageBreak/>
        <w:t>handling, application methods, safety precautions, and integration with other management practices is critical for effective technology transfer (Rajan &amp; Mathew, 2025).</w:t>
      </w:r>
    </w:p>
    <w:p w14:paraId="4DA0A5A8" w14:textId="77777777" w:rsidR="00C23E1D" w:rsidRPr="00C23E1D" w:rsidRDefault="00C23E1D" w:rsidP="00C23E1D">
      <w:pPr>
        <w:jc w:val="both"/>
        <w:rPr>
          <w:rFonts w:ascii="Arial" w:hAnsi="Arial" w:cs="Arial"/>
        </w:rPr>
      </w:pPr>
    </w:p>
    <w:p w14:paraId="1E62ADBB" w14:textId="77777777" w:rsidR="00C23E1D" w:rsidRPr="00C23E1D" w:rsidRDefault="00C23E1D" w:rsidP="00C23E1D">
      <w:pPr>
        <w:jc w:val="both"/>
        <w:rPr>
          <w:rFonts w:ascii="Arial" w:hAnsi="Arial" w:cs="Arial"/>
          <w:b/>
          <w:bCs/>
          <w:sz w:val="22"/>
          <w:szCs w:val="22"/>
        </w:rPr>
      </w:pPr>
      <w:r w:rsidRPr="00C23E1D">
        <w:rPr>
          <w:rFonts w:ascii="Arial" w:hAnsi="Arial" w:cs="Arial"/>
          <w:b/>
          <w:bCs/>
          <w:sz w:val="22"/>
          <w:szCs w:val="22"/>
        </w:rPr>
        <w:t>7.3 Farmer Perceptions and Social Acceptance</w:t>
      </w:r>
    </w:p>
    <w:p w14:paraId="4AAFA584" w14:textId="77777777" w:rsidR="00C23E1D" w:rsidRPr="00C23E1D" w:rsidRDefault="00C23E1D" w:rsidP="00C23E1D">
      <w:pPr>
        <w:jc w:val="both"/>
        <w:rPr>
          <w:rFonts w:ascii="Arial" w:hAnsi="Arial" w:cs="Arial"/>
        </w:rPr>
      </w:pPr>
      <w:r w:rsidRPr="00C23E1D">
        <w:rPr>
          <w:rFonts w:ascii="Arial" w:hAnsi="Arial" w:cs="Arial"/>
        </w:rPr>
        <w:t>Social dimensions of nanotechnology adoption, including farmer perceptions, risk attitudes, and acceptance factors, significantly influence technology uptake. Awareness and understanding of nanotechnology among farming communities remain limited in many rice-growing regions, necessitating educational initiatives that communicate both benefits and potential risks in accessible terms (Sharma et al., 2024). Perceived complexity of nano-enabled technologies may create adoption barriers, particularly among smallholder farmers with limited technical training (Rajan &amp; Mathew, 2025). Risk perceptions regarding environmental and health safety can influence acceptance, highlighting the importance of transparent communication about safety testing and regulatory approval processes (Sharma et al., 2024). Demonstration of tangible benefits through on-farm trials and farmer field schools can build confidence and facilitate adoption by providing observable evidence of efficacy and economic returns (Rajan &amp; Mathew, 2025). Addressing concerns through participatory approaches that involve farmers in technology development and testing processes may enhance acceptance and ensure that products meet real-world needs and constraints (Sharma et al., 2024).</w:t>
      </w:r>
    </w:p>
    <w:p w14:paraId="4F6D96D6" w14:textId="77777777" w:rsidR="00C23E1D" w:rsidRPr="00C23E1D" w:rsidRDefault="00C23E1D" w:rsidP="00C23E1D">
      <w:pPr>
        <w:jc w:val="both"/>
        <w:rPr>
          <w:rFonts w:ascii="Arial" w:hAnsi="Arial" w:cs="Arial"/>
          <w:sz w:val="22"/>
          <w:szCs w:val="22"/>
        </w:rPr>
      </w:pPr>
    </w:p>
    <w:p w14:paraId="3A40806F" w14:textId="24C6E638" w:rsidR="00C23E1D" w:rsidRPr="00C23E1D" w:rsidRDefault="00C23E1D" w:rsidP="00C23E1D">
      <w:pPr>
        <w:jc w:val="both"/>
        <w:rPr>
          <w:rFonts w:ascii="Arial" w:hAnsi="Arial" w:cs="Arial"/>
          <w:b/>
          <w:bCs/>
          <w:sz w:val="22"/>
          <w:szCs w:val="22"/>
        </w:rPr>
      </w:pPr>
      <w:r w:rsidRPr="00C23E1D">
        <w:rPr>
          <w:rFonts w:ascii="Arial" w:hAnsi="Arial" w:cs="Arial"/>
          <w:b/>
          <w:bCs/>
          <w:sz w:val="22"/>
          <w:szCs w:val="22"/>
        </w:rPr>
        <w:t>8. FUTURE DIRECTIONS AND RESEARCH PRIORITIES</w:t>
      </w:r>
    </w:p>
    <w:p w14:paraId="578C035B" w14:textId="77777777" w:rsidR="00C23E1D" w:rsidRPr="00C23E1D" w:rsidRDefault="00C23E1D" w:rsidP="00C23E1D">
      <w:pPr>
        <w:jc w:val="both"/>
        <w:rPr>
          <w:rFonts w:ascii="Arial" w:hAnsi="Arial" w:cs="Arial"/>
          <w:b/>
          <w:bCs/>
          <w:sz w:val="22"/>
          <w:szCs w:val="22"/>
        </w:rPr>
      </w:pPr>
      <w:r w:rsidRPr="00C23E1D">
        <w:rPr>
          <w:rFonts w:ascii="Arial" w:hAnsi="Arial" w:cs="Arial"/>
          <w:b/>
          <w:bCs/>
          <w:sz w:val="22"/>
          <w:szCs w:val="22"/>
        </w:rPr>
        <w:t>8.1 Knowledge Gaps and Research Needs</w:t>
      </w:r>
    </w:p>
    <w:p w14:paraId="31699C84" w14:textId="77777777" w:rsidR="00C23E1D" w:rsidRDefault="00C23E1D" w:rsidP="00C23E1D">
      <w:pPr>
        <w:jc w:val="both"/>
        <w:rPr>
          <w:rFonts w:ascii="Arial" w:hAnsi="Arial" w:cs="Arial"/>
        </w:rPr>
      </w:pPr>
      <w:r w:rsidRPr="00C23E1D">
        <w:rPr>
          <w:rFonts w:ascii="Arial" w:hAnsi="Arial" w:cs="Arial"/>
        </w:rPr>
        <w:t>Despite substantial progress in nanotechnology applications for rice pest and disease management, several critical knowledge gaps require attention. Long-term environmental fate and effects of nanomaterials under realistic field conditions, including interactions with soil microbiomes, persistence in agricultural ecosystems, and potential for unintended ecological consequences, remain incompletely understood (Hajji-</w:t>
      </w:r>
      <w:proofErr w:type="spellStart"/>
      <w:r w:rsidRPr="00C23E1D">
        <w:rPr>
          <w:rFonts w:ascii="Arial" w:hAnsi="Arial" w:cs="Arial"/>
        </w:rPr>
        <w:t>Hedfi</w:t>
      </w:r>
      <w:proofErr w:type="spellEnd"/>
      <w:r w:rsidRPr="00C23E1D">
        <w:rPr>
          <w:rFonts w:ascii="Arial" w:hAnsi="Arial" w:cs="Arial"/>
        </w:rPr>
        <w:t xml:space="preserve"> &amp; </w:t>
      </w:r>
      <w:proofErr w:type="spellStart"/>
      <w:r w:rsidRPr="00C23E1D">
        <w:rPr>
          <w:rFonts w:ascii="Arial" w:hAnsi="Arial" w:cs="Arial"/>
        </w:rPr>
        <w:t>Chhipa</w:t>
      </w:r>
      <w:proofErr w:type="spellEnd"/>
      <w:r w:rsidRPr="00C23E1D">
        <w:rPr>
          <w:rFonts w:ascii="Arial" w:hAnsi="Arial" w:cs="Arial"/>
        </w:rPr>
        <w:t xml:space="preserve">, 2021). Optimization of </w:t>
      </w:r>
      <w:proofErr w:type="spellStart"/>
      <w:r w:rsidRPr="00C23E1D">
        <w:rPr>
          <w:rFonts w:ascii="Arial" w:hAnsi="Arial" w:cs="Arial"/>
        </w:rPr>
        <w:t>nanoformulations</w:t>
      </w:r>
      <w:proofErr w:type="spellEnd"/>
      <w:r w:rsidRPr="00C23E1D">
        <w:rPr>
          <w:rFonts w:ascii="Arial" w:hAnsi="Arial" w:cs="Arial"/>
        </w:rPr>
        <w:t xml:space="preserve"> for specific pest and disease contexts, including determination of optimal particle sizes, surface modifications, carrier materials, and release kinetics for different target organisms and environmental conditions, requires systematic investigation (Sharma et al., 2024). Mechanisms underlying nanoparticle-plant interactions, including uptake pathways, translocation patterns, effects on plant physiology, and potential phytotoxicity thresholds, need comprehensive characterization (Worrall et al., 2018). Efficacy under diverse field conditions, including variable weather patterns, different soil types, and interactions with other management practices, must be evaluated across multiple locations and seasons (Rajan &amp; Mathew, 2025). Strategies for resistance management, including rotation schemes, combination products, and integration with other control tactics, should be developed proactively to ensure long-term sustainability (</w:t>
      </w:r>
      <w:proofErr w:type="spellStart"/>
      <w:r w:rsidRPr="00C23E1D">
        <w:rPr>
          <w:rFonts w:ascii="Arial" w:hAnsi="Arial" w:cs="Arial"/>
        </w:rPr>
        <w:t>Kariyanna</w:t>
      </w:r>
      <w:proofErr w:type="spellEnd"/>
      <w:r w:rsidRPr="00C23E1D">
        <w:rPr>
          <w:rFonts w:ascii="Arial" w:hAnsi="Arial" w:cs="Arial"/>
        </w:rPr>
        <w:t xml:space="preserve"> &amp; </w:t>
      </w:r>
      <w:proofErr w:type="spellStart"/>
      <w:r w:rsidRPr="00C23E1D">
        <w:rPr>
          <w:rFonts w:ascii="Arial" w:hAnsi="Arial" w:cs="Arial"/>
        </w:rPr>
        <w:t>Sowjanya</w:t>
      </w:r>
      <w:proofErr w:type="spellEnd"/>
      <w:r w:rsidRPr="00C23E1D">
        <w:rPr>
          <w:rFonts w:ascii="Arial" w:hAnsi="Arial" w:cs="Arial"/>
        </w:rPr>
        <w:t xml:space="preserve">, 2025). </w:t>
      </w:r>
      <w:r w:rsidRPr="00C23E1D">
        <w:rPr>
          <w:rFonts w:ascii="Arial" w:hAnsi="Arial" w:cs="Arial"/>
          <w:b/>
          <w:bCs/>
        </w:rPr>
        <w:t>Table 13</w:t>
      </w:r>
      <w:r w:rsidRPr="00C23E1D">
        <w:rPr>
          <w:rFonts w:ascii="Arial" w:hAnsi="Arial" w:cs="Arial"/>
        </w:rPr>
        <w:t> summarizes key research gaps and priority areas for future investigation.</w:t>
      </w:r>
    </w:p>
    <w:p w14:paraId="5EAD5C89" w14:textId="77777777" w:rsidR="00C23E1D" w:rsidRPr="00C23E1D" w:rsidRDefault="00C23E1D" w:rsidP="00C23E1D">
      <w:pPr>
        <w:jc w:val="both"/>
        <w:rPr>
          <w:rFonts w:ascii="Arial" w:hAnsi="Arial" w:cs="Arial"/>
        </w:rPr>
      </w:pPr>
    </w:p>
    <w:p w14:paraId="3BA6415B" w14:textId="77777777" w:rsidR="00C23E1D" w:rsidRPr="00C23E1D" w:rsidRDefault="00C23E1D" w:rsidP="00C23E1D">
      <w:pPr>
        <w:jc w:val="both"/>
        <w:rPr>
          <w:rFonts w:ascii="Arial" w:hAnsi="Arial" w:cs="Arial"/>
        </w:rPr>
      </w:pPr>
      <w:r w:rsidRPr="00C23E1D">
        <w:rPr>
          <w:rFonts w:ascii="Arial" w:hAnsi="Arial" w:cs="Arial"/>
          <w:b/>
          <w:bCs/>
        </w:rPr>
        <w:t>Table 13.</w:t>
      </w:r>
      <w:r w:rsidRPr="00C23E1D">
        <w:rPr>
          <w:rFonts w:ascii="Arial" w:hAnsi="Arial" w:cs="Arial"/>
        </w:rPr>
        <w:t> Research Gaps and Priority Areas for Nanotechnology in Rice Protection</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1870"/>
        <w:gridCol w:w="1099"/>
        <w:gridCol w:w="1997"/>
        <w:gridCol w:w="1692"/>
        <w:gridCol w:w="1038"/>
        <w:gridCol w:w="1438"/>
      </w:tblGrid>
      <w:tr w:rsidR="00C23E1D" w:rsidRPr="00C23E1D" w14:paraId="69EE6134" w14:textId="77777777" w:rsidTr="00C23E1D">
        <w:trPr>
          <w:trHeight w:val="600"/>
        </w:trPr>
        <w:tc>
          <w:tcPr>
            <w:tcW w:w="0" w:type="auto"/>
            <w:tcBorders>
              <w:top w:val="single" w:sz="4" w:space="0" w:color="auto"/>
              <w:bottom w:val="single" w:sz="4" w:space="0" w:color="auto"/>
            </w:tcBorders>
            <w:hideMark/>
          </w:tcPr>
          <w:p w14:paraId="74260BE2"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Research Area</w:t>
            </w:r>
          </w:p>
        </w:tc>
        <w:tc>
          <w:tcPr>
            <w:tcW w:w="0" w:type="auto"/>
            <w:tcBorders>
              <w:top w:val="single" w:sz="4" w:space="0" w:color="auto"/>
              <w:bottom w:val="single" w:sz="4" w:space="0" w:color="auto"/>
            </w:tcBorders>
            <w:hideMark/>
          </w:tcPr>
          <w:p w14:paraId="72A2D668"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Specific Knowledge Gaps</w:t>
            </w:r>
          </w:p>
        </w:tc>
        <w:tc>
          <w:tcPr>
            <w:tcW w:w="0" w:type="auto"/>
            <w:tcBorders>
              <w:top w:val="single" w:sz="4" w:space="0" w:color="auto"/>
              <w:bottom w:val="single" w:sz="4" w:space="0" w:color="auto"/>
            </w:tcBorders>
            <w:hideMark/>
          </w:tcPr>
          <w:p w14:paraId="6C0856FA"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Priority Level</w:t>
            </w:r>
          </w:p>
        </w:tc>
        <w:tc>
          <w:tcPr>
            <w:tcW w:w="0" w:type="auto"/>
            <w:tcBorders>
              <w:top w:val="single" w:sz="4" w:space="0" w:color="auto"/>
              <w:bottom w:val="single" w:sz="4" w:space="0" w:color="auto"/>
            </w:tcBorders>
            <w:hideMark/>
          </w:tcPr>
          <w:p w14:paraId="16FDB720"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Methodological Approaches</w:t>
            </w:r>
          </w:p>
        </w:tc>
        <w:tc>
          <w:tcPr>
            <w:tcW w:w="0" w:type="auto"/>
            <w:tcBorders>
              <w:top w:val="single" w:sz="4" w:space="0" w:color="auto"/>
              <w:bottom w:val="single" w:sz="4" w:space="0" w:color="auto"/>
            </w:tcBorders>
            <w:hideMark/>
          </w:tcPr>
          <w:p w14:paraId="1E66F54F"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Expected Outcomes</w:t>
            </w:r>
          </w:p>
        </w:tc>
        <w:tc>
          <w:tcPr>
            <w:tcW w:w="0" w:type="auto"/>
            <w:tcBorders>
              <w:top w:val="single" w:sz="4" w:space="0" w:color="auto"/>
              <w:bottom w:val="single" w:sz="4" w:space="0" w:color="auto"/>
            </w:tcBorders>
            <w:hideMark/>
          </w:tcPr>
          <w:p w14:paraId="6EDD9164"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Timeline</w:t>
            </w:r>
          </w:p>
        </w:tc>
        <w:tc>
          <w:tcPr>
            <w:tcW w:w="0" w:type="auto"/>
            <w:tcBorders>
              <w:top w:val="single" w:sz="4" w:space="0" w:color="auto"/>
              <w:bottom w:val="single" w:sz="4" w:space="0" w:color="auto"/>
            </w:tcBorders>
            <w:hideMark/>
          </w:tcPr>
          <w:p w14:paraId="451FA449" w14:textId="77777777" w:rsidR="00C23E1D" w:rsidRPr="00C23E1D" w:rsidRDefault="00C23E1D" w:rsidP="00C04C25">
            <w:pPr>
              <w:spacing w:after="160" w:line="278" w:lineRule="auto"/>
              <w:jc w:val="both"/>
              <w:rPr>
                <w:rFonts w:ascii="Arial" w:hAnsi="Arial" w:cs="Arial"/>
                <w:b/>
                <w:bCs/>
                <w:sz w:val="20"/>
                <w:szCs w:val="20"/>
              </w:rPr>
            </w:pPr>
            <w:r w:rsidRPr="00C23E1D">
              <w:rPr>
                <w:rFonts w:ascii="Arial" w:hAnsi="Arial" w:cs="Arial"/>
                <w:b/>
                <w:bCs/>
                <w:sz w:val="20"/>
                <w:szCs w:val="20"/>
              </w:rPr>
              <w:t>References</w:t>
            </w:r>
          </w:p>
        </w:tc>
      </w:tr>
      <w:tr w:rsidR="00C23E1D" w:rsidRPr="00C23E1D" w14:paraId="04BE1B83" w14:textId="77777777" w:rsidTr="00C23E1D">
        <w:tc>
          <w:tcPr>
            <w:tcW w:w="0" w:type="auto"/>
            <w:tcBorders>
              <w:top w:val="single" w:sz="4" w:space="0" w:color="auto"/>
            </w:tcBorders>
            <w:hideMark/>
          </w:tcPr>
          <w:p w14:paraId="7913FC2D"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Environmental Fate</w:t>
            </w:r>
          </w:p>
        </w:tc>
        <w:tc>
          <w:tcPr>
            <w:tcW w:w="0" w:type="auto"/>
            <w:tcBorders>
              <w:top w:val="single" w:sz="4" w:space="0" w:color="auto"/>
            </w:tcBorders>
            <w:hideMark/>
          </w:tcPr>
          <w:p w14:paraId="0EBE46F5"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Long-term persistence; transformation; trophic transfer; ecosystem impacts</w:t>
            </w:r>
          </w:p>
        </w:tc>
        <w:tc>
          <w:tcPr>
            <w:tcW w:w="0" w:type="auto"/>
            <w:tcBorders>
              <w:top w:val="single" w:sz="4" w:space="0" w:color="auto"/>
            </w:tcBorders>
            <w:hideMark/>
          </w:tcPr>
          <w:p w14:paraId="34B4DB2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w:t>
            </w:r>
          </w:p>
        </w:tc>
        <w:tc>
          <w:tcPr>
            <w:tcW w:w="0" w:type="auto"/>
            <w:tcBorders>
              <w:top w:val="single" w:sz="4" w:space="0" w:color="auto"/>
            </w:tcBorders>
            <w:hideMark/>
          </w:tcPr>
          <w:p w14:paraId="194933B4"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Multi-year field studies; isotope labeling; modeling; mesocosm experiments</w:t>
            </w:r>
          </w:p>
        </w:tc>
        <w:tc>
          <w:tcPr>
            <w:tcW w:w="0" w:type="auto"/>
            <w:tcBorders>
              <w:top w:val="single" w:sz="4" w:space="0" w:color="auto"/>
            </w:tcBorders>
            <w:hideMark/>
          </w:tcPr>
          <w:p w14:paraId="28513884"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Predictive models; safe application guidelines</w:t>
            </w:r>
          </w:p>
        </w:tc>
        <w:tc>
          <w:tcPr>
            <w:tcW w:w="0" w:type="auto"/>
            <w:tcBorders>
              <w:top w:val="single" w:sz="4" w:space="0" w:color="auto"/>
            </w:tcBorders>
            <w:hideMark/>
          </w:tcPr>
          <w:p w14:paraId="4EF1D54D"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5–10 years</w:t>
            </w:r>
          </w:p>
        </w:tc>
        <w:tc>
          <w:tcPr>
            <w:tcW w:w="0" w:type="auto"/>
            <w:tcBorders>
              <w:top w:val="single" w:sz="4" w:space="0" w:color="auto"/>
            </w:tcBorders>
            <w:hideMark/>
          </w:tcPr>
          <w:p w14:paraId="2E90D167"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Hajji-</w:t>
            </w:r>
            <w:proofErr w:type="spellStart"/>
            <w:r w:rsidRPr="00C23E1D">
              <w:rPr>
                <w:rFonts w:ascii="Arial" w:hAnsi="Arial" w:cs="Arial"/>
                <w:sz w:val="20"/>
                <w:szCs w:val="20"/>
              </w:rPr>
              <w:t>Hedfi</w:t>
            </w:r>
            <w:proofErr w:type="spellEnd"/>
            <w:r w:rsidRPr="00C23E1D">
              <w:rPr>
                <w:rFonts w:ascii="Arial" w:hAnsi="Arial" w:cs="Arial"/>
                <w:sz w:val="20"/>
                <w:szCs w:val="20"/>
              </w:rPr>
              <w:t xml:space="preserve"> &amp; </w:t>
            </w:r>
            <w:proofErr w:type="spellStart"/>
            <w:r w:rsidRPr="00C23E1D">
              <w:rPr>
                <w:rFonts w:ascii="Arial" w:hAnsi="Arial" w:cs="Arial"/>
                <w:sz w:val="20"/>
                <w:szCs w:val="20"/>
              </w:rPr>
              <w:t>Chhipa</w:t>
            </w:r>
            <w:proofErr w:type="spellEnd"/>
            <w:r w:rsidRPr="00C23E1D">
              <w:rPr>
                <w:rFonts w:ascii="Arial" w:hAnsi="Arial" w:cs="Arial"/>
                <w:sz w:val="20"/>
                <w:szCs w:val="20"/>
              </w:rPr>
              <w:t>, 2021</w:t>
            </w:r>
          </w:p>
        </w:tc>
      </w:tr>
      <w:tr w:rsidR="00C23E1D" w:rsidRPr="00C23E1D" w14:paraId="4F78F57A" w14:textId="77777777" w:rsidTr="00C23E1D">
        <w:tc>
          <w:tcPr>
            <w:tcW w:w="0" w:type="auto"/>
            <w:hideMark/>
          </w:tcPr>
          <w:p w14:paraId="0C3221D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Formulation Optimization</w:t>
            </w:r>
          </w:p>
        </w:tc>
        <w:tc>
          <w:tcPr>
            <w:tcW w:w="0" w:type="auto"/>
            <w:hideMark/>
          </w:tcPr>
          <w:p w14:paraId="7A4835B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Optimal size, coating, carrier for specific targets; release kinetics; stability</w:t>
            </w:r>
          </w:p>
        </w:tc>
        <w:tc>
          <w:tcPr>
            <w:tcW w:w="0" w:type="auto"/>
            <w:hideMark/>
          </w:tcPr>
          <w:p w14:paraId="3F42028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w:t>
            </w:r>
          </w:p>
        </w:tc>
        <w:tc>
          <w:tcPr>
            <w:tcW w:w="0" w:type="auto"/>
            <w:hideMark/>
          </w:tcPr>
          <w:p w14:paraId="6266D1EC"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Design of experiments; high-throughput screening; structure-activity relationships</w:t>
            </w:r>
          </w:p>
        </w:tc>
        <w:tc>
          <w:tcPr>
            <w:tcW w:w="0" w:type="auto"/>
            <w:hideMark/>
          </w:tcPr>
          <w:p w14:paraId="1D903A6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Optimized products for specific pests/diseases</w:t>
            </w:r>
          </w:p>
        </w:tc>
        <w:tc>
          <w:tcPr>
            <w:tcW w:w="0" w:type="auto"/>
            <w:hideMark/>
          </w:tcPr>
          <w:p w14:paraId="411C677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3–5 years</w:t>
            </w:r>
          </w:p>
        </w:tc>
        <w:tc>
          <w:tcPr>
            <w:tcW w:w="0" w:type="auto"/>
            <w:hideMark/>
          </w:tcPr>
          <w:p w14:paraId="79B9297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Sharma et al., 2024</w:t>
            </w:r>
          </w:p>
        </w:tc>
      </w:tr>
      <w:tr w:rsidR="00C23E1D" w:rsidRPr="00C23E1D" w14:paraId="4FF2A18D" w14:textId="77777777" w:rsidTr="00C23E1D">
        <w:tc>
          <w:tcPr>
            <w:tcW w:w="0" w:type="auto"/>
            <w:hideMark/>
          </w:tcPr>
          <w:p w14:paraId="6E6E202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Plant Interactions</w:t>
            </w:r>
          </w:p>
        </w:tc>
        <w:tc>
          <w:tcPr>
            <w:tcW w:w="0" w:type="auto"/>
            <w:hideMark/>
          </w:tcPr>
          <w:p w14:paraId="11D4B2B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 xml:space="preserve">Uptake mechanisms; translocation; phytotoxicity thresholds; </w:t>
            </w:r>
            <w:r w:rsidRPr="00C23E1D">
              <w:rPr>
                <w:rFonts w:ascii="Arial" w:hAnsi="Arial" w:cs="Arial"/>
                <w:sz w:val="20"/>
                <w:szCs w:val="20"/>
              </w:rPr>
              <w:lastRenderedPageBreak/>
              <w:t>physiological effects</w:t>
            </w:r>
          </w:p>
        </w:tc>
        <w:tc>
          <w:tcPr>
            <w:tcW w:w="0" w:type="auto"/>
            <w:hideMark/>
          </w:tcPr>
          <w:p w14:paraId="27D9E197"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lastRenderedPageBreak/>
              <w:t>High</w:t>
            </w:r>
          </w:p>
        </w:tc>
        <w:tc>
          <w:tcPr>
            <w:tcW w:w="0" w:type="auto"/>
            <w:hideMark/>
          </w:tcPr>
          <w:p w14:paraId="6CB02B07"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Isotope tracing; microscopy; transcriptomics; metabolomics</w:t>
            </w:r>
          </w:p>
        </w:tc>
        <w:tc>
          <w:tcPr>
            <w:tcW w:w="0" w:type="auto"/>
            <w:hideMark/>
          </w:tcPr>
          <w:p w14:paraId="3D6FAF3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Understanding of nano-plant interfaces</w:t>
            </w:r>
          </w:p>
        </w:tc>
        <w:tc>
          <w:tcPr>
            <w:tcW w:w="0" w:type="auto"/>
            <w:hideMark/>
          </w:tcPr>
          <w:p w14:paraId="00A0CA3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3–7 years</w:t>
            </w:r>
          </w:p>
        </w:tc>
        <w:tc>
          <w:tcPr>
            <w:tcW w:w="0" w:type="auto"/>
            <w:hideMark/>
          </w:tcPr>
          <w:p w14:paraId="33794FA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Worrall et al., 2018</w:t>
            </w:r>
          </w:p>
        </w:tc>
      </w:tr>
      <w:tr w:rsidR="00C23E1D" w:rsidRPr="00C23E1D" w14:paraId="0FCF282E" w14:textId="77777777" w:rsidTr="00C23E1D">
        <w:tc>
          <w:tcPr>
            <w:tcW w:w="0" w:type="auto"/>
            <w:hideMark/>
          </w:tcPr>
          <w:p w14:paraId="2A2C6D5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Field Efficacy</w:t>
            </w:r>
          </w:p>
        </w:tc>
        <w:tc>
          <w:tcPr>
            <w:tcW w:w="0" w:type="auto"/>
            <w:hideMark/>
          </w:tcPr>
          <w:p w14:paraId="056A520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Performance under diverse conditions; weather interactions; soil type effects</w:t>
            </w:r>
          </w:p>
        </w:tc>
        <w:tc>
          <w:tcPr>
            <w:tcW w:w="0" w:type="auto"/>
            <w:hideMark/>
          </w:tcPr>
          <w:p w14:paraId="5AD8D63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w:t>
            </w:r>
          </w:p>
        </w:tc>
        <w:tc>
          <w:tcPr>
            <w:tcW w:w="0" w:type="auto"/>
            <w:hideMark/>
          </w:tcPr>
          <w:p w14:paraId="4B9DE9D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Multi-location trials; on-farm research; participatory evaluation</w:t>
            </w:r>
          </w:p>
        </w:tc>
        <w:tc>
          <w:tcPr>
            <w:tcW w:w="0" w:type="auto"/>
            <w:hideMark/>
          </w:tcPr>
          <w:p w14:paraId="0421E236"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 xml:space="preserve">Validated efficacy across </w:t>
            </w:r>
            <w:proofErr w:type="spellStart"/>
            <w:r w:rsidRPr="00C23E1D">
              <w:rPr>
                <w:rFonts w:ascii="Arial" w:hAnsi="Arial" w:cs="Arial"/>
                <w:sz w:val="20"/>
                <w:szCs w:val="20"/>
              </w:rPr>
              <w:t>agroecologies</w:t>
            </w:r>
            <w:proofErr w:type="spellEnd"/>
          </w:p>
        </w:tc>
        <w:tc>
          <w:tcPr>
            <w:tcW w:w="0" w:type="auto"/>
            <w:hideMark/>
          </w:tcPr>
          <w:p w14:paraId="22EFEF0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3–5 years</w:t>
            </w:r>
          </w:p>
        </w:tc>
        <w:tc>
          <w:tcPr>
            <w:tcW w:w="0" w:type="auto"/>
            <w:hideMark/>
          </w:tcPr>
          <w:p w14:paraId="69B2EA3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Rajan &amp; Mathew, 2025</w:t>
            </w:r>
          </w:p>
        </w:tc>
      </w:tr>
      <w:tr w:rsidR="00C23E1D" w:rsidRPr="00C23E1D" w14:paraId="736B477F" w14:textId="77777777" w:rsidTr="00C23E1D">
        <w:tc>
          <w:tcPr>
            <w:tcW w:w="0" w:type="auto"/>
            <w:hideMark/>
          </w:tcPr>
          <w:p w14:paraId="1945200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Resistance Management</w:t>
            </w:r>
          </w:p>
        </w:tc>
        <w:tc>
          <w:tcPr>
            <w:tcW w:w="0" w:type="auto"/>
            <w:hideMark/>
          </w:tcPr>
          <w:p w14:paraId="0BEAE35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Resistance risk assessment; rotation strategies; combination approaches</w:t>
            </w:r>
          </w:p>
        </w:tc>
        <w:tc>
          <w:tcPr>
            <w:tcW w:w="0" w:type="auto"/>
            <w:hideMark/>
          </w:tcPr>
          <w:p w14:paraId="4D216EC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 to High</w:t>
            </w:r>
          </w:p>
        </w:tc>
        <w:tc>
          <w:tcPr>
            <w:tcW w:w="0" w:type="auto"/>
            <w:hideMark/>
          </w:tcPr>
          <w:p w14:paraId="16A3BC23"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Evolution experiments; molecular monitoring; modeling</w:t>
            </w:r>
          </w:p>
        </w:tc>
        <w:tc>
          <w:tcPr>
            <w:tcW w:w="0" w:type="auto"/>
            <w:hideMark/>
          </w:tcPr>
          <w:p w14:paraId="22753726"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Proactive resistance management plans</w:t>
            </w:r>
          </w:p>
        </w:tc>
        <w:tc>
          <w:tcPr>
            <w:tcW w:w="0" w:type="auto"/>
            <w:hideMark/>
          </w:tcPr>
          <w:p w14:paraId="05D17BA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5–10 years</w:t>
            </w:r>
          </w:p>
        </w:tc>
        <w:tc>
          <w:tcPr>
            <w:tcW w:w="0" w:type="auto"/>
            <w:hideMark/>
          </w:tcPr>
          <w:p w14:paraId="5080ACA0" w14:textId="77777777" w:rsidR="00C23E1D" w:rsidRPr="00C23E1D" w:rsidRDefault="00C23E1D" w:rsidP="00C04C25">
            <w:pPr>
              <w:spacing w:after="160" w:line="278" w:lineRule="auto"/>
              <w:jc w:val="both"/>
              <w:rPr>
                <w:rFonts w:ascii="Arial" w:hAnsi="Arial" w:cs="Arial"/>
                <w:sz w:val="20"/>
                <w:szCs w:val="20"/>
              </w:rPr>
            </w:pPr>
            <w:proofErr w:type="spellStart"/>
            <w:r w:rsidRPr="00C23E1D">
              <w:rPr>
                <w:rFonts w:ascii="Arial" w:hAnsi="Arial" w:cs="Arial"/>
                <w:sz w:val="20"/>
                <w:szCs w:val="20"/>
              </w:rPr>
              <w:t>Kariyanna</w:t>
            </w:r>
            <w:proofErr w:type="spellEnd"/>
            <w:r w:rsidRPr="00C23E1D">
              <w:rPr>
                <w:rFonts w:ascii="Arial" w:hAnsi="Arial" w:cs="Arial"/>
                <w:sz w:val="20"/>
                <w:szCs w:val="20"/>
              </w:rPr>
              <w:t xml:space="preserve"> &amp; </w:t>
            </w:r>
            <w:proofErr w:type="spellStart"/>
            <w:r w:rsidRPr="00C23E1D">
              <w:rPr>
                <w:rFonts w:ascii="Arial" w:hAnsi="Arial" w:cs="Arial"/>
                <w:sz w:val="20"/>
                <w:szCs w:val="20"/>
              </w:rPr>
              <w:t>Sowjanya</w:t>
            </w:r>
            <w:proofErr w:type="spellEnd"/>
            <w:r w:rsidRPr="00C23E1D">
              <w:rPr>
                <w:rFonts w:ascii="Arial" w:hAnsi="Arial" w:cs="Arial"/>
                <w:sz w:val="20"/>
                <w:szCs w:val="20"/>
              </w:rPr>
              <w:t>, 2025</w:t>
            </w:r>
          </w:p>
        </w:tc>
      </w:tr>
      <w:tr w:rsidR="00C23E1D" w:rsidRPr="00C23E1D" w14:paraId="5246323E" w14:textId="77777777" w:rsidTr="00C23E1D">
        <w:tc>
          <w:tcPr>
            <w:tcW w:w="0" w:type="auto"/>
            <w:hideMark/>
          </w:tcPr>
          <w:p w14:paraId="75A2B703"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Non-Target Effects</w:t>
            </w:r>
          </w:p>
        </w:tc>
        <w:tc>
          <w:tcPr>
            <w:tcW w:w="0" w:type="auto"/>
            <w:hideMark/>
          </w:tcPr>
          <w:p w14:paraId="7E53F33C"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Effects on beneficial insects, soil microbiome, aquatic organisms</w:t>
            </w:r>
          </w:p>
        </w:tc>
        <w:tc>
          <w:tcPr>
            <w:tcW w:w="0" w:type="auto"/>
            <w:hideMark/>
          </w:tcPr>
          <w:p w14:paraId="75A73C74"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w:t>
            </w:r>
          </w:p>
        </w:tc>
        <w:tc>
          <w:tcPr>
            <w:tcW w:w="0" w:type="auto"/>
            <w:hideMark/>
          </w:tcPr>
          <w:p w14:paraId="2BC7317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Ecotoxicology studies; community analysis; field monitoring</w:t>
            </w:r>
          </w:p>
        </w:tc>
        <w:tc>
          <w:tcPr>
            <w:tcW w:w="0" w:type="auto"/>
            <w:hideMark/>
          </w:tcPr>
          <w:p w14:paraId="13C2724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Safety thresholds; risk mitigation strategies</w:t>
            </w:r>
          </w:p>
        </w:tc>
        <w:tc>
          <w:tcPr>
            <w:tcW w:w="0" w:type="auto"/>
            <w:hideMark/>
          </w:tcPr>
          <w:p w14:paraId="25A7273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3–7 years</w:t>
            </w:r>
          </w:p>
        </w:tc>
        <w:tc>
          <w:tcPr>
            <w:tcW w:w="0" w:type="auto"/>
            <w:hideMark/>
          </w:tcPr>
          <w:p w14:paraId="189975B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Hajji-</w:t>
            </w:r>
            <w:proofErr w:type="spellStart"/>
            <w:r w:rsidRPr="00C23E1D">
              <w:rPr>
                <w:rFonts w:ascii="Arial" w:hAnsi="Arial" w:cs="Arial"/>
                <w:sz w:val="20"/>
                <w:szCs w:val="20"/>
              </w:rPr>
              <w:t>Hedfi</w:t>
            </w:r>
            <w:proofErr w:type="spellEnd"/>
            <w:r w:rsidRPr="00C23E1D">
              <w:rPr>
                <w:rFonts w:ascii="Arial" w:hAnsi="Arial" w:cs="Arial"/>
                <w:sz w:val="20"/>
                <w:szCs w:val="20"/>
              </w:rPr>
              <w:t xml:space="preserve"> &amp; </w:t>
            </w:r>
            <w:proofErr w:type="spellStart"/>
            <w:r w:rsidRPr="00C23E1D">
              <w:rPr>
                <w:rFonts w:ascii="Arial" w:hAnsi="Arial" w:cs="Arial"/>
                <w:sz w:val="20"/>
                <w:szCs w:val="20"/>
              </w:rPr>
              <w:t>Chhipa</w:t>
            </w:r>
            <w:proofErr w:type="spellEnd"/>
            <w:r w:rsidRPr="00C23E1D">
              <w:rPr>
                <w:rFonts w:ascii="Arial" w:hAnsi="Arial" w:cs="Arial"/>
                <w:sz w:val="20"/>
                <w:szCs w:val="20"/>
              </w:rPr>
              <w:t>, 2021</w:t>
            </w:r>
          </w:p>
        </w:tc>
      </w:tr>
      <w:tr w:rsidR="00C23E1D" w:rsidRPr="00C23E1D" w14:paraId="1D5E6812" w14:textId="77777777" w:rsidTr="00C23E1D">
        <w:tc>
          <w:tcPr>
            <w:tcW w:w="0" w:type="auto"/>
            <w:hideMark/>
          </w:tcPr>
          <w:p w14:paraId="6A024DE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Economic Analysis</w:t>
            </w:r>
          </w:p>
        </w:tc>
        <w:tc>
          <w:tcPr>
            <w:tcW w:w="0" w:type="auto"/>
            <w:hideMark/>
          </w:tcPr>
          <w:p w14:paraId="7573D83B"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Cost-benefit at scale; market dynamics; value chain analysis</w:t>
            </w:r>
          </w:p>
        </w:tc>
        <w:tc>
          <w:tcPr>
            <w:tcW w:w="0" w:type="auto"/>
            <w:hideMark/>
          </w:tcPr>
          <w:p w14:paraId="783B418C"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w:t>
            </w:r>
          </w:p>
        </w:tc>
        <w:tc>
          <w:tcPr>
            <w:tcW w:w="0" w:type="auto"/>
            <w:hideMark/>
          </w:tcPr>
          <w:p w14:paraId="144E8A47"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Economic modeling; farm surveys; market analysis</w:t>
            </w:r>
          </w:p>
        </w:tc>
        <w:tc>
          <w:tcPr>
            <w:tcW w:w="0" w:type="auto"/>
            <w:hideMark/>
          </w:tcPr>
          <w:p w14:paraId="241B875B"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Business models; adoption strategies</w:t>
            </w:r>
          </w:p>
        </w:tc>
        <w:tc>
          <w:tcPr>
            <w:tcW w:w="0" w:type="auto"/>
            <w:hideMark/>
          </w:tcPr>
          <w:p w14:paraId="4F24856D"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2–4 years</w:t>
            </w:r>
          </w:p>
        </w:tc>
        <w:tc>
          <w:tcPr>
            <w:tcW w:w="0" w:type="auto"/>
            <w:hideMark/>
          </w:tcPr>
          <w:p w14:paraId="471F787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Rajan &amp; Mathew, 2025</w:t>
            </w:r>
          </w:p>
        </w:tc>
      </w:tr>
      <w:tr w:rsidR="00C23E1D" w:rsidRPr="00C23E1D" w14:paraId="0C8FE10C" w14:textId="77777777" w:rsidTr="00C23E1D">
        <w:tc>
          <w:tcPr>
            <w:tcW w:w="0" w:type="auto"/>
            <w:hideMark/>
          </w:tcPr>
          <w:p w14:paraId="49CB3C67"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Regulatory Science</w:t>
            </w:r>
          </w:p>
        </w:tc>
        <w:tc>
          <w:tcPr>
            <w:tcW w:w="0" w:type="auto"/>
            <w:hideMark/>
          </w:tcPr>
          <w:p w14:paraId="14D9084C"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Standardized testing protocols; risk assessment frameworks; harmonization</w:t>
            </w:r>
          </w:p>
        </w:tc>
        <w:tc>
          <w:tcPr>
            <w:tcW w:w="0" w:type="auto"/>
            <w:hideMark/>
          </w:tcPr>
          <w:p w14:paraId="65200D05"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w:t>
            </w:r>
          </w:p>
        </w:tc>
        <w:tc>
          <w:tcPr>
            <w:tcW w:w="0" w:type="auto"/>
            <w:hideMark/>
          </w:tcPr>
          <w:p w14:paraId="19A0689D"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Method development; validation studies; stakeholder engagement</w:t>
            </w:r>
          </w:p>
        </w:tc>
        <w:tc>
          <w:tcPr>
            <w:tcW w:w="0" w:type="auto"/>
            <w:hideMark/>
          </w:tcPr>
          <w:p w14:paraId="39DA02D0"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Regulatory guidelines; approval pathways</w:t>
            </w:r>
          </w:p>
        </w:tc>
        <w:tc>
          <w:tcPr>
            <w:tcW w:w="0" w:type="auto"/>
            <w:hideMark/>
          </w:tcPr>
          <w:p w14:paraId="7BAAACB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3–5 years</w:t>
            </w:r>
          </w:p>
        </w:tc>
        <w:tc>
          <w:tcPr>
            <w:tcW w:w="0" w:type="auto"/>
            <w:hideMark/>
          </w:tcPr>
          <w:p w14:paraId="5DB1E44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Hajji-</w:t>
            </w:r>
            <w:proofErr w:type="spellStart"/>
            <w:r w:rsidRPr="00C23E1D">
              <w:rPr>
                <w:rFonts w:ascii="Arial" w:hAnsi="Arial" w:cs="Arial"/>
                <w:sz w:val="20"/>
                <w:szCs w:val="20"/>
              </w:rPr>
              <w:t>Hedfi</w:t>
            </w:r>
            <w:proofErr w:type="spellEnd"/>
            <w:r w:rsidRPr="00C23E1D">
              <w:rPr>
                <w:rFonts w:ascii="Arial" w:hAnsi="Arial" w:cs="Arial"/>
                <w:sz w:val="20"/>
                <w:szCs w:val="20"/>
              </w:rPr>
              <w:t xml:space="preserve"> &amp; </w:t>
            </w:r>
            <w:proofErr w:type="spellStart"/>
            <w:r w:rsidRPr="00C23E1D">
              <w:rPr>
                <w:rFonts w:ascii="Arial" w:hAnsi="Arial" w:cs="Arial"/>
                <w:sz w:val="20"/>
                <w:szCs w:val="20"/>
              </w:rPr>
              <w:t>Chhipa</w:t>
            </w:r>
            <w:proofErr w:type="spellEnd"/>
            <w:r w:rsidRPr="00C23E1D">
              <w:rPr>
                <w:rFonts w:ascii="Arial" w:hAnsi="Arial" w:cs="Arial"/>
                <w:sz w:val="20"/>
                <w:szCs w:val="20"/>
              </w:rPr>
              <w:t>, 2021</w:t>
            </w:r>
          </w:p>
        </w:tc>
      </w:tr>
      <w:tr w:rsidR="00C23E1D" w:rsidRPr="00C23E1D" w14:paraId="66EDE459" w14:textId="77777777" w:rsidTr="00C23E1D">
        <w:tc>
          <w:tcPr>
            <w:tcW w:w="0" w:type="auto"/>
            <w:hideMark/>
          </w:tcPr>
          <w:p w14:paraId="06B94DF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Scale-Up &amp; Manufacturing</w:t>
            </w:r>
          </w:p>
        </w:tc>
        <w:tc>
          <w:tcPr>
            <w:tcW w:w="0" w:type="auto"/>
            <w:hideMark/>
          </w:tcPr>
          <w:p w14:paraId="0DF1F1CD"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Cost-effective production; quality control; supply chain</w:t>
            </w:r>
          </w:p>
        </w:tc>
        <w:tc>
          <w:tcPr>
            <w:tcW w:w="0" w:type="auto"/>
            <w:hideMark/>
          </w:tcPr>
          <w:p w14:paraId="15D607DD"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 to High</w:t>
            </w:r>
          </w:p>
        </w:tc>
        <w:tc>
          <w:tcPr>
            <w:tcW w:w="0" w:type="auto"/>
            <w:hideMark/>
          </w:tcPr>
          <w:p w14:paraId="4EF85A36"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Process engineering; quality assurance; industrial partnerships</w:t>
            </w:r>
          </w:p>
        </w:tc>
        <w:tc>
          <w:tcPr>
            <w:tcW w:w="0" w:type="auto"/>
            <w:hideMark/>
          </w:tcPr>
          <w:p w14:paraId="28A9BAE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Commercial-scale production capacity</w:t>
            </w:r>
          </w:p>
        </w:tc>
        <w:tc>
          <w:tcPr>
            <w:tcW w:w="0" w:type="auto"/>
            <w:hideMark/>
          </w:tcPr>
          <w:p w14:paraId="127448B3"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2–5 years</w:t>
            </w:r>
          </w:p>
        </w:tc>
        <w:tc>
          <w:tcPr>
            <w:tcW w:w="0" w:type="auto"/>
            <w:hideMark/>
          </w:tcPr>
          <w:p w14:paraId="1215BC85"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Sharma et al., 2024</w:t>
            </w:r>
          </w:p>
        </w:tc>
      </w:tr>
      <w:tr w:rsidR="00C23E1D" w:rsidRPr="00C23E1D" w14:paraId="2D2D5E70" w14:textId="77777777" w:rsidTr="00C23E1D">
        <w:tc>
          <w:tcPr>
            <w:tcW w:w="0" w:type="auto"/>
            <w:hideMark/>
          </w:tcPr>
          <w:p w14:paraId="4F5E26B6"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RNAi Technology</w:t>
            </w:r>
          </w:p>
        </w:tc>
        <w:tc>
          <w:tcPr>
            <w:tcW w:w="0" w:type="auto"/>
            <w:hideMark/>
          </w:tcPr>
          <w:p w14:paraId="6A00020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Field stability; application methods; dose optimization; off-target assessment</w:t>
            </w:r>
          </w:p>
        </w:tc>
        <w:tc>
          <w:tcPr>
            <w:tcW w:w="0" w:type="auto"/>
            <w:hideMark/>
          </w:tcPr>
          <w:p w14:paraId="1D5AFF05"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High</w:t>
            </w:r>
          </w:p>
        </w:tc>
        <w:tc>
          <w:tcPr>
            <w:tcW w:w="0" w:type="auto"/>
            <w:hideMark/>
          </w:tcPr>
          <w:p w14:paraId="46F61DE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Molecular biology; delivery optimization; bioinformatics</w:t>
            </w:r>
          </w:p>
        </w:tc>
        <w:tc>
          <w:tcPr>
            <w:tcW w:w="0" w:type="auto"/>
            <w:hideMark/>
          </w:tcPr>
          <w:p w14:paraId="6AE73FB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Commercial RNAi products</w:t>
            </w:r>
          </w:p>
        </w:tc>
        <w:tc>
          <w:tcPr>
            <w:tcW w:w="0" w:type="auto"/>
            <w:hideMark/>
          </w:tcPr>
          <w:p w14:paraId="44849D9C"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5–10 years</w:t>
            </w:r>
          </w:p>
        </w:tc>
        <w:tc>
          <w:tcPr>
            <w:tcW w:w="0" w:type="auto"/>
            <w:hideMark/>
          </w:tcPr>
          <w:p w14:paraId="2E9F37D3" w14:textId="77777777" w:rsidR="00C23E1D" w:rsidRPr="00C23E1D" w:rsidRDefault="00C23E1D" w:rsidP="00C04C25">
            <w:pPr>
              <w:spacing w:after="160" w:line="278" w:lineRule="auto"/>
              <w:jc w:val="both"/>
              <w:rPr>
                <w:rFonts w:ascii="Arial" w:hAnsi="Arial" w:cs="Arial"/>
                <w:sz w:val="20"/>
                <w:szCs w:val="20"/>
              </w:rPr>
            </w:pPr>
            <w:proofErr w:type="spellStart"/>
            <w:r w:rsidRPr="00C23E1D">
              <w:rPr>
                <w:rFonts w:ascii="Arial" w:hAnsi="Arial" w:cs="Arial"/>
                <w:sz w:val="20"/>
                <w:szCs w:val="20"/>
              </w:rPr>
              <w:t>Kansotia</w:t>
            </w:r>
            <w:proofErr w:type="spellEnd"/>
            <w:r w:rsidRPr="00C23E1D">
              <w:rPr>
                <w:rFonts w:ascii="Arial" w:hAnsi="Arial" w:cs="Arial"/>
                <w:sz w:val="20"/>
                <w:szCs w:val="20"/>
              </w:rPr>
              <w:t xml:space="preserve"> et al., 2024; Awasthi et al., 2025</w:t>
            </w:r>
          </w:p>
        </w:tc>
      </w:tr>
      <w:tr w:rsidR="00C23E1D" w:rsidRPr="00C23E1D" w14:paraId="628950D8" w14:textId="77777777" w:rsidTr="00C23E1D">
        <w:tc>
          <w:tcPr>
            <w:tcW w:w="0" w:type="auto"/>
            <w:hideMark/>
          </w:tcPr>
          <w:p w14:paraId="408CBEC9"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Smart Delivery Systems</w:t>
            </w:r>
          </w:p>
        </w:tc>
        <w:tc>
          <w:tcPr>
            <w:tcW w:w="0" w:type="auto"/>
            <w:hideMark/>
          </w:tcPr>
          <w:p w14:paraId="72800586"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Stimuli-responsive triggers; targeting ligands; multi-functional platforms</w:t>
            </w:r>
          </w:p>
        </w:tc>
        <w:tc>
          <w:tcPr>
            <w:tcW w:w="0" w:type="auto"/>
            <w:hideMark/>
          </w:tcPr>
          <w:p w14:paraId="3460E416"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w:t>
            </w:r>
          </w:p>
        </w:tc>
        <w:tc>
          <w:tcPr>
            <w:tcW w:w="0" w:type="auto"/>
            <w:hideMark/>
          </w:tcPr>
          <w:p w14:paraId="041AE3F5"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Materials science; bioconjugation; controlled release engineering</w:t>
            </w:r>
          </w:p>
        </w:tc>
        <w:tc>
          <w:tcPr>
            <w:tcW w:w="0" w:type="auto"/>
            <w:hideMark/>
          </w:tcPr>
          <w:p w14:paraId="16A7D7D1"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Next-generation precision products</w:t>
            </w:r>
          </w:p>
        </w:tc>
        <w:tc>
          <w:tcPr>
            <w:tcW w:w="0" w:type="auto"/>
            <w:hideMark/>
          </w:tcPr>
          <w:p w14:paraId="400F2E0A"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5–10 years</w:t>
            </w:r>
          </w:p>
        </w:tc>
        <w:tc>
          <w:tcPr>
            <w:tcW w:w="0" w:type="auto"/>
            <w:hideMark/>
          </w:tcPr>
          <w:p w14:paraId="2166098E"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Zhao et al., 2024</w:t>
            </w:r>
          </w:p>
        </w:tc>
      </w:tr>
      <w:tr w:rsidR="00C23E1D" w:rsidRPr="00C23E1D" w14:paraId="3E8EF167" w14:textId="77777777" w:rsidTr="00C23E1D">
        <w:tc>
          <w:tcPr>
            <w:tcW w:w="0" w:type="auto"/>
            <w:tcBorders>
              <w:bottom w:val="single" w:sz="4" w:space="0" w:color="auto"/>
            </w:tcBorders>
            <w:hideMark/>
          </w:tcPr>
          <w:p w14:paraId="48EF5A84"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b/>
                <w:bCs/>
                <w:sz w:val="20"/>
                <w:szCs w:val="20"/>
              </w:rPr>
              <w:t>Integration with IPM</w:t>
            </w:r>
          </w:p>
        </w:tc>
        <w:tc>
          <w:tcPr>
            <w:tcW w:w="0" w:type="auto"/>
            <w:tcBorders>
              <w:bottom w:val="single" w:sz="4" w:space="0" w:color="auto"/>
            </w:tcBorders>
            <w:hideMark/>
          </w:tcPr>
          <w:p w14:paraId="217050F2"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Compatibility with other tactics; decision support systems; farmer adoption</w:t>
            </w:r>
          </w:p>
        </w:tc>
        <w:tc>
          <w:tcPr>
            <w:tcW w:w="0" w:type="auto"/>
            <w:tcBorders>
              <w:bottom w:val="single" w:sz="4" w:space="0" w:color="auto"/>
            </w:tcBorders>
            <w:hideMark/>
          </w:tcPr>
          <w:p w14:paraId="6CDE2954"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Moderate</w:t>
            </w:r>
          </w:p>
        </w:tc>
        <w:tc>
          <w:tcPr>
            <w:tcW w:w="0" w:type="auto"/>
            <w:tcBorders>
              <w:bottom w:val="single" w:sz="4" w:space="0" w:color="auto"/>
            </w:tcBorders>
            <w:hideMark/>
          </w:tcPr>
          <w:p w14:paraId="21E47E6B"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Systems research; participatory research; extension studies</w:t>
            </w:r>
          </w:p>
        </w:tc>
        <w:tc>
          <w:tcPr>
            <w:tcW w:w="0" w:type="auto"/>
            <w:tcBorders>
              <w:bottom w:val="single" w:sz="4" w:space="0" w:color="auto"/>
            </w:tcBorders>
            <w:hideMark/>
          </w:tcPr>
          <w:p w14:paraId="55D28EEF"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Integrated management protocols</w:t>
            </w:r>
          </w:p>
        </w:tc>
        <w:tc>
          <w:tcPr>
            <w:tcW w:w="0" w:type="auto"/>
            <w:tcBorders>
              <w:bottom w:val="single" w:sz="4" w:space="0" w:color="auto"/>
            </w:tcBorders>
            <w:hideMark/>
          </w:tcPr>
          <w:p w14:paraId="09C24C48" w14:textId="77777777" w:rsidR="00C23E1D" w:rsidRPr="00C23E1D" w:rsidRDefault="00C23E1D" w:rsidP="00C04C25">
            <w:pPr>
              <w:spacing w:after="160" w:line="278" w:lineRule="auto"/>
              <w:jc w:val="both"/>
              <w:rPr>
                <w:rFonts w:ascii="Arial" w:hAnsi="Arial" w:cs="Arial"/>
                <w:sz w:val="20"/>
                <w:szCs w:val="20"/>
              </w:rPr>
            </w:pPr>
            <w:r w:rsidRPr="00C23E1D">
              <w:rPr>
                <w:rFonts w:ascii="Arial" w:hAnsi="Arial" w:cs="Arial"/>
                <w:sz w:val="20"/>
                <w:szCs w:val="20"/>
              </w:rPr>
              <w:t>3–5 years</w:t>
            </w:r>
          </w:p>
        </w:tc>
        <w:tc>
          <w:tcPr>
            <w:tcW w:w="0" w:type="auto"/>
            <w:tcBorders>
              <w:bottom w:val="single" w:sz="4" w:space="0" w:color="auto"/>
            </w:tcBorders>
            <w:hideMark/>
          </w:tcPr>
          <w:p w14:paraId="7DF51761" w14:textId="77777777" w:rsidR="00C23E1D" w:rsidRPr="00C23E1D" w:rsidRDefault="00C23E1D" w:rsidP="00C04C25">
            <w:pPr>
              <w:spacing w:after="160" w:line="278" w:lineRule="auto"/>
              <w:jc w:val="both"/>
              <w:rPr>
                <w:rFonts w:ascii="Arial" w:hAnsi="Arial" w:cs="Arial"/>
                <w:sz w:val="20"/>
                <w:szCs w:val="20"/>
              </w:rPr>
            </w:pPr>
            <w:proofErr w:type="spellStart"/>
            <w:r w:rsidRPr="00C23E1D">
              <w:rPr>
                <w:rFonts w:ascii="Arial" w:hAnsi="Arial" w:cs="Arial"/>
                <w:sz w:val="20"/>
                <w:szCs w:val="20"/>
              </w:rPr>
              <w:t>Kariyanna</w:t>
            </w:r>
            <w:proofErr w:type="spellEnd"/>
            <w:r w:rsidRPr="00C23E1D">
              <w:rPr>
                <w:rFonts w:ascii="Arial" w:hAnsi="Arial" w:cs="Arial"/>
                <w:sz w:val="20"/>
                <w:szCs w:val="20"/>
              </w:rPr>
              <w:t xml:space="preserve"> &amp; </w:t>
            </w:r>
            <w:proofErr w:type="spellStart"/>
            <w:r w:rsidRPr="00C23E1D">
              <w:rPr>
                <w:rFonts w:ascii="Arial" w:hAnsi="Arial" w:cs="Arial"/>
                <w:sz w:val="20"/>
                <w:szCs w:val="20"/>
              </w:rPr>
              <w:t>Sowjanya</w:t>
            </w:r>
            <w:proofErr w:type="spellEnd"/>
            <w:r w:rsidRPr="00C23E1D">
              <w:rPr>
                <w:rFonts w:ascii="Arial" w:hAnsi="Arial" w:cs="Arial"/>
                <w:sz w:val="20"/>
                <w:szCs w:val="20"/>
              </w:rPr>
              <w:t>, 2025</w:t>
            </w:r>
          </w:p>
        </w:tc>
      </w:tr>
    </w:tbl>
    <w:p w14:paraId="0CCFDE5A" w14:textId="77777777" w:rsidR="00C23E1D" w:rsidRPr="00C23E1D" w:rsidRDefault="00C23E1D" w:rsidP="00C23E1D">
      <w:pPr>
        <w:jc w:val="both"/>
        <w:rPr>
          <w:rFonts w:ascii="Arial" w:hAnsi="Arial" w:cs="Arial"/>
        </w:rPr>
      </w:pPr>
    </w:p>
    <w:p w14:paraId="265E7E3C" w14:textId="77777777" w:rsidR="00141945" w:rsidRDefault="00141945" w:rsidP="00C23E1D">
      <w:pPr>
        <w:jc w:val="both"/>
        <w:rPr>
          <w:rFonts w:ascii="Arial" w:hAnsi="Arial" w:cs="Arial"/>
          <w:b/>
          <w:bCs/>
          <w:sz w:val="22"/>
          <w:szCs w:val="22"/>
        </w:rPr>
      </w:pPr>
    </w:p>
    <w:p w14:paraId="1C67CD32" w14:textId="77777777" w:rsidR="00141945" w:rsidRDefault="00141945" w:rsidP="00C23E1D">
      <w:pPr>
        <w:jc w:val="both"/>
        <w:rPr>
          <w:rFonts w:ascii="Arial" w:hAnsi="Arial" w:cs="Arial"/>
          <w:b/>
          <w:bCs/>
          <w:sz w:val="22"/>
          <w:szCs w:val="22"/>
        </w:rPr>
      </w:pPr>
    </w:p>
    <w:p w14:paraId="1D91E5AF" w14:textId="2A9E77D4" w:rsidR="00C23E1D" w:rsidRPr="00C23E1D" w:rsidRDefault="00C23E1D" w:rsidP="00C23E1D">
      <w:pPr>
        <w:jc w:val="both"/>
        <w:rPr>
          <w:rFonts w:ascii="Arial" w:hAnsi="Arial" w:cs="Arial"/>
          <w:b/>
          <w:bCs/>
          <w:sz w:val="22"/>
          <w:szCs w:val="22"/>
        </w:rPr>
      </w:pPr>
      <w:r w:rsidRPr="00C23E1D">
        <w:rPr>
          <w:rFonts w:ascii="Arial" w:hAnsi="Arial" w:cs="Arial"/>
          <w:b/>
          <w:bCs/>
          <w:sz w:val="22"/>
          <w:szCs w:val="22"/>
        </w:rPr>
        <w:t>8.2 Emerging Technologies and Innovations</w:t>
      </w:r>
    </w:p>
    <w:p w14:paraId="01252CE4" w14:textId="77777777" w:rsidR="00C23E1D" w:rsidRDefault="00C23E1D" w:rsidP="00C23E1D">
      <w:pPr>
        <w:jc w:val="both"/>
        <w:rPr>
          <w:rFonts w:ascii="Arial" w:hAnsi="Arial" w:cs="Arial"/>
        </w:rPr>
      </w:pPr>
      <w:r w:rsidRPr="00C23E1D">
        <w:rPr>
          <w:rFonts w:ascii="Arial" w:hAnsi="Arial" w:cs="Arial"/>
        </w:rPr>
        <w:t xml:space="preserve">Several promising technological innovations are poised to expand the capabilities of nanotechnology in rice protection. Smart and responsive nanocarriers that release active ingredients in response to specific environmental triggers, pathogen-associated signals, or pest-related cues could dramatically improve targeting precision and reduce environmental exposure (Zhao et al., 2024). Multifunctional nanoplatforms combining pest control, disease management, and nutritional delivery within single formulations may enhance efficiency and reduce application complexity (Sharma et al., 2024). CRISPR-Cas delivery systems utilizing nanocarriers to transport gene-editing machinery into plant cells or pest organisms represent frontier applications with transformative potential (Awasthi et al., 2025). Biosensor-integrated nanodevices capable of detecting pest or pathogen presence and triggering targeted responses could enable truly precision agriculture approaches (Rajan &amp; Mathew, 2025). Artificial intelligence and machine learning applications for optimizing </w:t>
      </w:r>
      <w:proofErr w:type="spellStart"/>
      <w:r w:rsidRPr="00C23E1D">
        <w:rPr>
          <w:rFonts w:ascii="Arial" w:hAnsi="Arial" w:cs="Arial"/>
        </w:rPr>
        <w:t>nanoformulation</w:t>
      </w:r>
      <w:proofErr w:type="spellEnd"/>
      <w:r w:rsidRPr="00C23E1D">
        <w:rPr>
          <w:rFonts w:ascii="Arial" w:hAnsi="Arial" w:cs="Arial"/>
        </w:rPr>
        <w:t xml:space="preserve"> design, predicting environmental fate, and developing application decision support systems may accelerate technology development and deployment (Sharma et al., 2024).</w:t>
      </w:r>
    </w:p>
    <w:p w14:paraId="1FA6E58F" w14:textId="77777777" w:rsidR="00C23E1D" w:rsidRDefault="00C23E1D" w:rsidP="00C23E1D">
      <w:pPr>
        <w:jc w:val="both"/>
        <w:rPr>
          <w:rFonts w:ascii="Arial" w:hAnsi="Arial" w:cs="Arial"/>
        </w:rPr>
      </w:pPr>
    </w:p>
    <w:p w14:paraId="006AD6A8" w14:textId="7F0AFB34" w:rsidR="00C23E1D" w:rsidRDefault="00C23E1D" w:rsidP="007D53AA">
      <w:pPr>
        <w:jc w:val="center"/>
        <w:rPr>
          <w:rFonts w:ascii="Arial" w:hAnsi="Arial" w:cs="Arial"/>
        </w:rPr>
      </w:pPr>
      <w:r>
        <w:rPr>
          <w:rFonts w:ascii="Times New Roman" w:hAnsi="Times New Roman"/>
          <w:b/>
          <w:bCs/>
          <w:noProof/>
        </w:rPr>
        <w:drawing>
          <wp:inline distT="0" distB="0" distL="0" distR="0" wp14:anchorId="6353FA64" wp14:editId="24CFD654">
            <wp:extent cx="5212080" cy="3025277"/>
            <wp:effectExtent l="0" t="0" r="0" b="0"/>
            <wp:docPr id="14356298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29828" name="Picture 1435629828"/>
                    <pic:cNvPicPr/>
                  </pic:nvPicPr>
                  <pic:blipFill rotWithShape="1">
                    <a:blip r:embed="rId16" cstate="print">
                      <a:extLst>
                        <a:ext uri="{28A0092B-C50C-407E-A947-70E740481C1C}">
                          <a14:useLocalDpi xmlns:a14="http://schemas.microsoft.com/office/drawing/2010/main" val="0"/>
                        </a:ext>
                      </a:extLst>
                    </a:blip>
                    <a:srcRect t="37210" b="1978"/>
                    <a:stretch>
                      <a:fillRect/>
                    </a:stretch>
                  </pic:blipFill>
                  <pic:spPr bwMode="auto">
                    <a:xfrm>
                      <a:off x="0" y="0"/>
                      <a:ext cx="5212080" cy="3025277"/>
                    </a:xfrm>
                    <a:prstGeom prst="rect">
                      <a:avLst/>
                    </a:prstGeom>
                    <a:ln>
                      <a:noFill/>
                    </a:ln>
                    <a:extLst>
                      <a:ext uri="{53640926-AAD7-44D8-BBD7-CCE9431645EC}">
                        <a14:shadowObscured xmlns:a14="http://schemas.microsoft.com/office/drawing/2010/main"/>
                      </a:ext>
                    </a:extLst>
                  </pic:spPr>
                </pic:pic>
              </a:graphicData>
            </a:graphic>
          </wp:inline>
        </w:drawing>
      </w:r>
    </w:p>
    <w:p w14:paraId="19D398C6" w14:textId="77777777" w:rsidR="00C23E1D" w:rsidRPr="00C23E1D" w:rsidRDefault="00C23E1D" w:rsidP="00C23E1D">
      <w:pPr>
        <w:jc w:val="both"/>
        <w:rPr>
          <w:rFonts w:ascii="Arial" w:hAnsi="Arial" w:cs="Arial"/>
        </w:rPr>
      </w:pPr>
    </w:p>
    <w:p w14:paraId="15BDC3B8" w14:textId="00315D79" w:rsidR="00C23E1D" w:rsidRDefault="00C23E1D" w:rsidP="00C23E1D">
      <w:pPr>
        <w:jc w:val="both"/>
        <w:rPr>
          <w:rFonts w:ascii="Arial" w:hAnsi="Arial" w:cs="Arial"/>
          <w:i/>
          <w:iCs/>
        </w:rPr>
      </w:pPr>
      <w:r w:rsidRPr="00C23E1D">
        <w:rPr>
          <w:rFonts w:ascii="Arial" w:hAnsi="Arial" w:cs="Arial"/>
          <w:b/>
          <w:bCs/>
        </w:rPr>
        <w:t>Fig</w:t>
      </w:r>
      <w:r>
        <w:rPr>
          <w:rFonts w:ascii="Arial" w:hAnsi="Arial" w:cs="Arial"/>
          <w:b/>
          <w:bCs/>
        </w:rPr>
        <w:t>.</w:t>
      </w:r>
      <w:r w:rsidRPr="00C23E1D">
        <w:rPr>
          <w:rFonts w:ascii="Arial" w:hAnsi="Arial" w:cs="Arial"/>
          <w:b/>
          <w:bCs/>
        </w:rPr>
        <w:t xml:space="preserve"> 9. Emerging nanotechnologies and future innovations for rice protection.</w:t>
      </w:r>
      <w:r w:rsidRPr="00C23E1D">
        <w:rPr>
          <w:rFonts w:ascii="Arial" w:hAnsi="Arial" w:cs="Arial"/>
          <w:i/>
          <w:iCs/>
        </w:rPr>
        <w:t xml:space="preserve"> The figure should illustrate: </w:t>
      </w:r>
      <w:r w:rsidRPr="00C23E1D">
        <w:rPr>
          <w:rFonts w:ascii="Arial" w:hAnsi="Arial" w:cs="Arial"/>
          <w:b/>
          <w:bCs/>
          <w:i/>
          <w:iCs/>
        </w:rPr>
        <w:t xml:space="preserve">(A) </w:t>
      </w:r>
      <w:r w:rsidRPr="00C23E1D">
        <w:rPr>
          <w:rFonts w:ascii="Arial" w:hAnsi="Arial" w:cs="Arial"/>
          <w:i/>
          <w:iCs/>
        </w:rPr>
        <w:t xml:space="preserve">Multifunctional nanoplatforms combining pest control + disease management + nutrition, </w:t>
      </w:r>
      <w:r w:rsidRPr="00C23E1D">
        <w:rPr>
          <w:rFonts w:ascii="Arial" w:hAnsi="Arial" w:cs="Arial"/>
          <w:b/>
          <w:bCs/>
          <w:i/>
          <w:iCs/>
        </w:rPr>
        <w:t>(B)</w:t>
      </w:r>
      <w:r w:rsidRPr="00C23E1D">
        <w:rPr>
          <w:rFonts w:ascii="Arial" w:hAnsi="Arial" w:cs="Arial"/>
          <w:i/>
          <w:iCs/>
        </w:rPr>
        <w:t xml:space="preserve"> CRISPR-Cas9 </w:t>
      </w:r>
      <w:proofErr w:type="spellStart"/>
      <w:r w:rsidRPr="00C23E1D">
        <w:rPr>
          <w:rFonts w:ascii="Arial" w:hAnsi="Arial" w:cs="Arial"/>
          <w:i/>
          <w:iCs/>
        </w:rPr>
        <w:t>nanodelivery</w:t>
      </w:r>
      <w:proofErr w:type="spellEnd"/>
      <w:r w:rsidRPr="00C23E1D">
        <w:rPr>
          <w:rFonts w:ascii="Arial" w:hAnsi="Arial" w:cs="Arial"/>
          <w:i/>
          <w:iCs/>
        </w:rPr>
        <w:t xml:space="preserve"> for gene editing in pests or plants, </w:t>
      </w:r>
      <w:r w:rsidRPr="00C23E1D">
        <w:rPr>
          <w:rFonts w:ascii="Arial" w:hAnsi="Arial" w:cs="Arial"/>
          <w:b/>
          <w:bCs/>
          <w:i/>
          <w:iCs/>
        </w:rPr>
        <w:t>(C)</w:t>
      </w:r>
      <w:r w:rsidRPr="00C23E1D">
        <w:rPr>
          <w:rFonts w:ascii="Arial" w:hAnsi="Arial" w:cs="Arial"/>
          <w:i/>
          <w:iCs/>
        </w:rPr>
        <w:t xml:space="preserve"> </w:t>
      </w:r>
      <w:proofErr w:type="spellStart"/>
      <w:r w:rsidRPr="00C23E1D">
        <w:rPr>
          <w:rFonts w:ascii="Arial" w:hAnsi="Arial" w:cs="Arial"/>
          <w:i/>
          <w:iCs/>
        </w:rPr>
        <w:t>Nanosensor</w:t>
      </w:r>
      <w:proofErr w:type="spellEnd"/>
      <w:r w:rsidRPr="00C23E1D">
        <w:rPr>
          <w:rFonts w:ascii="Arial" w:hAnsi="Arial" w:cs="Arial"/>
          <w:i/>
          <w:iCs/>
        </w:rPr>
        <w:t xml:space="preserve">-integrated systems for real-time pest/pathogen detection and targeted response, and </w:t>
      </w:r>
      <w:r w:rsidRPr="00C23E1D">
        <w:rPr>
          <w:rFonts w:ascii="Arial" w:hAnsi="Arial" w:cs="Arial"/>
          <w:b/>
          <w:bCs/>
          <w:i/>
          <w:iCs/>
        </w:rPr>
        <w:t>(D)</w:t>
      </w:r>
      <w:r w:rsidRPr="00C23E1D">
        <w:rPr>
          <w:rFonts w:ascii="Arial" w:hAnsi="Arial" w:cs="Arial"/>
          <w:i/>
          <w:iCs/>
        </w:rPr>
        <w:t xml:space="preserve"> AI/machine learning-guided formulation design and application optimization.</w:t>
      </w:r>
    </w:p>
    <w:p w14:paraId="6C3ACC18" w14:textId="77777777" w:rsidR="009C3929" w:rsidRDefault="009C3929" w:rsidP="00C23E1D">
      <w:pPr>
        <w:jc w:val="both"/>
        <w:rPr>
          <w:rFonts w:ascii="Arial" w:hAnsi="Arial" w:cs="Arial"/>
          <w:i/>
          <w:iCs/>
        </w:rPr>
      </w:pPr>
    </w:p>
    <w:p w14:paraId="1B35130B" w14:textId="77777777" w:rsidR="009C3929" w:rsidRPr="009C3929" w:rsidRDefault="009C3929" w:rsidP="00C23E1D">
      <w:pPr>
        <w:jc w:val="both"/>
        <w:rPr>
          <w:rFonts w:ascii="Arial" w:hAnsi="Arial" w:cs="Arial"/>
          <w:i/>
          <w:iCs/>
        </w:rPr>
      </w:pPr>
    </w:p>
    <w:p w14:paraId="16C36847" w14:textId="77777777" w:rsidR="009C3929" w:rsidRPr="009C3929" w:rsidRDefault="009C3929" w:rsidP="009C3929">
      <w:pPr>
        <w:jc w:val="both"/>
        <w:rPr>
          <w:rFonts w:ascii="Arial" w:hAnsi="Arial" w:cs="Arial"/>
          <w:b/>
          <w:bCs/>
          <w:sz w:val="22"/>
          <w:szCs w:val="22"/>
        </w:rPr>
      </w:pPr>
      <w:r w:rsidRPr="009C3929">
        <w:rPr>
          <w:rFonts w:ascii="Arial" w:hAnsi="Arial" w:cs="Arial"/>
          <w:b/>
          <w:bCs/>
          <w:sz w:val="22"/>
          <w:szCs w:val="22"/>
        </w:rPr>
        <w:t>8.3 Integration with Sustainable Agriculture Systems</w:t>
      </w:r>
    </w:p>
    <w:p w14:paraId="61842CC1" w14:textId="77777777" w:rsidR="009C3929" w:rsidRPr="009C3929" w:rsidRDefault="009C3929" w:rsidP="009C3929">
      <w:pPr>
        <w:jc w:val="both"/>
        <w:rPr>
          <w:rFonts w:ascii="Arial" w:hAnsi="Arial" w:cs="Arial"/>
        </w:rPr>
      </w:pPr>
      <w:r w:rsidRPr="009C3929">
        <w:rPr>
          <w:rFonts w:ascii="Arial" w:hAnsi="Arial" w:cs="Arial"/>
        </w:rPr>
        <w:t>Successful implementation of nanotechnology in rice production must occur within broader frameworks of sustainable agriculture. Integration with integrated pest management (IPM) principles, including monitoring, economic thresholds, and multiple control tactics, will maximize effectiveness while minimizing environmental impacts (</w:t>
      </w:r>
      <w:proofErr w:type="spellStart"/>
      <w:r w:rsidRPr="009C3929">
        <w:rPr>
          <w:rFonts w:ascii="Arial" w:hAnsi="Arial" w:cs="Arial"/>
        </w:rPr>
        <w:t>Kariyanna</w:t>
      </w:r>
      <w:proofErr w:type="spellEnd"/>
      <w:r w:rsidRPr="009C3929">
        <w:rPr>
          <w:rFonts w:ascii="Arial" w:hAnsi="Arial" w:cs="Arial"/>
        </w:rPr>
        <w:t xml:space="preserve"> &amp; </w:t>
      </w:r>
      <w:proofErr w:type="spellStart"/>
      <w:r w:rsidRPr="009C3929">
        <w:rPr>
          <w:rFonts w:ascii="Arial" w:hAnsi="Arial" w:cs="Arial"/>
        </w:rPr>
        <w:t>Sowjanya</w:t>
      </w:r>
      <w:proofErr w:type="spellEnd"/>
      <w:r w:rsidRPr="009C3929">
        <w:rPr>
          <w:rFonts w:ascii="Arial" w:hAnsi="Arial" w:cs="Arial"/>
        </w:rPr>
        <w:t>, 2025). Compatibility with organic and agroecological farming systems, through development of nano-enabled formulations based on natural materials and biological control agents, could extend benefits to diverse production systems (Worrall et al., 2018). Contribution to climate-smart agriculture through enhanced resource use efficiency, reduced greenhouse gas emissions from pesticide production and application, and improved crop resilience to climate-related stresses represents an important sustainability dimension (Sharma et al., 2024). Support for smallholder farmers through affordable, easy-to-use formulations and appropriate technology transfer mechanisms is essential for ensuring equitable access to nanotechnology benefits (Rajan &amp; Mathew, 2025).</w:t>
      </w:r>
    </w:p>
    <w:p w14:paraId="26B5D476" w14:textId="77777777" w:rsidR="009C3929" w:rsidRPr="009C3929" w:rsidRDefault="009C3929" w:rsidP="009C3929">
      <w:pPr>
        <w:jc w:val="both"/>
        <w:rPr>
          <w:rFonts w:ascii="Arial" w:hAnsi="Arial" w:cs="Arial"/>
        </w:rPr>
      </w:pPr>
    </w:p>
    <w:p w14:paraId="3147F407" w14:textId="77777777" w:rsidR="00D34E75" w:rsidRDefault="00D34E75" w:rsidP="009C3929">
      <w:pPr>
        <w:jc w:val="both"/>
        <w:rPr>
          <w:rFonts w:ascii="Arial" w:hAnsi="Arial" w:cs="Arial"/>
          <w:b/>
          <w:bCs/>
          <w:sz w:val="22"/>
          <w:szCs w:val="22"/>
        </w:rPr>
      </w:pPr>
    </w:p>
    <w:p w14:paraId="1AD4E151" w14:textId="77777777" w:rsidR="00D34E75" w:rsidRDefault="00D34E75" w:rsidP="009C3929">
      <w:pPr>
        <w:jc w:val="both"/>
        <w:rPr>
          <w:rFonts w:ascii="Arial" w:hAnsi="Arial" w:cs="Arial"/>
          <w:b/>
          <w:bCs/>
          <w:sz w:val="22"/>
          <w:szCs w:val="22"/>
        </w:rPr>
      </w:pPr>
    </w:p>
    <w:p w14:paraId="3A9183B6" w14:textId="77777777" w:rsidR="00D34E75" w:rsidRDefault="00D34E75" w:rsidP="009C3929">
      <w:pPr>
        <w:jc w:val="both"/>
        <w:rPr>
          <w:rFonts w:ascii="Arial" w:hAnsi="Arial" w:cs="Arial"/>
          <w:b/>
          <w:bCs/>
          <w:sz w:val="22"/>
          <w:szCs w:val="22"/>
        </w:rPr>
      </w:pPr>
    </w:p>
    <w:p w14:paraId="525030F1" w14:textId="77777777" w:rsidR="00D34E75" w:rsidRDefault="00D34E75" w:rsidP="009C3929">
      <w:pPr>
        <w:jc w:val="both"/>
        <w:rPr>
          <w:rFonts w:ascii="Arial" w:hAnsi="Arial" w:cs="Arial"/>
          <w:b/>
          <w:bCs/>
          <w:sz w:val="22"/>
          <w:szCs w:val="22"/>
        </w:rPr>
      </w:pPr>
    </w:p>
    <w:p w14:paraId="56241910" w14:textId="77777777" w:rsidR="00D34E75" w:rsidRDefault="00D34E75" w:rsidP="009C3929">
      <w:pPr>
        <w:jc w:val="both"/>
        <w:rPr>
          <w:rFonts w:ascii="Arial" w:hAnsi="Arial" w:cs="Arial"/>
          <w:b/>
          <w:bCs/>
          <w:sz w:val="22"/>
          <w:szCs w:val="22"/>
        </w:rPr>
      </w:pPr>
    </w:p>
    <w:p w14:paraId="4A24B21B" w14:textId="77777777" w:rsidR="00D34E75" w:rsidRDefault="00D34E75" w:rsidP="009C3929">
      <w:pPr>
        <w:jc w:val="both"/>
        <w:rPr>
          <w:rFonts w:ascii="Arial" w:hAnsi="Arial" w:cs="Arial"/>
          <w:b/>
          <w:bCs/>
          <w:sz w:val="22"/>
          <w:szCs w:val="22"/>
        </w:rPr>
      </w:pPr>
    </w:p>
    <w:p w14:paraId="2396618F" w14:textId="77777777" w:rsidR="00D34E75" w:rsidRDefault="00D34E75" w:rsidP="009C3929">
      <w:pPr>
        <w:jc w:val="both"/>
        <w:rPr>
          <w:rFonts w:ascii="Arial" w:hAnsi="Arial" w:cs="Arial"/>
          <w:b/>
          <w:bCs/>
          <w:sz w:val="22"/>
          <w:szCs w:val="22"/>
        </w:rPr>
      </w:pPr>
    </w:p>
    <w:p w14:paraId="0395647F" w14:textId="77777777" w:rsidR="00D34E75" w:rsidRDefault="00D34E75" w:rsidP="009C3929">
      <w:pPr>
        <w:jc w:val="both"/>
        <w:rPr>
          <w:rFonts w:ascii="Arial" w:hAnsi="Arial" w:cs="Arial"/>
          <w:b/>
          <w:bCs/>
          <w:sz w:val="22"/>
          <w:szCs w:val="22"/>
        </w:rPr>
      </w:pPr>
    </w:p>
    <w:p w14:paraId="28A47F5F" w14:textId="6D698161" w:rsidR="009C3929" w:rsidRPr="009C3929" w:rsidRDefault="009C3929" w:rsidP="009C3929">
      <w:pPr>
        <w:jc w:val="both"/>
        <w:rPr>
          <w:rFonts w:ascii="Arial" w:hAnsi="Arial" w:cs="Arial"/>
          <w:b/>
          <w:bCs/>
          <w:sz w:val="22"/>
          <w:szCs w:val="22"/>
        </w:rPr>
      </w:pPr>
      <w:r w:rsidRPr="009C3929">
        <w:rPr>
          <w:rFonts w:ascii="Arial" w:hAnsi="Arial" w:cs="Arial"/>
          <w:b/>
          <w:bCs/>
          <w:sz w:val="22"/>
          <w:szCs w:val="22"/>
        </w:rPr>
        <w:t>9. CONCLUSIONS</w:t>
      </w:r>
    </w:p>
    <w:p w14:paraId="49B72472" w14:textId="77777777" w:rsidR="009C3929" w:rsidRPr="009C3929" w:rsidRDefault="009C3929" w:rsidP="009C3929">
      <w:pPr>
        <w:jc w:val="both"/>
        <w:rPr>
          <w:rFonts w:ascii="Arial" w:hAnsi="Arial" w:cs="Arial"/>
        </w:rPr>
      </w:pPr>
      <w:r w:rsidRPr="009C3929">
        <w:rPr>
          <w:rFonts w:ascii="Arial" w:hAnsi="Arial" w:cs="Arial"/>
        </w:rPr>
        <w:t xml:space="preserve">Nanotechnology represents a transformative frontier in rice pest and disease management, offering solutions to longstanding challenges associated with conventional chemical control approaches. Nano-enabled technologies, including </w:t>
      </w:r>
      <w:proofErr w:type="spellStart"/>
      <w:r w:rsidRPr="009C3929">
        <w:rPr>
          <w:rFonts w:ascii="Arial" w:hAnsi="Arial" w:cs="Arial"/>
        </w:rPr>
        <w:t>nanopesticides</w:t>
      </w:r>
      <w:proofErr w:type="spellEnd"/>
      <w:r w:rsidRPr="009C3929">
        <w:rPr>
          <w:rFonts w:ascii="Arial" w:hAnsi="Arial" w:cs="Arial"/>
        </w:rPr>
        <w:t xml:space="preserve">, </w:t>
      </w:r>
      <w:proofErr w:type="spellStart"/>
      <w:r w:rsidRPr="009C3929">
        <w:rPr>
          <w:rFonts w:ascii="Arial" w:hAnsi="Arial" w:cs="Arial"/>
        </w:rPr>
        <w:t>nanofungicides</w:t>
      </w:r>
      <w:proofErr w:type="spellEnd"/>
      <w:r w:rsidRPr="009C3929">
        <w:rPr>
          <w:rFonts w:ascii="Arial" w:hAnsi="Arial" w:cs="Arial"/>
        </w:rPr>
        <w:t xml:space="preserve">, and nanocarrier-delivered RNAi systems, demonstrate substantial advantages in terms of efficacy, environmental safety, and resource efficiency. Metal and metal oxide nanoparticles exhibit broad-spectrum antimicrobial and insecticidal activities through multiple mechanisms, while </w:t>
      </w:r>
      <w:proofErr w:type="spellStart"/>
      <w:r w:rsidRPr="009C3929">
        <w:rPr>
          <w:rFonts w:ascii="Arial" w:hAnsi="Arial" w:cs="Arial"/>
        </w:rPr>
        <w:t>nanoencapsulated</w:t>
      </w:r>
      <w:proofErr w:type="spellEnd"/>
      <w:r w:rsidRPr="009C3929">
        <w:rPr>
          <w:rFonts w:ascii="Arial" w:hAnsi="Arial" w:cs="Arial"/>
        </w:rPr>
        <w:t xml:space="preserve"> conventional pesticides provide controlled release characteristics that extend protection periods and reduce application frequencies. Emerging RNAi technologies delivered via nanocarriers offer unprecedented species-specificity and the potential for resistance-proof pest management strategies.</w:t>
      </w:r>
    </w:p>
    <w:p w14:paraId="11FE0774" w14:textId="77777777" w:rsidR="009C3929" w:rsidRPr="009C3929" w:rsidRDefault="009C3929" w:rsidP="009C3929">
      <w:pPr>
        <w:jc w:val="both"/>
        <w:rPr>
          <w:rFonts w:ascii="Arial" w:hAnsi="Arial" w:cs="Arial"/>
        </w:rPr>
      </w:pPr>
      <w:r w:rsidRPr="009C3929">
        <w:rPr>
          <w:rFonts w:ascii="Arial" w:hAnsi="Arial" w:cs="Arial"/>
        </w:rPr>
        <w:t>However, responsible implementation of nanotechnology in agriculture requires careful attention to environmental safety, regulatory compliance, and socioeconomic considerations. Potential risks associated with nanomaterial persistence, non-target effects, and ecosystem impacts necessitate comprehensive risk assessment and mitigation strategies. Development of appropriate regulatory frameworks that balance innovation with precautionary principles remains essential for ensuring safe and effective technology deployment. Economic viability, infrastructure requirements, and farmer acceptance represent practical considerations that will determine adoption rates and impact.</w:t>
      </w:r>
    </w:p>
    <w:p w14:paraId="59709F0B" w14:textId="77777777" w:rsidR="009C3929" w:rsidRPr="009C3929" w:rsidRDefault="009C3929" w:rsidP="009C3929">
      <w:pPr>
        <w:jc w:val="both"/>
        <w:rPr>
          <w:rFonts w:ascii="Arial" w:hAnsi="Arial" w:cs="Arial"/>
        </w:rPr>
      </w:pPr>
      <w:r w:rsidRPr="009C3929">
        <w:rPr>
          <w:rFonts w:ascii="Arial" w:hAnsi="Arial" w:cs="Arial"/>
        </w:rPr>
        <w:t>Future research priorities include addressing knowledge gaps regarding long-term environmental fate and effects, optimizing formulations for specific contexts, and developing integrated approaches that combine nanotechnology with other sustainable agriculture practices. Emerging innovations in smart delivery systems, multifunctional nanoplatforms, and precision agriculture technologies promise to further enhance the capabilities and sustainability of nano-enabled pest and disease management. Ultimately, successful integration of nanotechnology into rice production systems will require interdisciplinary collaboration among scientists, policymakers, industry, and farming communities to ensure that these powerful tools contribute to global food security while protecting environmental and human health.</w:t>
      </w:r>
    </w:p>
    <w:p w14:paraId="509241C9" w14:textId="77777777" w:rsidR="009C3929" w:rsidRPr="009C3929" w:rsidRDefault="009C3929" w:rsidP="009C3929">
      <w:pPr>
        <w:jc w:val="both"/>
        <w:rPr>
          <w:rFonts w:ascii="Arial" w:hAnsi="Arial" w:cs="Arial"/>
        </w:rPr>
      </w:pPr>
    </w:p>
    <w:p w14:paraId="704C3D3F" w14:textId="77777777" w:rsidR="002B685A" w:rsidRDefault="002B685A" w:rsidP="00441B6F">
      <w:pPr>
        <w:pStyle w:val="ReferHead"/>
        <w:spacing w:after="0"/>
        <w:jc w:val="both"/>
        <w:rPr>
          <w:rFonts w:ascii="Arial" w:hAnsi="Arial" w:cs="Arial"/>
          <w:b w:val="0"/>
          <w:caps w:val="0"/>
          <w:sz w:val="20"/>
        </w:rPr>
      </w:pPr>
    </w:p>
    <w:p w14:paraId="37D68AE1"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3C9AB048" w14:textId="3C1B6E6A" w:rsidR="002B685A" w:rsidRPr="00785EE9" w:rsidRDefault="00785EE9" w:rsidP="00441B6F">
      <w:pPr>
        <w:pStyle w:val="ReferHead"/>
        <w:spacing w:after="0"/>
        <w:jc w:val="both"/>
        <w:rPr>
          <w:rFonts w:ascii="Arial" w:hAnsi="Arial" w:cs="Arial"/>
          <w:b w:val="0"/>
        </w:rPr>
      </w:pPr>
      <w:r w:rsidRPr="00785EE9">
        <w:rPr>
          <w:rFonts w:ascii="Arial" w:hAnsi="Arial" w:cs="Arial"/>
          <w:b w:val="0"/>
          <w:caps w:val="0"/>
        </w:rPr>
        <w:t>Not applicable. This manuscript is a comprehensive review of existing literature and does not contain any individual person's data.</w:t>
      </w:r>
    </w:p>
    <w:p w14:paraId="3F992245" w14:textId="77777777" w:rsidR="005C784C" w:rsidRDefault="005C784C" w:rsidP="00441B6F">
      <w:pPr>
        <w:pStyle w:val="ReferHead"/>
        <w:spacing w:after="0"/>
        <w:jc w:val="both"/>
        <w:rPr>
          <w:rFonts w:ascii="Arial" w:hAnsi="Arial" w:cs="Arial"/>
          <w:b w:val="0"/>
          <w:caps w:val="0"/>
          <w:sz w:val="20"/>
        </w:rPr>
      </w:pPr>
    </w:p>
    <w:p w14:paraId="70C489C7"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3EE699E5" w14:textId="77777777" w:rsidR="005C784C" w:rsidRPr="002B685A" w:rsidRDefault="005C784C" w:rsidP="00441B6F">
      <w:pPr>
        <w:pStyle w:val="ReferHead"/>
        <w:spacing w:after="0"/>
        <w:jc w:val="both"/>
        <w:rPr>
          <w:rFonts w:ascii="Arial" w:hAnsi="Arial" w:cs="Arial"/>
          <w:bCs/>
        </w:rPr>
      </w:pPr>
    </w:p>
    <w:p w14:paraId="72355FAD" w14:textId="77777777" w:rsidR="00785EE9" w:rsidRDefault="00785EE9" w:rsidP="00785EE9">
      <w:pPr>
        <w:rPr>
          <w:rFonts w:ascii="Arial" w:hAnsi="Arial" w:cs="Arial"/>
        </w:rPr>
      </w:pPr>
      <w:r w:rsidRPr="00785EE9">
        <w:rPr>
          <w:rFonts w:ascii="Arial" w:hAnsi="Arial" w:cs="Arial"/>
        </w:rPr>
        <w:t>Not applicable. This manuscript is a comprehensive review of existing literature and does not involve any new studies with human participants or animals performed by any of the authors.</w:t>
      </w:r>
    </w:p>
    <w:p w14:paraId="201A5129" w14:textId="77777777" w:rsidR="00F179F0" w:rsidRDefault="00F179F0" w:rsidP="00785EE9">
      <w:pPr>
        <w:rPr>
          <w:rFonts w:ascii="Arial" w:hAnsi="Arial" w:cs="Arial"/>
        </w:rPr>
      </w:pPr>
    </w:p>
    <w:p w14:paraId="6556468E" w14:textId="77777777" w:rsidR="00F179F0" w:rsidRPr="00F179F0" w:rsidRDefault="00F179F0" w:rsidP="00F179F0">
      <w:pPr>
        <w:rPr>
          <w:rFonts w:ascii="Arial" w:hAnsi="Arial" w:cs="Arial"/>
        </w:rPr>
      </w:pPr>
      <w:r w:rsidRPr="00F179F0">
        <w:rPr>
          <w:rFonts w:ascii="Arial" w:hAnsi="Arial" w:cs="Arial"/>
        </w:rPr>
        <w:t>COMPETING INTERESTS DISCLAIMER:</w:t>
      </w:r>
    </w:p>
    <w:p w14:paraId="4527D624" w14:textId="39DD9A71" w:rsidR="00F179F0" w:rsidRDefault="00F179F0" w:rsidP="00F179F0">
      <w:pPr>
        <w:rPr>
          <w:rFonts w:ascii="Arial" w:hAnsi="Arial" w:cs="Arial"/>
        </w:rPr>
      </w:pPr>
      <w:r w:rsidRPr="00F179F0">
        <w:rPr>
          <w:rFonts w:ascii="Arial" w:hAnsi="Arial" w:cs="Arial"/>
        </w:rPr>
        <w:t>Authors have declared that they have no known competing financial interests OR non-financial interests OR personal relationships that could have appeared to influence the work reported in this paper.</w:t>
      </w:r>
    </w:p>
    <w:p w14:paraId="1C3E459A" w14:textId="77777777" w:rsidR="00F179F0" w:rsidRDefault="00F179F0" w:rsidP="00785EE9">
      <w:pPr>
        <w:rPr>
          <w:rFonts w:ascii="Arial" w:hAnsi="Arial" w:cs="Arial"/>
        </w:rPr>
      </w:pPr>
    </w:p>
    <w:p w14:paraId="1065E0D8" w14:textId="77777777" w:rsidR="00F179F0" w:rsidRDefault="00F179F0" w:rsidP="00785EE9">
      <w:pPr>
        <w:rPr>
          <w:rFonts w:ascii="Arial" w:hAnsi="Arial" w:cs="Arial"/>
        </w:rPr>
      </w:pPr>
    </w:p>
    <w:p w14:paraId="3F466B29" w14:textId="77777777" w:rsidR="00F179F0" w:rsidRDefault="00F179F0" w:rsidP="00785EE9">
      <w:pPr>
        <w:rPr>
          <w:rFonts w:ascii="Arial" w:hAnsi="Arial" w:cs="Arial"/>
        </w:rPr>
      </w:pPr>
    </w:p>
    <w:p w14:paraId="72F4794B" w14:textId="77777777" w:rsidR="00785EE9" w:rsidRPr="00785EE9" w:rsidRDefault="00785EE9" w:rsidP="00785EE9">
      <w:pPr>
        <w:rPr>
          <w:rFonts w:ascii="Arial" w:hAnsi="Arial" w:cs="Arial"/>
        </w:rPr>
      </w:pPr>
    </w:p>
    <w:p w14:paraId="7DCB98BB" w14:textId="77777777" w:rsidR="00B01FCD" w:rsidRPr="00785EE9" w:rsidRDefault="00B01FCD" w:rsidP="00441B6F">
      <w:pPr>
        <w:pStyle w:val="ReferHead"/>
        <w:spacing w:after="0"/>
        <w:jc w:val="both"/>
        <w:rPr>
          <w:rFonts w:ascii="Arial" w:hAnsi="Arial" w:cs="Arial"/>
        </w:rPr>
      </w:pPr>
      <w:r w:rsidRPr="00785EE9">
        <w:rPr>
          <w:rFonts w:ascii="Arial" w:hAnsi="Arial" w:cs="Arial"/>
        </w:rPr>
        <w:t>References</w:t>
      </w:r>
    </w:p>
    <w:p w14:paraId="06AF49AE" w14:textId="77777777" w:rsidR="00790ADA" w:rsidRPr="00FB3A86" w:rsidRDefault="00790ADA" w:rsidP="00441B6F">
      <w:pPr>
        <w:pStyle w:val="ReferHead"/>
        <w:spacing w:after="0"/>
        <w:jc w:val="both"/>
        <w:rPr>
          <w:rFonts w:ascii="Arial" w:hAnsi="Arial" w:cs="Arial"/>
        </w:rPr>
      </w:pPr>
    </w:p>
    <w:p w14:paraId="72790F65" w14:textId="77777777" w:rsidR="009C3929" w:rsidRPr="001B1044" w:rsidRDefault="009C3929" w:rsidP="009C3929">
      <w:pPr>
        <w:jc w:val="both"/>
        <w:rPr>
          <w:rFonts w:ascii="Times New Roman" w:hAnsi="Times New Roman"/>
        </w:rPr>
      </w:pPr>
      <w:proofErr w:type="spellStart"/>
      <w:r w:rsidRPr="001B1044">
        <w:rPr>
          <w:rFonts w:ascii="Times New Roman" w:hAnsi="Times New Roman"/>
        </w:rPr>
        <w:t>Agbowuro</w:t>
      </w:r>
      <w:proofErr w:type="spellEnd"/>
      <w:r w:rsidRPr="001B1044">
        <w:rPr>
          <w:rFonts w:ascii="Times New Roman" w:hAnsi="Times New Roman"/>
        </w:rPr>
        <w:t>, G. O., Afolabi, C. G., Awopetu, J. I., &amp; Adeosun, S. A. (2020). Pesticide use in agriculture and its implications for the environment. </w:t>
      </w:r>
      <w:r w:rsidRPr="001B1044">
        <w:rPr>
          <w:rFonts w:ascii="Times New Roman" w:hAnsi="Times New Roman"/>
          <w:i/>
          <w:iCs/>
        </w:rPr>
        <w:t>Annual Research &amp; Review in Biology</w:t>
      </w:r>
      <w:r w:rsidRPr="001B1044">
        <w:rPr>
          <w:rFonts w:ascii="Times New Roman" w:hAnsi="Times New Roman"/>
        </w:rPr>
        <w:t>, </w:t>
      </w:r>
      <w:r w:rsidRPr="001B1044">
        <w:rPr>
          <w:rFonts w:ascii="Times New Roman" w:hAnsi="Times New Roman"/>
          <w:i/>
          <w:iCs/>
        </w:rPr>
        <w:t>35</w:t>
      </w:r>
      <w:r w:rsidRPr="001B1044">
        <w:rPr>
          <w:rFonts w:ascii="Times New Roman" w:hAnsi="Times New Roman"/>
        </w:rPr>
        <w:t>(7), 1-13. </w:t>
      </w:r>
      <w:hyperlink r:id="rId17" w:tgtFrame="_blank" w:history="1">
        <w:r w:rsidRPr="001B1044">
          <w:rPr>
            <w:rStyle w:val="Hyperlink"/>
            <w:rFonts w:ascii="Times New Roman" w:hAnsi="Times New Roman"/>
          </w:rPr>
          <w:t>https://doi.org/10.9734/arrb/2020/v35i730235</w:t>
        </w:r>
      </w:hyperlink>
    </w:p>
    <w:p w14:paraId="29508C88" w14:textId="77777777" w:rsidR="009C3929" w:rsidRPr="001B1044" w:rsidRDefault="009C3929" w:rsidP="009C3929">
      <w:pPr>
        <w:jc w:val="both"/>
        <w:rPr>
          <w:rFonts w:ascii="Times New Roman" w:hAnsi="Times New Roman"/>
        </w:rPr>
      </w:pPr>
      <w:r w:rsidRPr="001B1044">
        <w:rPr>
          <w:rFonts w:ascii="Times New Roman" w:hAnsi="Times New Roman"/>
        </w:rPr>
        <w:t xml:space="preserve">Ahmed, S., Annu, A., Ikram, S., &amp; </w:t>
      </w:r>
      <w:proofErr w:type="spellStart"/>
      <w:r w:rsidRPr="001B1044">
        <w:rPr>
          <w:rFonts w:ascii="Times New Roman" w:hAnsi="Times New Roman"/>
        </w:rPr>
        <w:t>Yudhistira</w:t>
      </w:r>
      <w:proofErr w:type="spellEnd"/>
      <w:r w:rsidRPr="001B1044">
        <w:rPr>
          <w:rFonts w:ascii="Times New Roman" w:hAnsi="Times New Roman"/>
        </w:rPr>
        <w:t>, B. (2023). Biopesticides: An eco-friendly and sustainable approach for crop protection. </w:t>
      </w:r>
      <w:r w:rsidRPr="001B1044">
        <w:rPr>
          <w:rFonts w:ascii="Times New Roman" w:hAnsi="Times New Roman"/>
          <w:i/>
          <w:iCs/>
        </w:rPr>
        <w:t>Journal of Agriculture and Food Research</w:t>
      </w:r>
      <w:r w:rsidRPr="001B1044">
        <w:rPr>
          <w:rFonts w:ascii="Times New Roman" w:hAnsi="Times New Roman"/>
        </w:rPr>
        <w:t>, </w:t>
      </w:r>
      <w:r w:rsidRPr="001B1044">
        <w:rPr>
          <w:rFonts w:ascii="Times New Roman" w:hAnsi="Times New Roman"/>
          <w:i/>
          <w:iCs/>
        </w:rPr>
        <w:t>14</w:t>
      </w:r>
      <w:r w:rsidRPr="001B1044">
        <w:rPr>
          <w:rFonts w:ascii="Times New Roman" w:hAnsi="Times New Roman"/>
        </w:rPr>
        <w:t>, 100709. </w:t>
      </w:r>
      <w:hyperlink r:id="rId18" w:tgtFrame="_blank" w:history="1">
        <w:r w:rsidRPr="001B1044">
          <w:rPr>
            <w:rStyle w:val="Hyperlink"/>
            <w:rFonts w:ascii="Times New Roman" w:hAnsi="Times New Roman"/>
          </w:rPr>
          <w:t>https://doi.org/10.1016/j.jafr.2023.100709</w:t>
        </w:r>
      </w:hyperlink>
    </w:p>
    <w:p w14:paraId="122BF42F" w14:textId="77777777" w:rsidR="009C3929" w:rsidRPr="001B1044" w:rsidRDefault="009C3929" w:rsidP="009C3929">
      <w:pPr>
        <w:jc w:val="both"/>
        <w:rPr>
          <w:rFonts w:ascii="Times New Roman" w:hAnsi="Times New Roman"/>
        </w:rPr>
      </w:pPr>
      <w:r w:rsidRPr="001B1044">
        <w:rPr>
          <w:rFonts w:ascii="Times New Roman" w:hAnsi="Times New Roman"/>
        </w:rPr>
        <w:t>Ali, M. A., Wagan, S. A., Wang, X., Huang, Z., &amp; Huang, J. (2023). Rice sheath blight disease: An overview of disease resistance breeding and recent advances in molecular and genomic research. </w:t>
      </w:r>
      <w:r w:rsidRPr="001B1044">
        <w:rPr>
          <w:rFonts w:ascii="Times New Roman" w:hAnsi="Times New Roman"/>
          <w:i/>
          <w:iCs/>
        </w:rPr>
        <w:t>Plant Pathology</w:t>
      </w:r>
      <w:r w:rsidRPr="001B1044">
        <w:rPr>
          <w:rFonts w:ascii="Times New Roman" w:hAnsi="Times New Roman"/>
        </w:rPr>
        <w:t>, </w:t>
      </w:r>
      <w:r w:rsidRPr="001B1044">
        <w:rPr>
          <w:rFonts w:ascii="Times New Roman" w:hAnsi="Times New Roman"/>
          <w:i/>
          <w:iCs/>
        </w:rPr>
        <w:t>72</w:t>
      </w:r>
      <w:r w:rsidRPr="001B1044">
        <w:rPr>
          <w:rFonts w:ascii="Times New Roman" w:hAnsi="Times New Roman"/>
        </w:rPr>
        <w:t>(1), 4-19. </w:t>
      </w:r>
      <w:hyperlink r:id="rId19" w:tgtFrame="_blank" w:history="1">
        <w:r w:rsidRPr="001B1044">
          <w:rPr>
            <w:rStyle w:val="Hyperlink"/>
            <w:rFonts w:ascii="Times New Roman" w:hAnsi="Times New Roman"/>
          </w:rPr>
          <w:t>https://doi.org/10.1111/ppa.13635</w:t>
        </w:r>
      </w:hyperlink>
    </w:p>
    <w:p w14:paraId="3B435A15" w14:textId="77777777" w:rsidR="009C3929" w:rsidRPr="001B1044" w:rsidRDefault="009C3929" w:rsidP="009C3929">
      <w:pPr>
        <w:jc w:val="both"/>
        <w:rPr>
          <w:rFonts w:ascii="Times New Roman" w:hAnsi="Times New Roman"/>
        </w:rPr>
      </w:pPr>
      <w:r w:rsidRPr="001B1044">
        <w:rPr>
          <w:rFonts w:ascii="Times New Roman" w:hAnsi="Times New Roman"/>
        </w:rPr>
        <w:t>Asma, M., Khan, M. A., Iqbal, A., Ahmad, I., &amp; Khan, M. I. (2023). Rice production and food security: A review. </w:t>
      </w:r>
      <w:r w:rsidRPr="001B1044">
        <w:rPr>
          <w:rFonts w:ascii="Times New Roman" w:hAnsi="Times New Roman"/>
          <w:i/>
          <w:iCs/>
        </w:rPr>
        <w:t>Biological and Clinical Sciences Research Journal</w:t>
      </w:r>
      <w:r w:rsidRPr="001B1044">
        <w:rPr>
          <w:rFonts w:ascii="Times New Roman" w:hAnsi="Times New Roman"/>
        </w:rPr>
        <w:t>, </w:t>
      </w:r>
      <w:r w:rsidRPr="001B1044">
        <w:rPr>
          <w:rFonts w:ascii="Times New Roman" w:hAnsi="Times New Roman"/>
          <w:i/>
          <w:iCs/>
        </w:rPr>
        <w:t>2023</w:t>
      </w:r>
      <w:r w:rsidRPr="001B1044">
        <w:rPr>
          <w:rFonts w:ascii="Times New Roman" w:hAnsi="Times New Roman"/>
        </w:rPr>
        <w:t>(1), 395. </w:t>
      </w:r>
      <w:hyperlink r:id="rId20" w:tgtFrame="_blank" w:history="1">
        <w:r w:rsidRPr="001B1044">
          <w:rPr>
            <w:rStyle w:val="Hyperlink"/>
            <w:rFonts w:ascii="Times New Roman" w:hAnsi="Times New Roman"/>
          </w:rPr>
          <w:t>https://doi.org/10.54112/bcsrj.v2023i1.395</w:t>
        </w:r>
      </w:hyperlink>
    </w:p>
    <w:p w14:paraId="21E3BB83" w14:textId="77777777" w:rsidR="009C3929" w:rsidRPr="001B1044" w:rsidRDefault="009C3929" w:rsidP="009C3929">
      <w:pPr>
        <w:jc w:val="both"/>
        <w:rPr>
          <w:rFonts w:ascii="Times New Roman" w:hAnsi="Times New Roman"/>
        </w:rPr>
      </w:pPr>
      <w:proofErr w:type="spellStart"/>
      <w:r w:rsidRPr="001B1044">
        <w:rPr>
          <w:rFonts w:ascii="Times New Roman" w:hAnsi="Times New Roman"/>
        </w:rPr>
        <w:t>Asibi</w:t>
      </w:r>
      <w:proofErr w:type="spellEnd"/>
      <w:r w:rsidRPr="001B1044">
        <w:rPr>
          <w:rFonts w:ascii="Times New Roman" w:hAnsi="Times New Roman"/>
        </w:rPr>
        <w:t>, A. E., Chai, Q., &amp; Coulter, J. A. (2019). Rice blast: A disease with implications for global food security. </w:t>
      </w:r>
      <w:r w:rsidRPr="001B1044">
        <w:rPr>
          <w:rFonts w:ascii="Times New Roman" w:hAnsi="Times New Roman"/>
          <w:i/>
          <w:iCs/>
        </w:rPr>
        <w:t>Agronomy</w:t>
      </w:r>
      <w:r w:rsidRPr="001B1044">
        <w:rPr>
          <w:rFonts w:ascii="Times New Roman" w:hAnsi="Times New Roman"/>
        </w:rPr>
        <w:t>, </w:t>
      </w:r>
      <w:r w:rsidRPr="001B1044">
        <w:rPr>
          <w:rFonts w:ascii="Times New Roman" w:hAnsi="Times New Roman"/>
          <w:i/>
          <w:iCs/>
        </w:rPr>
        <w:t>9</w:t>
      </w:r>
      <w:r w:rsidRPr="001B1044">
        <w:rPr>
          <w:rFonts w:ascii="Times New Roman" w:hAnsi="Times New Roman"/>
        </w:rPr>
        <w:t>(8), 451. </w:t>
      </w:r>
      <w:hyperlink r:id="rId21" w:tgtFrame="_blank" w:history="1">
        <w:r w:rsidRPr="001B1044">
          <w:rPr>
            <w:rStyle w:val="Hyperlink"/>
            <w:rFonts w:ascii="Times New Roman" w:hAnsi="Times New Roman"/>
          </w:rPr>
          <w:t>https://doi.org/10.3390/agronomy9080451</w:t>
        </w:r>
      </w:hyperlink>
    </w:p>
    <w:p w14:paraId="389D48F0" w14:textId="77777777" w:rsidR="009C3929" w:rsidRPr="001B1044" w:rsidRDefault="009C3929" w:rsidP="009C3929">
      <w:pPr>
        <w:jc w:val="both"/>
        <w:rPr>
          <w:rFonts w:ascii="Times New Roman" w:hAnsi="Times New Roman"/>
        </w:rPr>
      </w:pPr>
      <w:r w:rsidRPr="001B1044">
        <w:rPr>
          <w:rFonts w:ascii="Times New Roman" w:hAnsi="Times New Roman"/>
        </w:rPr>
        <w:t xml:space="preserve">Awasthi, A., Ranjan, P., Sharma, S., Kaur, R., Goel, S., Mishra, R. K., &amp; </w:t>
      </w:r>
      <w:proofErr w:type="spellStart"/>
      <w:r w:rsidRPr="001B1044">
        <w:rPr>
          <w:rFonts w:ascii="Times New Roman" w:hAnsi="Times New Roman"/>
        </w:rPr>
        <w:t>Sirohi</w:t>
      </w:r>
      <w:proofErr w:type="spellEnd"/>
      <w:r w:rsidRPr="001B1044">
        <w:rPr>
          <w:rFonts w:ascii="Times New Roman" w:hAnsi="Times New Roman"/>
        </w:rPr>
        <w:t>, P. (2025). Nanocarrier-mediated delivery of small RNAs for crop protection: Current knowledge and future perspectives. </w:t>
      </w:r>
      <w:r w:rsidRPr="001B1044">
        <w:rPr>
          <w:rFonts w:ascii="Times New Roman" w:hAnsi="Times New Roman"/>
          <w:i/>
          <w:iCs/>
        </w:rPr>
        <w:t>Plant Nano Biology</w:t>
      </w:r>
      <w:r w:rsidRPr="001B1044">
        <w:rPr>
          <w:rFonts w:ascii="Times New Roman" w:hAnsi="Times New Roman"/>
        </w:rPr>
        <w:t>, </w:t>
      </w:r>
      <w:r w:rsidRPr="001B1044">
        <w:rPr>
          <w:rFonts w:ascii="Times New Roman" w:hAnsi="Times New Roman"/>
          <w:i/>
          <w:iCs/>
        </w:rPr>
        <w:t>5</w:t>
      </w:r>
      <w:r w:rsidRPr="001B1044">
        <w:rPr>
          <w:rFonts w:ascii="Times New Roman" w:hAnsi="Times New Roman"/>
        </w:rPr>
        <w:t>, 100054. </w:t>
      </w:r>
      <w:hyperlink r:id="rId22" w:tgtFrame="_blank" w:history="1">
        <w:r w:rsidRPr="001B1044">
          <w:rPr>
            <w:rStyle w:val="Hyperlink"/>
            <w:rFonts w:ascii="Times New Roman" w:hAnsi="Times New Roman"/>
          </w:rPr>
          <w:t>https://doi.org/10.1016/j.plana.2024.100054</w:t>
        </w:r>
      </w:hyperlink>
    </w:p>
    <w:p w14:paraId="0503E972" w14:textId="77777777" w:rsidR="009C3929" w:rsidRPr="001B1044" w:rsidRDefault="009C3929" w:rsidP="009C3929">
      <w:pPr>
        <w:jc w:val="both"/>
        <w:rPr>
          <w:rFonts w:ascii="Times New Roman" w:hAnsi="Times New Roman"/>
        </w:rPr>
      </w:pPr>
      <w:r w:rsidRPr="001B1044">
        <w:rPr>
          <w:rFonts w:ascii="Times New Roman" w:hAnsi="Times New Roman"/>
        </w:rPr>
        <w:lastRenderedPageBreak/>
        <w:t>Chen, Y., Zhu, L., Yan, X., Liao, Z. H., Teng, W., Wang, Y., Xing, Z., Chen, Y., &amp; Liu, L. (2025). Significant roles of nanomaterials for enhancing disease resistance in rice: A review. </w:t>
      </w:r>
      <w:r w:rsidRPr="001B1044">
        <w:rPr>
          <w:rFonts w:ascii="Times New Roman" w:hAnsi="Times New Roman"/>
          <w:i/>
          <w:iCs/>
        </w:rPr>
        <w:t>Agronomy</w:t>
      </w:r>
      <w:r w:rsidRPr="001B1044">
        <w:rPr>
          <w:rFonts w:ascii="Times New Roman" w:hAnsi="Times New Roman"/>
        </w:rPr>
        <w:t>, </w:t>
      </w:r>
      <w:r w:rsidRPr="001B1044">
        <w:rPr>
          <w:rFonts w:ascii="Times New Roman" w:hAnsi="Times New Roman"/>
          <w:i/>
          <w:iCs/>
        </w:rPr>
        <w:t>15</w:t>
      </w:r>
      <w:r w:rsidRPr="001B1044">
        <w:rPr>
          <w:rFonts w:ascii="Times New Roman" w:hAnsi="Times New Roman"/>
        </w:rPr>
        <w:t>(8), 1938. </w:t>
      </w:r>
      <w:hyperlink r:id="rId23" w:tgtFrame="_blank" w:history="1">
        <w:r w:rsidRPr="001B1044">
          <w:rPr>
            <w:rStyle w:val="Hyperlink"/>
            <w:rFonts w:ascii="Times New Roman" w:hAnsi="Times New Roman"/>
          </w:rPr>
          <w:t>https://doi.org/10.3390/agronomy15081938</w:t>
        </w:r>
      </w:hyperlink>
    </w:p>
    <w:p w14:paraId="021F6E1E" w14:textId="77777777" w:rsidR="009C3929" w:rsidRPr="001B1044" w:rsidRDefault="009C3929" w:rsidP="009C3929">
      <w:pPr>
        <w:jc w:val="both"/>
        <w:rPr>
          <w:rFonts w:ascii="Times New Roman" w:hAnsi="Times New Roman"/>
        </w:rPr>
      </w:pPr>
      <w:r w:rsidRPr="001B1044">
        <w:rPr>
          <w:rFonts w:ascii="Times New Roman" w:hAnsi="Times New Roman"/>
        </w:rPr>
        <w:t>Conde, T. T., Alves, T. M., Ferreira, R. B., &amp; Neves, L. G. (2024). Integrated pest management strategies for rice: A comprehensive review. </w:t>
      </w:r>
      <w:r w:rsidRPr="001B1044">
        <w:rPr>
          <w:rFonts w:ascii="Times New Roman" w:hAnsi="Times New Roman"/>
          <w:i/>
          <w:iCs/>
        </w:rPr>
        <w:t>Agronomy</w:t>
      </w:r>
      <w:r w:rsidRPr="001B1044">
        <w:rPr>
          <w:rFonts w:ascii="Times New Roman" w:hAnsi="Times New Roman"/>
        </w:rPr>
        <w:t>, </w:t>
      </w:r>
      <w:r w:rsidRPr="001B1044">
        <w:rPr>
          <w:rFonts w:ascii="Times New Roman" w:hAnsi="Times New Roman"/>
          <w:i/>
          <w:iCs/>
        </w:rPr>
        <w:t>14</w:t>
      </w:r>
      <w:r w:rsidRPr="001B1044">
        <w:rPr>
          <w:rFonts w:ascii="Times New Roman" w:hAnsi="Times New Roman"/>
        </w:rPr>
        <w:t>(5), 1012. </w:t>
      </w:r>
      <w:hyperlink r:id="rId24" w:tgtFrame="_blank" w:history="1">
        <w:r w:rsidRPr="001B1044">
          <w:rPr>
            <w:rStyle w:val="Hyperlink"/>
            <w:rFonts w:ascii="Times New Roman" w:hAnsi="Times New Roman"/>
          </w:rPr>
          <w:t>https://doi.org/10.3390/agronomy14051012</w:t>
        </w:r>
      </w:hyperlink>
    </w:p>
    <w:p w14:paraId="0AD0351E" w14:textId="77777777" w:rsidR="009C3929" w:rsidRPr="001B1044" w:rsidRDefault="009C3929" w:rsidP="009C3929">
      <w:pPr>
        <w:jc w:val="both"/>
        <w:rPr>
          <w:rFonts w:ascii="Times New Roman" w:hAnsi="Times New Roman"/>
        </w:rPr>
      </w:pPr>
      <w:r w:rsidRPr="001B1044">
        <w:rPr>
          <w:rFonts w:ascii="Times New Roman" w:hAnsi="Times New Roman"/>
        </w:rPr>
        <w:t xml:space="preserve">Hajji-Hedfi, L., &amp; </w:t>
      </w:r>
      <w:proofErr w:type="spellStart"/>
      <w:r w:rsidRPr="001B1044">
        <w:rPr>
          <w:rFonts w:ascii="Times New Roman" w:hAnsi="Times New Roman"/>
        </w:rPr>
        <w:t>Chhipa</w:t>
      </w:r>
      <w:proofErr w:type="spellEnd"/>
      <w:r w:rsidRPr="001B1044">
        <w:rPr>
          <w:rFonts w:ascii="Times New Roman" w:hAnsi="Times New Roman"/>
        </w:rPr>
        <w:t>, H. (2021). Nano-based pesticides: Challenges for pest and disease management. </w:t>
      </w:r>
      <w:proofErr w:type="spellStart"/>
      <w:r w:rsidRPr="001B1044">
        <w:rPr>
          <w:rFonts w:ascii="Times New Roman" w:hAnsi="Times New Roman"/>
          <w:i/>
          <w:iCs/>
        </w:rPr>
        <w:t>Biologia</w:t>
      </w:r>
      <w:proofErr w:type="spellEnd"/>
      <w:r w:rsidRPr="001B1044">
        <w:rPr>
          <w:rFonts w:ascii="Times New Roman" w:hAnsi="Times New Roman"/>
          <w:i/>
          <w:iCs/>
        </w:rPr>
        <w:t xml:space="preserve"> Futura</w:t>
      </w:r>
      <w:r w:rsidRPr="001B1044">
        <w:rPr>
          <w:rFonts w:ascii="Times New Roman" w:hAnsi="Times New Roman"/>
        </w:rPr>
        <w:t>, </w:t>
      </w:r>
      <w:r w:rsidRPr="001B1044">
        <w:rPr>
          <w:rFonts w:ascii="Times New Roman" w:hAnsi="Times New Roman"/>
          <w:i/>
          <w:iCs/>
        </w:rPr>
        <w:t>72</w:t>
      </w:r>
      <w:r w:rsidRPr="001B1044">
        <w:rPr>
          <w:rFonts w:ascii="Times New Roman" w:hAnsi="Times New Roman"/>
        </w:rPr>
        <w:t>(4), 429-443. </w:t>
      </w:r>
      <w:hyperlink r:id="rId25" w:tgtFrame="_blank" w:history="1">
        <w:r w:rsidRPr="001B1044">
          <w:rPr>
            <w:rStyle w:val="Hyperlink"/>
            <w:rFonts w:ascii="Times New Roman" w:hAnsi="Times New Roman"/>
          </w:rPr>
          <w:t>https://doi.org/10.1007/s41207-021-00279-y</w:t>
        </w:r>
      </w:hyperlink>
    </w:p>
    <w:p w14:paraId="70926690" w14:textId="77777777" w:rsidR="009C3929" w:rsidRPr="001B1044" w:rsidRDefault="009C3929" w:rsidP="009C3929">
      <w:pPr>
        <w:jc w:val="both"/>
        <w:rPr>
          <w:rFonts w:ascii="Times New Roman" w:hAnsi="Times New Roman"/>
        </w:rPr>
      </w:pPr>
      <w:r w:rsidRPr="001B1044">
        <w:rPr>
          <w:rFonts w:ascii="Times New Roman" w:hAnsi="Times New Roman"/>
        </w:rPr>
        <w:t>Indira, K., Rana, V. S., &amp; Chaubey, T. (2021). Nanotechnology in crop protection and post-harvest management of fruits and vegetables. </w:t>
      </w:r>
      <w:r w:rsidRPr="001B1044">
        <w:rPr>
          <w:rFonts w:ascii="Times New Roman" w:hAnsi="Times New Roman"/>
          <w:i/>
          <w:iCs/>
        </w:rPr>
        <w:t>Applied Biochemistry and Biotechnology</w:t>
      </w:r>
      <w:r w:rsidRPr="001B1044">
        <w:rPr>
          <w:rFonts w:ascii="Times New Roman" w:hAnsi="Times New Roman"/>
        </w:rPr>
        <w:t>, </w:t>
      </w:r>
      <w:r w:rsidRPr="001B1044">
        <w:rPr>
          <w:rFonts w:ascii="Times New Roman" w:hAnsi="Times New Roman"/>
          <w:i/>
          <w:iCs/>
        </w:rPr>
        <w:t>193</w:t>
      </w:r>
      <w:r w:rsidRPr="001B1044">
        <w:rPr>
          <w:rFonts w:ascii="Times New Roman" w:hAnsi="Times New Roman"/>
        </w:rPr>
        <w:t>(9), 2768-2798. </w:t>
      </w:r>
      <w:hyperlink r:id="rId26" w:tgtFrame="_blank" w:history="1">
        <w:r w:rsidRPr="001B1044">
          <w:rPr>
            <w:rStyle w:val="Hyperlink"/>
            <w:rFonts w:ascii="Times New Roman" w:hAnsi="Times New Roman"/>
          </w:rPr>
          <w:t>https://doi.org/10.1007/s12010-021-03570-y</w:t>
        </w:r>
      </w:hyperlink>
    </w:p>
    <w:p w14:paraId="3B7588A8" w14:textId="77777777" w:rsidR="009C3929" w:rsidRPr="001B1044" w:rsidRDefault="009C3929" w:rsidP="009C3929">
      <w:pPr>
        <w:jc w:val="both"/>
        <w:rPr>
          <w:rFonts w:ascii="Times New Roman" w:hAnsi="Times New Roman"/>
        </w:rPr>
      </w:pPr>
      <w:proofErr w:type="spellStart"/>
      <w:r w:rsidRPr="001B1044">
        <w:rPr>
          <w:rFonts w:ascii="Times New Roman" w:hAnsi="Times New Roman"/>
        </w:rPr>
        <w:t>Kansotia</w:t>
      </w:r>
      <w:proofErr w:type="spellEnd"/>
      <w:r w:rsidRPr="001B1044">
        <w:rPr>
          <w:rFonts w:ascii="Times New Roman" w:hAnsi="Times New Roman"/>
        </w:rPr>
        <w:t>, B. C., Patel, M., &amp; Tomar, R. S. (2024). RNA interference-mediated crop protection: Challenges and opportunities. </w:t>
      </w:r>
      <w:r w:rsidRPr="001B1044">
        <w:rPr>
          <w:rFonts w:ascii="Times New Roman" w:hAnsi="Times New Roman"/>
          <w:i/>
          <w:iCs/>
        </w:rPr>
        <w:t>Plant Molecular Biology Reporter</w:t>
      </w:r>
      <w:r w:rsidRPr="001B1044">
        <w:rPr>
          <w:rFonts w:ascii="Times New Roman" w:hAnsi="Times New Roman"/>
        </w:rPr>
        <w:t>, </w:t>
      </w:r>
      <w:r w:rsidRPr="001B1044">
        <w:rPr>
          <w:rFonts w:ascii="Times New Roman" w:hAnsi="Times New Roman"/>
          <w:i/>
          <w:iCs/>
        </w:rPr>
        <w:t>42</w:t>
      </w:r>
      <w:r w:rsidRPr="001B1044">
        <w:rPr>
          <w:rFonts w:ascii="Times New Roman" w:hAnsi="Times New Roman"/>
        </w:rPr>
        <w:t>(1), 1-19. </w:t>
      </w:r>
      <w:hyperlink r:id="rId27" w:tgtFrame="_blank" w:history="1">
        <w:r w:rsidRPr="001B1044">
          <w:rPr>
            <w:rStyle w:val="Hyperlink"/>
            <w:rFonts w:ascii="Times New Roman" w:hAnsi="Times New Roman"/>
          </w:rPr>
          <w:t>https://doi.org/10.1007/s11105-023-01403-8</w:t>
        </w:r>
      </w:hyperlink>
    </w:p>
    <w:p w14:paraId="27086462" w14:textId="77777777" w:rsidR="009C3929" w:rsidRPr="001B1044" w:rsidRDefault="009C3929" w:rsidP="009C3929">
      <w:pPr>
        <w:jc w:val="both"/>
        <w:rPr>
          <w:rFonts w:ascii="Times New Roman" w:hAnsi="Times New Roman"/>
        </w:rPr>
      </w:pPr>
      <w:proofErr w:type="spellStart"/>
      <w:r w:rsidRPr="001B1044">
        <w:rPr>
          <w:rFonts w:ascii="Times New Roman" w:hAnsi="Times New Roman"/>
        </w:rPr>
        <w:t>Kariyanna</w:t>
      </w:r>
      <w:proofErr w:type="spellEnd"/>
      <w:r w:rsidRPr="001B1044">
        <w:rPr>
          <w:rFonts w:ascii="Times New Roman" w:hAnsi="Times New Roman"/>
        </w:rPr>
        <w:t>, B., &amp; Sowjanya, M. (2025). Unravelling the use of nanotechnology for crop pest management as a green and sustainable agriculture. </w:t>
      </w:r>
      <w:r w:rsidRPr="001B1044">
        <w:rPr>
          <w:rFonts w:ascii="Times New Roman" w:hAnsi="Times New Roman"/>
          <w:i/>
          <w:iCs/>
        </w:rPr>
        <w:t>The Journal of Basic and Applied Zoology</w:t>
      </w:r>
      <w:r w:rsidRPr="001B1044">
        <w:rPr>
          <w:rFonts w:ascii="Times New Roman" w:hAnsi="Times New Roman"/>
        </w:rPr>
        <w:t>, </w:t>
      </w:r>
      <w:r w:rsidRPr="001B1044">
        <w:rPr>
          <w:rFonts w:ascii="Times New Roman" w:hAnsi="Times New Roman"/>
          <w:i/>
          <w:iCs/>
        </w:rPr>
        <w:t>86</w:t>
      </w:r>
      <w:r w:rsidRPr="001B1044">
        <w:rPr>
          <w:rFonts w:ascii="Times New Roman" w:hAnsi="Times New Roman"/>
        </w:rPr>
        <w:t>(1), 8. </w:t>
      </w:r>
      <w:hyperlink r:id="rId28" w:tgtFrame="_blank" w:history="1">
        <w:r w:rsidRPr="001B1044">
          <w:rPr>
            <w:rStyle w:val="Hyperlink"/>
            <w:rFonts w:ascii="Times New Roman" w:hAnsi="Times New Roman"/>
          </w:rPr>
          <w:t>https://doi.org/10.1186/s41936-025-00459-0</w:t>
        </w:r>
      </w:hyperlink>
    </w:p>
    <w:p w14:paraId="07FFC4CB" w14:textId="77777777" w:rsidR="009C3929" w:rsidRPr="001B1044" w:rsidRDefault="009C3929" w:rsidP="009C3929">
      <w:pPr>
        <w:jc w:val="both"/>
        <w:rPr>
          <w:rFonts w:ascii="Times New Roman" w:hAnsi="Times New Roman"/>
        </w:rPr>
      </w:pPr>
      <w:r w:rsidRPr="001B1044">
        <w:rPr>
          <w:rFonts w:ascii="Times New Roman" w:hAnsi="Times New Roman"/>
        </w:rPr>
        <w:t xml:space="preserve">Laha, G. S., Sailaja, B., Prasad, M. S., </w:t>
      </w:r>
      <w:proofErr w:type="spellStart"/>
      <w:r w:rsidRPr="001B1044">
        <w:rPr>
          <w:rFonts w:ascii="Times New Roman" w:hAnsi="Times New Roman"/>
        </w:rPr>
        <w:t>Ladhalakshmi</w:t>
      </w:r>
      <w:proofErr w:type="spellEnd"/>
      <w:r w:rsidRPr="001B1044">
        <w:rPr>
          <w:rFonts w:ascii="Times New Roman" w:hAnsi="Times New Roman"/>
        </w:rPr>
        <w:t xml:space="preserve">, D., Krishnaveni, D., Lingaiah, G., Prasad, A. S. H., Singh, R., </w:t>
      </w:r>
      <w:proofErr w:type="spellStart"/>
      <w:r w:rsidRPr="001B1044">
        <w:rPr>
          <w:rFonts w:ascii="Times New Roman" w:hAnsi="Times New Roman"/>
        </w:rPr>
        <w:t>Bentur</w:t>
      </w:r>
      <w:proofErr w:type="spellEnd"/>
      <w:r w:rsidRPr="001B1044">
        <w:rPr>
          <w:rFonts w:ascii="Times New Roman" w:hAnsi="Times New Roman"/>
        </w:rPr>
        <w:t xml:space="preserve">, J. S., Ram, T., Balachandran, S. M., Rao, P. R., Brar, D. S., &amp; </w:t>
      </w:r>
      <w:proofErr w:type="spellStart"/>
      <w:r w:rsidRPr="001B1044">
        <w:rPr>
          <w:rFonts w:ascii="Times New Roman" w:hAnsi="Times New Roman"/>
        </w:rPr>
        <w:t>Viraktamath</w:t>
      </w:r>
      <w:proofErr w:type="spellEnd"/>
      <w:r w:rsidRPr="001B1044">
        <w:rPr>
          <w:rFonts w:ascii="Times New Roman" w:hAnsi="Times New Roman"/>
        </w:rPr>
        <w:t xml:space="preserve">, B. C. (2017). Changes in rice disease scenario in India: An analysis from </w:t>
      </w:r>
      <w:proofErr w:type="gramStart"/>
      <w:r w:rsidRPr="001B1044">
        <w:rPr>
          <w:rFonts w:ascii="Times New Roman" w:hAnsi="Times New Roman"/>
        </w:rPr>
        <w:t>production oriented</w:t>
      </w:r>
      <w:proofErr w:type="gramEnd"/>
      <w:r w:rsidRPr="001B1044">
        <w:rPr>
          <w:rFonts w:ascii="Times New Roman" w:hAnsi="Times New Roman"/>
        </w:rPr>
        <w:t xml:space="preserve"> survey. </w:t>
      </w:r>
      <w:r w:rsidRPr="001B1044">
        <w:rPr>
          <w:rFonts w:ascii="Times New Roman" w:hAnsi="Times New Roman"/>
          <w:i/>
          <w:iCs/>
        </w:rPr>
        <w:t>Technical Bulletin</w:t>
      </w:r>
      <w:r w:rsidRPr="001B1044">
        <w:rPr>
          <w:rFonts w:ascii="Times New Roman" w:hAnsi="Times New Roman"/>
        </w:rPr>
        <w:t>, </w:t>
      </w:r>
      <w:r w:rsidRPr="001B1044">
        <w:rPr>
          <w:rFonts w:ascii="Times New Roman" w:hAnsi="Times New Roman"/>
          <w:i/>
          <w:iCs/>
        </w:rPr>
        <w:t>1</w:t>
      </w:r>
      <w:r w:rsidRPr="001B1044">
        <w:rPr>
          <w:rFonts w:ascii="Times New Roman" w:hAnsi="Times New Roman"/>
        </w:rPr>
        <w:t>(105), 1-40.</w:t>
      </w:r>
    </w:p>
    <w:p w14:paraId="7A2D5445" w14:textId="77777777" w:rsidR="009C3929" w:rsidRPr="001B1044" w:rsidRDefault="009C3929" w:rsidP="009C3929">
      <w:pPr>
        <w:jc w:val="both"/>
        <w:rPr>
          <w:rFonts w:ascii="Times New Roman" w:hAnsi="Times New Roman"/>
        </w:rPr>
      </w:pPr>
      <w:r w:rsidRPr="001B1044">
        <w:rPr>
          <w:rFonts w:ascii="Times New Roman" w:hAnsi="Times New Roman"/>
        </w:rPr>
        <w:t xml:space="preserve">McLaughlin, A., Mineau, P., &amp; </w:t>
      </w:r>
      <w:proofErr w:type="spellStart"/>
      <w:r w:rsidRPr="001B1044">
        <w:rPr>
          <w:rFonts w:ascii="Times New Roman" w:hAnsi="Times New Roman"/>
        </w:rPr>
        <w:t>Filigenzi</w:t>
      </w:r>
      <w:proofErr w:type="spellEnd"/>
      <w:r w:rsidRPr="001B1044">
        <w:rPr>
          <w:rFonts w:ascii="Times New Roman" w:hAnsi="Times New Roman"/>
        </w:rPr>
        <w:t>, M. (2023). Environmental and non-target effects of pesticides. </w:t>
      </w:r>
      <w:r w:rsidRPr="001B1044">
        <w:rPr>
          <w:rFonts w:ascii="Times New Roman" w:hAnsi="Times New Roman"/>
          <w:i/>
          <w:iCs/>
        </w:rPr>
        <w:t>Integrated Pest Management Reviews</w:t>
      </w:r>
      <w:r w:rsidRPr="001B1044">
        <w:rPr>
          <w:rFonts w:ascii="Times New Roman" w:hAnsi="Times New Roman"/>
        </w:rPr>
        <w:t>, </w:t>
      </w:r>
      <w:r w:rsidRPr="001B1044">
        <w:rPr>
          <w:rFonts w:ascii="Times New Roman" w:hAnsi="Times New Roman"/>
          <w:i/>
          <w:iCs/>
        </w:rPr>
        <w:t>8</w:t>
      </w:r>
      <w:r w:rsidRPr="001B1044">
        <w:rPr>
          <w:rFonts w:ascii="Times New Roman" w:hAnsi="Times New Roman"/>
        </w:rPr>
        <w:t>(1), 35-52. </w:t>
      </w:r>
      <w:hyperlink r:id="rId29" w:tgtFrame="_blank" w:history="1">
        <w:r w:rsidRPr="001B1044">
          <w:rPr>
            <w:rStyle w:val="Hyperlink"/>
            <w:rFonts w:ascii="Times New Roman" w:hAnsi="Times New Roman"/>
          </w:rPr>
          <w:t>https://doi.org/10.1023/A:1025776018426</w:t>
        </w:r>
      </w:hyperlink>
    </w:p>
    <w:p w14:paraId="3806C192" w14:textId="77777777" w:rsidR="009C3929" w:rsidRPr="001B1044" w:rsidRDefault="009C3929" w:rsidP="009C3929">
      <w:pPr>
        <w:jc w:val="both"/>
        <w:rPr>
          <w:rFonts w:ascii="Times New Roman" w:hAnsi="Times New Roman"/>
        </w:rPr>
      </w:pPr>
      <w:proofErr w:type="spellStart"/>
      <w:r w:rsidRPr="001B1044">
        <w:rPr>
          <w:rFonts w:ascii="Times New Roman" w:hAnsi="Times New Roman"/>
        </w:rPr>
        <w:t>Mokrini</w:t>
      </w:r>
      <w:proofErr w:type="spellEnd"/>
      <w:r w:rsidRPr="001B1044">
        <w:rPr>
          <w:rFonts w:ascii="Times New Roman" w:hAnsi="Times New Roman"/>
        </w:rPr>
        <w:t xml:space="preserve">, F., &amp; </w:t>
      </w:r>
      <w:proofErr w:type="spellStart"/>
      <w:r w:rsidRPr="001B1044">
        <w:rPr>
          <w:rFonts w:ascii="Times New Roman" w:hAnsi="Times New Roman"/>
        </w:rPr>
        <w:t>Bouharroud</w:t>
      </w:r>
      <w:proofErr w:type="spellEnd"/>
      <w:r w:rsidRPr="001B1044">
        <w:rPr>
          <w:rFonts w:ascii="Times New Roman" w:hAnsi="Times New Roman"/>
        </w:rPr>
        <w:t>, R. (2019). Application of nanotechnology in plant protection by phytopathogens: Present and future prospects. In </w:t>
      </w:r>
      <w:r w:rsidRPr="001B1044">
        <w:rPr>
          <w:rFonts w:ascii="Times New Roman" w:hAnsi="Times New Roman"/>
          <w:i/>
          <w:iCs/>
        </w:rPr>
        <w:t>Nanoscience for Sustainable Agriculture</w:t>
      </w:r>
      <w:r w:rsidRPr="001B1044">
        <w:rPr>
          <w:rFonts w:ascii="Times New Roman" w:hAnsi="Times New Roman"/>
        </w:rPr>
        <w:t> (pp. 281-310). Springer. </w:t>
      </w:r>
      <w:hyperlink r:id="rId30" w:tgtFrame="_blank" w:history="1">
        <w:r w:rsidRPr="001B1044">
          <w:rPr>
            <w:rStyle w:val="Hyperlink"/>
            <w:rFonts w:ascii="Times New Roman" w:hAnsi="Times New Roman"/>
          </w:rPr>
          <w:t>https://doi.org/10.1007/978-3-030-16534-5_13</w:t>
        </w:r>
      </w:hyperlink>
    </w:p>
    <w:p w14:paraId="763CC418" w14:textId="77777777" w:rsidR="009C3929" w:rsidRPr="001B1044" w:rsidRDefault="009C3929" w:rsidP="009C3929">
      <w:pPr>
        <w:jc w:val="both"/>
        <w:rPr>
          <w:rFonts w:ascii="Times New Roman" w:hAnsi="Times New Roman"/>
        </w:rPr>
      </w:pPr>
      <w:r w:rsidRPr="001B1044">
        <w:rPr>
          <w:rFonts w:ascii="Times New Roman" w:hAnsi="Times New Roman"/>
        </w:rPr>
        <w:t xml:space="preserve">Mohapatra, R., Giri, D. V., Krishnaveni, S. A., Malathi, G., Senthilkumar, T. M. A., </w:t>
      </w:r>
      <w:proofErr w:type="spellStart"/>
      <w:r w:rsidRPr="001B1044">
        <w:rPr>
          <w:rFonts w:ascii="Times New Roman" w:hAnsi="Times New Roman"/>
        </w:rPr>
        <w:t>Gomadhi</w:t>
      </w:r>
      <w:proofErr w:type="spellEnd"/>
      <w:r w:rsidRPr="001B1044">
        <w:rPr>
          <w:rFonts w:ascii="Times New Roman" w:hAnsi="Times New Roman"/>
        </w:rPr>
        <w:t>, G., Deivamani, M., &amp; Sasikumar, K. (2024). Nanotechnology-based materials for sustainable pest and disease control in agriculture. </w:t>
      </w:r>
      <w:r w:rsidRPr="001B1044">
        <w:rPr>
          <w:rFonts w:ascii="Times New Roman" w:hAnsi="Times New Roman"/>
          <w:i/>
          <w:iCs/>
        </w:rPr>
        <w:t>Uttar Pradesh Journal of Zoology</w:t>
      </w:r>
      <w:r w:rsidRPr="001B1044">
        <w:rPr>
          <w:rFonts w:ascii="Times New Roman" w:hAnsi="Times New Roman"/>
        </w:rPr>
        <w:t>, </w:t>
      </w:r>
      <w:r w:rsidRPr="001B1044">
        <w:rPr>
          <w:rFonts w:ascii="Times New Roman" w:hAnsi="Times New Roman"/>
          <w:i/>
          <w:iCs/>
        </w:rPr>
        <w:t>45</w:t>
      </w:r>
      <w:r w:rsidRPr="001B1044">
        <w:rPr>
          <w:rFonts w:ascii="Times New Roman" w:hAnsi="Times New Roman"/>
        </w:rPr>
        <w:t>(21), 462-476. </w:t>
      </w:r>
      <w:hyperlink r:id="rId31" w:tgtFrame="_blank" w:history="1">
        <w:r w:rsidRPr="001B1044">
          <w:rPr>
            <w:rStyle w:val="Hyperlink"/>
            <w:rFonts w:ascii="Times New Roman" w:hAnsi="Times New Roman"/>
          </w:rPr>
          <w:t>https://doi.org/10.56557/upjoz/2024/v45i214626</w:t>
        </w:r>
      </w:hyperlink>
    </w:p>
    <w:p w14:paraId="143BC68E" w14:textId="77777777" w:rsidR="009C3929" w:rsidRPr="001B1044" w:rsidRDefault="009C3929" w:rsidP="009C3929">
      <w:pPr>
        <w:jc w:val="both"/>
        <w:rPr>
          <w:rFonts w:ascii="Times New Roman" w:hAnsi="Times New Roman"/>
        </w:rPr>
      </w:pPr>
      <w:r w:rsidRPr="001B1044">
        <w:rPr>
          <w:rFonts w:ascii="Times New Roman" w:hAnsi="Times New Roman"/>
        </w:rPr>
        <w:t>Nguyen, P. V., Darnetty, D., Lina, E. C., Duong, N. V., Ho, P. T., &amp; Huynh, D. B. (2025). Nanotechnology for managing rice blast disease: A comprehensive review. </w:t>
      </w:r>
      <w:r w:rsidRPr="001B1044">
        <w:rPr>
          <w:rFonts w:ascii="Times New Roman" w:hAnsi="Times New Roman"/>
          <w:i/>
          <w:iCs/>
        </w:rPr>
        <w:t>Preprints</w:t>
      </w:r>
      <w:r w:rsidRPr="001B1044">
        <w:rPr>
          <w:rFonts w:ascii="Times New Roman" w:hAnsi="Times New Roman"/>
        </w:rPr>
        <w:t>, 2025071957. </w:t>
      </w:r>
      <w:hyperlink r:id="rId32" w:tgtFrame="_blank" w:history="1">
        <w:r w:rsidRPr="001B1044">
          <w:rPr>
            <w:rStyle w:val="Hyperlink"/>
            <w:rFonts w:ascii="Times New Roman" w:hAnsi="Times New Roman"/>
          </w:rPr>
          <w:t>https://doi.org/10.20944/preprints202507.1957.v1</w:t>
        </w:r>
      </w:hyperlink>
    </w:p>
    <w:p w14:paraId="543CF68C" w14:textId="77777777" w:rsidR="009C3929" w:rsidRPr="001B1044" w:rsidRDefault="009C3929" w:rsidP="009C3929">
      <w:pPr>
        <w:jc w:val="both"/>
        <w:rPr>
          <w:rFonts w:ascii="Times New Roman" w:hAnsi="Times New Roman"/>
        </w:rPr>
      </w:pPr>
      <w:r w:rsidRPr="001B1044">
        <w:rPr>
          <w:rFonts w:ascii="Times New Roman" w:hAnsi="Times New Roman"/>
        </w:rPr>
        <w:t>Nivethitha, V. R., Aggarwal, P., &amp; Verma, A. (2024). Nanotechnology in sustainable agriculture: Recent advances and future perspectives. </w:t>
      </w:r>
      <w:r w:rsidRPr="001B1044">
        <w:rPr>
          <w:rFonts w:ascii="Times New Roman" w:hAnsi="Times New Roman"/>
          <w:i/>
          <w:iCs/>
        </w:rPr>
        <w:t>Journal of Agriculture and Food Research</w:t>
      </w:r>
      <w:r w:rsidRPr="001B1044">
        <w:rPr>
          <w:rFonts w:ascii="Times New Roman" w:hAnsi="Times New Roman"/>
        </w:rPr>
        <w:t>, </w:t>
      </w:r>
      <w:r w:rsidRPr="001B1044">
        <w:rPr>
          <w:rFonts w:ascii="Times New Roman" w:hAnsi="Times New Roman"/>
          <w:i/>
          <w:iCs/>
        </w:rPr>
        <w:t>16</w:t>
      </w:r>
      <w:r w:rsidRPr="001B1044">
        <w:rPr>
          <w:rFonts w:ascii="Times New Roman" w:hAnsi="Times New Roman"/>
        </w:rPr>
        <w:t>, 101082. </w:t>
      </w:r>
      <w:hyperlink r:id="rId33" w:tgtFrame="_blank" w:history="1">
        <w:r w:rsidRPr="001B1044">
          <w:rPr>
            <w:rStyle w:val="Hyperlink"/>
            <w:rFonts w:ascii="Times New Roman" w:hAnsi="Times New Roman"/>
          </w:rPr>
          <w:t>https://doi.org/10.1016/j.jafr.2024.101082</w:t>
        </w:r>
      </w:hyperlink>
    </w:p>
    <w:p w14:paraId="41CB4535" w14:textId="77777777" w:rsidR="009C3929" w:rsidRPr="001B1044" w:rsidRDefault="009C3929" w:rsidP="009C3929">
      <w:pPr>
        <w:jc w:val="both"/>
        <w:rPr>
          <w:rFonts w:ascii="Times New Roman" w:hAnsi="Times New Roman"/>
        </w:rPr>
      </w:pPr>
      <w:r w:rsidRPr="001B1044">
        <w:rPr>
          <w:rFonts w:ascii="Times New Roman" w:hAnsi="Times New Roman"/>
        </w:rPr>
        <w:t>Noman, M., Ahmed, T., Wang, J., Ijaz, M. K., Shahid, M., Islam, M. S., Azizullah, A., Manzoor, I., Li, D., &amp; Song, F. (2023). Nano-enabled crop resilience against pathogens: Potential, mechanisms and strategies. </w:t>
      </w:r>
      <w:r w:rsidRPr="001B1044">
        <w:rPr>
          <w:rFonts w:ascii="Times New Roman" w:hAnsi="Times New Roman"/>
          <w:i/>
          <w:iCs/>
        </w:rPr>
        <w:t>Crop Health</w:t>
      </w:r>
      <w:r w:rsidRPr="001B1044">
        <w:rPr>
          <w:rFonts w:ascii="Times New Roman" w:hAnsi="Times New Roman"/>
        </w:rPr>
        <w:t>, </w:t>
      </w:r>
      <w:r w:rsidRPr="001B1044">
        <w:rPr>
          <w:rFonts w:ascii="Times New Roman" w:hAnsi="Times New Roman"/>
          <w:i/>
          <w:iCs/>
        </w:rPr>
        <w:t>1</w:t>
      </w:r>
      <w:r w:rsidRPr="001B1044">
        <w:rPr>
          <w:rFonts w:ascii="Times New Roman" w:hAnsi="Times New Roman"/>
        </w:rPr>
        <w:t>(1), 15. </w:t>
      </w:r>
      <w:hyperlink r:id="rId34" w:tgtFrame="_blank" w:history="1">
        <w:r w:rsidRPr="001B1044">
          <w:rPr>
            <w:rStyle w:val="Hyperlink"/>
            <w:rFonts w:ascii="Times New Roman" w:hAnsi="Times New Roman"/>
          </w:rPr>
          <w:t>https://doi.org/10.1007/s44297-023-00015-8</w:t>
        </w:r>
      </w:hyperlink>
    </w:p>
    <w:p w14:paraId="2E2ACEC2" w14:textId="77777777" w:rsidR="009C3929" w:rsidRPr="001B1044" w:rsidRDefault="009C3929" w:rsidP="009C3929">
      <w:pPr>
        <w:jc w:val="both"/>
        <w:rPr>
          <w:rFonts w:ascii="Times New Roman" w:hAnsi="Times New Roman"/>
        </w:rPr>
      </w:pPr>
      <w:r w:rsidRPr="001B1044">
        <w:rPr>
          <w:rFonts w:ascii="Times New Roman" w:hAnsi="Times New Roman"/>
        </w:rPr>
        <w:t xml:space="preserve">Ojo, O. A., </w:t>
      </w:r>
      <w:proofErr w:type="spellStart"/>
      <w:r w:rsidRPr="001B1044">
        <w:rPr>
          <w:rFonts w:ascii="Times New Roman" w:hAnsi="Times New Roman"/>
        </w:rPr>
        <w:t>Oyinloye</w:t>
      </w:r>
      <w:proofErr w:type="spellEnd"/>
      <w:r w:rsidRPr="001B1044">
        <w:rPr>
          <w:rFonts w:ascii="Times New Roman" w:hAnsi="Times New Roman"/>
        </w:rPr>
        <w:t xml:space="preserve">, B. E., Ojo, A. B., Afolabi, O. B., Peters, O. A., Olaiya, O., </w:t>
      </w:r>
      <w:proofErr w:type="spellStart"/>
      <w:r w:rsidRPr="001B1044">
        <w:rPr>
          <w:rFonts w:ascii="Times New Roman" w:hAnsi="Times New Roman"/>
        </w:rPr>
        <w:t>Fadaka</w:t>
      </w:r>
      <w:proofErr w:type="spellEnd"/>
      <w:r w:rsidRPr="001B1044">
        <w:rPr>
          <w:rFonts w:ascii="Times New Roman" w:hAnsi="Times New Roman"/>
        </w:rPr>
        <w:t xml:space="preserve">, A. O., &amp; </w:t>
      </w:r>
      <w:proofErr w:type="spellStart"/>
      <w:r w:rsidRPr="001B1044">
        <w:rPr>
          <w:rFonts w:ascii="Times New Roman" w:hAnsi="Times New Roman"/>
        </w:rPr>
        <w:t>Nwonuma</w:t>
      </w:r>
      <w:proofErr w:type="spellEnd"/>
      <w:r w:rsidRPr="001B1044">
        <w:rPr>
          <w:rFonts w:ascii="Times New Roman" w:hAnsi="Times New Roman"/>
        </w:rPr>
        <w:t xml:space="preserve">, C. O. (2024). </w:t>
      </w:r>
      <w:proofErr w:type="spellStart"/>
      <w:r w:rsidRPr="001B1044">
        <w:rPr>
          <w:rFonts w:ascii="Times New Roman" w:hAnsi="Times New Roman"/>
        </w:rPr>
        <w:t>Nanopesticides</w:t>
      </w:r>
      <w:proofErr w:type="spellEnd"/>
      <w:r w:rsidRPr="001B1044">
        <w:rPr>
          <w:rFonts w:ascii="Times New Roman" w:hAnsi="Times New Roman"/>
        </w:rPr>
        <w:t xml:space="preserve"> for sustainable agriculture: Advantages and limitations. </w:t>
      </w:r>
      <w:r w:rsidRPr="001B1044">
        <w:rPr>
          <w:rFonts w:ascii="Times New Roman" w:hAnsi="Times New Roman"/>
          <w:i/>
          <w:iCs/>
        </w:rPr>
        <w:t>Journal of Agriculture and Food Research</w:t>
      </w:r>
      <w:r w:rsidRPr="001B1044">
        <w:rPr>
          <w:rFonts w:ascii="Times New Roman" w:hAnsi="Times New Roman"/>
        </w:rPr>
        <w:t>, </w:t>
      </w:r>
      <w:r w:rsidRPr="001B1044">
        <w:rPr>
          <w:rFonts w:ascii="Times New Roman" w:hAnsi="Times New Roman"/>
          <w:i/>
          <w:iCs/>
        </w:rPr>
        <w:t>15</w:t>
      </w:r>
      <w:r w:rsidRPr="001B1044">
        <w:rPr>
          <w:rFonts w:ascii="Times New Roman" w:hAnsi="Times New Roman"/>
        </w:rPr>
        <w:t>, 100985. </w:t>
      </w:r>
      <w:hyperlink r:id="rId35" w:tgtFrame="_blank" w:history="1">
        <w:r w:rsidRPr="001B1044">
          <w:rPr>
            <w:rStyle w:val="Hyperlink"/>
            <w:rFonts w:ascii="Times New Roman" w:hAnsi="Times New Roman"/>
          </w:rPr>
          <w:t>https://doi.org/10.1016/j.jafr.2024.100985</w:t>
        </w:r>
      </w:hyperlink>
    </w:p>
    <w:p w14:paraId="3B4AAD69" w14:textId="77777777" w:rsidR="009C3929" w:rsidRPr="001B1044" w:rsidRDefault="009C3929" w:rsidP="009C3929">
      <w:pPr>
        <w:jc w:val="both"/>
        <w:rPr>
          <w:rFonts w:ascii="Times New Roman" w:hAnsi="Times New Roman"/>
        </w:rPr>
      </w:pPr>
      <w:r w:rsidRPr="001B1044">
        <w:rPr>
          <w:rFonts w:ascii="Times New Roman" w:hAnsi="Times New Roman"/>
        </w:rPr>
        <w:t>Pedrozo, H. A., Schwartz, Z., Luther, M., Dean, D. D., Gomez, R., &amp; Boyan, B. D. (2025). A mechanism for the effect of low doses of 2,4-dichlorophenoxyacetic acid on osteoblast differentiation. </w:t>
      </w:r>
      <w:r w:rsidRPr="001B1044">
        <w:rPr>
          <w:rFonts w:ascii="Times New Roman" w:hAnsi="Times New Roman"/>
          <w:i/>
          <w:iCs/>
        </w:rPr>
        <w:t>Environmental Health Perspectives</w:t>
      </w:r>
      <w:r w:rsidRPr="001B1044">
        <w:rPr>
          <w:rFonts w:ascii="Times New Roman" w:hAnsi="Times New Roman"/>
        </w:rPr>
        <w:t>, </w:t>
      </w:r>
      <w:r w:rsidRPr="001B1044">
        <w:rPr>
          <w:rFonts w:ascii="Times New Roman" w:hAnsi="Times New Roman"/>
          <w:i/>
          <w:iCs/>
        </w:rPr>
        <w:t>113</w:t>
      </w:r>
      <w:r w:rsidRPr="001B1044">
        <w:rPr>
          <w:rFonts w:ascii="Times New Roman" w:hAnsi="Times New Roman"/>
        </w:rPr>
        <w:t>(1), 39-44. </w:t>
      </w:r>
      <w:hyperlink r:id="rId36" w:tgtFrame="_blank" w:history="1">
        <w:r w:rsidRPr="001B1044">
          <w:rPr>
            <w:rStyle w:val="Hyperlink"/>
            <w:rFonts w:ascii="Times New Roman" w:hAnsi="Times New Roman"/>
          </w:rPr>
          <w:t>https://doi.org/10.1289/ehp.7258</w:t>
        </w:r>
      </w:hyperlink>
    </w:p>
    <w:p w14:paraId="3AEB732E" w14:textId="77777777" w:rsidR="009C3929" w:rsidRPr="001B1044" w:rsidRDefault="009C3929" w:rsidP="009C3929">
      <w:pPr>
        <w:jc w:val="both"/>
        <w:rPr>
          <w:rFonts w:ascii="Times New Roman" w:hAnsi="Times New Roman"/>
        </w:rPr>
      </w:pPr>
      <w:proofErr w:type="spellStart"/>
      <w:r w:rsidRPr="001B1044">
        <w:rPr>
          <w:rFonts w:ascii="Times New Roman" w:hAnsi="Times New Roman"/>
        </w:rPr>
        <w:t>Periakaruppan</w:t>
      </w:r>
      <w:proofErr w:type="spellEnd"/>
      <w:r w:rsidRPr="001B1044">
        <w:rPr>
          <w:rFonts w:ascii="Times New Roman" w:hAnsi="Times New Roman"/>
        </w:rPr>
        <w:t>, R., Sivasubramanian, M., &amp; Ramesh, M. (2023). Nanotechnology in agriculture: Opportunities and challenges. </w:t>
      </w:r>
      <w:r w:rsidRPr="001B1044">
        <w:rPr>
          <w:rFonts w:ascii="Times New Roman" w:hAnsi="Times New Roman"/>
          <w:i/>
          <w:iCs/>
        </w:rPr>
        <w:t>Environmental Nanotechnology, Monitoring &amp; Management</w:t>
      </w:r>
      <w:r w:rsidRPr="001B1044">
        <w:rPr>
          <w:rFonts w:ascii="Times New Roman" w:hAnsi="Times New Roman"/>
        </w:rPr>
        <w:t>, </w:t>
      </w:r>
      <w:r w:rsidRPr="001B1044">
        <w:rPr>
          <w:rFonts w:ascii="Times New Roman" w:hAnsi="Times New Roman"/>
          <w:i/>
          <w:iCs/>
        </w:rPr>
        <w:t>20</w:t>
      </w:r>
      <w:r w:rsidRPr="001B1044">
        <w:rPr>
          <w:rFonts w:ascii="Times New Roman" w:hAnsi="Times New Roman"/>
        </w:rPr>
        <w:t>, 100862. </w:t>
      </w:r>
      <w:hyperlink r:id="rId37" w:tgtFrame="_blank" w:history="1">
        <w:r w:rsidRPr="001B1044">
          <w:rPr>
            <w:rStyle w:val="Hyperlink"/>
            <w:rFonts w:ascii="Times New Roman" w:hAnsi="Times New Roman"/>
          </w:rPr>
          <w:t>https://doi.org/10.1016/j.enmm.2023.100862</w:t>
        </w:r>
      </w:hyperlink>
    </w:p>
    <w:p w14:paraId="75AE83F9" w14:textId="77777777" w:rsidR="009C3929" w:rsidRPr="001B1044" w:rsidRDefault="009C3929" w:rsidP="009C3929">
      <w:pPr>
        <w:jc w:val="both"/>
        <w:rPr>
          <w:rFonts w:ascii="Times New Roman" w:hAnsi="Times New Roman"/>
        </w:rPr>
      </w:pPr>
      <w:r w:rsidRPr="001B1044">
        <w:rPr>
          <w:rFonts w:ascii="Times New Roman" w:hAnsi="Times New Roman"/>
        </w:rPr>
        <w:t>Rajan, A., &amp; Mathew, L. (2025). Nanotechnology in agriculture: A comprehensive review on applications, benefits, and challenges. </w:t>
      </w:r>
      <w:r w:rsidRPr="001B1044">
        <w:rPr>
          <w:rFonts w:ascii="Times New Roman" w:hAnsi="Times New Roman"/>
          <w:i/>
          <w:iCs/>
        </w:rPr>
        <w:t>Journal of Agriculture and Food Research</w:t>
      </w:r>
      <w:r w:rsidRPr="001B1044">
        <w:rPr>
          <w:rFonts w:ascii="Times New Roman" w:hAnsi="Times New Roman"/>
        </w:rPr>
        <w:t>, </w:t>
      </w:r>
      <w:r w:rsidRPr="001B1044">
        <w:rPr>
          <w:rFonts w:ascii="Times New Roman" w:hAnsi="Times New Roman"/>
          <w:i/>
          <w:iCs/>
        </w:rPr>
        <w:t>17</w:t>
      </w:r>
      <w:r w:rsidRPr="001B1044">
        <w:rPr>
          <w:rFonts w:ascii="Times New Roman" w:hAnsi="Times New Roman"/>
        </w:rPr>
        <w:t>, 101195. </w:t>
      </w:r>
      <w:hyperlink r:id="rId38" w:tgtFrame="_blank" w:history="1">
        <w:r w:rsidRPr="001B1044">
          <w:rPr>
            <w:rStyle w:val="Hyperlink"/>
            <w:rFonts w:ascii="Times New Roman" w:hAnsi="Times New Roman"/>
          </w:rPr>
          <w:t>https://doi.org/10.1016/j.jafr.2025.101195</w:t>
        </w:r>
      </w:hyperlink>
    </w:p>
    <w:p w14:paraId="4309E69C" w14:textId="77777777" w:rsidR="009C3929" w:rsidRPr="001B1044" w:rsidRDefault="009C3929" w:rsidP="009C3929">
      <w:pPr>
        <w:jc w:val="both"/>
        <w:rPr>
          <w:rFonts w:ascii="Times New Roman" w:hAnsi="Times New Roman"/>
        </w:rPr>
      </w:pPr>
      <w:r w:rsidRPr="001B1044">
        <w:rPr>
          <w:rFonts w:ascii="Times New Roman" w:hAnsi="Times New Roman"/>
        </w:rPr>
        <w:t xml:space="preserve">Rathore, A., Hasan, W., M, R. N., Pujar, K., Singh, R., </w:t>
      </w:r>
      <w:proofErr w:type="spellStart"/>
      <w:r w:rsidRPr="001B1044">
        <w:rPr>
          <w:rFonts w:ascii="Times New Roman" w:hAnsi="Times New Roman"/>
        </w:rPr>
        <w:t>Panotra</w:t>
      </w:r>
      <w:proofErr w:type="spellEnd"/>
      <w:r w:rsidRPr="001B1044">
        <w:rPr>
          <w:rFonts w:ascii="Times New Roman" w:hAnsi="Times New Roman"/>
        </w:rPr>
        <w:t>, N., &amp; Satapathy, S. N. (2024). Nanotech for crop protection: Utilizing nanoparticles for targeted pesticide delivery. </w:t>
      </w:r>
      <w:r w:rsidRPr="001B1044">
        <w:rPr>
          <w:rFonts w:ascii="Times New Roman" w:hAnsi="Times New Roman"/>
          <w:i/>
          <w:iCs/>
        </w:rPr>
        <w:t>Uttar Pradesh Journal of Zoology</w:t>
      </w:r>
      <w:r w:rsidRPr="001B1044">
        <w:rPr>
          <w:rFonts w:ascii="Times New Roman" w:hAnsi="Times New Roman"/>
        </w:rPr>
        <w:t>, </w:t>
      </w:r>
      <w:r w:rsidRPr="001B1044">
        <w:rPr>
          <w:rFonts w:ascii="Times New Roman" w:hAnsi="Times New Roman"/>
          <w:i/>
          <w:iCs/>
        </w:rPr>
        <w:t>45</w:t>
      </w:r>
      <w:r w:rsidRPr="001B1044">
        <w:rPr>
          <w:rFonts w:ascii="Times New Roman" w:hAnsi="Times New Roman"/>
        </w:rPr>
        <w:t>(6), 395-410. </w:t>
      </w:r>
      <w:hyperlink r:id="rId39" w:tgtFrame="_blank" w:history="1">
        <w:r w:rsidRPr="001B1044">
          <w:rPr>
            <w:rStyle w:val="Hyperlink"/>
            <w:rFonts w:ascii="Times New Roman" w:hAnsi="Times New Roman"/>
          </w:rPr>
          <w:t>https://doi.org/10.56557/upjoz/2024/v45i63950</w:t>
        </w:r>
      </w:hyperlink>
    </w:p>
    <w:p w14:paraId="6DE0D1F3" w14:textId="77777777" w:rsidR="009C3929" w:rsidRPr="001B1044" w:rsidRDefault="009C3929" w:rsidP="009C3929">
      <w:pPr>
        <w:jc w:val="both"/>
        <w:rPr>
          <w:rFonts w:ascii="Times New Roman" w:hAnsi="Times New Roman"/>
        </w:rPr>
      </w:pPr>
      <w:r w:rsidRPr="001B1044">
        <w:rPr>
          <w:rFonts w:ascii="Times New Roman" w:hAnsi="Times New Roman"/>
        </w:rPr>
        <w:t>Shaili, M., Kumar, A., &amp; Singh, A. (2025). Biopesticides: Sustainable alternatives to chemical pesticides for crop protection. </w:t>
      </w:r>
      <w:r w:rsidRPr="001B1044">
        <w:rPr>
          <w:rFonts w:ascii="Times New Roman" w:hAnsi="Times New Roman"/>
          <w:i/>
          <w:iCs/>
        </w:rPr>
        <w:t>Journal of Agriculture and Food Research</w:t>
      </w:r>
      <w:r w:rsidRPr="001B1044">
        <w:rPr>
          <w:rFonts w:ascii="Times New Roman" w:hAnsi="Times New Roman"/>
        </w:rPr>
        <w:t>, </w:t>
      </w:r>
      <w:r w:rsidRPr="001B1044">
        <w:rPr>
          <w:rFonts w:ascii="Times New Roman" w:hAnsi="Times New Roman"/>
          <w:i/>
          <w:iCs/>
        </w:rPr>
        <w:t>18</w:t>
      </w:r>
      <w:r w:rsidRPr="001B1044">
        <w:rPr>
          <w:rFonts w:ascii="Times New Roman" w:hAnsi="Times New Roman"/>
        </w:rPr>
        <w:t>, 101298. </w:t>
      </w:r>
      <w:hyperlink r:id="rId40" w:tgtFrame="_blank" w:history="1">
        <w:r w:rsidRPr="001B1044">
          <w:rPr>
            <w:rStyle w:val="Hyperlink"/>
            <w:rFonts w:ascii="Times New Roman" w:hAnsi="Times New Roman"/>
          </w:rPr>
          <w:t>https://doi.org/10.1016/j.jafr.2025.101298</w:t>
        </w:r>
      </w:hyperlink>
    </w:p>
    <w:p w14:paraId="64E34AF7" w14:textId="77777777" w:rsidR="009C3929" w:rsidRPr="001B1044" w:rsidRDefault="009C3929" w:rsidP="009C3929">
      <w:pPr>
        <w:jc w:val="both"/>
        <w:rPr>
          <w:rFonts w:ascii="Times New Roman" w:hAnsi="Times New Roman"/>
        </w:rPr>
      </w:pPr>
      <w:r w:rsidRPr="001B1044">
        <w:rPr>
          <w:rFonts w:ascii="Times New Roman" w:hAnsi="Times New Roman"/>
        </w:rPr>
        <w:t>Sharma, S., Yadav, A. K., Verma, S. B., &amp; Yadav, M. (2024). Revolutionizing agriculture with nanotechnology: Advances, applications, and sustainability considerations. </w:t>
      </w:r>
      <w:r w:rsidRPr="001B1044">
        <w:rPr>
          <w:rFonts w:ascii="Times New Roman" w:hAnsi="Times New Roman"/>
          <w:i/>
          <w:iCs/>
        </w:rPr>
        <w:t>International Journal of Environment and Climate Change</w:t>
      </w:r>
      <w:r w:rsidRPr="001B1044">
        <w:rPr>
          <w:rFonts w:ascii="Times New Roman" w:hAnsi="Times New Roman"/>
        </w:rPr>
        <w:t>, </w:t>
      </w:r>
      <w:r w:rsidRPr="001B1044">
        <w:rPr>
          <w:rFonts w:ascii="Times New Roman" w:hAnsi="Times New Roman"/>
          <w:i/>
          <w:iCs/>
        </w:rPr>
        <w:t>14</w:t>
      </w:r>
      <w:r w:rsidRPr="001B1044">
        <w:rPr>
          <w:rFonts w:ascii="Times New Roman" w:hAnsi="Times New Roman"/>
        </w:rPr>
        <w:t>(7), 424-446. </w:t>
      </w:r>
      <w:hyperlink r:id="rId41" w:tgtFrame="_blank" w:history="1">
        <w:r w:rsidRPr="001B1044">
          <w:rPr>
            <w:rStyle w:val="Hyperlink"/>
            <w:rFonts w:ascii="Times New Roman" w:hAnsi="Times New Roman"/>
          </w:rPr>
          <w:t>https://doi.org/10.9734/ijecc/2024/v14i74246</w:t>
        </w:r>
      </w:hyperlink>
    </w:p>
    <w:p w14:paraId="7EBFD0F3" w14:textId="77777777" w:rsidR="009C3929" w:rsidRPr="001B1044" w:rsidRDefault="009C3929" w:rsidP="009C3929">
      <w:pPr>
        <w:jc w:val="both"/>
        <w:rPr>
          <w:rFonts w:ascii="Times New Roman" w:hAnsi="Times New Roman"/>
        </w:rPr>
      </w:pPr>
      <w:r w:rsidRPr="001B1044">
        <w:rPr>
          <w:rFonts w:ascii="Times New Roman" w:hAnsi="Times New Roman"/>
        </w:rPr>
        <w:t>Simkhada, K., &amp; Thapa, R. (2022). Rice blast, a major threat to the rice production and its various management techniques. </w:t>
      </w:r>
      <w:r w:rsidRPr="001B1044">
        <w:rPr>
          <w:rFonts w:ascii="Times New Roman" w:hAnsi="Times New Roman"/>
          <w:i/>
          <w:iCs/>
        </w:rPr>
        <w:t>Turkish Journal of Agriculture - Food Science and Technology</w:t>
      </w:r>
      <w:r w:rsidRPr="001B1044">
        <w:rPr>
          <w:rFonts w:ascii="Times New Roman" w:hAnsi="Times New Roman"/>
        </w:rPr>
        <w:t>, </w:t>
      </w:r>
      <w:r w:rsidRPr="001B1044">
        <w:rPr>
          <w:rFonts w:ascii="Times New Roman" w:hAnsi="Times New Roman"/>
          <w:i/>
          <w:iCs/>
        </w:rPr>
        <w:t>10</w:t>
      </w:r>
      <w:r w:rsidRPr="001B1044">
        <w:rPr>
          <w:rFonts w:ascii="Times New Roman" w:hAnsi="Times New Roman"/>
        </w:rPr>
        <w:t>(5), 989-1000. </w:t>
      </w:r>
      <w:hyperlink r:id="rId42" w:tgtFrame="_blank" w:history="1">
        <w:r w:rsidRPr="001B1044">
          <w:rPr>
            <w:rStyle w:val="Hyperlink"/>
            <w:rFonts w:ascii="Times New Roman" w:hAnsi="Times New Roman"/>
          </w:rPr>
          <w:t>https://doi.org/10.24925/turjaf.v10i5.989-1000.5124</w:t>
        </w:r>
      </w:hyperlink>
    </w:p>
    <w:p w14:paraId="1FBFF7B6" w14:textId="77777777" w:rsidR="009C3929" w:rsidRPr="001B1044" w:rsidRDefault="009C3929" w:rsidP="009C3929">
      <w:pPr>
        <w:jc w:val="both"/>
        <w:rPr>
          <w:rFonts w:ascii="Times New Roman" w:hAnsi="Times New Roman"/>
        </w:rPr>
      </w:pPr>
      <w:r w:rsidRPr="001B1044">
        <w:rPr>
          <w:rFonts w:ascii="Times New Roman" w:hAnsi="Times New Roman"/>
        </w:rPr>
        <w:t>Singh, A., Kumar, A., Hartley, S., &amp; Singh, I. K. (2024). Nanotechnology-based approaches for sustainable pest management: Environmental implications and future prospects. </w:t>
      </w:r>
      <w:r w:rsidRPr="001B1044">
        <w:rPr>
          <w:rFonts w:ascii="Times New Roman" w:hAnsi="Times New Roman"/>
          <w:i/>
          <w:iCs/>
        </w:rPr>
        <w:t>Science of The Total Environment</w:t>
      </w:r>
      <w:r w:rsidRPr="001B1044">
        <w:rPr>
          <w:rFonts w:ascii="Times New Roman" w:hAnsi="Times New Roman"/>
        </w:rPr>
        <w:t>, </w:t>
      </w:r>
      <w:r w:rsidRPr="001B1044">
        <w:rPr>
          <w:rFonts w:ascii="Times New Roman" w:hAnsi="Times New Roman"/>
          <w:i/>
          <w:iCs/>
        </w:rPr>
        <w:t>912</w:t>
      </w:r>
      <w:r w:rsidRPr="001B1044">
        <w:rPr>
          <w:rFonts w:ascii="Times New Roman" w:hAnsi="Times New Roman"/>
        </w:rPr>
        <w:t>, 169378. </w:t>
      </w:r>
      <w:hyperlink r:id="rId43" w:tgtFrame="_blank" w:history="1">
        <w:r w:rsidRPr="001B1044">
          <w:rPr>
            <w:rStyle w:val="Hyperlink"/>
            <w:rFonts w:ascii="Times New Roman" w:hAnsi="Times New Roman"/>
          </w:rPr>
          <w:t>https://doi.org/10.1016/j.scitotenv.2023.169378</w:t>
        </w:r>
      </w:hyperlink>
    </w:p>
    <w:p w14:paraId="228EB74B" w14:textId="77777777" w:rsidR="009C3929" w:rsidRPr="001B1044" w:rsidRDefault="009C3929" w:rsidP="009C3929">
      <w:pPr>
        <w:jc w:val="both"/>
        <w:rPr>
          <w:rFonts w:ascii="Times New Roman" w:hAnsi="Times New Roman"/>
        </w:rPr>
      </w:pPr>
      <w:r w:rsidRPr="001B1044">
        <w:rPr>
          <w:rFonts w:ascii="Times New Roman" w:hAnsi="Times New Roman"/>
        </w:rPr>
        <w:t>Singh, R., &amp; Solanki, M. K. (2024). Rice production systems: Challenges and opportunities for sustainable intensification. </w:t>
      </w:r>
      <w:r w:rsidRPr="001B1044">
        <w:rPr>
          <w:rFonts w:ascii="Times New Roman" w:hAnsi="Times New Roman"/>
          <w:i/>
          <w:iCs/>
        </w:rPr>
        <w:t>Agronomy</w:t>
      </w:r>
      <w:r w:rsidRPr="001B1044">
        <w:rPr>
          <w:rFonts w:ascii="Times New Roman" w:hAnsi="Times New Roman"/>
        </w:rPr>
        <w:t>, </w:t>
      </w:r>
      <w:r w:rsidRPr="001B1044">
        <w:rPr>
          <w:rFonts w:ascii="Times New Roman" w:hAnsi="Times New Roman"/>
          <w:i/>
          <w:iCs/>
        </w:rPr>
        <w:t>14</w:t>
      </w:r>
      <w:r w:rsidRPr="001B1044">
        <w:rPr>
          <w:rFonts w:ascii="Times New Roman" w:hAnsi="Times New Roman"/>
        </w:rPr>
        <w:t>(2), 342. </w:t>
      </w:r>
      <w:hyperlink r:id="rId44" w:tgtFrame="_blank" w:history="1">
        <w:r w:rsidRPr="001B1044">
          <w:rPr>
            <w:rStyle w:val="Hyperlink"/>
            <w:rFonts w:ascii="Times New Roman" w:hAnsi="Times New Roman"/>
          </w:rPr>
          <w:t>https://doi.org/10.3390/agronomy14020342</w:t>
        </w:r>
      </w:hyperlink>
    </w:p>
    <w:p w14:paraId="581A783C" w14:textId="77777777" w:rsidR="009C3929" w:rsidRPr="001B1044" w:rsidRDefault="009C3929" w:rsidP="009C3929">
      <w:pPr>
        <w:jc w:val="both"/>
        <w:rPr>
          <w:rFonts w:ascii="Times New Roman" w:hAnsi="Times New Roman"/>
        </w:rPr>
      </w:pPr>
      <w:r w:rsidRPr="001B1044">
        <w:rPr>
          <w:rFonts w:ascii="Times New Roman" w:hAnsi="Times New Roman"/>
        </w:rPr>
        <w:t>Usendi, V. O., Ochieng, J., Mathenge, M., &amp; Smale, M. (2020). Determinants of rice consumption and marketing preferences in Kenya. </w:t>
      </w:r>
      <w:r w:rsidRPr="001B1044">
        <w:rPr>
          <w:rFonts w:ascii="Times New Roman" w:hAnsi="Times New Roman"/>
          <w:i/>
          <w:iCs/>
        </w:rPr>
        <w:t>Journal of Agriculture and Rural Development in the Tropics and Subtropics</w:t>
      </w:r>
      <w:r w:rsidRPr="001B1044">
        <w:rPr>
          <w:rFonts w:ascii="Times New Roman" w:hAnsi="Times New Roman"/>
        </w:rPr>
        <w:t>, </w:t>
      </w:r>
      <w:r w:rsidRPr="001B1044">
        <w:rPr>
          <w:rFonts w:ascii="Times New Roman" w:hAnsi="Times New Roman"/>
          <w:i/>
          <w:iCs/>
        </w:rPr>
        <w:t>121</w:t>
      </w:r>
      <w:r w:rsidRPr="001B1044">
        <w:rPr>
          <w:rFonts w:ascii="Times New Roman" w:hAnsi="Times New Roman"/>
        </w:rPr>
        <w:t>(2), 223-233. </w:t>
      </w:r>
      <w:hyperlink r:id="rId45" w:tgtFrame="_blank" w:history="1">
        <w:r w:rsidRPr="001B1044">
          <w:rPr>
            <w:rStyle w:val="Hyperlink"/>
            <w:rFonts w:ascii="Times New Roman" w:hAnsi="Times New Roman"/>
          </w:rPr>
          <w:t>https://doi.org/10.17170/kobra-202010131907</w:t>
        </w:r>
      </w:hyperlink>
    </w:p>
    <w:p w14:paraId="0A837449" w14:textId="77777777" w:rsidR="009C3929" w:rsidRPr="001B1044" w:rsidRDefault="009C3929" w:rsidP="009C3929">
      <w:pPr>
        <w:jc w:val="both"/>
        <w:rPr>
          <w:rFonts w:ascii="Times New Roman" w:hAnsi="Times New Roman"/>
        </w:rPr>
      </w:pPr>
      <w:r w:rsidRPr="001B1044">
        <w:rPr>
          <w:rFonts w:ascii="Times New Roman" w:hAnsi="Times New Roman"/>
        </w:rPr>
        <w:t>Worrall, E. A., Hamid, A., Mody, K. T., Mitter, N., &amp; Pappu, H. R. (2018). Nanotechnology for plant disease management. </w:t>
      </w:r>
      <w:r w:rsidRPr="001B1044">
        <w:rPr>
          <w:rFonts w:ascii="Times New Roman" w:hAnsi="Times New Roman"/>
          <w:i/>
          <w:iCs/>
        </w:rPr>
        <w:t>Agronomy</w:t>
      </w:r>
      <w:r w:rsidRPr="001B1044">
        <w:rPr>
          <w:rFonts w:ascii="Times New Roman" w:hAnsi="Times New Roman"/>
        </w:rPr>
        <w:t>, </w:t>
      </w:r>
      <w:r w:rsidRPr="001B1044">
        <w:rPr>
          <w:rFonts w:ascii="Times New Roman" w:hAnsi="Times New Roman"/>
          <w:i/>
          <w:iCs/>
        </w:rPr>
        <w:t>8</w:t>
      </w:r>
      <w:r w:rsidRPr="001B1044">
        <w:rPr>
          <w:rFonts w:ascii="Times New Roman" w:hAnsi="Times New Roman"/>
        </w:rPr>
        <w:t>(12), 285. </w:t>
      </w:r>
      <w:hyperlink r:id="rId46" w:tgtFrame="_blank" w:history="1">
        <w:r w:rsidRPr="001B1044">
          <w:rPr>
            <w:rStyle w:val="Hyperlink"/>
            <w:rFonts w:ascii="Times New Roman" w:hAnsi="Times New Roman"/>
          </w:rPr>
          <w:t>https://doi.org/10.3390/agronomy8120285</w:t>
        </w:r>
      </w:hyperlink>
    </w:p>
    <w:p w14:paraId="7010C9DE" w14:textId="77777777" w:rsidR="009C3929" w:rsidRPr="001B1044" w:rsidRDefault="009C3929" w:rsidP="009C3929">
      <w:pPr>
        <w:jc w:val="both"/>
        <w:rPr>
          <w:rFonts w:ascii="Times New Roman" w:hAnsi="Times New Roman"/>
        </w:rPr>
      </w:pPr>
      <w:r w:rsidRPr="001B1044">
        <w:rPr>
          <w:rFonts w:ascii="Times New Roman" w:hAnsi="Times New Roman"/>
        </w:rPr>
        <w:lastRenderedPageBreak/>
        <w:t xml:space="preserve">Zhao, Y., Zhang, Y., Yan, Y., Huang, Z., Zhang, Y., &amp; Zhou, N. (2024). pH-responsive pesticide-loaded hollow mesoporous silica nanoparticles with </w:t>
      </w:r>
      <w:proofErr w:type="spellStart"/>
      <w:r w:rsidRPr="001B1044">
        <w:rPr>
          <w:rFonts w:ascii="Times New Roman" w:hAnsi="Times New Roman"/>
        </w:rPr>
        <w:t>ZnO</w:t>
      </w:r>
      <w:proofErr w:type="spellEnd"/>
      <w:r w:rsidRPr="001B1044">
        <w:rPr>
          <w:rFonts w:ascii="Times New Roman" w:hAnsi="Times New Roman"/>
        </w:rPr>
        <w:t xml:space="preserve"> quantum dots as a gatekeeper for control of rice blast disease. </w:t>
      </w:r>
      <w:r w:rsidRPr="001B1044">
        <w:rPr>
          <w:rFonts w:ascii="Times New Roman" w:hAnsi="Times New Roman"/>
          <w:i/>
          <w:iCs/>
        </w:rPr>
        <w:t>Materials</w:t>
      </w:r>
      <w:r w:rsidRPr="001B1044">
        <w:rPr>
          <w:rFonts w:ascii="Times New Roman" w:hAnsi="Times New Roman"/>
        </w:rPr>
        <w:t>, </w:t>
      </w:r>
      <w:r w:rsidRPr="001B1044">
        <w:rPr>
          <w:rFonts w:ascii="Times New Roman" w:hAnsi="Times New Roman"/>
          <w:i/>
          <w:iCs/>
        </w:rPr>
        <w:t>17</w:t>
      </w:r>
      <w:r w:rsidRPr="001B1044">
        <w:rPr>
          <w:rFonts w:ascii="Times New Roman" w:hAnsi="Times New Roman"/>
        </w:rPr>
        <w:t>(6), 1344. </w:t>
      </w:r>
      <w:hyperlink r:id="rId47" w:tgtFrame="_blank" w:history="1">
        <w:r w:rsidRPr="001B1044">
          <w:rPr>
            <w:rStyle w:val="Hyperlink"/>
            <w:rFonts w:ascii="Times New Roman" w:hAnsi="Times New Roman"/>
          </w:rPr>
          <w:t>https://doi.org/10.3390/ma17061344</w:t>
        </w:r>
      </w:hyperlink>
    </w:p>
    <w:p w14:paraId="4F1D3013" w14:textId="77777777" w:rsidR="009C3929" w:rsidRPr="001B1044" w:rsidRDefault="009C3929" w:rsidP="009C3929">
      <w:pPr>
        <w:jc w:val="both"/>
        <w:rPr>
          <w:rFonts w:ascii="Times New Roman" w:hAnsi="Times New Roman"/>
        </w:rPr>
      </w:pPr>
    </w:p>
    <w:p w14:paraId="6349B270" w14:textId="77777777" w:rsidR="00B01FCD" w:rsidRPr="00FB3A86" w:rsidRDefault="00B01FCD" w:rsidP="00441B6F">
      <w:pPr>
        <w:pStyle w:val="Reference"/>
        <w:numPr>
          <w:ilvl w:val="0"/>
          <w:numId w:val="0"/>
        </w:numPr>
        <w:spacing w:line="240" w:lineRule="auto"/>
        <w:rPr>
          <w:rFonts w:ascii="Arial" w:hAnsi="Arial" w:cs="Arial"/>
        </w:rPr>
      </w:pPr>
    </w:p>
    <w:p w14:paraId="1D4F55BF"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4AFCC922" w14:textId="77777777" w:rsidR="00785EE9" w:rsidRPr="00785EE9" w:rsidRDefault="00785EE9" w:rsidP="00785EE9">
      <w:pPr>
        <w:pStyle w:val="Body"/>
        <w:rPr>
          <w:rFonts w:ascii="Arial" w:hAnsi="Arial" w:cs="Arial"/>
        </w:rPr>
      </w:pPr>
      <w:proofErr w:type="spellStart"/>
      <w:r w:rsidRPr="00785EE9">
        <w:rPr>
          <w:rFonts w:ascii="Arial" w:hAnsi="Arial" w:cs="Arial"/>
        </w:rPr>
        <w:t>AgNPs</w:t>
      </w:r>
      <w:proofErr w:type="spellEnd"/>
      <w:r w:rsidRPr="00785EE9">
        <w:rPr>
          <w:rFonts w:ascii="Arial" w:hAnsi="Arial" w:cs="Arial"/>
        </w:rPr>
        <w:t>: Silver Nanoparticles. Nanoparticles of elemental silver known for their broad-spectrum antimicrobial activity.</w:t>
      </w:r>
    </w:p>
    <w:p w14:paraId="5EBD049A" w14:textId="77777777" w:rsidR="00785EE9" w:rsidRPr="00785EE9" w:rsidRDefault="00785EE9" w:rsidP="00785EE9">
      <w:pPr>
        <w:pStyle w:val="Body"/>
        <w:rPr>
          <w:rFonts w:ascii="Arial" w:hAnsi="Arial" w:cs="Arial"/>
        </w:rPr>
      </w:pPr>
    </w:p>
    <w:p w14:paraId="387CD9C7" w14:textId="02CA1000" w:rsidR="00785EE9" w:rsidRPr="00785EE9" w:rsidRDefault="00785EE9" w:rsidP="00785EE9">
      <w:pPr>
        <w:pStyle w:val="Body"/>
        <w:rPr>
          <w:rFonts w:ascii="Arial" w:hAnsi="Arial" w:cs="Arial"/>
        </w:rPr>
      </w:pPr>
      <w:r w:rsidRPr="00785EE9">
        <w:rPr>
          <w:rFonts w:ascii="Arial" w:hAnsi="Arial" w:cs="Arial"/>
        </w:rPr>
        <w:t>Controlled Release: A delivery mechanism where an active ingredient (e.g., pesticide, fungicide) is released from a nanocarrier at a predetermined rate over a specific period, enhancing efficacy and reducing environmental loss.</w:t>
      </w:r>
    </w:p>
    <w:p w14:paraId="39256BC1" w14:textId="403AAAE7" w:rsidR="00785EE9" w:rsidRPr="00785EE9" w:rsidRDefault="00785EE9" w:rsidP="00785EE9">
      <w:pPr>
        <w:pStyle w:val="Body"/>
        <w:rPr>
          <w:rFonts w:ascii="Arial" w:hAnsi="Arial" w:cs="Arial"/>
        </w:rPr>
      </w:pPr>
      <w:proofErr w:type="spellStart"/>
      <w:r w:rsidRPr="00785EE9">
        <w:rPr>
          <w:rFonts w:ascii="Arial" w:hAnsi="Arial" w:cs="Arial"/>
        </w:rPr>
        <w:t>CuNPs</w:t>
      </w:r>
      <w:proofErr w:type="spellEnd"/>
      <w:r w:rsidRPr="00785EE9">
        <w:rPr>
          <w:rFonts w:ascii="Arial" w:hAnsi="Arial" w:cs="Arial"/>
        </w:rPr>
        <w:t>: Copper Nanoparticles. Nanoparticles of elemental copper used for their fungicidal and bactericidal properties.</w:t>
      </w:r>
    </w:p>
    <w:p w14:paraId="7D1657AD" w14:textId="72186BDA" w:rsidR="00785EE9" w:rsidRPr="00785EE9" w:rsidRDefault="00785EE9" w:rsidP="00785EE9">
      <w:pPr>
        <w:pStyle w:val="Body"/>
        <w:rPr>
          <w:rFonts w:ascii="Arial" w:hAnsi="Arial" w:cs="Arial"/>
        </w:rPr>
      </w:pPr>
      <w:r w:rsidRPr="00785EE9">
        <w:rPr>
          <w:rFonts w:ascii="Arial" w:hAnsi="Arial" w:cs="Arial"/>
        </w:rPr>
        <w:t>dsRNA: Double-Stranded RNA. A molecule that initiates the RNA interference (RNAi) pathway by being processed into small interfering RNAs (siRNAs).</w:t>
      </w:r>
    </w:p>
    <w:p w14:paraId="5B714020" w14:textId="1A27E558" w:rsidR="00785EE9" w:rsidRPr="00785EE9" w:rsidRDefault="00785EE9" w:rsidP="00785EE9">
      <w:pPr>
        <w:pStyle w:val="Body"/>
        <w:rPr>
          <w:rFonts w:ascii="Arial" w:hAnsi="Arial" w:cs="Arial"/>
        </w:rPr>
      </w:pPr>
      <w:r w:rsidRPr="00785EE9">
        <w:rPr>
          <w:rFonts w:ascii="Arial" w:hAnsi="Arial" w:cs="Arial"/>
        </w:rPr>
        <w:t>LDH: Layered Double Hydroxide. A class of clay nanoparticles used for the stable encapsulation and slow release of molecules like dsRNA.</w:t>
      </w:r>
    </w:p>
    <w:p w14:paraId="3A0DD6ED" w14:textId="3C5040AF" w:rsidR="00785EE9" w:rsidRPr="00785EE9" w:rsidRDefault="00785EE9" w:rsidP="00785EE9">
      <w:pPr>
        <w:pStyle w:val="Body"/>
        <w:rPr>
          <w:rFonts w:ascii="Arial" w:hAnsi="Arial" w:cs="Arial"/>
        </w:rPr>
      </w:pPr>
      <w:r w:rsidRPr="00785EE9">
        <w:rPr>
          <w:rFonts w:ascii="Arial" w:hAnsi="Arial" w:cs="Arial"/>
        </w:rPr>
        <w:t>MSN: Mesoporous Silica Nanoparticles. Nanoparticles with a porous structure that can be loaded with active ingredients and functionalized for stimuli-responsive release.</w:t>
      </w:r>
    </w:p>
    <w:p w14:paraId="1D1892A2" w14:textId="3C65C4D8" w:rsidR="00785EE9" w:rsidRPr="00785EE9" w:rsidRDefault="00785EE9" w:rsidP="00785EE9">
      <w:pPr>
        <w:pStyle w:val="Body"/>
        <w:rPr>
          <w:rFonts w:ascii="Arial" w:hAnsi="Arial" w:cs="Arial"/>
        </w:rPr>
      </w:pPr>
      <w:r w:rsidRPr="00785EE9">
        <w:rPr>
          <w:rFonts w:ascii="Arial" w:hAnsi="Arial" w:cs="Arial"/>
        </w:rPr>
        <w:t>Nanocarrier: A nanostructured material (e.g., polymeric nanoparticle, liposome) designed to encapsulate and deliver an active ingredient to a specific target.</w:t>
      </w:r>
    </w:p>
    <w:p w14:paraId="60036D50" w14:textId="7BF9CE8A" w:rsidR="00785EE9" w:rsidRPr="00785EE9" w:rsidRDefault="00785EE9" w:rsidP="00785EE9">
      <w:pPr>
        <w:pStyle w:val="Body"/>
        <w:rPr>
          <w:rFonts w:ascii="Arial" w:hAnsi="Arial" w:cs="Arial"/>
        </w:rPr>
      </w:pPr>
      <w:r w:rsidRPr="00785EE9">
        <w:rPr>
          <w:rFonts w:ascii="Arial" w:hAnsi="Arial" w:cs="Arial"/>
        </w:rPr>
        <w:t>Nanoencapsulation: The process of enclosing an active ingredient within a nanoscale capsule or shell to protect it and control its release.</w:t>
      </w:r>
    </w:p>
    <w:p w14:paraId="63C8F88F" w14:textId="4D3517BE" w:rsidR="00785EE9" w:rsidRPr="00785EE9" w:rsidRDefault="00785EE9" w:rsidP="00785EE9">
      <w:pPr>
        <w:pStyle w:val="Body"/>
        <w:rPr>
          <w:rFonts w:ascii="Arial" w:hAnsi="Arial" w:cs="Arial"/>
        </w:rPr>
      </w:pPr>
      <w:proofErr w:type="spellStart"/>
      <w:r w:rsidRPr="00785EE9">
        <w:rPr>
          <w:rFonts w:ascii="Arial" w:hAnsi="Arial" w:cs="Arial"/>
        </w:rPr>
        <w:t>Nanofungicide</w:t>
      </w:r>
      <w:proofErr w:type="spellEnd"/>
      <w:r w:rsidRPr="00785EE9">
        <w:rPr>
          <w:rFonts w:ascii="Arial" w:hAnsi="Arial" w:cs="Arial"/>
        </w:rPr>
        <w:t>: A fungicidal formulation where the active ingredient is in nanoscale form or is delivered using a nanocarrier system.</w:t>
      </w:r>
    </w:p>
    <w:p w14:paraId="4D7E94E2" w14:textId="0745D123" w:rsidR="00785EE9" w:rsidRPr="00785EE9" w:rsidRDefault="00785EE9" w:rsidP="00785EE9">
      <w:pPr>
        <w:pStyle w:val="Body"/>
        <w:rPr>
          <w:rFonts w:ascii="Arial" w:hAnsi="Arial" w:cs="Arial"/>
        </w:rPr>
      </w:pPr>
      <w:proofErr w:type="spellStart"/>
      <w:r w:rsidRPr="00785EE9">
        <w:rPr>
          <w:rFonts w:ascii="Arial" w:hAnsi="Arial" w:cs="Arial"/>
        </w:rPr>
        <w:t>Nanopesticide</w:t>
      </w:r>
      <w:proofErr w:type="spellEnd"/>
      <w:r w:rsidRPr="00785EE9">
        <w:rPr>
          <w:rFonts w:ascii="Arial" w:hAnsi="Arial" w:cs="Arial"/>
        </w:rPr>
        <w:t>: A pesticidal formulation where the active ingredient is in nanoscale form or is delivered using a nanocarrier system.</w:t>
      </w:r>
    </w:p>
    <w:p w14:paraId="203372A9" w14:textId="064457EC" w:rsidR="00785EE9" w:rsidRPr="00785EE9" w:rsidRDefault="00785EE9" w:rsidP="00785EE9">
      <w:pPr>
        <w:pStyle w:val="Body"/>
        <w:rPr>
          <w:rFonts w:ascii="Arial" w:hAnsi="Arial" w:cs="Arial"/>
        </w:rPr>
      </w:pPr>
      <w:r w:rsidRPr="00785EE9">
        <w:rPr>
          <w:rFonts w:ascii="Arial" w:hAnsi="Arial" w:cs="Arial"/>
        </w:rPr>
        <w:t>NPs: Nanoparticles. Particles with dimensions between 1 and 100 nanometers that exhibit unique physicochemical properties.</w:t>
      </w:r>
    </w:p>
    <w:p w14:paraId="6E376F45" w14:textId="42218608" w:rsidR="00785EE9" w:rsidRPr="00785EE9" w:rsidRDefault="00785EE9" w:rsidP="00785EE9">
      <w:pPr>
        <w:pStyle w:val="Body"/>
        <w:rPr>
          <w:rFonts w:ascii="Arial" w:hAnsi="Arial" w:cs="Arial"/>
        </w:rPr>
      </w:pPr>
      <w:r w:rsidRPr="00785EE9">
        <w:rPr>
          <w:rFonts w:ascii="Arial" w:hAnsi="Arial" w:cs="Arial"/>
        </w:rPr>
        <w:t xml:space="preserve">PLGA: </w:t>
      </w:r>
      <w:proofErr w:type="gramStart"/>
      <w:r w:rsidRPr="00785EE9">
        <w:rPr>
          <w:rFonts w:ascii="Arial" w:hAnsi="Arial" w:cs="Arial"/>
        </w:rPr>
        <w:t>Poly(</w:t>
      </w:r>
      <w:proofErr w:type="gramEnd"/>
      <w:r w:rsidRPr="00785EE9">
        <w:rPr>
          <w:rFonts w:ascii="Arial" w:hAnsi="Arial" w:cs="Arial"/>
        </w:rPr>
        <w:t>lactic-co-glycolic acid). A biodegradable and biocompatible polymer commonly used to create polymeric nanoparticles for controlled drug and agrochemical delivery.</w:t>
      </w:r>
    </w:p>
    <w:p w14:paraId="2C0423B8" w14:textId="59B294FC" w:rsidR="00785EE9" w:rsidRPr="00785EE9" w:rsidRDefault="00785EE9" w:rsidP="00785EE9">
      <w:pPr>
        <w:pStyle w:val="Body"/>
        <w:rPr>
          <w:rFonts w:ascii="Arial" w:hAnsi="Arial" w:cs="Arial"/>
        </w:rPr>
      </w:pPr>
      <w:r w:rsidRPr="00785EE9">
        <w:rPr>
          <w:rFonts w:ascii="Arial" w:hAnsi="Arial" w:cs="Arial"/>
        </w:rPr>
        <w:t>RNAi (RNA Interference): A natural biological mechanism for gene silencing, triggered by dsRNA, which can be harnessed for species-specific pest and disease control.</w:t>
      </w:r>
    </w:p>
    <w:p w14:paraId="2FB6079F" w14:textId="6D30D358" w:rsidR="00785EE9" w:rsidRPr="00785EE9" w:rsidRDefault="00785EE9" w:rsidP="00785EE9">
      <w:pPr>
        <w:pStyle w:val="Body"/>
        <w:rPr>
          <w:rFonts w:ascii="Arial" w:hAnsi="Arial" w:cs="Arial"/>
        </w:rPr>
      </w:pPr>
      <w:r w:rsidRPr="00785EE9">
        <w:rPr>
          <w:rFonts w:ascii="Arial" w:hAnsi="Arial" w:cs="Arial"/>
        </w:rPr>
        <w:t>ROS: Reactive Oxygen Species. Chemically reactive molecules containing oxygen (e.g., peroxides) that can cause oxidative stress and damage to cells, a key antimicrobial mechanism of many metal-based nanoparticles.</w:t>
      </w:r>
    </w:p>
    <w:p w14:paraId="754F39DF" w14:textId="77777777" w:rsidR="00785EE9" w:rsidRPr="00785EE9" w:rsidRDefault="00785EE9" w:rsidP="00785EE9">
      <w:pPr>
        <w:pStyle w:val="Body"/>
        <w:rPr>
          <w:rFonts w:ascii="Arial" w:hAnsi="Arial" w:cs="Arial"/>
        </w:rPr>
      </w:pPr>
      <w:r w:rsidRPr="00785EE9">
        <w:rPr>
          <w:rFonts w:ascii="Arial" w:hAnsi="Arial" w:cs="Arial"/>
        </w:rPr>
        <w:t>RISC: RNA-Induced Silencing Complex. The multi-protein complex that uses siRNA as a guide to identify and cleave complementary mRNA molecules during RNAi.</w:t>
      </w:r>
    </w:p>
    <w:p w14:paraId="7B6C1B6A" w14:textId="77777777" w:rsidR="00785EE9" w:rsidRPr="00785EE9" w:rsidRDefault="00785EE9" w:rsidP="00785EE9">
      <w:pPr>
        <w:pStyle w:val="Body"/>
        <w:rPr>
          <w:rFonts w:ascii="Arial" w:hAnsi="Arial" w:cs="Arial"/>
        </w:rPr>
      </w:pPr>
    </w:p>
    <w:p w14:paraId="1BF3DA01" w14:textId="68087090" w:rsidR="00785EE9" w:rsidRPr="00785EE9" w:rsidRDefault="00785EE9" w:rsidP="00785EE9">
      <w:pPr>
        <w:pStyle w:val="Body"/>
        <w:rPr>
          <w:rFonts w:ascii="Arial" w:hAnsi="Arial" w:cs="Arial"/>
        </w:rPr>
      </w:pPr>
      <w:r w:rsidRPr="00785EE9">
        <w:rPr>
          <w:rFonts w:ascii="Arial" w:hAnsi="Arial" w:cs="Arial"/>
        </w:rPr>
        <w:t>siRNA: Small Interfering RNA. Short (21-23 nucleotide) double-stranded RNA fragments that guide the RISC to its specific mRNA target for cleavage.</w:t>
      </w:r>
    </w:p>
    <w:p w14:paraId="78507EF2" w14:textId="000AFF33" w:rsidR="00785EE9" w:rsidRPr="00785EE9" w:rsidRDefault="00785EE9" w:rsidP="00785EE9">
      <w:pPr>
        <w:pStyle w:val="Body"/>
        <w:rPr>
          <w:rFonts w:ascii="Arial" w:hAnsi="Arial" w:cs="Arial"/>
        </w:rPr>
      </w:pPr>
      <w:r w:rsidRPr="00785EE9">
        <w:rPr>
          <w:rFonts w:ascii="Arial" w:hAnsi="Arial" w:cs="Arial"/>
        </w:rPr>
        <w:t>Stimuli-Responsive Release: A smart delivery mechanism where the release of an active ingredient from a nanocarrier is triggered by specific environmental cues, such as pH changes or enzyme secretion at an infection site.</w:t>
      </w:r>
    </w:p>
    <w:p w14:paraId="314AFE07" w14:textId="465833AB" w:rsidR="00785EE9" w:rsidRPr="00785EE9" w:rsidRDefault="00785EE9" w:rsidP="00785EE9">
      <w:pPr>
        <w:pStyle w:val="Body"/>
        <w:rPr>
          <w:rFonts w:ascii="Arial" w:hAnsi="Arial" w:cs="Arial"/>
        </w:rPr>
      </w:pPr>
      <w:proofErr w:type="spellStart"/>
      <w:r w:rsidRPr="00785EE9">
        <w:rPr>
          <w:rFonts w:ascii="Arial" w:hAnsi="Arial" w:cs="Arial"/>
        </w:rPr>
        <w:lastRenderedPageBreak/>
        <w:t>TiO</w:t>
      </w:r>
      <w:proofErr w:type="spellEnd"/>
      <w:r w:rsidRPr="00785EE9">
        <w:rPr>
          <w:rFonts w:ascii="Cambria Math" w:hAnsi="Cambria Math" w:cs="Cambria Math"/>
        </w:rPr>
        <w:t>₂</w:t>
      </w:r>
      <w:r w:rsidRPr="00785EE9">
        <w:rPr>
          <w:rFonts w:ascii="Arial" w:hAnsi="Arial" w:cs="Arial"/>
        </w:rPr>
        <w:t xml:space="preserve"> NPs: Titanium Dioxide Nanoparticles. Nanoparticles known for their photocatalytic activity, which can generate ROS under light exposure.</w:t>
      </w:r>
    </w:p>
    <w:p w14:paraId="25001DEC" w14:textId="77777777" w:rsidR="00785EE9" w:rsidRPr="00785EE9" w:rsidRDefault="00785EE9" w:rsidP="00785EE9">
      <w:pPr>
        <w:pStyle w:val="Body"/>
        <w:rPr>
          <w:rFonts w:ascii="Arial" w:hAnsi="Arial" w:cs="Arial"/>
        </w:rPr>
      </w:pPr>
      <w:proofErr w:type="spellStart"/>
      <w:r w:rsidRPr="00785EE9">
        <w:rPr>
          <w:rFonts w:ascii="Arial" w:hAnsi="Arial" w:cs="Arial"/>
        </w:rPr>
        <w:t>ZnO</w:t>
      </w:r>
      <w:proofErr w:type="spellEnd"/>
      <w:r w:rsidRPr="00785EE9">
        <w:rPr>
          <w:rFonts w:ascii="Arial" w:hAnsi="Arial" w:cs="Arial"/>
        </w:rPr>
        <w:t xml:space="preserve"> NPs: Zinc Oxide Nanoparticles. Nanoparticles with both antimicrobial activity and nutritional value as a micronutrient source.</w:t>
      </w:r>
    </w:p>
    <w:p w14:paraId="41880473" w14:textId="77777777" w:rsidR="00790ADA" w:rsidRPr="00FB3A86" w:rsidRDefault="00790ADA" w:rsidP="00441B6F">
      <w:pPr>
        <w:pStyle w:val="Body"/>
        <w:spacing w:after="0"/>
        <w:rPr>
          <w:rFonts w:ascii="Arial" w:hAnsi="Arial" w:cs="Arial"/>
        </w:rPr>
      </w:pPr>
    </w:p>
    <w:p w14:paraId="45FDCEEF" w14:textId="77777777" w:rsidR="00B01FCD" w:rsidRPr="00FB3A86" w:rsidRDefault="00B01FCD" w:rsidP="00441B6F">
      <w:pPr>
        <w:pStyle w:val="Appendix"/>
        <w:spacing w:after="0"/>
        <w:jc w:val="both"/>
        <w:rPr>
          <w:rFonts w:ascii="Arial" w:hAnsi="Arial" w:cs="Arial"/>
          <w:b w:val="0"/>
        </w:rPr>
      </w:pPr>
    </w:p>
    <w:sectPr w:rsidR="00B01FCD" w:rsidRPr="00FB3A86" w:rsidSect="00B27072">
      <w:headerReference w:type="even" r:id="rId48"/>
      <w:headerReference w:type="default" r:id="rId49"/>
      <w:footerReference w:type="even" r:id="rId50"/>
      <w:footerReference w:type="default" r:id="rId51"/>
      <w:headerReference w:type="first" r:id="rId52"/>
      <w:footerReference w:type="first" r:id="rId5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E7281" w14:textId="77777777" w:rsidR="008B2912" w:rsidRDefault="008B2912" w:rsidP="00C37E61">
      <w:r>
        <w:separator/>
      </w:r>
    </w:p>
  </w:endnote>
  <w:endnote w:type="continuationSeparator" w:id="0">
    <w:p w14:paraId="1FBC221A" w14:textId="77777777" w:rsidR="008B2912" w:rsidRDefault="008B291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EA703" w14:textId="77777777" w:rsidR="00A109B7" w:rsidRDefault="00A109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71E17"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6D500" w14:textId="77777777" w:rsidR="00A109B7" w:rsidRDefault="00A109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229E4" w14:textId="77777777" w:rsidR="008B2912" w:rsidRDefault="008B2912" w:rsidP="00C37E61">
      <w:r>
        <w:separator/>
      </w:r>
    </w:p>
  </w:footnote>
  <w:footnote w:type="continuationSeparator" w:id="0">
    <w:p w14:paraId="52D2E1EA" w14:textId="77777777" w:rsidR="008B2912" w:rsidRDefault="008B291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E6CF8" w14:textId="1F642C2B" w:rsidR="00A109B7" w:rsidRDefault="00A109B7">
    <w:pPr>
      <w:pStyle w:val="Header"/>
    </w:pPr>
    <w:r>
      <w:rPr>
        <w:noProof/>
      </w:rPr>
      <w:pict w14:anchorId="2445A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8996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0A057" w14:textId="7AEE41B1" w:rsidR="00A109B7" w:rsidRDefault="00A109B7">
    <w:pPr>
      <w:pStyle w:val="Header"/>
    </w:pPr>
    <w:r>
      <w:rPr>
        <w:noProof/>
      </w:rPr>
      <w:pict w14:anchorId="192D53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8997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6BED6" w14:textId="1109DB46" w:rsidR="00A109B7" w:rsidRDefault="00A109B7">
    <w:pPr>
      <w:pStyle w:val="Header"/>
    </w:pPr>
    <w:r>
      <w:rPr>
        <w:noProof/>
      </w:rPr>
      <w:pict w14:anchorId="13C1E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89968"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0F86"/>
    <w:rsid w:val="001320BF"/>
    <w:rsid w:val="00134F21"/>
    <w:rsid w:val="00141945"/>
    <w:rsid w:val="00163BC4"/>
    <w:rsid w:val="00191062"/>
    <w:rsid w:val="00192B72"/>
    <w:rsid w:val="001A29D8"/>
    <w:rsid w:val="001A5CAA"/>
    <w:rsid w:val="001B0427"/>
    <w:rsid w:val="001D3A51"/>
    <w:rsid w:val="001E0B6B"/>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278C"/>
    <w:rsid w:val="00315186"/>
    <w:rsid w:val="0032597F"/>
    <w:rsid w:val="0033343E"/>
    <w:rsid w:val="00343E0A"/>
    <w:rsid w:val="003512C2"/>
    <w:rsid w:val="00371FB6"/>
    <w:rsid w:val="003763C1"/>
    <w:rsid w:val="00376BBE"/>
    <w:rsid w:val="0039224F"/>
    <w:rsid w:val="003A43A4"/>
    <w:rsid w:val="003A7E18"/>
    <w:rsid w:val="003C103D"/>
    <w:rsid w:val="003C4C86"/>
    <w:rsid w:val="003C6258"/>
    <w:rsid w:val="003E2904"/>
    <w:rsid w:val="003E5501"/>
    <w:rsid w:val="003F761E"/>
    <w:rsid w:val="00401927"/>
    <w:rsid w:val="0041027F"/>
    <w:rsid w:val="00412475"/>
    <w:rsid w:val="00423789"/>
    <w:rsid w:val="00440F43"/>
    <w:rsid w:val="00441B6F"/>
    <w:rsid w:val="00446221"/>
    <w:rsid w:val="00450E62"/>
    <w:rsid w:val="00451DBF"/>
    <w:rsid w:val="004539DB"/>
    <w:rsid w:val="0045747D"/>
    <w:rsid w:val="00471A80"/>
    <w:rsid w:val="004D305E"/>
    <w:rsid w:val="004D4277"/>
    <w:rsid w:val="00502516"/>
    <w:rsid w:val="00505F06"/>
    <w:rsid w:val="00506828"/>
    <w:rsid w:val="0053056E"/>
    <w:rsid w:val="00554FDA"/>
    <w:rsid w:val="005A2A79"/>
    <w:rsid w:val="005C784C"/>
    <w:rsid w:val="005D17F6"/>
    <w:rsid w:val="005E5539"/>
    <w:rsid w:val="00602BF5"/>
    <w:rsid w:val="00617FDD"/>
    <w:rsid w:val="00633614"/>
    <w:rsid w:val="00633F68"/>
    <w:rsid w:val="00636EB2"/>
    <w:rsid w:val="006375B8"/>
    <w:rsid w:val="0066510A"/>
    <w:rsid w:val="00673F9F"/>
    <w:rsid w:val="00676ADF"/>
    <w:rsid w:val="00686953"/>
    <w:rsid w:val="00687DEA"/>
    <w:rsid w:val="00687E67"/>
    <w:rsid w:val="006967F7"/>
    <w:rsid w:val="006A250C"/>
    <w:rsid w:val="006B21D3"/>
    <w:rsid w:val="006B57D0"/>
    <w:rsid w:val="006D30FF"/>
    <w:rsid w:val="006D6940"/>
    <w:rsid w:val="006F11EC"/>
    <w:rsid w:val="0070082C"/>
    <w:rsid w:val="00735AEE"/>
    <w:rsid w:val="007369E6"/>
    <w:rsid w:val="00746E59"/>
    <w:rsid w:val="00754C9A"/>
    <w:rsid w:val="0075599A"/>
    <w:rsid w:val="00761D52"/>
    <w:rsid w:val="0077749E"/>
    <w:rsid w:val="00785EE9"/>
    <w:rsid w:val="00790ADA"/>
    <w:rsid w:val="007B0D69"/>
    <w:rsid w:val="007D2288"/>
    <w:rsid w:val="007D53AA"/>
    <w:rsid w:val="007E088F"/>
    <w:rsid w:val="007F7B32"/>
    <w:rsid w:val="00802CF6"/>
    <w:rsid w:val="00804BC2"/>
    <w:rsid w:val="0081431A"/>
    <w:rsid w:val="0083216F"/>
    <w:rsid w:val="0084071C"/>
    <w:rsid w:val="00860000"/>
    <w:rsid w:val="00863BD3"/>
    <w:rsid w:val="00863CA1"/>
    <w:rsid w:val="008641ED"/>
    <w:rsid w:val="00866D66"/>
    <w:rsid w:val="008671C6"/>
    <w:rsid w:val="00875803"/>
    <w:rsid w:val="008B2912"/>
    <w:rsid w:val="008B459E"/>
    <w:rsid w:val="008C774B"/>
    <w:rsid w:val="008E13AE"/>
    <w:rsid w:val="008E1506"/>
    <w:rsid w:val="008E276F"/>
    <w:rsid w:val="008E710C"/>
    <w:rsid w:val="008F69D6"/>
    <w:rsid w:val="00902823"/>
    <w:rsid w:val="00915CA6"/>
    <w:rsid w:val="00927834"/>
    <w:rsid w:val="009500A6"/>
    <w:rsid w:val="00957C18"/>
    <w:rsid w:val="009628B6"/>
    <w:rsid w:val="009659BA"/>
    <w:rsid w:val="00983040"/>
    <w:rsid w:val="009B3FB9"/>
    <w:rsid w:val="009C19BC"/>
    <w:rsid w:val="009C2465"/>
    <w:rsid w:val="009C3929"/>
    <w:rsid w:val="009D35A0"/>
    <w:rsid w:val="009D7EB7"/>
    <w:rsid w:val="009E048A"/>
    <w:rsid w:val="009E08E9"/>
    <w:rsid w:val="009E3DB9"/>
    <w:rsid w:val="009E6E35"/>
    <w:rsid w:val="009F0EDA"/>
    <w:rsid w:val="00A03B96"/>
    <w:rsid w:val="00A05B19"/>
    <w:rsid w:val="00A109B7"/>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27072"/>
    <w:rsid w:val="00B52583"/>
    <w:rsid w:val="00B52896"/>
    <w:rsid w:val="00B8291F"/>
    <w:rsid w:val="00B95236"/>
    <w:rsid w:val="00B96BD9"/>
    <w:rsid w:val="00BA1B01"/>
    <w:rsid w:val="00BA2641"/>
    <w:rsid w:val="00BB37AA"/>
    <w:rsid w:val="00BC53A0"/>
    <w:rsid w:val="00BE62AD"/>
    <w:rsid w:val="00BF121F"/>
    <w:rsid w:val="00BF1F80"/>
    <w:rsid w:val="00C166EF"/>
    <w:rsid w:val="00C17EB0"/>
    <w:rsid w:val="00C23E1D"/>
    <w:rsid w:val="00C27F5F"/>
    <w:rsid w:val="00C30A0F"/>
    <w:rsid w:val="00C37E61"/>
    <w:rsid w:val="00C70F1B"/>
    <w:rsid w:val="00C71A47"/>
    <w:rsid w:val="00C7464C"/>
    <w:rsid w:val="00C85588"/>
    <w:rsid w:val="00CD6755"/>
    <w:rsid w:val="00CD6856"/>
    <w:rsid w:val="00CE0089"/>
    <w:rsid w:val="00CE793C"/>
    <w:rsid w:val="00CF193C"/>
    <w:rsid w:val="00D173F1"/>
    <w:rsid w:val="00D34E75"/>
    <w:rsid w:val="00D377ED"/>
    <w:rsid w:val="00D74CB0"/>
    <w:rsid w:val="00D8295D"/>
    <w:rsid w:val="00DC2A65"/>
    <w:rsid w:val="00DE15F0"/>
    <w:rsid w:val="00DE5663"/>
    <w:rsid w:val="00DE78AA"/>
    <w:rsid w:val="00E053D0"/>
    <w:rsid w:val="00E15994"/>
    <w:rsid w:val="00E216F3"/>
    <w:rsid w:val="00E3114E"/>
    <w:rsid w:val="00E31A70"/>
    <w:rsid w:val="00E35B02"/>
    <w:rsid w:val="00E66496"/>
    <w:rsid w:val="00E66B35"/>
    <w:rsid w:val="00E66E10"/>
    <w:rsid w:val="00E769F6"/>
    <w:rsid w:val="00E8407C"/>
    <w:rsid w:val="00E84F3C"/>
    <w:rsid w:val="00E95405"/>
    <w:rsid w:val="00EA012C"/>
    <w:rsid w:val="00EC6A55"/>
    <w:rsid w:val="00ED0288"/>
    <w:rsid w:val="00EE52CB"/>
    <w:rsid w:val="00EF581D"/>
    <w:rsid w:val="00EF7FD8"/>
    <w:rsid w:val="00F06F59"/>
    <w:rsid w:val="00F17988"/>
    <w:rsid w:val="00F179F0"/>
    <w:rsid w:val="00F469F0"/>
    <w:rsid w:val="00F53273"/>
    <w:rsid w:val="00F755E4"/>
    <w:rsid w:val="00F77D02"/>
    <w:rsid w:val="00FA1FB7"/>
    <w:rsid w:val="00FB3A86"/>
    <w:rsid w:val="00FC63B2"/>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E3CFC0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179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j.jafr.2023.100709" TargetMode="External"/><Relationship Id="rId26" Type="http://schemas.openxmlformats.org/officeDocument/2006/relationships/hyperlink" Target="https://doi.org/10.1007/s12010-021-03570-y" TargetMode="External"/><Relationship Id="rId39" Type="http://schemas.openxmlformats.org/officeDocument/2006/relationships/hyperlink" Target="https://doi.org/10.56557/upjoz/2024/v45i63950" TargetMode="External"/><Relationship Id="rId21" Type="http://schemas.openxmlformats.org/officeDocument/2006/relationships/hyperlink" Target="https://doi.org/10.3390/agronomy9080451" TargetMode="External"/><Relationship Id="rId34" Type="http://schemas.openxmlformats.org/officeDocument/2006/relationships/hyperlink" Target="https://doi.org/10.1007/s44297-023-00015-8" TargetMode="External"/><Relationship Id="rId42" Type="http://schemas.openxmlformats.org/officeDocument/2006/relationships/hyperlink" Target="https://doi.org/10.24925/turjaf.v10i5.989-1000.5124" TargetMode="External"/><Relationship Id="rId47" Type="http://schemas.openxmlformats.org/officeDocument/2006/relationships/hyperlink" Target="https://doi.org/10.3390/ma17061344"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23/A:1025776018426" TargetMode="External"/><Relationship Id="rId11" Type="http://schemas.openxmlformats.org/officeDocument/2006/relationships/image" Target="media/image4.png"/><Relationship Id="rId24" Type="http://schemas.openxmlformats.org/officeDocument/2006/relationships/hyperlink" Target="https://doi.org/10.3390/agronomy14051012" TargetMode="External"/><Relationship Id="rId32" Type="http://schemas.openxmlformats.org/officeDocument/2006/relationships/hyperlink" Target="https://doi.org/10.20944/preprints202507.1957.v1" TargetMode="External"/><Relationship Id="rId37" Type="http://schemas.openxmlformats.org/officeDocument/2006/relationships/hyperlink" Target="https://doi.org/10.1016/j.enmm.2023.100862" TargetMode="External"/><Relationship Id="rId40" Type="http://schemas.openxmlformats.org/officeDocument/2006/relationships/hyperlink" Target="https://doi.org/10.1016/j.jafr.2025.101298" TargetMode="External"/><Relationship Id="rId45" Type="http://schemas.openxmlformats.org/officeDocument/2006/relationships/hyperlink" Target="https://doi.org/10.17170/kobra-202010131907"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doi.org/10.1111/ppa.13635" TargetMode="External"/><Relationship Id="rId31" Type="http://schemas.openxmlformats.org/officeDocument/2006/relationships/hyperlink" Target="https://doi.org/10.56557/upjoz/2024/v45i214626" TargetMode="External"/><Relationship Id="rId44" Type="http://schemas.openxmlformats.org/officeDocument/2006/relationships/hyperlink" Target="https://doi.org/10.3390/agronomy14020342"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plana.2024.100054" TargetMode="External"/><Relationship Id="rId27" Type="http://schemas.openxmlformats.org/officeDocument/2006/relationships/hyperlink" Target="https://doi.org/10.1007/s11105-023-01403-8" TargetMode="External"/><Relationship Id="rId30" Type="http://schemas.openxmlformats.org/officeDocument/2006/relationships/hyperlink" Target="https://doi.org/10.1007/978-3-030-16534-5_13" TargetMode="External"/><Relationship Id="rId35" Type="http://schemas.openxmlformats.org/officeDocument/2006/relationships/hyperlink" Target="https://doi.org/10.1016/j.jafr.2024.100985" TargetMode="External"/><Relationship Id="rId43" Type="http://schemas.openxmlformats.org/officeDocument/2006/relationships/hyperlink" Target="https://doi.org/10.1016/j.scitotenv.2023.169378"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9734/arrb/2020/v35i730235" TargetMode="External"/><Relationship Id="rId25" Type="http://schemas.openxmlformats.org/officeDocument/2006/relationships/hyperlink" Target="https://doi.org/10.1007/s41207-021-00279-y" TargetMode="External"/><Relationship Id="rId33" Type="http://schemas.openxmlformats.org/officeDocument/2006/relationships/hyperlink" Target="https://doi.org/10.1016/j.jafr.2024.101082" TargetMode="External"/><Relationship Id="rId38" Type="http://schemas.openxmlformats.org/officeDocument/2006/relationships/hyperlink" Target="https://doi.org/10.1016/j.jafr.2025.101195" TargetMode="External"/><Relationship Id="rId46" Type="http://schemas.openxmlformats.org/officeDocument/2006/relationships/hyperlink" Target="https://doi.org/10.3390/agronomy8120285" TargetMode="External"/><Relationship Id="rId20" Type="http://schemas.openxmlformats.org/officeDocument/2006/relationships/hyperlink" Target="https://doi.org/10.54112/bcsrj.v2023i1.395" TargetMode="External"/><Relationship Id="rId41" Type="http://schemas.openxmlformats.org/officeDocument/2006/relationships/hyperlink" Target="https://doi.org/10.9734/ijecc/2024/v14i7424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3390/agronomy15081938" TargetMode="External"/><Relationship Id="rId28" Type="http://schemas.openxmlformats.org/officeDocument/2006/relationships/hyperlink" Target="https://doi.org/10.1186/s41936-025-00459-0" TargetMode="External"/><Relationship Id="rId36" Type="http://schemas.openxmlformats.org/officeDocument/2006/relationships/hyperlink" Target="https://doi.org/10.1289/ehp.7258" TargetMode="External"/><Relationship Id="rId4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355AF-B13D-4C3A-BE11-5D4852CD8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TotalTime>
  <Pages>32</Pages>
  <Words>13488</Words>
  <Characters>76886</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90194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30</cp:revision>
  <cp:lastPrinted>1999-07-06T11:00:00Z</cp:lastPrinted>
  <dcterms:created xsi:type="dcterms:W3CDTF">2025-11-19T09:43:00Z</dcterms:created>
  <dcterms:modified xsi:type="dcterms:W3CDTF">2025-11-20T10:56:00Z</dcterms:modified>
</cp:coreProperties>
</file>