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F4DDC" w14:textId="77777777" w:rsidR="00FC7437" w:rsidRPr="00FC7437" w:rsidRDefault="00FC7437" w:rsidP="00FC7437">
      <w:pPr>
        <w:jc w:val="center"/>
        <w:rPr>
          <w:rFonts w:ascii="Times New Roman" w:hAnsi="Times New Roman" w:cs="Times New Roman"/>
          <w:b/>
          <w:bCs/>
          <w:i/>
          <w:iCs/>
          <w:sz w:val="24"/>
          <w:szCs w:val="24"/>
          <w:u w:val="single"/>
          <w:lang w:val="en-US"/>
        </w:rPr>
      </w:pPr>
      <w:r w:rsidRPr="00FC7437">
        <w:rPr>
          <w:rFonts w:ascii="Times New Roman" w:hAnsi="Times New Roman" w:cs="Times New Roman"/>
          <w:b/>
          <w:bCs/>
          <w:i/>
          <w:iCs/>
          <w:sz w:val="24"/>
          <w:szCs w:val="24"/>
          <w:u w:val="single"/>
          <w:lang w:val="en-US"/>
        </w:rPr>
        <w:t>Review Article</w:t>
      </w:r>
    </w:p>
    <w:p w14:paraId="5D165DAE" w14:textId="30C6E5E8" w:rsidR="00E80F03" w:rsidRDefault="00454060" w:rsidP="00E80F03">
      <w:pPr>
        <w:jc w:val="center"/>
        <w:rPr>
          <w:rFonts w:ascii="Times New Roman" w:hAnsi="Times New Roman" w:cs="Times New Roman"/>
          <w:b/>
          <w:bCs/>
          <w:sz w:val="24"/>
          <w:szCs w:val="24"/>
        </w:rPr>
      </w:pPr>
      <w:r>
        <w:rPr>
          <w:rFonts w:ascii="Times New Roman" w:hAnsi="Times New Roman" w:cs="Times New Roman"/>
          <w:b/>
          <w:bCs/>
          <w:sz w:val="24"/>
          <w:szCs w:val="24"/>
        </w:rPr>
        <w:t>D</w:t>
      </w:r>
      <w:r w:rsidR="002377EC">
        <w:rPr>
          <w:rFonts w:ascii="Times New Roman" w:hAnsi="Times New Roman" w:cs="Times New Roman"/>
          <w:b/>
          <w:bCs/>
          <w:sz w:val="24"/>
          <w:szCs w:val="24"/>
        </w:rPr>
        <w:t xml:space="preserve">ynamics </w:t>
      </w:r>
      <w:r w:rsidR="00E80F03" w:rsidRPr="00E80F03">
        <w:rPr>
          <w:rFonts w:ascii="Times New Roman" w:hAnsi="Times New Roman" w:cs="Times New Roman"/>
          <w:b/>
          <w:bCs/>
          <w:sz w:val="24"/>
          <w:szCs w:val="24"/>
        </w:rPr>
        <w:t xml:space="preserve">of </w:t>
      </w:r>
      <w:proofErr w:type="spellStart"/>
      <w:r w:rsidR="00E80F03" w:rsidRPr="00E80F03">
        <w:rPr>
          <w:rFonts w:ascii="Times New Roman" w:hAnsi="Times New Roman" w:cs="Times New Roman"/>
          <w:b/>
          <w:bCs/>
          <w:i/>
          <w:iCs/>
          <w:sz w:val="24"/>
          <w:szCs w:val="24"/>
        </w:rPr>
        <w:t>Ralstonia</w:t>
      </w:r>
      <w:proofErr w:type="spellEnd"/>
      <w:r w:rsidR="00E80F03" w:rsidRPr="00E80F03">
        <w:rPr>
          <w:rFonts w:ascii="Times New Roman" w:hAnsi="Times New Roman" w:cs="Times New Roman"/>
          <w:b/>
          <w:bCs/>
          <w:i/>
          <w:iCs/>
          <w:sz w:val="24"/>
          <w:szCs w:val="24"/>
        </w:rPr>
        <w:t xml:space="preserve"> solanacearum</w:t>
      </w:r>
      <w:r w:rsidR="00E80F03" w:rsidRPr="00E80F03">
        <w:rPr>
          <w:rFonts w:ascii="Times New Roman" w:hAnsi="Times New Roman" w:cs="Times New Roman"/>
          <w:b/>
          <w:bCs/>
          <w:sz w:val="24"/>
          <w:szCs w:val="24"/>
        </w:rPr>
        <w:t xml:space="preserve"> </w:t>
      </w:r>
      <w:r w:rsidR="00E80F03">
        <w:rPr>
          <w:rFonts w:ascii="Times New Roman" w:hAnsi="Times New Roman" w:cs="Times New Roman"/>
          <w:b/>
          <w:bCs/>
          <w:sz w:val="24"/>
          <w:szCs w:val="24"/>
        </w:rPr>
        <w:t>s</w:t>
      </w:r>
      <w:r w:rsidR="00E80F03" w:rsidRPr="00E80F03">
        <w:rPr>
          <w:rFonts w:ascii="Times New Roman" w:hAnsi="Times New Roman" w:cs="Times New Roman"/>
          <w:b/>
          <w:bCs/>
          <w:sz w:val="24"/>
          <w:szCs w:val="24"/>
        </w:rPr>
        <w:t xml:space="preserve">pecies </w:t>
      </w:r>
      <w:r w:rsidR="00E80F03">
        <w:rPr>
          <w:rFonts w:ascii="Times New Roman" w:hAnsi="Times New Roman" w:cs="Times New Roman"/>
          <w:b/>
          <w:bCs/>
          <w:sz w:val="24"/>
          <w:szCs w:val="24"/>
        </w:rPr>
        <w:t>c</w:t>
      </w:r>
      <w:r w:rsidR="00E80F03" w:rsidRPr="00E80F03">
        <w:rPr>
          <w:rFonts w:ascii="Times New Roman" w:hAnsi="Times New Roman" w:cs="Times New Roman"/>
          <w:b/>
          <w:bCs/>
          <w:sz w:val="24"/>
          <w:szCs w:val="24"/>
        </w:rPr>
        <w:t xml:space="preserve">omplex </w:t>
      </w:r>
      <w:r>
        <w:rPr>
          <w:rFonts w:ascii="Times New Roman" w:hAnsi="Times New Roman" w:cs="Times New Roman"/>
          <w:b/>
          <w:bCs/>
          <w:sz w:val="24"/>
          <w:szCs w:val="24"/>
        </w:rPr>
        <w:t xml:space="preserve">as influenced by soil </w:t>
      </w:r>
      <w:r w:rsidR="008413F2">
        <w:rPr>
          <w:rFonts w:ascii="Times New Roman" w:hAnsi="Times New Roman" w:cs="Times New Roman"/>
          <w:b/>
          <w:bCs/>
          <w:sz w:val="24"/>
          <w:szCs w:val="24"/>
        </w:rPr>
        <w:t>ecology</w:t>
      </w:r>
    </w:p>
    <w:p w14:paraId="5B561C3C" w14:textId="77777777" w:rsidR="00B46A42" w:rsidRDefault="00B46A42" w:rsidP="007952CB">
      <w:pPr>
        <w:jc w:val="both"/>
        <w:rPr>
          <w:rFonts w:ascii="Times New Roman" w:hAnsi="Times New Roman" w:cs="Times New Roman"/>
        </w:rPr>
      </w:pPr>
    </w:p>
    <w:p w14:paraId="7A72DE01" w14:textId="77777777" w:rsidR="003443CD" w:rsidRPr="00F108DC" w:rsidRDefault="003443CD" w:rsidP="007952CB">
      <w:pPr>
        <w:jc w:val="both"/>
        <w:rPr>
          <w:rFonts w:ascii="Times New Roman" w:hAnsi="Times New Roman" w:cs="Times New Roman"/>
          <w:sz w:val="20"/>
          <w:szCs w:val="20"/>
        </w:rPr>
      </w:pPr>
    </w:p>
    <w:p w14:paraId="3B1B28F4" w14:textId="77777777" w:rsidR="00B73FD2" w:rsidRDefault="004B7180" w:rsidP="00B73FD2">
      <w:pPr>
        <w:rPr>
          <w:rFonts w:ascii="Times New Roman" w:hAnsi="Times New Roman" w:cs="Times New Roman"/>
          <w:b/>
          <w:bCs/>
          <w:sz w:val="20"/>
          <w:szCs w:val="20"/>
        </w:rPr>
      </w:pPr>
      <w:r w:rsidRPr="00401CAC">
        <w:rPr>
          <w:rFonts w:ascii="Times New Roman" w:hAnsi="Times New Roman" w:cs="Times New Roman"/>
          <w:b/>
          <w:bCs/>
          <w:sz w:val="20"/>
          <w:szCs w:val="20"/>
        </w:rPr>
        <w:t>Abstract</w:t>
      </w:r>
    </w:p>
    <w:p w14:paraId="6A49C770" w14:textId="1EDD3AC8" w:rsidR="00811B15" w:rsidRPr="00811B15" w:rsidRDefault="00811B15" w:rsidP="00EC6D70">
      <w:pPr>
        <w:ind w:firstLine="720"/>
        <w:jc w:val="both"/>
        <w:rPr>
          <w:rFonts w:ascii="Times New Roman" w:hAnsi="Times New Roman" w:cs="Times New Roman"/>
          <w:b/>
          <w:bCs/>
          <w:sz w:val="20"/>
          <w:szCs w:val="20"/>
        </w:rPr>
      </w:pPr>
      <w:r w:rsidRPr="00811B15">
        <w:rPr>
          <w:rFonts w:ascii="Times New Roman" w:hAnsi="Times New Roman" w:cs="Times New Roman"/>
          <w:sz w:val="20"/>
          <w:szCs w:val="20"/>
        </w:rPr>
        <w:t xml:space="preserve">Bacterial wilt, caused by the </w:t>
      </w:r>
      <w:proofErr w:type="spellStart"/>
      <w:r w:rsidRPr="00811B15">
        <w:rPr>
          <w:rFonts w:ascii="Times New Roman" w:hAnsi="Times New Roman" w:cs="Times New Roman"/>
          <w:i/>
          <w:iCs/>
          <w:sz w:val="20"/>
          <w:szCs w:val="20"/>
        </w:rPr>
        <w:t>Ralstonia</w:t>
      </w:r>
      <w:proofErr w:type="spellEnd"/>
      <w:r w:rsidRPr="00811B15">
        <w:rPr>
          <w:rFonts w:ascii="Times New Roman" w:hAnsi="Times New Roman" w:cs="Times New Roman"/>
          <w:i/>
          <w:iCs/>
          <w:sz w:val="20"/>
          <w:szCs w:val="20"/>
        </w:rPr>
        <w:t xml:space="preserve"> solanacearum</w:t>
      </w:r>
      <w:r w:rsidRPr="00811B15">
        <w:rPr>
          <w:rFonts w:ascii="Times New Roman" w:hAnsi="Times New Roman" w:cs="Times New Roman"/>
          <w:sz w:val="20"/>
          <w:szCs w:val="20"/>
        </w:rPr>
        <w:t xml:space="preserve"> species complex (RSSC), is one of the most destructive plant diseases worldwide, particularly in vegetable crops. The remarkable variability of RSSC—spanning genetic, ecological, and functional diversity</w:t>
      </w:r>
      <w:r w:rsidR="00366A2F">
        <w:rPr>
          <w:rFonts w:ascii="Times New Roman" w:hAnsi="Times New Roman" w:cs="Times New Roman"/>
          <w:sz w:val="20"/>
          <w:szCs w:val="20"/>
        </w:rPr>
        <w:t>-</w:t>
      </w:r>
      <w:r w:rsidRPr="00811B15">
        <w:rPr>
          <w:rFonts w:ascii="Times New Roman" w:hAnsi="Times New Roman" w:cs="Times New Roman"/>
          <w:sz w:val="20"/>
          <w:szCs w:val="20"/>
        </w:rPr>
        <w:t xml:space="preserve">complicates disease management and sustainable </w:t>
      </w:r>
      <w:r w:rsidR="003E51E3">
        <w:rPr>
          <w:rFonts w:ascii="Times New Roman" w:hAnsi="Times New Roman" w:cs="Times New Roman"/>
          <w:sz w:val="20"/>
          <w:szCs w:val="20"/>
        </w:rPr>
        <w:t xml:space="preserve">crop </w:t>
      </w:r>
      <w:r w:rsidRPr="00811B15">
        <w:rPr>
          <w:rFonts w:ascii="Times New Roman" w:hAnsi="Times New Roman" w:cs="Times New Roman"/>
          <w:sz w:val="20"/>
          <w:szCs w:val="20"/>
        </w:rPr>
        <w:t>production. Among the many determinants of this variability, soil properties play a decisive role by shaping pathogen survival, persistence, and virulence. Soil pH, organic matter content, moisture, and texture directly influence population dynamics, while the indigenous microbiome and antagonistic interactions act as biotic filters that suppress or facilitate infection. Environmental factors such as temperature and moisture further regulate the pathogen’s ability to enter dormant states (e.g., viable but non-culturable) and disperse through water or alternative hosts. Recent evidence shows that acidic, clay-rich soils often enhance long-term survival, whereas alkaline soils can restrict infection. Understanding these soil–pathogen interactions is essential for developing targeted interventions. Soil-based management strategies</w:t>
      </w:r>
      <w:r w:rsidR="00B97642">
        <w:rPr>
          <w:rFonts w:ascii="Times New Roman" w:hAnsi="Times New Roman" w:cs="Times New Roman"/>
          <w:sz w:val="20"/>
          <w:szCs w:val="20"/>
        </w:rPr>
        <w:t xml:space="preserve">, including pH adjustment, organic amendments, anaerobic soil disinfestation, microbiome engineering, crop rotation, and host resistance breeding, </w:t>
      </w:r>
      <w:r w:rsidRPr="00811B15">
        <w:rPr>
          <w:rFonts w:ascii="Times New Roman" w:hAnsi="Times New Roman" w:cs="Times New Roman"/>
          <w:sz w:val="20"/>
          <w:szCs w:val="20"/>
        </w:rPr>
        <w:t xml:space="preserve">offer promising avenues for integrated </w:t>
      </w:r>
      <w:r w:rsidR="00127C72">
        <w:rPr>
          <w:rFonts w:ascii="Times New Roman" w:hAnsi="Times New Roman" w:cs="Times New Roman"/>
          <w:sz w:val="20"/>
          <w:szCs w:val="20"/>
        </w:rPr>
        <w:t>control of bacterial wilt</w:t>
      </w:r>
      <w:r w:rsidRPr="00811B15">
        <w:rPr>
          <w:rFonts w:ascii="Times New Roman" w:hAnsi="Times New Roman" w:cs="Times New Roman"/>
          <w:sz w:val="20"/>
          <w:szCs w:val="20"/>
        </w:rPr>
        <w:t xml:space="preserve">. By focusing on the interplay between soil ecology and pathogen variability, this review highlights new opportunities for sustainable, </w:t>
      </w:r>
      <w:r w:rsidR="00163C51">
        <w:rPr>
          <w:rFonts w:ascii="Times New Roman" w:hAnsi="Times New Roman" w:cs="Times New Roman"/>
          <w:sz w:val="20"/>
          <w:szCs w:val="20"/>
        </w:rPr>
        <w:t>soil-centred</w:t>
      </w:r>
      <w:r w:rsidRPr="00811B15">
        <w:rPr>
          <w:rFonts w:ascii="Times New Roman" w:hAnsi="Times New Roman" w:cs="Times New Roman"/>
          <w:sz w:val="20"/>
          <w:szCs w:val="20"/>
        </w:rPr>
        <w:t xml:space="preserve"> management of bacterial wilt in diverse agroecosystems.</w:t>
      </w:r>
    </w:p>
    <w:p w14:paraId="2688F4AD" w14:textId="14A16E3E" w:rsidR="004B7180" w:rsidRPr="00401CAC" w:rsidRDefault="004B7180" w:rsidP="004B7180">
      <w:pPr>
        <w:rPr>
          <w:rFonts w:ascii="Times New Roman" w:hAnsi="Times New Roman" w:cs="Times New Roman"/>
          <w:b/>
          <w:bCs/>
          <w:sz w:val="20"/>
          <w:szCs w:val="20"/>
        </w:rPr>
      </w:pPr>
      <w:r w:rsidRPr="00401CAC">
        <w:rPr>
          <w:rFonts w:ascii="Times New Roman" w:hAnsi="Times New Roman" w:cs="Times New Roman"/>
          <w:b/>
          <w:bCs/>
          <w:sz w:val="20"/>
          <w:szCs w:val="20"/>
        </w:rPr>
        <w:t xml:space="preserve">Key words </w:t>
      </w:r>
    </w:p>
    <w:p w14:paraId="31E8CA11" w14:textId="5EC2CB7A" w:rsidR="004B7180" w:rsidRPr="00401CAC" w:rsidRDefault="004B7180" w:rsidP="004B7180">
      <w:pPr>
        <w:rPr>
          <w:rFonts w:ascii="Times New Roman" w:hAnsi="Times New Roman" w:cs="Times New Roman"/>
          <w:sz w:val="20"/>
          <w:szCs w:val="20"/>
        </w:rPr>
      </w:pPr>
      <w:proofErr w:type="spellStart"/>
      <w:r w:rsidRPr="00401CAC">
        <w:rPr>
          <w:rFonts w:ascii="Times New Roman" w:hAnsi="Times New Roman" w:cs="Times New Roman"/>
          <w:i/>
          <w:iCs/>
          <w:sz w:val="20"/>
          <w:szCs w:val="20"/>
        </w:rPr>
        <w:t>Ralstonia</w:t>
      </w:r>
      <w:proofErr w:type="spellEnd"/>
      <w:r w:rsidRPr="00401CAC">
        <w:rPr>
          <w:rFonts w:ascii="Times New Roman" w:hAnsi="Times New Roman" w:cs="Times New Roman"/>
          <w:i/>
          <w:iCs/>
          <w:sz w:val="20"/>
          <w:szCs w:val="20"/>
        </w:rPr>
        <w:t xml:space="preserve"> solanacearum </w:t>
      </w:r>
      <w:r w:rsidRPr="00401CAC">
        <w:rPr>
          <w:rFonts w:ascii="Times New Roman" w:hAnsi="Times New Roman" w:cs="Times New Roman"/>
          <w:sz w:val="20"/>
          <w:szCs w:val="20"/>
        </w:rPr>
        <w:t>species complex; bacterial wilt; soil properties; pathogen variability; rhizosphere interactions; soil-borne pathogens</w:t>
      </w:r>
    </w:p>
    <w:p w14:paraId="0AFEFF77" w14:textId="19100FF1" w:rsidR="006D496D" w:rsidRPr="00BC0F74" w:rsidRDefault="006D496D" w:rsidP="00BC0F74">
      <w:pPr>
        <w:rPr>
          <w:rFonts w:ascii="Times New Roman" w:hAnsi="Times New Roman" w:cs="Times New Roman"/>
          <w:b/>
          <w:bCs/>
          <w:sz w:val="20"/>
          <w:szCs w:val="20"/>
        </w:rPr>
      </w:pPr>
      <w:r w:rsidRPr="00BC0F74">
        <w:rPr>
          <w:rFonts w:ascii="Times New Roman" w:hAnsi="Times New Roman" w:cs="Times New Roman"/>
          <w:b/>
          <w:bCs/>
          <w:sz w:val="20"/>
          <w:szCs w:val="20"/>
        </w:rPr>
        <w:t>Introduction</w:t>
      </w:r>
    </w:p>
    <w:p w14:paraId="7FBDBEF9" w14:textId="3B652D9E" w:rsidR="00C80BFF" w:rsidRPr="00401CAC" w:rsidRDefault="00000CD2" w:rsidP="00AB74CF">
      <w:pPr>
        <w:ind w:firstLine="720"/>
        <w:jc w:val="both"/>
        <w:rPr>
          <w:rFonts w:ascii="Times New Roman" w:hAnsi="Times New Roman" w:cs="Times New Roman"/>
          <w:sz w:val="20"/>
          <w:szCs w:val="20"/>
        </w:rPr>
      </w:pPr>
      <w:r w:rsidRPr="00401CAC">
        <w:rPr>
          <w:rFonts w:ascii="Times New Roman" w:hAnsi="Times New Roman" w:cs="Times New Roman"/>
          <w:sz w:val="20"/>
          <w:szCs w:val="20"/>
        </w:rPr>
        <w:t>Agriculture constitutes a fundamental component of the Indian economy. According to the 2011</w:t>
      </w:r>
      <w:r w:rsidR="00647D61" w:rsidRPr="00401CAC">
        <w:rPr>
          <w:rFonts w:ascii="Times New Roman" w:hAnsi="Times New Roman" w:cs="Times New Roman"/>
          <w:sz w:val="20"/>
          <w:szCs w:val="20"/>
        </w:rPr>
        <w:t xml:space="preserve"> Census</w:t>
      </w:r>
      <w:r w:rsidRPr="00401CAC">
        <w:rPr>
          <w:rFonts w:ascii="Times New Roman" w:hAnsi="Times New Roman" w:cs="Times New Roman"/>
          <w:sz w:val="20"/>
          <w:szCs w:val="20"/>
        </w:rPr>
        <w:t>, 54.6% of the total labour force is engaged in agricultural and allied sector activities, which contribute 18.4% of India's Gross Value Added at current prices for the financial year 2022-23 </w:t>
      </w:r>
      <w:r w:rsidR="00095DC5" w:rsidRPr="00401CAC">
        <w:rPr>
          <w:rFonts w:ascii="Times New Roman" w:hAnsi="Times New Roman" w:cs="Times New Roman"/>
          <w:sz w:val="20"/>
          <w:szCs w:val="20"/>
        </w:rPr>
        <w:t>(</w:t>
      </w:r>
      <w:r w:rsidR="008F10CE" w:rsidRPr="0059597C">
        <w:rPr>
          <w:rFonts w:ascii="Times New Roman" w:eastAsia="Times New Roman" w:hAnsi="Times New Roman" w:cs="Times New Roman"/>
          <w:sz w:val="20"/>
          <w:szCs w:val="20"/>
          <w:lang w:eastAsia="en-IN"/>
        </w:rPr>
        <w:t>Ministry of Agriculture and Farmers Welfare</w:t>
      </w:r>
      <w:r w:rsidR="000B45E9">
        <w:rPr>
          <w:rFonts w:ascii="Times New Roman" w:eastAsia="Times New Roman" w:hAnsi="Times New Roman" w:cs="Times New Roman"/>
          <w:sz w:val="20"/>
          <w:szCs w:val="20"/>
          <w:lang w:eastAsia="en-IN"/>
        </w:rPr>
        <w:t>,</w:t>
      </w:r>
      <w:r w:rsidR="008F10CE">
        <w:rPr>
          <w:rFonts w:ascii="Times New Roman" w:eastAsia="Times New Roman" w:hAnsi="Times New Roman" w:cs="Times New Roman"/>
          <w:sz w:val="20"/>
          <w:szCs w:val="20"/>
          <w:lang w:eastAsia="en-IN"/>
        </w:rPr>
        <w:t xml:space="preserve"> </w:t>
      </w:r>
      <w:r w:rsidR="008F10CE" w:rsidRPr="0059597C">
        <w:rPr>
          <w:rFonts w:ascii="Times New Roman" w:eastAsia="Times New Roman" w:hAnsi="Times New Roman" w:cs="Times New Roman"/>
          <w:sz w:val="20"/>
          <w:szCs w:val="20"/>
          <w:lang w:eastAsia="en-IN"/>
        </w:rPr>
        <w:t>2024</w:t>
      </w:r>
      <w:r w:rsidR="00095DC5" w:rsidRPr="00401CAC">
        <w:rPr>
          <w:rFonts w:ascii="Times New Roman" w:hAnsi="Times New Roman" w:cs="Times New Roman"/>
          <w:sz w:val="20"/>
          <w:szCs w:val="20"/>
        </w:rPr>
        <w:t xml:space="preserve">). </w:t>
      </w:r>
      <w:r w:rsidR="00CB1FDB" w:rsidRPr="00401CAC">
        <w:rPr>
          <w:rFonts w:ascii="Times New Roman" w:hAnsi="Times New Roman" w:cs="Times New Roman"/>
          <w:sz w:val="20"/>
          <w:szCs w:val="20"/>
        </w:rPr>
        <w:t xml:space="preserve">Vegetables represent an </w:t>
      </w:r>
      <w:r w:rsidR="00647D61" w:rsidRPr="00401CAC">
        <w:rPr>
          <w:rFonts w:ascii="Times New Roman" w:hAnsi="Times New Roman" w:cs="Times New Roman"/>
          <w:sz w:val="20"/>
          <w:szCs w:val="20"/>
        </w:rPr>
        <w:t xml:space="preserve">essential </w:t>
      </w:r>
      <w:r w:rsidR="00CB1FDB" w:rsidRPr="00401CAC">
        <w:rPr>
          <w:rFonts w:ascii="Times New Roman" w:hAnsi="Times New Roman" w:cs="Times New Roman"/>
          <w:sz w:val="20"/>
          <w:szCs w:val="20"/>
        </w:rPr>
        <w:t>element within the Indian culinary framework and are vital to ensure food security</w:t>
      </w:r>
      <w:r w:rsidR="00647D61" w:rsidRPr="00401CAC">
        <w:rPr>
          <w:rFonts w:ascii="Times New Roman" w:hAnsi="Times New Roman" w:cs="Times New Roman"/>
          <w:sz w:val="20"/>
          <w:szCs w:val="20"/>
        </w:rPr>
        <w:t xml:space="preserve">, </w:t>
      </w:r>
      <w:r w:rsidR="0043766E" w:rsidRPr="00401CAC">
        <w:rPr>
          <w:rFonts w:ascii="Times New Roman" w:hAnsi="Times New Roman" w:cs="Times New Roman"/>
          <w:sz w:val="20"/>
          <w:szCs w:val="20"/>
        </w:rPr>
        <w:t>fulfil</w:t>
      </w:r>
      <w:r w:rsidR="00647D61" w:rsidRPr="00401CAC">
        <w:rPr>
          <w:rFonts w:ascii="Times New Roman" w:hAnsi="Times New Roman" w:cs="Times New Roman"/>
          <w:sz w:val="20"/>
          <w:szCs w:val="20"/>
        </w:rPr>
        <w:t>ling</w:t>
      </w:r>
      <w:r w:rsidR="0043766E" w:rsidRPr="00401CAC">
        <w:rPr>
          <w:rFonts w:ascii="Times New Roman" w:hAnsi="Times New Roman" w:cs="Times New Roman"/>
          <w:sz w:val="20"/>
          <w:szCs w:val="20"/>
        </w:rPr>
        <w:t xml:space="preserve"> </w:t>
      </w:r>
      <w:r w:rsidR="00CB1FDB" w:rsidRPr="00401CAC">
        <w:rPr>
          <w:rFonts w:ascii="Times New Roman" w:hAnsi="Times New Roman" w:cs="Times New Roman"/>
          <w:sz w:val="20"/>
          <w:szCs w:val="20"/>
        </w:rPr>
        <w:t xml:space="preserve">the nutritional requirements of the nation’s growing population. On a global scale, India ranks as the second largest producer of vegetables, achieving a significant output of 212.91 million tonnes in the period 2022–23 </w:t>
      </w:r>
      <w:r w:rsidR="00E11A37" w:rsidRPr="00401CAC">
        <w:rPr>
          <w:rFonts w:ascii="Times New Roman" w:hAnsi="Times New Roman" w:cs="Times New Roman"/>
          <w:sz w:val="20"/>
          <w:szCs w:val="20"/>
        </w:rPr>
        <w:t>(</w:t>
      </w:r>
      <w:r w:rsidR="0072432F">
        <w:rPr>
          <w:rFonts w:ascii="Times New Roman" w:hAnsi="Times New Roman" w:cs="Times New Roman"/>
          <w:sz w:val="20"/>
          <w:szCs w:val="20"/>
        </w:rPr>
        <w:t>APEDA</w:t>
      </w:r>
      <w:r w:rsidR="000B45E9">
        <w:rPr>
          <w:rFonts w:ascii="Times New Roman" w:hAnsi="Times New Roman" w:cs="Times New Roman"/>
          <w:sz w:val="20"/>
          <w:szCs w:val="20"/>
        </w:rPr>
        <w:t>,</w:t>
      </w:r>
      <w:r w:rsidR="000C1E5C">
        <w:rPr>
          <w:rFonts w:ascii="Times New Roman" w:hAnsi="Times New Roman" w:cs="Times New Roman"/>
          <w:sz w:val="20"/>
          <w:szCs w:val="20"/>
        </w:rPr>
        <w:t xml:space="preserve"> 2023</w:t>
      </w:r>
      <w:r w:rsidR="00351CC2">
        <w:rPr>
          <w:rFonts w:ascii="Times New Roman" w:hAnsi="Times New Roman" w:cs="Times New Roman"/>
          <w:sz w:val="20"/>
          <w:szCs w:val="20"/>
        </w:rPr>
        <w:t xml:space="preserve"> </w:t>
      </w:r>
      <w:r w:rsidR="000B45E9">
        <w:rPr>
          <w:rFonts w:ascii="Times New Roman" w:hAnsi="Times New Roman" w:cs="Times New Roman"/>
          <w:sz w:val="20"/>
          <w:szCs w:val="20"/>
        </w:rPr>
        <w:t xml:space="preserve">&amp; </w:t>
      </w:r>
      <w:r w:rsidR="00E11A37" w:rsidRPr="00401CAC">
        <w:rPr>
          <w:rFonts w:ascii="Times New Roman" w:hAnsi="Times New Roman" w:cs="Times New Roman"/>
          <w:sz w:val="20"/>
          <w:szCs w:val="20"/>
        </w:rPr>
        <w:t xml:space="preserve">Kumara </w:t>
      </w:r>
      <w:r w:rsidR="00E11A37" w:rsidRPr="003B0C8F">
        <w:rPr>
          <w:rFonts w:ascii="Times New Roman" w:hAnsi="Times New Roman" w:cs="Times New Roman"/>
          <w:i/>
          <w:iCs/>
          <w:sz w:val="20"/>
          <w:szCs w:val="20"/>
        </w:rPr>
        <w:t>et a</w:t>
      </w:r>
      <w:r w:rsidR="000B0041" w:rsidRPr="003B0C8F">
        <w:rPr>
          <w:rFonts w:ascii="Times New Roman" w:hAnsi="Times New Roman" w:cs="Times New Roman"/>
          <w:i/>
          <w:iCs/>
          <w:sz w:val="20"/>
          <w:szCs w:val="20"/>
        </w:rPr>
        <w:t>l.</w:t>
      </w:r>
      <w:r w:rsidR="000B45E9" w:rsidRPr="003B0C8F">
        <w:rPr>
          <w:rFonts w:ascii="Times New Roman" w:hAnsi="Times New Roman" w:cs="Times New Roman"/>
          <w:i/>
          <w:iCs/>
          <w:sz w:val="20"/>
          <w:szCs w:val="20"/>
        </w:rPr>
        <w:t>,</w:t>
      </w:r>
      <w:r w:rsidR="00E11A37" w:rsidRPr="00401CAC">
        <w:rPr>
          <w:rFonts w:ascii="Times New Roman" w:hAnsi="Times New Roman" w:cs="Times New Roman"/>
          <w:sz w:val="20"/>
          <w:szCs w:val="20"/>
        </w:rPr>
        <w:t xml:space="preserve"> 2025).</w:t>
      </w:r>
      <w:r w:rsidR="000F44C2" w:rsidRPr="00401CAC">
        <w:rPr>
          <w:rFonts w:ascii="Times New Roman" w:hAnsi="Times New Roman" w:cs="Times New Roman"/>
          <w:sz w:val="20"/>
          <w:szCs w:val="20"/>
        </w:rPr>
        <w:t xml:space="preserve"> </w:t>
      </w:r>
      <w:r w:rsidR="00477780" w:rsidRPr="00401CAC">
        <w:rPr>
          <w:rFonts w:ascii="Times New Roman" w:hAnsi="Times New Roman" w:cs="Times New Roman"/>
          <w:sz w:val="20"/>
          <w:szCs w:val="20"/>
        </w:rPr>
        <w:t xml:space="preserve">Alongside, vegetable production in India faces </w:t>
      </w:r>
      <w:r w:rsidR="00647D61" w:rsidRPr="00401CAC">
        <w:rPr>
          <w:rFonts w:ascii="Times New Roman" w:hAnsi="Times New Roman" w:cs="Times New Roman"/>
          <w:sz w:val="20"/>
          <w:szCs w:val="20"/>
        </w:rPr>
        <w:t xml:space="preserve">numerous </w:t>
      </w:r>
      <w:r w:rsidR="00477780" w:rsidRPr="00401CAC">
        <w:rPr>
          <w:rFonts w:ascii="Times New Roman" w:hAnsi="Times New Roman" w:cs="Times New Roman"/>
          <w:sz w:val="20"/>
          <w:szCs w:val="20"/>
        </w:rPr>
        <w:t>challenges, including inconsistent weather patterns, soil deterioration, water scarcity, inadequate infrastructure, and pest and disease outbreaks. Among these, l</w:t>
      </w:r>
      <w:r w:rsidR="006A4C7B" w:rsidRPr="00401CAC">
        <w:rPr>
          <w:rFonts w:ascii="Times New Roman" w:hAnsi="Times New Roman" w:cs="Times New Roman"/>
          <w:sz w:val="20"/>
          <w:szCs w:val="20"/>
        </w:rPr>
        <w:t>osses due to p</w:t>
      </w:r>
      <w:r w:rsidR="000B2BA2" w:rsidRPr="00401CAC">
        <w:rPr>
          <w:rFonts w:ascii="Times New Roman" w:hAnsi="Times New Roman" w:cs="Times New Roman"/>
          <w:sz w:val="20"/>
          <w:szCs w:val="20"/>
        </w:rPr>
        <w:t xml:space="preserve">lant diseases </w:t>
      </w:r>
      <w:r w:rsidR="006A4C7B" w:rsidRPr="00401CAC">
        <w:rPr>
          <w:rFonts w:ascii="Times New Roman" w:hAnsi="Times New Roman" w:cs="Times New Roman"/>
          <w:sz w:val="20"/>
          <w:szCs w:val="20"/>
        </w:rPr>
        <w:t xml:space="preserve">are </w:t>
      </w:r>
      <w:r w:rsidR="000B2BA2" w:rsidRPr="00401CAC">
        <w:rPr>
          <w:rFonts w:ascii="Times New Roman" w:hAnsi="Times New Roman" w:cs="Times New Roman"/>
          <w:sz w:val="20"/>
          <w:szCs w:val="20"/>
        </w:rPr>
        <w:t xml:space="preserve">one of the major </w:t>
      </w:r>
      <w:r w:rsidR="00477780" w:rsidRPr="00401CAC">
        <w:rPr>
          <w:rFonts w:ascii="Times New Roman" w:hAnsi="Times New Roman" w:cs="Times New Roman"/>
          <w:sz w:val="20"/>
          <w:szCs w:val="20"/>
        </w:rPr>
        <w:t xml:space="preserve">challenges faced by </w:t>
      </w:r>
      <w:r w:rsidR="000B2BA2" w:rsidRPr="00401CAC">
        <w:rPr>
          <w:rFonts w:ascii="Times New Roman" w:hAnsi="Times New Roman" w:cs="Times New Roman"/>
          <w:sz w:val="20"/>
          <w:szCs w:val="20"/>
        </w:rPr>
        <w:t>the production and marketing sectors.</w:t>
      </w:r>
    </w:p>
    <w:p w14:paraId="42AEFBE6" w14:textId="04016541" w:rsidR="00B16A89" w:rsidRPr="00401CAC" w:rsidRDefault="00C80BFF" w:rsidP="00C9037A">
      <w:pPr>
        <w:ind w:firstLine="720"/>
        <w:jc w:val="both"/>
        <w:rPr>
          <w:rFonts w:ascii="Times New Roman" w:hAnsi="Times New Roman" w:cs="Times New Roman"/>
          <w:sz w:val="20"/>
          <w:szCs w:val="20"/>
        </w:rPr>
      </w:pPr>
      <w:r w:rsidRPr="00401CAC">
        <w:rPr>
          <w:rFonts w:ascii="Times New Roman" w:hAnsi="Times New Roman" w:cs="Times New Roman"/>
          <w:sz w:val="20"/>
          <w:szCs w:val="20"/>
        </w:rPr>
        <w:t xml:space="preserve">Bacterial wilt caused by </w:t>
      </w:r>
      <w:proofErr w:type="spellStart"/>
      <w:r w:rsidRPr="00401CAC">
        <w:rPr>
          <w:rFonts w:ascii="Times New Roman" w:hAnsi="Times New Roman" w:cs="Times New Roman"/>
          <w:i/>
          <w:iCs/>
          <w:sz w:val="20"/>
          <w:szCs w:val="20"/>
        </w:rPr>
        <w:t>Ralstonia</w:t>
      </w:r>
      <w:proofErr w:type="spellEnd"/>
      <w:r w:rsidRPr="00401CAC">
        <w:rPr>
          <w:rFonts w:ascii="Times New Roman" w:hAnsi="Times New Roman" w:cs="Times New Roman"/>
          <w:i/>
          <w:iCs/>
          <w:sz w:val="20"/>
          <w:szCs w:val="20"/>
        </w:rPr>
        <w:t xml:space="preserve"> </w:t>
      </w:r>
      <w:proofErr w:type="spellStart"/>
      <w:r w:rsidRPr="00401CAC">
        <w:rPr>
          <w:rFonts w:ascii="Times New Roman" w:hAnsi="Times New Roman" w:cs="Times New Roman"/>
          <w:i/>
          <w:iCs/>
          <w:sz w:val="20"/>
          <w:szCs w:val="20"/>
        </w:rPr>
        <w:t>solanaceraum</w:t>
      </w:r>
      <w:proofErr w:type="spellEnd"/>
      <w:r w:rsidR="00535A0E" w:rsidRPr="00401CAC">
        <w:rPr>
          <w:rFonts w:ascii="Times New Roman" w:hAnsi="Times New Roman" w:cs="Times New Roman"/>
          <w:sz w:val="20"/>
          <w:szCs w:val="20"/>
        </w:rPr>
        <w:t xml:space="preserve"> is one of the most destructive diseases affecting over 450 plant species from 54 botanical families, with solanaceous crops being particularly vulnerable</w:t>
      </w:r>
      <w:r w:rsidR="000829A8" w:rsidRPr="00401CAC">
        <w:rPr>
          <w:rFonts w:ascii="Times New Roman" w:hAnsi="Times New Roman" w:cs="Times New Roman"/>
          <w:sz w:val="20"/>
          <w:szCs w:val="20"/>
        </w:rPr>
        <w:t xml:space="preserve">. </w:t>
      </w:r>
      <w:r w:rsidR="000829A8" w:rsidRPr="00401CAC">
        <w:rPr>
          <w:rFonts w:ascii="Times New Roman" w:hAnsi="Times New Roman" w:cs="Times New Roman"/>
          <w:i/>
          <w:iCs/>
          <w:sz w:val="20"/>
          <w:szCs w:val="20"/>
        </w:rPr>
        <w:t>R. solanacearum</w:t>
      </w:r>
      <w:r w:rsidR="000829A8" w:rsidRPr="00401CAC">
        <w:rPr>
          <w:rFonts w:ascii="Times New Roman" w:hAnsi="Times New Roman" w:cs="Times New Roman"/>
          <w:sz w:val="20"/>
          <w:szCs w:val="20"/>
        </w:rPr>
        <w:t xml:space="preserve"> demonstrates variable but significant survival capacity in soil environments (Paret </w:t>
      </w:r>
      <w:r w:rsidR="000829A8" w:rsidRPr="003B0C8F">
        <w:rPr>
          <w:rFonts w:ascii="Times New Roman" w:hAnsi="Times New Roman" w:cs="Times New Roman"/>
          <w:i/>
          <w:iCs/>
          <w:sz w:val="20"/>
          <w:szCs w:val="20"/>
        </w:rPr>
        <w:t>et al.</w:t>
      </w:r>
      <w:r w:rsidR="003B0C8F" w:rsidRPr="003B0C8F">
        <w:rPr>
          <w:rFonts w:ascii="Times New Roman" w:hAnsi="Times New Roman" w:cs="Times New Roman"/>
          <w:i/>
          <w:iCs/>
          <w:sz w:val="20"/>
          <w:szCs w:val="20"/>
        </w:rPr>
        <w:t>,</w:t>
      </w:r>
      <w:r w:rsidR="000829A8" w:rsidRPr="00401CAC">
        <w:rPr>
          <w:rFonts w:ascii="Times New Roman" w:hAnsi="Times New Roman" w:cs="Times New Roman"/>
          <w:sz w:val="20"/>
          <w:szCs w:val="20"/>
        </w:rPr>
        <w:t xml:space="preserve"> 2010). </w:t>
      </w:r>
      <w:r w:rsidR="00535A0E" w:rsidRPr="00401CAC">
        <w:rPr>
          <w:rFonts w:ascii="Times New Roman" w:hAnsi="Times New Roman" w:cs="Times New Roman"/>
          <w:sz w:val="20"/>
          <w:szCs w:val="20"/>
        </w:rPr>
        <w:t xml:space="preserve">Notably, potato, tomato, brinjal, and chilli are among those most adversely affected by this disease (Manda </w:t>
      </w:r>
      <w:r w:rsidR="00535A0E" w:rsidRPr="007E3F4D">
        <w:rPr>
          <w:rFonts w:ascii="Times New Roman" w:hAnsi="Times New Roman" w:cs="Times New Roman"/>
          <w:i/>
          <w:iCs/>
          <w:sz w:val="20"/>
          <w:szCs w:val="20"/>
        </w:rPr>
        <w:t>et al.</w:t>
      </w:r>
      <w:r w:rsidR="007E3F4D">
        <w:rPr>
          <w:rFonts w:ascii="Times New Roman" w:hAnsi="Times New Roman" w:cs="Times New Roman"/>
          <w:i/>
          <w:iCs/>
          <w:sz w:val="20"/>
          <w:szCs w:val="20"/>
        </w:rPr>
        <w:t xml:space="preserve">, </w:t>
      </w:r>
      <w:r w:rsidR="00535A0E" w:rsidRPr="00401CAC">
        <w:rPr>
          <w:rFonts w:ascii="Times New Roman" w:hAnsi="Times New Roman" w:cs="Times New Roman"/>
          <w:sz w:val="20"/>
          <w:szCs w:val="20"/>
        </w:rPr>
        <w:t xml:space="preserve">2020). </w:t>
      </w:r>
      <w:r w:rsidR="00152DA5" w:rsidRPr="00401CAC">
        <w:rPr>
          <w:rFonts w:ascii="Times New Roman" w:hAnsi="Times New Roman" w:cs="Times New Roman"/>
          <w:sz w:val="20"/>
          <w:szCs w:val="20"/>
        </w:rPr>
        <w:t>Yield reductions due to bacterial wilt may vary between 10% to an alarming rate of 100% in fields with severe infection levels</w:t>
      </w:r>
      <w:r w:rsidR="00F20A77">
        <w:rPr>
          <w:rFonts w:ascii="Times New Roman" w:hAnsi="Times New Roman" w:cs="Times New Roman"/>
          <w:sz w:val="20"/>
          <w:szCs w:val="20"/>
        </w:rPr>
        <w:t xml:space="preserve">. </w:t>
      </w:r>
      <w:r w:rsidR="00CA4B8A" w:rsidRPr="00401CAC">
        <w:rPr>
          <w:rFonts w:ascii="Times New Roman" w:hAnsi="Times New Roman" w:cs="Times New Roman"/>
          <w:sz w:val="20"/>
          <w:szCs w:val="20"/>
        </w:rPr>
        <w:t xml:space="preserve">Soil is the primary reservoir and transmission medium for the pathogen. It </w:t>
      </w:r>
      <w:r w:rsidR="00D476FD" w:rsidRPr="00401CAC">
        <w:rPr>
          <w:rFonts w:ascii="Times New Roman" w:hAnsi="Times New Roman" w:cs="Times New Roman"/>
          <w:sz w:val="20"/>
          <w:szCs w:val="20"/>
        </w:rPr>
        <w:t>spreads through multiple pathways</w:t>
      </w:r>
      <w:r w:rsidR="00647D61" w:rsidRPr="00401CAC">
        <w:rPr>
          <w:rFonts w:ascii="Times New Roman" w:hAnsi="Times New Roman" w:cs="Times New Roman"/>
          <w:sz w:val="20"/>
          <w:szCs w:val="20"/>
        </w:rPr>
        <w:t xml:space="preserve">, </w:t>
      </w:r>
      <w:r w:rsidR="00D476FD" w:rsidRPr="00401CAC">
        <w:rPr>
          <w:rFonts w:ascii="Times New Roman" w:hAnsi="Times New Roman" w:cs="Times New Roman"/>
          <w:sz w:val="20"/>
          <w:szCs w:val="20"/>
        </w:rPr>
        <w:t>including contaminated water sources, infected planting materials, contaminated irrigation water, surface water runoff, and farm equipment carrying infested soil (</w:t>
      </w:r>
      <w:proofErr w:type="spellStart"/>
      <w:r w:rsidR="00D476FD" w:rsidRPr="00401CAC">
        <w:rPr>
          <w:rFonts w:ascii="Times New Roman" w:hAnsi="Times New Roman" w:cs="Times New Roman"/>
          <w:sz w:val="20"/>
          <w:szCs w:val="20"/>
        </w:rPr>
        <w:t>Heikrujam</w:t>
      </w:r>
      <w:proofErr w:type="spellEnd"/>
      <w:r w:rsidR="00D476FD" w:rsidRPr="00401CAC">
        <w:rPr>
          <w:rFonts w:ascii="Times New Roman" w:hAnsi="Times New Roman" w:cs="Times New Roman"/>
          <w:sz w:val="20"/>
          <w:szCs w:val="20"/>
        </w:rPr>
        <w:t xml:space="preserve"> </w:t>
      </w:r>
      <w:r w:rsidR="00D476FD" w:rsidRPr="00DF7DFF">
        <w:rPr>
          <w:rFonts w:ascii="Times New Roman" w:hAnsi="Times New Roman" w:cs="Times New Roman"/>
          <w:i/>
          <w:iCs/>
          <w:sz w:val="20"/>
          <w:szCs w:val="20"/>
        </w:rPr>
        <w:t>et al</w:t>
      </w:r>
      <w:r w:rsidR="00DF7DFF">
        <w:rPr>
          <w:rFonts w:ascii="Times New Roman" w:hAnsi="Times New Roman" w:cs="Times New Roman"/>
          <w:i/>
          <w:iCs/>
          <w:sz w:val="20"/>
          <w:szCs w:val="20"/>
        </w:rPr>
        <w:t>.,</w:t>
      </w:r>
      <w:r w:rsidR="00D476FD" w:rsidRPr="00401CAC">
        <w:rPr>
          <w:rFonts w:ascii="Times New Roman" w:hAnsi="Times New Roman" w:cs="Times New Roman"/>
          <w:sz w:val="20"/>
          <w:szCs w:val="20"/>
        </w:rPr>
        <w:t xml:space="preserve"> 2020).</w:t>
      </w:r>
      <w:r w:rsidR="003D6F47" w:rsidRPr="00401CAC">
        <w:rPr>
          <w:rFonts w:ascii="Times New Roman" w:hAnsi="Times New Roman" w:cs="Times New Roman"/>
          <w:sz w:val="20"/>
          <w:szCs w:val="20"/>
        </w:rPr>
        <w:t xml:space="preserve"> </w:t>
      </w:r>
      <w:r w:rsidR="00CA4B8A" w:rsidRPr="00401CAC">
        <w:rPr>
          <w:rFonts w:ascii="Times New Roman" w:hAnsi="Times New Roman" w:cs="Times New Roman"/>
          <w:sz w:val="20"/>
          <w:szCs w:val="20"/>
        </w:rPr>
        <w:t>The pathogen’s behaviour is not uniform but is highly influenced by the complex and variable nature of its soil habitat.</w:t>
      </w:r>
      <w:r w:rsidR="00C9037A">
        <w:rPr>
          <w:rFonts w:ascii="Times New Roman" w:hAnsi="Times New Roman" w:cs="Times New Roman"/>
          <w:sz w:val="20"/>
          <w:szCs w:val="20"/>
        </w:rPr>
        <w:t xml:space="preserve"> </w:t>
      </w:r>
      <w:r w:rsidR="000B2BA2" w:rsidRPr="00401CAC">
        <w:rPr>
          <w:rFonts w:ascii="Times New Roman" w:hAnsi="Times New Roman" w:cs="Times New Roman"/>
          <w:sz w:val="20"/>
          <w:szCs w:val="20"/>
        </w:rPr>
        <w:t xml:space="preserve">Modern plant disease management strategies face </w:t>
      </w:r>
      <w:r w:rsidR="0074436D" w:rsidRPr="00401CAC">
        <w:rPr>
          <w:rFonts w:ascii="Times New Roman" w:hAnsi="Times New Roman" w:cs="Times New Roman"/>
          <w:sz w:val="20"/>
          <w:szCs w:val="20"/>
        </w:rPr>
        <w:t xml:space="preserve">challenges </w:t>
      </w:r>
      <w:r w:rsidR="000B2BA2" w:rsidRPr="00401CAC">
        <w:rPr>
          <w:rFonts w:ascii="Times New Roman" w:hAnsi="Times New Roman" w:cs="Times New Roman"/>
          <w:sz w:val="20"/>
          <w:szCs w:val="20"/>
        </w:rPr>
        <w:t>related to climate change, pesticide resistance, pesticide residues, and loss of biodiversity (</w:t>
      </w:r>
      <w:proofErr w:type="spellStart"/>
      <w:r w:rsidR="000B2BA2" w:rsidRPr="00401CAC">
        <w:rPr>
          <w:rFonts w:ascii="Times New Roman" w:hAnsi="Times New Roman" w:cs="Times New Roman"/>
          <w:sz w:val="20"/>
          <w:szCs w:val="20"/>
        </w:rPr>
        <w:t>Senthilraja</w:t>
      </w:r>
      <w:proofErr w:type="spellEnd"/>
      <w:r w:rsidR="000B2BA2" w:rsidRPr="00401CAC">
        <w:rPr>
          <w:rFonts w:ascii="Times New Roman" w:hAnsi="Times New Roman" w:cs="Times New Roman"/>
          <w:sz w:val="20"/>
          <w:szCs w:val="20"/>
        </w:rPr>
        <w:t xml:space="preserve"> </w:t>
      </w:r>
      <w:r w:rsidR="000B2BA2"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0B2BA2" w:rsidRPr="00401CAC">
        <w:rPr>
          <w:rFonts w:ascii="Times New Roman" w:hAnsi="Times New Roman" w:cs="Times New Roman"/>
          <w:sz w:val="20"/>
          <w:szCs w:val="20"/>
        </w:rPr>
        <w:t xml:space="preserve"> 2024)</w:t>
      </w:r>
      <w:r w:rsidR="006A4C7B" w:rsidRPr="00401CAC">
        <w:rPr>
          <w:rFonts w:ascii="Times New Roman" w:hAnsi="Times New Roman" w:cs="Times New Roman"/>
          <w:sz w:val="20"/>
          <w:szCs w:val="20"/>
        </w:rPr>
        <w:t xml:space="preserve">. </w:t>
      </w:r>
      <w:r w:rsidR="009F32BE" w:rsidRPr="00401CAC">
        <w:rPr>
          <w:rFonts w:ascii="Times New Roman" w:hAnsi="Times New Roman" w:cs="Times New Roman"/>
          <w:sz w:val="20"/>
          <w:szCs w:val="20"/>
        </w:rPr>
        <w:t>T</w:t>
      </w:r>
      <w:r w:rsidR="00152DA5" w:rsidRPr="00401CAC">
        <w:rPr>
          <w:rFonts w:ascii="Times New Roman" w:hAnsi="Times New Roman" w:cs="Times New Roman"/>
          <w:sz w:val="20"/>
          <w:szCs w:val="20"/>
        </w:rPr>
        <w:t>he wide host range, ease of dissemination, long</w:t>
      </w:r>
      <w:r w:rsidR="00647D61" w:rsidRPr="00401CAC">
        <w:rPr>
          <w:rFonts w:ascii="Times New Roman" w:hAnsi="Times New Roman" w:cs="Times New Roman"/>
          <w:sz w:val="20"/>
          <w:szCs w:val="20"/>
        </w:rPr>
        <w:t>-</w:t>
      </w:r>
      <w:r w:rsidR="00152DA5" w:rsidRPr="00401CAC">
        <w:rPr>
          <w:rFonts w:ascii="Times New Roman" w:hAnsi="Times New Roman" w:cs="Times New Roman"/>
          <w:sz w:val="20"/>
          <w:szCs w:val="20"/>
        </w:rPr>
        <w:t>term survival of the pathogen</w:t>
      </w:r>
      <w:r w:rsidR="0074436D" w:rsidRPr="00401CAC">
        <w:rPr>
          <w:rFonts w:ascii="Times New Roman" w:hAnsi="Times New Roman" w:cs="Times New Roman"/>
          <w:sz w:val="20"/>
          <w:szCs w:val="20"/>
        </w:rPr>
        <w:t>,</w:t>
      </w:r>
      <w:r w:rsidR="00152DA5" w:rsidRPr="00401CAC">
        <w:rPr>
          <w:rFonts w:ascii="Times New Roman" w:hAnsi="Times New Roman" w:cs="Times New Roman"/>
          <w:sz w:val="20"/>
          <w:szCs w:val="20"/>
        </w:rPr>
        <w:t xml:space="preserve"> and lack of effective chemical bactericides </w:t>
      </w:r>
      <w:r w:rsidR="00FC08A2" w:rsidRPr="00401CAC">
        <w:rPr>
          <w:rFonts w:ascii="Times New Roman" w:hAnsi="Times New Roman" w:cs="Times New Roman"/>
          <w:sz w:val="20"/>
          <w:szCs w:val="20"/>
        </w:rPr>
        <w:t xml:space="preserve">serve as bottlenecks for the </w:t>
      </w:r>
      <w:r w:rsidR="00152DA5" w:rsidRPr="00401CAC">
        <w:rPr>
          <w:rFonts w:ascii="Times New Roman" w:hAnsi="Times New Roman" w:cs="Times New Roman"/>
          <w:sz w:val="20"/>
          <w:szCs w:val="20"/>
        </w:rPr>
        <w:t xml:space="preserve">management </w:t>
      </w:r>
      <w:r w:rsidR="00FC08A2" w:rsidRPr="00401CAC">
        <w:rPr>
          <w:rFonts w:ascii="Times New Roman" w:hAnsi="Times New Roman" w:cs="Times New Roman"/>
          <w:sz w:val="20"/>
          <w:szCs w:val="20"/>
        </w:rPr>
        <w:t>of bacterial wilt. Hence, tailoring effective management strategies is essential to combat this devastating disease.</w:t>
      </w:r>
      <w:r w:rsidR="00CA4B8A" w:rsidRPr="00401CAC">
        <w:rPr>
          <w:rFonts w:ascii="Times New Roman" w:hAnsi="Times New Roman" w:cs="Times New Roman"/>
          <w:sz w:val="20"/>
          <w:szCs w:val="20"/>
        </w:rPr>
        <w:t xml:space="preserve"> </w:t>
      </w:r>
      <w:r w:rsidR="00E5275D" w:rsidRPr="00401CAC">
        <w:rPr>
          <w:rFonts w:ascii="Times New Roman" w:hAnsi="Times New Roman" w:cs="Times New Roman"/>
          <w:sz w:val="20"/>
          <w:szCs w:val="20"/>
        </w:rPr>
        <w:t>This review aims to explain how different soil properties affect a pathogen’s survival, population, and virulence. It also discusses possible management measures based on these factors.</w:t>
      </w:r>
    </w:p>
    <w:p w14:paraId="6054305B" w14:textId="631C0ACE" w:rsidR="00353AB5" w:rsidRPr="00BC0F74" w:rsidRDefault="00353AB5" w:rsidP="00BC0F74">
      <w:pPr>
        <w:jc w:val="both"/>
        <w:rPr>
          <w:rFonts w:ascii="Times New Roman" w:hAnsi="Times New Roman" w:cs="Times New Roman"/>
          <w:b/>
          <w:bCs/>
          <w:i/>
          <w:iCs/>
          <w:sz w:val="20"/>
          <w:szCs w:val="20"/>
        </w:rPr>
      </w:pPr>
      <w:r w:rsidRPr="00BC0F74">
        <w:rPr>
          <w:rFonts w:ascii="Times New Roman" w:hAnsi="Times New Roman" w:cs="Times New Roman"/>
          <w:b/>
          <w:bCs/>
          <w:sz w:val="20"/>
          <w:szCs w:val="20"/>
        </w:rPr>
        <w:lastRenderedPageBreak/>
        <w:t xml:space="preserve">The Pathogen: </w:t>
      </w:r>
      <w:proofErr w:type="spellStart"/>
      <w:r w:rsidRPr="00BC0F74">
        <w:rPr>
          <w:rFonts w:ascii="Times New Roman" w:hAnsi="Times New Roman" w:cs="Times New Roman"/>
          <w:b/>
          <w:bCs/>
          <w:i/>
          <w:iCs/>
          <w:sz w:val="20"/>
          <w:szCs w:val="20"/>
        </w:rPr>
        <w:t>Ralstonia</w:t>
      </w:r>
      <w:proofErr w:type="spellEnd"/>
      <w:r w:rsidRPr="00BC0F74">
        <w:rPr>
          <w:rFonts w:ascii="Times New Roman" w:hAnsi="Times New Roman" w:cs="Times New Roman"/>
          <w:b/>
          <w:bCs/>
          <w:i/>
          <w:iCs/>
          <w:sz w:val="20"/>
          <w:szCs w:val="20"/>
        </w:rPr>
        <w:t xml:space="preserve"> solanacearum</w:t>
      </w:r>
    </w:p>
    <w:p w14:paraId="3DDBBBD5" w14:textId="5F9B8274" w:rsidR="00023EC9" w:rsidRPr="00401CAC" w:rsidRDefault="0074436D" w:rsidP="006D496A">
      <w:pPr>
        <w:ind w:firstLine="720"/>
        <w:jc w:val="both"/>
        <w:rPr>
          <w:rFonts w:ascii="Times New Roman" w:hAnsi="Times New Roman" w:cs="Times New Roman"/>
          <w:sz w:val="20"/>
          <w:szCs w:val="20"/>
        </w:rPr>
      </w:pPr>
      <w:proofErr w:type="spellStart"/>
      <w:r w:rsidRPr="00401CAC">
        <w:rPr>
          <w:rFonts w:ascii="Times New Roman" w:hAnsi="Times New Roman" w:cs="Times New Roman"/>
          <w:i/>
          <w:iCs/>
          <w:sz w:val="20"/>
          <w:szCs w:val="20"/>
        </w:rPr>
        <w:t>Ralstonia</w:t>
      </w:r>
      <w:proofErr w:type="spellEnd"/>
      <w:r w:rsidRPr="00401CAC">
        <w:rPr>
          <w:rFonts w:ascii="Times New Roman" w:hAnsi="Times New Roman" w:cs="Times New Roman"/>
          <w:i/>
          <w:iCs/>
          <w:sz w:val="20"/>
          <w:szCs w:val="20"/>
        </w:rPr>
        <w:t xml:space="preserve"> solanacearum</w:t>
      </w:r>
      <w:r w:rsidRPr="00401CAC">
        <w:rPr>
          <w:rFonts w:ascii="Times New Roman" w:hAnsi="Times New Roman" w:cs="Times New Roman"/>
          <w:sz w:val="20"/>
          <w:szCs w:val="20"/>
        </w:rPr>
        <w:t xml:space="preserve"> is a soil-inhabiting bacterium that is responsible for bacterial wilt disease</w:t>
      </w:r>
      <w:r w:rsidR="00D17A64" w:rsidRPr="00401CAC">
        <w:rPr>
          <w:rFonts w:ascii="Times New Roman" w:hAnsi="Times New Roman" w:cs="Times New Roman"/>
          <w:sz w:val="20"/>
          <w:szCs w:val="20"/>
        </w:rPr>
        <w:t>. It</w:t>
      </w:r>
      <w:r w:rsidR="00BB5A58" w:rsidRPr="00401CAC">
        <w:rPr>
          <w:rFonts w:ascii="Times New Roman" w:hAnsi="Times New Roman" w:cs="Times New Roman"/>
          <w:sz w:val="20"/>
          <w:szCs w:val="20"/>
        </w:rPr>
        <w:t xml:space="preserve"> is</w:t>
      </w:r>
      <w:r w:rsidR="00D17A64" w:rsidRPr="00401CAC">
        <w:rPr>
          <w:rFonts w:ascii="Times New Roman" w:hAnsi="Times New Roman" w:cs="Times New Roman"/>
          <w:sz w:val="20"/>
          <w:szCs w:val="20"/>
        </w:rPr>
        <w:t xml:space="preserve"> ranked as</w:t>
      </w:r>
      <w:r w:rsidR="00BB5A58" w:rsidRPr="00401CAC">
        <w:rPr>
          <w:rFonts w:ascii="Times New Roman" w:hAnsi="Times New Roman" w:cs="Times New Roman"/>
          <w:sz w:val="20"/>
          <w:szCs w:val="20"/>
        </w:rPr>
        <w:t xml:space="preserve"> the world’s second most </w:t>
      </w:r>
      <w:r w:rsidR="00D17A64" w:rsidRPr="00401CAC">
        <w:rPr>
          <w:rFonts w:ascii="Times New Roman" w:hAnsi="Times New Roman" w:cs="Times New Roman"/>
          <w:sz w:val="20"/>
          <w:szCs w:val="20"/>
        </w:rPr>
        <w:t xml:space="preserve">harmful </w:t>
      </w:r>
      <w:r w:rsidR="00BB5A58" w:rsidRPr="00401CAC">
        <w:rPr>
          <w:rFonts w:ascii="Times New Roman" w:hAnsi="Times New Roman" w:cs="Times New Roman"/>
          <w:sz w:val="20"/>
          <w:szCs w:val="20"/>
        </w:rPr>
        <w:t xml:space="preserve">phytopathogen (Mansfield </w:t>
      </w:r>
      <w:r w:rsidR="00BB5A58"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BB5A58" w:rsidRPr="00401CAC">
        <w:rPr>
          <w:rFonts w:ascii="Times New Roman" w:hAnsi="Times New Roman" w:cs="Times New Roman"/>
          <w:sz w:val="20"/>
          <w:szCs w:val="20"/>
        </w:rPr>
        <w:t xml:space="preserve"> 2012).</w:t>
      </w:r>
      <w:r w:rsidR="006D496A">
        <w:rPr>
          <w:rFonts w:ascii="Times New Roman" w:hAnsi="Times New Roman" w:cs="Times New Roman"/>
          <w:sz w:val="20"/>
          <w:szCs w:val="20"/>
        </w:rPr>
        <w:t xml:space="preserve"> </w:t>
      </w:r>
      <w:r w:rsidR="006D496A" w:rsidRPr="00401CAC">
        <w:rPr>
          <w:rFonts w:ascii="Times New Roman" w:hAnsi="Times New Roman" w:cs="Times New Roman"/>
          <w:sz w:val="20"/>
          <w:szCs w:val="20"/>
        </w:rPr>
        <w:t>The pathogen is classified as a "species complex" (</w:t>
      </w:r>
      <w:proofErr w:type="spellStart"/>
      <w:r w:rsidR="006D496A" w:rsidRPr="00401CAC">
        <w:rPr>
          <w:rFonts w:ascii="Times New Roman" w:hAnsi="Times New Roman" w:cs="Times New Roman"/>
          <w:i/>
          <w:iCs/>
          <w:sz w:val="20"/>
          <w:szCs w:val="20"/>
        </w:rPr>
        <w:t>Ralstonia</w:t>
      </w:r>
      <w:proofErr w:type="spellEnd"/>
      <w:r w:rsidR="006D496A" w:rsidRPr="00401CAC">
        <w:rPr>
          <w:rFonts w:ascii="Times New Roman" w:hAnsi="Times New Roman" w:cs="Times New Roman"/>
          <w:i/>
          <w:iCs/>
          <w:sz w:val="20"/>
          <w:szCs w:val="20"/>
        </w:rPr>
        <w:t xml:space="preserve"> solanacearum </w:t>
      </w:r>
      <w:r w:rsidR="006D496A" w:rsidRPr="00401CAC">
        <w:rPr>
          <w:rFonts w:ascii="Times New Roman" w:hAnsi="Times New Roman" w:cs="Times New Roman"/>
          <w:sz w:val="20"/>
          <w:szCs w:val="20"/>
        </w:rPr>
        <w:t>species complex, RSSC), which reflects its significant genetic and phenotypic diversity, rather than a single, homogeneous entity.</w:t>
      </w:r>
      <w:r w:rsidR="007028EE" w:rsidRPr="00401CAC">
        <w:rPr>
          <w:rFonts w:ascii="Times New Roman" w:hAnsi="Times New Roman" w:cs="Times New Roman"/>
          <w:sz w:val="20"/>
          <w:szCs w:val="20"/>
        </w:rPr>
        <w:t xml:space="preserve"> </w:t>
      </w:r>
      <w:r w:rsidR="006D496A" w:rsidRPr="00401CAC">
        <w:rPr>
          <w:rFonts w:ascii="Times New Roman" w:hAnsi="Times New Roman" w:cs="Times New Roman"/>
          <w:sz w:val="20"/>
          <w:szCs w:val="20"/>
        </w:rPr>
        <w:t>This complex contains many strains with different traits, such as different metabolic needs, different origins, different host ranges, and specific conditions for optimal infection (</w:t>
      </w:r>
      <w:r w:rsidR="006D496A" w:rsidRPr="00EC64CF">
        <w:rPr>
          <w:rFonts w:ascii="Times New Roman" w:hAnsi="Times New Roman" w:cs="Times New Roman"/>
          <w:sz w:val="20"/>
          <w:szCs w:val="20"/>
        </w:rPr>
        <w:t>García</w:t>
      </w:r>
      <w:r w:rsidR="006D496A" w:rsidRPr="00401CAC">
        <w:rPr>
          <w:rFonts w:ascii="Times New Roman" w:hAnsi="Times New Roman" w:cs="Times New Roman"/>
          <w:sz w:val="20"/>
          <w:szCs w:val="20"/>
        </w:rPr>
        <w:t xml:space="preserve"> </w:t>
      </w:r>
      <w:r w:rsidR="006D496A"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6D496A" w:rsidRPr="0015114E">
        <w:rPr>
          <w:rFonts w:ascii="Times New Roman" w:hAnsi="Times New Roman" w:cs="Times New Roman"/>
          <w:i/>
          <w:iCs/>
          <w:sz w:val="20"/>
          <w:szCs w:val="20"/>
        </w:rPr>
        <w:t xml:space="preserve"> </w:t>
      </w:r>
      <w:r w:rsidR="006D496A" w:rsidRPr="00401CAC">
        <w:rPr>
          <w:rFonts w:ascii="Times New Roman" w:hAnsi="Times New Roman" w:cs="Times New Roman"/>
          <w:sz w:val="20"/>
          <w:szCs w:val="20"/>
        </w:rPr>
        <w:t xml:space="preserve">2019). </w:t>
      </w:r>
      <w:proofErr w:type="spellStart"/>
      <w:r w:rsidR="00565227" w:rsidRPr="00401CAC">
        <w:rPr>
          <w:rFonts w:ascii="Times New Roman" w:hAnsi="Times New Roman" w:cs="Times New Roman"/>
          <w:i/>
          <w:iCs/>
          <w:sz w:val="20"/>
          <w:szCs w:val="20"/>
        </w:rPr>
        <w:t>Ralstonia</w:t>
      </w:r>
      <w:proofErr w:type="spellEnd"/>
      <w:r w:rsidR="00565227" w:rsidRPr="00401CAC">
        <w:rPr>
          <w:rFonts w:ascii="Times New Roman" w:hAnsi="Times New Roman" w:cs="Times New Roman"/>
          <w:sz w:val="20"/>
          <w:szCs w:val="20"/>
        </w:rPr>
        <w:t xml:space="preserve"> sp</w:t>
      </w:r>
      <w:r w:rsidR="00E62755" w:rsidRPr="00401CAC">
        <w:rPr>
          <w:rFonts w:ascii="Times New Roman" w:hAnsi="Times New Roman" w:cs="Times New Roman"/>
          <w:sz w:val="20"/>
          <w:szCs w:val="20"/>
        </w:rPr>
        <w:t>p.</w:t>
      </w:r>
      <w:r w:rsidR="00565227" w:rsidRPr="00401CAC">
        <w:rPr>
          <w:rFonts w:ascii="Times New Roman" w:hAnsi="Times New Roman" w:cs="Times New Roman"/>
          <w:sz w:val="20"/>
          <w:szCs w:val="20"/>
        </w:rPr>
        <w:t xml:space="preserve"> are </w:t>
      </w:r>
      <w:r w:rsidR="006D496A" w:rsidRPr="00401CAC">
        <w:rPr>
          <w:rFonts w:ascii="Times New Roman" w:hAnsi="Times New Roman" w:cs="Times New Roman"/>
          <w:sz w:val="20"/>
          <w:szCs w:val="20"/>
        </w:rPr>
        <w:t>characterized as aerobic, rod-shaped, non-spore-forming bacteria that are motile due to the presence of a polar flagellar tuft (</w:t>
      </w:r>
      <w:r w:rsidR="006D496A" w:rsidRPr="009E1E4B">
        <w:rPr>
          <w:rFonts w:ascii="Times New Roman" w:hAnsi="Times New Roman" w:cs="Times New Roman"/>
          <w:sz w:val="20"/>
          <w:szCs w:val="20"/>
        </w:rPr>
        <w:t xml:space="preserve">Singh </w:t>
      </w:r>
      <w:r w:rsidR="006D496A"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6D496A" w:rsidRPr="009E1E4B">
        <w:rPr>
          <w:rFonts w:ascii="Times New Roman" w:hAnsi="Times New Roman" w:cs="Times New Roman"/>
          <w:sz w:val="20"/>
          <w:szCs w:val="20"/>
        </w:rPr>
        <w:t xml:space="preserve"> 2021</w:t>
      </w:r>
      <w:r w:rsidR="006D496A" w:rsidRPr="00401CAC">
        <w:rPr>
          <w:rFonts w:ascii="Times New Roman" w:hAnsi="Times New Roman" w:cs="Times New Roman"/>
          <w:sz w:val="20"/>
          <w:szCs w:val="20"/>
        </w:rPr>
        <w:t xml:space="preserve">). They are </w:t>
      </w:r>
      <w:r w:rsidR="00565227" w:rsidRPr="00401CAC">
        <w:rPr>
          <w:rFonts w:ascii="Times New Roman" w:hAnsi="Times New Roman" w:cs="Times New Roman"/>
          <w:sz w:val="20"/>
          <w:szCs w:val="20"/>
        </w:rPr>
        <w:t>gram-negative</w:t>
      </w:r>
      <w:r w:rsidR="006D496A">
        <w:rPr>
          <w:rFonts w:ascii="Times New Roman" w:hAnsi="Times New Roman" w:cs="Times New Roman"/>
          <w:sz w:val="20"/>
          <w:szCs w:val="20"/>
        </w:rPr>
        <w:t xml:space="preserve"> in nature and</w:t>
      </w:r>
      <w:r w:rsidR="00565227" w:rsidRPr="00401CAC">
        <w:rPr>
          <w:rFonts w:ascii="Times New Roman" w:hAnsi="Times New Roman" w:cs="Times New Roman"/>
          <w:sz w:val="20"/>
          <w:szCs w:val="20"/>
        </w:rPr>
        <w:t xml:space="preserve"> </w:t>
      </w:r>
      <w:r w:rsidR="00D211A3">
        <w:rPr>
          <w:rFonts w:ascii="Times New Roman" w:hAnsi="Times New Roman" w:cs="Times New Roman"/>
          <w:sz w:val="20"/>
          <w:szCs w:val="20"/>
        </w:rPr>
        <w:t>exhibit</w:t>
      </w:r>
      <w:r w:rsidR="00565227" w:rsidRPr="00401CAC">
        <w:rPr>
          <w:rFonts w:ascii="Times New Roman" w:hAnsi="Times New Roman" w:cs="Times New Roman"/>
          <w:sz w:val="20"/>
          <w:szCs w:val="20"/>
        </w:rPr>
        <w:t xml:space="preserve"> positive reactions for both oxidase and catalase</w:t>
      </w:r>
      <w:r w:rsidR="006D496A">
        <w:rPr>
          <w:rFonts w:ascii="Times New Roman" w:hAnsi="Times New Roman" w:cs="Times New Roman"/>
          <w:sz w:val="20"/>
          <w:szCs w:val="20"/>
        </w:rPr>
        <w:t xml:space="preserve"> tests</w:t>
      </w:r>
      <w:r w:rsidR="00BB3C83" w:rsidRPr="00401CAC">
        <w:rPr>
          <w:rFonts w:ascii="Times New Roman" w:hAnsi="Times New Roman" w:cs="Times New Roman"/>
          <w:sz w:val="20"/>
          <w:szCs w:val="20"/>
        </w:rPr>
        <w:t>.</w:t>
      </w:r>
      <w:r w:rsidR="00565227" w:rsidRPr="00401CAC">
        <w:rPr>
          <w:rFonts w:ascii="Times New Roman" w:hAnsi="Times New Roman" w:cs="Times New Roman"/>
          <w:sz w:val="20"/>
          <w:szCs w:val="20"/>
        </w:rPr>
        <w:t xml:space="preserve"> </w:t>
      </w:r>
      <w:r w:rsidR="005A5558" w:rsidRPr="00401CAC">
        <w:rPr>
          <w:rFonts w:ascii="Times New Roman" w:hAnsi="Times New Roman" w:cs="Times New Roman"/>
          <w:sz w:val="20"/>
          <w:szCs w:val="20"/>
        </w:rPr>
        <w:t>They are</w:t>
      </w:r>
      <w:r w:rsidR="00565227" w:rsidRPr="00401CAC">
        <w:rPr>
          <w:rFonts w:ascii="Times New Roman" w:hAnsi="Times New Roman" w:cs="Times New Roman"/>
          <w:sz w:val="20"/>
          <w:szCs w:val="20"/>
        </w:rPr>
        <w:t xml:space="preserve"> abundant in </w:t>
      </w:r>
      <w:r w:rsidR="00BB3C83" w:rsidRPr="00401CAC">
        <w:rPr>
          <w:rFonts w:ascii="Times New Roman" w:hAnsi="Times New Roman" w:cs="Times New Roman"/>
          <w:sz w:val="20"/>
          <w:szCs w:val="20"/>
        </w:rPr>
        <w:t xml:space="preserve">both </w:t>
      </w:r>
      <w:r w:rsidR="00565227" w:rsidRPr="00401CAC">
        <w:rPr>
          <w:rFonts w:ascii="Times New Roman" w:hAnsi="Times New Roman" w:cs="Times New Roman"/>
          <w:sz w:val="20"/>
          <w:szCs w:val="20"/>
        </w:rPr>
        <w:t xml:space="preserve">terrestrial and aquatic environments (Lampropoulos </w:t>
      </w:r>
      <w:r w:rsidR="00565227"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565227" w:rsidRPr="00401CAC">
        <w:rPr>
          <w:rFonts w:ascii="Times New Roman" w:hAnsi="Times New Roman" w:cs="Times New Roman"/>
          <w:sz w:val="20"/>
          <w:szCs w:val="20"/>
        </w:rPr>
        <w:t xml:space="preserve"> 2021).</w:t>
      </w:r>
      <w:r w:rsidR="00073749" w:rsidRPr="00401CAC">
        <w:rPr>
          <w:rFonts w:ascii="Times New Roman" w:hAnsi="Times New Roman" w:cs="Times New Roman"/>
          <w:sz w:val="20"/>
          <w:szCs w:val="20"/>
        </w:rPr>
        <w:t xml:space="preserve"> </w:t>
      </w:r>
    </w:p>
    <w:p w14:paraId="4C8202EA" w14:textId="501A2C76" w:rsidR="007A53DF" w:rsidRPr="00401CAC" w:rsidRDefault="00EA498A" w:rsidP="00000CD2">
      <w:pPr>
        <w:jc w:val="both"/>
        <w:rPr>
          <w:rFonts w:ascii="Times New Roman" w:hAnsi="Times New Roman" w:cs="Times New Roman"/>
          <w:sz w:val="20"/>
          <w:szCs w:val="20"/>
        </w:rPr>
      </w:pPr>
      <w:r w:rsidRPr="00401CAC">
        <w:rPr>
          <w:rFonts w:ascii="Times New Roman" w:hAnsi="Times New Roman" w:cs="Times New Roman"/>
          <w:sz w:val="20"/>
          <w:szCs w:val="20"/>
        </w:rPr>
        <w:t xml:space="preserve"> </w:t>
      </w:r>
      <w:r w:rsidR="00AB74CF">
        <w:rPr>
          <w:rFonts w:ascii="Times New Roman" w:hAnsi="Times New Roman" w:cs="Times New Roman"/>
          <w:sz w:val="20"/>
          <w:szCs w:val="20"/>
        </w:rPr>
        <w:tab/>
      </w:r>
      <w:r w:rsidR="00F105CA" w:rsidRPr="00401CAC">
        <w:rPr>
          <w:rFonts w:ascii="Times New Roman" w:hAnsi="Times New Roman" w:cs="Times New Roman"/>
          <w:sz w:val="20"/>
          <w:szCs w:val="20"/>
        </w:rPr>
        <w:t>RSSC</w:t>
      </w:r>
      <w:r w:rsidR="00E61500" w:rsidRPr="00401CAC">
        <w:rPr>
          <w:rFonts w:ascii="Times New Roman" w:hAnsi="Times New Roman" w:cs="Times New Roman"/>
          <w:sz w:val="20"/>
          <w:szCs w:val="20"/>
        </w:rPr>
        <w:t xml:space="preserve"> </w:t>
      </w:r>
      <w:r w:rsidR="005A5558" w:rsidRPr="00401CAC">
        <w:rPr>
          <w:rFonts w:ascii="Times New Roman" w:hAnsi="Times New Roman" w:cs="Times New Roman"/>
          <w:sz w:val="20"/>
          <w:szCs w:val="20"/>
        </w:rPr>
        <w:t>is</w:t>
      </w:r>
      <w:r w:rsidR="00285C7E" w:rsidRPr="00401CAC">
        <w:rPr>
          <w:rFonts w:ascii="Times New Roman" w:hAnsi="Times New Roman" w:cs="Times New Roman"/>
          <w:sz w:val="20"/>
          <w:szCs w:val="20"/>
        </w:rPr>
        <w:t xml:space="preserve"> conventionally classified into</w:t>
      </w:r>
      <w:r w:rsidR="00ED45DC" w:rsidRPr="00401CAC">
        <w:rPr>
          <w:rFonts w:ascii="Times New Roman" w:hAnsi="Times New Roman" w:cs="Times New Roman"/>
          <w:sz w:val="20"/>
          <w:szCs w:val="20"/>
        </w:rPr>
        <w:t xml:space="preserve"> </w:t>
      </w:r>
      <w:r w:rsidR="0090331B" w:rsidRPr="00401CAC">
        <w:rPr>
          <w:rFonts w:ascii="Times New Roman" w:hAnsi="Times New Roman" w:cs="Times New Roman"/>
          <w:sz w:val="20"/>
          <w:szCs w:val="20"/>
        </w:rPr>
        <w:t>five races based on their host specificity and six biovars based on their ability</w:t>
      </w:r>
      <w:r w:rsidR="00C45805" w:rsidRPr="00401CAC">
        <w:rPr>
          <w:rFonts w:ascii="Times New Roman" w:hAnsi="Times New Roman" w:cs="Times New Roman"/>
          <w:sz w:val="20"/>
          <w:szCs w:val="20"/>
        </w:rPr>
        <w:t xml:space="preserve"> to utilize sugars</w:t>
      </w:r>
      <w:r w:rsidR="00550BFA">
        <w:rPr>
          <w:rFonts w:ascii="Times New Roman" w:hAnsi="Times New Roman" w:cs="Times New Roman"/>
          <w:sz w:val="20"/>
          <w:szCs w:val="20"/>
        </w:rPr>
        <w:t xml:space="preserve"> (Hayward</w:t>
      </w:r>
      <w:r w:rsidR="00BE4229">
        <w:rPr>
          <w:rFonts w:ascii="Times New Roman" w:hAnsi="Times New Roman" w:cs="Times New Roman"/>
          <w:sz w:val="20"/>
          <w:szCs w:val="20"/>
        </w:rPr>
        <w:t>,</w:t>
      </w:r>
      <w:r w:rsidR="00550BFA">
        <w:rPr>
          <w:rFonts w:ascii="Times New Roman" w:hAnsi="Times New Roman" w:cs="Times New Roman"/>
          <w:sz w:val="20"/>
          <w:szCs w:val="20"/>
        </w:rPr>
        <w:t xml:space="preserve"> 1964)</w:t>
      </w:r>
      <w:r w:rsidR="0090331B" w:rsidRPr="00401CAC">
        <w:rPr>
          <w:rFonts w:ascii="Times New Roman" w:hAnsi="Times New Roman" w:cs="Times New Roman"/>
          <w:sz w:val="20"/>
          <w:szCs w:val="20"/>
        </w:rPr>
        <w:t>.</w:t>
      </w:r>
      <w:r w:rsidR="00524838" w:rsidRPr="00401CAC">
        <w:rPr>
          <w:rFonts w:ascii="Times New Roman" w:hAnsi="Times New Roman" w:cs="Times New Roman"/>
          <w:sz w:val="20"/>
          <w:szCs w:val="20"/>
        </w:rPr>
        <w:t xml:space="preserve"> However, </w:t>
      </w:r>
      <w:r w:rsidR="001B0AC1" w:rsidRPr="00401CAC">
        <w:rPr>
          <w:rFonts w:ascii="Times New Roman" w:hAnsi="Times New Roman" w:cs="Times New Roman"/>
          <w:sz w:val="20"/>
          <w:szCs w:val="20"/>
        </w:rPr>
        <w:t xml:space="preserve">this classification was ineffective </w:t>
      </w:r>
      <w:r w:rsidR="00524838" w:rsidRPr="00401CAC">
        <w:rPr>
          <w:rFonts w:ascii="Times New Roman" w:hAnsi="Times New Roman" w:cs="Times New Roman"/>
          <w:sz w:val="20"/>
          <w:szCs w:val="20"/>
        </w:rPr>
        <w:t xml:space="preserve">in </w:t>
      </w:r>
      <w:r w:rsidR="001B0AC1" w:rsidRPr="00401CAC">
        <w:rPr>
          <w:rFonts w:ascii="Times New Roman" w:hAnsi="Times New Roman" w:cs="Times New Roman"/>
          <w:sz w:val="20"/>
          <w:szCs w:val="20"/>
        </w:rPr>
        <w:t>group</w:t>
      </w:r>
      <w:r w:rsidR="00524838" w:rsidRPr="00401CAC">
        <w:rPr>
          <w:rFonts w:ascii="Times New Roman" w:hAnsi="Times New Roman" w:cs="Times New Roman"/>
          <w:sz w:val="20"/>
          <w:szCs w:val="20"/>
        </w:rPr>
        <w:t>ing</w:t>
      </w:r>
      <w:r w:rsidR="001B0AC1" w:rsidRPr="00401CAC">
        <w:rPr>
          <w:rFonts w:ascii="Times New Roman" w:hAnsi="Times New Roman" w:cs="Times New Roman"/>
          <w:sz w:val="20"/>
          <w:szCs w:val="20"/>
        </w:rPr>
        <w:t xml:space="preserve"> genetically homogenous strains. </w:t>
      </w:r>
      <w:r w:rsidR="00770924" w:rsidRPr="00401CAC">
        <w:rPr>
          <w:rFonts w:ascii="Times New Roman" w:hAnsi="Times New Roman" w:cs="Times New Roman"/>
          <w:sz w:val="20"/>
          <w:szCs w:val="20"/>
        </w:rPr>
        <w:t xml:space="preserve">There was </w:t>
      </w:r>
      <w:r w:rsidR="00524838" w:rsidRPr="00401CAC">
        <w:rPr>
          <w:rFonts w:ascii="Times New Roman" w:hAnsi="Times New Roman" w:cs="Times New Roman"/>
          <w:sz w:val="20"/>
          <w:szCs w:val="20"/>
        </w:rPr>
        <w:t xml:space="preserve">also an </w:t>
      </w:r>
      <w:r w:rsidR="00770924" w:rsidRPr="00401CAC">
        <w:rPr>
          <w:rFonts w:ascii="Times New Roman" w:hAnsi="Times New Roman" w:cs="Times New Roman"/>
          <w:sz w:val="20"/>
          <w:szCs w:val="20"/>
        </w:rPr>
        <w:t xml:space="preserve">inconsistency in </w:t>
      </w:r>
      <w:r w:rsidR="00524838" w:rsidRPr="00401CAC">
        <w:rPr>
          <w:rFonts w:ascii="Times New Roman" w:hAnsi="Times New Roman" w:cs="Times New Roman"/>
          <w:sz w:val="20"/>
          <w:szCs w:val="20"/>
        </w:rPr>
        <w:t xml:space="preserve">the </w:t>
      </w:r>
      <w:r w:rsidR="00770924" w:rsidRPr="00401CAC">
        <w:rPr>
          <w:rFonts w:ascii="Times New Roman" w:hAnsi="Times New Roman" w:cs="Times New Roman"/>
          <w:sz w:val="20"/>
          <w:szCs w:val="20"/>
        </w:rPr>
        <w:t>allocati</w:t>
      </w:r>
      <w:r w:rsidR="00524838" w:rsidRPr="00401CAC">
        <w:rPr>
          <w:rFonts w:ascii="Times New Roman" w:hAnsi="Times New Roman" w:cs="Times New Roman"/>
          <w:sz w:val="20"/>
          <w:szCs w:val="20"/>
        </w:rPr>
        <w:t>on of</w:t>
      </w:r>
      <w:r w:rsidR="00770924" w:rsidRPr="00401CAC">
        <w:rPr>
          <w:rFonts w:ascii="Times New Roman" w:hAnsi="Times New Roman" w:cs="Times New Roman"/>
          <w:sz w:val="20"/>
          <w:szCs w:val="20"/>
        </w:rPr>
        <w:t xml:space="preserve"> strains. Therefore, a more meaningful classification based on the phylogenetic analysis of sequence data derived from </w:t>
      </w:r>
      <w:r w:rsidR="000B7995" w:rsidRPr="00401CAC">
        <w:rPr>
          <w:rFonts w:ascii="Times New Roman" w:hAnsi="Times New Roman" w:cs="Times New Roman"/>
          <w:sz w:val="20"/>
          <w:szCs w:val="20"/>
        </w:rPr>
        <w:t xml:space="preserve">the </w:t>
      </w:r>
      <w:r w:rsidR="00770924" w:rsidRPr="00401CAC">
        <w:rPr>
          <w:rFonts w:ascii="Times New Roman" w:hAnsi="Times New Roman" w:cs="Times New Roman"/>
          <w:color w:val="000000" w:themeColor="text1"/>
          <w:sz w:val="20"/>
          <w:szCs w:val="20"/>
        </w:rPr>
        <w:t>16S-23S rRNA internal transcribed spacer (ITS) region, as well as the </w:t>
      </w:r>
      <w:r w:rsidR="00770924" w:rsidRPr="00401CAC">
        <w:rPr>
          <w:rFonts w:ascii="Times New Roman" w:hAnsi="Times New Roman" w:cs="Times New Roman"/>
          <w:i/>
          <w:iCs/>
          <w:color w:val="000000" w:themeColor="text1"/>
          <w:sz w:val="20"/>
          <w:szCs w:val="20"/>
        </w:rPr>
        <w:t>endoglucanase</w:t>
      </w:r>
      <w:r w:rsidR="00770924" w:rsidRPr="00401CAC">
        <w:rPr>
          <w:rFonts w:ascii="Times New Roman" w:hAnsi="Times New Roman" w:cs="Times New Roman"/>
          <w:color w:val="000000" w:themeColor="text1"/>
          <w:sz w:val="20"/>
          <w:szCs w:val="20"/>
        </w:rPr>
        <w:t> (</w:t>
      </w:r>
      <w:proofErr w:type="spellStart"/>
      <w:r w:rsidR="00770924" w:rsidRPr="00401CAC">
        <w:rPr>
          <w:rFonts w:ascii="Times New Roman" w:hAnsi="Times New Roman" w:cs="Times New Roman"/>
          <w:i/>
          <w:iCs/>
          <w:color w:val="000000" w:themeColor="text1"/>
          <w:sz w:val="20"/>
          <w:szCs w:val="20"/>
        </w:rPr>
        <w:t>egl</w:t>
      </w:r>
      <w:proofErr w:type="spellEnd"/>
      <w:r w:rsidR="00770924" w:rsidRPr="00401CAC">
        <w:rPr>
          <w:rFonts w:ascii="Times New Roman" w:hAnsi="Times New Roman" w:cs="Times New Roman"/>
          <w:color w:val="000000" w:themeColor="text1"/>
          <w:sz w:val="20"/>
          <w:szCs w:val="20"/>
        </w:rPr>
        <w:t>), </w:t>
      </w:r>
      <w:proofErr w:type="spellStart"/>
      <w:r w:rsidR="00770924" w:rsidRPr="00401CAC">
        <w:rPr>
          <w:rFonts w:ascii="Times New Roman" w:hAnsi="Times New Roman" w:cs="Times New Roman"/>
          <w:i/>
          <w:iCs/>
          <w:color w:val="000000" w:themeColor="text1"/>
          <w:sz w:val="20"/>
          <w:szCs w:val="20"/>
        </w:rPr>
        <w:t>hrpB</w:t>
      </w:r>
      <w:proofErr w:type="spellEnd"/>
      <w:r w:rsidR="00524838" w:rsidRPr="00401CAC">
        <w:rPr>
          <w:rFonts w:ascii="Times New Roman" w:hAnsi="Times New Roman" w:cs="Times New Roman"/>
          <w:i/>
          <w:iCs/>
          <w:color w:val="000000" w:themeColor="text1"/>
          <w:sz w:val="20"/>
          <w:szCs w:val="20"/>
        </w:rPr>
        <w:t>,</w:t>
      </w:r>
      <w:r w:rsidR="00770924" w:rsidRPr="00401CAC">
        <w:rPr>
          <w:rFonts w:ascii="Times New Roman" w:hAnsi="Times New Roman" w:cs="Times New Roman"/>
          <w:color w:val="000000" w:themeColor="text1"/>
          <w:sz w:val="20"/>
          <w:szCs w:val="20"/>
        </w:rPr>
        <w:t> and </w:t>
      </w:r>
      <w:proofErr w:type="spellStart"/>
      <w:r w:rsidR="00770924" w:rsidRPr="00401CAC">
        <w:rPr>
          <w:rFonts w:ascii="Times New Roman" w:hAnsi="Times New Roman" w:cs="Times New Roman"/>
          <w:i/>
          <w:iCs/>
          <w:color w:val="000000" w:themeColor="text1"/>
          <w:sz w:val="20"/>
          <w:szCs w:val="20"/>
        </w:rPr>
        <w:t>mutS</w:t>
      </w:r>
      <w:proofErr w:type="spellEnd"/>
      <w:r w:rsidR="00770924" w:rsidRPr="00401CAC">
        <w:rPr>
          <w:rFonts w:ascii="Times New Roman" w:hAnsi="Times New Roman" w:cs="Times New Roman"/>
          <w:color w:val="000000" w:themeColor="text1"/>
          <w:sz w:val="20"/>
          <w:szCs w:val="20"/>
        </w:rPr>
        <w:t> genes was put forth by Fegan and Prior</w:t>
      </w:r>
      <w:r w:rsidR="006C3DBC">
        <w:rPr>
          <w:rFonts w:ascii="Times New Roman" w:hAnsi="Times New Roman" w:cs="Times New Roman"/>
          <w:color w:val="000000" w:themeColor="text1"/>
          <w:sz w:val="20"/>
          <w:szCs w:val="20"/>
        </w:rPr>
        <w:t xml:space="preserve"> (2005)</w:t>
      </w:r>
      <w:r w:rsidR="00770924" w:rsidRPr="00401CAC">
        <w:rPr>
          <w:rFonts w:ascii="Times New Roman" w:hAnsi="Times New Roman" w:cs="Times New Roman"/>
          <w:color w:val="000000" w:themeColor="text1"/>
          <w:sz w:val="20"/>
          <w:szCs w:val="20"/>
        </w:rPr>
        <w:t xml:space="preserve">. </w:t>
      </w:r>
      <w:r w:rsidR="00A77AA2" w:rsidRPr="00401CAC">
        <w:rPr>
          <w:rFonts w:ascii="Times New Roman" w:hAnsi="Times New Roman" w:cs="Times New Roman"/>
          <w:color w:val="000000" w:themeColor="text1"/>
          <w:sz w:val="20"/>
          <w:szCs w:val="20"/>
        </w:rPr>
        <w:t>In that way, RSSC strains are classified into four major phylotypes based on their geographical origins</w:t>
      </w:r>
      <w:r w:rsidR="003F050A" w:rsidRPr="00401CAC">
        <w:rPr>
          <w:rFonts w:ascii="Times New Roman" w:hAnsi="Times New Roman" w:cs="Times New Roman"/>
          <w:color w:val="000000" w:themeColor="text1"/>
          <w:sz w:val="20"/>
          <w:szCs w:val="20"/>
        </w:rPr>
        <w:t>,</w:t>
      </w:r>
      <w:r w:rsidR="00A77AA2" w:rsidRPr="00401CAC">
        <w:rPr>
          <w:rFonts w:ascii="Times New Roman" w:hAnsi="Times New Roman" w:cs="Times New Roman"/>
          <w:color w:val="000000" w:themeColor="text1"/>
          <w:sz w:val="20"/>
          <w:szCs w:val="20"/>
        </w:rPr>
        <w:t xml:space="preserve"> </w:t>
      </w:r>
      <w:r w:rsidR="00A77AA2" w:rsidRPr="00401CAC">
        <w:rPr>
          <w:rFonts w:ascii="Times New Roman" w:hAnsi="Times New Roman" w:cs="Times New Roman"/>
          <w:i/>
          <w:iCs/>
          <w:color w:val="000000" w:themeColor="text1"/>
          <w:sz w:val="20"/>
          <w:szCs w:val="20"/>
        </w:rPr>
        <w:t>viz</w:t>
      </w:r>
      <w:r w:rsidR="00A77AA2" w:rsidRPr="00401CAC">
        <w:rPr>
          <w:rFonts w:ascii="Times New Roman" w:hAnsi="Times New Roman" w:cs="Times New Roman"/>
          <w:color w:val="000000" w:themeColor="text1"/>
          <w:sz w:val="20"/>
          <w:szCs w:val="20"/>
        </w:rPr>
        <w:t xml:space="preserve"> </w:t>
      </w:r>
      <w:r w:rsidR="004C6ADE" w:rsidRPr="00401CAC">
        <w:rPr>
          <w:rFonts w:ascii="Times New Roman" w:hAnsi="Times New Roman" w:cs="Times New Roman"/>
          <w:color w:val="000000" w:themeColor="text1"/>
          <w:sz w:val="20"/>
          <w:szCs w:val="20"/>
        </w:rPr>
        <w:t>Phylotype I (Asia), Phylotype II (the Americas), Phylotype III (Africa and the surrounding islands)</w:t>
      </w:r>
      <w:r w:rsidR="003F050A" w:rsidRPr="00401CAC">
        <w:rPr>
          <w:rFonts w:ascii="Times New Roman" w:hAnsi="Times New Roman" w:cs="Times New Roman"/>
          <w:color w:val="000000" w:themeColor="text1"/>
          <w:sz w:val="20"/>
          <w:szCs w:val="20"/>
        </w:rPr>
        <w:t>,</w:t>
      </w:r>
      <w:r w:rsidR="004C6ADE" w:rsidRPr="00401CAC">
        <w:rPr>
          <w:rFonts w:ascii="Times New Roman" w:hAnsi="Times New Roman" w:cs="Times New Roman"/>
          <w:color w:val="000000" w:themeColor="text1"/>
          <w:sz w:val="20"/>
          <w:szCs w:val="20"/>
        </w:rPr>
        <w:t xml:space="preserve"> and Phylotype IV (Indonesia, Japan</w:t>
      </w:r>
      <w:r w:rsidR="00367ED0" w:rsidRPr="00401CAC">
        <w:rPr>
          <w:rFonts w:ascii="Times New Roman" w:hAnsi="Times New Roman" w:cs="Times New Roman"/>
          <w:color w:val="000000" w:themeColor="text1"/>
          <w:sz w:val="20"/>
          <w:szCs w:val="20"/>
        </w:rPr>
        <w:t>,</w:t>
      </w:r>
      <w:r w:rsidR="004C6ADE" w:rsidRPr="00401CAC">
        <w:rPr>
          <w:rFonts w:ascii="Times New Roman" w:hAnsi="Times New Roman" w:cs="Times New Roman"/>
          <w:color w:val="000000" w:themeColor="text1"/>
          <w:sz w:val="20"/>
          <w:szCs w:val="20"/>
        </w:rPr>
        <w:t xml:space="preserve"> and Australia). These phylotypes are further classified into sequevars, where strains sharing at least 99% similarity in their </w:t>
      </w:r>
      <w:proofErr w:type="spellStart"/>
      <w:r w:rsidR="004C6ADE" w:rsidRPr="00401CAC">
        <w:rPr>
          <w:rFonts w:ascii="Times New Roman" w:hAnsi="Times New Roman" w:cs="Times New Roman"/>
          <w:i/>
          <w:iCs/>
          <w:color w:val="000000" w:themeColor="text1"/>
          <w:sz w:val="20"/>
          <w:szCs w:val="20"/>
        </w:rPr>
        <w:t>egl</w:t>
      </w:r>
      <w:proofErr w:type="spellEnd"/>
      <w:r w:rsidR="004C6ADE" w:rsidRPr="00401CAC">
        <w:rPr>
          <w:rFonts w:ascii="Times New Roman" w:hAnsi="Times New Roman" w:cs="Times New Roman"/>
          <w:color w:val="000000" w:themeColor="text1"/>
          <w:sz w:val="20"/>
          <w:szCs w:val="20"/>
        </w:rPr>
        <w:t xml:space="preserve"> gene sequences are grouped. </w:t>
      </w:r>
      <w:r w:rsidR="008C76EB" w:rsidRPr="00401CAC">
        <w:rPr>
          <w:rFonts w:ascii="Times New Roman" w:hAnsi="Times New Roman" w:cs="Times New Roman"/>
          <w:color w:val="000000" w:themeColor="text1"/>
          <w:sz w:val="20"/>
          <w:szCs w:val="20"/>
        </w:rPr>
        <w:t xml:space="preserve">Later, this classification system was modified by </w:t>
      </w:r>
      <w:proofErr w:type="spellStart"/>
      <w:r w:rsidR="008C76EB" w:rsidRPr="00401CAC">
        <w:rPr>
          <w:rFonts w:ascii="Times New Roman" w:hAnsi="Times New Roman" w:cs="Times New Roman"/>
          <w:color w:val="000000" w:themeColor="text1"/>
          <w:sz w:val="20"/>
          <w:szCs w:val="20"/>
        </w:rPr>
        <w:t>Remenant</w:t>
      </w:r>
      <w:proofErr w:type="spellEnd"/>
      <w:r w:rsidR="008C76EB" w:rsidRPr="00401CAC">
        <w:rPr>
          <w:rFonts w:ascii="Times New Roman" w:hAnsi="Times New Roman" w:cs="Times New Roman"/>
          <w:color w:val="000000" w:themeColor="text1"/>
          <w:sz w:val="20"/>
          <w:szCs w:val="20"/>
        </w:rPr>
        <w:t xml:space="preserve"> </w:t>
      </w:r>
      <w:r w:rsidR="008C76EB" w:rsidRPr="00621946">
        <w:rPr>
          <w:rFonts w:ascii="Times New Roman" w:hAnsi="Times New Roman" w:cs="Times New Roman"/>
          <w:i/>
          <w:iCs/>
          <w:color w:val="000000" w:themeColor="text1"/>
          <w:sz w:val="20"/>
          <w:szCs w:val="20"/>
        </w:rPr>
        <w:t>et al.</w:t>
      </w:r>
      <w:r w:rsidR="00B92E81">
        <w:rPr>
          <w:rFonts w:ascii="Times New Roman" w:hAnsi="Times New Roman" w:cs="Times New Roman"/>
          <w:color w:val="000000" w:themeColor="text1"/>
          <w:sz w:val="20"/>
          <w:szCs w:val="20"/>
        </w:rPr>
        <w:t xml:space="preserve"> (2010)</w:t>
      </w:r>
      <w:r w:rsidR="003F050A" w:rsidRPr="00401CAC">
        <w:rPr>
          <w:rFonts w:ascii="Times New Roman" w:hAnsi="Times New Roman" w:cs="Times New Roman"/>
          <w:color w:val="000000" w:themeColor="text1"/>
          <w:sz w:val="20"/>
          <w:szCs w:val="20"/>
        </w:rPr>
        <w:t>,</w:t>
      </w:r>
      <w:r w:rsidR="008C76EB" w:rsidRPr="00401CAC">
        <w:rPr>
          <w:rFonts w:ascii="Times New Roman" w:hAnsi="Times New Roman" w:cs="Times New Roman"/>
          <w:color w:val="000000" w:themeColor="text1"/>
          <w:sz w:val="20"/>
          <w:szCs w:val="20"/>
        </w:rPr>
        <w:t xml:space="preserve"> suggesting </w:t>
      </w:r>
      <w:r w:rsidR="00367ED0" w:rsidRPr="00401CAC">
        <w:rPr>
          <w:rFonts w:ascii="Times New Roman" w:hAnsi="Times New Roman" w:cs="Times New Roman"/>
          <w:color w:val="000000" w:themeColor="text1"/>
          <w:sz w:val="20"/>
          <w:szCs w:val="20"/>
        </w:rPr>
        <w:t xml:space="preserve">that </w:t>
      </w:r>
      <w:r w:rsidR="008C76EB" w:rsidRPr="00401CAC">
        <w:rPr>
          <w:rFonts w:ascii="Times New Roman" w:hAnsi="Times New Roman" w:cs="Times New Roman"/>
          <w:color w:val="000000" w:themeColor="text1"/>
          <w:sz w:val="20"/>
          <w:szCs w:val="20"/>
        </w:rPr>
        <w:t xml:space="preserve">RSSC is composed of three species. This was further </w:t>
      </w:r>
      <w:r w:rsidR="008C3470">
        <w:rPr>
          <w:rFonts w:ascii="Times New Roman" w:hAnsi="Times New Roman" w:cs="Times New Roman"/>
          <w:color w:val="000000" w:themeColor="text1"/>
          <w:sz w:val="20"/>
          <w:szCs w:val="20"/>
        </w:rPr>
        <w:t>formalised</w:t>
      </w:r>
      <w:r w:rsidR="008C76EB" w:rsidRPr="00401CAC">
        <w:rPr>
          <w:rFonts w:ascii="Times New Roman" w:hAnsi="Times New Roman" w:cs="Times New Roman"/>
          <w:color w:val="000000" w:themeColor="text1"/>
          <w:sz w:val="20"/>
          <w:szCs w:val="20"/>
        </w:rPr>
        <w:t xml:space="preserve"> using DNA-DNA </w:t>
      </w:r>
      <w:r w:rsidR="008C3470">
        <w:rPr>
          <w:rFonts w:ascii="Times New Roman" w:hAnsi="Times New Roman" w:cs="Times New Roman"/>
          <w:color w:val="000000" w:themeColor="text1"/>
          <w:sz w:val="20"/>
          <w:szCs w:val="20"/>
        </w:rPr>
        <w:t>hybridisation</w:t>
      </w:r>
      <w:r w:rsidR="008C76EB" w:rsidRPr="00401CAC">
        <w:rPr>
          <w:rFonts w:ascii="Times New Roman" w:hAnsi="Times New Roman" w:cs="Times New Roman"/>
          <w:color w:val="000000" w:themeColor="text1"/>
          <w:sz w:val="20"/>
          <w:szCs w:val="20"/>
        </w:rPr>
        <w:t xml:space="preserve"> analyses</w:t>
      </w:r>
      <w:r w:rsidR="003F050A" w:rsidRPr="00401CAC">
        <w:rPr>
          <w:rFonts w:ascii="Times New Roman" w:hAnsi="Times New Roman" w:cs="Times New Roman"/>
          <w:color w:val="000000" w:themeColor="text1"/>
          <w:sz w:val="20"/>
          <w:szCs w:val="20"/>
        </w:rPr>
        <w:t>,</w:t>
      </w:r>
      <w:r w:rsidR="008C76EB" w:rsidRPr="00401CAC">
        <w:rPr>
          <w:rFonts w:ascii="Times New Roman" w:hAnsi="Times New Roman" w:cs="Times New Roman"/>
          <w:color w:val="000000" w:themeColor="text1"/>
          <w:sz w:val="20"/>
          <w:szCs w:val="20"/>
        </w:rPr>
        <w:t xml:space="preserve"> leading to the classification of RSSC into </w:t>
      </w:r>
      <w:r w:rsidR="008C76EB" w:rsidRPr="00401CAC">
        <w:rPr>
          <w:rFonts w:ascii="Times New Roman" w:hAnsi="Times New Roman" w:cs="Times New Roman"/>
          <w:i/>
          <w:iCs/>
          <w:color w:val="000000" w:themeColor="text1"/>
          <w:sz w:val="20"/>
          <w:szCs w:val="20"/>
        </w:rPr>
        <w:t>R. solanacearum</w:t>
      </w:r>
      <w:r w:rsidR="008C76EB" w:rsidRPr="00401CAC">
        <w:rPr>
          <w:rFonts w:ascii="Times New Roman" w:hAnsi="Times New Roman" w:cs="Times New Roman"/>
          <w:color w:val="000000" w:themeColor="text1"/>
          <w:sz w:val="20"/>
          <w:szCs w:val="20"/>
        </w:rPr>
        <w:t> (Phylotype II), </w:t>
      </w:r>
      <w:r w:rsidR="008C76EB" w:rsidRPr="00401CAC">
        <w:rPr>
          <w:rFonts w:ascii="Times New Roman" w:hAnsi="Times New Roman" w:cs="Times New Roman"/>
          <w:i/>
          <w:iCs/>
          <w:color w:val="000000" w:themeColor="text1"/>
          <w:sz w:val="20"/>
          <w:szCs w:val="20"/>
        </w:rPr>
        <w:t xml:space="preserve">R. </w:t>
      </w:r>
      <w:proofErr w:type="spellStart"/>
      <w:r w:rsidR="008C76EB" w:rsidRPr="00401CAC">
        <w:rPr>
          <w:rFonts w:ascii="Times New Roman" w:hAnsi="Times New Roman" w:cs="Times New Roman"/>
          <w:i/>
          <w:iCs/>
          <w:color w:val="000000" w:themeColor="text1"/>
          <w:sz w:val="20"/>
          <w:szCs w:val="20"/>
        </w:rPr>
        <w:t>pseudosolanacearum</w:t>
      </w:r>
      <w:proofErr w:type="spellEnd"/>
      <w:r w:rsidR="008C76EB" w:rsidRPr="00401CAC">
        <w:rPr>
          <w:rFonts w:ascii="Times New Roman" w:hAnsi="Times New Roman" w:cs="Times New Roman"/>
          <w:color w:val="000000" w:themeColor="text1"/>
          <w:sz w:val="20"/>
          <w:szCs w:val="20"/>
        </w:rPr>
        <w:t> (Phylotypes I and III)</w:t>
      </w:r>
      <w:r w:rsidR="003F050A" w:rsidRPr="00401CAC">
        <w:rPr>
          <w:rFonts w:ascii="Times New Roman" w:hAnsi="Times New Roman" w:cs="Times New Roman"/>
          <w:color w:val="000000" w:themeColor="text1"/>
          <w:sz w:val="20"/>
          <w:szCs w:val="20"/>
        </w:rPr>
        <w:t>,</w:t>
      </w:r>
      <w:r w:rsidR="008C76EB" w:rsidRPr="00401CAC">
        <w:rPr>
          <w:rFonts w:ascii="Times New Roman" w:hAnsi="Times New Roman" w:cs="Times New Roman"/>
          <w:color w:val="000000" w:themeColor="text1"/>
          <w:sz w:val="20"/>
          <w:szCs w:val="20"/>
        </w:rPr>
        <w:t xml:space="preserve"> and </w:t>
      </w:r>
      <w:r w:rsidR="008C76EB" w:rsidRPr="00401CAC">
        <w:rPr>
          <w:rFonts w:ascii="Times New Roman" w:hAnsi="Times New Roman" w:cs="Times New Roman"/>
          <w:i/>
          <w:iCs/>
          <w:color w:val="000000" w:themeColor="text1"/>
          <w:sz w:val="20"/>
          <w:szCs w:val="20"/>
        </w:rPr>
        <w:t xml:space="preserve">R. </w:t>
      </w:r>
      <w:proofErr w:type="spellStart"/>
      <w:r w:rsidR="008C76EB" w:rsidRPr="00401CAC">
        <w:rPr>
          <w:rFonts w:ascii="Times New Roman" w:hAnsi="Times New Roman" w:cs="Times New Roman"/>
          <w:i/>
          <w:iCs/>
          <w:color w:val="000000" w:themeColor="text1"/>
          <w:sz w:val="20"/>
          <w:szCs w:val="20"/>
        </w:rPr>
        <w:t>syzygii</w:t>
      </w:r>
      <w:proofErr w:type="spellEnd"/>
      <w:r w:rsidR="008C76EB" w:rsidRPr="00401CAC">
        <w:rPr>
          <w:rFonts w:ascii="Times New Roman" w:hAnsi="Times New Roman" w:cs="Times New Roman"/>
          <w:color w:val="000000" w:themeColor="text1"/>
          <w:sz w:val="20"/>
          <w:szCs w:val="20"/>
        </w:rPr>
        <w:t> (Phylotype IV and the Blood Disease Bacterium strains). This classification was su</w:t>
      </w:r>
      <w:r w:rsidR="00BB7726" w:rsidRPr="00401CAC">
        <w:rPr>
          <w:rFonts w:ascii="Times New Roman" w:hAnsi="Times New Roman" w:cs="Times New Roman"/>
          <w:color w:val="000000" w:themeColor="text1"/>
          <w:sz w:val="20"/>
          <w:szCs w:val="20"/>
        </w:rPr>
        <w:t xml:space="preserve">pported by Prior </w:t>
      </w:r>
      <w:r w:rsidR="00BB7726" w:rsidRPr="005C5333">
        <w:rPr>
          <w:rFonts w:ascii="Times New Roman" w:hAnsi="Times New Roman" w:cs="Times New Roman"/>
          <w:i/>
          <w:iCs/>
          <w:color w:val="000000" w:themeColor="text1"/>
          <w:sz w:val="20"/>
          <w:szCs w:val="20"/>
        </w:rPr>
        <w:t>et al.</w:t>
      </w:r>
      <w:r w:rsidR="00282308" w:rsidRPr="005C5333">
        <w:rPr>
          <w:rFonts w:ascii="Times New Roman" w:hAnsi="Times New Roman" w:cs="Times New Roman"/>
          <w:i/>
          <w:iCs/>
          <w:color w:val="000000" w:themeColor="text1"/>
          <w:sz w:val="20"/>
          <w:szCs w:val="20"/>
        </w:rPr>
        <w:t xml:space="preserve"> </w:t>
      </w:r>
      <w:r w:rsidR="0021025F">
        <w:rPr>
          <w:rFonts w:ascii="Times New Roman" w:hAnsi="Times New Roman" w:cs="Times New Roman"/>
          <w:color w:val="000000" w:themeColor="text1"/>
          <w:sz w:val="20"/>
          <w:szCs w:val="20"/>
        </w:rPr>
        <w:t>(</w:t>
      </w:r>
      <w:r w:rsidR="00282308">
        <w:rPr>
          <w:rFonts w:ascii="Times New Roman" w:hAnsi="Times New Roman" w:cs="Times New Roman"/>
          <w:color w:val="000000" w:themeColor="text1"/>
          <w:sz w:val="20"/>
          <w:szCs w:val="20"/>
        </w:rPr>
        <w:t>2016</w:t>
      </w:r>
      <w:r w:rsidR="0021025F">
        <w:rPr>
          <w:rFonts w:ascii="Times New Roman" w:hAnsi="Times New Roman" w:cs="Times New Roman"/>
          <w:color w:val="000000" w:themeColor="text1"/>
          <w:sz w:val="20"/>
          <w:szCs w:val="20"/>
        </w:rPr>
        <w:t>)</w:t>
      </w:r>
      <w:r w:rsidR="00BB7726" w:rsidRPr="00401CAC">
        <w:rPr>
          <w:rFonts w:ascii="Times New Roman" w:hAnsi="Times New Roman" w:cs="Times New Roman"/>
          <w:color w:val="000000" w:themeColor="text1"/>
          <w:sz w:val="20"/>
          <w:szCs w:val="20"/>
        </w:rPr>
        <w:t xml:space="preserve"> using genomic, proteomic</w:t>
      </w:r>
      <w:r w:rsidR="003F050A" w:rsidRPr="00401CAC">
        <w:rPr>
          <w:rFonts w:ascii="Times New Roman" w:hAnsi="Times New Roman" w:cs="Times New Roman"/>
          <w:color w:val="000000" w:themeColor="text1"/>
          <w:sz w:val="20"/>
          <w:szCs w:val="20"/>
        </w:rPr>
        <w:t>,</w:t>
      </w:r>
      <w:r w:rsidR="00BB7726" w:rsidRPr="00401CAC">
        <w:rPr>
          <w:rFonts w:ascii="Times New Roman" w:hAnsi="Times New Roman" w:cs="Times New Roman"/>
          <w:color w:val="000000" w:themeColor="text1"/>
          <w:sz w:val="20"/>
          <w:szCs w:val="20"/>
        </w:rPr>
        <w:t xml:space="preserve"> and phenotypic analyses, resulting in its wide acceptance.</w:t>
      </w:r>
    </w:p>
    <w:p w14:paraId="3B689546" w14:textId="4941381A" w:rsidR="00353AB5" w:rsidRPr="00401CAC" w:rsidRDefault="00E62755" w:rsidP="00AB74CF">
      <w:pPr>
        <w:ind w:firstLine="720"/>
        <w:jc w:val="both"/>
        <w:rPr>
          <w:rFonts w:ascii="Times New Roman" w:hAnsi="Times New Roman" w:cs="Times New Roman"/>
          <w:sz w:val="20"/>
          <w:szCs w:val="20"/>
        </w:rPr>
      </w:pPr>
      <w:r w:rsidRPr="00401CAC">
        <w:rPr>
          <w:rFonts w:ascii="Times New Roman" w:hAnsi="Times New Roman" w:cs="Times New Roman"/>
          <w:sz w:val="20"/>
          <w:szCs w:val="20"/>
        </w:rPr>
        <w:t xml:space="preserve">Infection by </w:t>
      </w:r>
      <w:r w:rsidR="00245093">
        <w:rPr>
          <w:rFonts w:ascii="Times New Roman" w:hAnsi="Times New Roman" w:cs="Times New Roman"/>
          <w:sz w:val="20"/>
          <w:szCs w:val="20"/>
        </w:rPr>
        <w:t xml:space="preserve">RSSC </w:t>
      </w:r>
      <w:r w:rsidRPr="00401CAC">
        <w:rPr>
          <w:rFonts w:ascii="Times New Roman" w:hAnsi="Times New Roman" w:cs="Times New Roman"/>
          <w:color w:val="000000" w:themeColor="text1"/>
          <w:sz w:val="20"/>
          <w:szCs w:val="20"/>
        </w:rPr>
        <w:t>significantly reduce</w:t>
      </w:r>
      <w:r w:rsidR="00F105CA" w:rsidRPr="00401CAC">
        <w:rPr>
          <w:rFonts w:ascii="Times New Roman" w:hAnsi="Times New Roman" w:cs="Times New Roman"/>
          <w:color w:val="000000" w:themeColor="text1"/>
          <w:sz w:val="20"/>
          <w:szCs w:val="20"/>
        </w:rPr>
        <w:t>s</w:t>
      </w:r>
      <w:r w:rsidRPr="00401CAC">
        <w:rPr>
          <w:rFonts w:ascii="Times New Roman" w:hAnsi="Times New Roman" w:cs="Times New Roman"/>
          <w:color w:val="000000" w:themeColor="text1"/>
          <w:sz w:val="20"/>
          <w:szCs w:val="20"/>
        </w:rPr>
        <w:t xml:space="preserve"> the crop quality and yield. </w:t>
      </w:r>
      <w:r w:rsidR="00245093">
        <w:rPr>
          <w:rFonts w:ascii="Times New Roman" w:hAnsi="Times New Roman" w:cs="Times New Roman"/>
          <w:color w:val="000000" w:themeColor="text1"/>
          <w:sz w:val="20"/>
          <w:szCs w:val="20"/>
        </w:rPr>
        <w:t>The fascinating survival ability of this pathogen is one of the main factors behind the failure of existing management strategies to mitigate its impact</w:t>
      </w:r>
      <w:r w:rsidR="00B57791">
        <w:rPr>
          <w:rFonts w:ascii="Times New Roman" w:hAnsi="Times New Roman" w:cs="Times New Roman"/>
          <w:color w:val="000000" w:themeColor="text1"/>
          <w:sz w:val="20"/>
          <w:szCs w:val="20"/>
        </w:rPr>
        <w:t xml:space="preserve"> </w:t>
      </w:r>
      <w:r w:rsidR="00B57791" w:rsidRPr="00401CAC">
        <w:rPr>
          <w:rFonts w:ascii="Times New Roman" w:hAnsi="Times New Roman" w:cs="Times New Roman"/>
          <w:sz w:val="20"/>
          <w:szCs w:val="20"/>
        </w:rPr>
        <w:t xml:space="preserve">(Kelman, 1956). </w:t>
      </w:r>
      <w:r w:rsidRPr="00401CAC">
        <w:rPr>
          <w:rFonts w:ascii="Times New Roman" w:hAnsi="Times New Roman" w:cs="Times New Roman"/>
          <w:color w:val="000000" w:themeColor="text1"/>
          <w:sz w:val="20"/>
          <w:szCs w:val="20"/>
        </w:rPr>
        <w:t>They are prevalent in tropical, subtropical</w:t>
      </w:r>
      <w:r w:rsidR="004B07DE" w:rsidRPr="00401CAC">
        <w:rPr>
          <w:rFonts w:ascii="Times New Roman" w:hAnsi="Times New Roman" w:cs="Times New Roman"/>
          <w:color w:val="000000" w:themeColor="text1"/>
          <w:sz w:val="20"/>
          <w:szCs w:val="20"/>
        </w:rPr>
        <w:t>,</w:t>
      </w:r>
      <w:r w:rsidRPr="00401CAC">
        <w:rPr>
          <w:rFonts w:ascii="Times New Roman" w:hAnsi="Times New Roman" w:cs="Times New Roman"/>
          <w:color w:val="000000" w:themeColor="text1"/>
          <w:sz w:val="20"/>
          <w:szCs w:val="20"/>
        </w:rPr>
        <w:t xml:space="preserve"> and other warm temperate regions</w:t>
      </w:r>
      <w:r w:rsidR="007A53DF" w:rsidRPr="00401CAC">
        <w:rPr>
          <w:rFonts w:ascii="Times New Roman" w:hAnsi="Times New Roman" w:cs="Times New Roman"/>
          <w:color w:val="000000" w:themeColor="text1"/>
          <w:sz w:val="20"/>
          <w:szCs w:val="20"/>
        </w:rPr>
        <w:t xml:space="preserve"> (Caruso </w:t>
      </w:r>
      <w:r w:rsidR="007A53DF" w:rsidRPr="00A651EA">
        <w:rPr>
          <w:rFonts w:ascii="Times New Roman" w:hAnsi="Times New Roman" w:cs="Times New Roman"/>
          <w:i/>
          <w:iCs/>
          <w:color w:val="000000" w:themeColor="text1"/>
          <w:sz w:val="20"/>
          <w:szCs w:val="20"/>
        </w:rPr>
        <w:t>et al.</w:t>
      </w:r>
      <w:r w:rsidR="00A651EA">
        <w:rPr>
          <w:rFonts w:ascii="Times New Roman" w:hAnsi="Times New Roman" w:cs="Times New Roman"/>
          <w:i/>
          <w:iCs/>
          <w:color w:val="000000" w:themeColor="text1"/>
          <w:sz w:val="20"/>
          <w:szCs w:val="20"/>
        </w:rPr>
        <w:t>,</w:t>
      </w:r>
      <w:r w:rsidR="007A53DF" w:rsidRPr="00401CAC">
        <w:rPr>
          <w:rFonts w:ascii="Times New Roman" w:hAnsi="Times New Roman" w:cs="Times New Roman"/>
          <w:color w:val="000000" w:themeColor="text1"/>
          <w:sz w:val="20"/>
          <w:szCs w:val="20"/>
        </w:rPr>
        <w:t xml:space="preserve"> 2003)</w:t>
      </w:r>
      <w:r w:rsidR="007474F5" w:rsidRPr="00401CAC">
        <w:rPr>
          <w:rFonts w:ascii="Times New Roman" w:hAnsi="Times New Roman" w:cs="Times New Roman"/>
          <w:color w:val="000000" w:themeColor="text1"/>
          <w:sz w:val="20"/>
          <w:szCs w:val="20"/>
        </w:rPr>
        <w:t xml:space="preserve">. </w:t>
      </w:r>
      <w:r w:rsidR="00AF2FE4" w:rsidRPr="00401CAC">
        <w:rPr>
          <w:rFonts w:ascii="Times New Roman" w:hAnsi="Times New Roman" w:cs="Times New Roman"/>
          <w:sz w:val="20"/>
          <w:szCs w:val="20"/>
        </w:rPr>
        <w:t>They possess a wider host range and exhibit a high level of genetic and phenotypic variability. Innate ability for transformation (</w:t>
      </w:r>
      <w:proofErr w:type="spellStart"/>
      <w:r w:rsidR="00AF2FE4" w:rsidRPr="00401CAC">
        <w:rPr>
          <w:rFonts w:ascii="Times New Roman" w:hAnsi="Times New Roman" w:cs="Times New Roman"/>
          <w:color w:val="000000" w:themeColor="text1"/>
          <w:sz w:val="20"/>
          <w:szCs w:val="20"/>
        </w:rPr>
        <w:t>Champoiseau</w:t>
      </w:r>
      <w:proofErr w:type="spellEnd"/>
      <w:r w:rsidR="00AF2FE4" w:rsidRPr="00401CAC">
        <w:rPr>
          <w:rFonts w:ascii="Times New Roman" w:hAnsi="Times New Roman" w:cs="Times New Roman"/>
          <w:i/>
          <w:iCs/>
          <w:color w:val="000000" w:themeColor="text1"/>
          <w:sz w:val="20"/>
          <w:szCs w:val="20"/>
        </w:rPr>
        <w:t> </w:t>
      </w:r>
      <w:r w:rsidR="00AF2FE4" w:rsidRPr="00E17B06">
        <w:rPr>
          <w:rFonts w:ascii="Times New Roman" w:hAnsi="Times New Roman" w:cs="Times New Roman"/>
          <w:i/>
          <w:iCs/>
          <w:color w:val="000000" w:themeColor="text1"/>
          <w:sz w:val="20"/>
          <w:szCs w:val="20"/>
        </w:rPr>
        <w:t>et al</w:t>
      </w:r>
      <w:r w:rsidR="00AF2FE4" w:rsidRPr="00401CAC">
        <w:rPr>
          <w:rFonts w:ascii="Times New Roman" w:hAnsi="Times New Roman" w:cs="Times New Roman"/>
          <w:i/>
          <w:iCs/>
          <w:color w:val="000000" w:themeColor="text1"/>
          <w:sz w:val="20"/>
          <w:szCs w:val="20"/>
        </w:rPr>
        <w:t>.</w:t>
      </w:r>
      <w:r w:rsidR="00E17B06">
        <w:rPr>
          <w:rFonts w:ascii="Times New Roman" w:hAnsi="Times New Roman" w:cs="Times New Roman"/>
          <w:i/>
          <w:iCs/>
          <w:color w:val="000000" w:themeColor="text1"/>
          <w:sz w:val="20"/>
          <w:szCs w:val="20"/>
        </w:rPr>
        <w:t>,</w:t>
      </w:r>
      <w:r w:rsidR="00AF2FE4" w:rsidRPr="00401CAC">
        <w:rPr>
          <w:rFonts w:ascii="Times New Roman" w:hAnsi="Times New Roman" w:cs="Times New Roman"/>
          <w:i/>
          <w:iCs/>
          <w:color w:val="000000" w:themeColor="text1"/>
          <w:sz w:val="20"/>
          <w:szCs w:val="20"/>
        </w:rPr>
        <w:t xml:space="preserve"> </w:t>
      </w:r>
      <w:r w:rsidR="00AF2FE4" w:rsidRPr="00401CAC">
        <w:rPr>
          <w:rFonts w:ascii="Times New Roman" w:hAnsi="Times New Roman" w:cs="Times New Roman"/>
          <w:color w:val="000000" w:themeColor="text1"/>
          <w:sz w:val="20"/>
          <w:szCs w:val="20"/>
        </w:rPr>
        <w:t xml:space="preserve">2009) </w:t>
      </w:r>
      <w:r w:rsidR="00AF2FE4" w:rsidRPr="00401CAC">
        <w:rPr>
          <w:rFonts w:ascii="Times New Roman" w:hAnsi="Times New Roman" w:cs="Times New Roman"/>
          <w:sz w:val="20"/>
          <w:szCs w:val="20"/>
        </w:rPr>
        <w:t>and recombination (</w:t>
      </w:r>
      <w:r w:rsidR="00AF2FE4" w:rsidRPr="00B15DD7">
        <w:rPr>
          <w:rFonts w:ascii="Times New Roman" w:hAnsi="Times New Roman" w:cs="Times New Roman"/>
          <w:color w:val="000000" w:themeColor="text1"/>
          <w:sz w:val="20"/>
          <w:szCs w:val="20"/>
        </w:rPr>
        <w:t>Muthoni</w:t>
      </w:r>
      <w:r w:rsidR="00AF2FE4" w:rsidRPr="00B15DD7">
        <w:rPr>
          <w:rFonts w:ascii="Times New Roman" w:hAnsi="Times New Roman" w:cs="Times New Roman"/>
          <w:i/>
          <w:iCs/>
          <w:color w:val="000000" w:themeColor="text1"/>
          <w:sz w:val="20"/>
          <w:szCs w:val="20"/>
        </w:rPr>
        <w:t> </w:t>
      </w:r>
      <w:r w:rsidR="00AF2FE4" w:rsidRPr="00A718AF">
        <w:rPr>
          <w:rFonts w:ascii="Times New Roman" w:hAnsi="Times New Roman" w:cs="Times New Roman"/>
          <w:i/>
          <w:iCs/>
          <w:color w:val="000000" w:themeColor="text1"/>
          <w:sz w:val="20"/>
          <w:szCs w:val="20"/>
        </w:rPr>
        <w:t>et al.</w:t>
      </w:r>
      <w:r w:rsidR="00A718AF" w:rsidRPr="00A718AF">
        <w:rPr>
          <w:rFonts w:ascii="Times New Roman" w:hAnsi="Times New Roman" w:cs="Times New Roman"/>
          <w:i/>
          <w:iCs/>
          <w:color w:val="000000" w:themeColor="text1"/>
          <w:sz w:val="20"/>
          <w:szCs w:val="20"/>
        </w:rPr>
        <w:t>,</w:t>
      </w:r>
      <w:r w:rsidR="00AF2FE4">
        <w:rPr>
          <w:rFonts w:ascii="Times New Roman" w:hAnsi="Times New Roman" w:cs="Times New Roman"/>
          <w:color w:val="000000" w:themeColor="text1"/>
          <w:sz w:val="20"/>
          <w:szCs w:val="20"/>
        </w:rPr>
        <w:t xml:space="preserve"> 2014</w:t>
      </w:r>
      <w:r w:rsidR="00AF2FE4" w:rsidRPr="00401CAC">
        <w:rPr>
          <w:rFonts w:ascii="Times New Roman" w:hAnsi="Times New Roman" w:cs="Times New Roman"/>
          <w:sz w:val="20"/>
          <w:szCs w:val="20"/>
        </w:rPr>
        <w:t>) are the key factors behind their genetic variation.</w:t>
      </w:r>
      <w:r w:rsidR="00AF2FE4">
        <w:rPr>
          <w:rFonts w:ascii="Times New Roman" w:hAnsi="Times New Roman" w:cs="Times New Roman"/>
          <w:sz w:val="20"/>
          <w:szCs w:val="20"/>
        </w:rPr>
        <w:t xml:space="preserve"> </w:t>
      </w:r>
      <w:r w:rsidR="00C32608" w:rsidRPr="00401CAC">
        <w:rPr>
          <w:rFonts w:ascii="Times New Roman" w:hAnsi="Times New Roman" w:cs="Times New Roman"/>
          <w:sz w:val="20"/>
          <w:szCs w:val="20"/>
        </w:rPr>
        <w:t xml:space="preserve">RSSC strains </w:t>
      </w:r>
      <w:r w:rsidR="004B07DE" w:rsidRPr="00401CAC">
        <w:rPr>
          <w:rFonts w:ascii="Times New Roman" w:hAnsi="Times New Roman" w:cs="Times New Roman"/>
          <w:sz w:val="20"/>
          <w:szCs w:val="20"/>
        </w:rPr>
        <w:t xml:space="preserve">can </w:t>
      </w:r>
      <w:r w:rsidR="00C32608" w:rsidRPr="00401CAC">
        <w:rPr>
          <w:rFonts w:ascii="Times New Roman" w:hAnsi="Times New Roman" w:cs="Times New Roman"/>
          <w:sz w:val="20"/>
          <w:szCs w:val="20"/>
        </w:rPr>
        <w:t xml:space="preserve">exist in both terrestrial and aquatic habitats without </w:t>
      </w:r>
      <w:r w:rsidR="004B07DE" w:rsidRPr="00401CAC">
        <w:rPr>
          <w:rFonts w:ascii="Times New Roman" w:hAnsi="Times New Roman" w:cs="Times New Roman"/>
          <w:sz w:val="20"/>
          <w:szCs w:val="20"/>
        </w:rPr>
        <w:t xml:space="preserve">a </w:t>
      </w:r>
      <w:r w:rsidR="00C32608" w:rsidRPr="00401CAC">
        <w:rPr>
          <w:rFonts w:ascii="Times New Roman" w:hAnsi="Times New Roman" w:cs="Times New Roman"/>
          <w:sz w:val="20"/>
          <w:szCs w:val="20"/>
        </w:rPr>
        <w:t>host</w:t>
      </w:r>
      <w:r w:rsidR="004B07DE" w:rsidRPr="00401CAC">
        <w:rPr>
          <w:rFonts w:ascii="Times New Roman" w:hAnsi="Times New Roman" w:cs="Times New Roman"/>
          <w:sz w:val="20"/>
          <w:szCs w:val="20"/>
        </w:rPr>
        <w:t xml:space="preserve"> </w:t>
      </w:r>
      <w:r w:rsidR="00C32608" w:rsidRPr="00401CAC">
        <w:rPr>
          <w:rFonts w:ascii="Times New Roman" w:hAnsi="Times New Roman" w:cs="Times New Roman"/>
          <w:sz w:val="20"/>
          <w:szCs w:val="20"/>
        </w:rPr>
        <w:t xml:space="preserve">for a </w:t>
      </w:r>
      <w:r w:rsidR="004B07DE" w:rsidRPr="00401CAC">
        <w:rPr>
          <w:rFonts w:ascii="Times New Roman" w:hAnsi="Times New Roman" w:cs="Times New Roman"/>
          <w:sz w:val="20"/>
          <w:szCs w:val="20"/>
        </w:rPr>
        <w:t xml:space="preserve">prolonged </w:t>
      </w:r>
      <w:r w:rsidR="00C32608" w:rsidRPr="00401CAC">
        <w:rPr>
          <w:rFonts w:ascii="Times New Roman" w:hAnsi="Times New Roman" w:cs="Times New Roman"/>
          <w:sz w:val="20"/>
          <w:szCs w:val="20"/>
        </w:rPr>
        <w:t xml:space="preserve">period. </w:t>
      </w:r>
      <w:r w:rsidR="00DA5DB7" w:rsidRPr="00401CAC">
        <w:rPr>
          <w:rFonts w:ascii="Times New Roman" w:hAnsi="Times New Roman" w:cs="Times New Roman"/>
          <w:sz w:val="20"/>
          <w:szCs w:val="20"/>
        </w:rPr>
        <w:t xml:space="preserve">According to </w:t>
      </w:r>
      <w:r w:rsidR="008765FC">
        <w:rPr>
          <w:rFonts w:ascii="Times New Roman" w:hAnsi="Times New Roman" w:cs="Times New Roman"/>
          <w:sz w:val="20"/>
          <w:szCs w:val="20"/>
        </w:rPr>
        <w:t xml:space="preserve">the </w:t>
      </w:r>
      <w:r w:rsidR="0021025F" w:rsidRPr="0021025F">
        <w:rPr>
          <w:rFonts w:ascii="Times New Roman" w:hAnsi="Times New Roman" w:cs="Times New Roman"/>
          <w:sz w:val="20"/>
          <w:szCs w:val="20"/>
        </w:rPr>
        <w:t xml:space="preserve">European Food Safety Authority [EFSA] </w:t>
      </w:r>
      <w:r w:rsidR="0021025F">
        <w:rPr>
          <w:rFonts w:ascii="Times New Roman" w:hAnsi="Times New Roman" w:cs="Times New Roman"/>
          <w:sz w:val="20"/>
          <w:szCs w:val="20"/>
        </w:rPr>
        <w:t>(</w:t>
      </w:r>
      <w:r w:rsidR="0021025F" w:rsidRPr="0021025F">
        <w:rPr>
          <w:rFonts w:ascii="Times New Roman" w:hAnsi="Times New Roman" w:cs="Times New Roman"/>
          <w:sz w:val="20"/>
          <w:szCs w:val="20"/>
        </w:rPr>
        <w:t>2019</w:t>
      </w:r>
      <w:r w:rsidR="0021025F">
        <w:rPr>
          <w:rFonts w:ascii="Times New Roman" w:hAnsi="Times New Roman" w:cs="Times New Roman"/>
          <w:sz w:val="20"/>
          <w:szCs w:val="20"/>
        </w:rPr>
        <w:t xml:space="preserve">) </w:t>
      </w:r>
      <w:r w:rsidR="00DA5DB7" w:rsidRPr="00401CAC">
        <w:rPr>
          <w:rFonts w:ascii="Times New Roman" w:hAnsi="Times New Roman" w:cs="Times New Roman"/>
          <w:sz w:val="20"/>
          <w:szCs w:val="20"/>
        </w:rPr>
        <w:t xml:space="preserve">and </w:t>
      </w:r>
      <w:r w:rsidR="008765FC">
        <w:rPr>
          <w:rFonts w:ascii="Times New Roman" w:hAnsi="Times New Roman" w:cs="Times New Roman"/>
          <w:sz w:val="20"/>
          <w:szCs w:val="20"/>
        </w:rPr>
        <w:t xml:space="preserve">the </w:t>
      </w:r>
      <w:r w:rsidR="005A22B3" w:rsidRPr="00EC64CF">
        <w:rPr>
          <w:rFonts w:ascii="Times New Roman" w:hAnsi="Times New Roman" w:cs="Times New Roman"/>
          <w:sz w:val="20"/>
          <w:szCs w:val="20"/>
        </w:rPr>
        <w:t xml:space="preserve">EFSA Panel on Plant Health </w:t>
      </w:r>
      <w:r w:rsidR="00DA5DB7" w:rsidRPr="00401CAC">
        <w:rPr>
          <w:rFonts w:ascii="Times New Roman" w:hAnsi="Times New Roman" w:cs="Times New Roman"/>
          <w:sz w:val="20"/>
          <w:szCs w:val="20"/>
        </w:rPr>
        <w:t xml:space="preserve">(2019), RSSC can persist for extended periods of time at somewhat high levels within perennial hosts, such as the RSSC-tolerant plant </w:t>
      </w:r>
      <w:r w:rsidR="00DA5DB7" w:rsidRPr="00401CAC">
        <w:rPr>
          <w:rFonts w:ascii="Times New Roman" w:hAnsi="Times New Roman" w:cs="Times New Roman"/>
          <w:i/>
          <w:iCs/>
          <w:sz w:val="20"/>
          <w:szCs w:val="20"/>
        </w:rPr>
        <w:t>Solanum dulcamara</w:t>
      </w:r>
      <w:r w:rsidR="00DA5DB7" w:rsidRPr="00401CAC">
        <w:rPr>
          <w:rFonts w:ascii="Times New Roman" w:hAnsi="Times New Roman" w:cs="Times New Roman"/>
          <w:sz w:val="20"/>
          <w:szCs w:val="20"/>
        </w:rPr>
        <w:t xml:space="preserve">, without producing any symptoms. </w:t>
      </w:r>
      <w:r w:rsidR="007C538E" w:rsidRPr="007C538E">
        <w:rPr>
          <w:rFonts w:ascii="Times New Roman" w:hAnsi="Times New Roman" w:cs="Times New Roman"/>
          <w:sz w:val="20"/>
          <w:szCs w:val="20"/>
        </w:rPr>
        <w:t>This taxonomic and functional diversity underscores why soil properties are such critical determinants of disease outcomes</w:t>
      </w:r>
      <w:r w:rsidR="00D208AD">
        <w:rPr>
          <w:rFonts w:ascii="Times New Roman" w:hAnsi="Times New Roman" w:cs="Times New Roman"/>
          <w:sz w:val="20"/>
          <w:szCs w:val="20"/>
        </w:rPr>
        <w:t xml:space="preserve">. </w:t>
      </w:r>
      <w:r w:rsidR="00D208AD" w:rsidRPr="00401CAC">
        <w:rPr>
          <w:rFonts w:ascii="Times New Roman" w:hAnsi="Times New Roman" w:cs="Times New Roman"/>
          <w:sz w:val="20"/>
          <w:szCs w:val="20"/>
        </w:rPr>
        <w:t>Effective control strategies must take into consideration this inherent variability of strains, which are distinguished by their biovars, races, and phylotypes.</w:t>
      </w:r>
    </w:p>
    <w:p w14:paraId="1C8839FA" w14:textId="5FFAFA6E" w:rsidR="004F1062" w:rsidRDefault="004F1062" w:rsidP="00987902">
      <w:pPr>
        <w:jc w:val="both"/>
        <w:rPr>
          <w:rFonts w:ascii="Times New Roman" w:hAnsi="Times New Roman" w:cs="Times New Roman"/>
          <w:b/>
          <w:bCs/>
          <w:sz w:val="20"/>
          <w:szCs w:val="20"/>
        </w:rPr>
      </w:pPr>
      <w:r w:rsidRPr="00401CAC">
        <w:rPr>
          <w:rFonts w:ascii="Times New Roman" w:hAnsi="Times New Roman" w:cs="Times New Roman"/>
          <w:b/>
          <w:bCs/>
          <w:sz w:val="20"/>
          <w:szCs w:val="20"/>
        </w:rPr>
        <w:t xml:space="preserve">Life cycle of </w:t>
      </w:r>
      <w:proofErr w:type="spellStart"/>
      <w:r w:rsidRPr="00401CAC">
        <w:rPr>
          <w:rFonts w:ascii="Times New Roman" w:hAnsi="Times New Roman" w:cs="Times New Roman"/>
          <w:b/>
          <w:bCs/>
          <w:i/>
          <w:iCs/>
          <w:sz w:val="20"/>
          <w:szCs w:val="20"/>
        </w:rPr>
        <w:t>Ralstonia</w:t>
      </w:r>
      <w:proofErr w:type="spellEnd"/>
      <w:r w:rsidRPr="00401CAC">
        <w:rPr>
          <w:rFonts w:ascii="Times New Roman" w:hAnsi="Times New Roman" w:cs="Times New Roman"/>
          <w:b/>
          <w:bCs/>
          <w:i/>
          <w:iCs/>
          <w:sz w:val="20"/>
          <w:szCs w:val="20"/>
        </w:rPr>
        <w:t xml:space="preserve"> solanacearum</w:t>
      </w:r>
      <w:r w:rsidRPr="00401CAC">
        <w:rPr>
          <w:rFonts w:ascii="Times New Roman" w:hAnsi="Times New Roman" w:cs="Times New Roman"/>
          <w:b/>
          <w:bCs/>
          <w:sz w:val="20"/>
          <w:szCs w:val="20"/>
        </w:rPr>
        <w:t xml:space="preserve"> species complex (RSSC) </w:t>
      </w:r>
    </w:p>
    <w:p w14:paraId="4320F0D9" w14:textId="6AE104FF" w:rsidR="00302093" w:rsidRPr="00302093" w:rsidRDefault="00302093" w:rsidP="00987902">
      <w:pPr>
        <w:jc w:val="both"/>
        <w:rPr>
          <w:rFonts w:ascii="Times New Roman" w:hAnsi="Times New Roman" w:cs="Times New Roman"/>
          <w:sz w:val="20"/>
          <w:szCs w:val="20"/>
        </w:rPr>
      </w:pPr>
      <w:r>
        <w:rPr>
          <w:rFonts w:ascii="Times New Roman" w:hAnsi="Times New Roman" w:cs="Times New Roman"/>
          <w:b/>
          <w:bCs/>
          <w:sz w:val="20"/>
          <w:szCs w:val="20"/>
        </w:rPr>
        <w:tab/>
      </w:r>
      <w:r w:rsidRPr="00302093">
        <w:rPr>
          <w:rFonts w:ascii="Times New Roman" w:hAnsi="Times New Roman" w:cs="Times New Roman"/>
          <w:sz w:val="20"/>
          <w:szCs w:val="20"/>
        </w:rPr>
        <w:t>The life cycle of RSSC</w:t>
      </w:r>
      <w:r w:rsidR="009D5AFA">
        <w:rPr>
          <w:rFonts w:ascii="Times New Roman" w:hAnsi="Times New Roman" w:cs="Times New Roman"/>
          <w:sz w:val="20"/>
          <w:szCs w:val="20"/>
        </w:rPr>
        <w:t xml:space="preserve"> </w:t>
      </w:r>
      <w:r w:rsidRPr="00302093">
        <w:rPr>
          <w:rFonts w:ascii="Times New Roman" w:hAnsi="Times New Roman" w:cs="Times New Roman"/>
          <w:sz w:val="20"/>
          <w:szCs w:val="20"/>
        </w:rPr>
        <w:t xml:space="preserve">comprises two principal phases. In one phase, the bacterium infects host plants, synthesizing virulence determinants, evading host </w:t>
      </w:r>
      <w:proofErr w:type="spellStart"/>
      <w:r w:rsidRPr="00302093">
        <w:rPr>
          <w:rFonts w:ascii="Times New Roman" w:hAnsi="Times New Roman" w:cs="Times New Roman"/>
          <w:sz w:val="20"/>
          <w:szCs w:val="20"/>
        </w:rPr>
        <w:t>defenses</w:t>
      </w:r>
      <w:proofErr w:type="spellEnd"/>
      <w:r w:rsidRPr="00302093">
        <w:rPr>
          <w:rFonts w:ascii="Times New Roman" w:hAnsi="Times New Roman" w:cs="Times New Roman"/>
          <w:sz w:val="20"/>
          <w:szCs w:val="20"/>
        </w:rPr>
        <w:t xml:space="preserve">, and proliferating within plant tissues. In the other, it survives outside the host, in soil or water, awaiting transmission to new plants. </w:t>
      </w:r>
      <w:r w:rsidR="008F7B1F" w:rsidRPr="00763D1A">
        <w:rPr>
          <w:rFonts w:ascii="Times New Roman" w:hAnsi="Times New Roman" w:cs="Times New Roman"/>
          <w:sz w:val="20"/>
          <w:szCs w:val="20"/>
        </w:rPr>
        <w:t>The pathogen alternates between these two ecological niches—host tissues and the external environment—requiring distinct adaptations for each phase.</w:t>
      </w:r>
      <w:r w:rsidR="008F7B1F">
        <w:rPr>
          <w:rFonts w:ascii="Times New Roman" w:hAnsi="Times New Roman" w:cs="Times New Roman"/>
          <w:sz w:val="20"/>
          <w:szCs w:val="20"/>
        </w:rPr>
        <w:t xml:space="preserve"> </w:t>
      </w:r>
      <w:r w:rsidRPr="00302093">
        <w:rPr>
          <w:rFonts w:ascii="Times New Roman" w:hAnsi="Times New Roman" w:cs="Times New Roman"/>
          <w:sz w:val="20"/>
          <w:szCs w:val="20"/>
        </w:rPr>
        <w:t>The pathogen typically enters roots through natural openings or wounds and progresses into the xylem (Hayward</w:t>
      </w:r>
      <w:r w:rsidR="00471BEB">
        <w:rPr>
          <w:rFonts w:ascii="Times New Roman" w:hAnsi="Times New Roman" w:cs="Times New Roman"/>
          <w:sz w:val="20"/>
          <w:szCs w:val="20"/>
        </w:rPr>
        <w:t>,</w:t>
      </w:r>
      <w:r w:rsidRPr="00302093">
        <w:rPr>
          <w:rFonts w:ascii="Times New Roman" w:hAnsi="Times New Roman" w:cs="Times New Roman"/>
          <w:sz w:val="20"/>
          <w:szCs w:val="20"/>
        </w:rPr>
        <w:t xml:space="preserve"> 1991). Initial attachment </w:t>
      </w:r>
      <w:r w:rsidR="00D82955">
        <w:rPr>
          <w:rFonts w:ascii="Times New Roman" w:hAnsi="Times New Roman" w:cs="Times New Roman"/>
          <w:sz w:val="20"/>
          <w:szCs w:val="20"/>
        </w:rPr>
        <w:t>reversibly occurs via pili</w:t>
      </w:r>
      <w:r w:rsidRPr="00302093">
        <w:rPr>
          <w:rFonts w:ascii="Times New Roman" w:hAnsi="Times New Roman" w:cs="Times New Roman"/>
          <w:sz w:val="20"/>
          <w:szCs w:val="20"/>
        </w:rPr>
        <w:t xml:space="preserve">, followed by irreversible adhesion that facilitates microcolony formation, particularly in the root elongation zone (Kang </w:t>
      </w:r>
      <w:r w:rsidRPr="00471BEB">
        <w:rPr>
          <w:rFonts w:ascii="Times New Roman" w:hAnsi="Times New Roman" w:cs="Times New Roman"/>
          <w:i/>
          <w:iCs/>
          <w:sz w:val="20"/>
          <w:szCs w:val="20"/>
        </w:rPr>
        <w:t>et al.</w:t>
      </w:r>
      <w:r w:rsidR="00471BEB">
        <w:rPr>
          <w:rFonts w:ascii="Times New Roman" w:hAnsi="Times New Roman" w:cs="Times New Roman"/>
          <w:i/>
          <w:iCs/>
          <w:sz w:val="20"/>
          <w:szCs w:val="20"/>
        </w:rPr>
        <w:t>,</w:t>
      </w:r>
      <w:r w:rsidRPr="00302093">
        <w:rPr>
          <w:rFonts w:ascii="Times New Roman" w:hAnsi="Times New Roman" w:cs="Times New Roman"/>
          <w:sz w:val="20"/>
          <w:szCs w:val="20"/>
        </w:rPr>
        <w:t xml:space="preserve"> 2002). Guided by chemotaxis, RSSC locates host plants by sensing chemical cues in root exudates (Yao and Allen</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2007). Selection pressures acting on the pathogen vary with infection stage and host species (Genin</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2010). The xylem provides a nutrient-rich, continuously flowing habitat that supports bacterial proliferation, where RSSC forms biofilm-embedded clusters that obstruct water-conducting vessels, leading to wilting and plant death (Lowe-Power</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2018). Pathogenicity is coordinated by quorum-sensing signals that activate the </w:t>
      </w:r>
      <w:proofErr w:type="spellStart"/>
      <w:r w:rsidRPr="00302093">
        <w:rPr>
          <w:rFonts w:ascii="Times New Roman" w:hAnsi="Times New Roman" w:cs="Times New Roman"/>
          <w:sz w:val="20"/>
          <w:szCs w:val="20"/>
        </w:rPr>
        <w:t>PhcA</w:t>
      </w:r>
      <w:proofErr w:type="spellEnd"/>
      <w:r w:rsidRPr="00302093">
        <w:rPr>
          <w:rFonts w:ascii="Times New Roman" w:hAnsi="Times New Roman" w:cs="Times New Roman"/>
          <w:sz w:val="20"/>
          <w:szCs w:val="20"/>
        </w:rPr>
        <w:t xml:space="preserve"> regulator and associated virulence genes once bacterial density reaches approximately 10⁹ CFU/ml (Genin and Boucher</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2002; Mansfield </w:t>
      </w:r>
      <w:r w:rsidRPr="00E252A8">
        <w:rPr>
          <w:rFonts w:ascii="Times New Roman" w:hAnsi="Times New Roman" w:cs="Times New Roman"/>
          <w:i/>
          <w:iCs/>
          <w:sz w:val="20"/>
          <w:szCs w:val="20"/>
        </w:rPr>
        <w:t>et al.</w:t>
      </w:r>
      <w:r w:rsidR="00E252A8">
        <w:rPr>
          <w:rFonts w:ascii="Times New Roman" w:hAnsi="Times New Roman" w:cs="Times New Roman"/>
          <w:i/>
          <w:iCs/>
          <w:sz w:val="20"/>
          <w:szCs w:val="20"/>
        </w:rPr>
        <w:t>,</w:t>
      </w:r>
      <w:r w:rsidRPr="00302093">
        <w:rPr>
          <w:rFonts w:ascii="Times New Roman" w:hAnsi="Times New Roman" w:cs="Times New Roman"/>
          <w:sz w:val="20"/>
          <w:szCs w:val="20"/>
        </w:rPr>
        <w:t xml:space="preserve"> 2012; Lowe-Power</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2018). In addition to exopolysaccharide production, virulent strains secrete pectinases that degrade host cell walls, promoting colonization and mortality (Hayward</w:t>
      </w:r>
      <w:r w:rsidR="00806C59">
        <w:rPr>
          <w:rFonts w:ascii="Times New Roman" w:hAnsi="Times New Roman" w:cs="Times New Roman"/>
          <w:sz w:val="20"/>
          <w:szCs w:val="20"/>
        </w:rPr>
        <w:t>,</w:t>
      </w:r>
      <w:r w:rsidRPr="00302093">
        <w:rPr>
          <w:rFonts w:ascii="Times New Roman" w:hAnsi="Times New Roman" w:cs="Times New Roman"/>
          <w:sz w:val="20"/>
          <w:szCs w:val="20"/>
        </w:rPr>
        <w:t xml:space="preserve"> 1991</w:t>
      </w:r>
      <w:r w:rsidR="00806C59">
        <w:rPr>
          <w:rFonts w:ascii="Times New Roman" w:hAnsi="Times New Roman" w:cs="Times New Roman"/>
          <w:sz w:val="20"/>
          <w:szCs w:val="20"/>
        </w:rPr>
        <w:t xml:space="preserve"> &amp;</w:t>
      </w:r>
      <w:r w:rsidRPr="00302093">
        <w:rPr>
          <w:rFonts w:ascii="Times New Roman" w:hAnsi="Times New Roman" w:cs="Times New Roman"/>
          <w:sz w:val="20"/>
          <w:szCs w:val="20"/>
        </w:rPr>
        <w:t xml:space="preserve"> Lowe-Power</w:t>
      </w:r>
      <w:r w:rsidR="00806C59">
        <w:rPr>
          <w:rFonts w:ascii="Times New Roman" w:hAnsi="Times New Roman" w:cs="Times New Roman"/>
          <w:sz w:val="20"/>
          <w:szCs w:val="20"/>
        </w:rPr>
        <w:t>,</w:t>
      </w:r>
      <w:r w:rsidRPr="00302093">
        <w:rPr>
          <w:rFonts w:ascii="Times New Roman" w:hAnsi="Times New Roman" w:cs="Times New Roman"/>
          <w:sz w:val="20"/>
          <w:szCs w:val="20"/>
        </w:rPr>
        <w:t xml:space="preserve"> 2018). After host death, the </w:t>
      </w:r>
      <w:r w:rsidRPr="00302093">
        <w:rPr>
          <w:rFonts w:ascii="Times New Roman" w:hAnsi="Times New Roman" w:cs="Times New Roman"/>
          <w:sz w:val="20"/>
          <w:szCs w:val="20"/>
        </w:rPr>
        <w:lastRenderedPageBreak/>
        <w:t xml:space="preserve">pathogen returns to </w:t>
      </w:r>
      <w:r>
        <w:rPr>
          <w:rFonts w:ascii="Times New Roman" w:hAnsi="Times New Roman" w:cs="Times New Roman"/>
          <w:sz w:val="20"/>
          <w:szCs w:val="20"/>
        </w:rPr>
        <w:t>the soil or water, where it persists until it encounters</w:t>
      </w:r>
      <w:r w:rsidRPr="00302093">
        <w:rPr>
          <w:rFonts w:ascii="Times New Roman" w:hAnsi="Times New Roman" w:cs="Times New Roman"/>
          <w:sz w:val="20"/>
          <w:szCs w:val="20"/>
        </w:rPr>
        <w:t xml:space="preserve"> a new susceptible host, thus completing its infection cycle (</w:t>
      </w:r>
      <w:r w:rsidR="00C7219B" w:rsidRPr="00302093">
        <w:rPr>
          <w:rFonts w:ascii="Times New Roman" w:hAnsi="Times New Roman" w:cs="Times New Roman"/>
          <w:sz w:val="20"/>
          <w:szCs w:val="20"/>
        </w:rPr>
        <w:t>Genin</w:t>
      </w:r>
      <w:r w:rsidR="00C7219B">
        <w:rPr>
          <w:rFonts w:ascii="Times New Roman" w:hAnsi="Times New Roman" w:cs="Times New Roman"/>
          <w:sz w:val="20"/>
          <w:szCs w:val="20"/>
        </w:rPr>
        <w:t>,</w:t>
      </w:r>
      <w:r w:rsidR="00C7219B" w:rsidRPr="00302093">
        <w:rPr>
          <w:rFonts w:ascii="Times New Roman" w:hAnsi="Times New Roman" w:cs="Times New Roman"/>
          <w:sz w:val="20"/>
          <w:szCs w:val="20"/>
        </w:rPr>
        <w:t xml:space="preserve"> 2010</w:t>
      </w:r>
      <w:r w:rsidR="00C7219B">
        <w:rPr>
          <w:rFonts w:ascii="Times New Roman" w:hAnsi="Times New Roman" w:cs="Times New Roman"/>
          <w:sz w:val="20"/>
          <w:szCs w:val="20"/>
        </w:rPr>
        <w:t xml:space="preserve"> &amp; </w:t>
      </w:r>
      <w:r w:rsidRPr="00302093">
        <w:rPr>
          <w:rFonts w:ascii="Times New Roman" w:hAnsi="Times New Roman" w:cs="Times New Roman"/>
          <w:sz w:val="20"/>
          <w:szCs w:val="20"/>
        </w:rPr>
        <w:t>Farnham</w:t>
      </w:r>
      <w:r w:rsidR="003224E8">
        <w:rPr>
          <w:rFonts w:ascii="Times New Roman" w:hAnsi="Times New Roman" w:cs="Times New Roman"/>
          <w:sz w:val="20"/>
          <w:szCs w:val="20"/>
        </w:rPr>
        <w:t>,</w:t>
      </w:r>
      <w:r w:rsidRPr="00302093">
        <w:rPr>
          <w:rFonts w:ascii="Times New Roman" w:hAnsi="Times New Roman" w:cs="Times New Roman"/>
          <w:sz w:val="20"/>
          <w:szCs w:val="20"/>
        </w:rPr>
        <w:t xml:space="preserve"> 2022).</w:t>
      </w:r>
      <w:r>
        <w:rPr>
          <w:rFonts w:ascii="Times New Roman" w:hAnsi="Times New Roman" w:cs="Times New Roman"/>
          <w:sz w:val="20"/>
          <w:szCs w:val="20"/>
        </w:rPr>
        <w:t xml:space="preserve"> </w:t>
      </w:r>
    </w:p>
    <w:p w14:paraId="4E66C728" w14:textId="4DE91CD2" w:rsidR="00CC39D8" w:rsidRPr="00873D61" w:rsidRDefault="00780425" w:rsidP="00B73FD2">
      <w:pPr>
        <w:ind w:firstLine="720"/>
        <w:jc w:val="both"/>
        <w:rPr>
          <w:rFonts w:ascii="Times New Roman" w:hAnsi="Times New Roman" w:cs="Times New Roman"/>
          <w:sz w:val="20"/>
          <w:szCs w:val="20"/>
        </w:rPr>
      </w:pPr>
      <w:r>
        <w:rPr>
          <w:rFonts w:ascii="Times New Roman" w:hAnsi="Times New Roman" w:cs="Times New Roman"/>
          <w:b/>
          <w:bCs/>
          <w:noProof/>
          <w:color w:val="000000" w:themeColor="text1"/>
          <w:sz w:val="20"/>
          <w:szCs w:val="20"/>
        </w:rPr>
        <w:drawing>
          <wp:anchor distT="0" distB="0" distL="114300" distR="114300" simplePos="0" relativeHeight="251662337" behindDoc="0" locked="0" layoutInCell="1" allowOverlap="1" wp14:anchorId="0E66B8B2" wp14:editId="304D1345">
            <wp:simplePos x="0" y="0"/>
            <wp:positionH relativeFrom="column">
              <wp:posOffset>655320</wp:posOffset>
            </wp:positionH>
            <wp:positionV relativeFrom="paragraph">
              <wp:posOffset>106045</wp:posOffset>
            </wp:positionV>
            <wp:extent cx="4434840" cy="2926715"/>
            <wp:effectExtent l="0" t="0" r="3810" b="6985"/>
            <wp:wrapSquare wrapText="bothSides"/>
            <wp:docPr id="2068183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83786" name="Picture 2068183786"/>
                    <pic:cNvPicPr/>
                  </pic:nvPicPr>
                  <pic:blipFill rotWithShape="1">
                    <a:blip r:embed="rId8" cstate="print">
                      <a:extLst>
                        <a:ext uri="{28A0092B-C50C-407E-A947-70E740481C1C}">
                          <a14:useLocalDpi xmlns:a14="http://schemas.microsoft.com/office/drawing/2010/main" val="0"/>
                        </a:ext>
                      </a:extLst>
                    </a:blip>
                    <a:srcRect l="10237" t="9218" r="12387"/>
                    <a:stretch>
                      <a:fillRect/>
                    </a:stretch>
                  </pic:blipFill>
                  <pic:spPr bwMode="auto">
                    <a:xfrm>
                      <a:off x="0" y="0"/>
                      <a:ext cx="4434840" cy="2926715"/>
                    </a:xfrm>
                    <a:prstGeom prst="rect">
                      <a:avLst/>
                    </a:prstGeom>
                    <a:ln>
                      <a:noFill/>
                    </a:ln>
                    <a:extLst>
                      <a:ext uri="{53640926-AAD7-44D8-BBD7-CCE9431645EC}">
                        <a14:shadowObscured xmlns:a14="http://schemas.microsoft.com/office/drawing/2010/main"/>
                      </a:ext>
                    </a:extLst>
                  </pic:spPr>
                </pic:pic>
              </a:graphicData>
            </a:graphic>
          </wp:anchor>
        </w:drawing>
      </w:r>
    </w:p>
    <w:p w14:paraId="73E83CE0" w14:textId="6D576C78" w:rsidR="00CC39D8" w:rsidRDefault="00CC39D8" w:rsidP="00987902">
      <w:pPr>
        <w:jc w:val="both"/>
        <w:rPr>
          <w:rFonts w:ascii="Times New Roman" w:hAnsi="Times New Roman" w:cs="Times New Roman"/>
          <w:b/>
          <w:bCs/>
          <w:color w:val="000000" w:themeColor="text1"/>
          <w:sz w:val="20"/>
          <w:szCs w:val="20"/>
        </w:rPr>
      </w:pPr>
    </w:p>
    <w:p w14:paraId="1AD58F84" w14:textId="2AA89FEA" w:rsidR="00CC39D8" w:rsidRDefault="00CC39D8" w:rsidP="00987902">
      <w:pPr>
        <w:jc w:val="both"/>
        <w:rPr>
          <w:rFonts w:ascii="Times New Roman" w:hAnsi="Times New Roman" w:cs="Times New Roman"/>
          <w:b/>
          <w:bCs/>
          <w:color w:val="000000" w:themeColor="text1"/>
          <w:sz w:val="20"/>
          <w:szCs w:val="20"/>
        </w:rPr>
      </w:pPr>
    </w:p>
    <w:p w14:paraId="395D363D" w14:textId="41258F93" w:rsidR="00CC39D8" w:rsidRDefault="00CC39D8" w:rsidP="00987902">
      <w:pPr>
        <w:jc w:val="both"/>
        <w:rPr>
          <w:rFonts w:ascii="Times New Roman" w:hAnsi="Times New Roman" w:cs="Times New Roman"/>
          <w:b/>
          <w:bCs/>
          <w:color w:val="000000" w:themeColor="text1"/>
          <w:sz w:val="20"/>
          <w:szCs w:val="20"/>
        </w:rPr>
      </w:pPr>
    </w:p>
    <w:p w14:paraId="5C6C4AEB" w14:textId="257883BF" w:rsidR="00CC39D8" w:rsidRDefault="00CC39D8" w:rsidP="00987902">
      <w:pPr>
        <w:jc w:val="both"/>
        <w:rPr>
          <w:rFonts w:ascii="Times New Roman" w:hAnsi="Times New Roman" w:cs="Times New Roman"/>
          <w:b/>
          <w:bCs/>
          <w:color w:val="000000" w:themeColor="text1"/>
          <w:sz w:val="20"/>
          <w:szCs w:val="20"/>
        </w:rPr>
      </w:pPr>
    </w:p>
    <w:p w14:paraId="5A17B500" w14:textId="36DA43A0" w:rsidR="00CC39D8" w:rsidRDefault="00CC39D8" w:rsidP="00987902">
      <w:pPr>
        <w:jc w:val="both"/>
        <w:rPr>
          <w:rFonts w:ascii="Times New Roman" w:hAnsi="Times New Roman" w:cs="Times New Roman"/>
          <w:b/>
          <w:bCs/>
          <w:color w:val="000000" w:themeColor="text1"/>
          <w:sz w:val="20"/>
          <w:szCs w:val="20"/>
        </w:rPr>
      </w:pPr>
    </w:p>
    <w:p w14:paraId="21264671" w14:textId="031A6D1F" w:rsidR="00CC39D8" w:rsidRDefault="00CC39D8" w:rsidP="00987902">
      <w:pPr>
        <w:jc w:val="both"/>
        <w:rPr>
          <w:rFonts w:ascii="Times New Roman" w:hAnsi="Times New Roman" w:cs="Times New Roman"/>
          <w:b/>
          <w:bCs/>
          <w:color w:val="000000" w:themeColor="text1"/>
          <w:sz w:val="20"/>
          <w:szCs w:val="20"/>
        </w:rPr>
      </w:pPr>
    </w:p>
    <w:p w14:paraId="5F2FEB41" w14:textId="67A2DDDB" w:rsidR="00CC39D8" w:rsidRDefault="00CC39D8" w:rsidP="00987902">
      <w:pPr>
        <w:jc w:val="both"/>
        <w:rPr>
          <w:rFonts w:ascii="Times New Roman" w:hAnsi="Times New Roman" w:cs="Times New Roman"/>
          <w:b/>
          <w:bCs/>
          <w:color w:val="000000" w:themeColor="text1"/>
          <w:sz w:val="20"/>
          <w:szCs w:val="20"/>
        </w:rPr>
      </w:pPr>
    </w:p>
    <w:p w14:paraId="41A7519C" w14:textId="75B44A13" w:rsidR="00CC39D8" w:rsidRDefault="00CC39D8" w:rsidP="00987902">
      <w:pPr>
        <w:jc w:val="both"/>
        <w:rPr>
          <w:rFonts w:ascii="Times New Roman" w:hAnsi="Times New Roman" w:cs="Times New Roman"/>
          <w:b/>
          <w:bCs/>
          <w:color w:val="000000" w:themeColor="text1"/>
          <w:sz w:val="20"/>
          <w:szCs w:val="20"/>
        </w:rPr>
      </w:pPr>
    </w:p>
    <w:p w14:paraId="5B72AE5A" w14:textId="369794F0" w:rsidR="00CC39D8" w:rsidRDefault="00CC39D8" w:rsidP="00987902">
      <w:pPr>
        <w:jc w:val="both"/>
        <w:rPr>
          <w:rFonts w:ascii="Times New Roman" w:hAnsi="Times New Roman" w:cs="Times New Roman"/>
          <w:b/>
          <w:bCs/>
          <w:color w:val="000000" w:themeColor="text1"/>
          <w:sz w:val="20"/>
          <w:szCs w:val="20"/>
        </w:rPr>
      </w:pPr>
    </w:p>
    <w:p w14:paraId="2A6C621A" w14:textId="24BCAAE5" w:rsidR="00CC39D8" w:rsidRDefault="00CC39D8" w:rsidP="00987902">
      <w:pPr>
        <w:jc w:val="both"/>
        <w:rPr>
          <w:rFonts w:ascii="Times New Roman" w:hAnsi="Times New Roman" w:cs="Times New Roman"/>
          <w:b/>
          <w:bCs/>
          <w:color w:val="000000" w:themeColor="text1"/>
          <w:sz w:val="20"/>
          <w:szCs w:val="20"/>
        </w:rPr>
      </w:pPr>
    </w:p>
    <w:p w14:paraId="5A3162C6" w14:textId="12F7378D" w:rsidR="00CC39D8" w:rsidRDefault="00CC39D8" w:rsidP="00987902">
      <w:pPr>
        <w:jc w:val="both"/>
        <w:rPr>
          <w:rFonts w:ascii="Times New Roman" w:hAnsi="Times New Roman" w:cs="Times New Roman"/>
          <w:b/>
          <w:bCs/>
          <w:color w:val="000000" w:themeColor="text1"/>
          <w:sz w:val="20"/>
          <w:szCs w:val="20"/>
        </w:rPr>
      </w:pPr>
    </w:p>
    <w:p w14:paraId="2E916DB2" w14:textId="70C6D1D1" w:rsidR="00CC39D8" w:rsidRDefault="00CC39D8" w:rsidP="00987902">
      <w:pPr>
        <w:jc w:val="both"/>
        <w:rPr>
          <w:rFonts w:ascii="Times New Roman" w:hAnsi="Times New Roman" w:cs="Times New Roman"/>
          <w:b/>
          <w:bCs/>
          <w:color w:val="000000" w:themeColor="text1"/>
          <w:sz w:val="20"/>
          <w:szCs w:val="20"/>
        </w:rPr>
      </w:pPr>
    </w:p>
    <w:p w14:paraId="148C261E" w14:textId="63683884" w:rsidR="00CC39D8" w:rsidRDefault="00780425" w:rsidP="00D0136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D0136D">
        <w:rPr>
          <w:rFonts w:ascii="Times New Roman" w:hAnsi="Times New Roman" w:cs="Times New Roman"/>
          <w:b/>
          <w:bCs/>
          <w:color w:val="000000" w:themeColor="text1"/>
          <w:sz w:val="20"/>
          <w:szCs w:val="20"/>
        </w:rPr>
        <w:t xml:space="preserve">Fig. 1 Life cycle of </w:t>
      </w:r>
      <w:proofErr w:type="spellStart"/>
      <w:r w:rsidR="00D0136D" w:rsidRPr="00D0136D">
        <w:rPr>
          <w:rFonts w:ascii="Times New Roman" w:hAnsi="Times New Roman" w:cs="Times New Roman"/>
          <w:b/>
          <w:bCs/>
          <w:i/>
          <w:iCs/>
          <w:color w:val="000000" w:themeColor="text1"/>
          <w:sz w:val="20"/>
          <w:szCs w:val="20"/>
        </w:rPr>
        <w:t>Ralstonia</w:t>
      </w:r>
      <w:proofErr w:type="spellEnd"/>
      <w:r w:rsidR="00D0136D" w:rsidRPr="00D0136D">
        <w:rPr>
          <w:rFonts w:ascii="Times New Roman" w:hAnsi="Times New Roman" w:cs="Times New Roman"/>
          <w:b/>
          <w:bCs/>
          <w:i/>
          <w:iCs/>
          <w:color w:val="000000" w:themeColor="text1"/>
          <w:sz w:val="20"/>
          <w:szCs w:val="20"/>
        </w:rPr>
        <w:t xml:space="preserve"> solanacearum</w:t>
      </w:r>
      <w:r w:rsidR="00D0136D">
        <w:rPr>
          <w:rFonts w:ascii="Times New Roman" w:hAnsi="Times New Roman" w:cs="Times New Roman"/>
          <w:b/>
          <w:bCs/>
          <w:color w:val="000000" w:themeColor="text1"/>
          <w:sz w:val="20"/>
          <w:szCs w:val="20"/>
        </w:rPr>
        <w:t xml:space="preserve"> species complex</w:t>
      </w:r>
      <w:r w:rsidR="00C037FA">
        <w:rPr>
          <w:rFonts w:ascii="Times New Roman" w:hAnsi="Times New Roman" w:cs="Times New Roman"/>
          <w:b/>
          <w:bCs/>
          <w:color w:val="000000" w:themeColor="text1"/>
          <w:sz w:val="20"/>
          <w:szCs w:val="20"/>
        </w:rPr>
        <w:t xml:space="preserve"> </w:t>
      </w:r>
    </w:p>
    <w:p w14:paraId="2692E45B" w14:textId="51B5B9EC" w:rsidR="00FB66BC" w:rsidRPr="00BC0F74" w:rsidRDefault="00DE1AF5" w:rsidP="00BC0F74">
      <w:pPr>
        <w:jc w:val="both"/>
        <w:rPr>
          <w:rFonts w:ascii="Times New Roman" w:hAnsi="Times New Roman" w:cs="Times New Roman"/>
          <w:b/>
          <w:bCs/>
          <w:color w:val="000000" w:themeColor="text1"/>
          <w:sz w:val="20"/>
          <w:szCs w:val="20"/>
        </w:rPr>
      </w:pPr>
      <w:r w:rsidRPr="00BC0F74">
        <w:rPr>
          <w:rFonts w:ascii="Times New Roman" w:hAnsi="Times New Roman" w:cs="Times New Roman"/>
          <w:b/>
          <w:bCs/>
          <w:color w:val="000000" w:themeColor="text1"/>
          <w:sz w:val="20"/>
          <w:szCs w:val="20"/>
        </w:rPr>
        <w:t xml:space="preserve">The </w:t>
      </w:r>
      <w:r w:rsidR="009D5AFA" w:rsidRPr="00BC0F74">
        <w:rPr>
          <w:rFonts w:ascii="Times New Roman" w:hAnsi="Times New Roman" w:cs="Times New Roman"/>
          <w:b/>
          <w:bCs/>
          <w:color w:val="000000" w:themeColor="text1"/>
          <w:sz w:val="20"/>
          <w:szCs w:val="20"/>
        </w:rPr>
        <w:t>s</w:t>
      </w:r>
      <w:r w:rsidRPr="00BC0F74">
        <w:rPr>
          <w:rFonts w:ascii="Times New Roman" w:hAnsi="Times New Roman" w:cs="Times New Roman"/>
          <w:b/>
          <w:bCs/>
          <w:color w:val="000000" w:themeColor="text1"/>
          <w:sz w:val="20"/>
          <w:szCs w:val="20"/>
        </w:rPr>
        <w:t xml:space="preserve">oil </w:t>
      </w:r>
      <w:r w:rsidR="009D5AFA" w:rsidRPr="00BC0F74">
        <w:rPr>
          <w:rFonts w:ascii="Times New Roman" w:hAnsi="Times New Roman" w:cs="Times New Roman"/>
          <w:b/>
          <w:bCs/>
          <w:color w:val="000000" w:themeColor="text1"/>
          <w:sz w:val="20"/>
          <w:szCs w:val="20"/>
        </w:rPr>
        <w:t>e</w:t>
      </w:r>
      <w:r w:rsidRPr="00BC0F74">
        <w:rPr>
          <w:rFonts w:ascii="Times New Roman" w:hAnsi="Times New Roman" w:cs="Times New Roman"/>
          <w:b/>
          <w:bCs/>
          <w:color w:val="000000" w:themeColor="text1"/>
          <w:sz w:val="20"/>
          <w:szCs w:val="20"/>
        </w:rPr>
        <w:t xml:space="preserve">nvironment: A </w:t>
      </w:r>
      <w:r w:rsidR="00E1557F" w:rsidRPr="00BC0F74">
        <w:rPr>
          <w:rFonts w:ascii="Times New Roman" w:hAnsi="Times New Roman" w:cs="Times New Roman"/>
          <w:b/>
          <w:bCs/>
          <w:color w:val="000000" w:themeColor="text1"/>
          <w:sz w:val="20"/>
          <w:szCs w:val="20"/>
        </w:rPr>
        <w:t>c</w:t>
      </w:r>
      <w:r w:rsidRPr="00BC0F74">
        <w:rPr>
          <w:rFonts w:ascii="Times New Roman" w:hAnsi="Times New Roman" w:cs="Times New Roman"/>
          <w:b/>
          <w:bCs/>
          <w:color w:val="000000" w:themeColor="text1"/>
          <w:sz w:val="20"/>
          <w:szCs w:val="20"/>
        </w:rPr>
        <w:t xml:space="preserve">ritical </w:t>
      </w:r>
      <w:r w:rsidR="00E1557F" w:rsidRPr="00BC0F74">
        <w:rPr>
          <w:rFonts w:ascii="Times New Roman" w:hAnsi="Times New Roman" w:cs="Times New Roman"/>
          <w:b/>
          <w:bCs/>
          <w:color w:val="000000" w:themeColor="text1"/>
          <w:sz w:val="20"/>
          <w:szCs w:val="20"/>
        </w:rPr>
        <w:t>h</w:t>
      </w:r>
      <w:r w:rsidRPr="00BC0F74">
        <w:rPr>
          <w:rFonts w:ascii="Times New Roman" w:hAnsi="Times New Roman" w:cs="Times New Roman"/>
          <w:b/>
          <w:bCs/>
          <w:color w:val="000000" w:themeColor="text1"/>
          <w:sz w:val="20"/>
          <w:szCs w:val="20"/>
        </w:rPr>
        <w:t xml:space="preserve">abitat and </w:t>
      </w:r>
      <w:r w:rsidR="00E1557F" w:rsidRPr="00BC0F74">
        <w:rPr>
          <w:rFonts w:ascii="Times New Roman" w:hAnsi="Times New Roman" w:cs="Times New Roman"/>
          <w:b/>
          <w:bCs/>
          <w:color w:val="000000" w:themeColor="text1"/>
          <w:sz w:val="20"/>
          <w:szCs w:val="20"/>
        </w:rPr>
        <w:t>m</w:t>
      </w:r>
      <w:r w:rsidRPr="00BC0F74">
        <w:rPr>
          <w:rFonts w:ascii="Times New Roman" w:hAnsi="Times New Roman" w:cs="Times New Roman"/>
          <w:b/>
          <w:bCs/>
          <w:color w:val="000000" w:themeColor="text1"/>
          <w:sz w:val="20"/>
          <w:szCs w:val="20"/>
        </w:rPr>
        <w:t xml:space="preserve">odulator of </w:t>
      </w:r>
      <w:r w:rsidR="00E1557F" w:rsidRPr="00BC0F74">
        <w:rPr>
          <w:rFonts w:ascii="Times New Roman" w:hAnsi="Times New Roman" w:cs="Times New Roman"/>
          <w:b/>
          <w:bCs/>
          <w:color w:val="000000" w:themeColor="text1"/>
          <w:sz w:val="20"/>
          <w:szCs w:val="20"/>
        </w:rPr>
        <w:t>p</w:t>
      </w:r>
      <w:r w:rsidRPr="00BC0F74">
        <w:rPr>
          <w:rFonts w:ascii="Times New Roman" w:hAnsi="Times New Roman" w:cs="Times New Roman"/>
          <w:b/>
          <w:bCs/>
          <w:color w:val="000000" w:themeColor="text1"/>
          <w:sz w:val="20"/>
          <w:szCs w:val="20"/>
        </w:rPr>
        <w:t xml:space="preserve">athogen </w:t>
      </w:r>
      <w:r w:rsidR="00E1557F" w:rsidRPr="00BC0F74">
        <w:rPr>
          <w:rFonts w:ascii="Times New Roman" w:hAnsi="Times New Roman" w:cs="Times New Roman"/>
          <w:b/>
          <w:bCs/>
          <w:color w:val="000000" w:themeColor="text1"/>
          <w:sz w:val="20"/>
          <w:szCs w:val="20"/>
        </w:rPr>
        <w:t>e</w:t>
      </w:r>
      <w:r w:rsidRPr="00BC0F74">
        <w:rPr>
          <w:rFonts w:ascii="Times New Roman" w:hAnsi="Times New Roman" w:cs="Times New Roman"/>
          <w:b/>
          <w:bCs/>
          <w:color w:val="000000" w:themeColor="text1"/>
          <w:sz w:val="20"/>
          <w:szCs w:val="20"/>
        </w:rPr>
        <w:t>cology</w:t>
      </w:r>
    </w:p>
    <w:p w14:paraId="4217BC98" w14:textId="62CF81ED" w:rsidR="009D2486" w:rsidRDefault="009D2486" w:rsidP="00DB55BD">
      <w:pPr>
        <w:ind w:firstLine="720"/>
        <w:jc w:val="both"/>
        <w:rPr>
          <w:rFonts w:ascii="Times New Roman" w:hAnsi="Times New Roman" w:cs="Times New Roman"/>
          <w:color w:val="000000" w:themeColor="text1"/>
          <w:sz w:val="20"/>
          <w:szCs w:val="20"/>
        </w:rPr>
      </w:pPr>
      <w:r w:rsidRPr="009D2486">
        <w:rPr>
          <w:rFonts w:ascii="Times New Roman" w:hAnsi="Times New Roman" w:cs="Times New Roman"/>
          <w:color w:val="000000" w:themeColor="text1"/>
          <w:sz w:val="20"/>
          <w:szCs w:val="20"/>
        </w:rPr>
        <w:t xml:space="preserve">Being a soil-inhabiting bacterium, </w:t>
      </w:r>
      <w:r w:rsidRPr="00D0136D">
        <w:rPr>
          <w:rFonts w:ascii="Times New Roman" w:hAnsi="Times New Roman" w:cs="Times New Roman"/>
          <w:i/>
          <w:iCs/>
          <w:color w:val="000000" w:themeColor="text1"/>
          <w:sz w:val="20"/>
          <w:szCs w:val="20"/>
        </w:rPr>
        <w:t>R. solanacearum</w:t>
      </w:r>
      <w:r w:rsidRPr="009D2486">
        <w:rPr>
          <w:rFonts w:ascii="Times New Roman" w:hAnsi="Times New Roman" w:cs="Times New Roman"/>
          <w:color w:val="000000" w:themeColor="text1"/>
          <w:sz w:val="20"/>
          <w:szCs w:val="20"/>
        </w:rPr>
        <w:t xml:space="preserve"> relies on soil as its main reservoir and natural habitat for survival, persistence, and dissemination. Soil is not just a passive medium</w:t>
      </w:r>
      <w:r w:rsidR="00F55D73">
        <w:rPr>
          <w:rFonts w:ascii="Times New Roman" w:hAnsi="Times New Roman" w:cs="Times New Roman"/>
          <w:color w:val="000000" w:themeColor="text1"/>
          <w:sz w:val="20"/>
          <w:szCs w:val="20"/>
        </w:rPr>
        <w:t>, but an active factor that shapes</w:t>
      </w:r>
      <w:r w:rsidRPr="009D2486">
        <w:rPr>
          <w:rFonts w:ascii="Times New Roman" w:hAnsi="Times New Roman" w:cs="Times New Roman"/>
          <w:color w:val="000000" w:themeColor="text1"/>
          <w:sz w:val="20"/>
          <w:szCs w:val="20"/>
        </w:rPr>
        <w:t xml:space="preserve"> the pathogen’s life cycle and disease potential. Its physical, chemical, and biological characteristics strongly affect the pathogen’s behaviour even </w:t>
      </w:r>
      <w:r w:rsidR="00431635">
        <w:rPr>
          <w:rFonts w:ascii="Times New Roman" w:hAnsi="Times New Roman" w:cs="Times New Roman"/>
          <w:color w:val="000000" w:themeColor="text1"/>
          <w:sz w:val="20"/>
          <w:szCs w:val="20"/>
        </w:rPr>
        <w:t>before</w:t>
      </w:r>
      <w:r w:rsidRPr="009D2486">
        <w:rPr>
          <w:rFonts w:ascii="Times New Roman" w:hAnsi="Times New Roman" w:cs="Times New Roman"/>
          <w:color w:val="000000" w:themeColor="text1"/>
          <w:sz w:val="20"/>
          <w:szCs w:val="20"/>
        </w:rPr>
        <w:t xml:space="preserve"> plant invasion. Therefore, a clear understanding of the interactions between the bacterium, native soil microbial communities, and soil properties is vital for designing effective strategies to manage soil-borne diseases.</w:t>
      </w:r>
      <w:r w:rsidR="00FB66BC">
        <w:rPr>
          <w:rFonts w:ascii="Times New Roman" w:hAnsi="Times New Roman" w:cs="Times New Roman"/>
          <w:color w:val="000000" w:themeColor="text1"/>
          <w:sz w:val="20"/>
          <w:szCs w:val="20"/>
        </w:rPr>
        <w:t xml:space="preserve">           </w:t>
      </w:r>
    </w:p>
    <w:p w14:paraId="486E4FD3" w14:textId="0417A42A" w:rsidR="00FB66BC" w:rsidRDefault="00400E4E" w:rsidP="00FB66BC">
      <w:pPr>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1313" behindDoc="0" locked="0" layoutInCell="1" allowOverlap="1" wp14:anchorId="1A9BB239" wp14:editId="03404676">
            <wp:simplePos x="0" y="0"/>
            <wp:positionH relativeFrom="column">
              <wp:posOffset>982980</wp:posOffset>
            </wp:positionH>
            <wp:positionV relativeFrom="paragraph">
              <wp:posOffset>55245</wp:posOffset>
            </wp:positionV>
            <wp:extent cx="3703320" cy="1727835"/>
            <wp:effectExtent l="0" t="0" r="0" b="5715"/>
            <wp:wrapSquare wrapText="bothSides"/>
            <wp:docPr id="69821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4309" name="Picture 698214309"/>
                    <pic:cNvPicPr/>
                  </pic:nvPicPr>
                  <pic:blipFill rotWithShape="1">
                    <a:blip r:embed="rId9"/>
                    <a:srcRect l="2869" t="24919" r="2296" b="12825"/>
                    <a:stretch>
                      <a:fillRect/>
                    </a:stretch>
                  </pic:blipFill>
                  <pic:spPr bwMode="auto">
                    <a:xfrm>
                      <a:off x="0" y="0"/>
                      <a:ext cx="370332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508D1" w14:textId="2F48A28D" w:rsidR="00FB66BC" w:rsidRDefault="00FB66BC" w:rsidP="00FB66BC">
      <w:pPr>
        <w:jc w:val="both"/>
        <w:rPr>
          <w:rFonts w:ascii="Times New Roman" w:hAnsi="Times New Roman" w:cs="Times New Roman"/>
          <w:color w:val="000000" w:themeColor="text1"/>
          <w:sz w:val="20"/>
          <w:szCs w:val="20"/>
        </w:rPr>
      </w:pPr>
    </w:p>
    <w:p w14:paraId="7D4D51FB" w14:textId="6B71B41D" w:rsidR="00FB66BC" w:rsidRDefault="00FB66BC" w:rsidP="00FB66BC">
      <w:pPr>
        <w:jc w:val="both"/>
        <w:rPr>
          <w:rFonts w:ascii="Times New Roman" w:hAnsi="Times New Roman" w:cs="Times New Roman"/>
          <w:color w:val="000000" w:themeColor="text1"/>
          <w:sz w:val="20"/>
          <w:szCs w:val="20"/>
        </w:rPr>
      </w:pPr>
    </w:p>
    <w:p w14:paraId="6B40AF2A" w14:textId="77777777" w:rsidR="00FB66BC" w:rsidRDefault="00FB66BC" w:rsidP="00FB66BC">
      <w:pPr>
        <w:jc w:val="both"/>
        <w:rPr>
          <w:rFonts w:ascii="Times New Roman" w:hAnsi="Times New Roman" w:cs="Times New Roman"/>
          <w:color w:val="000000" w:themeColor="text1"/>
          <w:sz w:val="20"/>
          <w:szCs w:val="20"/>
        </w:rPr>
      </w:pPr>
    </w:p>
    <w:p w14:paraId="4E434DD8" w14:textId="6D2FAB20" w:rsidR="00FB66BC" w:rsidRPr="00FB66BC" w:rsidRDefault="00FB66BC" w:rsidP="00FB66BC">
      <w:pPr>
        <w:jc w:val="both"/>
        <w:rPr>
          <w:rFonts w:ascii="Times New Roman" w:hAnsi="Times New Roman" w:cs="Times New Roman"/>
          <w:b/>
          <w:bCs/>
          <w:color w:val="000000" w:themeColor="text1"/>
          <w:sz w:val="20"/>
          <w:szCs w:val="20"/>
        </w:rPr>
      </w:pPr>
    </w:p>
    <w:p w14:paraId="3753A68F" w14:textId="0FFF1C6D" w:rsidR="005906E0" w:rsidRPr="009D2486" w:rsidRDefault="005906E0" w:rsidP="00987902">
      <w:pPr>
        <w:jc w:val="both"/>
        <w:rPr>
          <w:rFonts w:ascii="Times New Roman" w:hAnsi="Times New Roman" w:cs="Times New Roman"/>
          <w:color w:val="000000" w:themeColor="text1"/>
          <w:sz w:val="20"/>
          <w:szCs w:val="20"/>
        </w:rPr>
      </w:pPr>
    </w:p>
    <w:p w14:paraId="01D077D3" w14:textId="789CB3B2" w:rsidR="000F59F3" w:rsidRDefault="000F59F3" w:rsidP="000F59F3">
      <w:pPr>
        <w:jc w:val="center"/>
        <w:rPr>
          <w:rFonts w:ascii="Times New Roman" w:hAnsi="Times New Roman" w:cs="Times New Roman"/>
          <w:b/>
          <w:bCs/>
          <w:color w:val="000000" w:themeColor="text1"/>
          <w:sz w:val="20"/>
          <w:szCs w:val="20"/>
        </w:rPr>
      </w:pPr>
    </w:p>
    <w:p w14:paraId="2C951484" w14:textId="7129B18D" w:rsidR="000F59F3" w:rsidRDefault="000F59F3" w:rsidP="000F59F3">
      <w:pPr>
        <w:jc w:val="center"/>
        <w:rPr>
          <w:rFonts w:ascii="Times New Roman" w:hAnsi="Times New Roman" w:cs="Times New Roman"/>
          <w:b/>
          <w:bCs/>
          <w:color w:val="000000" w:themeColor="text1"/>
          <w:sz w:val="20"/>
          <w:szCs w:val="20"/>
        </w:rPr>
      </w:pPr>
    </w:p>
    <w:p w14:paraId="1F459401" w14:textId="19FD9008" w:rsidR="00400E4E" w:rsidRDefault="00400E4E" w:rsidP="00400E4E">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0F59F3">
        <w:rPr>
          <w:rFonts w:ascii="Times New Roman" w:hAnsi="Times New Roman" w:cs="Times New Roman"/>
          <w:b/>
          <w:bCs/>
          <w:color w:val="000000" w:themeColor="text1"/>
          <w:sz w:val="20"/>
          <w:szCs w:val="20"/>
        </w:rPr>
        <w:t xml:space="preserve">Fig. 2 Survival strategies of RSSC in </w:t>
      </w:r>
      <w:r>
        <w:rPr>
          <w:rFonts w:ascii="Times New Roman" w:hAnsi="Times New Roman" w:cs="Times New Roman"/>
          <w:b/>
          <w:bCs/>
          <w:color w:val="000000" w:themeColor="text1"/>
          <w:sz w:val="20"/>
          <w:szCs w:val="20"/>
        </w:rPr>
        <w:t>soil</w:t>
      </w:r>
      <w:r w:rsidR="008374DD">
        <w:rPr>
          <w:rFonts w:ascii="Times New Roman" w:hAnsi="Times New Roman" w:cs="Times New Roman"/>
          <w:b/>
          <w:bCs/>
          <w:color w:val="000000" w:themeColor="text1"/>
          <w:sz w:val="20"/>
          <w:szCs w:val="20"/>
        </w:rPr>
        <w:t xml:space="preserve">. Abbreviation: </w:t>
      </w:r>
      <w:r>
        <w:rPr>
          <w:rFonts w:ascii="Times New Roman" w:hAnsi="Times New Roman" w:cs="Times New Roman"/>
          <w:b/>
          <w:bCs/>
          <w:color w:val="000000" w:themeColor="text1"/>
          <w:sz w:val="20"/>
          <w:szCs w:val="20"/>
        </w:rPr>
        <w:t xml:space="preserve">VBNC – Viable </w:t>
      </w:r>
      <w:proofErr w:type="gramStart"/>
      <w:r>
        <w:rPr>
          <w:rFonts w:ascii="Times New Roman" w:hAnsi="Times New Roman" w:cs="Times New Roman"/>
          <w:b/>
          <w:bCs/>
          <w:color w:val="000000" w:themeColor="text1"/>
          <w:sz w:val="20"/>
          <w:szCs w:val="20"/>
        </w:rPr>
        <w:t>But</w:t>
      </w:r>
      <w:proofErr w:type="gramEnd"/>
      <w:r>
        <w:rPr>
          <w:rFonts w:ascii="Times New Roman" w:hAnsi="Times New Roman" w:cs="Times New Roman"/>
          <w:b/>
          <w:bCs/>
          <w:color w:val="000000" w:themeColor="text1"/>
          <w:sz w:val="20"/>
          <w:szCs w:val="20"/>
        </w:rPr>
        <w:t xml:space="preserve"> Non-Culturable</w:t>
      </w:r>
    </w:p>
    <w:p w14:paraId="04F23F07" w14:textId="77777777" w:rsidR="0065571E" w:rsidRDefault="0065571E" w:rsidP="00CA29D9">
      <w:pPr>
        <w:jc w:val="both"/>
        <w:rPr>
          <w:rFonts w:ascii="Times New Roman" w:hAnsi="Times New Roman" w:cs="Times New Roman"/>
          <w:b/>
          <w:bCs/>
          <w:color w:val="000000" w:themeColor="text1"/>
          <w:sz w:val="20"/>
          <w:szCs w:val="20"/>
        </w:rPr>
      </w:pPr>
    </w:p>
    <w:p w14:paraId="072E0EB5" w14:textId="10830C73" w:rsidR="00556DAB" w:rsidRDefault="007E2DA6" w:rsidP="00CA29D9">
      <w:pPr>
        <w:jc w:val="both"/>
        <w:rPr>
          <w:rFonts w:ascii="Times New Roman" w:hAnsi="Times New Roman" w:cs="Times New Roman"/>
          <w:b/>
          <w:bCs/>
          <w:color w:val="000000" w:themeColor="text1"/>
          <w:sz w:val="20"/>
          <w:szCs w:val="20"/>
        </w:rPr>
      </w:pPr>
      <w:r w:rsidRPr="00401CAC">
        <w:rPr>
          <w:rFonts w:ascii="Times New Roman" w:hAnsi="Times New Roman" w:cs="Times New Roman"/>
          <w:b/>
          <w:bCs/>
          <w:color w:val="000000" w:themeColor="text1"/>
          <w:sz w:val="20"/>
          <w:szCs w:val="20"/>
        </w:rPr>
        <w:t xml:space="preserve">Selective forces shaping </w:t>
      </w:r>
      <w:r w:rsidR="001910FA">
        <w:rPr>
          <w:rFonts w:ascii="Times New Roman" w:hAnsi="Times New Roman" w:cs="Times New Roman"/>
          <w:b/>
          <w:bCs/>
          <w:color w:val="000000" w:themeColor="text1"/>
          <w:sz w:val="20"/>
          <w:szCs w:val="20"/>
        </w:rPr>
        <w:t xml:space="preserve">the </w:t>
      </w:r>
      <w:r w:rsidRPr="00401CAC">
        <w:rPr>
          <w:rFonts w:ascii="Times New Roman" w:hAnsi="Times New Roman" w:cs="Times New Roman"/>
          <w:b/>
          <w:bCs/>
          <w:color w:val="000000" w:themeColor="text1"/>
          <w:sz w:val="20"/>
          <w:szCs w:val="20"/>
        </w:rPr>
        <w:t>infection dynamics</w:t>
      </w:r>
      <w:r w:rsidR="001910FA">
        <w:rPr>
          <w:rFonts w:ascii="Times New Roman" w:hAnsi="Times New Roman" w:cs="Times New Roman"/>
          <w:b/>
          <w:bCs/>
          <w:color w:val="000000" w:themeColor="text1"/>
          <w:sz w:val="20"/>
          <w:szCs w:val="20"/>
        </w:rPr>
        <w:t xml:space="preserve"> of RSSC</w:t>
      </w:r>
    </w:p>
    <w:p w14:paraId="78BBB502" w14:textId="2C20B7D1" w:rsidR="00217075" w:rsidRPr="00217075" w:rsidRDefault="00217075" w:rsidP="00B73FD2">
      <w:pPr>
        <w:ind w:firstLine="720"/>
        <w:jc w:val="both"/>
        <w:rPr>
          <w:rFonts w:ascii="Times New Roman" w:hAnsi="Times New Roman" w:cs="Times New Roman"/>
          <w:color w:val="000000" w:themeColor="text1"/>
          <w:sz w:val="20"/>
          <w:szCs w:val="20"/>
        </w:rPr>
      </w:pPr>
      <w:r w:rsidRPr="006E7672">
        <w:rPr>
          <w:rFonts w:ascii="Times New Roman" w:hAnsi="Times New Roman" w:cs="Times New Roman"/>
          <w:i/>
          <w:iCs/>
          <w:color w:val="000000" w:themeColor="text1"/>
          <w:sz w:val="20"/>
          <w:szCs w:val="20"/>
        </w:rPr>
        <w:t>R. solanacearum</w:t>
      </w:r>
      <w:r w:rsidRPr="00217075">
        <w:rPr>
          <w:rFonts w:ascii="Times New Roman" w:hAnsi="Times New Roman" w:cs="Times New Roman"/>
          <w:color w:val="000000" w:themeColor="text1"/>
          <w:sz w:val="20"/>
          <w:szCs w:val="20"/>
        </w:rPr>
        <w:t xml:space="preserve"> is a highly adaptable and difficult pathogen to control, as it constantly adjusts to environmental changes. Its phenotypic </w:t>
      </w:r>
      <w:r w:rsidR="003D69E0">
        <w:rPr>
          <w:rFonts w:ascii="Times New Roman" w:hAnsi="Times New Roman" w:cs="Times New Roman"/>
          <w:color w:val="000000" w:themeColor="text1"/>
          <w:sz w:val="20"/>
          <w:szCs w:val="20"/>
        </w:rPr>
        <w:t>plasticity—the ability of a single genotype to exhibit different traits under varying conditions (Farnham</w:t>
      </w:r>
      <w:r w:rsidR="0073296E">
        <w:rPr>
          <w:rFonts w:ascii="Times New Roman" w:hAnsi="Times New Roman" w:cs="Times New Roman"/>
          <w:color w:val="000000" w:themeColor="text1"/>
          <w:sz w:val="20"/>
          <w:szCs w:val="20"/>
        </w:rPr>
        <w:t>,</w:t>
      </w:r>
      <w:r w:rsidR="003D69E0">
        <w:rPr>
          <w:rFonts w:ascii="Times New Roman" w:hAnsi="Times New Roman" w:cs="Times New Roman"/>
          <w:color w:val="000000" w:themeColor="text1"/>
          <w:sz w:val="20"/>
          <w:szCs w:val="20"/>
        </w:rPr>
        <w:t xml:space="preserve"> 2022)—</w:t>
      </w:r>
      <w:r w:rsidRPr="00217075">
        <w:rPr>
          <w:rFonts w:ascii="Times New Roman" w:hAnsi="Times New Roman" w:cs="Times New Roman"/>
          <w:color w:val="000000" w:themeColor="text1"/>
          <w:sz w:val="20"/>
          <w:szCs w:val="20"/>
        </w:rPr>
        <w:t xml:space="preserve">enables it to modify virulence, motility, metabolic functions, and stress tolerance. This flexibility enhances the pathogen’s survival and fitness across diverse soil environments. </w:t>
      </w:r>
      <w:r w:rsidRPr="00217075">
        <w:rPr>
          <w:rFonts w:ascii="Times New Roman" w:hAnsi="Times New Roman" w:cs="Times New Roman"/>
          <w:color w:val="000000" w:themeColor="text1"/>
          <w:sz w:val="20"/>
          <w:szCs w:val="20"/>
        </w:rPr>
        <w:lastRenderedPageBreak/>
        <w:t xml:space="preserve">Moreover, RSSC encounters numerous biotic and abiotic pressures during movement through soil and water, which strongly influence its persistence and disease transmission. The following section </w:t>
      </w:r>
      <w:r w:rsidR="00E855CC">
        <w:rPr>
          <w:rFonts w:ascii="Times New Roman" w:hAnsi="Times New Roman" w:cs="Times New Roman"/>
          <w:color w:val="000000" w:themeColor="text1"/>
          <w:sz w:val="20"/>
          <w:szCs w:val="20"/>
        </w:rPr>
        <w:t>provides a more detailed examination of these factors</w:t>
      </w:r>
      <w:r w:rsidRPr="00217075">
        <w:rPr>
          <w:rFonts w:ascii="Times New Roman" w:hAnsi="Times New Roman" w:cs="Times New Roman"/>
          <w:color w:val="000000" w:themeColor="text1"/>
          <w:sz w:val="20"/>
          <w:szCs w:val="20"/>
        </w:rPr>
        <w:t>.</w:t>
      </w:r>
    </w:p>
    <w:p w14:paraId="128B0CB3" w14:textId="7290370E" w:rsidR="0080425D" w:rsidRDefault="0080425D" w:rsidP="00A2440C">
      <w:pPr>
        <w:jc w:val="both"/>
        <w:rPr>
          <w:rFonts w:ascii="Times New Roman" w:hAnsi="Times New Roman" w:cs="Times New Roman"/>
          <w:b/>
          <w:bCs/>
          <w:color w:val="000000" w:themeColor="text1"/>
          <w:sz w:val="20"/>
          <w:szCs w:val="20"/>
        </w:rPr>
      </w:pPr>
      <w:r w:rsidRPr="00401CAC">
        <w:rPr>
          <w:rFonts w:ascii="Times New Roman" w:hAnsi="Times New Roman" w:cs="Times New Roman"/>
          <w:b/>
          <w:bCs/>
          <w:color w:val="000000" w:themeColor="text1"/>
          <w:sz w:val="20"/>
          <w:szCs w:val="20"/>
        </w:rPr>
        <w:t>Abiotic factors influencing the survival and proliferation of RSSC</w:t>
      </w:r>
    </w:p>
    <w:p w14:paraId="53E2755D" w14:textId="1DF2D824" w:rsidR="00E7032E" w:rsidRDefault="00D3045A" w:rsidP="00676EB5">
      <w:pPr>
        <w:ind w:firstLine="720"/>
        <w:jc w:val="both"/>
        <w:rPr>
          <w:rFonts w:ascii="Times New Roman" w:hAnsi="Times New Roman" w:cs="Times New Roman"/>
          <w:color w:val="000000" w:themeColor="text1"/>
          <w:sz w:val="20"/>
          <w:szCs w:val="20"/>
        </w:rPr>
      </w:pPr>
      <w:r w:rsidRPr="00D3045A">
        <w:rPr>
          <w:rFonts w:ascii="Times New Roman" w:hAnsi="Times New Roman" w:cs="Times New Roman"/>
          <w:color w:val="000000" w:themeColor="text1"/>
          <w:sz w:val="20"/>
          <w:szCs w:val="20"/>
        </w:rPr>
        <w:t xml:space="preserve">Abiotic </w:t>
      </w:r>
      <w:r w:rsidR="00F6525F">
        <w:rPr>
          <w:rFonts w:ascii="Times New Roman" w:hAnsi="Times New Roman" w:cs="Times New Roman"/>
          <w:color w:val="000000" w:themeColor="text1"/>
          <w:sz w:val="20"/>
          <w:szCs w:val="20"/>
        </w:rPr>
        <w:t xml:space="preserve">parameters </w:t>
      </w:r>
      <w:r w:rsidRPr="00D3045A">
        <w:rPr>
          <w:rFonts w:ascii="Times New Roman" w:hAnsi="Times New Roman" w:cs="Times New Roman"/>
          <w:color w:val="000000" w:themeColor="text1"/>
          <w:sz w:val="20"/>
          <w:szCs w:val="20"/>
        </w:rPr>
        <w:t xml:space="preserve">such as temperature, pH, salinity, soil moisture, nutrient availability, and gas concentrations (CO₂ and O₂) strongly influence the survival and virulence of </w:t>
      </w:r>
      <w:proofErr w:type="spellStart"/>
      <w:r w:rsidRPr="00D3045A">
        <w:rPr>
          <w:rFonts w:ascii="Times New Roman" w:hAnsi="Times New Roman" w:cs="Times New Roman"/>
          <w:i/>
          <w:iCs/>
          <w:color w:val="000000" w:themeColor="text1"/>
          <w:sz w:val="20"/>
          <w:szCs w:val="20"/>
        </w:rPr>
        <w:t>Ralstonia</w:t>
      </w:r>
      <w:proofErr w:type="spellEnd"/>
      <w:r w:rsidRPr="00D3045A">
        <w:rPr>
          <w:rFonts w:ascii="Times New Roman" w:hAnsi="Times New Roman" w:cs="Times New Roman"/>
          <w:i/>
          <w:iCs/>
          <w:color w:val="000000" w:themeColor="text1"/>
          <w:sz w:val="20"/>
          <w:szCs w:val="20"/>
        </w:rPr>
        <w:t xml:space="preserve"> solanacearum</w:t>
      </w:r>
      <w:r w:rsidRPr="00D3045A">
        <w:rPr>
          <w:rFonts w:ascii="Times New Roman" w:hAnsi="Times New Roman" w:cs="Times New Roman"/>
          <w:color w:val="000000" w:themeColor="text1"/>
          <w:sz w:val="20"/>
          <w:szCs w:val="20"/>
        </w:rPr>
        <w:t xml:space="preserve">. Among these, </w:t>
      </w:r>
      <w:r w:rsidRPr="00C24D48">
        <w:rPr>
          <w:rFonts w:ascii="Times New Roman" w:hAnsi="Times New Roman" w:cs="Times New Roman"/>
          <w:color w:val="000000" w:themeColor="text1"/>
          <w:sz w:val="20"/>
          <w:szCs w:val="20"/>
        </w:rPr>
        <w:t>soil moisture</w:t>
      </w:r>
      <w:r w:rsidRPr="00D3045A">
        <w:rPr>
          <w:rFonts w:ascii="Times New Roman" w:hAnsi="Times New Roman" w:cs="Times New Roman"/>
          <w:color w:val="000000" w:themeColor="text1"/>
          <w:sz w:val="20"/>
          <w:szCs w:val="20"/>
        </w:rPr>
        <w:t xml:space="preserve"> plays a particularly critical role. Elevated moisture, often resulting from rainfall or high-water tables, promotes pathogen survival and is consistently linked to bacterial wilt outbreaks (Hayward</w:t>
      </w:r>
      <w:r w:rsidR="000D7422">
        <w:rPr>
          <w:rFonts w:ascii="Times New Roman" w:hAnsi="Times New Roman" w:cs="Times New Roman"/>
          <w:color w:val="000000" w:themeColor="text1"/>
          <w:sz w:val="20"/>
          <w:szCs w:val="20"/>
        </w:rPr>
        <w:t>,</w:t>
      </w:r>
      <w:r w:rsidRPr="00D3045A">
        <w:rPr>
          <w:rFonts w:ascii="Times New Roman" w:hAnsi="Times New Roman" w:cs="Times New Roman"/>
          <w:color w:val="000000" w:themeColor="text1"/>
          <w:sz w:val="20"/>
          <w:szCs w:val="20"/>
        </w:rPr>
        <w:t xml:space="preserve"> 1991). </w:t>
      </w:r>
      <w:r w:rsidRPr="00C24D48">
        <w:rPr>
          <w:rFonts w:ascii="Times New Roman" w:hAnsi="Times New Roman" w:cs="Times New Roman"/>
          <w:color w:val="000000" w:themeColor="text1"/>
          <w:sz w:val="20"/>
          <w:szCs w:val="20"/>
        </w:rPr>
        <w:t>Soil pH</w:t>
      </w:r>
      <w:r w:rsidRPr="00D3045A">
        <w:rPr>
          <w:rFonts w:ascii="Times New Roman" w:hAnsi="Times New Roman" w:cs="Times New Roman"/>
          <w:color w:val="000000" w:themeColor="text1"/>
          <w:sz w:val="20"/>
          <w:szCs w:val="20"/>
        </w:rPr>
        <w:t xml:space="preserve"> also affects pathogen growth; acidic soils (pH 4.5–5.5) favour its proliferation and are frequently associated with higher wilt incidence (Hayward</w:t>
      </w:r>
      <w:r w:rsidR="000D7422">
        <w:rPr>
          <w:rFonts w:ascii="Times New Roman" w:hAnsi="Times New Roman" w:cs="Times New Roman"/>
          <w:color w:val="000000" w:themeColor="text1"/>
          <w:sz w:val="20"/>
          <w:szCs w:val="20"/>
        </w:rPr>
        <w:t>,</w:t>
      </w:r>
      <w:r w:rsidRPr="00D3045A">
        <w:rPr>
          <w:rFonts w:ascii="Times New Roman" w:hAnsi="Times New Roman" w:cs="Times New Roman"/>
          <w:color w:val="000000" w:themeColor="text1"/>
          <w:sz w:val="20"/>
          <w:szCs w:val="20"/>
        </w:rPr>
        <w:t xml:space="preserve"> 1991). </w:t>
      </w:r>
      <w:r w:rsidRPr="00C24D48">
        <w:rPr>
          <w:rFonts w:ascii="Times New Roman" w:hAnsi="Times New Roman" w:cs="Times New Roman"/>
          <w:color w:val="000000" w:themeColor="text1"/>
          <w:sz w:val="20"/>
          <w:szCs w:val="20"/>
        </w:rPr>
        <w:t>Temperature</w:t>
      </w:r>
      <w:r w:rsidRPr="00D3045A">
        <w:rPr>
          <w:rFonts w:ascii="Times New Roman" w:hAnsi="Times New Roman" w:cs="Times New Roman"/>
          <w:color w:val="000000" w:themeColor="text1"/>
          <w:sz w:val="20"/>
          <w:szCs w:val="20"/>
        </w:rPr>
        <w:t xml:space="preserve"> further determines persistence and epidemiology—although overall survival decreases under cooler conditions, cold-tolerant strains such as race 3 biovar 2 (phylotype IIB sequevar 1) can still cause disease in temperate climates (</w:t>
      </w:r>
      <w:r w:rsidR="00B423E1" w:rsidRPr="00D3045A">
        <w:rPr>
          <w:rFonts w:ascii="Times New Roman" w:hAnsi="Times New Roman" w:cs="Times New Roman"/>
          <w:color w:val="000000" w:themeColor="text1"/>
          <w:sz w:val="20"/>
          <w:szCs w:val="20"/>
        </w:rPr>
        <w:t>Janse</w:t>
      </w:r>
      <w:r w:rsidR="00B423E1">
        <w:rPr>
          <w:rFonts w:ascii="Times New Roman" w:hAnsi="Times New Roman" w:cs="Times New Roman"/>
          <w:color w:val="000000" w:themeColor="text1"/>
          <w:sz w:val="20"/>
          <w:szCs w:val="20"/>
        </w:rPr>
        <w:t>,</w:t>
      </w:r>
      <w:r w:rsidR="00B423E1" w:rsidRPr="00D3045A">
        <w:rPr>
          <w:rFonts w:ascii="Times New Roman" w:hAnsi="Times New Roman" w:cs="Times New Roman"/>
          <w:color w:val="000000" w:themeColor="text1"/>
          <w:sz w:val="20"/>
          <w:szCs w:val="20"/>
        </w:rPr>
        <w:t xml:space="preserve"> 1996</w:t>
      </w:r>
      <w:r w:rsidR="00B423E1">
        <w:rPr>
          <w:rFonts w:ascii="Times New Roman" w:hAnsi="Times New Roman" w:cs="Times New Roman"/>
          <w:color w:val="000000" w:themeColor="text1"/>
          <w:sz w:val="20"/>
          <w:szCs w:val="20"/>
        </w:rPr>
        <w:t xml:space="preserve"> &amp; </w:t>
      </w:r>
      <w:r w:rsidR="006D06BE" w:rsidRPr="00D3045A">
        <w:rPr>
          <w:rFonts w:ascii="Times New Roman" w:hAnsi="Times New Roman" w:cs="Times New Roman"/>
          <w:color w:val="000000" w:themeColor="text1"/>
          <w:sz w:val="20"/>
          <w:szCs w:val="20"/>
        </w:rPr>
        <w:t>Elphinstone</w:t>
      </w:r>
      <w:r w:rsidR="000F2B6B">
        <w:rPr>
          <w:rFonts w:ascii="Times New Roman" w:hAnsi="Times New Roman" w:cs="Times New Roman"/>
          <w:color w:val="000000" w:themeColor="text1"/>
          <w:sz w:val="20"/>
          <w:szCs w:val="20"/>
        </w:rPr>
        <w:t>,</w:t>
      </w:r>
      <w:r w:rsidR="006D06BE" w:rsidRPr="00D3045A">
        <w:rPr>
          <w:rFonts w:ascii="Times New Roman" w:hAnsi="Times New Roman" w:cs="Times New Roman"/>
          <w:color w:val="000000" w:themeColor="text1"/>
          <w:sz w:val="20"/>
          <w:szCs w:val="20"/>
        </w:rPr>
        <w:t xml:space="preserve"> 2005</w:t>
      </w:r>
      <w:r w:rsidRPr="00D3045A">
        <w:rPr>
          <w:rFonts w:ascii="Times New Roman" w:hAnsi="Times New Roman" w:cs="Times New Roman"/>
          <w:color w:val="000000" w:themeColor="text1"/>
          <w:sz w:val="20"/>
          <w:szCs w:val="20"/>
        </w:rPr>
        <w:t xml:space="preserve">). The pathogen’s ability to tolerate nutrient stress is ecologically advantageous, enabling certain strains to persist in oligotrophic environments such as sterile water while remaining infectious to susceptible hosts (Álvarez </w:t>
      </w:r>
      <w:r w:rsidRPr="002C6C30">
        <w:rPr>
          <w:rFonts w:ascii="Times New Roman" w:hAnsi="Times New Roman" w:cs="Times New Roman"/>
          <w:i/>
          <w:iCs/>
          <w:color w:val="000000" w:themeColor="text1"/>
          <w:sz w:val="20"/>
          <w:szCs w:val="20"/>
        </w:rPr>
        <w:t>et al.</w:t>
      </w:r>
      <w:r w:rsidR="002C6C30">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2008). </w:t>
      </w:r>
      <w:r w:rsidRPr="00C24D48">
        <w:rPr>
          <w:rFonts w:ascii="Times New Roman" w:hAnsi="Times New Roman" w:cs="Times New Roman"/>
          <w:color w:val="000000" w:themeColor="text1"/>
          <w:sz w:val="20"/>
          <w:szCs w:val="20"/>
        </w:rPr>
        <w:t>Salinity</w:t>
      </w:r>
      <w:r w:rsidRPr="00D3045A">
        <w:rPr>
          <w:rFonts w:ascii="Times New Roman" w:hAnsi="Times New Roman" w:cs="Times New Roman"/>
          <w:color w:val="000000" w:themeColor="text1"/>
          <w:sz w:val="20"/>
          <w:szCs w:val="20"/>
        </w:rPr>
        <w:t xml:space="preserve"> also influences survival: most strains withstand ≈1% NaCl but are inhibited at concentrations ≥2% (Álvarez </w:t>
      </w:r>
      <w:r w:rsidRPr="002E6EE4">
        <w:rPr>
          <w:rFonts w:ascii="Times New Roman" w:hAnsi="Times New Roman" w:cs="Times New Roman"/>
          <w:i/>
          <w:iCs/>
          <w:color w:val="000000" w:themeColor="text1"/>
          <w:sz w:val="20"/>
          <w:szCs w:val="20"/>
        </w:rPr>
        <w:t>et al.</w:t>
      </w:r>
      <w:r w:rsidR="002E6EE4">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2010). Elevated soil moisture remains a consistent driver of disease, as later confirmed by Parkinson </w:t>
      </w:r>
      <w:r w:rsidRPr="008E134C">
        <w:rPr>
          <w:rFonts w:ascii="Times New Roman" w:hAnsi="Times New Roman" w:cs="Times New Roman"/>
          <w:i/>
          <w:iCs/>
          <w:color w:val="000000" w:themeColor="text1"/>
          <w:sz w:val="20"/>
          <w:szCs w:val="20"/>
        </w:rPr>
        <w:t>et al.</w:t>
      </w:r>
      <w:r w:rsidRPr="00D3045A">
        <w:rPr>
          <w:rFonts w:ascii="Times New Roman" w:hAnsi="Times New Roman" w:cs="Times New Roman"/>
          <w:color w:val="000000" w:themeColor="text1"/>
          <w:sz w:val="20"/>
          <w:szCs w:val="20"/>
        </w:rPr>
        <w:t xml:space="preserve"> (2013). Abiotic conditions collectively determine the pathogen’s ecological range and disease risk (Brennan and Collins</w:t>
      </w:r>
      <w:r w:rsidR="00AF4111">
        <w:rPr>
          <w:rFonts w:ascii="Times New Roman" w:hAnsi="Times New Roman" w:cs="Times New Roman"/>
          <w:color w:val="000000" w:themeColor="text1"/>
          <w:sz w:val="20"/>
          <w:szCs w:val="20"/>
        </w:rPr>
        <w:t>,</w:t>
      </w:r>
      <w:r w:rsidRPr="00D3045A">
        <w:rPr>
          <w:rFonts w:ascii="Times New Roman" w:hAnsi="Times New Roman" w:cs="Times New Roman"/>
          <w:color w:val="000000" w:themeColor="text1"/>
          <w:sz w:val="20"/>
          <w:szCs w:val="20"/>
        </w:rPr>
        <w:t xml:space="preserve"> 2015). More recent studies reveal that soil moisture patterns can even predict disease occurrence (Jiang </w:t>
      </w:r>
      <w:r w:rsidRPr="00AF4111">
        <w:rPr>
          <w:rFonts w:ascii="Times New Roman" w:hAnsi="Times New Roman" w:cs="Times New Roman"/>
          <w:i/>
          <w:iCs/>
          <w:color w:val="000000" w:themeColor="text1"/>
          <w:sz w:val="20"/>
          <w:szCs w:val="20"/>
        </w:rPr>
        <w:t>et al.</w:t>
      </w:r>
      <w:r w:rsidR="00AF4111" w:rsidRPr="00AF4111">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2021) and that abiotic parameters such as temperature, pH, and salinity modulate the pathogen’s virulence and fitness under different environmental contexts (</w:t>
      </w:r>
      <w:proofErr w:type="spellStart"/>
      <w:r w:rsidRPr="00D3045A">
        <w:rPr>
          <w:rFonts w:ascii="Times New Roman" w:hAnsi="Times New Roman" w:cs="Times New Roman"/>
          <w:color w:val="000000" w:themeColor="text1"/>
          <w:sz w:val="20"/>
          <w:szCs w:val="20"/>
        </w:rPr>
        <w:t>Zarattini</w:t>
      </w:r>
      <w:proofErr w:type="spellEnd"/>
      <w:r w:rsidRPr="00D3045A">
        <w:rPr>
          <w:rFonts w:ascii="Times New Roman" w:hAnsi="Times New Roman" w:cs="Times New Roman"/>
          <w:color w:val="000000" w:themeColor="text1"/>
          <w:sz w:val="20"/>
          <w:szCs w:val="20"/>
        </w:rPr>
        <w:t xml:space="preserve"> </w:t>
      </w:r>
      <w:r w:rsidRPr="00AF4111">
        <w:rPr>
          <w:rFonts w:ascii="Times New Roman" w:hAnsi="Times New Roman" w:cs="Times New Roman"/>
          <w:i/>
          <w:iCs/>
          <w:color w:val="000000" w:themeColor="text1"/>
          <w:sz w:val="20"/>
          <w:szCs w:val="20"/>
        </w:rPr>
        <w:t>et al.</w:t>
      </w:r>
      <w:r w:rsidR="00AF4111">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2021). Collectively, these abiotic factors act as key selective pressures shaping the ecology, epidemiology, and host–pathogen interactions of the RSSC.</w:t>
      </w:r>
    </w:p>
    <w:p w14:paraId="48268ACE" w14:textId="0D3626AB" w:rsidR="00E7032E" w:rsidRDefault="00DE6764" w:rsidP="0042735B">
      <w:pPr>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3361" behindDoc="0" locked="0" layoutInCell="1" allowOverlap="1" wp14:anchorId="71761FB9" wp14:editId="2658179B">
            <wp:simplePos x="0" y="0"/>
            <wp:positionH relativeFrom="column">
              <wp:posOffset>617220</wp:posOffset>
            </wp:positionH>
            <wp:positionV relativeFrom="paragraph">
              <wp:posOffset>129540</wp:posOffset>
            </wp:positionV>
            <wp:extent cx="4564380" cy="2606675"/>
            <wp:effectExtent l="0" t="0" r="7620" b="3175"/>
            <wp:wrapSquare wrapText="bothSides"/>
            <wp:docPr id="1437927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27507" name="Picture 1437927507"/>
                    <pic:cNvPicPr/>
                  </pic:nvPicPr>
                  <pic:blipFill rotWithShape="1">
                    <a:blip r:embed="rId10" cstate="print">
                      <a:extLst>
                        <a:ext uri="{28A0092B-C50C-407E-A947-70E740481C1C}">
                          <a14:useLocalDpi xmlns:a14="http://schemas.microsoft.com/office/drawing/2010/main" val="0"/>
                        </a:ext>
                      </a:extLst>
                    </a:blip>
                    <a:srcRect l="11700" t="19145" r="8664"/>
                    <a:stretch>
                      <a:fillRect/>
                    </a:stretch>
                  </pic:blipFill>
                  <pic:spPr bwMode="auto">
                    <a:xfrm>
                      <a:off x="0" y="0"/>
                      <a:ext cx="4564380" cy="2606675"/>
                    </a:xfrm>
                    <a:prstGeom prst="rect">
                      <a:avLst/>
                    </a:prstGeom>
                    <a:ln>
                      <a:noFill/>
                    </a:ln>
                    <a:extLst>
                      <a:ext uri="{53640926-AAD7-44D8-BBD7-CCE9431645EC}">
                        <a14:shadowObscured xmlns:a14="http://schemas.microsoft.com/office/drawing/2010/main"/>
                      </a:ext>
                    </a:extLst>
                  </pic:spPr>
                </pic:pic>
              </a:graphicData>
            </a:graphic>
          </wp:anchor>
        </w:drawing>
      </w:r>
    </w:p>
    <w:p w14:paraId="0868A5EB" w14:textId="5C881FD6" w:rsidR="00E7032E" w:rsidRDefault="00E7032E" w:rsidP="0042735B">
      <w:pPr>
        <w:jc w:val="both"/>
        <w:rPr>
          <w:rFonts w:ascii="Times New Roman" w:hAnsi="Times New Roman" w:cs="Times New Roman"/>
          <w:color w:val="000000" w:themeColor="text1"/>
          <w:sz w:val="20"/>
          <w:szCs w:val="20"/>
        </w:rPr>
      </w:pPr>
    </w:p>
    <w:p w14:paraId="1054599C" w14:textId="03412D90" w:rsidR="00E7032E" w:rsidRDefault="00E7032E" w:rsidP="0042735B">
      <w:pPr>
        <w:jc w:val="both"/>
        <w:rPr>
          <w:rFonts w:ascii="Times New Roman" w:hAnsi="Times New Roman" w:cs="Times New Roman"/>
          <w:color w:val="000000" w:themeColor="text1"/>
          <w:sz w:val="20"/>
          <w:szCs w:val="20"/>
        </w:rPr>
      </w:pPr>
    </w:p>
    <w:p w14:paraId="51AFE17E" w14:textId="2C403C5E" w:rsidR="00E7032E" w:rsidRDefault="00E7032E" w:rsidP="0042735B">
      <w:pPr>
        <w:jc w:val="both"/>
        <w:rPr>
          <w:rFonts w:ascii="Times New Roman" w:hAnsi="Times New Roman" w:cs="Times New Roman"/>
          <w:color w:val="000000" w:themeColor="text1"/>
          <w:sz w:val="20"/>
          <w:szCs w:val="20"/>
        </w:rPr>
      </w:pPr>
    </w:p>
    <w:p w14:paraId="07B5E44C" w14:textId="0B215E06" w:rsidR="00E7032E" w:rsidRDefault="00E7032E" w:rsidP="0042735B">
      <w:pPr>
        <w:jc w:val="both"/>
        <w:rPr>
          <w:rFonts w:ascii="Times New Roman" w:hAnsi="Times New Roman" w:cs="Times New Roman"/>
          <w:color w:val="000000" w:themeColor="text1"/>
          <w:sz w:val="20"/>
          <w:szCs w:val="20"/>
        </w:rPr>
      </w:pPr>
    </w:p>
    <w:p w14:paraId="77815221" w14:textId="77777777" w:rsidR="00E7032E" w:rsidRDefault="00E7032E" w:rsidP="0042735B">
      <w:pPr>
        <w:jc w:val="both"/>
        <w:rPr>
          <w:rFonts w:ascii="Times New Roman" w:hAnsi="Times New Roman" w:cs="Times New Roman"/>
          <w:color w:val="000000" w:themeColor="text1"/>
          <w:sz w:val="20"/>
          <w:szCs w:val="20"/>
        </w:rPr>
      </w:pPr>
    </w:p>
    <w:p w14:paraId="15900173" w14:textId="77777777" w:rsidR="00E7032E" w:rsidRDefault="00E7032E" w:rsidP="0042735B">
      <w:pPr>
        <w:jc w:val="both"/>
        <w:rPr>
          <w:rFonts w:ascii="Times New Roman" w:hAnsi="Times New Roman" w:cs="Times New Roman"/>
          <w:color w:val="000000" w:themeColor="text1"/>
          <w:sz w:val="20"/>
          <w:szCs w:val="20"/>
        </w:rPr>
      </w:pPr>
    </w:p>
    <w:p w14:paraId="648BC7CB" w14:textId="77777777" w:rsidR="00E7032E" w:rsidRDefault="00E7032E" w:rsidP="0042735B">
      <w:pPr>
        <w:jc w:val="both"/>
        <w:rPr>
          <w:rFonts w:ascii="Times New Roman" w:hAnsi="Times New Roman" w:cs="Times New Roman"/>
          <w:color w:val="000000" w:themeColor="text1"/>
          <w:sz w:val="20"/>
          <w:szCs w:val="20"/>
        </w:rPr>
      </w:pPr>
    </w:p>
    <w:p w14:paraId="6D7E8091" w14:textId="77777777" w:rsidR="00D3045A" w:rsidRDefault="00D3045A" w:rsidP="0061483C">
      <w:pPr>
        <w:jc w:val="center"/>
        <w:rPr>
          <w:rFonts w:ascii="Times New Roman" w:hAnsi="Times New Roman" w:cs="Times New Roman"/>
          <w:b/>
          <w:bCs/>
          <w:color w:val="000000" w:themeColor="text1"/>
          <w:sz w:val="20"/>
          <w:szCs w:val="20"/>
        </w:rPr>
      </w:pPr>
    </w:p>
    <w:p w14:paraId="76CE0E70" w14:textId="77777777" w:rsidR="00D3045A" w:rsidRDefault="00D3045A" w:rsidP="0061483C">
      <w:pPr>
        <w:jc w:val="center"/>
        <w:rPr>
          <w:rFonts w:ascii="Times New Roman" w:hAnsi="Times New Roman" w:cs="Times New Roman"/>
          <w:b/>
          <w:bCs/>
          <w:color w:val="000000" w:themeColor="text1"/>
          <w:sz w:val="20"/>
          <w:szCs w:val="20"/>
        </w:rPr>
      </w:pPr>
    </w:p>
    <w:p w14:paraId="59D2A897" w14:textId="77777777" w:rsidR="00DE6764" w:rsidRDefault="000F59F3" w:rsidP="0061483C">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p>
    <w:p w14:paraId="33F9B01B" w14:textId="7FA9DE45" w:rsidR="004E09C3" w:rsidRPr="004E09C3" w:rsidRDefault="00C518C9" w:rsidP="00DE6764">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4E09C3" w:rsidRPr="004E09C3">
        <w:rPr>
          <w:rFonts w:ascii="Times New Roman" w:hAnsi="Times New Roman" w:cs="Times New Roman"/>
          <w:b/>
          <w:bCs/>
          <w:color w:val="000000" w:themeColor="text1"/>
          <w:sz w:val="20"/>
          <w:szCs w:val="20"/>
        </w:rPr>
        <w:t xml:space="preserve">Fig. 3 Environmental factors influencing </w:t>
      </w:r>
      <w:r w:rsidR="008C076D">
        <w:rPr>
          <w:rFonts w:ascii="Times New Roman" w:hAnsi="Times New Roman" w:cs="Times New Roman"/>
          <w:b/>
          <w:bCs/>
          <w:color w:val="000000" w:themeColor="text1"/>
          <w:sz w:val="20"/>
          <w:szCs w:val="20"/>
        </w:rPr>
        <w:t xml:space="preserve">the </w:t>
      </w:r>
      <w:r w:rsidR="004E09C3" w:rsidRPr="004E09C3">
        <w:rPr>
          <w:rFonts w:ascii="Times New Roman" w:hAnsi="Times New Roman" w:cs="Times New Roman"/>
          <w:b/>
          <w:bCs/>
          <w:color w:val="000000" w:themeColor="text1"/>
          <w:sz w:val="20"/>
          <w:szCs w:val="20"/>
        </w:rPr>
        <w:t>persistence</w:t>
      </w:r>
      <w:r w:rsidR="008C076D">
        <w:rPr>
          <w:rFonts w:ascii="Times New Roman" w:hAnsi="Times New Roman" w:cs="Times New Roman"/>
          <w:b/>
          <w:bCs/>
          <w:color w:val="000000" w:themeColor="text1"/>
          <w:sz w:val="20"/>
          <w:szCs w:val="20"/>
        </w:rPr>
        <w:t xml:space="preserve"> of RSSC</w:t>
      </w:r>
    </w:p>
    <w:p w14:paraId="580E4FF5" w14:textId="77777777" w:rsidR="00C518C9" w:rsidRDefault="00C518C9" w:rsidP="00151482">
      <w:pPr>
        <w:jc w:val="both"/>
        <w:rPr>
          <w:rFonts w:ascii="Times New Roman" w:hAnsi="Times New Roman" w:cs="Times New Roman"/>
          <w:b/>
          <w:bCs/>
          <w:color w:val="000000" w:themeColor="text1"/>
          <w:sz w:val="20"/>
          <w:szCs w:val="20"/>
        </w:rPr>
      </w:pPr>
    </w:p>
    <w:p w14:paraId="25F52FF4" w14:textId="6E4F495B" w:rsidR="00DE6764" w:rsidRPr="00151482" w:rsidRDefault="00151482" w:rsidP="00151482">
      <w:pPr>
        <w:jc w:val="both"/>
        <w:rPr>
          <w:rFonts w:ascii="Times New Roman" w:hAnsi="Times New Roman" w:cs="Times New Roman"/>
          <w:b/>
          <w:bCs/>
          <w:color w:val="000000" w:themeColor="text1"/>
          <w:sz w:val="20"/>
          <w:szCs w:val="20"/>
        </w:rPr>
      </w:pPr>
      <w:r w:rsidRPr="00151482">
        <w:rPr>
          <w:rFonts w:ascii="Times New Roman" w:hAnsi="Times New Roman" w:cs="Times New Roman"/>
          <w:b/>
          <w:bCs/>
          <w:color w:val="000000" w:themeColor="text1"/>
          <w:sz w:val="20"/>
          <w:szCs w:val="20"/>
        </w:rPr>
        <w:t>Biotic factors influencing</w:t>
      </w:r>
      <w:r w:rsidR="002178E3">
        <w:rPr>
          <w:rFonts w:ascii="Times New Roman" w:hAnsi="Times New Roman" w:cs="Times New Roman"/>
          <w:b/>
          <w:bCs/>
          <w:color w:val="000000" w:themeColor="text1"/>
          <w:sz w:val="20"/>
          <w:szCs w:val="20"/>
        </w:rPr>
        <w:t xml:space="preserve"> the</w:t>
      </w:r>
      <w:r w:rsidRPr="00151482">
        <w:rPr>
          <w:rFonts w:ascii="Times New Roman" w:hAnsi="Times New Roman" w:cs="Times New Roman"/>
          <w:b/>
          <w:bCs/>
          <w:color w:val="000000" w:themeColor="text1"/>
          <w:sz w:val="20"/>
          <w:szCs w:val="20"/>
        </w:rPr>
        <w:t xml:space="preserve"> survival and proliferation</w:t>
      </w:r>
      <w:r w:rsidR="002178E3">
        <w:rPr>
          <w:rFonts w:ascii="Times New Roman" w:hAnsi="Times New Roman" w:cs="Times New Roman"/>
          <w:b/>
          <w:bCs/>
          <w:color w:val="000000" w:themeColor="text1"/>
          <w:sz w:val="20"/>
          <w:szCs w:val="20"/>
        </w:rPr>
        <w:t xml:space="preserve"> of </w:t>
      </w:r>
      <w:r w:rsidR="002178E3" w:rsidRPr="00151482">
        <w:rPr>
          <w:rFonts w:ascii="Times New Roman" w:hAnsi="Times New Roman" w:cs="Times New Roman"/>
          <w:b/>
          <w:bCs/>
          <w:color w:val="000000" w:themeColor="text1"/>
          <w:sz w:val="20"/>
          <w:szCs w:val="20"/>
        </w:rPr>
        <w:t>RSSC</w:t>
      </w:r>
    </w:p>
    <w:p w14:paraId="124C5E3C" w14:textId="7D1256C6" w:rsidR="00151482" w:rsidRDefault="00ED7908" w:rsidP="0015148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E</w:t>
      </w:r>
      <w:r w:rsidR="00151482" w:rsidRPr="00151482">
        <w:rPr>
          <w:rFonts w:ascii="Times New Roman" w:hAnsi="Times New Roman" w:cs="Times New Roman"/>
          <w:b/>
          <w:bCs/>
          <w:color w:val="000000" w:themeColor="text1"/>
          <w:sz w:val="20"/>
          <w:szCs w:val="20"/>
        </w:rPr>
        <w:t>stablishment in the rhizosphere</w:t>
      </w:r>
      <w:r>
        <w:rPr>
          <w:rFonts w:ascii="Times New Roman" w:hAnsi="Times New Roman" w:cs="Times New Roman"/>
          <w:b/>
          <w:bCs/>
          <w:color w:val="000000" w:themeColor="text1"/>
          <w:sz w:val="20"/>
          <w:szCs w:val="20"/>
        </w:rPr>
        <w:t xml:space="preserve"> and invasion</w:t>
      </w:r>
    </w:p>
    <w:p w14:paraId="1D24295B" w14:textId="77777777" w:rsidR="00BC0F74" w:rsidRDefault="00C1078B" w:rsidP="00BC0F74">
      <w:pPr>
        <w:ind w:firstLine="720"/>
        <w:jc w:val="both"/>
        <w:rPr>
          <w:rFonts w:ascii="Times New Roman" w:hAnsi="Times New Roman" w:cs="Times New Roman"/>
          <w:color w:val="000000" w:themeColor="text1"/>
          <w:sz w:val="20"/>
          <w:szCs w:val="20"/>
        </w:rPr>
      </w:pPr>
      <w:r w:rsidRPr="00C1078B">
        <w:rPr>
          <w:rFonts w:ascii="Times New Roman" w:hAnsi="Times New Roman" w:cs="Times New Roman"/>
          <w:color w:val="000000" w:themeColor="text1"/>
          <w:sz w:val="20"/>
          <w:szCs w:val="20"/>
        </w:rPr>
        <w:t xml:space="preserve">The resource utilization patterns and virulence potential </w:t>
      </w:r>
      <w:proofErr w:type="gramStart"/>
      <w:r w:rsidRPr="00C1078B">
        <w:rPr>
          <w:rFonts w:ascii="Times New Roman" w:hAnsi="Times New Roman" w:cs="Times New Roman"/>
          <w:color w:val="000000" w:themeColor="text1"/>
          <w:sz w:val="20"/>
          <w:szCs w:val="20"/>
        </w:rPr>
        <w:t xml:space="preserve">of </w:t>
      </w:r>
      <w:r w:rsidR="00BB544A">
        <w:rPr>
          <w:rFonts w:ascii="Times New Roman" w:hAnsi="Times New Roman" w:cs="Times New Roman"/>
          <w:color w:val="000000" w:themeColor="text1"/>
          <w:sz w:val="20"/>
          <w:szCs w:val="20"/>
        </w:rPr>
        <w:t xml:space="preserve"> </w:t>
      </w:r>
      <w:r w:rsidRPr="00C1078B">
        <w:rPr>
          <w:rFonts w:ascii="Times New Roman" w:hAnsi="Times New Roman" w:cs="Times New Roman"/>
          <w:color w:val="000000" w:themeColor="text1"/>
          <w:sz w:val="20"/>
          <w:szCs w:val="20"/>
        </w:rPr>
        <w:t>RSSC</w:t>
      </w:r>
      <w:proofErr w:type="gramEnd"/>
      <w:r w:rsidRPr="00C1078B">
        <w:rPr>
          <w:rFonts w:ascii="Times New Roman" w:hAnsi="Times New Roman" w:cs="Times New Roman"/>
          <w:color w:val="000000" w:themeColor="text1"/>
          <w:sz w:val="20"/>
          <w:szCs w:val="20"/>
        </w:rPr>
        <w:t xml:space="preserve"> vary among strains, reflecting distinct life-history strategies (Hayward</w:t>
      </w:r>
      <w:r w:rsidR="006D55B4">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1991). One important adaptation involves the production of siderophores—iron-chelating compounds that enhance competitiveness and nutrient acquisition in the rhizosphere (Bhatt </w:t>
      </w:r>
      <w:r w:rsidR="00AF71E2">
        <w:rPr>
          <w:rFonts w:ascii="Times New Roman" w:hAnsi="Times New Roman" w:cs="Times New Roman"/>
          <w:color w:val="000000" w:themeColor="text1"/>
          <w:sz w:val="20"/>
          <w:szCs w:val="20"/>
        </w:rPr>
        <w:t>and</w:t>
      </w:r>
      <w:r w:rsidRPr="00C1078B">
        <w:rPr>
          <w:rFonts w:ascii="Times New Roman" w:hAnsi="Times New Roman" w:cs="Times New Roman"/>
          <w:color w:val="000000" w:themeColor="text1"/>
          <w:sz w:val="20"/>
          <w:szCs w:val="20"/>
        </w:rPr>
        <w:t xml:space="preserve"> Denny</w:t>
      </w:r>
      <w:r w:rsidR="00AF71E2">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2004</w:t>
      </w:r>
      <w:r w:rsidR="00E056C5">
        <w:rPr>
          <w:rFonts w:ascii="Times New Roman" w:hAnsi="Times New Roman" w:cs="Times New Roman"/>
          <w:color w:val="000000" w:themeColor="text1"/>
          <w:sz w:val="20"/>
          <w:szCs w:val="20"/>
        </w:rPr>
        <w:t xml:space="preserve"> &amp;</w:t>
      </w:r>
      <w:r w:rsidRPr="00C1078B">
        <w:rPr>
          <w:rFonts w:ascii="Times New Roman" w:hAnsi="Times New Roman" w:cs="Times New Roman"/>
          <w:color w:val="000000" w:themeColor="text1"/>
          <w:sz w:val="20"/>
          <w:szCs w:val="20"/>
        </w:rPr>
        <w:t xml:space="preserve"> Hider </w:t>
      </w:r>
      <w:r w:rsidR="00AF71E2">
        <w:rPr>
          <w:rFonts w:ascii="Times New Roman" w:hAnsi="Times New Roman" w:cs="Times New Roman"/>
          <w:color w:val="000000" w:themeColor="text1"/>
          <w:sz w:val="20"/>
          <w:szCs w:val="20"/>
        </w:rPr>
        <w:t>and</w:t>
      </w:r>
      <w:r w:rsidRPr="00C1078B">
        <w:rPr>
          <w:rFonts w:ascii="Times New Roman" w:hAnsi="Times New Roman" w:cs="Times New Roman"/>
          <w:color w:val="000000" w:themeColor="text1"/>
          <w:sz w:val="20"/>
          <w:szCs w:val="20"/>
        </w:rPr>
        <w:t xml:space="preserve"> Kong</w:t>
      </w:r>
      <w:r w:rsidR="00AF71E2">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2010). For successful infection, RSSC must establish itself in the rhizosphere and attain a threshold population density required to activate virulence genes (Genin </w:t>
      </w:r>
      <w:r w:rsidR="00894FB7">
        <w:rPr>
          <w:rFonts w:ascii="Times New Roman" w:hAnsi="Times New Roman" w:cs="Times New Roman"/>
          <w:color w:val="000000" w:themeColor="text1"/>
          <w:sz w:val="20"/>
          <w:szCs w:val="20"/>
        </w:rPr>
        <w:t>and</w:t>
      </w:r>
      <w:r w:rsidRPr="00C1078B">
        <w:rPr>
          <w:rFonts w:ascii="Times New Roman" w:hAnsi="Times New Roman" w:cs="Times New Roman"/>
          <w:color w:val="000000" w:themeColor="text1"/>
          <w:sz w:val="20"/>
          <w:szCs w:val="20"/>
        </w:rPr>
        <w:t xml:space="preserve"> Boucher</w:t>
      </w:r>
      <w:r w:rsidR="000D181F">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2002</w:t>
      </w:r>
      <w:r w:rsidR="001D6A13">
        <w:rPr>
          <w:rFonts w:ascii="Times New Roman" w:hAnsi="Times New Roman" w:cs="Times New Roman"/>
          <w:color w:val="000000" w:themeColor="text1"/>
          <w:sz w:val="20"/>
          <w:szCs w:val="20"/>
        </w:rPr>
        <w:t xml:space="preserve"> &amp;</w:t>
      </w:r>
      <w:r w:rsidRPr="00C1078B">
        <w:rPr>
          <w:rFonts w:ascii="Times New Roman" w:hAnsi="Times New Roman" w:cs="Times New Roman"/>
          <w:color w:val="000000" w:themeColor="text1"/>
          <w:sz w:val="20"/>
          <w:szCs w:val="20"/>
        </w:rPr>
        <w:t xml:space="preserve"> Mansfield </w:t>
      </w:r>
      <w:r w:rsidRPr="000D181F">
        <w:rPr>
          <w:rFonts w:ascii="Times New Roman" w:hAnsi="Times New Roman" w:cs="Times New Roman"/>
          <w:i/>
          <w:iCs/>
          <w:color w:val="000000" w:themeColor="text1"/>
          <w:sz w:val="20"/>
          <w:szCs w:val="20"/>
        </w:rPr>
        <w:t>et al.</w:t>
      </w:r>
      <w:r w:rsidR="000D181F">
        <w:rPr>
          <w:rFonts w:ascii="Times New Roman" w:hAnsi="Times New Roman" w:cs="Times New Roman"/>
          <w:i/>
          <w:iCs/>
          <w:color w:val="000000" w:themeColor="text1"/>
          <w:sz w:val="20"/>
          <w:szCs w:val="20"/>
        </w:rPr>
        <w:t>,</w:t>
      </w:r>
      <w:r w:rsidRPr="00C1078B">
        <w:rPr>
          <w:rFonts w:ascii="Times New Roman" w:hAnsi="Times New Roman" w:cs="Times New Roman"/>
          <w:color w:val="000000" w:themeColor="text1"/>
          <w:sz w:val="20"/>
          <w:szCs w:val="20"/>
        </w:rPr>
        <w:t xml:space="preserve"> 2012). Strain-specific differences in resource </w:t>
      </w:r>
      <w:r w:rsidR="00FE3E15">
        <w:rPr>
          <w:rFonts w:ascii="Times New Roman" w:hAnsi="Times New Roman" w:cs="Times New Roman"/>
          <w:color w:val="000000" w:themeColor="text1"/>
          <w:sz w:val="20"/>
          <w:szCs w:val="20"/>
        </w:rPr>
        <w:t>utilisation further influence virulence potential and ecological adaptation (Zuluaga et al., 2013;</w:t>
      </w:r>
      <w:r w:rsidR="00646DCA">
        <w:rPr>
          <w:rFonts w:ascii="Times New Roman" w:hAnsi="Times New Roman" w:cs="Times New Roman"/>
          <w:color w:val="000000" w:themeColor="text1"/>
          <w:sz w:val="20"/>
          <w:szCs w:val="20"/>
        </w:rPr>
        <w:t xml:space="preserve"> </w:t>
      </w:r>
      <w:proofErr w:type="spellStart"/>
      <w:r w:rsidR="006D06BE" w:rsidRPr="00C1078B">
        <w:rPr>
          <w:rFonts w:ascii="Times New Roman" w:hAnsi="Times New Roman" w:cs="Times New Roman"/>
          <w:color w:val="000000" w:themeColor="text1"/>
          <w:sz w:val="20"/>
          <w:szCs w:val="20"/>
        </w:rPr>
        <w:t>Peyraud</w:t>
      </w:r>
      <w:proofErr w:type="spellEnd"/>
      <w:r w:rsidR="006D06BE" w:rsidRPr="00C1078B">
        <w:rPr>
          <w:rFonts w:ascii="Times New Roman" w:hAnsi="Times New Roman" w:cs="Times New Roman"/>
          <w:color w:val="000000" w:themeColor="text1"/>
          <w:sz w:val="20"/>
          <w:szCs w:val="20"/>
        </w:rPr>
        <w:t xml:space="preserve"> </w:t>
      </w:r>
      <w:r w:rsidR="006D06BE" w:rsidRPr="004C6243">
        <w:rPr>
          <w:rFonts w:ascii="Times New Roman" w:hAnsi="Times New Roman" w:cs="Times New Roman"/>
          <w:i/>
          <w:iCs/>
          <w:color w:val="000000" w:themeColor="text1"/>
          <w:sz w:val="20"/>
          <w:szCs w:val="20"/>
        </w:rPr>
        <w:t>et al.</w:t>
      </w:r>
      <w:r w:rsidR="004C6243">
        <w:rPr>
          <w:rFonts w:ascii="Times New Roman" w:hAnsi="Times New Roman" w:cs="Times New Roman"/>
          <w:color w:val="000000" w:themeColor="text1"/>
          <w:sz w:val="20"/>
          <w:szCs w:val="20"/>
        </w:rPr>
        <w:t>,</w:t>
      </w:r>
      <w:r w:rsidR="006D06BE" w:rsidRPr="00C1078B">
        <w:rPr>
          <w:rFonts w:ascii="Times New Roman" w:hAnsi="Times New Roman" w:cs="Times New Roman"/>
          <w:color w:val="000000" w:themeColor="text1"/>
          <w:sz w:val="20"/>
          <w:szCs w:val="20"/>
        </w:rPr>
        <w:t xml:space="preserve"> 2016</w:t>
      </w:r>
      <w:r w:rsidR="006D06BE">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In highly diverse microbial communities with overlapping </w:t>
      </w:r>
      <w:r w:rsidRPr="00C1078B">
        <w:rPr>
          <w:rFonts w:ascii="Times New Roman" w:hAnsi="Times New Roman" w:cs="Times New Roman"/>
          <w:color w:val="000000" w:themeColor="text1"/>
          <w:sz w:val="20"/>
          <w:szCs w:val="20"/>
        </w:rPr>
        <w:lastRenderedPageBreak/>
        <w:t xml:space="preserve">ecological niches, invasion efficiency and bacterial wilt incidence are reduced due to negative interactions such as nutrient competition and antibiotic production </w:t>
      </w:r>
      <w:r w:rsidR="006D06BE">
        <w:rPr>
          <w:rFonts w:ascii="Times New Roman" w:hAnsi="Times New Roman" w:cs="Times New Roman"/>
          <w:color w:val="000000" w:themeColor="text1"/>
          <w:sz w:val="20"/>
          <w:szCs w:val="20"/>
        </w:rPr>
        <w:t>(</w:t>
      </w:r>
      <w:r w:rsidR="006319F8" w:rsidRPr="00C1078B">
        <w:rPr>
          <w:rFonts w:ascii="Times New Roman" w:hAnsi="Times New Roman" w:cs="Times New Roman"/>
          <w:color w:val="000000" w:themeColor="text1"/>
          <w:sz w:val="20"/>
          <w:szCs w:val="20"/>
        </w:rPr>
        <w:t xml:space="preserve">Wei </w:t>
      </w:r>
      <w:r w:rsidR="006319F8" w:rsidRPr="00CD3E4E">
        <w:rPr>
          <w:rFonts w:ascii="Times New Roman" w:hAnsi="Times New Roman" w:cs="Times New Roman"/>
          <w:i/>
          <w:iCs/>
          <w:color w:val="000000" w:themeColor="text1"/>
          <w:sz w:val="20"/>
          <w:szCs w:val="20"/>
        </w:rPr>
        <w:t>et al.</w:t>
      </w:r>
      <w:r w:rsidR="006319F8">
        <w:rPr>
          <w:rFonts w:ascii="Times New Roman" w:hAnsi="Times New Roman" w:cs="Times New Roman"/>
          <w:i/>
          <w:iCs/>
          <w:color w:val="000000" w:themeColor="text1"/>
          <w:sz w:val="20"/>
          <w:szCs w:val="20"/>
        </w:rPr>
        <w:t>,</w:t>
      </w:r>
      <w:r w:rsidR="006319F8" w:rsidRPr="00C1078B">
        <w:rPr>
          <w:rFonts w:ascii="Times New Roman" w:hAnsi="Times New Roman" w:cs="Times New Roman"/>
          <w:color w:val="000000" w:themeColor="text1"/>
          <w:sz w:val="20"/>
          <w:szCs w:val="20"/>
        </w:rPr>
        <w:t xml:space="preserve"> 2015</w:t>
      </w:r>
      <w:r w:rsidR="006319F8">
        <w:rPr>
          <w:rFonts w:ascii="Times New Roman" w:hAnsi="Times New Roman" w:cs="Times New Roman"/>
          <w:color w:val="000000" w:themeColor="text1"/>
          <w:sz w:val="20"/>
          <w:szCs w:val="20"/>
        </w:rPr>
        <w:t xml:space="preserve"> &amp; </w:t>
      </w:r>
      <w:r w:rsidRPr="00C1078B">
        <w:rPr>
          <w:rFonts w:ascii="Times New Roman" w:hAnsi="Times New Roman" w:cs="Times New Roman"/>
          <w:color w:val="000000" w:themeColor="text1"/>
          <w:sz w:val="20"/>
          <w:szCs w:val="20"/>
        </w:rPr>
        <w:t xml:space="preserve">Li </w:t>
      </w:r>
      <w:r w:rsidRPr="00CD3E4E">
        <w:rPr>
          <w:rFonts w:ascii="Times New Roman" w:hAnsi="Times New Roman" w:cs="Times New Roman"/>
          <w:i/>
          <w:iCs/>
          <w:color w:val="000000" w:themeColor="text1"/>
          <w:sz w:val="20"/>
          <w:szCs w:val="20"/>
        </w:rPr>
        <w:t>et al.</w:t>
      </w:r>
      <w:r w:rsidR="00CD3E4E">
        <w:rPr>
          <w:rFonts w:ascii="Times New Roman" w:hAnsi="Times New Roman" w:cs="Times New Roman"/>
          <w:i/>
          <w:iCs/>
          <w:color w:val="000000" w:themeColor="text1"/>
          <w:sz w:val="20"/>
          <w:szCs w:val="20"/>
        </w:rPr>
        <w:t>,</w:t>
      </w:r>
      <w:r w:rsidRPr="00C1078B">
        <w:rPr>
          <w:rFonts w:ascii="Times New Roman" w:hAnsi="Times New Roman" w:cs="Times New Roman"/>
          <w:color w:val="000000" w:themeColor="text1"/>
          <w:sz w:val="20"/>
          <w:szCs w:val="20"/>
        </w:rPr>
        <w:t xml:space="preserve"> 2019). To overcome these ecological constraints, RSSC manipulates host nutrient availability by deploying effector proteins that convert host-derived molecules into γ-aminobutyric acid (GABA), thereby promoting </w:t>
      </w:r>
      <w:r w:rsidR="00127F96">
        <w:rPr>
          <w:rFonts w:ascii="Times New Roman" w:hAnsi="Times New Roman" w:cs="Times New Roman"/>
          <w:color w:val="000000" w:themeColor="text1"/>
          <w:sz w:val="20"/>
          <w:szCs w:val="20"/>
        </w:rPr>
        <w:t>colonisation</w:t>
      </w:r>
      <w:r w:rsidRPr="00C1078B">
        <w:rPr>
          <w:rFonts w:ascii="Times New Roman" w:hAnsi="Times New Roman" w:cs="Times New Roman"/>
          <w:color w:val="000000" w:themeColor="text1"/>
          <w:sz w:val="20"/>
          <w:szCs w:val="20"/>
        </w:rPr>
        <w:t xml:space="preserve"> and infection (Xian </w:t>
      </w:r>
      <w:r w:rsidRPr="005070C1">
        <w:rPr>
          <w:rFonts w:ascii="Times New Roman" w:hAnsi="Times New Roman" w:cs="Times New Roman"/>
          <w:i/>
          <w:iCs/>
          <w:color w:val="000000" w:themeColor="text1"/>
          <w:sz w:val="20"/>
          <w:szCs w:val="20"/>
        </w:rPr>
        <w:t>et al.</w:t>
      </w:r>
      <w:r w:rsidR="005070C1">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2019). More recently, siderophore production and other iron-acquisition mechanisms have been </w:t>
      </w:r>
      <w:r w:rsidR="00127F96">
        <w:rPr>
          <w:rFonts w:ascii="Times New Roman" w:hAnsi="Times New Roman" w:cs="Times New Roman"/>
          <w:color w:val="000000" w:themeColor="text1"/>
          <w:sz w:val="20"/>
          <w:szCs w:val="20"/>
        </w:rPr>
        <w:t>recognised</w:t>
      </w:r>
      <w:r w:rsidRPr="00C1078B">
        <w:rPr>
          <w:rFonts w:ascii="Times New Roman" w:hAnsi="Times New Roman" w:cs="Times New Roman"/>
          <w:color w:val="000000" w:themeColor="text1"/>
          <w:sz w:val="20"/>
          <w:szCs w:val="20"/>
        </w:rPr>
        <w:t xml:space="preserve"> as major strategies that enhance survival and competitiveness in the rhizosphere (Gu </w:t>
      </w:r>
      <w:r w:rsidRPr="00D70006">
        <w:rPr>
          <w:rFonts w:ascii="Times New Roman" w:hAnsi="Times New Roman" w:cs="Times New Roman"/>
          <w:i/>
          <w:iCs/>
          <w:color w:val="000000" w:themeColor="text1"/>
          <w:sz w:val="20"/>
          <w:szCs w:val="20"/>
        </w:rPr>
        <w:t>et al.</w:t>
      </w:r>
      <w:r w:rsidR="00D70006">
        <w:rPr>
          <w:rFonts w:ascii="Times New Roman" w:hAnsi="Times New Roman" w:cs="Times New Roman"/>
          <w:i/>
          <w:iCs/>
          <w:color w:val="000000" w:themeColor="text1"/>
          <w:sz w:val="20"/>
          <w:szCs w:val="20"/>
        </w:rPr>
        <w:t>,</w:t>
      </w:r>
      <w:r w:rsidRPr="00C1078B">
        <w:rPr>
          <w:rFonts w:ascii="Times New Roman" w:hAnsi="Times New Roman" w:cs="Times New Roman"/>
          <w:color w:val="000000" w:themeColor="text1"/>
          <w:sz w:val="20"/>
          <w:szCs w:val="20"/>
        </w:rPr>
        <w:t xml:space="preserve"> 2020).</w:t>
      </w:r>
    </w:p>
    <w:p w14:paraId="6A0BFC85" w14:textId="1AE6A3BC" w:rsidR="00506A2D" w:rsidRPr="00BC0F74" w:rsidRDefault="00660F93" w:rsidP="00BC0F74">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 </w:t>
      </w:r>
      <w:r w:rsidR="00506A2D" w:rsidRPr="00506A2D">
        <w:rPr>
          <w:rFonts w:ascii="Times New Roman" w:hAnsi="Times New Roman" w:cs="Times New Roman"/>
          <w:b/>
          <w:bCs/>
          <w:color w:val="000000" w:themeColor="text1"/>
          <w:sz w:val="20"/>
          <w:szCs w:val="20"/>
        </w:rPr>
        <w:t>Biotic stress</w:t>
      </w:r>
      <w:r w:rsidR="005D7D98">
        <w:rPr>
          <w:rFonts w:ascii="Times New Roman" w:hAnsi="Times New Roman" w:cs="Times New Roman"/>
          <w:b/>
          <w:bCs/>
          <w:color w:val="000000" w:themeColor="text1"/>
          <w:sz w:val="20"/>
          <w:szCs w:val="20"/>
        </w:rPr>
        <w:t xml:space="preserve"> offered by</w:t>
      </w:r>
      <w:r w:rsidR="00506A2D" w:rsidRPr="00506A2D">
        <w:rPr>
          <w:rFonts w:ascii="Times New Roman" w:hAnsi="Times New Roman" w:cs="Times New Roman"/>
          <w:b/>
          <w:bCs/>
          <w:color w:val="000000" w:themeColor="text1"/>
          <w:sz w:val="20"/>
          <w:szCs w:val="20"/>
        </w:rPr>
        <w:t xml:space="preserve"> microbial interactions</w:t>
      </w:r>
    </w:p>
    <w:p w14:paraId="50646A6A" w14:textId="10FB08C8" w:rsidR="00436A95" w:rsidRPr="00436A95" w:rsidRDefault="00436A95" w:rsidP="00436A95">
      <w:pPr>
        <w:ind w:firstLine="720"/>
        <w:jc w:val="both"/>
        <w:rPr>
          <w:rFonts w:ascii="Times New Roman" w:hAnsi="Times New Roman" w:cs="Times New Roman"/>
          <w:color w:val="000000" w:themeColor="text1"/>
          <w:sz w:val="20"/>
          <w:szCs w:val="20"/>
        </w:rPr>
      </w:pPr>
      <w:r w:rsidRPr="00436A95">
        <w:rPr>
          <w:rFonts w:ascii="Times New Roman" w:hAnsi="Times New Roman" w:cs="Times New Roman"/>
          <w:color w:val="000000" w:themeColor="text1"/>
          <w:sz w:val="20"/>
          <w:szCs w:val="20"/>
        </w:rPr>
        <w:t>Within both rhizosphere and aquatic habitats, RSSC encounters diverse biotic stressors in addition to resource competition. The pathogen is subject to strong selective pressures from natural antagonists such as bacteriophages and predatory protists, which influence both its persistence and evolutionary trajectory (</w:t>
      </w:r>
      <w:proofErr w:type="spellStart"/>
      <w:r w:rsidR="001300CD" w:rsidRPr="00436A95">
        <w:rPr>
          <w:rFonts w:ascii="Times New Roman" w:hAnsi="Times New Roman" w:cs="Times New Roman"/>
          <w:color w:val="000000" w:themeColor="text1"/>
          <w:sz w:val="20"/>
          <w:szCs w:val="20"/>
        </w:rPr>
        <w:t>Jousset</w:t>
      </w:r>
      <w:proofErr w:type="spellEnd"/>
      <w:r w:rsidR="001300CD" w:rsidRPr="00436A95">
        <w:rPr>
          <w:rFonts w:ascii="Times New Roman" w:hAnsi="Times New Roman" w:cs="Times New Roman"/>
          <w:color w:val="000000" w:themeColor="text1"/>
          <w:sz w:val="20"/>
          <w:szCs w:val="20"/>
        </w:rPr>
        <w:t xml:space="preserve"> </w:t>
      </w:r>
      <w:r w:rsidR="001300CD" w:rsidRPr="00F526AD">
        <w:rPr>
          <w:rFonts w:ascii="Times New Roman" w:hAnsi="Times New Roman" w:cs="Times New Roman"/>
          <w:i/>
          <w:iCs/>
          <w:color w:val="000000" w:themeColor="text1"/>
          <w:sz w:val="20"/>
          <w:szCs w:val="20"/>
        </w:rPr>
        <w:t>et al.</w:t>
      </w:r>
      <w:r w:rsidR="001300CD">
        <w:rPr>
          <w:rFonts w:ascii="Times New Roman" w:hAnsi="Times New Roman" w:cs="Times New Roman"/>
          <w:i/>
          <w:iCs/>
          <w:color w:val="000000" w:themeColor="text1"/>
          <w:sz w:val="20"/>
          <w:szCs w:val="20"/>
        </w:rPr>
        <w:t>,</w:t>
      </w:r>
      <w:r w:rsidR="001300CD" w:rsidRPr="00436A95">
        <w:rPr>
          <w:rFonts w:ascii="Times New Roman" w:hAnsi="Times New Roman" w:cs="Times New Roman"/>
          <w:color w:val="000000" w:themeColor="text1"/>
          <w:sz w:val="20"/>
          <w:szCs w:val="20"/>
        </w:rPr>
        <w:t xml:space="preserve"> 2006; Yamada </w:t>
      </w:r>
      <w:r w:rsidR="001300CD" w:rsidRPr="00F526AD">
        <w:rPr>
          <w:rFonts w:ascii="Times New Roman" w:hAnsi="Times New Roman" w:cs="Times New Roman"/>
          <w:i/>
          <w:iCs/>
          <w:color w:val="000000" w:themeColor="text1"/>
          <w:sz w:val="20"/>
          <w:szCs w:val="20"/>
        </w:rPr>
        <w:t>et al.</w:t>
      </w:r>
      <w:r w:rsidR="001300CD">
        <w:rPr>
          <w:rFonts w:ascii="Times New Roman" w:hAnsi="Times New Roman" w:cs="Times New Roman"/>
          <w:color w:val="000000" w:themeColor="text1"/>
          <w:sz w:val="20"/>
          <w:szCs w:val="20"/>
        </w:rPr>
        <w:t>,</w:t>
      </w:r>
      <w:r w:rsidR="001300CD" w:rsidRPr="00436A95">
        <w:rPr>
          <w:rFonts w:ascii="Times New Roman" w:hAnsi="Times New Roman" w:cs="Times New Roman"/>
          <w:color w:val="000000" w:themeColor="text1"/>
          <w:sz w:val="20"/>
          <w:szCs w:val="20"/>
        </w:rPr>
        <w:t xml:space="preserve"> 2007</w:t>
      </w:r>
      <w:r w:rsidR="001300CD">
        <w:rPr>
          <w:rFonts w:ascii="Times New Roman" w:hAnsi="Times New Roman" w:cs="Times New Roman"/>
          <w:color w:val="000000" w:themeColor="text1"/>
          <w:sz w:val="20"/>
          <w:szCs w:val="20"/>
        </w:rPr>
        <w:t xml:space="preserve">; </w:t>
      </w:r>
      <w:proofErr w:type="spellStart"/>
      <w:r w:rsidRPr="00436A95">
        <w:rPr>
          <w:rFonts w:ascii="Times New Roman" w:hAnsi="Times New Roman" w:cs="Times New Roman"/>
          <w:color w:val="000000" w:themeColor="text1"/>
          <w:sz w:val="20"/>
          <w:szCs w:val="20"/>
        </w:rPr>
        <w:t>Bhunchoth</w:t>
      </w:r>
      <w:proofErr w:type="spellEnd"/>
      <w:r w:rsidRPr="00436A95">
        <w:rPr>
          <w:rFonts w:ascii="Times New Roman" w:hAnsi="Times New Roman" w:cs="Times New Roman"/>
          <w:color w:val="000000" w:themeColor="text1"/>
          <w:sz w:val="20"/>
          <w:szCs w:val="20"/>
        </w:rPr>
        <w:t xml:space="preserve"> </w:t>
      </w:r>
      <w:r w:rsidRPr="00F526AD">
        <w:rPr>
          <w:rFonts w:ascii="Times New Roman" w:hAnsi="Times New Roman" w:cs="Times New Roman"/>
          <w:i/>
          <w:iCs/>
          <w:color w:val="000000" w:themeColor="text1"/>
          <w:sz w:val="20"/>
          <w:szCs w:val="20"/>
        </w:rPr>
        <w:t>et al.</w:t>
      </w:r>
      <w:r w:rsidR="00F526AD">
        <w:rPr>
          <w:rFonts w:ascii="Times New Roman" w:hAnsi="Times New Roman" w:cs="Times New Roman"/>
          <w:i/>
          <w:iCs/>
          <w:color w:val="000000" w:themeColor="text1"/>
          <w:sz w:val="20"/>
          <w:szCs w:val="20"/>
        </w:rPr>
        <w:t>,</w:t>
      </w:r>
      <w:r w:rsidRPr="00436A95">
        <w:rPr>
          <w:rFonts w:ascii="Times New Roman" w:hAnsi="Times New Roman" w:cs="Times New Roman"/>
          <w:color w:val="000000" w:themeColor="text1"/>
          <w:sz w:val="20"/>
          <w:szCs w:val="20"/>
        </w:rPr>
        <w:t xml:space="preserve"> 2015; Xiong </w:t>
      </w:r>
      <w:r w:rsidRPr="00F526AD">
        <w:rPr>
          <w:rFonts w:ascii="Times New Roman" w:hAnsi="Times New Roman" w:cs="Times New Roman"/>
          <w:i/>
          <w:iCs/>
          <w:color w:val="000000" w:themeColor="text1"/>
          <w:sz w:val="20"/>
          <w:szCs w:val="20"/>
        </w:rPr>
        <w:t>et al.</w:t>
      </w:r>
      <w:r w:rsidR="00F526AD">
        <w:rPr>
          <w:rFonts w:ascii="Times New Roman" w:hAnsi="Times New Roman" w:cs="Times New Roman"/>
          <w:i/>
          <w:iCs/>
          <w:color w:val="000000" w:themeColor="text1"/>
          <w:sz w:val="20"/>
          <w:szCs w:val="20"/>
        </w:rPr>
        <w:t>,</w:t>
      </w:r>
      <w:r w:rsidRPr="00436A95">
        <w:rPr>
          <w:rFonts w:ascii="Times New Roman" w:hAnsi="Times New Roman" w:cs="Times New Roman"/>
          <w:color w:val="000000" w:themeColor="text1"/>
          <w:sz w:val="20"/>
          <w:szCs w:val="20"/>
        </w:rPr>
        <w:t xml:space="preserve"> 2019). Resistance to antibiotics also provides a crucial survival advantage, as beneficial microbes like </w:t>
      </w:r>
      <w:r w:rsidRPr="00436A95">
        <w:rPr>
          <w:rFonts w:ascii="Times New Roman" w:hAnsi="Times New Roman" w:cs="Times New Roman"/>
          <w:i/>
          <w:iCs/>
          <w:color w:val="000000" w:themeColor="text1"/>
          <w:sz w:val="20"/>
          <w:szCs w:val="20"/>
        </w:rPr>
        <w:t>Bacillus</w:t>
      </w:r>
      <w:r w:rsidRPr="00436A95">
        <w:rPr>
          <w:rFonts w:ascii="Times New Roman" w:hAnsi="Times New Roman" w:cs="Times New Roman"/>
          <w:color w:val="000000" w:themeColor="text1"/>
          <w:sz w:val="20"/>
          <w:szCs w:val="20"/>
        </w:rPr>
        <w:t xml:space="preserve"> and </w:t>
      </w:r>
      <w:r w:rsidRPr="00436A95">
        <w:rPr>
          <w:rFonts w:ascii="Times New Roman" w:hAnsi="Times New Roman" w:cs="Times New Roman"/>
          <w:i/>
          <w:iCs/>
          <w:color w:val="000000" w:themeColor="text1"/>
          <w:sz w:val="20"/>
          <w:szCs w:val="20"/>
        </w:rPr>
        <w:t>Pseudomonas</w:t>
      </w:r>
      <w:r w:rsidRPr="00436A95">
        <w:rPr>
          <w:rFonts w:ascii="Times New Roman" w:hAnsi="Times New Roman" w:cs="Times New Roman"/>
          <w:color w:val="000000" w:themeColor="text1"/>
          <w:sz w:val="20"/>
          <w:szCs w:val="20"/>
        </w:rPr>
        <w:t xml:space="preserve"> spp. produce antimicrobial compounds that suppress RSSC populations (Allen </w:t>
      </w:r>
      <w:r w:rsidRPr="00D728DA">
        <w:rPr>
          <w:rFonts w:ascii="Times New Roman" w:hAnsi="Times New Roman" w:cs="Times New Roman"/>
          <w:i/>
          <w:iCs/>
          <w:color w:val="000000" w:themeColor="text1"/>
          <w:sz w:val="20"/>
          <w:szCs w:val="20"/>
        </w:rPr>
        <w:t>et al.</w:t>
      </w:r>
      <w:r w:rsidR="00D728DA">
        <w:rPr>
          <w:rFonts w:ascii="Times New Roman" w:hAnsi="Times New Roman" w:cs="Times New Roman"/>
          <w:color w:val="000000" w:themeColor="text1"/>
          <w:sz w:val="20"/>
          <w:szCs w:val="20"/>
        </w:rPr>
        <w:t>,</w:t>
      </w:r>
      <w:r w:rsidRPr="00436A95">
        <w:rPr>
          <w:rFonts w:ascii="Times New Roman" w:hAnsi="Times New Roman" w:cs="Times New Roman"/>
          <w:color w:val="000000" w:themeColor="text1"/>
          <w:sz w:val="20"/>
          <w:szCs w:val="20"/>
        </w:rPr>
        <w:t xml:space="preserve"> 2010; </w:t>
      </w:r>
      <w:proofErr w:type="spellStart"/>
      <w:r w:rsidR="00E47962" w:rsidRPr="00436A95">
        <w:rPr>
          <w:rFonts w:ascii="Times New Roman" w:hAnsi="Times New Roman" w:cs="Times New Roman"/>
          <w:color w:val="000000" w:themeColor="text1"/>
          <w:sz w:val="20"/>
          <w:szCs w:val="20"/>
        </w:rPr>
        <w:t>Yuliar</w:t>
      </w:r>
      <w:proofErr w:type="spellEnd"/>
      <w:r w:rsidR="00E47962" w:rsidRPr="00436A95">
        <w:rPr>
          <w:rFonts w:ascii="Times New Roman" w:hAnsi="Times New Roman" w:cs="Times New Roman"/>
          <w:color w:val="000000" w:themeColor="text1"/>
          <w:sz w:val="20"/>
          <w:szCs w:val="20"/>
        </w:rPr>
        <w:t xml:space="preserve"> </w:t>
      </w:r>
      <w:r w:rsidR="00E47962" w:rsidRPr="00D728DA">
        <w:rPr>
          <w:rFonts w:ascii="Times New Roman" w:hAnsi="Times New Roman" w:cs="Times New Roman"/>
          <w:i/>
          <w:iCs/>
          <w:color w:val="000000" w:themeColor="text1"/>
          <w:sz w:val="20"/>
          <w:szCs w:val="20"/>
        </w:rPr>
        <w:t>et al.</w:t>
      </w:r>
      <w:r w:rsidR="00E47962">
        <w:rPr>
          <w:rFonts w:ascii="Times New Roman" w:hAnsi="Times New Roman" w:cs="Times New Roman"/>
          <w:i/>
          <w:iCs/>
          <w:color w:val="000000" w:themeColor="text1"/>
          <w:sz w:val="20"/>
          <w:szCs w:val="20"/>
        </w:rPr>
        <w:t>,</w:t>
      </w:r>
      <w:r w:rsidR="00E47962" w:rsidRPr="00436A95">
        <w:rPr>
          <w:rFonts w:ascii="Times New Roman" w:hAnsi="Times New Roman" w:cs="Times New Roman"/>
          <w:color w:val="000000" w:themeColor="text1"/>
          <w:sz w:val="20"/>
          <w:szCs w:val="20"/>
        </w:rPr>
        <w:t xml:space="preserve"> 2015</w:t>
      </w:r>
      <w:r w:rsidR="00E47962">
        <w:rPr>
          <w:rFonts w:ascii="Times New Roman" w:hAnsi="Times New Roman" w:cs="Times New Roman"/>
          <w:color w:val="000000" w:themeColor="text1"/>
          <w:sz w:val="20"/>
          <w:szCs w:val="20"/>
        </w:rPr>
        <w:t xml:space="preserve">; </w:t>
      </w:r>
      <w:r w:rsidRPr="00436A95">
        <w:rPr>
          <w:rFonts w:ascii="Times New Roman" w:hAnsi="Times New Roman" w:cs="Times New Roman"/>
          <w:color w:val="000000" w:themeColor="text1"/>
          <w:sz w:val="20"/>
          <w:szCs w:val="20"/>
        </w:rPr>
        <w:t xml:space="preserve">Wei </w:t>
      </w:r>
      <w:r w:rsidRPr="00D728DA">
        <w:rPr>
          <w:rFonts w:ascii="Times New Roman" w:hAnsi="Times New Roman" w:cs="Times New Roman"/>
          <w:i/>
          <w:iCs/>
          <w:color w:val="000000" w:themeColor="text1"/>
          <w:sz w:val="20"/>
          <w:szCs w:val="20"/>
        </w:rPr>
        <w:t>et al.</w:t>
      </w:r>
      <w:r w:rsidR="00D728DA">
        <w:rPr>
          <w:rFonts w:ascii="Times New Roman" w:hAnsi="Times New Roman" w:cs="Times New Roman"/>
          <w:color w:val="000000" w:themeColor="text1"/>
          <w:sz w:val="20"/>
          <w:szCs w:val="20"/>
        </w:rPr>
        <w:t xml:space="preserve">, </w:t>
      </w:r>
      <w:r w:rsidRPr="00436A95">
        <w:rPr>
          <w:rFonts w:ascii="Times New Roman" w:hAnsi="Times New Roman" w:cs="Times New Roman"/>
          <w:color w:val="000000" w:themeColor="text1"/>
          <w:sz w:val="20"/>
          <w:szCs w:val="20"/>
        </w:rPr>
        <w:t xml:space="preserve">2018). These biotic interactions collectively impose significant ecological challenges, necessitating continuous adaptation across environments. Modifications in resource </w:t>
      </w:r>
      <w:r w:rsidR="00E26641">
        <w:rPr>
          <w:rFonts w:ascii="Times New Roman" w:hAnsi="Times New Roman" w:cs="Times New Roman"/>
          <w:color w:val="000000" w:themeColor="text1"/>
          <w:sz w:val="20"/>
          <w:szCs w:val="20"/>
        </w:rPr>
        <w:t>utilisation</w:t>
      </w:r>
      <w:r w:rsidRPr="00436A95">
        <w:rPr>
          <w:rFonts w:ascii="Times New Roman" w:hAnsi="Times New Roman" w:cs="Times New Roman"/>
          <w:color w:val="000000" w:themeColor="text1"/>
          <w:sz w:val="20"/>
          <w:szCs w:val="20"/>
        </w:rPr>
        <w:t>, stress tolerance, and community-level interactions ultimately determine the pathogen’s capacity for survival, virulence, and epidemiological success. Consequently, the physical, chemical, and biological attributes of soil collectively shape RSSC ecology by generating microenvironments that may either favour or inhibit infection, thereby influencing both disease occurrence and severity.</w:t>
      </w:r>
    </w:p>
    <w:p w14:paraId="707915EA" w14:textId="77777777" w:rsidR="001C33C8" w:rsidRDefault="008462AF" w:rsidP="008462AF">
      <w:pPr>
        <w:jc w:val="both"/>
        <w:rPr>
          <w:rFonts w:ascii="Times New Roman" w:hAnsi="Times New Roman" w:cs="Times New Roman"/>
          <w:b/>
          <w:bCs/>
          <w:color w:val="000000" w:themeColor="text1"/>
          <w:sz w:val="20"/>
          <w:szCs w:val="20"/>
        </w:rPr>
      </w:pPr>
      <w:r w:rsidRPr="001C33C8">
        <w:rPr>
          <w:rFonts w:ascii="Times New Roman" w:hAnsi="Times New Roman" w:cs="Times New Roman"/>
          <w:b/>
          <w:bCs/>
          <w:color w:val="000000" w:themeColor="text1"/>
          <w:sz w:val="20"/>
          <w:szCs w:val="20"/>
        </w:rPr>
        <w:t xml:space="preserve">Survival and </w:t>
      </w:r>
      <w:r w:rsidR="000A3615" w:rsidRPr="001C33C8">
        <w:rPr>
          <w:rFonts w:ascii="Times New Roman" w:hAnsi="Times New Roman" w:cs="Times New Roman"/>
          <w:b/>
          <w:bCs/>
          <w:color w:val="000000" w:themeColor="text1"/>
          <w:sz w:val="20"/>
          <w:szCs w:val="20"/>
        </w:rPr>
        <w:t>p</w:t>
      </w:r>
      <w:r w:rsidRPr="001C33C8">
        <w:rPr>
          <w:rFonts w:ascii="Times New Roman" w:hAnsi="Times New Roman" w:cs="Times New Roman"/>
          <w:b/>
          <w:bCs/>
          <w:color w:val="000000" w:themeColor="text1"/>
          <w:sz w:val="20"/>
          <w:szCs w:val="20"/>
        </w:rPr>
        <w:t xml:space="preserve">ersistence of RSSC in </w:t>
      </w:r>
      <w:r w:rsidR="000A3615" w:rsidRPr="001C33C8">
        <w:rPr>
          <w:rFonts w:ascii="Times New Roman" w:hAnsi="Times New Roman" w:cs="Times New Roman"/>
          <w:b/>
          <w:bCs/>
          <w:color w:val="000000" w:themeColor="text1"/>
          <w:sz w:val="20"/>
          <w:szCs w:val="20"/>
        </w:rPr>
        <w:t>s</w:t>
      </w:r>
      <w:r w:rsidRPr="001C33C8">
        <w:rPr>
          <w:rFonts w:ascii="Times New Roman" w:hAnsi="Times New Roman" w:cs="Times New Roman"/>
          <w:b/>
          <w:bCs/>
          <w:color w:val="000000" w:themeColor="text1"/>
          <w:sz w:val="20"/>
          <w:szCs w:val="20"/>
        </w:rPr>
        <w:t xml:space="preserve">oil </w:t>
      </w:r>
      <w:r w:rsidR="000A3615" w:rsidRPr="001C33C8">
        <w:rPr>
          <w:rFonts w:ascii="Times New Roman" w:hAnsi="Times New Roman" w:cs="Times New Roman"/>
          <w:b/>
          <w:bCs/>
          <w:color w:val="000000" w:themeColor="text1"/>
          <w:sz w:val="20"/>
          <w:szCs w:val="20"/>
        </w:rPr>
        <w:t>e</w:t>
      </w:r>
      <w:r w:rsidRPr="001C33C8">
        <w:rPr>
          <w:rFonts w:ascii="Times New Roman" w:hAnsi="Times New Roman" w:cs="Times New Roman"/>
          <w:b/>
          <w:bCs/>
          <w:color w:val="000000" w:themeColor="text1"/>
          <w:sz w:val="20"/>
          <w:szCs w:val="20"/>
        </w:rPr>
        <w:t>nvironments</w:t>
      </w:r>
    </w:p>
    <w:p w14:paraId="53FCDD12" w14:textId="09933C33" w:rsidR="008462AF" w:rsidRDefault="00660F93" w:rsidP="008462AF">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8462AF" w:rsidRPr="008462AF">
        <w:rPr>
          <w:rFonts w:ascii="Times New Roman" w:hAnsi="Times New Roman" w:cs="Times New Roman"/>
          <w:b/>
          <w:bCs/>
          <w:color w:val="000000" w:themeColor="text1"/>
          <w:sz w:val="20"/>
          <w:szCs w:val="20"/>
        </w:rPr>
        <w:t>Population dynamics and long-term viability in diverse soils</w:t>
      </w:r>
    </w:p>
    <w:p w14:paraId="72A2A251" w14:textId="6D5F61CC" w:rsidR="00F12E6E" w:rsidRPr="00F12E6E" w:rsidRDefault="00F12E6E" w:rsidP="00601EA8">
      <w:pPr>
        <w:ind w:firstLine="720"/>
        <w:jc w:val="both"/>
        <w:rPr>
          <w:rFonts w:ascii="Times New Roman" w:hAnsi="Times New Roman" w:cs="Times New Roman"/>
          <w:color w:val="000000" w:themeColor="text1"/>
          <w:sz w:val="20"/>
          <w:szCs w:val="20"/>
        </w:rPr>
      </w:pPr>
      <w:r w:rsidRPr="00F12E6E">
        <w:rPr>
          <w:rFonts w:ascii="Times New Roman" w:hAnsi="Times New Roman" w:cs="Times New Roman"/>
          <w:color w:val="000000" w:themeColor="text1"/>
          <w:sz w:val="20"/>
          <w:szCs w:val="20"/>
        </w:rPr>
        <w:t>One of the major reasons for the widespread prevalence of RSSC</w:t>
      </w:r>
      <w:r w:rsidR="00BB544A">
        <w:rPr>
          <w:rFonts w:ascii="Times New Roman" w:hAnsi="Times New Roman" w:cs="Times New Roman"/>
          <w:color w:val="000000" w:themeColor="text1"/>
          <w:sz w:val="20"/>
          <w:szCs w:val="20"/>
        </w:rPr>
        <w:t xml:space="preserve"> </w:t>
      </w:r>
      <w:r w:rsidRPr="00F12E6E">
        <w:rPr>
          <w:rFonts w:ascii="Times New Roman" w:hAnsi="Times New Roman" w:cs="Times New Roman"/>
          <w:color w:val="000000" w:themeColor="text1"/>
          <w:sz w:val="20"/>
          <w:szCs w:val="20"/>
        </w:rPr>
        <w:t xml:space="preserve">is its exceptional ability to persist in soils for prolonged periods, even in the absence of host plants. Field-based observations first demonstrated that RSSC can remain viable in agricultural soils for several years after crop removal. In abandoned potato fields, the pathogen persisted for up to four years (van Elsas </w:t>
      </w:r>
      <w:r w:rsidRPr="00DC17F0">
        <w:rPr>
          <w:rFonts w:ascii="Times New Roman" w:hAnsi="Times New Roman" w:cs="Times New Roman"/>
          <w:i/>
          <w:iCs/>
          <w:color w:val="000000" w:themeColor="text1"/>
          <w:sz w:val="20"/>
          <w:szCs w:val="20"/>
        </w:rPr>
        <w:t>et al.</w:t>
      </w:r>
      <w:r w:rsidR="00DC17F0">
        <w:rPr>
          <w:rFonts w:ascii="Times New Roman" w:hAnsi="Times New Roman" w:cs="Times New Roman"/>
          <w:color w:val="000000" w:themeColor="text1"/>
          <w:sz w:val="20"/>
          <w:szCs w:val="20"/>
        </w:rPr>
        <w:t>,</w:t>
      </w:r>
      <w:r w:rsidRPr="00F12E6E">
        <w:rPr>
          <w:rFonts w:ascii="Times New Roman" w:hAnsi="Times New Roman" w:cs="Times New Roman"/>
          <w:color w:val="000000" w:themeColor="text1"/>
          <w:sz w:val="20"/>
          <w:szCs w:val="20"/>
        </w:rPr>
        <w:t xml:space="preserve"> 2001), while subsequent studies reported survival of 10–12 months under typical cropping conditions (van Elsas </w:t>
      </w:r>
      <w:r w:rsidRPr="009D6B42">
        <w:rPr>
          <w:rFonts w:ascii="Times New Roman" w:hAnsi="Times New Roman" w:cs="Times New Roman"/>
          <w:i/>
          <w:iCs/>
          <w:color w:val="000000" w:themeColor="text1"/>
          <w:sz w:val="20"/>
          <w:szCs w:val="20"/>
        </w:rPr>
        <w:t>et al.</w:t>
      </w:r>
      <w:r w:rsidR="009D6B42">
        <w:rPr>
          <w:rFonts w:ascii="Times New Roman" w:hAnsi="Times New Roman" w:cs="Times New Roman"/>
          <w:i/>
          <w:iCs/>
          <w:color w:val="000000" w:themeColor="text1"/>
          <w:sz w:val="20"/>
          <w:szCs w:val="20"/>
        </w:rPr>
        <w:t>,</w:t>
      </w:r>
      <w:r w:rsidRPr="00F12E6E">
        <w:rPr>
          <w:rFonts w:ascii="Times New Roman" w:hAnsi="Times New Roman" w:cs="Times New Roman"/>
          <w:color w:val="000000" w:themeColor="text1"/>
          <w:sz w:val="20"/>
          <w:szCs w:val="20"/>
        </w:rPr>
        <w:t xml:space="preserve"> 2010). These findings underscore the continued inoculum potential of previously infested land, even following crop rotation or fallow periods. Within infected tissues, pathogen populations can proliferate to extremely high densities, often exceeding 10⁸ colony-forming units (CFU) per gram of tissue (Wang </w:t>
      </w:r>
      <w:r w:rsidRPr="000C5E45">
        <w:rPr>
          <w:rFonts w:ascii="Times New Roman" w:hAnsi="Times New Roman" w:cs="Times New Roman"/>
          <w:i/>
          <w:iCs/>
          <w:color w:val="000000" w:themeColor="text1"/>
          <w:sz w:val="20"/>
          <w:szCs w:val="20"/>
        </w:rPr>
        <w:t>et al.</w:t>
      </w:r>
      <w:r w:rsidR="000C5E45">
        <w:rPr>
          <w:rFonts w:ascii="Times New Roman" w:hAnsi="Times New Roman" w:cs="Times New Roman"/>
          <w:i/>
          <w:iCs/>
          <w:color w:val="000000" w:themeColor="text1"/>
          <w:sz w:val="20"/>
          <w:szCs w:val="20"/>
        </w:rPr>
        <w:t>,</w:t>
      </w:r>
      <w:r w:rsidRPr="00F12E6E">
        <w:rPr>
          <w:rFonts w:ascii="Times New Roman" w:hAnsi="Times New Roman" w:cs="Times New Roman"/>
          <w:color w:val="000000" w:themeColor="text1"/>
          <w:sz w:val="20"/>
          <w:szCs w:val="20"/>
        </w:rPr>
        <w:t xml:space="preserve"> 2022). Once released from decaying or infected plants, these cells enter the soil environment, where initial concentrations typically range between 10³ and 10⁶ CFU per gram of soil. Although populations generally decline gradually due to competition and environmental constraints, RSSC demonstrates an extraordinary capacity for survival. Beyond soils, aquatic ecosystems also serve as long-term reservoirs. Remarkably, the bacterium has been shown to survive in sterile water at 20–25 °C for extended periods, with one study reporting viability for up to 40 years (Wang </w:t>
      </w:r>
      <w:r w:rsidRPr="00962A8F">
        <w:rPr>
          <w:rFonts w:ascii="Times New Roman" w:hAnsi="Times New Roman" w:cs="Times New Roman"/>
          <w:i/>
          <w:iCs/>
          <w:color w:val="000000" w:themeColor="text1"/>
          <w:sz w:val="20"/>
          <w:szCs w:val="20"/>
        </w:rPr>
        <w:t>et al.</w:t>
      </w:r>
      <w:r w:rsidR="00962A8F">
        <w:rPr>
          <w:rFonts w:ascii="Times New Roman" w:hAnsi="Times New Roman" w:cs="Times New Roman"/>
          <w:color w:val="000000" w:themeColor="text1"/>
          <w:sz w:val="20"/>
          <w:szCs w:val="20"/>
        </w:rPr>
        <w:t>,</w:t>
      </w:r>
      <w:r w:rsidRPr="00F12E6E">
        <w:rPr>
          <w:rFonts w:ascii="Times New Roman" w:hAnsi="Times New Roman" w:cs="Times New Roman"/>
          <w:color w:val="000000" w:themeColor="text1"/>
          <w:sz w:val="20"/>
          <w:szCs w:val="20"/>
        </w:rPr>
        <w:t xml:space="preserve"> 2022). Such persistence across both terrestrial and aquatic environments explains why bacterial wilt remains a formidable management challenge—once established, contaminated sites can serve as infection sources for years or even decades. This remarkable longevity highlights the need for management strategies such as prolonged fallow periods, crop exclusion, or soil disinfestation.</w:t>
      </w:r>
    </w:p>
    <w:p w14:paraId="5CDB47EB" w14:textId="5246CA7B" w:rsidR="008462AF" w:rsidRPr="008462AF" w:rsidRDefault="008462AF" w:rsidP="008462AF">
      <w:pPr>
        <w:jc w:val="both"/>
        <w:rPr>
          <w:rFonts w:ascii="Times New Roman" w:hAnsi="Times New Roman" w:cs="Times New Roman"/>
          <w:b/>
          <w:bCs/>
          <w:color w:val="000000" w:themeColor="text1"/>
          <w:sz w:val="20"/>
          <w:szCs w:val="20"/>
        </w:rPr>
      </w:pPr>
      <w:r w:rsidRPr="008462AF">
        <w:rPr>
          <w:rFonts w:ascii="Times New Roman" w:hAnsi="Times New Roman" w:cs="Times New Roman"/>
          <w:b/>
          <w:bCs/>
          <w:color w:val="000000" w:themeColor="text1"/>
          <w:sz w:val="20"/>
          <w:szCs w:val="20"/>
        </w:rPr>
        <w:t>The viable but non-culturable (VBNC) state</w:t>
      </w:r>
    </w:p>
    <w:p w14:paraId="7D193425" w14:textId="77777777" w:rsidR="001D35A5" w:rsidRDefault="008462AF" w:rsidP="001D35A5">
      <w:pPr>
        <w:ind w:firstLine="720"/>
        <w:jc w:val="both"/>
        <w:rPr>
          <w:rFonts w:ascii="Times New Roman" w:hAnsi="Times New Roman" w:cs="Times New Roman"/>
          <w:color w:val="000000" w:themeColor="text1"/>
          <w:sz w:val="20"/>
          <w:szCs w:val="20"/>
        </w:rPr>
      </w:pPr>
      <w:r w:rsidRPr="008462AF">
        <w:rPr>
          <w:rFonts w:ascii="Times New Roman" w:hAnsi="Times New Roman" w:cs="Times New Roman"/>
          <w:color w:val="000000" w:themeColor="text1"/>
          <w:sz w:val="20"/>
          <w:szCs w:val="20"/>
        </w:rPr>
        <w:t xml:space="preserve">A crucial survival mechanism is the ability of </w:t>
      </w:r>
      <w:r w:rsidRPr="008462AF">
        <w:rPr>
          <w:rFonts w:ascii="Times New Roman" w:hAnsi="Times New Roman" w:cs="Times New Roman"/>
          <w:i/>
          <w:iCs/>
          <w:color w:val="000000" w:themeColor="text1"/>
          <w:sz w:val="20"/>
          <w:szCs w:val="20"/>
        </w:rPr>
        <w:t>R. solanacearum</w:t>
      </w:r>
      <w:r w:rsidRPr="008462AF">
        <w:rPr>
          <w:rFonts w:ascii="Times New Roman" w:hAnsi="Times New Roman" w:cs="Times New Roman"/>
          <w:color w:val="000000" w:themeColor="text1"/>
          <w:sz w:val="20"/>
          <w:szCs w:val="20"/>
        </w:rPr>
        <w:t xml:space="preserve"> to transition into a viable but non-culturable (VBNC) state, particularly under adverse conditions such as low temperatures (e.g., 4 °C). In this physiological state, bacterial cells maintain metabolic activity but cannot be recovered using conventional culture-based methods, resulting in false negatives and a significant underestimation of soil inoculum potential. This complicates disease monitoring and risk assessment, as soils may appear pathogen-free when infectious cells are still present.</w:t>
      </w:r>
      <w:r w:rsidR="00FF2CBA">
        <w:rPr>
          <w:rFonts w:ascii="Times New Roman" w:hAnsi="Times New Roman" w:cs="Times New Roman"/>
          <w:color w:val="000000" w:themeColor="text1"/>
          <w:sz w:val="20"/>
          <w:szCs w:val="20"/>
        </w:rPr>
        <w:t xml:space="preserve"> </w:t>
      </w:r>
      <w:r w:rsidRPr="008462AF">
        <w:rPr>
          <w:rFonts w:ascii="Times New Roman" w:hAnsi="Times New Roman" w:cs="Times New Roman"/>
          <w:color w:val="000000" w:themeColor="text1"/>
          <w:sz w:val="20"/>
          <w:szCs w:val="20"/>
        </w:rPr>
        <w:t xml:space="preserve">Although RSSC cells emerging from the VBNC state may sometimes display reduced virulence (van Elsas </w:t>
      </w:r>
      <w:r w:rsidRPr="00F631A0">
        <w:rPr>
          <w:rFonts w:ascii="Times New Roman" w:hAnsi="Times New Roman" w:cs="Times New Roman"/>
          <w:i/>
          <w:iCs/>
          <w:color w:val="000000" w:themeColor="text1"/>
          <w:sz w:val="20"/>
          <w:szCs w:val="20"/>
        </w:rPr>
        <w:t>et al.,</w:t>
      </w:r>
      <w:r w:rsidRPr="008462AF">
        <w:rPr>
          <w:rFonts w:ascii="Times New Roman" w:hAnsi="Times New Roman" w:cs="Times New Roman"/>
          <w:color w:val="000000" w:themeColor="text1"/>
          <w:sz w:val="20"/>
          <w:szCs w:val="20"/>
        </w:rPr>
        <w:t xml:space="preserve"> 200</w:t>
      </w:r>
      <w:r w:rsidR="00020563">
        <w:rPr>
          <w:rFonts w:ascii="Times New Roman" w:hAnsi="Times New Roman" w:cs="Times New Roman"/>
          <w:color w:val="000000" w:themeColor="text1"/>
          <w:sz w:val="20"/>
          <w:szCs w:val="20"/>
        </w:rPr>
        <w:t>1</w:t>
      </w:r>
      <w:r w:rsidRPr="008462AF">
        <w:rPr>
          <w:rFonts w:ascii="Times New Roman" w:hAnsi="Times New Roman" w:cs="Times New Roman"/>
          <w:color w:val="000000" w:themeColor="text1"/>
          <w:sz w:val="20"/>
          <w:szCs w:val="20"/>
        </w:rPr>
        <w:t xml:space="preserve">), environmental conditions such as rising temperatures or the presence of host root exudates can restore both </w:t>
      </w:r>
      <w:proofErr w:type="spellStart"/>
      <w:r w:rsidRPr="008462AF">
        <w:rPr>
          <w:rFonts w:ascii="Times New Roman" w:hAnsi="Times New Roman" w:cs="Times New Roman"/>
          <w:color w:val="000000" w:themeColor="text1"/>
          <w:sz w:val="20"/>
          <w:szCs w:val="20"/>
        </w:rPr>
        <w:t>culturability</w:t>
      </w:r>
      <w:proofErr w:type="spellEnd"/>
      <w:r w:rsidRPr="008462AF">
        <w:rPr>
          <w:rFonts w:ascii="Times New Roman" w:hAnsi="Times New Roman" w:cs="Times New Roman"/>
          <w:color w:val="000000" w:themeColor="text1"/>
          <w:sz w:val="20"/>
          <w:szCs w:val="20"/>
        </w:rPr>
        <w:t xml:space="preserve"> and pathogenicity. This reactivation can trigger sudden and unexpected disease outbreaks after periods of apparent absence. The VBNC state therefore</w:t>
      </w:r>
      <w:r w:rsidR="00CD3202">
        <w:rPr>
          <w:rFonts w:ascii="Times New Roman" w:hAnsi="Times New Roman" w:cs="Times New Roman"/>
          <w:color w:val="000000" w:themeColor="text1"/>
          <w:sz w:val="20"/>
          <w:szCs w:val="20"/>
        </w:rPr>
        <w:t>,</w:t>
      </w:r>
      <w:r w:rsidRPr="008462AF">
        <w:rPr>
          <w:rFonts w:ascii="Times New Roman" w:hAnsi="Times New Roman" w:cs="Times New Roman"/>
          <w:color w:val="000000" w:themeColor="text1"/>
          <w:sz w:val="20"/>
          <w:szCs w:val="20"/>
        </w:rPr>
        <w:t xml:space="preserve"> represents a hidden risk factor for bacterial wilt epidemiology. Addressing this requires the use of advanced molecular diagnostics (e.g., qPCR, LAMP assays, and metagenomics) capable of detecting VBNC cells, alongside </w:t>
      </w:r>
      <w:r w:rsidR="00CD3202">
        <w:rPr>
          <w:rFonts w:ascii="Times New Roman" w:hAnsi="Times New Roman" w:cs="Times New Roman"/>
          <w:color w:val="000000" w:themeColor="text1"/>
          <w:sz w:val="20"/>
          <w:szCs w:val="20"/>
        </w:rPr>
        <w:t xml:space="preserve">a </w:t>
      </w:r>
      <w:r w:rsidRPr="008462AF">
        <w:rPr>
          <w:rFonts w:ascii="Times New Roman" w:hAnsi="Times New Roman" w:cs="Times New Roman"/>
          <w:color w:val="000000" w:themeColor="text1"/>
          <w:sz w:val="20"/>
          <w:szCs w:val="20"/>
        </w:rPr>
        <w:t xml:space="preserve">detailed study of the environmental triggers that </w:t>
      </w:r>
      <w:r w:rsidRPr="008462AF">
        <w:rPr>
          <w:rFonts w:ascii="Times New Roman" w:hAnsi="Times New Roman" w:cs="Times New Roman"/>
          <w:color w:val="000000" w:themeColor="text1"/>
          <w:sz w:val="20"/>
          <w:szCs w:val="20"/>
        </w:rPr>
        <w:lastRenderedPageBreak/>
        <w:t>govern their resuscitation. Moreover, variations in virulence following recovery suggest that pathogenic potential may shift depending on resuscitation conditions, adding further complexity to disease forecasting.</w:t>
      </w:r>
    </w:p>
    <w:p w14:paraId="7C188C99" w14:textId="11301819" w:rsidR="008462AF" w:rsidRPr="001D35A5" w:rsidRDefault="008462AF" w:rsidP="001D35A5">
      <w:pPr>
        <w:jc w:val="both"/>
        <w:rPr>
          <w:rFonts w:ascii="Times New Roman" w:hAnsi="Times New Roman" w:cs="Times New Roman"/>
          <w:color w:val="000000" w:themeColor="text1"/>
          <w:sz w:val="20"/>
          <w:szCs w:val="20"/>
        </w:rPr>
      </w:pPr>
      <w:r w:rsidRPr="001D35A5">
        <w:rPr>
          <w:rFonts w:ascii="Times New Roman" w:hAnsi="Times New Roman" w:cs="Times New Roman"/>
          <w:b/>
          <w:bCs/>
          <w:color w:val="000000" w:themeColor="text1"/>
          <w:sz w:val="20"/>
          <w:szCs w:val="20"/>
        </w:rPr>
        <w:t>Dispersal mechanisms: water, plant debris, and agricultural practices</w:t>
      </w:r>
    </w:p>
    <w:p w14:paraId="34CA7342" w14:textId="0E1041EF" w:rsidR="0097319E" w:rsidRPr="0097319E" w:rsidRDefault="0097319E" w:rsidP="0097319E">
      <w:pPr>
        <w:ind w:firstLine="720"/>
        <w:jc w:val="both"/>
        <w:rPr>
          <w:rFonts w:ascii="Times New Roman" w:hAnsi="Times New Roman" w:cs="Times New Roman"/>
          <w:color w:val="000000" w:themeColor="text1"/>
          <w:sz w:val="20"/>
          <w:szCs w:val="20"/>
        </w:rPr>
      </w:pPr>
      <w:r w:rsidRPr="0097319E">
        <w:rPr>
          <w:rFonts w:ascii="Times New Roman" w:hAnsi="Times New Roman" w:cs="Times New Roman"/>
          <w:color w:val="000000" w:themeColor="text1"/>
          <w:sz w:val="20"/>
          <w:szCs w:val="20"/>
        </w:rPr>
        <w:t>RSSC</w:t>
      </w:r>
      <w:r>
        <w:rPr>
          <w:rFonts w:ascii="Times New Roman" w:hAnsi="Times New Roman" w:cs="Times New Roman"/>
          <w:color w:val="000000" w:themeColor="text1"/>
          <w:sz w:val="20"/>
          <w:szCs w:val="20"/>
        </w:rPr>
        <w:t xml:space="preserve"> </w:t>
      </w:r>
      <w:r w:rsidRPr="0097319E">
        <w:rPr>
          <w:rFonts w:ascii="Times New Roman" w:hAnsi="Times New Roman" w:cs="Times New Roman"/>
          <w:color w:val="000000" w:themeColor="text1"/>
          <w:sz w:val="20"/>
          <w:szCs w:val="20"/>
        </w:rPr>
        <w:t>employs multiple dispersal pathways that contribute to its extensive distribution and make containment highly challenging. A well-documented early example comes from northern Europe, where Race 3 Biovar 2 became established in solanaceous weeds growing along slow-flowing rivers. Pathogen populations were later introduced into potato production systems when this contaminated river water was used for irrigation, leading to widespread outbreaks (Janse</w:t>
      </w:r>
      <w:r w:rsidR="003E142F">
        <w:rPr>
          <w:rFonts w:ascii="Times New Roman" w:hAnsi="Times New Roman" w:cs="Times New Roman"/>
          <w:color w:val="000000" w:themeColor="text1"/>
          <w:sz w:val="20"/>
          <w:szCs w:val="20"/>
        </w:rPr>
        <w:t>,</w:t>
      </w:r>
      <w:r w:rsidRPr="0097319E">
        <w:rPr>
          <w:rFonts w:ascii="Times New Roman" w:hAnsi="Times New Roman" w:cs="Times New Roman"/>
          <w:color w:val="000000" w:themeColor="text1"/>
          <w:sz w:val="20"/>
          <w:szCs w:val="20"/>
        </w:rPr>
        <w:t xml:space="preserve"> 1996). Infected plants, whether symptomatic or asymptomatic, can continuously shed bacteria into the rhizosphere through their root systems, while infected stems, rhizomes, and tubers exude a characteristic milky-white bacterial ooze that seeps into surrounding soil and water, serving as a direct contamination source (</w:t>
      </w:r>
      <w:r w:rsidR="00A41658" w:rsidRPr="00EC64CF">
        <w:rPr>
          <w:rFonts w:ascii="Times New Roman" w:hAnsi="Times New Roman" w:cs="Times New Roman"/>
          <w:sz w:val="20"/>
          <w:szCs w:val="20"/>
        </w:rPr>
        <w:t>García</w:t>
      </w:r>
      <w:r w:rsidRPr="0097319E">
        <w:rPr>
          <w:rFonts w:ascii="Times New Roman" w:hAnsi="Times New Roman" w:cs="Times New Roman"/>
          <w:color w:val="000000" w:themeColor="text1"/>
          <w:sz w:val="20"/>
          <w:szCs w:val="20"/>
        </w:rPr>
        <w:t xml:space="preserve"> </w:t>
      </w:r>
      <w:r w:rsidRPr="003E142F">
        <w:rPr>
          <w:rFonts w:ascii="Times New Roman" w:hAnsi="Times New Roman" w:cs="Times New Roman"/>
          <w:i/>
          <w:iCs/>
          <w:color w:val="000000" w:themeColor="text1"/>
          <w:sz w:val="20"/>
          <w:szCs w:val="20"/>
        </w:rPr>
        <w:t>et al.</w:t>
      </w:r>
      <w:r w:rsidR="003E142F">
        <w:rPr>
          <w:rFonts w:ascii="Times New Roman" w:hAnsi="Times New Roman" w:cs="Times New Roman"/>
          <w:i/>
          <w:iCs/>
          <w:color w:val="000000" w:themeColor="text1"/>
          <w:sz w:val="20"/>
          <w:szCs w:val="20"/>
        </w:rPr>
        <w:t>,</w:t>
      </w:r>
      <w:r w:rsidRPr="0097319E">
        <w:rPr>
          <w:rFonts w:ascii="Times New Roman" w:hAnsi="Times New Roman" w:cs="Times New Roman"/>
          <w:color w:val="000000" w:themeColor="text1"/>
          <w:sz w:val="20"/>
          <w:szCs w:val="20"/>
        </w:rPr>
        <w:t xml:space="preserve"> 2019). Insect vectors may also facilitate </w:t>
      </w:r>
      <w:r w:rsidR="00B946F0">
        <w:rPr>
          <w:rFonts w:ascii="Times New Roman" w:hAnsi="Times New Roman" w:cs="Times New Roman"/>
          <w:color w:val="000000" w:themeColor="text1"/>
          <w:sz w:val="20"/>
          <w:szCs w:val="20"/>
        </w:rPr>
        <w:t>localised</w:t>
      </w:r>
      <w:r w:rsidRPr="0097319E">
        <w:rPr>
          <w:rFonts w:ascii="Times New Roman" w:hAnsi="Times New Roman" w:cs="Times New Roman"/>
          <w:color w:val="000000" w:themeColor="text1"/>
          <w:sz w:val="20"/>
          <w:szCs w:val="20"/>
        </w:rPr>
        <w:t xml:space="preserve"> pathogen movement (</w:t>
      </w:r>
      <w:proofErr w:type="spellStart"/>
      <w:r w:rsidRPr="0097319E">
        <w:rPr>
          <w:rFonts w:ascii="Times New Roman" w:hAnsi="Times New Roman" w:cs="Times New Roman"/>
          <w:color w:val="000000" w:themeColor="text1"/>
          <w:sz w:val="20"/>
          <w:szCs w:val="20"/>
        </w:rPr>
        <w:t>Montong</w:t>
      </w:r>
      <w:proofErr w:type="spellEnd"/>
      <w:r w:rsidRPr="0097319E">
        <w:rPr>
          <w:rFonts w:ascii="Times New Roman" w:hAnsi="Times New Roman" w:cs="Times New Roman"/>
          <w:color w:val="000000" w:themeColor="text1"/>
          <w:sz w:val="20"/>
          <w:szCs w:val="20"/>
        </w:rPr>
        <w:t xml:space="preserve"> and </w:t>
      </w:r>
      <w:proofErr w:type="spellStart"/>
      <w:r w:rsidRPr="0097319E">
        <w:rPr>
          <w:rFonts w:ascii="Times New Roman" w:hAnsi="Times New Roman" w:cs="Times New Roman"/>
          <w:color w:val="000000" w:themeColor="text1"/>
          <w:sz w:val="20"/>
          <w:szCs w:val="20"/>
        </w:rPr>
        <w:t>Salaki</w:t>
      </w:r>
      <w:proofErr w:type="spellEnd"/>
      <w:r w:rsidR="003E142F">
        <w:rPr>
          <w:rFonts w:ascii="Times New Roman" w:hAnsi="Times New Roman" w:cs="Times New Roman"/>
          <w:color w:val="000000" w:themeColor="text1"/>
          <w:sz w:val="20"/>
          <w:szCs w:val="20"/>
        </w:rPr>
        <w:t>,</w:t>
      </w:r>
      <w:r w:rsidRPr="0097319E">
        <w:rPr>
          <w:rFonts w:ascii="Times New Roman" w:hAnsi="Times New Roman" w:cs="Times New Roman"/>
          <w:color w:val="000000" w:themeColor="text1"/>
          <w:sz w:val="20"/>
          <w:szCs w:val="20"/>
        </w:rPr>
        <w:t xml:space="preserve"> 2020). Human agricultural activities represent a major driver of long-distance spread: contaminated tools, irrigation equipment, and machinery transfer infested soil particles between fields, while infected propagation materials such as tubers, cuttings, or seeds act as inoculum sources across regions. Water-mediated dissemination, especially through flooding or irrigation with contaminated water, further amplifies pathogen distribution. Similarly, transport of infested soil on seedlings or farm equipment provides another pathway for regional transmission. These findings demonstrate that RSSC does not merely persist passively in the environment—it actively exploits ecological niches and anthropogenic activities to ensure dispersal. The interplay between environmental reservoirs (soil, water, and weeds) and farming practices creates a resilient network of transmission pathways, underscoring the need for integrated biosecurity measures. Preventing spread requires coordinated strategies involving equipment sanitation, water quality monitoring, pathogen-free planting material, and strict crop hygiene practices.</w:t>
      </w:r>
    </w:p>
    <w:p w14:paraId="2A096C59" w14:textId="0A53C99F" w:rsidR="008462AF" w:rsidRPr="001D35A5" w:rsidRDefault="008462AF" w:rsidP="001D35A5">
      <w:pPr>
        <w:jc w:val="both"/>
        <w:rPr>
          <w:rFonts w:ascii="Times New Roman" w:hAnsi="Times New Roman" w:cs="Times New Roman"/>
          <w:b/>
          <w:bCs/>
          <w:color w:val="000000" w:themeColor="text1"/>
          <w:sz w:val="20"/>
          <w:szCs w:val="20"/>
        </w:rPr>
      </w:pPr>
      <w:r w:rsidRPr="001D35A5">
        <w:rPr>
          <w:rFonts w:ascii="Times New Roman" w:hAnsi="Times New Roman" w:cs="Times New Roman"/>
          <w:b/>
          <w:bCs/>
          <w:color w:val="000000" w:themeColor="text1"/>
          <w:sz w:val="20"/>
          <w:szCs w:val="20"/>
        </w:rPr>
        <w:t>Integrative management approaches based on soil variability</w:t>
      </w:r>
    </w:p>
    <w:p w14:paraId="3EDA08D8" w14:textId="216FD4E1" w:rsidR="00E70D1C" w:rsidRDefault="00590E1D" w:rsidP="00590E1D">
      <w:pPr>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As </w:t>
      </w:r>
      <w:r w:rsidR="00D12913">
        <w:rPr>
          <w:rFonts w:ascii="Times New Roman" w:hAnsi="Times New Roman" w:cs="Times New Roman"/>
          <w:color w:val="000000" w:themeColor="text1"/>
          <w:sz w:val="20"/>
          <w:szCs w:val="20"/>
        </w:rPr>
        <w:t xml:space="preserve">the </w:t>
      </w:r>
      <w:r w:rsidRPr="00590E1D">
        <w:rPr>
          <w:rFonts w:ascii="Times New Roman" w:hAnsi="Times New Roman" w:cs="Times New Roman"/>
          <w:color w:val="000000" w:themeColor="text1"/>
          <w:sz w:val="20"/>
          <w:szCs w:val="20"/>
        </w:rPr>
        <w:t>survival</w:t>
      </w:r>
      <w:r w:rsidR="00D12913">
        <w:rPr>
          <w:rFonts w:ascii="Times New Roman" w:hAnsi="Times New Roman" w:cs="Times New Roman"/>
          <w:color w:val="000000" w:themeColor="text1"/>
          <w:sz w:val="20"/>
          <w:szCs w:val="20"/>
        </w:rPr>
        <w:t xml:space="preserve"> ability of RSSC</w:t>
      </w:r>
      <w:r w:rsidRPr="00590E1D">
        <w:rPr>
          <w:rFonts w:ascii="Times New Roman" w:hAnsi="Times New Roman" w:cs="Times New Roman"/>
          <w:color w:val="000000" w:themeColor="text1"/>
          <w:sz w:val="20"/>
          <w:szCs w:val="20"/>
        </w:rPr>
        <w:t xml:space="preserve"> is strongly shaped by soil conditions, management efforts must be </w:t>
      </w:r>
      <w:r w:rsidR="00FA62A9">
        <w:rPr>
          <w:rFonts w:ascii="Times New Roman" w:hAnsi="Times New Roman" w:cs="Times New Roman"/>
          <w:color w:val="000000" w:themeColor="text1"/>
          <w:sz w:val="20"/>
          <w:szCs w:val="20"/>
        </w:rPr>
        <w:t>soil-centred</w:t>
      </w:r>
      <w:r w:rsidRPr="00590E1D">
        <w:rPr>
          <w:rFonts w:ascii="Times New Roman" w:hAnsi="Times New Roman" w:cs="Times New Roman"/>
          <w:color w:val="000000" w:themeColor="text1"/>
          <w:sz w:val="20"/>
          <w:szCs w:val="20"/>
        </w:rPr>
        <w:t xml:space="preserve"> and integrative. Host resistance breeding provides an early line of </w:t>
      </w:r>
      <w:r w:rsidR="00FA62A9">
        <w:rPr>
          <w:rFonts w:ascii="Times New Roman" w:hAnsi="Times New Roman" w:cs="Times New Roman"/>
          <w:color w:val="000000" w:themeColor="text1"/>
          <w:sz w:val="20"/>
          <w:szCs w:val="20"/>
        </w:rPr>
        <w:t>defence</w:t>
      </w:r>
      <w:r w:rsidRPr="00590E1D">
        <w:rPr>
          <w:rFonts w:ascii="Times New Roman" w:hAnsi="Times New Roman" w:cs="Times New Roman"/>
          <w:color w:val="000000" w:themeColor="text1"/>
          <w:sz w:val="20"/>
          <w:szCs w:val="20"/>
        </w:rPr>
        <w:t xml:space="preserve"> by introducing genetic resistance against bacterial wilt (Huet</w:t>
      </w:r>
      <w:r w:rsidR="005E6093">
        <w:rPr>
          <w:rFonts w:ascii="Times New Roman" w:hAnsi="Times New Roman" w:cs="Times New Roman"/>
          <w:color w:val="000000" w:themeColor="text1"/>
          <w:sz w:val="20"/>
          <w:szCs w:val="20"/>
        </w:rPr>
        <w:t>,</w:t>
      </w:r>
      <w:r w:rsidRPr="00590E1D">
        <w:rPr>
          <w:rFonts w:ascii="Times New Roman" w:hAnsi="Times New Roman" w:cs="Times New Roman"/>
          <w:color w:val="000000" w:themeColor="text1"/>
          <w:sz w:val="20"/>
          <w:szCs w:val="20"/>
        </w:rPr>
        <w:t xml:space="preserve"> 2014). Cultural practices such as crop rotation, intercropping, and cover cropping have long been </w:t>
      </w:r>
      <w:r w:rsidR="00FA62A9">
        <w:rPr>
          <w:rFonts w:ascii="Times New Roman" w:hAnsi="Times New Roman" w:cs="Times New Roman"/>
          <w:color w:val="000000" w:themeColor="text1"/>
          <w:sz w:val="20"/>
          <w:szCs w:val="20"/>
        </w:rPr>
        <w:t>recognised</w:t>
      </w:r>
      <w:r w:rsidRPr="00590E1D">
        <w:rPr>
          <w:rFonts w:ascii="Times New Roman" w:hAnsi="Times New Roman" w:cs="Times New Roman"/>
          <w:color w:val="000000" w:themeColor="text1"/>
          <w:sz w:val="20"/>
          <w:szCs w:val="20"/>
        </w:rPr>
        <w:t xml:space="preserve"> for their role in suppressing pathogen populations by enriching soil organic matter and </w:t>
      </w:r>
      <w:r w:rsidR="00FA62A9">
        <w:rPr>
          <w:rFonts w:ascii="Times New Roman" w:hAnsi="Times New Roman" w:cs="Times New Roman"/>
          <w:color w:val="000000" w:themeColor="text1"/>
          <w:sz w:val="20"/>
          <w:szCs w:val="20"/>
        </w:rPr>
        <w:t>stabilising</w:t>
      </w:r>
      <w:r w:rsidRPr="00590E1D">
        <w:rPr>
          <w:rFonts w:ascii="Times New Roman" w:hAnsi="Times New Roman" w:cs="Times New Roman"/>
          <w:color w:val="000000" w:themeColor="text1"/>
          <w:sz w:val="20"/>
          <w:szCs w:val="20"/>
        </w:rPr>
        <w:t xml:space="preserve"> beneficial microbial networks (Álvarez </w:t>
      </w:r>
      <w:r w:rsidRPr="005E6093">
        <w:rPr>
          <w:rFonts w:ascii="Times New Roman" w:hAnsi="Times New Roman" w:cs="Times New Roman"/>
          <w:i/>
          <w:iCs/>
          <w:color w:val="000000" w:themeColor="text1"/>
          <w:sz w:val="20"/>
          <w:szCs w:val="20"/>
        </w:rPr>
        <w:t>et al.</w:t>
      </w:r>
      <w:r w:rsidR="005E6093" w:rsidRPr="005E6093">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2010; Butler </w:t>
      </w:r>
      <w:r w:rsidRPr="005E6093">
        <w:rPr>
          <w:rFonts w:ascii="Times New Roman" w:hAnsi="Times New Roman" w:cs="Times New Roman"/>
          <w:i/>
          <w:iCs/>
          <w:color w:val="000000" w:themeColor="text1"/>
          <w:sz w:val="20"/>
          <w:szCs w:val="20"/>
        </w:rPr>
        <w:t>et al.</w:t>
      </w:r>
      <w:r w:rsidR="005E6093" w:rsidRPr="005E6093">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2014; Wei </w:t>
      </w:r>
      <w:r w:rsidRPr="005E6093">
        <w:rPr>
          <w:rFonts w:ascii="Times New Roman" w:hAnsi="Times New Roman" w:cs="Times New Roman"/>
          <w:i/>
          <w:iCs/>
          <w:color w:val="000000" w:themeColor="text1"/>
          <w:sz w:val="20"/>
          <w:szCs w:val="20"/>
        </w:rPr>
        <w:t>et al.</w:t>
      </w:r>
      <w:r w:rsidR="005E6093" w:rsidRPr="005E6093">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2018). Soil amendments have proven highly effective for improving soil health and disease suppression. Innovative techniques such as anaerobic soil disinfestation—involving incorporation of labile carbon sources followed by soil tarping—reduce pathogen inoculum and restructure microbial communities into more disease-suppressive states (</w:t>
      </w:r>
      <w:proofErr w:type="spellStart"/>
      <w:r w:rsidRPr="00590E1D">
        <w:rPr>
          <w:rFonts w:ascii="Times New Roman" w:hAnsi="Times New Roman" w:cs="Times New Roman"/>
          <w:color w:val="000000" w:themeColor="text1"/>
          <w:sz w:val="20"/>
          <w:szCs w:val="20"/>
        </w:rPr>
        <w:t>Shinmura</w:t>
      </w:r>
      <w:proofErr w:type="spellEnd"/>
      <w:r w:rsidRPr="00590E1D">
        <w:rPr>
          <w:rFonts w:ascii="Times New Roman" w:hAnsi="Times New Roman" w:cs="Times New Roman"/>
          <w:color w:val="000000" w:themeColor="text1"/>
          <w:sz w:val="20"/>
          <w:szCs w:val="20"/>
        </w:rPr>
        <w:t xml:space="preserve"> </w:t>
      </w:r>
      <w:r w:rsidRPr="00332772">
        <w:rPr>
          <w:rFonts w:ascii="Times New Roman" w:hAnsi="Times New Roman" w:cs="Times New Roman"/>
          <w:i/>
          <w:iCs/>
          <w:color w:val="000000" w:themeColor="text1"/>
          <w:sz w:val="20"/>
          <w:szCs w:val="20"/>
        </w:rPr>
        <w:t>et al.</w:t>
      </w:r>
      <w:r w:rsidR="00332772">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2020). Similarly, biochar has been shown to raise soil pH, increase organic carbon, foster beneficial microbial communities, and induce systemic resistance in host plants (</w:t>
      </w:r>
      <w:proofErr w:type="spellStart"/>
      <w:r w:rsidRPr="00590E1D">
        <w:rPr>
          <w:rFonts w:ascii="Times New Roman" w:hAnsi="Times New Roman" w:cs="Times New Roman"/>
          <w:color w:val="000000" w:themeColor="text1"/>
          <w:sz w:val="20"/>
          <w:szCs w:val="20"/>
        </w:rPr>
        <w:t>Bonanomi</w:t>
      </w:r>
      <w:proofErr w:type="spellEnd"/>
      <w:r w:rsidRPr="00590E1D">
        <w:rPr>
          <w:rFonts w:ascii="Times New Roman" w:hAnsi="Times New Roman" w:cs="Times New Roman"/>
          <w:color w:val="000000" w:themeColor="text1"/>
          <w:sz w:val="20"/>
          <w:szCs w:val="20"/>
        </w:rPr>
        <w:t xml:space="preserve"> </w:t>
      </w:r>
      <w:r w:rsidRPr="005B405C">
        <w:rPr>
          <w:rFonts w:ascii="Times New Roman" w:hAnsi="Times New Roman" w:cs="Times New Roman"/>
          <w:i/>
          <w:iCs/>
          <w:color w:val="000000" w:themeColor="text1"/>
          <w:sz w:val="20"/>
          <w:szCs w:val="20"/>
        </w:rPr>
        <w:t>et al.</w:t>
      </w:r>
      <w:r w:rsidR="005B405C">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2020</w:t>
      </w:r>
      <w:r w:rsidR="0077094A">
        <w:rPr>
          <w:rFonts w:ascii="Times New Roman" w:hAnsi="Times New Roman" w:cs="Times New Roman"/>
          <w:color w:val="000000" w:themeColor="text1"/>
          <w:sz w:val="20"/>
          <w:szCs w:val="20"/>
        </w:rPr>
        <w:t xml:space="preserve"> &amp;</w:t>
      </w:r>
      <w:r w:rsidRPr="00590E1D">
        <w:rPr>
          <w:rFonts w:ascii="Times New Roman" w:hAnsi="Times New Roman" w:cs="Times New Roman"/>
          <w:color w:val="000000" w:themeColor="text1"/>
          <w:sz w:val="20"/>
          <w:szCs w:val="20"/>
        </w:rPr>
        <w:t xml:space="preserve"> Wu </w:t>
      </w:r>
      <w:r w:rsidRPr="00481560">
        <w:rPr>
          <w:rFonts w:ascii="Times New Roman" w:hAnsi="Times New Roman" w:cs="Times New Roman"/>
          <w:i/>
          <w:iCs/>
          <w:color w:val="000000" w:themeColor="text1"/>
          <w:sz w:val="20"/>
          <w:szCs w:val="20"/>
        </w:rPr>
        <w:t>et al.</w:t>
      </w:r>
      <w:r w:rsidR="00481560">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2021). Organic amendments—including composts, crop residues, and bio-organic fertilizers—not only improve soil structure and nutrient status but also stimulate microbial diversity, creating competitive environments that suppress pathogen activity while simultaneously enhancing plant resilience (Zhao </w:t>
      </w:r>
      <w:r w:rsidRPr="00547709">
        <w:rPr>
          <w:rFonts w:ascii="Times New Roman" w:hAnsi="Times New Roman" w:cs="Times New Roman"/>
          <w:i/>
          <w:iCs/>
          <w:color w:val="000000" w:themeColor="text1"/>
          <w:sz w:val="20"/>
          <w:szCs w:val="20"/>
        </w:rPr>
        <w:t>et al.</w:t>
      </w:r>
      <w:r w:rsidR="00547709">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2022). </w:t>
      </w:r>
    </w:p>
    <w:p w14:paraId="60AC865A" w14:textId="08E04951" w:rsidR="00C03367" w:rsidRPr="00C03367" w:rsidRDefault="00C03367" w:rsidP="00590E1D">
      <w:pPr>
        <w:ind w:firstLine="720"/>
        <w:jc w:val="both"/>
        <w:rPr>
          <w:rFonts w:ascii="Times New Roman" w:hAnsi="Times New Roman" w:cs="Times New Roman"/>
          <w:color w:val="000000" w:themeColor="text1"/>
          <w:sz w:val="20"/>
          <w:szCs w:val="20"/>
        </w:rPr>
      </w:pPr>
      <w:r w:rsidRPr="00C03367">
        <w:rPr>
          <w:rFonts w:ascii="Times New Roman" w:hAnsi="Times New Roman" w:cs="Times New Roman"/>
          <w:color w:val="000000" w:themeColor="text1"/>
          <w:sz w:val="20"/>
          <w:szCs w:val="20"/>
        </w:rPr>
        <w:t xml:space="preserve">Adjusting soil pH toward neutrality through liming (e.g., </w:t>
      </w:r>
      <w:proofErr w:type="spellStart"/>
      <w:r w:rsidRPr="00C03367">
        <w:rPr>
          <w:rFonts w:ascii="Times New Roman" w:hAnsi="Times New Roman" w:cs="Times New Roman"/>
          <w:color w:val="000000" w:themeColor="text1"/>
          <w:sz w:val="20"/>
          <w:szCs w:val="20"/>
        </w:rPr>
        <w:t>CaCO</w:t>
      </w:r>
      <w:proofErr w:type="spellEnd"/>
      <w:r w:rsidRPr="00C03367">
        <w:rPr>
          <w:rFonts w:ascii="Times New Roman" w:hAnsi="Times New Roman" w:cs="Times New Roman"/>
          <w:color w:val="000000" w:themeColor="text1"/>
          <w:sz w:val="20"/>
          <w:szCs w:val="20"/>
        </w:rPr>
        <w:t xml:space="preserve">₃ or </w:t>
      </w:r>
      <w:proofErr w:type="spellStart"/>
      <w:r w:rsidRPr="00C03367">
        <w:rPr>
          <w:rFonts w:ascii="Times New Roman" w:hAnsi="Times New Roman" w:cs="Times New Roman"/>
          <w:color w:val="000000" w:themeColor="text1"/>
          <w:sz w:val="20"/>
          <w:szCs w:val="20"/>
        </w:rPr>
        <w:t>CaO</w:t>
      </w:r>
      <w:proofErr w:type="spellEnd"/>
      <w:r w:rsidRPr="00C03367">
        <w:rPr>
          <w:rFonts w:ascii="Times New Roman" w:hAnsi="Times New Roman" w:cs="Times New Roman"/>
          <w:color w:val="000000" w:themeColor="text1"/>
          <w:sz w:val="20"/>
          <w:szCs w:val="20"/>
        </w:rPr>
        <w:t xml:space="preserve">) significantly reduces bacterial wilt incidence in acidic soils (pH 4.5–5.5), as </w:t>
      </w:r>
      <w:r w:rsidRPr="00C03367">
        <w:rPr>
          <w:rFonts w:ascii="Times New Roman" w:hAnsi="Times New Roman" w:cs="Times New Roman"/>
          <w:i/>
          <w:iCs/>
          <w:color w:val="000000" w:themeColor="text1"/>
          <w:sz w:val="20"/>
          <w:szCs w:val="20"/>
        </w:rPr>
        <w:t>R. solanacearum</w:t>
      </w:r>
      <w:r w:rsidRPr="00C03367">
        <w:rPr>
          <w:rFonts w:ascii="Times New Roman" w:hAnsi="Times New Roman" w:cs="Times New Roman"/>
          <w:color w:val="000000" w:themeColor="text1"/>
          <w:sz w:val="20"/>
          <w:szCs w:val="20"/>
        </w:rPr>
        <w:t xml:space="preserve"> populations persist longer and exhibit higher virulence under acidic conditions (Singh </w:t>
      </w:r>
      <w:r w:rsidRPr="00F774C1">
        <w:rPr>
          <w:rFonts w:ascii="Times New Roman" w:hAnsi="Times New Roman" w:cs="Times New Roman"/>
          <w:i/>
          <w:iCs/>
          <w:color w:val="000000" w:themeColor="text1"/>
          <w:sz w:val="20"/>
          <w:szCs w:val="20"/>
        </w:rPr>
        <w:t>et al.</w:t>
      </w:r>
      <w:r w:rsidR="00F774C1">
        <w:rPr>
          <w:rFonts w:ascii="Times New Roman" w:hAnsi="Times New Roman" w:cs="Times New Roman"/>
          <w:color w:val="000000" w:themeColor="text1"/>
          <w:sz w:val="20"/>
          <w:szCs w:val="20"/>
        </w:rPr>
        <w:t>,</w:t>
      </w:r>
      <w:r w:rsidRPr="00C03367">
        <w:rPr>
          <w:rFonts w:ascii="Times New Roman" w:hAnsi="Times New Roman" w:cs="Times New Roman"/>
          <w:color w:val="000000" w:themeColor="text1"/>
          <w:sz w:val="20"/>
          <w:szCs w:val="20"/>
        </w:rPr>
        <w:t xml:space="preserve"> 2023). Liming not only suppresses pathogen survival but also enhances nutrient availability and fosters beneficial microbial communities, thereby promoting overall soil health. In addition, soil disinfection using bleaching powder (calcium hypochlorite) has been reported to directly reduce RSSC inoculum through its bactericidal action, effectively lowering disease incidence when applied at 10–15 kg ha⁻¹ in infested fields (</w:t>
      </w:r>
      <w:r w:rsidR="00D41D1B">
        <w:rPr>
          <w:rFonts w:ascii="Times New Roman" w:hAnsi="Times New Roman" w:cs="Times New Roman"/>
          <w:color w:val="000000" w:themeColor="text1"/>
          <w:sz w:val="20"/>
          <w:szCs w:val="20"/>
        </w:rPr>
        <w:t>Parker</w:t>
      </w:r>
      <w:r w:rsidR="008D1212">
        <w:rPr>
          <w:rFonts w:ascii="Times New Roman" w:hAnsi="Times New Roman" w:cs="Times New Roman"/>
          <w:color w:val="000000" w:themeColor="text1"/>
          <w:sz w:val="20"/>
          <w:szCs w:val="20"/>
        </w:rPr>
        <w:t>,</w:t>
      </w:r>
      <w:r w:rsidR="00D41D1B" w:rsidRPr="00C03367">
        <w:rPr>
          <w:rFonts w:ascii="Times New Roman" w:hAnsi="Times New Roman" w:cs="Times New Roman"/>
          <w:color w:val="000000" w:themeColor="text1"/>
          <w:sz w:val="20"/>
          <w:szCs w:val="20"/>
        </w:rPr>
        <w:t xml:space="preserve"> 2021</w:t>
      </w:r>
      <w:r w:rsidR="008D1212">
        <w:rPr>
          <w:rFonts w:ascii="Times New Roman" w:hAnsi="Times New Roman" w:cs="Times New Roman"/>
          <w:color w:val="000000" w:themeColor="text1"/>
          <w:sz w:val="20"/>
          <w:szCs w:val="20"/>
        </w:rPr>
        <w:t xml:space="preserve"> &amp;</w:t>
      </w:r>
      <w:r w:rsidR="00D41D1B" w:rsidRPr="00C03367">
        <w:rPr>
          <w:rFonts w:ascii="Times New Roman" w:hAnsi="Times New Roman" w:cs="Times New Roman"/>
          <w:color w:val="000000" w:themeColor="text1"/>
          <w:sz w:val="20"/>
          <w:szCs w:val="20"/>
        </w:rPr>
        <w:t xml:space="preserve"> </w:t>
      </w:r>
      <w:r w:rsidRPr="00C03367">
        <w:rPr>
          <w:rFonts w:ascii="Times New Roman" w:hAnsi="Times New Roman" w:cs="Times New Roman"/>
          <w:color w:val="000000" w:themeColor="text1"/>
          <w:sz w:val="20"/>
          <w:szCs w:val="20"/>
        </w:rPr>
        <w:t>Benti</w:t>
      </w:r>
      <w:r w:rsidR="008D1212">
        <w:rPr>
          <w:rFonts w:ascii="Times New Roman" w:hAnsi="Times New Roman" w:cs="Times New Roman"/>
          <w:color w:val="000000" w:themeColor="text1"/>
          <w:sz w:val="20"/>
          <w:szCs w:val="20"/>
        </w:rPr>
        <w:t>,</w:t>
      </w:r>
      <w:r w:rsidRPr="00C03367">
        <w:rPr>
          <w:rFonts w:ascii="Times New Roman" w:hAnsi="Times New Roman" w:cs="Times New Roman"/>
          <w:color w:val="000000" w:themeColor="text1"/>
          <w:sz w:val="20"/>
          <w:szCs w:val="20"/>
        </w:rPr>
        <w:t xml:space="preserve"> 2023). Together, these practices—pH correction for long-term suppressiveness and bleaching powder treatment for short-term pathogen reduction—complement cultural, biological, and host-resistance strategies in an integrated soil-</w:t>
      </w:r>
      <w:proofErr w:type="spellStart"/>
      <w:r w:rsidRPr="00C03367">
        <w:rPr>
          <w:rFonts w:ascii="Times New Roman" w:hAnsi="Times New Roman" w:cs="Times New Roman"/>
          <w:color w:val="000000" w:themeColor="text1"/>
          <w:sz w:val="20"/>
          <w:szCs w:val="20"/>
        </w:rPr>
        <w:t>centered</w:t>
      </w:r>
      <w:proofErr w:type="spellEnd"/>
      <w:r w:rsidRPr="00C03367">
        <w:rPr>
          <w:rFonts w:ascii="Times New Roman" w:hAnsi="Times New Roman" w:cs="Times New Roman"/>
          <w:color w:val="000000" w:themeColor="text1"/>
          <w:sz w:val="20"/>
          <w:szCs w:val="20"/>
        </w:rPr>
        <w:t xml:space="preserve"> management framework.</w:t>
      </w:r>
    </w:p>
    <w:p w14:paraId="646B6256" w14:textId="3B2A8569" w:rsidR="00590E1D" w:rsidRPr="00590E1D" w:rsidRDefault="00590E1D" w:rsidP="00590E1D">
      <w:pPr>
        <w:ind w:firstLine="720"/>
        <w:jc w:val="both"/>
        <w:rPr>
          <w:rFonts w:ascii="Times New Roman" w:hAnsi="Times New Roman" w:cs="Times New Roman"/>
          <w:color w:val="000000" w:themeColor="text1"/>
          <w:sz w:val="20"/>
          <w:szCs w:val="20"/>
        </w:rPr>
      </w:pPr>
      <w:r w:rsidRPr="00590E1D">
        <w:rPr>
          <w:rFonts w:ascii="Times New Roman" w:hAnsi="Times New Roman" w:cs="Times New Roman"/>
          <w:color w:val="000000" w:themeColor="text1"/>
          <w:sz w:val="20"/>
          <w:szCs w:val="20"/>
        </w:rPr>
        <w:t xml:space="preserve">Biocontrol approaches further enhance suppression: antagonistic microbes such as </w:t>
      </w:r>
      <w:r w:rsidRPr="00590E1D">
        <w:rPr>
          <w:rFonts w:ascii="Times New Roman" w:hAnsi="Times New Roman" w:cs="Times New Roman"/>
          <w:i/>
          <w:iCs/>
          <w:color w:val="000000" w:themeColor="text1"/>
          <w:sz w:val="20"/>
          <w:szCs w:val="20"/>
        </w:rPr>
        <w:t>Bacillus</w:t>
      </w:r>
      <w:r w:rsidRPr="00590E1D">
        <w:rPr>
          <w:rFonts w:ascii="Times New Roman" w:hAnsi="Times New Roman" w:cs="Times New Roman"/>
          <w:color w:val="000000" w:themeColor="text1"/>
          <w:sz w:val="20"/>
          <w:szCs w:val="20"/>
        </w:rPr>
        <w:t xml:space="preserve"> and </w:t>
      </w:r>
      <w:r w:rsidRPr="00590E1D">
        <w:rPr>
          <w:rFonts w:ascii="Times New Roman" w:hAnsi="Times New Roman" w:cs="Times New Roman"/>
          <w:i/>
          <w:iCs/>
          <w:color w:val="000000" w:themeColor="text1"/>
          <w:sz w:val="20"/>
          <w:szCs w:val="20"/>
        </w:rPr>
        <w:t>Pseudomonas</w:t>
      </w:r>
      <w:r w:rsidRPr="00590E1D">
        <w:rPr>
          <w:rFonts w:ascii="Times New Roman" w:hAnsi="Times New Roman" w:cs="Times New Roman"/>
          <w:color w:val="000000" w:themeColor="text1"/>
          <w:sz w:val="20"/>
          <w:szCs w:val="20"/>
        </w:rPr>
        <w:t xml:space="preserve"> spp. inhibit RSSC through antibiotic production and simultaneously activate host </w:t>
      </w:r>
      <w:r w:rsidR="00CC3F2A">
        <w:rPr>
          <w:rFonts w:ascii="Times New Roman" w:hAnsi="Times New Roman" w:cs="Times New Roman"/>
          <w:color w:val="000000" w:themeColor="text1"/>
          <w:sz w:val="20"/>
          <w:szCs w:val="20"/>
        </w:rPr>
        <w:t>defence</w:t>
      </w:r>
      <w:r w:rsidRPr="00590E1D">
        <w:rPr>
          <w:rFonts w:ascii="Times New Roman" w:hAnsi="Times New Roman" w:cs="Times New Roman"/>
          <w:color w:val="000000" w:themeColor="text1"/>
          <w:sz w:val="20"/>
          <w:szCs w:val="20"/>
        </w:rPr>
        <w:t xml:space="preserve"> responses, improving plant resistance to infection (Guo </w:t>
      </w:r>
      <w:r w:rsidRPr="002E6456">
        <w:rPr>
          <w:rFonts w:ascii="Times New Roman" w:hAnsi="Times New Roman" w:cs="Times New Roman"/>
          <w:i/>
          <w:iCs/>
          <w:color w:val="000000" w:themeColor="text1"/>
          <w:sz w:val="20"/>
          <w:szCs w:val="20"/>
        </w:rPr>
        <w:t>et al.</w:t>
      </w:r>
      <w:r w:rsidR="002E6456">
        <w:rPr>
          <w:rFonts w:ascii="Times New Roman" w:hAnsi="Times New Roman" w:cs="Times New Roman"/>
          <w:color w:val="000000" w:themeColor="text1"/>
          <w:sz w:val="20"/>
          <w:szCs w:val="20"/>
        </w:rPr>
        <w:t>,</w:t>
      </w:r>
      <w:r w:rsidRPr="00590E1D">
        <w:rPr>
          <w:rFonts w:ascii="Times New Roman" w:hAnsi="Times New Roman" w:cs="Times New Roman"/>
          <w:color w:val="000000" w:themeColor="text1"/>
          <w:sz w:val="20"/>
          <w:szCs w:val="20"/>
        </w:rPr>
        <w:t xml:space="preserve"> 2022</w:t>
      </w:r>
      <w:r w:rsidR="002E6456">
        <w:rPr>
          <w:rFonts w:ascii="Times New Roman" w:hAnsi="Times New Roman" w:cs="Times New Roman"/>
          <w:color w:val="000000" w:themeColor="text1"/>
          <w:sz w:val="20"/>
          <w:szCs w:val="20"/>
        </w:rPr>
        <w:t xml:space="preserve"> &amp; </w:t>
      </w:r>
      <w:r w:rsidRPr="00590E1D">
        <w:rPr>
          <w:rFonts w:ascii="Times New Roman" w:hAnsi="Times New Roman" w:cs="Times New Roman"/>
          <w:color w:val="000000" w:themeColor="text1"/>
          <w:sz w:val="20"/>
          <w:szCs w:val="20"/>
        </w:rPr>
        <w:t xml:space="preserve">Chen </w:t>
      </w:r>
      <w:r w:rsidRPr="002E6456">
        <w:rPr>
          <w:rFonts w:ascii="Times New Roman" w:hAnsi="Times New Roman" w:cs="Times New Roman"/>
          <w:i/>
          <w:iCs/>
          <w:color w:val="000000" w:themeColor="text1"/>
          <w:sz w:val="20"/>
          <w:szCs w:val="20"/>
        </w:rPr>
        <w:t>et al.</w:t>
      </w:r>
      <w:r w:rsidR="002E6456">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2023). Collectively, integrating soil amendments, microbial biocontrol, cultural practices, and host resistance represents the most sustainable strategy for mitigating RSSC across diverse agroecosystems.</w:t>
      </w:r>
    </w:p>
    <w:p w14:paraId="578658DE" w14:textId="16DB70E9" w:rsidR="008462AF" w:rsidRPr="00F65E48" w:rsidRDefault="008462AF" w:rsidP="00F65E48">
      <w:pPr>
        <w:jc w:val="both"/>
        <w:rPr>
          <w:rFonts w:ascii="Times New Roman" w:hAnsi="Times New Roman" w:cs="Times New Roman"/>
          <w:color w:val="000000" w:themeColor="text1"/>
          <w:sz w:val="20"/>
          <w:szCs w:val="20"/>
        </w:rPr>
      </w:pPr>
      <w:r w:rsidRPr="00F65E48">
        <w:rPr>
          <w:rFonts w:ascii="Times New Roman" w:hAnsi="Times New Roman" w:cs="Times New Roman"/>
          <w:b/>
          <w:bCs/>
          <w:color w:val="000000" w:themeColor="text1"/>
          <w:sz w:val="20"/>
          <w:szCs w:val="20"/>
        </w:rPr>
        <w:t>Conclusion</w:t>
      </w:r>
    </w:p>
    <w:p w14:paraId="195C1574" w14:textId="77777777" w:rsidR="00BC5D1F" w:rsidRDefault="00BC5D1F" w:rsidP="00B73FD2">
      <w:pPr>
        <w:ind w:firstLine="720"/>
        <w:jc w:val="both"/>
        <w:rPr>
          <w:rFonts w:ascii="Times New Roman" w:hAnsi="Times New Roman" w:cs="Times New Roman"/>
          <w:color w:val="000000" w:themeColor="text1"/>
          <w:sz w:val="20"/>
          <w:szCs w:val="20"/>
        </w:rPr>
      </w:pPr>
      <w:r w:rsidRPr="00BC5D1F">
        <w:rPr>
          <w:rFonts w:ascii="Times New Roman" w:hAnsi="Times New Roman" w:cs="Times New Roman"/>
          <w:color w:val="000000" w:themeColor="text1"/>
          <w:sz w:val="20"/>
          <w:szCs w:val="20"/>
        </w:rPr>
        <w:lastRenderedPageBreak/>
        <w:t>The persistence and pathogenic variability of RSSC are strongly modulated by soil properties, which act as both habitat and selective environment. Integrating this ecological understanding into management is crucial for durable disease control. Future research should emphasize (</w:t>
      </w:r>
      <w:proofErr w:type="spellStart"/>
      <w:r w:rsidRPr="00BC5D1F">
        <w:rPr>
          <w:rFonts w:ascii="Times New Roman" w:hAnsi="Times New Roman" w:cs="Times New Roman"/>
          <w:color w:val="000000" w:themeColor="text1"/>
          <w:sz w:val="20"/>
          <w:szCs w:val="20"/>
        </w:rPr>
        <w:t>i</w:t>
      </w:r>
      <w:proofErr w:type="spellEnd"/>
      <w:r w:rsidRPr="00BC5D1F">
        <w:rPr>
          <w:rFonts w:ascii="Times New Roman" w:hAnsi="Times New Roman" w:cs="Times New Roman"/>
          <w:color w:val="000000" w:themeColor="text1"/>
          <w:sz w:val="20"/>
          <w:szCs w:val="20"/>
        </w:rPr>
        <w:t>) engineering soil microbiomes to enhance natural suppression, (ii) developing predictive tools that combine molecular diagnostics (qPCR, metagenomics) with soil health indicators, and (iii) adapting management strategies to climate-driven shifts in soil conditions. Linking soil ecology with resistance breeding and precision agriculture offers the most promising pathway toward sustainable management of bacterial wilt.</w:t>
      </w:r>
    </w:p>
    <w:p w14:paraId="0D7FF0FA" w14:textId="77777777" w:rsidR="00FC7437" w:rsidRPr="00BC2D63" w:rsidRDefault="00FC7437" w:rsidP="00BC2D63">
      <w:pPr>
        <w:jc w:val="both"/>
        <w:rPr>
          <w:rFonts w:ascii="Times New Roman" w:hAnsi="Times New Roman" w:cs="Times New Roman"/>
          <w:color w:val="000000" w:themeColor="text1"/>
          <w:sz w:val="20"/>
          <w:szCs w:val="20"/>
        </w:rPr>
      </w:pPr>
      <w:bookmarkStart w:id="0" w:name="_GoBack"/>
      <w:bookmarkEnd w:id="0"/>
    </w:p>
    <w:p w14:paraId="6210BBE3" w14:textId="751E5B62" w:rsidR="00106E13" w:rsidRPr="0081457B" w:rsidRDefault="00B639B4" w:rsidP="00106E13">
      <w:pPr>
        <w:jc w:val="both"/>
        <w:rPr>
          <w:rFonts w:ascii="Times New Roman" w:hAnsi="Times New Roman" w:cs="Times New Roman"/>
          <w:b/>
          <w:bCs/>
          <w:color w:val="000000" w:themeColor="text1"/>
          <w:sz w:val="20"/>
          <w:szCs w:val="20"/>
        </w:rPr>
      </w:pPr>
      <w:r w:rsidRPr="0081457B">
        <w:rPr>
          <w:rFonts w:ascii="Times New Roman" w:hAnsi="Times New Roman" w:cs="Times New Roman"/>
          <w:b/>
          <w:bCs/>
          <w:color w:val="000000" w:themeColor="text1"/>
          <w:sz w:val="20"/>
          <w:szCs w:val="20"/>
        </w:rPr>
        <w:t>References</w:t>
      </w:r>
    </w:p>
    <w:p w14:paraId="24A6CBFC"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Álvarez, B., López, M. M., &amp; </w:t>
      </w:r>
      <w:proofErr w:type="spellStart"/>
      <w:r w:rsidRPr="000144EE">
        <w:rPr>
          <w:rFonts w:ascii="Times New Roman" w:hAnsi="Times New Roman" w:cs="Times New Roman"/>
          <w:sz w:val="20"/>
          <w:szCs w:val="20"/>
        </w:rPr>
        <w:t>Biosca</w:t>
      </w:r>
      <w:proofErr w:type="spellEnd"/>
      <w:r w:rsidRPr="000144EE">
        <w:rPr>
          <w:rFonts w:ascii="Times New Roman" w:hAnsi="Times New Roman" w:cs="Times New Roman"/>
          <w:sz w:val="20"/>
          <w:szCs w:val="20"/>
        </w:rPr>
        <w:t xml:space="preserve">, E. G. (2008). Survival strategies and pathogenicity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phylotype II. </w:t>
      </w:r>
      <w:r w:rsidRPr="000144EE">
        <w:rPr>
          <w:rFonts w:ascii="Times New Roman" w:hAnsi="Times New Roman" w:cs="Times New Roman"/>
          <w:i/>
          <w:iCs/>
          <w:sz w:val="20"/>
          <w:szCs w:val="20"/>
        </w:rPr>
        <w:t>Microbiology, 154</w:t>
      </w:r>
      <w:r w:rsidRPr="000144EE">
        <w:rPr>
          <w:rFonts w:ascii="Times New Roman" w:hAnsi="Times New Roman" w:cs="Times New Roman"/>
          <w:sz w:val="20"/>
          <w:szCs w:val="20"/>
        </w:rPr>
        <w:t xml:space="preserve">, 3590–3598. </w:t>
      </w:r>
      <w:hyperlink r:id="rId11" w:tgtFrame="_new" w:history="1">
        <w:r w:rsidRPr="000144EE">
          <w:rPr>
            <w:rStyle w:val="Hyperlink"/>
            <w:rFonts w:ascii="Times New Roman" w:hAnsi="Times New Roman" w:cs="Times New Roman"/>
            <w:sz w:val="20"/>
            <w:szCs w:val="20"/>
          </w:rPr>
          <w:t>https://doi.org/10.1099/mic.0.2008/018550-0</w:t>
        </w:r>
      </w:hyperlink>
    </w:p>
    <w:p w14:paraId="2DEC41CA"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Álvarez, B., </w:t>
      </w:r>
      <w:proofErr w:type="spellStart"/>
      <w:r w:rsidRPr="000144EE">
        <w:rPr>
          <w:rFonts w:ascii="Times New Roman" w:hAnsi="Times New Roman" w:cs="Times New Roman"/>
          <w:sz w:val="20"/>
          <w:szCs w:val="20"/>
        </w:rPr>
        <w:t>Biosca</w:t>
      </w:r>
      <w:proofErr w:type="spellEnd"/>
      <w:r w:rsidRPr="000144EE">
        <w:rPr>
          <w:rFonts w:ascii="Times New Roman" w:hAnsi="Times New Roman" w:cs="Times New Roman"/>
          <w:sz w:val="20"/>
          <w:szCs w:val="20"/>
        </w:rPr>
        <w:t xml:space="preserve">, E. G., &amp; López, M. M. (2010). On the life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a destructive bacterial plant pathogen. </w:t>
      </w:r>
      <w:r w:rsidRPr="000144EE">
        <w:rPr>
          <w:rFonts w:ascii="Times New Roman" w:hAnsi="Times New Roman" w:cs="Times New Roman"/>
          <w:i/>
          <w:iCs/>
          <w:sz w:val="20"/>
          <w:szCs w:val="20"/>
        </w:rPr>
        <w:t>Current Research, Technology, Education Topics in Applied Microbiology and Microbial Biotechnology, 2</w:t>
      </w:r>
      <w:r w:rsidRPr="000144EE">
        <w:rPr>
          <w:rFonts w:ascii="Times New Roman" w:hAnsi="Times New Roman" w:cs="Times New Roman"/>
          <w:sz w:val="20"/>
          <w:szCs w:val="20"/>
        </w:rPr>
        <w:t>, 267–279.</w:t>
      </w:r>
    </w:p>
    <w:p w14:paraId="5BA4A18C"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Allen, H. K., Donato, J., Wang, H. H., Cloud-Hansen, K. A., Davies, J., &amp; Handelsman, J. (2010). Call of the wild: antibiotic resistance genes in natural environments. </w:t>
      </w:r>
      <w:r w:rsidRPr="000144EE">
        <w:rPr>
          <w:rFonts w:ascii="Times New Roman" w:hAnsi="Times New Roman" w:cs="Times New Roman"/>
          <w:i/>
          <w:iCs/>
          <w:sz w:val="20"/>
          <w:szCs w:val="20"/>
        </w:rPr>
        <w:t>Nature Reviews Microbiology, 8</w:t>
      </w:r>
      <w:r w:rsidRPr="000144EE">
        <w:rPr>
          <w:rFonts w:ascii="Times New Roman" w:hAnsi="Times New Roman" w:cs="Times New Roman"/>
          <w:sz w:val="20"/>
          <w:szCs w:val="20"/>
        </w:rPr>
        <w:t xml:space="preserve">, 251–259. </w:t>
      </w:r>
      <w:hyperlink r:id="rId12" w:tgtFrame="_new" w:history="1">
        <w:r w:rsidRPr="000144EE">
          <w:rPr>
            <w:rStyle w:val="Hyperlink"/>
            <w:rFonts w:ascii="Times New Roman" w:hAnsi="Times New Roman" w:cs="Times New Roman"/>
            <w:sz w:val="20"/>
            <w:szCs w:val="20"/>
          </w:rPr>
          <w:t>https://doi.org/10.1038/nrmicro2312</w:t>
        </w:r>
      </w:hyperlink>
    </w:p>
    <w:p w14:paraId="55D6566B"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APEDA. (2023). </w:t>
      </w:r>
      <w:r w:rsidRPr="000144EE">
        <w:rPr>
          <w:rFonts w:ascii="Times New Roman" w:hAnsi="Times New Roman" w:cs="Times New Roman"/>
          <w:i/>
          <w:iCs/>
          <w:sz w:val="20"/>
          <w:szCs w:val="20"/>
        </w:rPr>
        <w:t>Statistics of horticulture production and export.</w:t>
      </w:r>
      <w:r w:rsidRPr="000144EE">
        <w:rPr>
          <w:rFonts w:ascii="Times New Roman" w:hAnsi="Times New Roman" w:cs="Times New Roman"/>
          <w:sz w:val="20"/>
          <w:szCs w:val="20"/>
        </w:rPr>
        <w:t xml:space="preserve"> APEDA, New Delhi. </w:t>
      </w:r>
      <w:hyperlink r:id="rId13" w:tgtFrame="_new" w:history="1">
        <w:r w:rsidRPr="000144EE">
          <w:rPr>
            <w:rStyle w:val="Hyperlink"/>
            <w:rFonts w:ascii="Times New Roman" w:hAnsi="Times New Roman" w:cs="Times New Roman"/>
            <w:sz w:val="20"/>
            <w:szCs w:val="20"/>
          </w:rPr>
          <w:t>https://apeda.gov.in/apedawebsite/#</w:t>
        </w:r>
      </w:hyperlink>
    </w:p>
    <w:p w14:paraId="1ABE298E"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Benti, E. A. (2023). Control of bacterial wilt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and reduction of ginger yield loss through integrated management methods in Southwestern Ethiopia. </w:t>
      </w:r>
      <w:r w:rsidRPr="000144EE">
        <w:rPr>
          <w:rFonts w:ascii="Times New Roman" w:hAnsi="Times New Roman" w:cs="Times New Roman"/>
          <w:i/>
          <w:iCs/>
          <w:sz w:val="20"/>
          <w:szCs w:val="20"/>
        </w:rPr>
        <w:t>The Open Agriculture Journal, 17</w:t>
      </w:r>
      <w:r w:rsidRPr="000144EE">
        <w:rPr>
          <w:rFonts w:ascii="Times New Roman" w:hAnsi="Times New Roman" w:cs="Times New Roman"/>
          <w:sz w:val="20"/>
          <w:szCs w:val="20"/>
        </w:rPr>
        <w:t xml:space="preserve">, e187433152212300. </w:t>
      </w:r>
      <w:hyperlink r:id="rId14" w:tgtFrame="_new" w:history="1">
        <w:r w:rsidRPr="000144EE">
          <w:rPr>
            <w:rStyle w:val="Hyperlink"/>
            <w:rFonts w:ascii="Times New Roman" w:hAnsi="Times New Roman" w:cs="Times New Roman"/>
            <w:sz w:val="20"/>
            <w:szCs w:val="20"/>
          </w:rPr>
          <w:t>https://doi.org/10.2174/18743315-v17-e230404-2022-53</w:t>
        </w:r>
      </w:hyperlink>
    </w:p>
    <w:p w14:paraId="0C4CE888"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Bhatt, G., &amp; Denny, T. P. (2004). </w:t>
      </w:r>
      <w:proofErr w:type="spellStart"/>
      <w:r w:rsidRPr="000144EE">
        <w:rPr>
          <w:rFonts w:ascii="Times New Roman" w:hAnsi="Times New Roman" w:cs="Times New Roman"/>
          <w:sz w:val="20"/>
          <w:szCs w:val="20"/>
        </w:rPr>
        <w:t>Ralstonia</w:t>
      </w:r>
      <w:proofErr w:type="spellEnd"/>
      <w:r w:rsidRPr="000144EE">
        <w:rPr>
          <w:rFonts w:ascii="Times New Roman" w:hAnsi="Times New Roman" w:cs="Times New Roman"/>
          <w:sz w:val="20"/>
          <w:szCs w:val="20"/>
        </w:rPr>
        <w:t xml:space="preserve"> solanacearum iron scavenging by the siderophore </w:t>
      </w:r>
      <w:proofErr w:type="spellStart"/>
      <w:r w:rsidRPr="000144EE">
        <w:rPr>
          <w:rFonts w:ascii="Times New Roman" w:hAnsi="Times New Roman" w:cs="Times New Roman"/>
          <w:sz w:val="20"/>
          <w:szCs w:val="20"/>
        </w:rPr>
        <w:t>staphyloferrin</w:t>
      </w:r>
      <w:proofErr w:type="spellEnd"/>
      <w:r w:rsidRPr="000144EE">
        <w:rPr>
          <w:rFonts w:ascii="Times New Roman" w:hAnsi="Times New Roman" w:cs="Times New Roman"/>
          <w:sz w:val="20"/>
          <w:szCs w:val="20"/>
        </w:rPr>
        <w:t xml:space="preserve"> B is controlled by </w:t>
      </w:r>
      <w:proofErr w:type="spellStart"/>
      <w:r w:rsidRPr="000144EE">
        <w:rPr>
          <w:rFonts w:ascii="Times New Roman" w:hAnsi="Times New Roman" w:cs="Times New Roman"/>
          <w:i/>
          <w:iCs/>
          <w:sz w:val="20"/>
          <w:szCs w:val="20"/>
        </w:rPr>
        <w:t>PhcA</w:t>
      </w:r>
      <w:proofErr w:type="spellEnd"/>
      <w:r w:rsidRPr="000144EE">
        <w:rPr>
          <w:rFonts w:ascii="Times New Roman" w:hAnsi="Times New Roman" w:cs="Times New Roman"/>
          <w:sz w:val="20"/>
          <w:szCs w:val="20"/>
        </w:rPr>
        <w:t xml:space="preserve">, the global virulence regulator. </w:t>
      </w:r>
      <w:r w:rsidRPr="000144EE">
        <w:rPr>
          <w:rFonts w:ascii="Times New Roman" w:hAnsi="Times New Roman" w:cs="Times New Roman"/>
          <w:i/>
          <w:iCs/>
          <w:sz w:val="20"/>
          <w:szCs w:val="20"/>
        </w:rPr>
        <w:t>Journal of Bacteriology, 186</w:t>
      </w:r>
      <w:r w:rsidRPr="000144EE">
        <w:rPr>
          <w:rFonts w:ascii="Times New Roman" w:hAnsi="Times New Roman" w:cs="Times New Roman"/>
          <w:sz w:val="20"/>
          <w:szCs w:val="20"/>
        </w:rPr>
        <w:t xml:space="preserve">, 7896–7904. </w:t>
      </w:r>
      <w:hyperlink r:id="rId15" w:tgtFrame="_new" w:history="1">
        <w:r w:rsidRPr="000144EE">
          <w:rPr>
            <w:rStyle w:val="Hyperlink"/>
            <w:rFonts w:ascii="Times New Roman" w:hAnsi="Times New Roman" w:cs="Times New Roman"/>
            <w:sz w:val="20"/>
            <w:szCs w:val="20"/>
          </w:rPr>
          <w:t>https://doi.org/10.1128/JB.186.23.7896-7904.2004</w:t>
        </w:r>
      </w:hyperlink>
    </w:p>
    <w:p w14:paraId="7D8168DE"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proofErr w:type="spellStart"/>
      <w:r w:rsidRPr="000144EE">
        <w:rPr>
          <w:rFonts w:ascii="Times New Roman" w:hAnsi="Times New Roman" w:cs="Times New Roman"/>
          <w:sz w:val="20"/>
          <w:szCs w:val="20"/>
        </w:rPr>
        <w:t>Bhunchoth</w:t>
      </w:r>
      <w:proofErr w:type="spellEnd"/>
      <w:r w:rsidRPr="000144EE">
        <w:rPr>
          <w:rFonts w:ascii="Times New Roman" w:hAnsi="Times New Roman" w:cs="Times New Roman"/>
          <w:sz w:val="20"/>
          <w:szCs w:val="20"/>
        </w:rPr>
        <w:t xml:space="preserve">, A., </w:t>
      </w:r>
      <w:proofErr w:type="spellStart"/>
      <w:r w:rsidRPr="000144EE">
        <w:rPr>
          <w:rFonts w:ascii="Times New Roman" w:hAnsi="Times New Roman" w:cs="Times New Roman"/>
          <w:sz w:val="20"/>
          <w:szCs w:val="20"/>
        </w:rPr>
        <w:t>Phironrit</w:t>
      </w:r>
      <w:proofErr w:type="spellEnd"/>
      <w:r w:rsidRPr="000144EE">
        <w:rPr>
          <w:rFonts w:ascii="Times New Roman" w:hAnsi="Times New Roman" w:cs="Times New Roman"/>
          <w:sz w:val="20"/>
          <w:szCs w:val="20"/>
        </w:rPr>
        <w:t xml:space="preserve">, N., </w:t>
      </w:r>
      <w:proofErr w:type="spellStart"/>
      <w:r w:rsidRPr="000144EE">
        <w:rPr>
          <w:rFonts w:ascii="Times New Roman" w:hAnsi="Times New Roman" w:cs="Times New Roman"/>
          <w:sz w:val="20"/>
          <w:szCs w:val="20"/>
        </w:rPr>
        <w:t>Leksomboon</w:t>
      </w:r>
      <w:proofErr w:type="spellEnd"/>
      <w:r w:rsidRPr="000144EE">
        <w:rPr>
          <w:rFonts w:ascii="Times New Roman" w:hAnsi="Times New Roman" w:cs="Times New Roman"/>
          <w:sz w:val="20"/>
          <w:szCs w:val="20"/>
        </w:rPr>
        <w:t xml:space="preserve">, C., </w:t>
      </w:r>
      <w:proofErr w:type="spellStart"/>
      <w:r w:rsidRPr="000144EE">
        <w:rPr>
          <w:rFonts w:ascii="Times New Roman" w:hAnsi="Times New Roman" w:cs="Times New Roman"/>
          <w:sz w:val="20"/>
          <w:szCs w:val="20"/>
        </w:rPr>
        <w:t>Chatchawankanphanich</w:t>
      </w:r>
      <w:proofErr w:type="spellEnd"/>
      <w:r w:rsidRPr="000144EE">
        <w:rPr>
          <w:rFonts w:ascii="Times New Roman" w:hAnsi="Times New Roman" w:cs="Times New Roman"/>
          <w:sz w:val="20"/>
          <w:szCs w:val="20"/>
        </w:rPr>
        <w:t xml:space="preserve">, O., Kotera, S., </w:t>
      </w:r>
      <w:proofErr w:type="spellStart"/>
      <w:r w:rsidRPr="000144EE">
        <w:rPr>
          <w:rFonts w:ascii="Times New Roman" w:hAnsi="Times New Roman" w:cs="Times New Roman"/>
          <w:sz w:val="20"/>
          <w:szCs w:val="20"/>
        </w:rPr>
        <w:t>Narulita</w:t>
      </w:r>
      <w:proofErr w:type="spellEnd"/>
      <w:r w:rsidRPr="000144EE">
        <w:rPr>
          <w:rFonts w:ascii="Times New Roman" w:hAnsi="Times New Roman" w:cs="Times New Roman"/>
          <w:sz w:val="20"/>
          <w:szCs w:val="20"/>
        </w:rPr>
        <w:t xml:space="preserve">, E., Kawasaki, T., Fujie, M., &amp; Yamada, T. (2015). Isolation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-infecting bacteriophages from tomato fields in Chiang Mai, Thailand, and their experimental use as biocontrol agents. </w:t>
      </w:r>
      <w:r w:rsidRPr="000144EE">
        <w:rPr>
          <w:rFonts w:ascii="Times New Roman" w:hAnsi="Times New Roman" w:cs="Times New Roman"/>
          <w:i/>
          <w:iCs/>
          <w:sz w:val="20"/>
          <w:szCs w:val="20"/>
        </w:rPr>
        <w:t>Journal of Applied Microbiology, 118</w:t>
      </w:r>
      <w:r w:rsidRPr="000144EE">
        <w:rPr>
          <w:rFonts w:ascii="Times New Roman" w:hAnsi="Times New Roman" w:cs="Times New Roman"/>
          <w:sz w:val="20"/>
          <w:szCs w:val="20"/>
        </w:rPr>
        <w:t xml:space="preserve">, 1023–1033. </w:t>
      </w:r>
      <w:hyperlink r:id="rId16" w:tgtFrame="_new" w:history="1">
        <w:r w:rsidRPr="000144EE">
          <w:rPr>
            <w:rStyle w:val="Hyperlink"/>
            <w:rFonts w:ascii="Times New Roman" w:hAnsi="Times New Roman" w:cs="Times New Roman"/>
            <w:sz w:val="20"/>
            <w:szCs w:val="20"/>
          </w:rPr>
          <w:t>https://doi.org/10.1111/jam.12909</w:t>
        </w:r>
      </w:hyperlink>
    </w:p>
    <w:p w14:paraId="68A10714"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proofErr w:type="spellStart"/>
      <w:r w:rsidRPr="000144EE">
        <w:rPr>
          <w:rFonts w:ascii="Times New Roman" w:hAnsi="Times New Roman" w:cs="Times New Roman"/>
          <w:sz w:val="20"/>
          <w:szCs w:val="20"/>
        </w:rPr>
        <w:t>Bonanomi</w:t>
      </w:r>
      <w:proofErr w:type="spellEnd"/>
      <w:r w:rsidRPr="000144EE">
        <w:rPr>
          <w:rFonts w:ascii="Times New Roman" w:hAnsi="Times New Roman" w:cs="Times New Roman"/>
          <w:sz w:val="20"/>
          <w:szCs w:val="20"/>
        </w:rPr>
        <w:t xml:space="preserve">, G., De Filippis, F., Cesarano, G., La Storia, A., Ercolini, D., &amp; Scala, F. (2020). Organic farming induces changes in soil microbiota. </w:t>
      </w:r>
      <w:r w:rsidRPr="000144EE">
        <w:rPr>
          <w:rFonts w:ascii="Times New Roman" w:hAnsi="Times New Roman" w:cs="Times New Roman"/>
          <w:i/>
          <w:iCs/>
          <w:sz w:val="20"/>
          <w:szCs w:val="20"/>
        </w:rPr>
        <w:t>Agronomy for Sustainable Development, 40</w:t>
      </w:r>
      <w:r w:rsidRPr="000144EE">
        <w:rPr>
          <w:rFonts w:ascii="Times New Roman" w:hAnsi="Times New Roman" w:cs="Times New Roman"/>
          <w:sz w:val="20"/>
          <w:szCs w:val="20"/>
        </w:rPr>
        <w:t xml:space="preserve">, 20. </w:t>
      </w:r>
      <w:hyperlink r:id="rId17" w:tgtFrame="_new" w:history="1">
        <w:r w:rsidRPr="000144EE">
          <w:rPr>
            <w:rStyle w:val="Hyperlink"/>
            <w:rFonts w:ascii="Times New Roman" w:hAnsi="Times New Roman" w:cs="Times New Roman"/>
            <w:sz w:val="20"/>
            <w:szCs w:val="20"/>
          </w:rPr>
          <w:t>https://doi.org/10.1007/s13593-020-0605-2</w:t>
        </w:r>
      </w:hyperlink>
    </w:p>
    <w:p w14:paraId="049982FB"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Brennan, G., &amp; Collins, S. (2015). Growth responses of a green alga to multiple environmental drivers. </w:t>
      </w:r>
      <w:r w:rsidRPr="000144EE">
        <w:rPr>
          <w:rFonts w:ascii="Times New Roman" w:hAnsi="Times New Roman" w:cs="Times New Roman"/>
          <w:i/>
          <w:iCs/>
          <w:sz w:val="20"/>
          <w:szCs w:val="20"/>
        </w:rPr>
        <w:t>Nature Climate Change, 5</w:t>
      </w:r>
      <w:r w:rsidRPr="000144EE">
        <w:rPr>
          <w:rFonts w:ascii="Times New Roman" w:hAnsi="Times New Roman" w:cs="Times New Roman"/>
          <w:sz w:val="20"/>
          <w:szCs w:val="20"/>
        </w:rPr>
        <w:t xml:space="preserve">, 892–897. </w:t>
      </w:r>
      <w:hyperlink r:id="rId18" w:tgtFrame="_new" w:history="1">
        <w:r w:rsidRPr="000144EE">
          <w:rPr>
            <w:rStyle w:val="Hyperlink"/>
            <w:rFonts w:ascii="Times New Roman" w:hAnsi="Times New Roman" w:cs="Times New Roman"/>
            <w:sz w:val="20"/>
            <w:szCs w:val="20"/>
          </w:rPr>
          <w:t>https://doi.org/10.1038/nclimate2736</w:t>
        </w:r>
      </w:hyperlink>
    </w:p>
    <w:p w14:paraId="10427C34"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Butler, D. M., Rosskopf, E. N., Kokalis-Burelle, N., Albano, J. P., Muramoto, J., &amp; Shennan, C. (2014). Anaerobic soil disinfestation combined with soil solarization. </w:t>
      </w:r>
      <w:r w:rsidRPr="000144EE">
        <w:rPr>
          <w:rFonts w:ascii="Times New Roman" w:hAnsi="Times New Roman" w:cs="Times New Roman"/>
          <w:i/>
          <w:iCs/>
          <w:sz w:val="20"/>
          <w:szCs w:val="20"/>
        </w:rPr>
        <w:t>Plant and Soil, 378</w:t>
      </w:r>
      <w:r w:rsidRPr="000144EE">
        <w:rPr>
          <w:rFonts w:ascii="Times New Roman" w:hAnsi="Times New Roman" w:cs="Times New Roman"/>
          <w:sz w:val="20"/>
          <w:szCs w:val="20"/>
        </w:rPr>
        <w:t xml:space="preserve">, 365–381. </w:t>
      </w:r>
      <w:hyperlink r:id="rId19" w:tgtFrame="_new" w:history="1">
        <w:r w:rsidRPr="000144EE">
          <w:rPr>
            <w:rStyle w:val="Hyperlink"/>
            <w:rFonts w:ascii="Times New Roman" w:hAnsi="Times New Roman" w:cs="Times New Roman"/>
            <w:sz w:val="20"/>
            <w:szCs w:val="20"/>
          </w:rPr>
          <w:t>https://doi.org/10.1007/s11104-014-2095-y</w:t>
        </w:r>
      </w:hyperlink>
    </w:p>
    <w:p w14:paraId="61A38006"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Caruso, P., Bertolini, E., Cambra, M., &amp; López, M. M. (2003). A new and sensitive co-operational polymerase chain reaction for rapid detection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in water. </w:t>
      </w:r>
      <w:r w:rsidRPr="000144EE">
        <w:rPr>
          <w:rFonts w:ascii="Times New Roman" w:hAnsi="Times New Roman" w:cs="Times New Roman"/>
          <w:i/>
          <w:iCs/>
          <w:sz w:val="20"/>
          <w:szCs w:val="20"/>
        </w:rPr>
        <w:t>Journal of Microbiological Methods, 55</w:t>
      </w:r>
      <w:r w:rsidRPr="000144EE">
        <w:rPr>
          <w:rFonts w:ascii="Times New Roman" w:hAnsi="Times New Roman" w:cs="Times New Roman"/>
          <w:sz w:val="20"/>
          <w:szCs w:val="20"/>
        </w:rPr>
        <w:t xml:space="preserve">, 257–272. </w:t>
      </w:r>
      <w:hyperlink r:id="rId20" w:tgtFrame="_new" w:history="1">
        <w:r w:rsidRPr="000144EE">
          <w:rPr>
            <w:rStyle w:val="Hyperlink"/>
            <w:rFonts w:ascii="Times New Roman" w:hAnsi="Times New Roman" w:cs="Times New Roman"/>
            <w:sz w:val="20"/>
            <w:szCs w:val="20"/>
          </w:rPr>
          <w:t>https://doi.org/10.1016/S0167-7012(03)00039-1</w:t>
        </w:r>
      </w:hyperlink>
    </w:p>
    <w:p w14:paraId="58735BAB"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proofErr w:type="spellStart"/>
      <w:r w:rsidRPr="000144EE">
        <w:rPr>
          <w:rFonts w:ascii="Times New Roman" w:hAnsi="Times New Roman" w:cs="Times New Roman"/>
          <w:sz w:val="20"/>
          <w:szCs w:val="20"/>
        </w:rPr>
        <w:t>Champoiseau</w:t>
      </w:r>
      <w:proofErr w:type="spellEnd"/>
      <w:r w:rsidRPr="000144EE">
        <w:rPr>
          <w:rFonts w:ascii="Times New Roman" w:hAnsi="Times New Roman" w:cs="Times New Roman"/>
          <w:sz w:val="20"/>
          <w:szCs w:val="20"/>
        </w:rPr>
        <w:t xml:space="preserve">, P. G., Jones, J. B., &amp; Allen, C. (2009).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race 3 biovar 2 causes tropical losses and temperate anxieties. </w:t>
      </w:r>
      <w:r w:rsidRPr="000144EE">
        <w:rPr>
          <w:rFonts w:ascii="Times New Roman" w:hAnsi="Times New Roman" w:cs="Times New Roman"/>
          <w:i/>
          <w:iCs/>
          <w:sz w:val="20"/>
          <w:szCs w:val="20"/>
        </w:rPr>
        <w:t>Plant Health Progress, 10</w:t>
      </w:r>
      <w:r w:rsidRPr="000144EE">
        <w:rPr>
          <w:rFonts w:ascii="Times New Roman" w:hAnsi="Times New Roman" w:cs="Times New Roman"/>
          <w:sz w:val="20"/>
          <w:szCs w:val="20"/>
        </w:rPr>
        <w:t xml:space="preserve">, 35. </w:t>
      </w:r>
      <w:hyperlink r:id="rId21" w:tgtFrame="_new" w:history="1">
        <w:r w:rsidRPr="000144EE">
          <w:rPr>
            <w:rStyle w:val="Hyperlink"/>
            <w:rFonts w:ascii="Times New Roman" w:hAnsi="Times New Roman" w:cs="Times New Roman"/>
            <w:sz w:val="20"/>
            <w:szCs w:val="20"/>
          </w:rPr>
          <w:t>https://doi.org/10.1094/PHP-2009-0826-01-RV</w:t>
        </w:r>
      </w:hyperlink>
    </w:p>
    <w:p w14:paraId="5C9081C4"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Chen, L., Zhang, J., Liu, Y., Chen, Q., &amp; Liu, X. (2023). Biocontrol potential of </w:t>
      </w:r>
      <w:r w:rsidRPr="000144EE">
        <w:rPr>
          <w:rFonts w:ascii="Times New Roman" w:hAnsi="Times New Roman" w:cs="Times New Roman"/>
          <w:i/>
          <w:iCs/>
          <w:sz w:val="20"/>
          <w:szCs w:val="20"/>
        </w:rPr>
        <w:t xml:space="preserve">Bacillus </w:t>
      </w:r>
      <w:proofErr w:type="spellStart"/>
      <w:r w:rsidRPr="000144EE">
        <w:rPr>
          <w:rFonts w:ascii="Times New Roman" w:hAnsi="Times New Roman" w:cs="Times New Roman"/>
          <w:i/>
          <w:iCs/>
          <w:sz w:val="20"/>
          <w:szCs w:val="20"/>
        </w:rPr>
        <w:t>velezensis</w:t>
      </w:r>
      <w:proofErr w:type="spellEnd"/>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Biological Control, 178</w:t>
      </w:r>
      <w:r w:rsidRPr="000144EE">
        <w:rPr>
          <w:rFonts w:ascii="Times New Roman" w:hAnsi="Times New Roman" w:cs="Times New Roman"/>
          <w:sz w:val="20"/>
          <w:szCs w:val="20"/>
        </w:rPr>
        <w:t xml:space="preserve">, 105124. </w:t>
      </w:r>
      <w:hyperlink r:id="rId22" w:tgtFrame="_new" w:history="1">
        <w:r w:rsidRPr="000144EE">
          <w:rPr>
            <w:rStyle w:val="Hyperlink"/>
            <w:rFonts w:ascii="Times New Roman" w:hAnsi="Times New Roman" w:cs="Times New Roman"/>
            <w:sz w:val="20"/>
            <w:szCs w:val="20"/>
          </w:rPr>
          <w:t>https://doi.org/10.1016/j.biocontrol.2023.105124</w:t>
        </w:r>
      </w:hyperlink>
    </w:p>
    <w:p w14:paraId="2ECF2375"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Elphinstone, J. G. (2005). The current bacterial wilt situation: a global overview. In C. Allen, P. Prior, &amp; A. C. Hayward (Eds.), </w:t>
      </w:r>
      <w:r w:rsidRPr="000144EE">
        <w:rPr>
          <w:rFonts w:ascii="Times New Roman" w:hAnsi="Times New Roman" w:cs="Times New Roman"/>
          <w:i/>
          <w:iCs/>
          <w:sz w:val="20"/>
          <w:szCs w:val="20"/>
        </w:rPr>
        <w:t xml:space="preserve">Bacterial wilt disease and the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 species complex</w:t>
      </w:r>
      <w:r w:rsidRPr="000144EE">
        <w:rPr>
          <w:rFonts w:ascii="Times New Roman" w:hAnsi="Times New Roman" w:cs="Times New Roman"/>
          <w:sz w:val="20"/>
          <w:szCs w:val="20"/>
        </w:rPr>
        <w:t xml:space="preserve"> (pp. 9–28). APS Press.</w:t>
      </w:r>
    </w:p>
    <w:p w14:paraId="5B8FFE84"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European Food Safety Authority (EFSA), van der Gaag, D. J., Camilleri, M., Diakaki, M., Schenk, M., &amp; Vos, S. (2019). Pest survey card on potato brown rot,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EFSA Supporting Publications, 16</w:t>
      </w:r>
      <w:r w:rsidRPr="000144EE">
        <w:rPr>
          <w:rFonts w:ascii="Times New Roman" w:hAnsi="Times New Roman" w:cs="Times New Roman"/>
          <w:sz w:val="20"/>
          <w:szCs w:val="20"/>
        </w:rPr>
        <w:t xml:space="preserve">, 1567E. </w:t>
      </w:r>
      <w:hyperlink r:id="rId23" w:tgtFrame="_new" w:history="1">
        <w:r w:rsidRPr="000144EE">
          <w:rPr>
            <w:rStyle w:val="Hyperlink"/>
            <w:rFonts w:ascii="Times New Roman" w:hAnsi="Times New Roman" w:cs="Times New Roman"/>
            <w:sz w:val="20"/>
            <w:szCs w:val="20"/>
          </w:rPr>
          <w:t>https://doi.org/10.2903/sp.efsa.2019.EN-1567</w:t>
        </w:r>
      </w:hyperlink>
    </w:p>
    <w:p w14:paraId="3E2404F1"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EFSA Panel on Plant Health (PLH Panel), Bragard, C., Dehnen-Schmutz, K., Di Serio, F., Gonthier, P., Jaques Miret, J. A., Justesen, A. F., MacLeod, A., Magnusson, C. S., Milonas, P., &amp; Navas-Cortes, J. A. </w:t>
      </w:r>
      <w:r w:rsidRPr="000144EE">
        <w:rPr>
          <w:rFonts w:ascii="Times New Roman" w:hAnsi="Times New Roman" w:cs="Times New Roman"/>
          <w:sz w:val="20"/>
          <w:szCs w:val="20"/>
        </w:rPr>
        <w:lastRenderedPageBreak/>
        <w:t xml:space="preserve">(2019). Pest categorisation of the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species complex. </w:t>
      </w:r>
      <w:r w:rsidRPr="000144EE">
        <w:rPr>
          <w:rFonts w:ascii="Times New Roman" w:hAnsi="Times New Roman" w:cs="Times New Roman"/>
          <w:i/>
          <w:iCs/>
          <w:sz w:val="20"/>
          <w:szCs w:val="20"/>
        </w:rPr>
        <w:t>EFSA Journal, 17</w:t>
      </w:r>
      <w:r w:rsidRPr="000144EE">
        <w:rPr>
          <w:rFonts w:ascii="Times New Roman" w:hAnsi="Times New Roman" w:cs="Times New Roman"/>
          <w:sz w:val="20"/>
          <w:szCs w:val="20"/>
        </w:rPr>
        <w:t xml:space="preserve">, e05618. </w:t>
      </w:r>
      <w:hyperlink r:id="rId24" w:tgtFrame="_new" w:history="1">
        <w:r w:rsidRPr="000144EE">
          <w:rPr>
            <w:rStyle w:val="Hyperlink"/>
            <w:rFonts w:ascii="Times New Roman" w:hAnsi="Times New Roman" w:cs="Times New Roman"/>
            <w:sz w:val="20"/>
            <w:szCs w:val="20"/>
          </w:rPr>
          <w:t>https://doi.org/10.2903/j.efsa.2019.5618</w:t>
        </w:r>
      </w:hyperlink>
    </w:p>
    <w:p w14:paraId="06DE561D"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Fegan, M., &amp; Prior, P. (2005). Recent developments in the phylogeny and classification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 xml:space="preserve">Acta </w:t>
      </w:r>
      <w:proofErr w:type="spellStart"/>
      <w:r w:rsidRPr="000144EE">
        <w:rPr>
          <w:rFonts w:ascii="Times New Roman" w:hAnsi="Times New Roman" w:cs="Times New Roman"/>
          <w:i/>
          <w:iCs/>
          <w:sz w:val="20"/>
          <w:szCs w:val="20"/>
        </w:rPr>
        <w:t>Horticulturae</w:t>
      </w:r>
      <w:proofErr w:type="spellEnd"/>
      <w:r w:rsidRPr="000144EE">
        <w:rPr>
          <w:rFonts w:ascii="Times New Roman" w:hAnsi="Times New Roman" w:cs="Times New Roman"/>
          <w:i/>
          <w:iCs/>
          <w:sz w:val="20"/>
          <w:szCs w:val="20"/>
        </w:rPr>
        <w:t>, 695</w:t>
      </w:r>
      <w:r w:rsidRPr="000144EE">
        <w:rPr>
          <w:rFonts w:ascii="Times New Roman" w:hAnsi="Times New Roman" w:cs="Times New Roman"/>
          <w:sz w:val="20"/>
          <w:szCs w:val="20"/>
        </w:rPr>
        <w:t xml:space="preserve">, 127–136. </w:t>
      </w:r>
      <w:hyperlink r:id="rId25" w:tgtFrame="_new" w:history="1">
        <w:r w:rsidRPr="000144EE">
          <w:rPr>
            <w:rStyle w:val="Hyperlink"/>
            <w:rFonts w:ascii="Times New Roman" w:hAnsi="Times New Roman" w:cs="Times New Roman"/>
            <w:sz w:val="20"/>
            <w:szCs w:val="20"/>
          </w:rPr>
          <w:t>https://doi.org/10.17660/ActaHortic.2005.695.11</w:t>
        </w:r>
      </w:hyperlink>
    </w:p>
    <w:p w14:paraId="1A9A51BB"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Farnham, E. M. (2022). </w:t>
      </w:r>
      <w:r w:rsidRPr="000144EE">
        <w:rPr>
          <w:rFonts w:ascii="Times New Roman" w:hAnsi="Times New Roman" w:cs="Times New Roman"/>
          <w:i/>
          <w:iCs/>
          <w:sz w:val="20"/>
          <w:szCs w:val="20"/>
        </w:rPr>
        <w:t xml:space="preserve">Exploring the phenotypic and genetic diversity of a bacterial plant pathogen, the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 species complex (RSSC)</w:t>
      </w:r>
      <w:r w:rsidRPr="000144EE">
        <w:rPr>
          <w:rFonts w:ascii="Times New Roman" w:hAnsi="Times New Roman" w:cs="Times New Roman"/>
          <w:sz w:val="20"/>
          <w:szCs w:val="20"/>
        </w:rPr>
        <w:t>. Doctoral dissertation, University of York.</w:t>
      </w:r>
    </w:p>
    <w:p w14:paraId="2D3E3971"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García, R. O., Kerns, J. P., &amp; Thiessen, L. (2019).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species complex: a quick diagnostic guide. </w:t>
      </w:r>
      <w:r w:rsidRPr="000144EE">
        <w:rPr>
          <w:rFonts w:ascii="Times New Roman" w:hAnsi="Times New Roman" w:cs="Times New Roman"/>
          <w:i/>
          <w:iCs/>
          <w:sz w:val="20"/>
          <w:szCs w:val="20"/>
        </w:rPr>
        <w:t>Plant Health Progress, 20</w:t>
      </w:r>
      <w:r w:rsidRPr="000144EE">
        <w:rPr>
          <w:rFonts w:ascii="Times New Roman" w:hAnsi="Times New Roman" w:cs="Times New Roman"/>
          <w:sz w:val="20"/>
          <w:szCs w:val="20"/>
        </w:rPr>
        <w:t xml:space="preserve">, 7–13. </w:t>
      </w:r>
      <w:hyperlink r:id="rId26" w:tgtFrame="_new" w:history="1">
        <w:r w:rsidRPr="000144EE">
          <w:rPr>
            <w:rStyle w:val="Hyperlink"/>
            <w:rFonts w:ascii="Times New Roman" w:hAnsi="Times New Roman" w:cs="Times New Roman"/>
            <w:sz w:val="20"/>
            <w:szCs w:val="20"/>
          </w:rPr>
          <w:t>https://doi.org/10.1094/PHP-04-19-0023-RV</w:t>
        </w:r>
      </w:hyperlink>
    </w:p>
    <w:p w14:paraId="472E7AF8"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Genin, S. (2010). Molecular traits controlling host range and adaptation to plants in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New Phytologist, 187</w:t>
      </w:r>
      <w:r w:rsidRPr="000144EE">
        <w:rPr>
          <w:rFonts w:ascii="Times New Roman" w:hAnsi="Times New Roman" w:cs="Times New Roman"/>
          <w:sz w:val="20"/>
          <w:szCs w:val="20"/>
        </w:rPr>
        <w:t xml:space="preserve">, 920–928. </w:t>
      </w:r>
      <w:hyperlink r:id="rId27" w:tgtFrame="_new" w:history="1">
        <w:r w:rsidRPr="000144EE">
          <w:rPr>
            <w:rStyle w:val="Hyperlink"/>
            <w:rFonts w:ascii="Times New Roman" w:hAnsi="Times New Roman" w:cs="Times New Roman"/>
            <w:sz w:val="20"/>
            <w:szCs w:val="20"/>
          </w:rPr>
          <w:t>https://doi.org/10.1111/j.1469-8137.2010.03318.x</w:t>
        </w:r>
      </w:hyperlink>
    </w:p>
    <w:p w14:paraId="5D304A8B"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Genin, S., &amp; Boucher, C. (2002).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secrets of a major pathogen unveiled by analysis of its genome. </w:t>
      </w:r>
      <w:r w:rsidRPr="000144EE">
        <w:rPr>
          <w:rFonts w:ascii="Times New Roman" w:hAnsi="Times New Roman" w:cs="Times New Roman"/>
          <w:i/>
          <w:iCs/>
          <w:sz w:val="20"/>
          <w:szCs w:val="20"/>
        </w:rPr>
        <w:t>Molecular Plant Pathology, 3</w:t>
      </w:r>
      <w:r w:rsidRPr="000144EE">
        <w:rPr>
          <w:rFonts w:ascii="Times New Roman" w:hAnsi="Times New Roman" w:cs="Times New Roman"/>
          <w:sz w:val="20"/>
          <w:szCs w:val="20"/>
        </w:rPr>
        <w:t xml:space="preserve">, 111–118. </w:t>
      </w:r>
      <w:hyperlink r:id="rId28" w:tgtFrame="_new" w:history="1">
        <w:r w:rsidRPr="000144EE">
          <w:rPr>
            <w:rStyle w:val="Hyperlink"/>
            <w:rFonts w:ascii="Times New Roman" w:hAnsi="Times New Roman" w:cs="Times New Roman"/>
            <w:sz w:val="20"/>
            <w:szCs w:val="20"/>
          </w:rPr>
          <w:t>https://doi.org/10.1046/j.1364-3703.2002.00116.x</w:t>
        </w:r>
      </w:hyperlink>
    </w:p>
    <w:p w14:paraId="20A89728"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Gu, S., Wei, Z., Shao, Z., Friman, V. P., Cao, K., Yang, T., Kramer, J., Wang, X., Li, M., Mei, X., &amp; Xu, Y. (2020). Competition for iron drives phytopathogen control by natural rhizosphere microbiomes. </w:t>
      </w:r>
      <w:r w:rsidRPr="000144EE">
        <w:rPr>
          <w:rFonts w:ascii="Times New Roman" w:hAnsi="Times New Roman" w:cs="Times New Roman"/>
          <w:i/>
          <w:iCs/>
          <w:sz w:val="20"/>
          <w:szCs w:val="20"/>
        </w:rPr>
        <w:t>Nature Microbiology, 5</w:t>
      </w:r>
      <w:r w:rsidRPr="000144EE">
        <w:rPr>
          <w:rFonts w:ascii="Times New Roman" w:hAnsi="Times New Roman" w:cs="Times New Roman"/>
          <w:sz w:val="20"/>
          <w:szCs w:val="20"/>
        </w:rPr>
        <w:t xml:space="preserve">, 1002–1010. </w:t>
      </w:r>
      <w:hyperlink r:id="rId29" w:tgtFrame="_new" w:history="1">
        <w:r w:rsidRPr="000144EE">
          <w:rPr>
            <w:rStyle w:val="Hyperlink"/>
            <w:rFonts w:ascii="Times New Roman" w:hAnsi="Times New Roman" w:cs="Times New Roman"/>
            <w:sz w:val="20"/>
            <w:szCs w:val="20"/>
          </w:rPr>
          <w:t>https://doi.org/10.1038/s41564-020-0706-x</w:t>
        </w:r>
      </w:hyperlink>
    </w:p>
    <w:p w14:paraId="7EBB9924"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Guo, J., Li, P., Zhang, C., He, J., Hu, W. (2022). </w:t>
      </w:r>
      <w:r w:rsidRPr="000144EE">
        <w:rPr>
          <w:rFonts w:ascii="Times New Roman" w:hAnsi="Times New Roman" w:cs="Times New Roman"/>
          <w:i/>
          <w:iCs/>
          <w:sz w:val="20"/>
          <w:szCs w:val="20"/>
        </w:rPr>
        <w:t>Pseudomonas fluorescens</w:t>
      </w:r>
      <w:r w:rsidRPr="000144EE">
        <w:rPr>
          <w:rFonts w:ascii="Times New Roman" w:hAnsi="Times New Roman" w:cs="Times New Roman"/>
          <w:sz w:val="20"/>
          <w:szCs w:val="20"/>
        </w:rPr>
        <w:t xml:space="preserve"> as a biocontrol agent. </w:t>
      </w:r>
      <w:r w:rsidRPr="000144EE">
        <w:rPr>
          <w:rFonts w:ascii="Times New Roman" w:hAnsi="Times New Roman" w:cs="Times New Roman"/>
          <w:i/>
          <w:iCs/>
          <w:sz w:val="20"/>
          <w:szCs w:val="20"/>
        </w:rPr>
        <w:t>Frontiers in Plant Science, 13</w:t>
      </w:r>
      <w:r w:rsidRPr="000144EE">
        <w:rPr>
          <w:rFonts w:ascii="Times New Roman" w:hAnsi="Times New Roman" w:cs="Times New Roman"/>
          <w:sz w:val="20"/>
          <w:szCs w:val="20"/>
        </w:rPr>
        <w:t xml:space="preserve">, 829511. </w:t>
      </w:r>
      <w:hyperlink r:id="rId30" w:tgtFrame="_new" w:history="1">
        <w:r w:rsidRPr="000144EE">
          <w:rPr>
            <w:rStyle w:val="Hyperlink"/>
            <w:rFonts w:ascii="Times New Roman" w:hAnsi="Times New Roman" w:cs="Times New Roman"/>
            <w:sz w:val="20"/>
            <w:szCs w:val="20"/>
          </w:rPr>
          <w:t>https://doi.org/10.3389/fpls.2022.829511</w:t>
        </w:r>
      </w:hyperlink>
    </w:p>
    <w:p w14:paraId="7DEF0272"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Hayward, A. C. (1964). Characteristics of </w:t>
      </w:r>
      <w:r w:rsidRPr="000144EE">
        <w:rPr>
          <w:rFonts w:ascii="Times New Roman" w:hAnsi="Times New Roman" w:cs="Times New Roman"/>
          <w:i/>
          <w:iCs/>
          <w:sz w:val="20"/>
          <w:szCs w:val="20"/>
        </w:rPr>
        <w:t>Pseudomonas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Journal of Applied Bacteriology, 27</w:t>
      </w:r>
      <w:r w:rsidRPr="000144EE">
        <w:rPr>
          <w:rFonts w:ascii="Times New Roman" w:hAnsi="Times New Roman" w:cs="Times New Roman"/>
          <w:sz w:val="20"/>
          <w:szCs w:val="20"/>
        </w:rPr>
        <w:t xml:space="preserve">, 265–277. </w:t>
      </w:r>
      <w:hyperlink r:id="rId31" w:tgtFrame="_new" w:history="1">
        <w:r w:rsidRPr="000144EE">
          <w:rPr>
            <w:rStyle w:val="Hyperlink"/>
            <w:rFonts w:ascii="Times New Roman" w:hAnsi="Times New Roman" w:cs="Times New Roman"/>
            <w:sz w:val="20"/>
            <w:szCs w:val="20"/>
          </w:rPr>
          <w:t>https://doi.org/10.1111/j.1365-2672.1964.tb04912.x</w:t>
        </w:r>
      </w:hyperlink>
    </w:p>
    <w:p w14:paraId="553DBFBB" w14:textId="7777777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Hayward, A. C. (1991). Biology and epidemiology of bacterial wilt caused by </w:t>
      </w:r>
      <w:r w:rsidRPr="000144EE">
        <w:rPr>
          <w:rFonts w:ascii="Times New Roman" w:hAnsi="Times New Roman" w:cs="Times New Roman"/>
          <w:i/>
          <w:iCs/>
          <w:sz w:val="20"/>
          <w:szCs w:val="20"/>
        </w:rPr>
        <w:t>Pseudomonas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Annual Review of Phytopathology, 29</w:t>
      </w:r>
      <w:r w:rsidRPr="000144EE">
        <w:rPr>
          <w:rFonts w:ascii="Times New Roman" w:hAnsi="Times New Roman" w:cs="Times New Roman"/>
          <w:sz w:val="20"/>
          <w:szCs w:val="20"/>
        </w:rPr>
        <w:t xml:space="preserve">, 65–87. </w:t>
      </w:r>
      <w:hyperlink r:id="rId32" w:tgtFrame="_new" w:history="1">
        <w:r w:rsidRPr="000144EE">
          <w:rPr>
            <w:rStyle w:val="Hyperlink"/>
            <w:rFonts w:ascii="Times New Roman" w:hAnsi="Times New Roman" w:cs="Times New Roman"/>
            <w:sz w:val="20"/>
            <w:szCs w:val="20"/>
          </w:rPr>
          <w:t>https://doi.org/10.1146/annurev.py.29.090191.000433</w:t>
        </w:r>
      </w:hyperlink>
    </w:p>
    <w:p w14:paraId="3CF14D90"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Heikrujam</w:t>
      </w:r>
      <w:proofErr w:type="spellEnd"/>
      <w:r w:rsidRPr="000144EE">
        <w:rPr>
          <w:sz w:val="20"/>
          <w:szCs w:val="20"/>
        </w:rPr>
        <w:t xml:space="preserve">, S. C., Singh, R. I., </w:t>
      </w:r>
      <w:proofErr w:type="spellStart"/>
      <w:r w:rsidRPr="000144EE">
        <w:rPr>
          <w:sz w:val="20"/>
          <w:szCs w:val="20"/>
        </w:rPr>
        <w:t>Laiphrakpam</w:t>
      </w:r>
      <w:proofErr w:type="spellEnd"/>
      <w:r w:rsidRPr="000144EE">
        <w:rPr>
          <w:sz w:val="20"/>
          <w:szCs w:val="20"/>
        </w:rPr>
        <w:t xml:space="preserve">, P. C., &amp; Laishram, S. (2020). Isolation and characterization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from infected tomato plants of Bishnupur district of Manipur. </w:t>
      </w:r>
      <w:r w:rsidRPr="000144EE">
        <w:rPr>
          <w:rStyle w:val="Emphasis"/>
          <w:sz w:val="20"/>
          <w:szCs w:val="20"/>
        </w:rPr>
        <w:t xml:space="preserve">Pharma </w:t>
      </w:r>
      <w:proofErr w:type="spellStart"/>
      <w:r w:rsidRPr="000144EE">
        <w:rPr>
          <w:rStyle w:val="Emphasis"/>
          <w:sz w:val="20"/>
          <w:szCs w:val="20"/>
        </w:rPr>
        <w:t>Innov</w:t>
      </w:r>
      <w:proofErr w:type="spellEnd"/>
      <w:r w:rsidRPr="000144EE">
        <w:rPr>
          <w:rStyle w:val="Emphasis"/>
          <w:sz w:val="20"/>
          <w:szCs w:val="20"/>
        </w:rPr>
        <w:t xml:space="preserve"> J, 9</w:t>
      </w:r>
      <w:r w:rsidRPr="000144EE">
        <w:rPr>
          <w:sz w:val="20"/>
          <w:szCs w:val="20"/>
        </w:rPr>
        <w:t xml:space="preserve">, 4363. </w:t>
      </w:r>
      <w:hyperlink r:id="rId33" w:tgtFrame="_new" w:history="1">
        <w:r w:rsidRPr="000144EE">
          <w:rPr>
            <w:rStyle w:val="Hyperlink"/>
            <w:sz w:val="20"/>
            <w:szCs w:val="20"/>
          </w:rPr>
          <w:t>https://doi.org/10.22271/tpi.2020.v9.i2c.4363</w:t>
        </w:r>
      </w:hyperlink>
    </w:p>
    <w:p w14:paraId="103964FB"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Hider, R. C., &amp; Kong, X. (2010). Chemistry and biology of siderophores. </w:t>
      </w:r>
      <w:r w:rsidRPr="000144EE">
        <w:rPr>
          <w:rStyle w:val="Emphasis"/>
          <w:sz w:val="20"/>
          <w:szCs w:val="20"/>
        </w:rPr>
        <w:t>Natural Product Reports, 27</w:t>
      </w:r>
      <w:r w:rsidRPr="000144EE">
        <w:rPr>
          <w:sz w:val="20"/>
          <w:szCs w:val="20"/>
        </w:rPr>
        <w:t xml:space="preserve">, 637–657. </w:t>
      </w:r>
      <w:hyperlink r:id="rId34" w:tgtFrame="_new" w:history="1">
        <w:r w:rsidRPr="000144EE">
          <w:rPr>
            <w:rStyle w:val="Hyperlink"/>
            <w:sz w:val="20"/>
            <w:szCs w:val="20"/>
          </w:rPr>
          <w:t>https://doi.org/10.1039/b906679a</w:t>
        </w:r>
      </w:hyperlink>
    </w:p>
    <w:p w14:paraId="04E3B898"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Huet, G. (2014). Breeding for resistances to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w:t>
      </w:r>
      <w:r w:rsidRPr="000144EE">
        <w:rPr>
          <w:rStyle w:val="Emphasis"/>
          <w:sz w:val="20"/>
          <w:szCs w:val="20"/>
        </w:rPr>
        <w:t>Frontiers in Plant Science, 5</w:t>
      </w:r>
      <w:r w:rsidRPr="000144EE">
        <w:rPr>
          <w:sz w:val="20"/>
          <w:szCs w:val="20"/>
        </w:rPr>
        <w:t xml:space="preserve">, 715. </w:t>
      </w:r>
      <w:hyperlink r:id="rId35" w:tgtFrame="_new" w:history="1">
        <w:r w:rsidRPr="000144EE">
          <w:rPr>
            <w:rStyle w:val="Hyperlink"/>
            <w:sz w:val="20"/>
            <w:szCs w:val="20"/>
          </w:rPr>
          <w:t>https://doi.org/10.3389/fpls.2014.00715</w:t>
        </w:r>
      </w:hyperlink>
    </w:p>
    <w:p w14:paraId="2F2D56AB"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Jiang, G., Wei, Z., Xu, J., Chen, H., Zhang, Y., She, X., </w:t>
      </w:r>
      <w:r w:rsidRPr="00B568EF">
        <w:rPr>
          <w:i/>
          <w:iCs/>
          <w:sz w:val="20"/>
          <w:szCs w:val="20"/>
        </w:rPr>
        <w:t>et al.</w:t>
      </w:r>
      <w:r w:rsidRPr="000144EE">
        <w:rPr>
          <w:sz w:val="20"/>
          <w:szCs w:val="20"/>
        </w:rPr>
        <w:t xml:space="preserve"> (2021). Bacterial wilt in China: insights into ecology, epidemiology and management. </w:t>
      </w:r>
      <w:r w:rsidRPr="000144EE">
        <w:rPr>
          <w:rStyle w:val="Emphasis"/>
          <w:sz w:val="20"/>
          <w:szCs w:val="20"/>
        </w:rPr>
        <w:t>Phytopathology Research, 3</w:t>
      </w:r>
      <w:r w:rsidRPr="000144EE">
        <w:rPr>
          <w:sz w:val="20"/>
          <w:szCs w:val="20"/>
        </w:rPr>
        <w:t xml:space="preserve">, 11. </w:t>
      </w:r>
      <w:hyperlink r:id="rId36" w:tgtFrame="_new" w:history="1">
        <w:r w:rsidRPr="000144EE">
          <w:rPr>
            <w:rStyle w:val="Hyperlink"/>
            <w:sz w:val="20"/>
            <w:szCs w:val="20"/>
          </w:rPr>
          <w:t>https://doi.org/10.1186/s42483-021-00092-2</w:t>
        </w:r>
      </w:hyperlink>
    </w:p>
    <w:p w14:paraId="7962A17A"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Jousset</w:t>
      </w:r>
      <w:proofErr w:type="spellEnd"/>
      <w:r w:rsidRPr="000144EE">
        <w:rPr>
          <w:sz w:val="20"/>
          <w:szCs w:val="20"/>
        </w:rPr>
        <w:t xml:space="preserve">, A., Lara, E., Wall, L. G., &amp; Valverde, C. (2006). Secondary metabolites help biocontrol strain </w:t>
      </w:r>
      <w:r w:rsidRPr="000144EE">
        <w:rPr>
          <w:i/>
          <w:iCs/>
          <w:sz w:val="20"/>
          <w:szCs w:val="20"/>
        </w:rPr>
        <w:t>Pseudomonas fluorescens</w:t>
      </w:r>
      <w:r w:rsidRPr="000144EE">
        <w:rPr>
          <w:sz w:val="20"/>
          <w:szCs w:val="20"/>
        </w:rPr>
        <w:t xml:space="preserve"> CHA0 to escape protozoan grazing. </w:t>
      </w:r>
      <w:r w:rsidRPr="000144EE">
        <w:rPr>
          <w:rStyle w:val="Emphasis"/>
          <w:sz w:val="20"/>
          <w:szCs w:val="20"/>
        </w:rPr>
        <w:t>Applied and Environmental Microbiology, 72</w:t>
      </w:r>
      <w:r w:rsidRPr="000144EE">
        <w:rPr>
          <w:sz w:val="20"/>
          <w:szCs w:val="20"/>
        </w:rPr>
        <w:t xml:space="preserve">, 7083–7090. </w:t>
      </w:r>
      <w:hyperlink r:id="rId37" w:tgtFrame="_new" w:history="1">
        <w:r w:rsidRPr="000144EE">
          <w:rPr>
            <w:rStyle w:val="Hyperlink"/>
            <w:sz w:val="20"/>
            <w:szCs w:val="20"/>
          </w:rPr>
          <w:t>https://doi.org/10.1128/AEM.00617-06</w:t>
        </w:r>
      </w:hyperlink>
    </w:p>
    <w:p w14:paraId="57D9D0D6"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Janse, J. D. (1996). Potato brown rot in western Europe – history, present occurrence and prospects. </w:t>
      </w:r>
      <w:r w:rsidRPr="000144EE">
        <w:rPr>
          <w:rStyle w:val="Emphasis"/>
          <w:sz w:val="20"/>
          <w:szCs w:val="20"/>
        </w:rPr>
        <w:t>EPPO Bulletin, 26</w:t>
      </w:r>
      <w:r w:rsidRPr="000144EE">
        <w:rPr>
          <w:sz w:val="20"/>
          <w:szCs w:val="20"/>
        </w:rPr>
        <w:t xml:space="preserve">, 679–695. </w:t>
      </w:r>
      <w:hyperlink r:id="rId38" w:tgtFrame="_new" w:history="1">
        <w:r w:rsidRPr="000144EE">
          <w:rPr>
            <w:rStyle w:val="Hyperlink"/>
            <w:sz w:val="20"/>
            <w:szCs w:val="20"/>
          </w:rPr>
          <w:t>https://doi.org/10.1111/j.1365-2338.1996.tb00910.x</w:t>
        </w:r>
      </w:hyperlink>
    </w:p>
    <w:p w14:paraId="5A2D83F9"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Kang, Y., Liu, H., Genin, S., Schell, M. A., &amp; Denny, T. P. (2002).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requires type 4 pili to adhere to multiple surfaces and for natural transformation and virulence. </w:t>
      </w:r>
      <w:r w:rsidRPr="000144EE">
        <w:rPr>
          <w:rStyle w:val="Emphasis"/>
          <w:sz w:val="20"/>
          <w:szCs w:val="20"/>
        </w:rPr>
        <w:t>Molecular Microbiology, 46</w:t>
      </w:r>
      <w:r w:rsidRPr="000144EE">
        <w:rPr>
          <w:sz w:val="20"/>
          <w:szCs w:val="20"/>
        </w:rPr>
        <w:t xml:space="preserve">, 427–437. </w:t>
      </w:r>
      <w:hyperlink r:id="rId39" w:tgtFrame="_new" w:history="1">
        <w:r w:rsidRPr="000144EE">
          <w:rPr>
            <w:rStyle w:val="Hyperlink"/>
            <w:sz w:val="20"/>
            <w:szCs w:val="20"/>
          </w:rPr>
          <w:t>https://doi.org/10.1046/j.1365-2958.2002.03150.x</w:t>
        </w:r>
      </w:hyperlink>
    </w:p>
    <w:p w14:paraId="1F2CC652"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Kelman, A. (1956). Survival of </w:t>
      </w:r>
      <w:r w:rsidRPr="000144EE">
        <w:rPr>
          <w:i/>
          <w:iCs/>
          <w:sz w:val="20"/>
          <w:szCs w:val="20"/>
        </w:rPr>
        <w:t>Pseudomonas solanacearum</w:t>
      </w:r>
      <w:r w:rsidRPr="000144EE">
        <w:rPr>
          <w:sz w:val="20"/>
          <w:szCs w:val="20"/>
        </w:rPr>
        <w:t xml:space="preserve"> in water. </w:t>
      </w:r>
      <w:r w:rsidRPr="000144EE">
        <w:rPr>
          <w:rStyle w:val="Emphasis"/>
          <w:sz w:val="20"/>
          <w:szCs w:val="20"/>
        </w:rPr>
        <w:t>Phytopathology, 46</w:t>
      </w:r>
      <w:r w:rsidRPr="000144EE">
        <w:rPr>
          <w:sz w:val="20"/>
          <w:szCs w:val="20"/>
        </w:rPr>
        <w:t>, 17–26.</w:t>
      </w:r>
    </w:p>
    <w:p w14:paraId="13C0E99F"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Kumara, T. M. K., Raghavendra, K. J., </w:t>
      </w:r>
      <w:proofErr w:type="spellStart"/>
      <w:r w:rsidRPr="000144EE">
        <w:rPr>
          <w:sz w:val="20"/>
          <w:szCs w:val="20"/>
        </w:rPr>
        <w:t>Kandpal</w:t>
      </w:r>
      <w:proofErr w:type="spellEnd"/>
      <w:r w:rsidRPr="000144EE">
        <w:rPr>
          <w:sz w:val="20"/>
          <w:szCs w:val="20"/>
        </w:rPr>
        <w:t xml:space="preserve">, A., Prakash, P., Ravi, S. C., &amp; </w:t>
      </w:r>
      <w:proofErr w:type="spellStart"/>
      <w:r w:rsidRPr="000144EE">
        <w:rPr>
          <w:sz w:val="20"/>
          <w:szCs w:val="20"/>
        </w:rPr>
        <w:t>Yeligar</w:t>
      </w:r>
      <w:proofErr w:type="spellEnd"/>
      <w:r w:rsidRPr="000144EE">
        <w:rPr>
          <w:sz w:val="20"/>
          <w:szCs w:val="20"/>
        </w:rPr>
        <w:t xml:space="preserve">, S. (2025). Production, trade and future prospects of Indian vegetables: current scenario and way forward. In M. K. Lal, R. K. Tiwari, A. Kumar, R. Kumar, &amp; B. Singh (Eds.), </w:t>
      </w:r>
      <w:r w:rsidRPr="000144EE">
        <w:rPr>
          <w:rStyle w:val="Emphasis"/>
          <w:sz w:val="20"/>
          <w:szCs w:val="20"/>
        </w:rPr>
        <w:t>Abiotic stress in underground vegetables</w:t>
      </w:r>
      <w:r w:rsidRPr="000144EE">
        <w:rPr>
          <w:sz w:val="20"/>
          <w:szCs w:val="20"/>
        </w:rPr>
        <w:t xml:space="preserve"> (pp. 303–325). Academic Press. </w:t>
      </w:r>
      <w:hyperlink r:id="rId40" w:tgtFrame="_new" w:history="1">
        <w:r w:rsidRPr="000144EE">
          <w:rPr>
            <w:rStyle w:val="Hyperlink"/>
            <w:sz w:val="20"/>
            <w:szCs w:val="20"/>
          </w:rPr>
          <w:t>https://doi.org/10.1016/B978-0-443-23961-8.00020-6</w:t>
        </w:r>
      </w:hyperlink>
    </w:p>
    <w:p w14:paraId="6ACF2438"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Lampropoulos, P., </w:t>
      </w:r>
      <w:proofErr w:type="spellStart"/>
      <w:r w:rsidRPr="000144EE">
        <w:rPr>
          <w:sz w:val="20"/>
          <w:szCs w:val="20"/>
        </w:rPr>
        <w:t>Gkentzi</w:t>
      </w:r>
      <w:proofErr w:type="spellEnd"/>
      <w:r w:rsidRPr="000144EE">
        <w:rPr>
          <w:sz w:val="20"/>
          <w:szCs w:val="20"/>
        </w:rPr>
        <w:t xml:space="preserve">, D., </w:t>
      </w:r>
      <w:proofErr w:type="spellStart"/>
      <w:r w:rsidRPr="000144EE">
        <w:rPr>
          <w:sz w:val="20"/>
          <w:szCs w:val="20"/>
        </w:rPr>
        <w:t>Tzifas</w:t>
      </w:r>
      <w:proofErr w:type="spellEnd"/>
      <w:r w:rsidRPr="000144EE">
        <w:rPr>
          <w:sz w:val="20"/>
          <w:szCs w:val="20"/>
        </w:rPr>
        <w:t xml:space="preserve">, S., </w:t>
      </w:r>
      <w:proofErr w:type="spellStart"/>
      <w:r w:rsidRPr="000144EE">
        <w:rPr>
          <w:sz w:val="20"/>
          <w:szCs w:val="20"/>
        </w:rPr>
        <w:t>Kapnisi</w:t>
      </w:r>
      <w:proofErr w:type="spellEnd"/>
      <w:r w:rsidRPr="000144EE">
        <w:rPr>
          <w:sz w:val="20"/>
          <w:szCs w:val="20"/>
        </w:rPr>
        <w:t xml:space="preserve">, G., Karatza, A., </w:t>
      </w:r>
      <w:proofErr w:type="spellStart"/>
      <w:r w:rsidRPr="000144EE">
        <w:rPr>
          <w:sz w:val="20"/>
          <w:szCs w:val="20"/>
        </w:rPr>
        <w:t>Kolonitsiou</w:t>
      </w:r>
      <w:proofErr w:type="spellEnd"/>
      <w:r w:rsidRPr="000144EE">
        <w:rPr>
          <w:sz w:val="20"/>
          <w:szCs w:val="20"/>
        </w:rPr>
        <w:t xml:space="preserve">, F., </w:t>
      </w:r>
      <w:r w:rsidRPr="007F61CC">
        <w:rPr>
          <w:i/>
          <w:iCs/>
          <w:sz w:val="20"/>
          <w:szCs w:val="20"/>
        </w:rPr>
        <w:t>et al</w:t>
      </w:r>
      <w:r w:rsidRPr="000144EE">
        <w:rPr>
          <w:sz w:val="20"/>
          <w:szCs w:val="20"/>
        </w:rPr>
        <w:t xml:space="preserve">. (2021). </w:t>
      </w:r>
      <w:proofErr w:type="spellStart"/>
      <w:r w:rsidRPr="000144EE">
        <w:rPr>
          <w:i/>
          <w:iCs/>
          <w:sz w:val="20"/>
          <w:szCs w:val="20"/>
        </w:rPr>
        <w:t>Ralstonia</w:t>
      </w:r>
      <w:proofErr w:type="spellEnd"/>
      <w:r w:rsidRPr="000144EE">
        <w:rPr>
          <w:i/>
          <w:iCs/>
          <w:sz w:val="20"/>
          <w:szCs w:val="20"/>
        </w:rPr>
        <w:t xml:space="preserve"> </w:t>
      </w:r>
      <w:proofErr w:type="spellStart"/>
      <w:r w:rsidRPr="000144EE">
        <w:rPr>
          <w:i/>
          <w:iCs/>
          <w:sz w:val="20"/>
          <w:szCs w:val="20"/>
        </w:rPr>
        <w:t>mannitolilytica</w:t>
      </w:r>
      <w:proofErr w:type="spellEnd"/>
      <w:r w:rsidRPr="000144EE">
        <w:rPr>
          <w:sz w:val="20"/>
          <w:szCs w:val="20"/>
        </w:rPr>
        <w:t xml:space="preserve">, an unusual pathogen in the neonatal intensive care unit. </w:t>
      </w:r>
      <w:r w:rsidRPr="000144EE">
        <w:rPr>
          <w:rStyle w:val="Emphasis"/>
          <w:sz w:val="20"/>
          <w:szCs w:val="20"/>
        </w:rPr>
        <w:t>Infectious Disorders – Drug Targets, 21</w:t>
      </w:r>
      <w:r w:rsidRPr="000144EE">
        <w:rPr>
          <w:sz w:val="20"/>
          <w:szCs w:val="20"/>
        </w:rPr>
        <w:t xml:space="preserve">, 168–172. </w:t>
      </w:r>
      <w:hyperlink r:id="rId41" w:tgtFrame="_new" w:history="1">
        <w:r w:rsidRPr="000144EE">
          <w:rPr>
            <w:rStyle w:val="Hyperlink"/>
            <w:sz w:val="20"/>
            <w:szCs w:val="20"/>
          </w:rPr>
          <w:t>https://doi.org/10.2174/1871526519666210617144648</w:t>
        </w:r>
      </w:hyperlink>
    </w:p>
    <w:p w14:paraId="27AD5FAC"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Li, M., Wei, Z., Wang, J., </w:t>
      </w:r>
      <w:proofErr w:type="spellStart"/>
      <w:r w:rsidRPr="000144EE">
        <w:rPr>
          <w:sz w:val="20"/>
          <w:szCs w:val="20"/>
        </w:rPr>
        <w:t>Jousset</w:t>
      </w:r>
      <w:proofErr w:type="spellEnd"/>
      <w:r w:rsidRPr="000144EE">
        <w:rPr>
          <w:sz w:val="20"/>
          <w:szCs w:val="20"/>
        </w:rPr>
        <w:t xml:space="preserve">, A., Friman, V. P., Xu, Y., Shen, Q., &amp; Pommier, T. (2019). Facilitation promotes invasions in plant-associated microbial communities. </w:t>
      </w:r>
      <w:r w:rsidRPr="000144EE">
        <w:rPr>
          <w:rStyle w:val="Emphasis"/>
          <w:sz w:val="20"/>
          <w:szCs w:val="20"/>
        </w:rPr>
        <w:t>Ecology Letters, 22</w:t>
      </w:r>
      <w:r w:rsidRPr="000144EE">
        <w:rPr>
          <w:sz w:val="20"/>
          <w:szCs w:val="20"/>
        </w:rPr>
        <w:t xml:space="preserve">, 149–158. </w:t>
      </w:r>
      <w:hyperlink r:id="rId42" w:tgtFrame="_new" w:history="1">
        <w:r w:rsidRPr="000144EE">
          <w:rPr>
            <w:rStyle w:val="Hyperlink"/>
            <w:sz w:val="20"/>
            <w:szCs w:val="20"/>
          </w:rPr>
          <w:t>https://doi.org/10.1111/ele.13188</w:t>
        </w:r>
      </w:hyperlink>
    </w:p>
    <w:p w14:paraId="413C0F8B"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Lowe-Power, T. M., Khokhani, D., &amp; Allen, C. (2018). How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exploits and thrives in the flowing plant xylem environment. </w:t>
      </w:r>
      <w:r w:rsidRPr="000144EE">
        <w:rPr>
          <w:rStyle w:val="Emphasis"/>
          <w:sz w:val="20"/>
          <w:szCs w:val="20"/>
        </w:rPr>
        <w:t>Trends in Microbiology, 26</w:t>
      </w:r>
      <w:r w:rsidRPr="000144EE">
        <w:rPr>
          <w:sz w:val="20"/>
          <w:szCs w:val="20"/>
        </w:rPr>
        <w:t xml:space="preserve">, 929–942. </w:t>
      </w:r>
      <w:hyperlink r:id="rId43" w:tgtFrame="_new" w:history="1">
        <w:r w:rsidRPr="000144EE">
          <w:rPr>
            <w:rStyle w:val="Hyperlink"/>
            <w:sz w:val="20"/>
            <w:szCs w:val="20"/>
          </w:rPr>
          <w:t>https://doi.org/10.1016/j.tim.2018.07.002</w:t>
        </w:r>
      </w:hyperlink>
    </w:p>
    <w:p w14:paraId="382D1AF8"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Manda, R. R., Addanki, V. A., &amp; Srivastava, S. (2020). Bacterial wilt of solanaceous crops. </w:t>
      </w:r>
      <w:r w:rsidRPr="000144EE">
        <w:rPr>
          <w:rStyle w:val="Emphasis"/>
          <w:sz w:val="20"/>
          <w:szCs w:val="20"/>
        </w:rPr>
        <w:t>International Journal of Chemical Studies, 8</w:t>
      </w:r>
      <w:r w:rsidRPr="000144EE">
        <w:rPr>
          <w:sz w:val="20"/>
          <w:szCs w:val="20"/>
        </w:rPr>
        <w:t>, 1048–1057.</w:t>
      </w:r>
    </w:p>
    <w:p w14:paraId="35705CE8"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lastRenderedPageBreak/>
        <w:t xml:space="preserve">Mansfield, J., Genin, S., </w:t>
      </w:r>
      <w:proofErr w:type="spellStart"/>
      <w:r w:rsidRPr="000144EE">
        <w:rPr>
          <w:sz w:val="20"/>
          <w:szCs w:val="20"/>
        </w:rPr>
        <w:t>Magori</w:t>
      </w:r>
      <w:proofErr w:type="spellEnd"/>
      <w:r w:rsidRPr="000144EE">
        <w:rPr>
          <w:sz w:val="20"/>
          <w:szCs w:val="20"/>
        </w:rPr>
        <w:t xml:space="preserve">, S., </w:t>
      </w:r>
      <w:proofErr w:type="spellStart"/>
      <w:r w:rsidRPr="000144EE">
        <w:rPr>
          <w:sz w:val="20"/>
          <w:szCs w:val="20"/>
        </w:rPr>
        <w:t>Citovsky</w:t>
      </w:r>
      <w:proofErr w:type="spellEnd"/>
      <w:r w:rsidRPr="000144EE">
        <w:rPr>
          <w:sz w:val="20"/>
          <w:szCs w:val="20"/>
        </w:rPr>
        <w:t xml:space="preserve">, V., </w:t>
      </w:r>
      <w:proofErr w:type="spellStart"/>
      <w:r w:rsidRPr="000144EE">
        <w:rPr>
          <w:sz w:val="20"/>
          <w:szCs w:val="20"/>
        </w:rPr>
        <w:t>Sriariyanum</w:t>
      </w:r>
      <w:proofErr w:type="spellEnd"/>
      <w:r w:rsidRPr="000144EE">
        <w:rPr>
          <w:sz w:val="20"/>
          <w:szCs w:val="20"/>
        </w:rPr>
        <w:t xml:space="preserve">, M., Ronald, P., </w:t>
      </w:r>
      <w:r w:rsidRPr="007F61CC">
        <w:rPr>
          <w:i/>
          <w:iCs/>
          <w:sz w:val="20"/>
          <w:szCs w:val="20"/>
        </w:rPr>
        <w:t>et al.</w:t>
      </w:r>
      <w:r w:rsidRPr="000144EE">
        <w:rPr>
          <w:sz w:val="20"/>
          <w:szCs w:val="20"/>
        </w:rPr>
        <w:t xml:space="preserve"> (2012). Top 10 plant pathogenic bacteria in molecular plant pathology. </w:t>
      </w:r>
      <w:r w:rsidRPr="000144EE">
        <w:rPr>
          <w:rStyle w:val="Emphasis"/>
          <w:sz w:val="20"/>
          <w:szCs w:val="20"/>
        </w:rPr>
        <w:t>Molecular Plant Pathology, 13</w:t>
      </w:r>
      <w:r w:rsidRPr="000144EE">
        <w:rPr>
          <w:sz w:val="20"/>
          <w:szCs w:val="20"/>
        </w:rPr>
        <w:t xml:space="preserve">, 614–629. </w:t>
      </w:r>
      <w:hyperlink r:id="rId44" w:tgtFrame="_new" w:history="1">
        <w:r w:rsidRPr="000144EE">
          <w:rPr>
            <w:rStyle w:val="Hyperlink"/>
            <w:sz w:val="20"/>
            <w:szCs w:val="20"/>
          </w:rPr>
          <w:t>https://doi.org/10.1111/j.1364-3703.2011.00804.x</w:t>
        </w:r>
      </w:hyperlink>
    </w:p>
    <w:p w14:paraId="32A90EB1"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Messiha, N. A. S., van Bruggen, A. H. C., Franz, E., &amp; Janse, J. D., </w:t>
      </w:r>
      <w:r w:rsidRPr="007F61CC">
        <w:rPr>
          <w:i/>
          <w:iCs/>
          <w:sz w:val="20"/>
          <w:szCs w:val="20"/>
        </w:rPr>
        <w:t>et al.</w:t>
      </w:r>
      <w:r w:rsidRPr="000144EE">
        <w:rPr>
          <w:sz w:val="20"/>
          <w:szCs w:val="20"/>
        </w:rPr>
        <w:t xml:space="preserve"> (2007). Potato brown rot incidence and severity under European conditions. </w:t>
      </w:r>
      <w:r w:rsidRPr="000144EE">
        <w:rPr>
          <w:rStyle w:val="Emphasis"/>
          <w:sz w:val="20"/>
          <w:szCs w:val="20"/>
        </w:rPr>
        <w:t>European Journal of Plant Pathology, 119</w:t>
      </w:r>
      <w:r w:rsidRPr="000144EE">
        <w:rPr>
          <w:sz w:val="20"/>
          <w:szCs w:val="20"/>
        </w:rPr>
        <w:t xml:space="preserve">, 367–381. </w:t>
      </w:r>
      <w:hyperlink r:id="rId45" w:tgtFrame="_new" w:history="1">
        <w:r w:rsidRPr="000144EE">
          <w:rPr>
            <w:rStyle w:val="Hyperlink"/>
            <w:sz w:val="20"/>
            <w:szCs w:val="20"/>
          </w:rPr>
          <w:t>https://doi.org/10.1007/s10658-007-9104-9</w:t>
        </w:r>
      </w:hyperlink>
    </w:p>
    <w:p w14:paraId="1AA5710C"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Ministry of Agriculture and Farmers Welfare. (2024). </w:t>
      </w:r>
      <w:r w:rsidRPr="000144EE">
        <w:rPr>
          <w:rStyle w:val="Emphasis"/>
          <w:sz w:val="20"/>
          <w:szCs w:val="20"/>
        </w:rPr>
        <w:t>Annual Report 2024–25.</w:t>
      </w:r>
      <w:r w:rsidRPr="000144EE">
        <w:rPr>
          <w:sz w:val="20"/>
          <w:szCs w:val="20"/>
        </w:rPr>
        <w:t xml:space="preserve"> Government of India, 1–20.</w:t>
      </w:r>
    </w:p>
    <w:p w14:paraId="57EE9D8B"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Montong</w:t>
      </w:r>
      <w:proofErr w:type="spellEnd"/>
      <w:r w:rsidRPr="000144EE">
        <w:rPr>
          <w:sz w:val="20"/>
          <w:szCs w:val="20"/>
        </w:rPr>
        <w:t xml:space="preserve">, V., &amp; </w:t>
      </w:r>
      <w:proofErr w:type="spellStart"/>
      <w:r w:rsidRPr="000144EE">
        <w:rPr>
          <w:sz w:val="20"/>
          <w:szCs w:val="20"/>
        </w:rPr>
        <w:t>Salaki</w:t>
      </w:r>
      <w:proofErr w:type="spellEnd"/>
      <w:r w:rsidRPr="000144EE">
        <w:rPr>
          <w:sz w:val="20"/>
          <w:szCs w:val="20"/>
        </w:rPr>
        <w:t xml:space="preserve">, S. (2020). Insects as carriers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phylotype IV on </w:t>
      </w:r>
      <w:proofErr w:type="spellStart"/>
      <w:r w:rsidRPr="000144EE">
        <w:rPr>
          <w:sz w:val="20"/>
          <w:szCs w:val="20"/>
        </w:rPr>
        <w:t>kepOK</w:t>
      </w:r>
      <w:proofErr w:type="spellEnd"/>
      <w:r w:rsidRPr="000144EE">
        <w:rPr>
          <w:sz w:val="20"/>
          <w:szCs w:val="20"/>
        </w:rPr>
        <w:t xml:space="preserve"> banana flowers in South Minahasa and Minahasa districts. </w:t>
      </w:r>
      <w:r w:rsidRPr="000144EE">
        <w:rPr>
          <w:rStyle w:val="Emphasis"/>
          <w:sz w:val="20"/>
          <w:szCs w:val="20"/>
        </w:rPr>
        <w:t xml:space="preserve">International Journal of </w:t>
      </w:r>
      <w:proofErr w:type="spellStart"/>
      <w:r w:rsidRPr="000144EE">
        <w:rPr>
          <w:rStyle w:val="Emphasis"/>
          <w:sz w:val="20"/>
          <w:szCs w:val="20"/>
        </w:rPr>
        <w:t>ChemTech</w:t>
      </w:r>
      <w:proofErr w:type="spellEnd"/>
      <w:r w:rsidRPr="000144EE">
        <w:rPr>
          <w:rStyle w:val="Emphasis"/>
          <w:sz w:val="20"/>
          <w:szCs w:val="20"/>
        </w:rPr>
        <w:t xml:space="preserve"> Research, 13</w:t>
      </w:r>
      <w:r w:rsidRPr="000144EE">
        <w:rPr>
          <w:sz w:val="20"/>
          <w:szCs w:val="20"/>
        </w:rPr>
        <w:t>, 100.</w:t>
      </w:r>
    </w:p>
    <w:p w14:paraId="781EC292"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Muthoni, J., Shimelis, H., Melis, R., &amp; Kinyua, Z. M. (2014). Response of potato genotypes to bacterial wilt caused by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in the tropical highlands. </w:t>
      </w:r>
      <w:r w:rsidRPr="000144EE">
        <w:rPr>
          <w:rStyle w:val="Emphasis"/>
          <w:sz w:val="20"/>
          <w:szCs w:val="20"/>
        </w:rPr>
        <w:t>American Journal of Potato Research, 91</w:t>
      </w:r>
      <w:r w:rsidRPr="000144EE">
        <w:rPr>
          <w:sz w:val="20"/>
          <w:szCs w:val="20"/>
        </w:rPr>
        <w:t xml:space="preserve">, 215–232. </w:t>
      </w:r>
      <w:hyperlink r:id="rId46" w:tgtFrame="_new" w:history="1">
        <w:r w:rsidRPr="000144EE">
          <w:rPr>
            <w:rStyle w:val="Hyperlink"/>
            <w:sz w:val="20"/>
            <w:szCs w:val="20"/>
          </w:rPr>
          <w:t>https://doi.org/10.1007/s12230-014-9353-1</w:t>
        </w:r>
      </w:hyperlink>
    </w:p>
    <w:p w14:paraId="4F1B5C84"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Paret, M. L., Kubota, R., Jenkins, D. M., &amp; Alvarez, A. M. (2010). Survival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race 4 in drainage water and soil and detection with immunodiagnostic and DNA-based assays. </w:t>
      </w:r>
      <w:proofErr w:type="spellStart"/>
      <w:r w:rsidRPr="000144EE">
        <w:rPr>
          <w:rStyle w:val="Emphasis"/>
          <w:sz w:val="20"/>
          <w:szCs w:val="20"/>
        </w:rPr>
        <w:t>HortTechnology</w:t>
      </w:r>
      <w:proofErr w:type="spellEnd"/>
      <w:r w:rsidRPr="000144EE">
        <w:rPr>
          <w:rStyle w:val="Emphasis"/>
          <w:sz w:val="20"/>
          <w:szCs w:val="20"/>
        </w:rPr>
        <w:t>, 20</w:t>
      </w:r>
      <w:r w:rsidRPr="000144EE">
        <w:rPr>
          <w:sz w:val="20"/>
          <w:szCs w:val="20"/>
        </w:rPr>
        <w:t xml:space="preserve">, 539–548. </w:t>
      </w:r>
      <w:hyperlink r:id="rId47" w:tgtFrame="_new" w:history="1">
        <w:r w:rsidRPr="000144EE">
          <w:rPr>
            <w:rStyle w:val="Hyperlink"/>
            <w:sz w:val="20"/>
            <w:szCs w:val="20"/>
          </w:rPr>
          <w:t>https://doi.org/10.21273/HORTTECH.20.3.539</w:t>
        </w:r>
      </w:hyperlink>
    </w:p>
    <w:p w14:paraId="67B908FF"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Parker, M. (2021). </w:t>
      </w:r>
      <w:r w:rsidRPr="000144EE">
        <w:rPr>
          <w:rStyle w:val="Emphasis"/>
          <w:sz w:val="20"/>
          <w:szCs w:val="20"/>
        </w:rPr>
        <w:t>Bacterial wilt: What every potato farmer needs to know about this destructive disease.</w:t>
      </w:r>
      <w:r w:rsidRPr="000144EE">
        <w:rPr>
          <w:sz w:val="20"/>
          <w:szCs w:val="20"/>
        </w:rPr>
        <w:t xml:space="preserve"> International Potato </w:t>
      </w:r>
      <w:proofErr w:type="spellStart"/>
      <w:r w:rsidRPr="000144EE">
        <w:rPr>
          <w:sz w:val="20"/>
          <w:szCs w:val="20"/>
        </w:rPr>
        <w:t>Center</w:t>
      </w:r>
      <w:proofErr w:type="spellEnd"/>
      <w:r w:rsidRPr="000144EE">
        <w:rPr>
          <w:sz w:val="20"/>
          <w:szCs w:val="20"/>
        </w:rPr>
        <w:t xml:space="preserve">. </w:t>
      </w:r>
      <w:hyperlink r:id="rId48" w:tgtFrame="_new" w:history="1">
        <w:r w:rsidRPr="000144EE">
          <w:rPr>
            <w:rStyle w:val="Hyperlink"/>
            <w:sz w:val="20"/>
            <w:szCs w:val="20"/>
          </w:rPr>
          <w:t>https://cgspace.cgiar.org/items/20fc3f1e-2e1b-456f-917b-257a2c264fd2</w:t>
        </w:r>
      </w:hyperlink>
    </w:p>
    <w:p w14:paraId="409AFEB2"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Parkinson, N., Bryant, R., Bew, J., Conyers, C., Stones, R., Alcock, M., &amp; Elphinstone, J. (2013). Application of variable-number tandem-repeat typing to discriminate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strains associated with English watercourses and disease outbreaks. </w:t>
      </w:r>
      <w:r w:rsidRPr="000144EE">
        <w:rPr>
          <w:rStyle w:val="Emphasis"/>
          <w:sz w:val="20"/>
          <w:szCs w:val="20"/>
        </w:rPr>
        <w:t>Applied and Environmental Microbiology, 79</w:t>
      </w:r>
      <w:r w:rsidRPr="000144EE">
        <w:rPr>
          <w:sz w:val="20"/>
          <w:szCs w:val="20"/>
        </w:rPr>
        <w:t xml:space="preserve">, 6016–6022. </w:t>
      </w:r>
      <w:hyperlink r:id="rId49" w:tgtFrame="_new" w:history="1">
        <w:r w:rsidRPr="000144EE">
          <w:rPr>
            <w:rStyle w:val="Hyperlink"/>
            <w:sz w:val="20"/>
            <w:szCs w:val="20"/>
          </w:rPr>
          <w:t>https://doi.org/10.1128/AEM.00948-13</w:t>
        </w:r>
      </w:hyperlink>
    </w:p>
    <w:p w14:paraId="1529C743"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Peyraud, R., Cottret, L., </w:t>
      </w:r>
      <w:proofErr w:type="spellStart"/>
      <w:r w:rsidRPr="000144EE">
        <w:rPr>
          <w:sz w:val="20"/>
          <w:szCs w:val="20"/>
        </w:rPr>
        <w:t>Marmiesse</w:t>
      </w:r>
      <w:proofErr w:type="spellEnd"/>
      <w:r w:rsidRPr="000144EE">
        <w:rPr>
          <w:sz w:val="20"/>
          <w:szCs w:val="20"/>
        </w:rPr>
        <w:t xml:space="preserve">, L., Gouzy, J., &amp; Genin, S. (2016). A resource allocation trade-off between virulence and proliferation drives metabolic versatility in the plant pathogen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w:t>
      </w:r>
      <w:proofErr w:type="spellStart"/>
      <w:r w:rsidRPr="000144EE">
        <w:rPr>
          <w:rStyle w:val="Emphasis"/>
          <w:sz w:val="20"/>
          <w:szCs w:val="20"/>
        </w:rPr>
        <w:t>PLoS</w:t>
      </w:r>
      <w:proofErr w:type="spellEnd"/>
      <w:r w:rsidRPr="000144EE">
        <w:rPr>
          <w:rStyle w:val="Emphasis"/>
          <w:sz w:val="20"/>
          <w:szCs w:val="20"/>
        </w:rPr>
        <w:t xml:space="preserve"> Pathogens, 12</w:t>
      </w:r>
      <w:r w:rsidRPr="000144EE">
        <w:rPr>
          <w:sz w:val="20"/>
          <w:szCs w:val="20"/>
        </w:rPr>
        <w:t xml:space="preserve">, e1005939. </w:t>
      </w:r>
      <w:hyperlink r:id="rId50" w:tgtFrame="_new" w:history="1">
        <w:r w:rsidRPr="000144EE">
          <w:rPr>
            <w:rStyle w:val="Hyperlink"/>
            <w:sz w:val="20"/>
            <w:szCs w:val="20"/>
          </w:rPr>
          <w:t>https://doi.org/10.1371/journal.ppat.1005939</w:t>
        </w:r>
      </w:hyperlink>
    </w:p>
    <w:p w14:paraId="7ECE0B96"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Prior, P., </w:t>
      </w:r>
      <w:proofErr w:type="spellStart"/>
      <w:r w:rsidRPr="000144EE">
        <w:rPr>
          <w:sz w:val="20"/>
          <w:szCs w:val="20"/>
        </w:rPr>
        <w:t>Ailloud</w:t>
      </w:r>
      <w:proofErr w:type="spellEnd"/>
      <w:r w:rsidRPr="000144EE">
        <w:rPr>
          <w:sz w:val="20"/>
          <w:szCs w:val="20"/>
        </w:rPr>
        <w:t xml:space="preserve">, F., Dalsing, B. L., </w:t>
      </w:r>
      <w:proofErr w:type="spellStart"/>
      <w:r w:rsidRPr="000144EE">
        <w:rPr>
          <w:sz w:val="20"/>
          <w:szCs w:val="20"/>
        </w:rPr>
        <w:t>Remenant</w:t>
      </w:r>
      <w:proofErr w:type="spellEnd"/>
      <w:r w:rsidRPr="000144EE">
        <w:rPr>
          <w:sz w:val="20"/>
          <w:szCs w:val="20"/>
        </w:rPr>
        <w:t xml:space="preserve">, B., Sánchez, B., &amp; Allen, C. (2016). Genomic and proteomic evidence supporting the division of the plant pathogen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into three species. </w:t>
      </w:r>
      <w:r w:rsidRPr="000144EE">
        <w:rPr>
          <w:rStyle w:val="Emphasis"/>
          <w:sz w:val="20"/>
          <w:szCs w:val="20"/>
        </w:rPr>
        <w:t>BMC Genomics, 17</w:t>
      </w:r>
      <w:r w:rsidRPr="000144EE">
        <w:rPr>
          <w:sz w:val="20"/>
          <w:szCs w:val="20"/>
        </w:rPr>
        <w:t xml:space="preserve">, 90. </w:t>
      </w:r>
      <w:hyperlink r:id="rId51" w:tgtFrame="_new" w:history="1">
        <w:r w:rsidRPr="000144EE">
          <w:rPr>
            <w:rStyle w:val="Hyperlink"/>
            <w:sz w:val="20"/>
            <w:szCs w:val="20"/>
          </w:rPr>
          <w:t>https://doi.org/10.1186/s12864-016-2413-z</w:t>
        </w:r>
      </w:hyperlink>
    </w:p>
    <w:p w14:paraId="419F66D0"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Remenant</w:t>
      </w:r>
      <w:proofErr w:type="spellEnd"/>
      <w:r w:rsidRPr="000144EE">
        <w:rPr>
          <w:sz w:val="20"/>
          <w:szCs w:val="20"/>
        </w:rPr>
        <w:t xml:space="preserve">, B., </w:t>
      </w:r>
      <w:proofErr w:type="spellStart"/>
      <w:r w:rsidRPr="000144EE">
        <w:rPr>
          <w:sz w:val="20"/>
          <w:szCs w:val="20"/>
        </w:rPr>
        <w:t>Coupat-Goutaland</w:t>
      </w:r>
      <w:proofErr w:type="spellEnd"/>
      <w:r w:rsidRPr="000144EE">
        <w:rPr>
          <w:sz w:val="20"/>
          <w:szCs w:val="20"/>
        </w:rPr>
        <w:t xml:space="preserve">, B., </w:t>
      </w:r>
      <w:proofErr w:type="spellStart"/>
      <w:r w:rsidRPr="000144EE">
        <w:rPr>
          <w:sz w:val="20"/>
          <w:szCs w:val="20"/>
        </w:rPr>
        <w:t>Guidot</w:t>
      </w:r>
      <w:proofErr w:type="spellEnd"/>
      <w:r w:rsidRPr="000144EE">
        <w:rPr>
          <w:sz w:val="20"/>
          <w:szCs w:val="20"/>
        </w:rPr>
        <w:t xml:space="preserve">, A., </w:t>
      </w:r>
      <w:r w:rsidRPr="00594513">
        <w:rPr>
          <w:i/>
          <w:iCs/>
          <w:sz w:val="20"/>
          <w:szCs w:val="20"/>
        </w:rPr>
        <w:t>et al.</w:t>
      </w:r>
      <w:r w:rsidRPr="000144EE">
        <w:rPr>
          <w:sz w:val="20"/>
          <w:szCs w:val="20"/>
        </w:rPr>
        <w:t xml:space="preserve"> (2010). Genomes of three tomato pathogens within the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species complex. </w:t>
      </w:r>
      <w:r w:rsidRPr="000144EE">
        <w:rPr>
          <w:rStyle w:val="Emphasis"/>
          <w:sz w:val="20"/>
          <w:szCs w:val="20"/>
        </w:rPr>
        <w:t>BMC Genomics, 11</w:t>
      </w:r>
      <w:r w:rsidRPr="000144EE">
        <w:rPr>
          <w:sz w:val="20"/>
          <w:szCs w:val="20"/>
        </w:rPr>
        <w:t xml:space="preserve">, 379. </w:t>
      </w:r>
      <w:hyperlink r:id="rId52" w:tgtFrame="_new" w:history="1">
        <w:r w:rsidRPr="000144EE">
          <w:rPr>
            <w:rStyle w:val="Hyperlink"/>
            <w:sz w:val="20"/>
            <w:szCs w:val="20"/>
          </w:rPr>
          <w:t>https://doi.org/10.1186/1471-2164-11-379</w:t>
        </w:r>
      </w:hyperlink>
    </w:p>
    <w:p w14:paraId="1B381401"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Senthilraja</w:t>
      </w:r>
      <w:proofErr w:type="spellEnd"/>
      <w:r w:rsidRPr="000144EE">
        <w:rPr>
          <w:sz w:val="20"/>
          <w:szCs w:val="20"/>
        </w:rPr>
        <w:t xml:space="preserve">, N., Gangwar, R. K., &amp; Borad, C. K. (2024). Challenges and opportunities in plant disease management: a brief review. </w:t>
      </w:r>
      <w:r w:rsidRPr="000144EE">
        <w:rPr>
          <w:rStyle w:val="Emphasis"/>
          <w:sz w:val="20"/>
          <w:szCs w:val="20"/>
        </w:rPr>
        <w:t>International Journal of Phytopathology</w:t>
      </w:r>
      <w:r w:rsidRPr="000144EE">
        <w:rPr>
          <w:sz w:val="20"/>
          <w:szCs w:val="20"/>
        </w:rPr>
        <w:t xml:space="preserve"> (in press).</w:t>
      </w:r>
    </w:p>
    <w:p w14:paraId="5164270E"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Shinmura</w:t>
      </w:r>
      <w:proofErr w:type="spellEnd"/>
      <w:r w:rsidRPr="000144EE">
        <w:rPr>
          <w:sz w:val="20"/>
          <w:szCs w:val="20"/>
        </w:rPr>
        <w:t xml:space="preserve">, A., Takeuchi, T., &amp; Sato, T. (2020). Efficacy of anaerobic soil disinfestation. </w:t>
      </w:r>
      <w:r w:rsidRPr="000144EE">
        <w:rPr>
          <w:rStyle w:val="Emphasis"/>
          <w:sz w:val="20"/>
          <w:szCs w:val="20"/>
        </w:rPr>
        <w:t>Crop Protection, 137</w:t>
      </w:r>
      <w:r w:rsidRPr="000144EE">
        <w:rPr>
          <w:sz w:val="20"/>
          <w:szCs w:val="20"/>
        </w:rPr>
        <w:t xml:space="preserve">, 105303. </w:t>
      </w:r>
      <w:hyperlink r:id="rId53" w:tgtFrame="_new" w:history="1">
        <w:r w:rsidRPr="000144EE">
          <w:rPr>
            <w:rStyle w:val="Hyperlink"/>
            <w:sz w:val="20"/>
            <w:szCs w:val="20"/>
          </w:rPr>
          <w:t>https://doi.org/10.1016/j.cropro.2020.105303</w:t>
        </w:r>
      </w:hyperlink>
    </w:p>
    <w:p w14:paraId="0A3B22E0"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Singh, N. (2021).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 an emerging threat as a mysterious plant pathogen. </w:t>
      </w:r>
      <w:r w:rsidRPr="000144EE">
        <w:rPr>
          <w:rStyle w:val="Emphasis"/>
          <w:sz w:val="20"/>
          <w:szCs w:val="20"/>
        </w:rPr>
        <w:t>Current Science, 120</w:t>
      </w:r>
      <w:r w:rsidRPr="000144EE">
        <w:rPr>
          <w:sz w:val="20"/>
          <w:szCs w:val="20"/>
        </w:rPr>
        <w:t>, 20.</w:t>
      </w:r>
    </w:p>
    <w:p w14:paraId="19B5963D"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Singh, R., Sharma, S., &amp; Prasad, R. (2023). Soil pH manipulation as a sustainable strategy for managing bacterial wilt of solanaceous crops. </w:t>
      </w:r>
      <w:r w:rsidRPr="000144EE">
        <w:rPr>
          <w:rStyle w:val="Emphasis"/>
          <w:sz w:val="20"/>
          <w:szCs w:val="20"/>
        </w:rPr>
        <w:t>Journal of Plant Diseases and Protection, 130</w:t>
      </w:r>
      <w:r w:rsidRPr="000144EE">
        <w:rPr>
          <w:sz w:val="20"/>
          <w:szCs w:val="20"/>
        </w:rPr>
        <w:t>, 47–58.</w:t>
      </w:r>
    </w:p>
    <w:p w14:paraId="665151BD"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van Elsas, J. D., </w:t>
      </w:r>
      <w:r w:rsidRPr="00143CF7">
        <w:rPr>
          <w:i/>
          <w:iCs/>
          <w:sz w:val="20"/>
          <w:szCs w:val="20"/>
        </w:rPr>
        <w:t>et al.</w:t>
      </w:r>
      <w:r w:rsidRPr="000144EE">
        <w:rPr>
          <w:sz w:val="20"/>
          <w:szCs w:val="20"/>
        </w:rPr>
        <w:t xml:space="preserve"> (2001). Survival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biovar 2 in field and microcosm soils in temperate climates. </w:t>
      </w:r>
      <w:r w:rsidRPr="000144EE">
        <w:rPr>
          <w:rStyle w:val="Emphasis"/>
          <w:sz w:val="20"/>
          <w:szCs w:val="20"/>
        </w:rPr>
        <w:t>Phytopathology, 90</w:t>
      </w:r>
      <w:r w:rsidRPr="000144EE">
        <w:rPr>
          <w:sz w:val="20"/>
          <w:szCs w:val="20"/>
        </w:rPr>
        <w:t xml:space="preserve">, 1358–1366. </w:t>
      </w:r>
      <w:hyperlink r:id="rId54" w:tgtFrame="_new" w:history="1">
        <w:r w:rsidRPr="000144EE">
          <w:rPr>
            <w:rStyle w:val="Hyperlink"/>
            <w:sz w:val="20"/>
            <w:szCs w:val="20"/>
          </w:rPr>
          <w:t>https://doi.org/10.1094/PHYTO.2000.90.12.1358</w:t>
        </w:r>
      </w:hyperlink>
    </w:p>
    <w:p w14:paraId="58B9A69C"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van Elsas, J. D., </w:t>
      </w:r>
      <w:proofErr w:type="spellStart"/>
      <w:r w:rsidRPr="000144EE">
        <w:rPr>
          <w:sz w:val="20"/>
          <w:szCs w:val="20"/>
        </w:rPr>
        <w:t>Kastelein</w:t>
      </w:r>
      <w:proofErr w:type="spellEnd"/>
      <w:r w:rsidRPr="000144EE">
        <w:rPr>
          <w:sz w:val="20"/>
          <w:szCs w:val="20"/>
        </w:rPr>
        <w:t xml:space="preserve">, P., de Vries, P. M., &amp; van Overbeek, L. S. (2010). Effects of ecological factors on the survival and physiology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w:t>
      </w:r>
      <w:proofErr w:type="spellStart"/>
      <w:r w:rsidRPr="000144EE">
        <w:rPr>
          <w:sz w:val="20"/>
          <w:szCs w:val="20"/>
        </w:rPr>
        <w:t>bv</w:t>
      </w:r>
      <w:proofErr w:type="spellEnd"/>
      <w:r w:rsidRPr="000144EE">
        <w:rPr>
          <w:sz w:val="20"/>
          <w:szCs w:val="20"/>
        </w:rPr>
        <w:t xml:space="preserve">. 2 in irrigation water. </w:t>
      </w:r>
      <w:r w:rsidRPr="000144EE">
        <w:rPr>
          <w:rStyle w:val="Emphasis"/>
          <w:sz w:val="20"/>
          <w:szCs w:val="20"/>
        </w:rPr>
        <w:t>Canadian Journal of Microbiology, 47</w:t>
      </w:r>
      <w:r w:rsidRPr="000144EE">
        <w:rPr>
          <w:sz w:val="20"/>
          <w:szCs w:val="20"/>
        </w:rPr>
        <w:t xml:space="preserve">, 842–854. </w:t>
      </w:r>
      <w:hyperlink r:id="rId55" w:tgtFrame="_new" w:history="1">
        <w:r w:rsidRPr="000144EE">
          <w:rPr>
            <w:rStyle w:val="Hyperlink"/>
            <w:sz w:val="20"/>
            <w:szCs w:val="20"/>
          </w:rPr>
          <w:t>https://doi.org/10.1139/w10-052</w:t>
        </w:r>
      </w:hyperlink>
    </w:p>
    <w:p w14:paraId="65399E8A"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Wang, R., Wei, Z., Yang, T., Friman, V. P., Xu, Y., Shen, Q., &amp; </w:t>
      </w:r>
      <w:proofErr w:type="spellStart"/>
      <w:r w:rsidRPr="000144EE">
        <w:rPr>
          <w:sz w:val="20"/>
          <w:szCs w:val="20"/>
        </w:rPr>
        <w:t>Jousset</w:t>
      </w:r>
      <w:proofErr w:type="spellEnd"/>
      <w:r w:rsidRPr="000144EE">
        <w:rPr>
          <w:sz w:val="20"/>
          <w:szCs w:val="20"/>
        </w:rPr>
        <w:t xml:space="preserve">, A. (2022). Crop rotation and organic amendments enhance soil suppressiveness against bacterial wilt through microbiome restructuring. </w:t>
      </w:r>
      <w:r w:rsidRPr="000144EE">
        <w:rPr>
          <w:rStyle w:val="Emphasis"/>
          <w:sz w:val="20"/>
          <w:szCs w:val="20"/>
        </w:rPr>
        <w:t>Soil Biology and Biochemistry, 165</w:t>
      </w:r>
      <w:r w:rsidRPr="000144EE">
        <w:rPr>
          <w:sz w:val="20"/>
          <w:szCs w:val="20"/>
        </w:rPr>
        <w:t xml:space="preserve">, 108498. </w:t>
      </w:r>
      <w:hyperlink r:id="rId56" w:tgtFrame="_new" w:history="1">
        <w:r w:rsidRPr="000144EE">
          <w:rPr>
            <w:rStyle w:val="Hyperlink"/>
            <w:sz w:val="20"/>
            <w:szCs w:val="20"/>
          </w:rPr>
          <w:t>https://doi.org/10.1016/j.soilbio.2021.108498</w:t>
        </w:r>
      </w:hyperlink>
    </w:p>
    <w:p w14:paraId="6E83F53D"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Wei, Z., Yang, T., Friman, V. P., Xu, Y., Shen, Q., &amp; </w:t>
      </w:r>
      <w:proofErr w:type="spellStart"/>
      <w:r w:rsidRPr="000144EE">
        <w:rPr>
          <w:sz w:val="20"/>
          <w:szCs w:val="20"/>
        </w:rPr>
        <w:t>Jousset</w:t>
      </w:r>
      <w:proofErr w:type="spellEnd"/>
      <w:r w:rsidRPr="000144EE">
        <w:rPr>
          <w:sz w:val="20"/>
          <w:szCs w:val="20"/>
        </w:rPr>
        <w:t xml:space="preserve">, A. (2015). Trophic network architecture of root-associated bacterial communities. </w:t>
      </w:r>
      <w:r w:rsidRPr="000144EE">
        <w:rPr>
          <w:rStyle w:val="Emphasis"/>
          <w:sz w:val="20"/>
          <w:szCs w:val="20"/>
        </w:rPr>
        <w:t>Nature Communications, 6</w:t>
      </w:r>
      <w:r w:rsidRPr="000144EE">
        <w:rPr>
          <w:sz w:val="20"/>
          <w:szCs w:val="20"/>
        </w:rPr>
        <w:t xml:space="preserve">, 8413. </w:t>
      </w:r>
      <w:hyperlink r:id="rId57" w:tgtFrame="_new" w:history="1">
        <w:r w:rsidRPr="000144EE">
          <w:rPr>
            <w:rStyle w:val="Hyperlink"/>
            <w:sz w:val="20"/>
            <w:szCs w:val="20"/>
          </w:rPr>
          <w:t>https://doi.org/10.1038/ncomms9413</w:t>
        </w:r>
      </w:hyperlink>
    </w:p>
    <w:p w14:paraId="57640E95"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Wei, Z., Gu, Y., Friman, V. P., Kowalchuk, G. A., Xu, Y., Shen, Q., &amp; </w:t>
      </w:r>
      <w:proofErr w:type="spellStart"/>
      <w:r w:rsidRPr="000144EE">
        <w:rPr>
          <w:sz w:val="20"/>
          <w:szCs w:val="20"/>
        </w:rPr>
        <w:t>Jousset</w:t>
      </w:r>
      <w:proofErr w:type="spellEnd"/>
      <w:r w:rsidRPr="000144EE">
        <w:rPr>
          <w:sz w:val="20"/>
          <w:szCs w:val="20"/>
        </w:rPr>
        <w:t xml:space="preserve">, A. (2018). Initial soil microbiome composition and functioning predetermine future plant health. </w:t>
      </w:r>
      <w:r w:rsidRPr="000144EE">
        <w:rPr>
          <w:rStyle w:val="Emphasis"/>
          <w:sz w:val="20"/>
          <w:szCs w:val="20"/>
        </w:rPr>
        <w:t>Science Advances, 4</w:t>
      </w:r>
      <w:r w:rsidRPr="000144EE">
        <w:rPr>
          <w:sz w:val="20"/>
          <w:szCs w:val="20"/>
        </w:rPr>
        <w:t xml:space="preserve">(4), eaap7959. </w:t>
      </w:r>
      <w:hyperlink r:id="rId58" w:tgtFrame="_new" w:history="1">
        <w:r w:rsidRPr="000144EE">
          <w:rPr>
            <w:rStyle w:val="Hyperlink"/>
            <w:sz w:val="20"/>
            <w:szCs w:val="20"/>
          </w:rPr>
          <w:t>https://doi.org/10.1126/sciadv.aap7959</w:t>
        </w:r>
      </w:hyperlink>
    </w:p>
    <w:p w14:paraId="349059D9"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Wu, S., Sun, J., Liu, X., Sun, W., &amp; Yang, L. (2021). Biochar amendment reduces bacterial wilt by modifying soil properties and microbial communities. </w:t>
      </w:r>
      <w:r w:rsidRPr="000144EE">
        <w:rPr>
          <w:rStyle w:val="Emphasis"/>
          <w:sz w:val="20"/>
          <w:szCs w:val="20"/>
        </w:rPr>
        <w:t>Applied Soil Ecology, 167</w:t>
      </w:r>
      <w:r w:rsidRPr="000144EE">
        <w:rPr>
          <w:sz w:val="20"/>
          <w:szCs w:val="20"/>
        </w:rPr>
        <w:t xml:space="preserve">, 104026. </w:t>
      </w:r>
      <w:hyperlink r:id="rId59" w:tgtFrame="_new" w:history="1">
        <w:r w:rsidRPr="000144EE">
          <w:rPr>
            <w:rStyle w:val="Hyperlink"/>
            <w:sz w:val="20"/>
            <w:szCs w:val="20"/>
          </w:rPr>
          <w:t>https://doi.org/10.1016/j.apsoil.2021.104026</w:t>
        </w:r>
      </w:hyperlink>
    </w:p>
    <w:p w14:paraId="20D3AD01"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lastRenderedPageBreak/>
        <w:t xml:space="preserve">Xian, L., Yu, G., Wei, Y., Li, Y., Xue, H., Morcillo, R., </w:t>
      </w:r>
      <w:proofErr w:type="spellStart"/>
      <w:r w:rsidRPr="000144EE">
        <w:rPr>
          <w:sz w:val="20"/>
          <w:szCs w:val="20"/>
        </w:rPr>
        <w:t>Rufian</w:t>
      </w:r>
      <w:proofErr w:type="spellEnd"/>
      <w:r w:rsidRPr="000144EE">
        <w:rPr>
          <w:sz w:val="20"/>
          <w:szCs w:val="20"/>
        </w:rPr>
        <w:t xml:space="preserve">, J., &amp; Macho, A. (2019). A bacterial effector protein hijacks plant metabolism to support bacterial nutrition. </w:t>
      </w:r>
      <w:r w:rsidRPr="000144EE">
        <w:rPr>
          <w:rStyle w:val="Emphasis"/>
          <w:sz w:val="20"/>
          <w:szCs w:val="20"/>
        </w:rPr>
        <w:t>SSRN</w:t>
      </w:r>
      <w:r w:rsidRPr="000144EE">
        <w:rPr>
          <w:sz w:val="20"/>
          <w:szCs w:val="20"/>
        </w:rPr>
        <w:t xml:space="preserve">. </w:t>
      </w:r>
      <w:hyperlink r:id="rId60" w:tgtFrame="_new" w:history="1">
        <w:r w:rsidRPr="000144EE">
          <w:rPr>
            <w:rStyle w:val="Hyperlink"/>
            <w:sz w:val="20"/>
            <w:szCs w:val="20"/>
          </w:rPr>
          <w:t>https://ssrn.com/abstract=3479448</w:t>
        </w:r>
      </w:hyperlink>
    </w:p>
    <w:p w14:paraId="73A0CAAA"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Xiong, W., Li, R., Guo, S., Karlsson, I., Jiao, Z., Xun, W., Kowalchuk, G. A., Shen, Q., &amp; Geisen, S. (2019). Microbial amendments alter protist communities within the soil microbiome. </w:t>
      </w:r>
      <w:r w:rsidRPr="000144EE">
        <w:rPr>
          <w:rStyle w:val="Emphasis"/>
          <w:sz w:val="20"/>
          <w:szCs w:val="20"/>
        </w:rPr>
        <w:t>Soil Biology and Biochemistry, 135</w:t>
      </w:r>
      <w:r w:rsidRPr="000144EE">
        <w:rPr>
          <w:sz w:val="20"/>
          <w:szCs w:val="20"/>
        </w:rPr>
        <w:t xml:space="preserve">, 379–382. </w:t>
      </w:r>
      <w:hyperlink r:id="rId61" w:tgtFrame="_new" w:history="1">
        <w:r w:rsidRPr="000144EE">
          <w:rPr>
            <w:rStyle w:val="Hyperlink"/>
            <w:sz w:val="20"/>
            <w:szCs w:val="20"/>
          </w:rPr>
          <w:t>https://doi.org/10.1016/j.soilbio.2019.05.012</w:t>
        </w:r>
      </w:hyperlink>
    </w:p>
    <w:p w14:paraId="7A8BCAA6"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Yao, J., &amp; Allen, C. (2007). The plant pathogen </w:t>
      </w:r>
      <w:proofErr w:type="spellStart"/>
      <w:r w:rsidRPr="000144EE">
        <w:rPr>
          <w:sz w:val="20"/>
          <w:szCs w:val="20"/>
        </w:rPr>
        <w:t>Ralstonia</w:t>
      </w:r>
      <w:proofErr w:type="spellEnd"/>
      <w:r w:rsidRPr="000144EE">
        <w:rPr>
          <w:sz w:val="20"/>
          <w:szCs w:val="20"/>
        </w:rPr>
        <w:t xml:space="preserve"> solanacearum needs </w:t>
      </w:r>
      <w:proofErr w:type="spellStart"/>
      <w:r w:rsidRPr="000144EE">
        <w:rPr>
          <w:sz w:val="20"/>
          <w:szCs w:val="20"/>
        </w:rPr>
        <w:t>aerotaxis</w:t>
      </w:r>
      <w:proofErr w:type="spellEnd"/>
      <w:r w:rsidRPr="000144EE">
        <w:rPr>
          <w:sz w:val="20"/>
          <w:szCs w:val="20"/>
        </w:rPr>
        <w:t xml:space="preserve"> for normal biofilm formation and interactions with its tomato host. </w:t>
      </w:r>
      <w:r w:rsidRPr="000144EE">
        <w:rPr>
          <w:rStyle w:val="Emphasis"/>
          <w:sz w:val="20"/>
          <w:szCs w:val="20"/>
        </w:rPr>
        <w:t>Journal of Bacteriology, 189</w:t>
      </w:r>
      <w:r w:rsidRPr="000144EE">
        <w:rPr>
          <w:sz w:val="20"/>
          <w:szCs w:val="20"/>
        </w:rPr>
        <w:t xml:space="preserve">, 6415–6424. </w:t>
      </w:r>
      <w:hyperlink r:id="rId62" w:tgtFrame="_new" w:history="1">
        <w:r w:rsidRPr="000144EE">
          <w:rPr>
            <w:rStyle w:val="Hyperlink"/>
            <w:sz w:val="20"/>
            <w:szCs w:val="20"/>
          </w:rPr>
          <w:t>https://doi.org/10.1128/JB.00130-07</w:t>
        </w:r>
      </w:hyperlink>
    </w:p>
    <w:p w14:paraId="5FEA3BE9"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Yamada, T., Kawasaki, T., Nagata, S., Fujiwara, A., Usami, S., &amp; Fujie, M. (2007). New bacteriophages that infect the phytopathogen </w:t>
      </w:r>
      <w:proofErr w:type="spellStart"/>
      <w:r w:rsidRPr="000144EE">
        <w:rPr>
          <w:sz w:val="20"/>
          <w:szCs w:val="20"/>
        </w:rPr>
        <w:t>Ralstonia</w:t>
      </w:r>
      <w:proofErr w:type="spellEnd"/>
      <w:r w:rsidRPr="000144EE">
        <w:rPr>
          <w:sz w:val="20"/>
          <w:szCs w:val="20"/>
        </w:rPr>
        <w:t xml:space="preserve"> solanacearum. </w:t>
      </w:r>
      <w:r w:rsidRPr="000144EE">
        <w:rPr>
          <w:rStyle w:val="Emphasis"/>
          <w:sz w:val="20"/>
          <w:szCs w:val="20"/>
        </w:rPr>
        <w:t>Microbiology, 153</w:t>
      </w:r>
      <w:r w:rsidRPr="000144EE">
        <w:rPr>
          <w:sz w:val="20"/>
          <w:szCs w:val="20"/>
        </w:rPr>
        <w:t>, 2630–2639.</w:t>
      </w:r>
    </w:p>
    <w:p w14:paraId="3809525B"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Yuliar, N., Nion, Y. A., &amp; Toyota, K. (2015). Recent trends in control methods for bacterial wilt diseases caused by </w:t>
      </w:r>
      <w:proofErr w:type="spellStart"/>
      <w:r w:rsidRPr="000144EE">
        <w:rPr>
          <w:sz w:val="20"/>
          <w:szCs w:val="20"/>
        </w:rPr>
        <w:t>Ralstonia</w:t>
      </w:r>
      <w:proofErr w:type="spellEnd"/>
      <w:r w:rsidRPr="000144EE">
        <w:rPr>
          <w:sz w:val="20"/>
          <w:szCs w:val="20"/>
        </w:rPr>
        <w:t xml:space="preserve"> solanacearum. </w:t>
      </w:r>
      <w:r w:rsidRPr="000144EE">
        <w:rPr>
          <w:rStyle w:val="Emphasis"/>
          <w:sz w:val="20"/>
          <w:szCs w:val="20"/>
        </w:rPr>
        <w:t>Microbes and Environment, 30</w:t>
      </w:r>
      <w:r w:rsidRPr="000144EE">
        <w:rPr>
          <w:sz w:val="20"/>
          <w:szCs w:val="20"/>
        </w:rPr>
        <w:t xml:space="preserve">, 1–11. </w:t>
      </w:r>
      <w:hyperlink r:id="rId63" w:tgtFrame="_new" w:history="1">
        <w:r w:rsidRPr="000144EE">
          <w:rPr>
            <w:rStyle w:val="Hyperlink"/>
            <w:sz w:val="20"/>
            <w:szCs w:val="20"/>
          </w:rPr>
          <w:t>https://doi.org/10.1264/jsme2.ME14153</w:t>
        </w:r>
      </w:hyperlink>
    </w:p>
    <w:p w14:paraId="58A9386F"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Zarattini, M., Farjad, M., Launay, A., Cannella, D., </w:t>
      </w:r>
      <w:proofErr w:type="spellStart"/>
      <w:r w:rsidRPr="000144EE">
        <w:rPr>
          <w:sz w:val="20"/>
          <w:szCs w:val="20"/>
        </w:rPr>
        <w:t>Soulié</w:t>
      </w:r>
      <w:proofErr w:type="spellEnd"/>
      <w:r w:rsidRPr="000144EE">
        <w:rPr>
          <w:sz w:val="20"/>
          <w:szCs w:val="20"/>
        </w:rPr>
        <w:t xml:space="preserve">, M. C., </w:t>
      </w:r>
      <w:proofErr w:type="spellStart"/>
      <w:r w:rsidRPr="000144EE">
        <w:rPr>
          <w:sz w:val="20"/>
          <w:szCs w:val="20"/>
        </w:rPr>
        <w:t>Bernacchia</w:t>
      </w:r>
      <w:proofErr w:type="spellEnd"/>
      <w:r w:rsidRPr="000144EE">
        <w:rPr>
          <w:sz w:val="20"/>
          <w:szCs w:val="20"/>
        </w:rPr>
        <w:t xml:space="preserve">, G., &amp; </w:t>
      </w:r>
      <w:proofErr w:type="spellStart"/>
      <w:r w:rsidRPr="000144EE">
        <w:rPr>
          <w:sz w:val="20"/>
          <w:szCs w:val="20"/>
        </w:rPr>
        <w:t>Fagard</w:t>
      </w:r>
      <w:proofErr w:type="spellEnd"/>
      <w:r w:rsidRPr="000144EE">
        <w:rPr>
          <w:sz w:val="20"/>
          <w:szCs w:val="20"/>
        </w:rPr>
        <w:t xml:space="preserve">, M. (2021). Every cloud has a silver lining: how abiotic stresses affect gene expression in plant–pathogen interactions. </w:t>
      </w:r>
      <w:r w:rsidRPr="000144EE">
        <w:rPr>
          <w:rStyle w:val="Emphasis"/>
          <w:sz w:val="20"/>
          <w:szCs w:val="20"/>
        </w:rPr>
        <w:t>Journal of Experimental Botany, 72</w:t>
      </w:r>
      <w:r w:rsidRPr="000144EE">
        <w:rPr>
          <w:sz w:val="20"/>
          <w:szCs w:val="20"/>
        </w:rPr>
        <w:t>, 1020–1033.</w:t>
      </w:r>
    </w:p>
    <w:p w14:paraId="6EE6F02F"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Zhao, C., Liu, L., Wang, C., Chen, H., &amp; Xu, X. (2022). Bio-organic fertilizer application suppresses bacterial wilt and reshapes rhizosphere microbiota in tomato. </w:t>
      </w:r>
      <w:r w:rsidRPr="000144EE">
        <w:rPr>
          <w:rStyle w:val="Emphasis"/>
          <w:sz w:val="20"/>
          <w:szCs w:val="20"/>
        </w:rPr>
        <w:t>Applied Microbiology and Biotechnology, 106</w:t>
      </w:r>
      <w:r w:rsidRPr="000144EE">
        <w:rPr>
          <w:sz w:val="20"/>
          <w:szCs w:val="20"/>
        </w:rPr>
        <w:t>, 3017–3030.</w:t>
      </w:r>
    </w:p>
    <w:p w14:paraId="2C993090" w14:textId="7777777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Zuluaga, A. P., Puigvert, M., &amp; Valls, M. (2013). Novel plant inputs influencing </w:t>
      </w:r>
      <w:proofErr w:type="spellStart"/>
      <w:r w:rsidRPr="000144EE">
        <w:rPr>
          <w:sz w:val="20"/>
          <w:szCs w:val="20"/>
        </w:rPr>
        <w:t>Ralstonia</w:t>
      </w:r>
      <w:proofErr w:type="spellEnd"/>
      <w:r w:rsidRPr="000144EE">
        <w:rPr>
          <w:sz w:val="20"/>
          <w:szCs w:val="20"/>
        </w:rPr>
        <w:t xml:space="preserve"> solanacearum during infection. </w:t>
      </w:r>
      <w:r w:rsidRPr="000144EE">
        <w:rPr>
          <w:rStyle w:val="Emphasis"/>
          <w:sz w:val="20"/>
          <w:szCs w:val="20"/>
        </w:rPr>
        <w:t>Frontiers in Microbiology, 4</w:t>
      </w:r>
      <w:r w:rsidRPr="000144EE">
        <w:rPr>
          <w:sz w:val="20"/>
          <w:szCs w:val="20"/>
        </w:rPr>
        <w:t xml:space="preserve">, 349. </w:t>
      </w:r>
      <w:hyperlink r:id="rId64" w:tgtFrame="_new" w:history="1">
        <w:r w:rsidRPr="000144EE">
          <w:rPr>
            <w:rStyle w:val="Hyperlink"/>
            <w:sz w:val="20"/>
            <w:szCs w:val="20"/>
          </w:rPr>
          <w:t>https://doi.org/10.3389/fmicb.2013.00349</w:t>
        </w:r>
      </w:hyperlink>
    </w:p>
    <w:p w14:paraId="79AFD764" w14:textId="638BA87D" w:rsidR="007F5984" w:rsidRPr="00401CAC" w:rsidRDefault="007F5984" w:rsidP="00A80CFC">
      <w:pPr>
        <w:jc w:val="both"/>
        <w:rPr>
          <w:rFonts w:ascii="Times New Roman" w:hAnsi="Times New Roman" w:cs="Times New Roman"/>
          <w:color w:val="000000" w:themeColor="text1"/>
          <w:sz w:val="20"/>
          <w:szCs w:val="20"/>
        </w:rPr>
      </w:pPr>
    </w:p>
    <w:p w14:paraId="6399797D" w14:textId="4DBFCD86" w:rsidR="00B23386" w:rsidRPr="00401CAC" w:rsidRDefault="00B23386" w:rsidP="00B23386">
      <w:pPr>
        <w:jc w:val="both"/>
        <w:rPr>
          <w:rFonts w:ascii="Times New Roman" w:hAnsi="Times New Roman" w:cs="Times New Roman"/>
          <w:color w:val="000000" w:themeColor="text1"/>
          <w:sz w:val="20"/>
          <w:szCs w:val="20"/>
        </w:rPr>
      </w:pPr>
    </w:p>
    <w:p w14:paraId="5544AD90" w14:textId="77777777" w:rsidR="00B23386" w:rsidRPr="00401CAC" w:rsidRDefault="00B23386" w:rsidP="00A2440C">
      <w:pPr>
        <w:jc w:val="both"/>
        <w:rPr>
          <w:rFonts w:ascii="Times New Roman" w:hAnsi="Times New Roman" w:cs="Times New Roman"/>
          <w:color w:val="000000" w:themeColor="text1"/>
          <w:sz w:val="20"/>
          <w:szCs w:val="20"/>
        </w:rPr>
      </w:pPr>
    </w:p>
    <w:p w14:paraId="5255403D" w14:textId="773773FB" w:rsidR="00DE1AF5" w:rsidRPr="00401CAC" w:rsidRDefault="00DE1AF5" w:rsidP="00987902">
      <w:pPr>
        <w:jc w:val="both"/>
        <w:rPr>
          <w:rFonts w:ascii="Times New Roman" w:hAnsi="Times New Roman" w:cs="Times New Roman"/>
          <w:color w:val="000000" w:themeColor="text1"/>
          <w:sz w:val="20"/>
          <w:szCs w:val="20"/>
        </w:rPr>
      </w:pPr>
    </w:p>
    <w:p w14:paraId="71A911B0" w14:textId="77777777" w:rsidR="00CB672A" w:rsidRPr="00401CAC" w:rsidRDefault="00CB672A" w:rsidP="00987902">
      <w:pPr>
        <w:jc w:val="both"/>
        <w:rPr>
          <w:rFonts w:ascii="Times New Roman" w:hAnsi="Times New Roman" w:cs="Times New Roman"/>
          <w:color w:val="000000" w:themeColor="text1"/>
          <w:sz w:val="20"/>
          <w:szCs w:val="20"/>
        </w:rPr>
      </w:pPr>
    </w:p>
    <w:sectPr w:rsidR="00CB672A" w:rsidRPr="00401CAC">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14925" w14:textId="77777777" w:rsidR="00C276D0" w:rsidRDefault="00C276D0" w:rsidP="00167333">
      <w:pPr>
        <w:spacing w:after="0" w:line="240" w:lineRule="auto"/>
      </w:pPr>
      <w:r>
        <w:separator/>
      </w:r>
    </w:p>
  </w:endnote>
  <w:endnote w:type="continuationSeparator" w:id="0">
    <w:p w14:paraId="6B8C8608" w14:textId="77777777" w:rsidR="00C276D0" w:rsidRDefault="00C276D0" w:rsidP="00167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050E5" w14:textId="77777777" w:rsidR="003A10CB" w:rsidRDefault="003A1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702836"/>
      <w:docPartObj>
        <w:docPartGallery w:val="Page Numbers (Bottom of Page)"/>
        <w:docPartUnique/>
      </w:docPartObj>
    </w:sdtPr>
    <w:sdtEndPr>
      <w:rPr>
        <w:noProof/>
      </w:rPr>
    </w:sdtEndPr>
    <w:sdtContent>
      <w:p w14:paraId="6F88523D" w14:textId="0EE2C4B9" w:rsidR="00167333" w:rsidRDefault="001673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AF4009" w14:textId="77777777" w:rsidR="00167333" w:rsidRDefault="00167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D9E8" w14:textId="77777777" w:rsidR="003A10CB" w:rsidRDefault="003A1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AE5D5" w14:textId="77777777" w:rsidR="00C276D0" w:rsidRDefault="00C276D0" w:rsidP="00167333">
      <w:pPr>
        <w:spacing w:after="0" w:line="240" w:lineRule="auto"/>
      </w:pPr>
      <w:r>
        <w:separator/>
      </w:r>
    </w:p>
  </w:footnote>
  <w:footnote w:type="continuationSeparator" w:id="0">
    <w:p w14:paraId="645AEC2E" w14:textId="77777777" w:rsidR="00C276D0" w:rsidRDefault="00C276D0" w:rsidP="00167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40F2" w14:textId="611990C8" w:rsidR="003A10CB" w:rsidRDefault="003A10CB">
    <w:pPr>
      <w:pStyle w:val="Header"/>
    </w:pPr>
    <w:r>
      <w:rPr>
        <w:noProof/>
      </w:rPr>
      <w:pict w14:anchorId="69AE5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1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FA91E" w14:textId="4519D34A" w:rsidR="003A10CB" w:rsidRDefault="003A10CB">
    <w:pPr>
      <w:pStyle w:val="Header"/>
    </w:pPr>
    <w:r>
      <w:rPr>
        <w:noProof/>
      </w:rPr>
      <w:pict w14:anchorId="48ECF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1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068" w14:textId="791279D3" w:rsidR="003A10CB" w:rsidRDefault="003A10CB">
    <w:pPr>
      <w:pStyle w:val="Header"/>
    </w:pPr>
    <w:r>
      <w:rPr>
        <w:noProof/>
      </w:rPr>
      <w:pict w14:anchorId="35B4E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1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1EA1"/>
    <w:multiLevelType w:val="hybridMultilevel"/>
    <w:tmpl w:val="812C04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724F1A"/>
    <w:multiLevelType w:val="hybridMultilevel"/>
    <w:tmpl w:val="B4C0CD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DF7AE0"/>
    <w:multiLevelType w:val="multilevel"/>
    <w:tmpl w:val="A6FC9838"/>
    <w:lvl w:ilvl="0">
      <w:start w:val="5"/>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CC83A89"/>
    <w:multiLevelType w:val="hybridMultilevel"/>
    <w:tmpl w:val="208ACB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483A2E"/>
    <w:multiLevelType w:val="hybridMultilevel"/>
    <w:tmpl w:val="9334C7A4"/>
    <w:lvl w:ilvl="0" w:tplc="DE14627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1846233"/>
    <w:multiLevelType w:val="hybridMultilevel"/>
    <w:tmpl w:val="B5F869AE"/>
    <w:lvl w:ilvl="0" w:tplc="4009000F">
      <w:start w:val="1"/>
      <w:numFmt w:val="decimal"/>
      <w:lvlText w:val="%1."/>
      <w:lvlJc w:val="left"/>
      <w:pPr>
        <w:ind w:left="720" w:hanging="360"/>
      </w:pPr>
    </w:lvl>
    <w:lvl w:ilvl="1" w:tplc="6242DCAE">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D173C94"/>
    <w:multiLevelType w:val="hybridMultilevel"/>
    <w:tmpl w:val="3D787A6C"/>
    <w:lvl w:ilvl="0" w:tplc="FFFFFFFF">
      <w:start w:val="1"/>
      <w:numFmt w:val="decimal"/>
      <w:lvlText w:val="%1."/>
      <w:lvlJc w:val="left"/>
      <w:pPr>
        <w:ind w:left="1434" w:hanging="360"/>
      </w:pPr>
    </w:lvl>
    <w:lvl w:ilvl="1" w:tplc="4009000F">
      <w:start w:val="1"/>
      <w:numFmt w:val="decimal"/>
      <w:lvlText w:val="%2."/>
      <w:lvlJc w:val="left"/>
      <w:pPr>
        <w:ind w:left="9433"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abstractNumId w:val="1"/>
  </w:num>
  <w:num w:numId="2">
    <w:abstractNumId w:val="0"/>
  </w:num>
  <w:num w:numId="3">
    <w:abstractNumId w:val="6"/>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CD2"/>
    <w:rsid w:val="00000CD2"/>
    <w:rsid w:val="00010B68"/>
    <w:rsid w:val="000144EE"/>
    <w:rsid w:val="00016E76"/>
    <w:rsid w:val="00020563"/>
    <w:rsid w:val="00023EC9"/>
    <w:rsid w:val="0003472B"/>
    <w:rsid w:val="0004004B"/>
    <w:rsid w:val="000545F7"/>
    <w:rsid w:val="000576DC"/>
    <w:rsid w:val="000623DB"/>
    <w:rsid w:val="000624AC"/>
    <w:rsid w:val="000662D6"/>
    <w:rsid w:val="00070672"/>
    <w:rsid w:val="00073749"/>
    <w:rsid w:val="000829A8"/>
    <w:rsid w:val="00095DC5"/>
    <w:rsid w:val="000A3615"/>
    <w:rsid w:val="000A4F62"/>
    <w:rsid w:val="000B0041"/>
    <w:rsid w:val="000B2BA2"/>
    <w:rsid w:val="000B45E9"/>
    <w:rsid w:val="000B7995"/>
    <w:rsid w:val="000C0CB3"/>
    <w:rsid w:val="000C0F3D"/>
    <w:rsid w:val="000C1E5C"/>
    <w:rsid w:val="000C5582"/>
    <w:rsid w:val="000C5E45"/>
    <w:rsid w:val="000C67C4"/>
    <w:rsid w:val="000C69C6"/>
    <w:rsid w:val="000D181F"/>
    <w:rsid w:val="000D4C01"/>
    <w:rsid w:val="000D7422"/>
    <w:rsid w:val="000E1202"/>
    <w:rsid w:val="000E553B"/>
    <w:rsid w:val="000F2150"/>
    <w:rsid w:val="000F2B6B"/>
    <w:rsid w:val="000F44C2"/>
    <w:rsid w:val="000F59F3"/>
    <w:rsid w:val="000F7F73"/>
    <w:rsid w:val="001025F6"/>
    <w:rsid w:val="00106E13"/>
    <w:rsid w:val="001073E5"/>
    <w:rsid w:val="0011495F"/>
    <w:rsid w:val="00127C72"/>
    <w:rsid w:val="00127F96"/>
    <w:rsid w:val="001300CD"/>
    <w:rsid w:val="00135439"/>
    <w:rsid w:val="00135602"/>
    <w:rsid w:val="00143CF7"/>
    <w:rsid w:val="00150E81"/>
    <w:rsid w:val="0015114E"/>
    <w:rsid w:val="00151482"/>
    <w:rsid w:val="00152DA5"/>
    <w:rsid w:val="001574D0"/>
    <w:rsid w:val="00163C51"/>
    <w:rsid w:val="00165B75"/>
    <w:rsid w:val="00167333"/>
    <w:rsid w:val="00171116"/>
    <w:rsid w:val="00185CB5"/>
    <w:rsid w:val="001910FA"/>
    <w:rsid w:val="001A3F06"/>
    <w:rsid w:val="001B0AC1"/>
    <w:rsid w:val="001B4BC4"/>
    <w:rsid w:val="001C1F3B"/>
    <w:rsid w:val="001C33C8"/>
    <w:rsid w:val="001D19C5"/>
    <w:rsid w:val="001D35A5"/>
    <w:rsid w:val="001D6A13"/>
    <w:rsid w:val="001E5F70"/>
    <w:rsid w:val="0021025F"/>
    <w:rsid w:val="00213677"/>
    <w:rsid w:val="00217075"/>
    <w:rsid w:val="002178E3"/>
    <w:rsid w:val="00217921"/>
    <w:rsid w:val="002377EC"/>
    <w:rsid w:val="00244F89"/>
    <w:rsid w:val="00245093"/>
    <w:rsid w:val="00252EBE"/>
    <w:rsid w:val="00262E94"/>
    <w:rsid w:val="00275FD8"/>
    <w:rsid w:val="00277606"/>
    <w:rsid w:val="00280CB0"/>
    <w:rsid w:val="00281B92"/>
    <w:rsid w:val="00282308"/>
    <w:rsid w:val="00285C7E"/>
    <w:rsid w:val="00291E3E"/>
    <w:rsid w:val="002953CA"/>
    <w:rsid w:val="00296459"/>
    <w:rsid w:val="002B5999"/>
    <w:rsid w:val="002C6C30"/>
    <w:rsid w:val="002D0E75"/>
    <w:rsid w:val="002D273E"/>
    <w:rsid w:val="002E6456"/>
    <w:rsid w:val="002E6EE4"/>
    <w:rsid w:val="002F30DC"/>
    <w:rsid w:val="002F5FCB"/>
    <w:rsid w:val="00302093"/>
    <w:rsid w:val="003020BB"/>
    <w:rsid w:val="003057E5"/>
    <w:rsid w:val="003224E8"/>
    <w:rsid w:val="00332772"/>
    <w:rsid w:val="00332B96"/>
    <w:rsid w:val="003341C1"/>
    <w:rsid w:val="003443CD"/>
    <w:rsid w:val="00351CC2"/>
    <w:rsid w:val="00353AB5"/>
    <w:rsid w:val="00356373"/>
    <w:rsid w:val="00363A37"/>
    <w:rsid w:val="0036573B"/>
    <w:rsid w:val="00366790"/>
    <w:rsid w:val="00366A2F"/>
    <w:rsid w:val="00367108"/>
    <w:rsid w:val="00367ED0"/>
    <w:rsid w:val="00370D4A"/>
    <w:rsid w:val="00381EF9"/>
    <w:rsid w:val="003836C0"/>
    <w:rsid w:val="00386C24"/>
    <w:rsid w:val="003A10CB"/>
    <w:rsid w:val="003A411D"/>
    <w:rsid w:val="003A6C34"/>
    <w:rsid w:val="003B0C8F"/>
    <w:rsid w:val="003B2BB6"/>
    <w:rsid w:val="003D11EB"/>
    <w:rsid w:val="003D4BE4"/>
    <w:rsid w:val="003D69E0"/>
    <w:rsid w:val="003D6F47"/>
    <w:rsid w:val="003E142F"/>
    <w:rsid w:val="003E4E18"/>
    <w:rsid w:val="003E51E3"/>
    <w:rsid w:val="003F024C"/>
    <w:rsid w:val="003F050A"/>
    <w:rsid w:val="003F3A00"/>
    <w:rsid w:val="00400E4E"/>
    <w:rsid w:val="00401CAC"/>
    <w:rsid w:val="004236F4"/>
    <w:rsid w:val="00427159"/>
    <w:rsid w:val="0042735B"/>
    <w:rsid w:val="004308FC"/>
    <w:rsid w:val="004310FD"/>
    <w:rsid w:val="00431635"/>
    <w:rsid w:val="00431D72"/>
    <w:rsid w:val="00433DB0"/>
    <w:rsid w:val="00434A63"/>
    <w:rsid w:val="00434B3D"/>
    <w:rsid w:val="00436A95"/>
    <w:rsid w:val="0043766E"/>
    <w:rsid w:val="00454060"/>
    <w:rsid w:val="00462A61"/>
    <w:rsid w:val="00471BEB"/>
    <w:rsid w:val="00475EF6"/>
    <w:rsid w:val="00477780"/>
    <w:rsid w:val="00481560"/>
    <w:rsid w:val="00483A70"/>
    <w:rsid w:val="00483DDC"/>
    <w:rsid w:val="004921DE"/>
    <w:rsid w:val="00497B64"/>
    <w:rsid w:val="004A4571"/>
    <w:rsid w:val="004A52BB"/>
    <w:rsid w:val="004B07DE"/>
    <w:rsid w:val="004B7180"/>
    <w:rsid w:val="004C5D84"/>
    <w:rsid w:val="004C6243"/>
    <w:rsid w:val="004C6ADE"/>
    <w:rsid w:val="004D5CF9"/>
    <w:rsid w:val="004D74CD"/>
    <w:rsid w:val="004D7E25"/>
    <w:rsid w:val="004E09C3"/>
    <w:rsid w:val="004F1062"/>
    <w:rsid w:val="004F13B9"/>
    <w:rsid w:val="004F2638"/>
    <w:rsid w:val="00506000"/>
    <w:rsid w:val="00506A2D"/>
    <w:rsid w:val="005070C1"/>
    <w:rsid w:val="005128D4"/>
    <w:rsid w:val="00522BE9"/>
    <w:rsid w:val="00524838"/>
    <w:rsid w:val="00531D53"/>
    <w:rsid w:val="00535A0E"/>
    <w:rsid w:val="005426E8"/>
    <w:rsid w:val="00547709"/>
    <w:rsid w:val="00550BFA"/>
    <w:rsid w:val="00551CCB"/>
    <w:rsid w:val="005552D6"/>
    <w:rsid w:val="00556DAB"/>
    <w:rsid w:val="00565227"/>
    <w:rsid w:val="00570FBA"/>
    <w:rsid w:val="00572DD7"/>
    <w:rsid w:val="00576E83"/>
    <w:rsid w:val="00586C14"/>
    <w:rsid w:val="005906E0"/>
    <w:rsid w:val="00590E1D"/>
    <w:rsid w:val="00591912"/>
    <w:rsid w:val="005930FB"/>
    <w:rsid w:val="00594513"/>
    <w:rsid w:val="005949E4"/>
    <w:rsid w:val="0059597C"/>
    <w:rsid w:val="00596255"/>
    <w:rsid w:val="005A02B7"/>
    <w:rsid w:val="005A0569"/>
    <w:rsid w:val="005A165A"/>
    <w:rsid w:val="005A22B3"/>
    <w:rsid w:val="005A5558"/>
    <w:rsid w:val="005A614A"/>
    <w:rsid w:val="005B405C"/>
    <w:rsid w:val="005B6067"/>
    <w:rsid w:val="005C5333"/>
    <w:rsid w:val="005D7D98"/>
    <w:rsid w:val="005E01E3"/>
    <w:rsid w:val="005E4B2D"/>
    <w:rsid w:val="005E6093"/>
    <w:rsid w:val="005E7BAE"/>
    <w:rsid w:val="006018A1"/>
    <w:rsid w:val="00601EA8"/>
    <w:rsid w:val="00605165"/>
    <w:rsid w:val="00611F9C"/>
    <w:rsid w:val="00612D78"/>
    <w:rsid w:val="006133B7"/>
    <w:rsid w:val="0061483C"/>
    <w:rsid w:val="00617499"/>
    <w:rsid w:val="006218F7"/>
    <w:rsid w:val="00621946"/>
    <w:rsid w:val="00631341"/>
    <w:rsid w:val="006319F8"/>
    <w:rsid w:val="0064626B"/>
    <w:rsid w:val="00646DCA"/>
    <w:rsid w:val="00647D61"/>
    <w:rsid w:val="006546FF"/>
    <w:rsid w:val="0065571E"/>
    <w:rsid w:val="00657DC5"/>
    <w:rsid w:val="00660F93"/>
    <w:rsid w:val="006664BA"/>
    <w:rsid w:val="00676EB5"/>
    <w:rsid w:val="00686751"/>
    <w:rsid w:val="006A4C7B"/>
    <w:rsid w:val="006A4EE3"/>
    <w:rsid w:val="006B3B42"/>
    <w:rsid w:val="006C2424"/>
    <w:rsid w:val="006C2D5B"/>
    <w:rsid w:val="006C3106"/>
    <w:rsid w:val="006C3DBC"/>
    <w:rsid w:val="006C76F2"/>
    <w:rsid w:val="006D06BE"/>
    <w:rsid w:val="006D15CD"/>
    <w:rsid w:val="006D496A"/>
    <w:rsid w:val="006D496D"/>
    <w:rsid w:val="006D55B4"/>
    <w:rsid w:val="006D5967"/>
    <w:rsid w:val="006E7672"/>
    <w:rsid w:val="006E7BBB"/>
    <w:rsid w:val="006F3444"/>
    <w:rsid w:val="006F487E"/>
    <w:rsid w:val="006F77DB"/>
    <w:rsid w:val="007028EE"/>
    <w:rsid w:val="007131C5"/>
    <w:rsid w:val="00713DAC"/>
    <w:rsid w:val="00717AB4"/>
    <w:rsid w:val="0072218B"/>
    <w:rsid w:val="0072432F"/>
    <w:rsid w:val="00724EA9"/>
    <w:rsid w:val="00725D61"/>
    <w:rsid w:val="0073052B"/>
    <w:rsid w:val="0073296E"/>
    <w:rsid w:val="00732C1A"/>
    <w:rsid w:val="0073662D"/>
    <w:rsid w:val="0074436D"/>
    <w:rsid w:val="007474F5"/>
    <w:rsid w:val="007476E4"/>
    <w:rsid w:val="007555B2"/>
    <w:rsid w:val="00757159"/>
    <w:rsid w:val="00761322"/>
    <w:rsid w:val="00763D1A"/>
    <w:rsid w:val="00770682"/>
    <w:rsid w:val="00770924"/>
    <w:rsid w:val="0077094A"/>
    <w:rsid w:val="00773EA2"/>
    <w:rsid w:val="00775361"/>
    <w:rsid w:val="00780425"/>
    <w:rsid w:val="00791F1D"/>
    <w:rsid w:val="007952CB"/>
    <w:rsid w:val="007A2C5D"/>
    <w:rsid w:val="007A53DF"/>
    <w:rsid w:val="007B2B37"/>
    <w:rsid w:val="007B3DA5"/>
    <w:rsid w:val="007C3563"/>
    <w:rsid w:val="007C538E"/>
    <w:rsid w:val="007D3FA4"/>
    <w:rsid w:val="007E08F7"/>
    <w:rsid w:val="007E1C46"/>
    <w:rsid w:val="007E1C6A"/>
    <w:rsid w:val="007E2DA6"/>
    <w:rsid w:val="007E3F4D"/>
    <w:rsid w:val="007F5984"/>
    <w:rsid w:val="007F61CC"/>
    <w:rsid w:val="008009FD"/>
    <w:rsid w:val="00803854"/>
    <w:rsid w:val="0080425D"/>
    <w:rsid w:val="00806C59"/>
    <w:rsid w:val="00810117"/>
    <w:rsid w:val="00811B15"/>
    <w:rsid w:val="00814214"/>
    <w:rsid w:val="0081457B"/>
    <w:rsid w:val="00827972"/>
    <w:rsid w:val="00831F30"/>
    <w:rsid w:val="00832098"/>
    <w:rsid w:val="008323A9"/>
    <w:rsid w:val="0083387D"/>
    <w:rsid w:val="008374DD"/>
    <w:rsid w:val="008413F2"/>
    <w:rsid w:val="00845C2E"/>
    <w:rsid w:val="008462AF"/>
    <w:rsid w:val="00854261"/>
    <w:rsid w:val="00854750"/>
    <w:rsid w:val="00855A7A"/>
    <w:rsid w:val="00873D61"/>
    <w:rsid w:val="008765FC"/>
    <w:rsid w:val="00881240"/>
    <w:rsid w:val="00885385"/>
    <w:rsid w:val="00894D4D"/>
    <w:rsid w:val="00894FB7"/>
    <w:rsid w:val="008A2BA3"/>
    <w:rsid w:val="008B5224"/>
    <w:rsid w:val="008C076D"/>
    <w:rsid w:val="008C3470"/>
    <w:rsid w:val="008C61CE"/>
    <w:rsid w:val="008C76EB"/>
    <w:rsid w:val="008D1212"/>
    <w:rsid w:val="008D3290"/>
    <w:rsid w:val="008D3AA5"/>
    <w:rsid w:val="008D53F4"/>
    <w:rsid w:val="008E134C"/>
    <w:rsid w:val="008F0CA7"/>
    <w:rsid w:val="008F10CE"/>
    <w:rsid w:val="008F4655"/>
    <w:rsid w:val="008F771D"/>
    <w:rsid w:val="008F7B1F"/>
    <w:rsid w:val="008F7CBB"/>
    <w:rsid w:val="00901781"/>
    <w:rsid w:val="0090331B"/>
    <w:rsid w:val="009102EE"/>
    <w:rsid w:val="00913DB3"/>
    <w:rsid w:val="009319BA"/>
    <w:rsid w:val="0093358E"/>
    <w:rsid w:val="009369E9"/>
    <w:rsid w:val="00944F0F"/>
    <w:rsid w:val="0094717B"/>
    <w:rsid w:val="0095041E"/>
    <w:rsid w:val="00951FE1"/>
    <w:rsid w:val="00960CBA"/>
    <w:rsid w:val="00962A8F"/>
    <w:rsid w:val="00967EB8"/>
    <w:rsid w:val="009715DE"/>
    <w:rsid w:val="0097319E"/>
    <w:rsid w:val="009756A6"/>
    <w:rsid w:val="00982BB3"/>
    <w:rsid w:val="009839C8"/>
    <w:rsid w:val="00983E74"/>
    <w:rsid w:val="00987902"/>
    <w:rsid w:val="00996839"/>
    <w:rsid w:val="009A050A"/>
    <w:rsid w:val="009B16FD"/>
    <w:rsid w:val="009B4101"/>
    <w:rsid w:val="009B4D05"/>
    <w:rsid w:val="009B6B71"/>
    <w:rsid w:val="009B77F2"/>
    <w:rsid w:val="009B7A7F"/>
    <w:rsid w:val="009C1474"/>
    <w:rsid w:val="009D2486"/>
    <w:rsid w:val="009D5AFA"/>
    <w:rsid w:val="009D6B42"/>
    <w:rsid w:val="009E1E4B"/>
    <w:rsid w:val="009E25C4"/>
    <w:rsid w:val="009E4C61"/>
    <w:rsid w:val="009E5C71"/>
    <w:rsid w:val="009E5D6A"/>
    <w:rsid w:val="009F16A3"/>
    <w:rsid w:val="009F32BE"/>
    <w:rsid w:val="00A05DB9"/>
    <w:rsid w:val="00A05DC7"/>
    <w:rsid w:val="00A05F10"/>
    <w:rsid w:val="00A10C14"/>
    <w:rsid w:val="00A2160F"/>
    <w:rsid w:val="00A2440C"/>
    <w:rsid w:val="00A26203"/>
    <w:rsid w:val="00A41658"/>
    <w:rsid w:val="00A42F97"/>
    <w:rsid w:val="00A44D62"/>
    <w:rsid w:val="00A46AC7"/>
    <w:rsid w:val="00A55EE8"/>
    <w:rsid w:val="00A60CCE"/>
    <w:rsid w:val="00A651EA"/>
    <w:rsid w:val="00A718AF"/>
    <w:rsid w:val="00A77AA2"/>
    <w:rsid w:val="00A80CFC"/>
    <w:rsid w:val="00A870B7"/>
    <w:rsid w:val="00AA4D9D"/>
    <w:rsid w:val="00AA598E"/>
    <w:rsid w:val="00AA5A4A"/>
    <w:rsid w:val="00AB158B"/>
    <w:rsid w:val="00AB3020"/>
    <w:rsid w:val="00AB74CF"/>
    <w:rsid w:val="00AC0F31"/>
    <w:rsid w:val="00AC5FBB"/>
    <w:rsid w:val="00AD2C51"/>
    <w:rsid w:val="00AD65B7"/>
    <w:rsid w:val="00AF063F"/>
    <w:rsid w:val="00AF2FE4"/>
    <w:rsid w:val="00AF4111"/>
    <w:rsid w:val="00AF71E2"/>
    <w:rsid w:val="00B078B3"/>
    <w:rsid w:val="00B109F2"/>
    <w:rsid w:val="00B11A18"/>
    <w:rsid w:val="00B137C5"/>
    <w:rsid w:val="00B13812"/>
    <w:rsid w:val="00B14A41"/>
    <w:rsid w:val="00B15DD7"/>
    <w:rsid w:val="00B16A89"/>
    <w:rsid w:val="00B23386"/>
    <w:rsid w:val="00B345ED"/>
    <w:rsid w:val="00B3754E"/>
    <w:rsid w:val="00B37F52"/>
    <w:rsid w:val="00B40BB5"/>
    <w:rsid w:val="00B423E1"/>
    <w:rsid w:val="00B43F1D"/>
    <w:rsid w:val="00B46A42"/>
    <w:rsid w:val="00B46FE9"/>
    <w:rsid w:val="00B4706F"/>
    <w:rsid w:val="00B523A9"/>
    <w:rsid w:val="00B568EF"/>
    <w:rsid w:val="00B57791"/>
    <w:rsid w:val="00B639B4"/>
    <w:rsid w:val="00B73FD2"/>
    <w:rsid w:val="00B74E3E"/>
    <w:rsid w:val="00B852C6"/>
    <w:rsid w:val="00B92593"/>
    <w:rsid w:val="00B92E81"/>
    <w:rsid w:val="00B946F0"/>
    <w:rsid w:val="00B97642"/>
    <w:rsid w:val="00BB3C83"/>
    <w:rsid w:val="00BB544A"/>
    <w:rsid w:val="00BB5A58"/>
    <w:rsid w:val="00BB7726"/>
    <w:rsid w:val="00BC0F74"/>
    <w:rsid w:val="00BC2D63"/>
    <w:rsid w:val="00BC4B5E"/>
    <w:rsid w:val="00BC53BF"/>
    <w:rsid w:val="00BC5D1F"/>
    <w:rsid w:val="00BC7ACF"/>
    <w:rsid w:val="00BD0C45"/>
    <w:rsid w:val="00BD692A"/>
    <w:rsid w:val="00BE4229"/>
    <w:rsid w:val="00BE486B"/>
    <w:rsid w:val="00BF31CF"/>
    <w:rsid w:val="00C03367"/>
    <w:rsid w:val="00C037FA"/>
    <w:rsid w:val="00C07EDC"/>
    <w:rsid w:val="00C1078B"/>
    <w:rsid w:val="00C13326"/>
    <w:rsid w:val="00C15CB4"/>
    <w:rsid w:val="00C20F5D"/>
    <w:rsid w:val="00C21C9C"/>
    <w:rsid w:val="00C24D48"/>
    <w:rsid w:val="00C26B87"/>
    <w:rsid w:val="00C276D0"/>
    <w:rsid w:val="00C31EA4"/>
    <w:rsid w:val="00C32608"/>
    <w:rsid w:val="00C34177"/>
    <w:rsid w:val="00C45805"/>
    <w:rsid w:val="00C518C9"/>
    <w:rsid w:val="00C6032A"/>
    <w:rsid w:val="00C7219B"/>
    <w:rsid w:val="00C779BF"/>
    <w:rsid w:val="00C80BFF"/>
    <w:rsid w:val="00C8235E"/>
    <w:rsid w:val="00C9037A"/>
    <w:rsid w:val="00C93AB8"/>
    <w:rsid w:val="00CA2116"/>
    <w:rsid w:val="00CA29D9"/>
    <w:rsid w:val="00CA4B8A"/>
    <w:rsid w:val="00CB1FDB"/>
    <w:rsid w:val="00CB672A"/>
    <w:rsid w:val="00CB7A1C"/>
    <w:rsid w:val="00CC39D8"/>
    <w:rsid w:val="00CC3F2A"/>
    <w:rsid w:val="00CC5D7F"/>
    <w:rsid w:val="00CD3202"/>
    <w:rsid w:val="00CD3E4E"/>
    <w:rsid w:val="00CD6083"/>
    <w:rsid w:val="00CE0D0F"/>
    <w:rsid w:val="00CF3B26"/>
    <w:rsid w:val="00CF4CCE"/>
    <w:rsid w:val="00CF4F43"/>
    <w:rsid w:val="00CF50D6"/>
    <w:rsid w:val="00D0136D"/>
    <w:rsid w:val="00D12913"/>
    <w:rsid w:val="00D17A64"/>
    <w:rsid w:val="00D20317"/>
    <w:rsid w:val="00D208AD"/>
    <w:rsid w:val="00D211A3"/>
    <w:rsid w:val="00D25F02"/>
    <w:rsid w:val="00D3045A"/>
    <w:rsid w:val="00D41D1B"/>
    <w:rsid w:val="00D476FD"/>
    <w:rsid w:val="00D54023"/>
    <w:rsid w:val="00D64B51"/>
    <w:rsid w:val="00D67FCF"/>
    <w:rsid w:val="00D70006"/>
    <w:rsid w:val="00D728DA"/>
    <w:rsid w:val="00D76237"/>
    <w:rsid w:val="00D82955"/>
    <w:rsid w:val="00D92480"/>
    <w:rsid w:val="00D931AB"/>
    <w:rsid w:val="00D937B9"/>
    <w:rsid w:val="00DA0D2D"/>
    <w:rsid w:val="00DA5DB7"/>
    <w:rsid w:val="00DB2448"/>
    <w:rsid w:val="00DB55BD"/>
    <w:rsid w:val="00DC17F0"/>
    <w:rsid w:val="00DC5D9B"/>
    <w:rsid w:val="00DD342C"/>
    <w:rsid w:val="00DD360E"/>
    <w:rsid w:val="00DD42B4"/>
    <w:rsid w:val="00DD46B4"/>
    <w:rsid w:val="00DE1AF5"/>
    <w:rsid w:val="00DE59CE"/>
    <w:rsid w:val="00DE6764"/>
    <w:rsid w:val="00DF7290"/>
    <w:rsid w:val="00DF7DFF"/>
    <w:rsid w:val="00E056C5"/>
    <w:rsid w:val="00E11A37"/>
    <w:rsid w:val="00E1557F"/>
    <w:rsid w:val="00E17B06"/>
    <w:rsid w:val="00E252A8"/>
    <w:rsid w:val="00E26641"/>
    <w:rsid w:val="00E27671"/>
    <w:rsid w:val="00E31546"/>
    <w:rsid w:val="00E3396D"/>
    <w:rsid w:val="00E34884"/>
    <w:rsid w:val="00E3531E"/>
    <w:rsid w:val="00E358F8"/>
    <w:rsid w:val="00E37302"/>
    <w:rsid w:val="00E426FD"/>
    <w:rsid w:val="00E47962"/>
    <w:rsid w:val="00E51908"/>
    <w:rsid w:val="00E5275D"/>
    <w:rsid w:val="00E5771B"/>
    <w:rsid w:val="00E61500"/>
    <w:rsid w:val="00E62755"/>
    <w:rsid w:val="00E62EA0"/>
    <w:rsid w:val="00E658D8"/>
    <w:rsid w:val="00E7032E"/>
    <w:rsid w:val="00E70D1C"/>
    <w:rsid w:val="00E75AD0"/>
    <w:rsid w:val="00E80F03"/>
    <w:rsid w:val="00E81380"/>
    <w:rsid w:val="00E855CC"/>
    <w:rsid w:val="00E87194"/>
    <w:rsid w:val="00EA498A"/>
    <w:rsid w:val="00EB011A"/>
    <w:rsid w:val="00EB0E6F"/>
    <w:rsid w:val="00EB6E26"/>
    <w:rsid w:val="00EC2A5E"/>
    <w:rsid w:val="00EC6D70"/>
    <w:rsid w:val="00ED45DC"/>
    <w:rsid w:val="00ED7908"/>
    <w:rsid w:val="00EE1F8A"/>
    <w:rsid w:val="00F105CA"/>
    <w:rsid w:val="00F108DC"/>
    <w:rsid w:val="00F12E6E"/>
    <w:rsid w:val="00F20366"/>
    <w:rsid w:val="00F20A77"/>
    <w:rsid w:val="00F2501C"/>
    <w:rsid w:val="00F319FD"/>
    <w:rsid w:val="00F3323B"/>
    <w:rsid w:val="00F35E6F"/>
    <w:rsid w:val="00F367D4"/>
    <w:rsid w:val="00F526AD"/>
    <w:rsid w:val="00F52F58"/>
    <w:rsid w:val="00F55D73"/>
    <w:rsid w:val="00F626AE"/>
    <w:rsid w:val="00F631A0"/>
    <w:rsid w:val="00F63750"/>
    <w:rsid w:val="00F6525F"/>
    <w:rsid w:val="00F65E48"/>
    <w:rsid w:val="00F720AE"/>
    <w:rsid w:val="00F723B4"/>
    <w:rsid w:val="00F774C1"/>
    <w:rsid w:val="00F819D4"/>
    <w:rsid w:val="00F83E4A"/>
    <w:rsid w:val="00F92807"/>
    <w:rsid w:val="00F938A6"/>
    <w:rsid w:val="00F9683D"/>
    <w:rsid w:val="00FA62A9"/>
    <w:rsid w:val="00FB66BC"/>
    <w:rsid w:val="00FC08A2"/>
    <w:rsid w:val="00FC0F10"/>
    <w:rsid w:val="00FC7437"/>
    <w:rsid w:val="00FD1268"/>
    <w:rsid w:val="00FD1362"/>
    <w:rsid w:val="00FE0F3C"/>
    <w:rsid w:val="00FE3E15"/>
    <w:rsid w:val="00FF2CBA"/>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2E7015"/>
  <w15:chartTrackingRefBased/>
  <w15:docId w15:val="{B4FCE445-47AD-424F-8F87-5EF2AF77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25D"/>
  </w:style>
  <w:style w:type="paragraph" w:styleId="Heading1">
    <w:name w:val="heading 1"/>
    <w:basedOn w:val="Normal"/>
    <w:next w:val="Normal"/>
    <w:link w:val="Heading1Char"/>
    <w:uiPriority w:val="9"/>
    <w:qFormat/>
    <w:rsid w:val="00000C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0C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0C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0C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0C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0C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C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C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C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C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0C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0C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0C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0C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0C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C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C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CD2"/>
    <w:rPr>
      <w:rFonts w:eastAsiaTheme="majorEastAsia" w:cstheme="majorBidi"/>
      <w:color w:val="272727" w:themeColor="text1" w:themeTint="D8"/>
    </w:rPr>
  </w:style>
  <w:style w:type="paragraph" w:styleId="Title">
    <w:name w:val="Title"/>
    <w:basedOn w:val="Normal"/>
    <w:next w:val="Normal"/>
    <w:link w:val="TitleChar"/>
    <w:uiPriority w:val="10"/>
    <w:qFormat/>
    <w:rsid w:val="00000C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C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C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C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CD2"/>
    <w:pPr>
      <w:spacing w:before="160"/>
      <w:jc w:val="center"/>
    </w:pPr>
    <w:rPr>
      <w:i/>
      <w:iCs/>
      <w:color w:val="404040" w:themeColor="text1" w:themeTint="BF"/>
    </w:rPr>
  </w:style>
  <w:style w:type="character" w:customStyle="1" w:styleId="QuoteChar">
    <w:name w:val="Quote Char"/>
    <w:basedOn w:val="DefaultParagraphFont"/>
    <w:link w:val="Quote"/>
    <w:uiPriority w:val="29"/>
    <w:rsid w:val="00000CD2"/>
    <w:rPr>
      <w:i/>
      <w:iCs/>
      <w:color w:val="404040" w:themeColor="text1" w:themeTint="BF"/>
    </w:rPr>
  </w:style>
  <w:style w:type="paragraph" w:styleId="ListParagraph">
    <w:name w:val="List Paragraph"/>
    <w:basedOn w:val="Normal"/>
    <w:uiPriority w:val="34"/>
    <w:qFormat/>
    <w:rsid w:val="00000CD2"/>
    <w:pPr>
      <w:ind w:left="720"/>
      <w:contextualSpacing/>
    </w:pPr>
  </w:style>
  <w:style w:type="character" w:styleId="IntenseEmphasis">
    <w:name w:val="Intense Emphasis"/>
    <w:basedOn w:val="DefaultParagraphFont"/>
    <w:uiPriority w:val="21"/>
    <w:qFormat/>
    <w:rsid w:val="00000CD2"/>
    <w:rPr>
      <w:i/>
      <w:iCs/>
      <w:color w:val="2F5496" w:themeColor="accent1" w:themeShade="BF"/>
    </w:rPr>
  </w:style>
  <w:style w:type="paragraph" w:styleId="IntenseQuote">
    <w:name w:val="Intense Quote"/>
    <w:basedOn w:val="Normal"/>
    <w:next w:val="Normal"/>
    <w:link w:val="IntenseQuoteChar"/>
    <w:uiPriority w:val="30"/>
    <w:qFormat/>
    <w:rsid w:val="00000C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0CD2"/>
    <w:rPr>
      <w:i/>
      <w:iCs/>
      <w:color w:val="2F5496" w:themeColor="accent1" w:themeShade="BF"/>
    </w:rPr>
  </w:style>
  <w:style w:type="character" w:styleId="IntenseReference">
    <w:name w:val="Intense Reference"/>
    <w:basedOn w:val="DefaultParagraphFont"/>
    <w:uiPriority w:val="32"/>
    <w:qFormat/>
    <w:rsid w:val="00000CD2"/>
    <w:rPr>
      <w:b/>
      <w:bCs/>
      <w:smallCaps/>
      <w:color w:val="2F5496" w:themeColor="accent1" w:themeShade="BF"/>
      <w:spacing w:val="5"/>
    </w:rPr>
  </w:style>
  <w:style w:type="paragraph" w:styleId="NormalWeb">
    <w:name w:val="Normal (Web)"/>
    <w:basedOn w:val="Normal"/>
    <w:uiPriority w:val="99"/>
    <w:semiHidden/>
    <w:unhideWhenUsed/>
    <w:rsid w:val="00CA29D9"/>
    <w:rPr>
      <w:rFonts w:ascii="Times New Roman" w:hAnsi="Times New Roman" w:cs="Times New Roman"/>
      <w:sz w:val="24"/>
      <w:szCs w:val="24"/>
    </w:rPr>
  </w:style>
  <w:style w:type="character" w:styleId="Hyperlink">
    <w:name w:val="Hyperlink"/>
    <w:basedOn w:val="DefaultParagraphFont"/>
    <w:uiPriority w:val="99"/>
    <w:unhideWhenUsed/>
    <w:rsid w:val="003A6C34"/>
    <w:rPr>
      <w:color w:val="0563C1" w:themeColor="hyperlink"/>
      <w:u w:val="single"/>
    </w:rPr>
  </w:style>
  <w:style w:type="paragraph" w:styleId="Header">
    <w:name w:val="header"/>
    <w:basedOn w:val="Normal"/>
    <w:link w:val="HeaderChar"/>
    <w:uiPriority w:val="99"/>
    <w:unhideWhenUsed/>
    <w:rsid w:val="001673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333"/>
  </w:style>
  <w:style w:type="paragraph" w:styleId="Footer">
    <w:name w:val="footer"/>
    <w:basedOn w:val="Normal"/>
    <w:link w:val="FooterChar"/>
    <w:uiPriority w:val="99"/>
    <w:unhideWhenUsed/>
    <w:rsid w:val="00167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333"/>
  </w:style>
  <w:style w:type="character" w:styleId="UnresolvedMention">
    <w:name w:val="Unresolved Mention"/>
    <w:basedOn w:val="DefaultParagraphFont"/>
    <w:uiPriority w:val="99"/>
    <w:semiHidden/>
    <w:unhideWhenUsed/>
    <w:rsid w:val="00291E3E"/>
    <w:rPr>
      <w:color w:val="605E5C"/>
      <w:shd w:val="clear" w:color="auto" w:fill="E1DFDD"/>
    </w:rPr>
  </w:style>
  <w:style w:type="character" w:styleId="Emphasis">
    <w:name w:val="Emphasis"/>
    <w:basedOn w:val="DefaultParagraphFont"/>
    <w:uiPriority w:val="20"/>
    <w:qFormat/>
    <w:rsid w:val="008145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4/PHP-04-19-0023-RV" TargetMode="External"/><Relationship Id="rId21" Type="http://schemas.openxmlformats.org/officeDocument/2006/relationships/hyperlink" Target="https://doi.org/10.1094/PHP-2009-0826-01-RV" TargetMode="External"/><Relationship Id="rId42" Type="http://schemas.openxmlformats.org/officeDocument/2006/relationships/hyperlink" Target="https://doi.org/10.1111/ele.13188" TargetMode="External"/><Relationship Id="rId47" Type="http://schemas.openxmlformats.org/officeDocument/2006/relationships/hyperlink" Target="https://doi.org/10.21273/HORTTECH.20.3.539" TargetMode="External"/><Relationship Id="rId63" Type="http://schemas.openxmlformats.org/officeDocument/2006/relationships/hyperlink" Target="https://doi.org/10.1264/jsme2.ME14153"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11/jam.12909" TargetMode="External"/><Relationship Id="rId29" Type="http://schemas.openxmlformats.org/officeDocument/2006/relationships/hyperlink" Target="https://doi.org/10.1038/s41564-020-0706-x" TargetMode="External"/><Relationship Id="rId11" Type="http://schemas.openxmlformats.org/officeDocument/2006/relationships/hyperlink" Target="https://doi.org/10.1099/mic.0.2008/018550-0" TargetMode="External"/><Relationship Id="rId24" Type="http://schemas.openxmlformats.org/officeDocument/2006/relationships/hyperlink" Target="https://doi.org/10.2903/j.efsa.2019.5618" TargetMode="External"/><Relationship Id="rId32" Type="http://schemas.openxmlformats.org/officeDocument/2006/relationships/hyperlink" Target="https://doi.org/10.1146/annurev.py.29.090191.000433" TargetMode="External"/><Relationship Id="rId37" Type="http://schemas.openxmlformats.org/officeDocument/2006/relationships/hyperlink" Target="https://doi.org/10.1128/AEM.00617-06" TargetMode="External"/><Relationship Id="rId40" Type="http://schemas.openxmlformats.org/officeDocument/2006/relationships/hyperlink" Target="https://doi.org/10.1016/B978-0-443-23961-8.00020-6" TargetMode="External"/><Relationship Id="rId45" Type="http://schemas.openxmlformats.org/officeDocument/2006/relationships/hyperlink" Target="https://doi.org/10.1007/s10658-007-9104-9" TargetMode="External"/><Relationship Id="rId53" Type="http://schemas.openxmlformats.org/officeDocument/2006/relationships/hyperlink" Target="https://doi.org/10.1016/j.cropro.2020.105303" TargetMode="External"/><Relationship Id="rId58" Type="http://schemas.openxmlformats.org/officeDocument/2006/relationships/hyperlink" Target="https://doi.org/10.1126/sciadv.aap7959"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1016/j.soilbio.2019.05.012" TargetMode="External"/><Relationship Id="rId19" Type="http://schemas.openxmlformats.org/officeDocument/2006/relationships/hyperlink" Target="https://doi.org/10.1007/s11104-014-2095-y" TargetMode="External"/><Relationship Id="rId14" Type="http://schemas.openxmlformats.org/officeDocument/2006/relationships/hyperlink" Target="https://doi.org/10.2174/18743315-v17-e230404-2022-53" TargetMode="External"/><Relationship Id="rId22" Type="http://schemas.openxmlformats.org/officeDocument/2006/relationships/hyperlink" Target="https://doi.org/10.1016/j.biocontrol.2023.105124" TargetMode="External"/><Relationship Id="rId27" Type="http://schemas.openxmlformats.org/officeDocument/2006/relationships/hyperlink" Target="https://doi.org/10.1111/j.1469-8137.2010.03318.x" TargetMode="External"/><Relationship Id="rId30" Type="http://schemas.openxmlformats.org/officeDocument/2006/relationships/hyperlink" Target="https://doi.org/10.3389/fpls.2022.829511" TargetMode="External"/><Relationship Id="rId35" Type="http://schemas.openxmlformats.org/officeDocument/2006/relationships/hyperlink" Target="https://doi.org/10.3389/fpls.2014.00715" TargetMode="External"/><Relationship Id="rId43" Type="http://schemas.openxmlformats.org/officeDocument/2006/relationships/hyperlink" Target="https://doi.org/10.1016/j.tim.2018.07.002" TargetMode="External"/><Relationship Id="rId48" Type="http://schemas.openxmlformats.org/officeDocument/2006/relationships/hyperlink" Target="https://cgspace.cgiar.org/items/20fc3f1e-2e1b-456f-917b-257a2c264fd2" TargetMode="External"/><Relationship Id="rId56" Type="http://schemas.openxmlformats.org/officeDocument/2006/relationships/hyperlink" Target="https://doi.org/10.1016/j.soilbio.2021.108498" TargetMode="External"/><Relationship Id="rId64" Type="http://schemas.openxmlformats.org/officeDocument/2006/relationships/hyperlink" Target="https://doi.org/10.3389/fmicb.2013.00349"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doi.org/10.1186/s12864-016-2413-z"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38/nrmicro2312" TargetMode="External"/><Relationship Id="rId17" Type="http://schemas.openxmlformats.org/officeDocument/2006/relationships/hyperlink" Target="https://doi.org/10.1007/s13593-020-0605-2" TargetMode="External"/><Relationship Id="rId25" Type="http://schemas.openxmlformats.org/officeDocument/2006/relationships/hyperlink" Target="https://doi.org/10.17660/ActaHortic.2005.695.11" TargetMode="External"/><Relationship Id="rId33" Type="http://schemas.openxmlformats.org/officeDocument/2006/relationships/hyperlink" Target="https://doi.org/10.22271/tpi.2020.v9.i2c.4363" TargetMode="External"/><Relationship Id="rId38" Type="http://schemas.openxmlformats.org/officeDocument/2006/relationships/hyperlink" Target="https://doi.org/10.1111/j.1365-2338.1996.tb00910.x" TargetMode="External"/><Relationship Id="rId46" Type="http://schemas.openxmlformats.org/officeDocument/2006/relationships/hyperlink" Target="https://doi.org/10.1007/s12230-014-9353-1" TargetMode="External"/><Relationship Id="rId59" Type="http://schemas.openxmlformats.org/officeDocument/2006/relationships/hyperlink" Target="https://doi.org/10.1016/j.apsoil.2021.104026" TargetMode="External"/><Relationship Id="rId67" Type="http://schemas.openxmlformats.org/officeDocument/2006/relationships/footer" Target="footer1.xml"/><Relationship Id="rId20" Type="http://schemas.openxmlformats.org/officeDocument/2006/relationships/hyperlink" Target="https://doi.org/10.1016/S0167-7012(03)00039-1" TargetMode="External"/><Relationship Id="rId41" Type="http://schemas.openxmlformats.org/officeDocument/2006/relationships/hyperlink" Target="https://doi.org/10.2174/1871526519666210617144648" TargetMode="External"/><Relationship Id="rId54" Type="http://schemas.openxmlformats.org/officeDocument/2006/relationships/hyperlink" Target="https://doi.org/10.1094/PHYTO.2000.90.12.1358" TargetMode="External"/><Relationship Id="rId62" Type="http://schemas.openxmlformats.org/officeDocument/2006/relationships/hyperlink" Target="https://doi.org/10.1128/JB.00130-07"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28/JB.186.23.7896-7904.2004" TargetMode="External"/><Relationship Id="rId23" Type="http://schemas.openxmlformats.org/officeDocument/2006/relationships/hyperlink" Target="https://doi.org/10.2903/sp.efsa.2019.EN-1567" TargetMode="External"/><Relationship Id="rId28" Type="http://schemas.openxmlformats.org/officeDocument/2006/relationships/hyperlink" Target="https://doi.org/10.1046/j.1364-3703.2002.00116.x" TargetMode="External"/><Relationship Id="rId36" Type="http://schemas.openxmlformats.org/officeDocument/2006/relationships/hyperlink" Target="https://doi.org/10.1186/s42483-021-00092-2" TargetMode="External"/><Relationship Id="rId49" Type="http://schemas.openxmlformats.org/officeDocument/2006/relationships/hyperlink" Target="https://doi.org/10.1128/AEM.00948-13" TargetMode="External"/><Relationship Id="rId57" Type="http://schemas.openxmlformats.org/officeDocument/2006/relationships/hyperlink" Target="https://doi.org/10.1038/ncomms9413" TargetMode="External"/><Relationship Id="rId10" Type="http://schemas.openxmlformats.org/officeDocument/2006/relationships/image" Target="media/image3.jpeg"/><Relationship Id="rId31" Type="http://schemas.openxmlformats.org/officeDocument/2006/relationships/hyperlink" Target="https://doi.org/10.1111/j.1365-2672.1964.tb04912.x" TargetMode="External"/><Relationship Id="rId44" Type="http://schemas.openxmlformats.org/officeDocument/2006/relationships/hyperlink" Target="https://doi.org/10.1111/j.1364-3703.2011.00804.x" TargetMode="External"/><Relationship Id="rId52" Type="http://schemas.openxmlformats.org/officeDocument/2006/relationships/hyperlink" Target="https://doi.org/10.1186/1471-2164-11-379" TargetMode="External"/><Relationship Id="rId60" Type="http://schemas.openxmlformats.org/officeDocument/2006/relationships/hyperlink" Target="https://ssrn.com/abstract=3479448"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peda.gov.in/apedawebsite/" TargetMode="External"/><Relationship Id="rId18" Type="http://schemas.openxmlformats.org/officeDocument/2006/relationships/hyperlink" Target="https://doi.org/10.1038/nclimate2736" TargetMode="External"/><Relationship Id="rId39" Type="http://schemas.openxmlformats.org/officeDocument/2006/relationships/hyperlink" Target="https://doi.org/10.1046/j.1365-2958.2002.03150.x" TargetMode="External"/><Relationship Id="rId34" Type="http://schemas.openxmlformats.org/officeDocument/2006/relationships/hyperlink" Target="https://doi.org/10.1039/b906679a" TargetMode="External"/><Relationship Id="rId50" Type="http://schemas.openxmlformats.org/officeDocument/2006/relationships/hyperlink" Target="https://doi.org/10.1371/journal.ppat.1005939" TargetMode="External"/><Relationship Id="rId55" Type="http://schemas.openxmlformats.org/officeDocument/2006/relationships/hyperlink" Target="https://doi.org/10.1139/w10-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398B-5B77-474A-A3EC-87CB898C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3267</TotalTime>
  <Pages>10</Pages>
  <Words>6667</Words>
  <Characters>38008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Liyann Sabu</dc:creator>
  <cp:keywords/>
  <dc:description/>
  <cp:lastModifiedBy>SDI 1084</cp:lastModifiedBy>
  <cp:revision>352</cp:revision>
  <cp:lastPrinted>2025-10-04T11:07:00Z</cp:lastPrinted>
  <dcterms:created xsi:type="dcterms:W3CDTF">2025-09-05T04:35:00Z</dcterms:created>
  <dcterms:modified xsi:type="dcterms:W3CDTF">2025-11-11T08:03:00Z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82907f7d-4231-432e-a648-75c404e0330c</vt:lpwstr>
  </property>
</Properties>
</file>