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821F6" w14:textId="77777777" w:rsidR="006A2423" w:rsidRDefault="006A2423" w:rsidP="004306DC">
      <w:pPr>
        <w:jc w:val="center"/>
        <w:rPr>
          <w:b/>
          <w:sz w:val="28"/>
        </w:rPr>
      </w:pPr>
      <w:r w:rsidRPr="006A2423">
        <w:rPr>
          <w:b/>
          <w:sz w:val="28"/>
        </w:rPr>
        <w:t xml:space="preserve">Case report </w:t>
      </w:r>
    </w:p>
    <w:p w14:paraId="3CB96941" w14:textId="77777777" w:rsidR="006A2423" w:rsidRDefault="006A2423" w:rsidP="004306DC">
      <w:pPr>
        <w:jc w:val="center"/>
        <w:rPr>
          <w:b/>
          <w:sz w:val="28"/>
        </w:rPr>
      </w:pPr>
    </w:p>
    <w:p w14:paraId="6569F2C4" w14:textId="166BB2DC" w:rsidR="005F6120" w:rsidRDefault="005F6120" w:rsidP="004306DC">
      <w:pPr>
        <w:jc w:val="center"/>
        <w:rPr>
          <w:b/>
          <w:sz w:val="28"/>
        </w:rPr>
      </w:pPr>
      <w:r>
        <w:rPr>
          <w:b/>
          <w:sz w:val="28"/>
        </w:rPr>
        <w:t>Mandibular Langerhans Cell Histiocytosis Presenting with Gingivitis: A Rare Case Report and Review</w:t>
      </w:r>
    </w:p>
    <w:p w14:paraId="611440D6" w14:textId="77777777" w:rsidR="00FB6C26" w:rsidRDefault="00FB6C26" w:rsidP="004306DC">
      <w:pPr>
        <w:jc w:val="center"/>
        <w:rPr>
          <w:b/>
          <w:sz w:val="28"/>
        </w:rPr>
      </w:pPr>
    </w:p>
    <w:p w14:paraId="6A7651C0" w14:textId="77777777" w:rsidR="00596D5B" w:rsidRDefault="00596D5B" w:rsidP="004306DC">
      <w:pPr>
        <w:jc w:val="center"/>
        <w:rPr>
          <w:b/>
          <w:sz w:val="28"/>
        </w:rPr>
      </w:pPr>
    </w:p>
    <w:p w14:paraId="0BB0736E" w14:textId="77777777" w:rsidR="00596D5B" w:rsidRDefault="00596D5B" w:rsidP="004306DC">
      <w:pPr>
        <w:jc w:val="center"/>
        <w:rPr>
          <w:b/>
          <w:sz w:val="28"/>
        </w:rPr>
      </w:pPr>
    </w:p>
    <w:p w14:paraId="088A9F38" w14:textId="77777777" w:rsidR="00596D5B" w:rsidRDefault="00596D5B" w:rsidP="004306DC">
      <w:pPr>
        <w:jc w:val="center"/>
        <w:rPr>
          <w:b/>
          <w:sz w:val="28"/>
        </w:rPr>
      </w:pPr>
    </w:p>
    <w:p w14:paraId="045B4174" w14:textId="77777777" w:rsidR="00596D5B" w:rsidRDefault="00596D5B" w:rsidP="00596D5B">
      <w:r w:rsidRPr="006370AC">
        <w:rPr>
          <w:b/>
          <w:bCs/>
        </w:rPr>
        <w:t>Abstract:</w:t>
      </w:r>
      <w:r>
        <w:t xml:space="preserve"> Langerhans cell histiocytosis (LCH) is a rare hematological disorder that may present in the oral cavity. This report presents a 47-year-old male with persistent mandibular pain and gingival inflammation </w:t>
      </w:r>
      <w:r w:rsidRPr="006370AC">
        <w:t>which was initially considered to be complicated by osteomyelitis.</w:t>
      </w:r>
      <w:r>
        <w:t xml:space="preserve"> Biopsy confirmed the diagnosis of LCH. The case highlights the importance of considering LCH in the differential diagnosis of atypical mandibular lesions in adults.</w:t>
      </w:r>
    </w:p>
    <w:p w14:paraId="3BEAABB9" w14:textId="77777777" w:rsidR="00596D5B" w:rsidRDefault="00596D5B" w:rsidP="00596D5B"/>
    <w:p w14:paraId="34CAB4F8" w14:textId="77777777" w:rsidR="00596D5B" w:rsidRDefault="00596D5B" w:rsidP="00596D5B">
      <w:r w:rsidRPr="006370AC">
        <w:rPr>
          <w:b/>
          <w:bCs/>
        </w:rPr>
        <w:t>Keywords:</w:t>
      </w:r>
      <w:r>
        <w:t xml:space="preserve"> Langerhans cell histiocytosis, mandible, gingivitis, osteomyelitis, oral pathology</w:t>
      </w:r>
    </w:p>
    <w:p w14:paraId="54AD7171" w14:textId="77777777" w:rsidR="00596D5B" w:rsidRDefault="00596D5B" w:rsidP="00596D5B"/>
    <w:p w14:paraId="5F8D62FC" w14:textId="77777777" w:rsidR="00596D5B" w:rsidRDefault="00596D5B" w:rsidP="00596D5B"/>
    <w:p w14:paraId="25B99764" w14:textId="77777777" w:rsidR="00C225CA" w:rsidRPr="004306DC" w:rsidRDefault="00C225CA" w:rsidP="00C225CA">
      <w:pPr>
        <w:rPr>
          <w:b/>
          <w:bCs/>
        </w:rPr>
      </w:pPr>
      <w:r w:rsidRPr="004306DC">
        <w:rPr>
          <w:b/>
          <w:bCs/>
        </w:rPr>
        <w:t>INTRODUCTION</w:t>
      </w:r>
    </w:p>
    <w:p w14:paraId="5BF1A3D4" w14:textId="77777777" w:rsidR="00C225CA" w:rsidRDefault="00C225CA" w:rsidP="00C225CA"/>
    <w:p w14:paraId="6026E750" w14:textId="77777777" w:rsidR="005F6120" w:rsidRDefault="00C225CA" w:rsidP="00C225CA">
      <w:pPr>
        <w:ind w:firstLine="720"/>
      </w:pPr>
      <w:r>
        <w:t>Langerhans cell histiocytosis (LCHH) is a rare histiocytic disorder of unknown pathogenesis due to overgrowth of histiocytes including Langerhans cells. Symptoms range from isolated bone lesions to multisystemic disease. Oral manifestations of LHH are rare in both isolated and multisystemic disease cases (1).</w:t>
      </w:r>
    </w:p>
    <w:p w14:paraId="4F84C619" w14:textId="77777777" w:rsidR="00C225CA" w:rsidRDefault="00C225CA" w:rsidP="00C225CA">
      <w:pPr>
        <w:ind w:firstLine="720"/>
      </w:pPr>
      <w:r w:rsidRPr="00C225CA">
        <w:t>Three clinical subtypes of LHH are known. The single system or single site focal subtype, known as eosinophilic granuloma, usually affects the bones, lymph nodes or lungs as primary sites. The multifocal subtype (single system, multiple sites) affects several sites within a particular organ system. The multi-organ system subtype, previously called diffuse histiocytosis or Letterer-Siwe disease, affects multiple sites in different organ systems, is seen in the first year of life and has the poorest prognosis (2,3,4).</w:t>
      </w:r>
    </w:p>
    <w:p w14:paraId="33B08559" w14:textId="77777777" w:rsidR="0026073C" w:rsidRDefault="0026073C" w:rsidP="00C225CA">
      <w:pPr>
        <w:ind w:firstLine="720"/>
      </w:pPr>
      <w:r w:rsidRPr="0026073C">
        <w:t>Bones are most commonly involved. The most common symptom in both unifocal and multifocal disease is painful bone swelling. The skull is most commonly affected, followed by the long bones of the upper extremities and flat bones (5). In the presence of dental and gingival problems in the head and neck region, bone pain, soft tissue swelling in the bones of the cranial region and bone lesions should be included in the differential diagnosis.</w:t>
      </w:r>
      <w:r w:rsidR="00BA2FEB">
        <w:t xml:space="preserve"> </w:t>
      </w:r>
      <w:r w:rsidR="00BA2FEB" w:rsidRPr="00BA2FEB">
        <w:t>It may be confused with osteomyelitis during differential diagnosis. Osteomyelitis should also be considered and ruled out. Osteomyelitis of the jaw is also a relatively rare clinical presentation. It is more common in the mandible than in the maxilla. Although it is rarely seen in jaws or in anatomical neighborhoods with odontogenic infection, it may also develop as a result of post-extraction complications, leaving necrotic bone, trauma and inadequate treatment, radiation to which the jaw bones are exposed and hematogenous spread (6).</w:t>
      </w:r>
      <w:r w:rsidR="00D24FFC" w:rsidRPr="00D24FFC">
        <w:t xml:space="preserve"> In both cases, tooth and gingival problems may be the first presenting and causative clinical picture. Diagnosis with imaging techniques and biopsy is important. However, it is still a difficult clinical condition to diagnose and treat. The majority of patients spend a long period of time due to tooth and gingival problems and periodontal infections, and benign/malignant </w:t>
      </w:r>
      <w:proofErr w:type="gramStart"/>
      <w:r w:rsidR="00D24FFC" w:rsidRPr="00D24FFC">
        <w:t>etiology ?</w:t>
      </w:r>
      <w:proofErr w:type="gramEnd"/>
      <w:r w:rsidR="00D24FFC" w:rsidRPr="00D24FFC">
        <w:t xml:space="preserve"> osteomyelitis ? cannot be differentiated in the differential diagnosis in the first place, and finally the diagnosis can be made by biopsy.</w:t>
      </w:r>
    </w:p>
    <w:p w14:paraId="15F88020" w14:textId="77777777" w:rsidR="00D24FFC" w:rsidRDefault="00D24FFC" w:rsidP="00C225CA">
      <w:pPr>
        <w:ind w:firstLine="720"/>
      </w:pPr>
      <w:r w:rsidRPr="00D24FFC">
        <w:lastRenderedPageBreak/>
        <w:t xml:space="preserve">Here, we </w:t>
      </w:r>
      <w:r>
        <w:t>aim</w:t>
      </w:r>
      <w:r w:rsidRPr="00D24FFC">
        <w:t>ed to present a case of langerhans cell histiocytosis in the differential diagnosis of mandibular osteomyelitis in a patient who presented with gingivitis, had been followed up for a long time with dental and gingival problems, had no response to treatments, presented with deformation of the mandible, and no imaging was requested.</w:t>
      </w:r>
      <w:r w:rsidR="008C5A90">
        <w:t xml:space="preserve"> </w:t>
      </w:r>
      <w:r w:rsidR="008C5A90" w:rsidRPr="008C5A90">
        <w:t>The case is remarkable because of the extremely rare presentation of the disease at an advanced age and an atypical presentation and LHH was reviewed in the light of the case.</w:t>
      </w:r>
    </w:p>
    <w:p w14:paraId="79580877" w14:textId="77777777" w:rsidR="002C1E4B" w:rsidRDefault="002C1E4B" w:rsidP="00C225CA">
      <w:pPr>
        <w:ind w:firstLine="720"/>
      </w:pPr>
    </w:p>
    <w:p w14:paraId="4149A9F4" w14:textId="77777777" w:rsidR="002C1E4B" w:rsidRDefault="002C1E4B" w:rsidP="002C1E4B">
      <w:pPr>
        <w:rPr>
          <w:b/>
          <w:bCs/>
        </w:rPr>
      </w:pPr>
      <w:r w:rsidRPr="002C1E4B">
        <w:rPr>
          <w:b/>
          <w:bCs/>
        </w:rPr>
        <w:t>CASE</w:t>
      </w:r>
      <w:r w:rsidR="004306DC">
        <w:rPr>
          <w:b/>
          <w:bCs/>
        </w:rPr>
        <w:t xml:space="preserve"> REPORT </w:t>
      </w:r>
    </w:p>
    <w:p w14:paraId="4209BEB2" w14:textId="77777777" w:rsidR="004306DC" w:rsidRPr="002C1E4B" w:rsidRDefault="004306DC" w:rsidP="002C1E4B">
      <w:pPr>
        <w:rPr>
          <w:b/>
          <w:bCs/>
        </w:rPr>
      </w:pPr>
    </w:p>
    <w:p w14:paraId="0AE59054" w14:textId="77777777" w:rsidR="002C1E4B" w:rsidRDefault="002C1E4B" w:rsidP="00C225CA">
      <w:pPr>
        <w:ind w:firstLine="720"/>
      </w:pPr>
      <w:r w:rsidRPr="002C1E4B">
        <w:t xml:space="preserve">   Forty-seven years old, male patient was admitted to the infectious diseases outpatient clinic because the infection did not go away after a periodontal infection and the jawbone had been deformed for 1 year.  He had occasional pain. He has a recent dental visit. On examination, the left mandible was depressed and deformed.</w:t>
      </w:r>
      <w:r>
        <w:t xml:space="preserve"> </w:t>
      </w:r>
      <w:r w:rsidRPr="002C1E4B">
        <w:t>Gingivitis, premolars and molars were missing. He was admitted to the hospital and it was stated that it did not completely resolve despite receiving several treatments including antibiotics. No imaging was ordered.</w:t>
      </w:r>
    </w:p>
    <w:p w14:paraId="23DE9BF1" w14:textId="77777777" w:rsidR="00D00ABE" w:rsidRDefault="00D00ABE" w:rsidP="00C225CA">
      <w:pPr>
        <w:ind w:firstLine="720"/>
      </w:pPr>
      <w:r w:rsidRPr="00D00ABE">
        <w:t>Laboratory tests revealed a leukocyte count of 8.4 x10³/µL, C-reactive protein (CRP): 3 mg/L, erythrocyte sedimentation rate was 16 mm/hour. Liver and renal function tests were normal. Contrast MRI was ordered for osteomyelitis and other differential diagnoses and ciprofloxacin 2x500 mg po and ornidazole 500 mg 2x1 po were prescribed. Ear, nose and throat (ENT) evaluation and follow-up with MRI results were recommended. ENT clinic evaluated the patient as an ulcerovegetating mass in the left retromolar trigone.</w:t>
      </w:r>
    </w:p>
    <w:p w14:paraId="2E113396" w14:textId="77777777" w:rsidR="00D50396" w:rsidRDefault="00D50396" w:rsidP="00C225CA">
      <w:pPr>
        <w:ind w:firstLine="720"/>
      </w:pPr>
      <w:r w:rsidRPr="00D50396">
        <w:t>A biopsy was planned. The biopsy result was interpreted as chronic inflammation and pyogenic granuloma in the mandible and antibiotherapy continued during this period.</w:t>
      </w:r>
    </w:p>
    <w:p w14:paraId="64F4BC75" w14:textId="77777777" w:rsidR="00543B86" w:rsidRDefault="00543B86" w:rsidP="00C225CA">
      <w:pPr>
        <w:ind w:firstLine="720"/>
      </w:pPr>
      <w:r w:rsidRPr="00543B86">
        <w:t>MRI; “destruction of the bone structure, heterogeneous signaled areas, loss of bone cortical integrity were observed in the mandible. Missing molars and premolars were observed on the left and no tooth roots were seen in the left mandibular alveolar process. Contrast enhancement was observed in this area and in the surrounding soft tissue planes.  Several lymph nodes were observed in the left submandibular region. Evaluation in terms of differential diagnosis of malignancy is recommended”.</w:t>
      </w:r>
    </w:p>
    <w:p w14:paraId="1BEED2D6" w14:textId="77777777" w:rsidR="0019613E" w:rsidRDefault="0019613E" w:rsidP="00C225CA">
      <w:pPr>
        <w:ind w:firstLine="720"/>
      </w:pPr>
      <w:r w:rsidRPr="0019613E">
        <w:t xml:space="preserve">Ciprofloxacin and ornidazole treatment </w:t>
      </w:r>
      <w:proofErr w:type="gramStart"/>
      <w:r w:rsidRPr="0019613E">
        <w:t>was</w:t>
      </w:r>
      <w:proofErr w:type="gramEnd"/>
      <w:r w:rsidRPr="0019613E">
        <w:t xml:space="preserve"> completed for 6 weeks. Pathologic examination was requested again and biopsy was repeated and Langerhans cell histiocytosis was diagnosed. The patient continued to follow-up with the hematology-oncology departments. It was learned that bone involvement of histiocytosis was considered in the first plan in the control iv contrast-enhanced nasopharyngeal and neck CT, normocellular bone marrow was observed in bone marrow biopsy and no infiltration was detected, PET-CT was normal and there was no change in follow-up.</w:t>
      </w:r>
    </w:p>
    <w:p w14:paraId="341B18A9" w14:textId="77777777" w:rsidR="004306DC" w:rsidRDefault="004306DC" w:rsidP="004306DC"/>
    <w:p w14:paraId="0E8DD8B9" w14:textId="77777777" w:rsidR="00F52958" w:rsidRPr="004306DC" w:rsidRDefault="00F52958" w:rsidP="004306DC">
      <w:pPr>
        <w:rPr>
          <w:b/>
          <w:bCs/>
        </w:rPr>
      </w:pPr>
      <w:r w:rsidRPr="004306DC">
        <w:rPr>
          <w:b/>
          <w:bCs/>
        </w:rPr>
        <w:t>DISCUSSION</w:t>
      </w:r>
    </w:p>
    <w:p w14:paraId="72BFF610" w14:textId="77777777" w:rsidR="00F52958" w:rsidRDefault="00F52958" w:rsidP="00F52958">
      <w:pPr>
        <w:ind w:firstLine="720"/>
      </w:pPr>
    </w:p>
    <w:p w14:paraId="494FC13E" w14:textId="77777777" w:rsidR="00F52958" w:rsidRDefault="00F52958" w:rsidP="00F52958">
      <w:pPr>
        <w:ind w:firstLine="720"/>
      </w:pPr>
      <w:r>
        <w:t>It is important to rule out malignancy in cases presenting with a mass in the oral cavity. Therefore, such lesions should be excised and pathologically examined. The use of imaging techniques in patients with chronic infection is important in the differential diagnosis.</w:t>
      </w:r>
    </w:p>
    <w:p w14:paraId="13B543EA" w14:textId="77777777" w:rsidR="00BF6021" w:rsidRDefault="00BF6021" w:rsidP="00F52958">
      <w:pPr>
        <w:ind w:firstLine="720"/>
      </w:pPr>
      <w:r w:rsidRPr="00BF6021">
        <w:t xml:space="preserve">The incidence of malignant lesions increases with advancing age. Benign lesions such as pyogenic granulomas are more common at younger ages. Pyogenic granulomas are tumor-like masses of the oral cavity and skin. The clinical development of the lesion is slow, asymptomatic and painless. Sometimes the development may be rapid. The lesion surface has an ulcerated </w:t>
      </w:r>
      <w:r w:rsidRPr="00BF6021">
        <w:lastRenderedPageBreak/>
        <w:t>appearance. Minor bleeding may be observed (7,8). Intraoral pyogenic granulomas should be differentially diagnosed with benign lesions such as ranula and mucocele and malignant lesions (9,10,11). Clinically, intraoral LHH lesions may present as masses, gingivitis, ulcers, gingival bleeding, tooth loss, pain, cysts, leukoplakia or non-healing wounds after surgery or tooth extraction. Our case herein was diagnosed as pyogenic granuloma after gingivitis, tooth and gingival problems, tooth loss and was diagnosed as LHH in the following period.</w:t>
      </w:r>
    </w:p>
    <w:p w14:paraId="2BFB1A10" w14:textId="77777777" w:rsidR="00C41E50" w:rsidRDefault="00C41E50" w:rsidP="00F52958">
      <w:pPr>
        <w:ind w:firstLine="720"/>
      </w:pPr>
      <w:r w:rsidRPr="00C41E50">
        <w:t>The pathogenesis of Langerhans cell histiocytosis is a matter under debate. There is ongoing research to determine whether LHH is a non-neoplastic (reactive) or neoplastic process. LHH is usually a sporadic and non-hereditary condition. The clinical picture of the disease is characterized by an over proliferation of Langerhans cells and their abnormal deposition in different tissues. However, what is unknown in the etiology is the mechanism that triggers this accumulation and proliferation. This mechanism may be the immune system itself or a microorganism; or it may be a neoplastic lesion (12,13). A definite etiology for this disease has not been defined and it has been suggested that it may be triggered by environmental factors and viruses, especially Epstein-Barr virus (14).</w:t>
      </w:r>
    </w:p>
    <w:p w14:paraId="5B23982D" w14:textId="77777777" w:rsidR="003E421D" w:rsidRDefault="003E421D" w:rsidP="003E421D">
      <w:pPr>
        <w:ind w:firstLine="720"/>
      </w:pPr>
      <w:r>
        <w:t xml:space="preserve">Microorganisms and genetic studies have been conducted for the etiology of this disease (15,16). It has also been suggested that Epstein-Barr, Human Herpes 6 and 9 viruses may play a role (17).  Spontaneous recovery of some forms has also suggested that it is an infectious disease. In studies conducted with adenovirus, HIV, Herpes simplex, CMV, T-cell leukemia 1 and 2 and parvo virus, it was reported that they did not play a role in the etiology of this disease (18). Genetic studies have also shown that there is no genetic disorder related to this disease (19,20). On the other hand, it was thought to be a neoplasm because some forms of the disease have a common and fatal course. In recent years, it has been suggested that this disease may be an immunologic disease rather than a neoplasm. It has been emphasized that theories suggesting that the disease is a proliferative, granulomatous lesion developing secondary to a defect in the immunoregulatory system may be more rational (21). </w:t>
      </w:r>
    </w:p>
    <w:p w14:paraId="7F91D14F" w14:textId="77777777" w:rsidR="003E421D" w:rsidRDefault="003E421D" w:rsidP="003E421D">
      <w:pPr>
        <w:ind w:firstLine="720"/>
      </w:pPr>
    </w:p>
    <w:p w14:paraId="1817B12C" w14:textId="77777777" w:rsidR="003E421D" w:rsidRDefault="003E421D" w:rsidP="003E421D">
      <w:pPr>
        <w:ind w:firstLine="720"/>
      </w:pPr>
      <w:r>
        <w:t xml:space="preserve">LHH should be considered in the differential diagnosis of intraoral lesions. LHH may involve single or multiple organs and systems, with bone and skin being the most commonly affected sites. In skeletal manifestations, the jaw bones are involved in approximately 20-30% of all cases. 10% of patients have oral lesions. Such lesions may present as unilocular or multilocular manifestations, mainly affecting the posterior mandible (22). There is typically no extraskeletal involvement in unifocal LHH, and the prognosis for unifocal disease is very good. Unifocal involvement was observed in our case. Oral soft tissue lesions can also be seen and gingiva and hard palate are the most commonly affected areas. It causes bone swelling, soft tissue masses, gingivitis, gingival bleeding, pain and ulcerations in the jaws. After destruction of the alveolar bone, tooth displacement and tooth loss are frequently observed. The mandible is affected more frequently than the maxilla and the posterior regions are affected more frequently than the anterior regions. Pain, tenderness, gingival necrosis and swelling may also be observed in the </w:t>
      </w:r>
      <w:r w:rsidRPr="003E421D">
        <w:t xml:space="preserve">involved </w:t>
      </w:r>
      <w:r>
        <w:t>areas (26).</w:t>
      </w:r>
    </w:p>
    <w:p w14:paraId="5FF4A6FF" w14:textId="77777777" w:rsidR="00EF6190" w:rsidRDefault="00EF6190" w:rsidP="00EF6190">
      <w:pPr>
        <w:ind w:firstLine="720"/>
      </w:pPr>
      <w:r>
        <w:t xml:space="preserve">Atarbashi et al. analyzed 10 years of pathology files in the Department of Oral and Maxillofacial Pathology, Faculty of Dentistry. In the study of 20 cases recorded as oral Langerhans cell histiocytosis, the relative frequency of oral Langerhans cell histiocytosis was 0.34%, the most common site of involvement was the posterior mandible, most of the lesions were localized and tooth mobility was the most common oral involvement, the mean age of the patients was 27 years and a marked male predominance was observed. </w:t>
      </w:r>
    </w:p>
    <w:p w14:paraId="47B75F73" w14:textId="77777777" w:rsidR="00EF6190" w:rsidRDefault="00EF6190" w:rsidP="00EF6190">
      <w:pPr>
        <w:ind w:firstLine="720"/>
      </w:pPr>
      <w:r>
        <w:lastRenderedPageBreak/>
        <w:t>In a case report of a geriatric male patient with molar and premolar tooth loss and granuloma excision, it was reported that multiple granulation tissue-like masses were observed on the alveolar ridge of the edentulous mandible on oral examination (25). In the presentation of a patient diagnosed with mandibular LHH, similar dental findings were observed in the lower maxillary first molars and floating tooth appearance in the left lower maxillary second premolars (24).</w:t>
      </w:r>
    </w:p>
    <w:p w14:paraId="60D59E4F" w14:textId="77777777" w:rsidR="00663A94" w:rsidRDefault="00663A94" w:rsidP="00EF6190">
      <w:pPr>
        <w:ind w:firstLine="720"/>
      </w:pPr>
      <w:r w:rsidRPr="00663A94">
        <w:t>Although LHH is most commonly diagnosed in infants and children, it can be seen at all ages. The incidence in adults is 1-2 cases per million (23). It is observed slightly more frequently in males than females. Our 47-year-old male patient was remarkable in terms of being in the rare age group.</w:t>
      </w:r>
    </w:p>
    <w:p w14:paraId="7E272D3D" w14:textId="77777777" w:rsidR="00000FC7" w:rsidRDefault="00000FC7" w:rsidP="00EF6190">
      <w:pPr>
        <w:ind w:firstLine="720"/>
      </w:pPr>
      <w:r w:rsidRPr="00000FC7">
        <w:t>Radiologically, lytic and destructive bone lesions are observed and bone lesions are associated with adjacent soft tissue masses (25,26,27). In the mandible and maxilla, lesions line up along the alveoli and the appearance of floating teeth is remarkable (25). Normal healing in the socket usually does not occur after tooth loss. In our case, in accordance with these findings, destruction of the bone structure, heterogeneous signalized areas and loss of bone cortical integrity were observed in the mandible. Missing molar and premolar teeth were observed on the left side and no tooth roots were seen in the left mandibular alveolar process. The patient was admitted to our outpatient clinic with gingivitis and received treatments for periodontal infection and dental problems for a long time, with no treatment response and progressive destruction of the jaw bone, and no imaging was performed during this process. MR imaging was first performed and biopsy of the lesioned tissue was performed twice and the diagnosis was made after pathologic examination. LHH was diagnosed with the second biopsy.</w:t>
      </w:r>
    </w:p>
    <w:p w14:paraId="3FFF769F" w14:textId="77777777" w:rsidR="00000FC7" w:rsidRDefault="00000FC7" w:rsidP="00000FC7">
      <w:pPr>
        <w:ind w:firstLine="720"/>
      </w:pPr>
      <w:r>
        <w:t>Biopsy and immunohistochemical examination are used for the definitive diagnosis of LHH. Computed tomography and magnetic resonance imaging are important. Radiologic examinations of long bones and skull bones are required. If there is localized involvement, biopsy of that area should be performed. The extent of disease should be evaluated with PET-CT (26,27).</w:t>
      </w:r>
    </w:p>
    <w:p w14:paraId="4676762C" w14:textId="77777777" w:rsidR="00D13B29" w:rsidRDefault="00000FC7" w:rsidP="00D13B29">
      <w:pPr>
        <w:ind w:firstLine="720"/>
      </w:pPr>
      <w:r>
        <w:t xml:space="preserve"> Tooth mobility and periodontal lesions are common early signs of the disease. Therefore, Langerhans cell histiocytosis should be considered in patients with periodontal problems, who have good oral health and do not respond to treatment. Dentists have an important role in the early diagnosis of the disease (2). This shows the importance of the role of dentists in the early diagnosis and treatment of the disease.  Early diagnosis of LHH is important because of the success of treatment.</w:t>
      </w:r>
    </w:p>
    <w:p w14:paraId="5AE8DC1A" w14:textId="77777777" w:rsidR="00596D5B" w:rsidRDefault="00596D5B" w:rsidP="00D13B29">
      <w:pPr>
        <w:ind w:firstLine="720"/>
      </w:pPr>
    </w:p>
    <w:p w14:paraId="1905C118" w14:textId="77777777" w:rsidR="00596D5B" w:rsidRDefault="00596D5B" w:rsidP="00596D5B">
      <w:pPr>
        <w:rPr>
          <w:b/>
          <w:bCs/>
        </w:rPr>
      </w:pPr>
      <w:r w:rsidRPr="00596D5B">
        <w:rPr>
          <w:b/>
          <w:bCs/>
        </w:rPr>
        <w:t>CONCLUSIONS</w:t>
      </w:r>
    </w:p>
    <w:p w14:paraId="0CCD87B2" w14:textId="77777777" w:rsidR="00596D5B" w:rsidRPr="00596D5B" w:rsidRDefault="00596D5B" w:rsidP="00596D5B">
      <w:pPr>
        <w:rPr>
          <w:b/>
          <w:bCs/>
        </w:rPr>
      </w:pPr>
    </w:p>
    <w:p w14:paraId="43DB6033" w14:textId="31EF30AC" w:rsidR="00596D5B" w:rsidRDefault="00596D5B" w:rsidP="00596D5B">
      <w:pPr>
        <w:ind w:firstLine="720"/>
      </w:pPr>
      <w:r>
        <w:t>In conclusion, mandibular LCH should be considered in patients presenting with persistent dental or gingival symptoms that do not respond to conventional treatment. A multidisciplinary approach involving imaging, biopsy, and immunohistochemical analysis is essential for early diagnosis and management. This case underscores the diagnostic challenges and the importance of timely intervention.</w:t>
      </w:r>
    </w:p>
    <w:p w14:paraId="402AF593" w14:textId="0804E95A" w:rsidR="003E1812" w:rsidRDefault="003E1812" w:rsidP="00596D5B">
      <w:pPr>
        <w:ind w:firstLine="720"/>
      </w:pPr>
    </w:p>
    <w:p w14:paraId="3F78E3A2" w14:textId="1BC191B3" w:rsidR="00B83185" w:rsidRDefault="00B83185" w:rsidP="00596D5B">
      <w:pPr>
        <w:ind w:firstLine="720"/>
      </w:pPr>
    </w:p>
    <w:p w14:paraId="6BFF3D51" w14:textId="39E03C98" w:rsidR="00B83185" w:rsidRDefault="00B83185" w:rsidP="00596D5B">
      <w:pPr>
        <w:ind w:firstLine="720"/>
      </w:pPr>
    </w:p>
    <w:p w14:paraId="6A8169E9" w14:textId="77777777" w:rsidR="00B83185" w:rsidRDefault="00B83185" w:rsidP="00596D5B">
      <w:pPr>
        <w:ind w:firstLine="720"/>
      </w:pPr>
      <w:bookmarkStart w:id="0" w:name="_GoBack"/>
      <w:bookmarkEnd w:id="0"/>
    </w:p>
    <w:p w14:paraId="0690559F" w14:textId="77777777" w:rsidR="001563A8" w:rsidRDefault="001563A8" w:rsidP="00596D5B">
      <w:pPr>
        <w:ind w:firstLine="720"/>
      </w:pPr>
    </w:p>
    <w:p w14:paraId="4E441CB3" w14:textId="77777777" w:rsidR="001563A8" w:rsidRPr="00FB6C26" w:rsidRDefault="001563A8" w:rsidP="001563A8">
      <w:pPr>
        <w:spacing w:after="160" w:line="360" w:lineRule="auto"/>
        <w:jc w:val="both"/>
        <w:rPr>
          <w:rFonts w:eastAsia="Calibri"/>
          <w:b/>
          <w:bCs/>
          <w:lang w:val="tr-TR"/>
        </w:rPr>
      </w:pPr>
      <w:r w:rsidRPr="00FB6C26">
        <w:rPr>
          <w:rFonts w:eastAsia="Calibri"/>
          <w:b/>
          <w:bCs/>
          <w:lang w:val="tr-TR"/>
        </w:rPr>
        <w:lastRenderedPageBreak/>
        <w:t>Authors’ Contrıbutions</w:t>
      </w:r>
    </w:p>
    <w:p w14:paraId="260DCCA8" w14:textId="77777777" w:rsidR="001563A8" w:rsidRPr="00FB6C26" w:rsidRDefault="001563A8" w:rsidP="001563A8">
      <w:pPr>
        <w:spacing w:after="160" w:line="360" w:lineRule="auto"/>
        <w:jc w:val="both"/>
        <w:rPr>
          <w:rFonts w:eastAsia="Calibri"/>
          <w:lang w:val="tr-TR"/>
        </w:rPr>
      </w:pPr>
      <w:r w:rsidRPr="00FB6C26">
        <w:rPr>
          <w:rFonts w:eastAsia="Calibri"/>
          <w:lang w:val="tr-TR"/>
        </w:rPr>
        <w:t>YÇ: ideas, preparation, patient care, writing the initial draft; YÇ, BK: preparation; YÇ, BK: patient care; YÇ, BK: ideas, preparation; YÇ, BK, ED: patient care, critical review; YÇ, BK, ED: ideas, patient care; YÇ, BK, ED: oversight and leadership responsibility for the research activity planning and execution, critical review, commentary or revision – including pre-or post-publication stages.</w:t>
      </w:r>
    </w:p>
    <w:p w14:paraId="15CD8E04" w14:textId="77777777" w:rsidR="00CA4C48" w:rsidRDefault="00CA4C48" w:rsidP="001563A8">
      <w:pPr>
        <w:spacing w:after="160" w:line="360" w:lineRule="auto"/>
        <w:jc w:val="both"/>
        <w:rPr>
          <w:rFonts w:eastAsia="Calibri"/>
          <w:bCs/>
          <w:lang w:val="en-US"/>
        </w:rPr>
      </w:pPr>
    </w:p>
    <w:p w14:paraId="05E00DAC" w14:textId="38E7DEF8" w:rsidR="001563A8" w:rsidRDefault="001563A8" w:rsidP="00596D5B">
      <w:pPr>
        <w:ind w:firstLine="720"/>
        <w:rPr>
          <w:b/>
          <w:bCs/>
          <w:color w:val="000000"/>
        </w:rPr>
      </w:pPr>
    </w:p>
    <w:p w14:paraId="3261A86F" w14:textId="77777777" w:rsidR="005B7174" w:rsidRDefault="005B7174" w:rsidP="00596D5B">
      <w:pPr>
        <w:ind w:firstLine="720"/>
      </w:pPr>
    </w:p>
    <w:p w14:paraId="49A0499B" w14:textId="77777777" w:rsidR="00D13B29" w:rsidRDefault="00D13B29" w:rsidP="00D13B29">
      <w:pPr>
        <w:ind w:firstLine="720"/>
      </w:pPr>
    </w:p>
    <w:p w14:paraId="25348E0F" w14:textId="77777777" w:rsidR="00D13B29" w:rsidRDefault="00D13B29" w:rsidP="00D13B29">
      <w:pPr>
        <w:pStyle w:val="ListParagraph"/>
        <w:spacing w:after="0" w:line="240" w:lineRule="auto"/>
        <w:ind w:left="2880" w:firstLine="720"/>
        <w:jc w:val="both"/>
        <w:rPr>
          <w:rFonts w:ascii="Times New Roman" w:eastAsia="Times New Roman" w:hAnsi="Times New Roman" w:cs="Times New Roman"/>
          <w:b/>
          <w:bCs/>
          <w:color w:val="222222"/>
          <w:kern w:val="0"/>
          <w14:ligatures w14:val="none"/>
        </w:rPr>
      </w:pPr>
      <w:r>
        <w:rPr>
          <w:rFonts w:ascii="Times New Roman" w:eastAsia="Times New Roman" w:hAnsi="Times New Roman" w:cs="Times New Roman"/>
          <w:b/>
          <w:bCs/>
          <w:color w:val="222222"/>
          <w:kern w:val="0"/>
          <w14:ligatures w14:val="none"/>
        </w:rPr>
        <w:t>REFERENCES</w:t>
      </w:r>
    </w:p>
    <w:p w14:paraId="6C3AAB9D" w14:textId="77777777" w:rsidR="00D13B29" w:rsidRPr="0071526E" w:rsidRDefault="00D13B29" w:rsidP="00D13B29">
      <w:pPr>
        <w:pStyle w:val="ListParagraph"/>
        <w:spacing w:after="0" w:line="240" w:lineRule="auto"/>
        <w:jc w:val="both"/>
        <w:rPr>
          <w:rFonts w:ascii="Times New Roman" w:eastAsia="Times New Roman" w:hAnsi="Times New Roman" w:cs="Times New Roman"/>
          <w:b/>
          <w:bCs/>
          <w:color w:val="222222"/>
          <w:kern w:val="0"/>
          <w14:ligatures w14:val="none"/>
        </w:rPr>
      </w:pPr>
    </w:p>
    <w:p w14:paraId="21D6A1E5" w14:textId="77777777" w:rsidR="00D13B29" w:rsidRPr="0071526E" w:rsidRDefault="00D13B29" w:rsidP="00D13B29">
      <w:pPr>
        <w:pStyle w:val="ListParagraph"/>
        <w:numPr>
          <w:ilvl w:val="0"/>
          <w:numId w:val="1"/>
        </w:numPr>
        <w:spacing w:after="0" w:line="240" w:lineRule="auto"/>
        <w:jc w:val="both"/>
        <w:rPr>
          <w:rFonts w:ascii="Times New Roman" w:eastAsia="Times New Roman" w:hAnsi="Times New Roman" w:cs="Times New Roman"/>
          <w:color w:val="222222"/>
          <w:kern w:val="0"/>
          <w14:ligatures w14:val="none"/>
        </w:rPr>
      </w:pPr>
      <w:r w:rsidRPr="0071526E">
        <w:rPr>
          <w:rFonts w:ascii="Times New Roman" w:eastAsia="Times New Roman" w:hAnsi="Times New Roman" w:cs="Times New Roman"/>
          <w:color w:val="222222"/>
          <w:kern w:val="0"/>
          <w14:ligatures w14:val="none"/>
        </w:rPr>
        <w:t>Tombak</w:t>
      </w:r>
      <w:r w:rsidRPr="0071526E">
        <w:rPr>
          <w:rFonts w:ascii="Times New Roman" w:eastAsia="Times New Roman" w:hAnsi="Times New Roman" w:cs="Times New Roman"/>
          <w:color w:val="222222"/>
          <w:kern w:val="0"/>
          <w:vertAlign w:val="superscript"/>
          <w14:ligatures w14:val="none"/>
        </w:rPr>
        <w:t xml:space="preserve"> </w:t>
      </w:r>
      <w:r w:rsidRPr="0071526E">
        <w:rPr>
          <w:rFonts w:ascii="Times New Roman" w:eastAsia="Times New Roman" w:hAnsi="Times New Roman" w:cs="Times New Roman"/>
          <w:color w:val="222222"/>
          <w:kern w:val="0"/>
          <w14:ligatures w14:val="none"/>
        </w:rPr>
        <w:t>A, Tiftik</w:t>
      </w:r>
      <w:r w:rsidRPr="0071526E">
        <w:rPr>
          <w:rFonts w:ascii="Times New Roman" w:eastAsia="Times New Roman" w:hAnsi="Times New Roman" w:cs="Times New Roman"/>
          <w:color w:val="222222"/>
          <w:kern w:val="0"/>
          <w:vertAlign w:val="superscript"/>
          <w14:ligatures w14:val="none"/>
        </w:rPr>
        <w:t xml:space="preserve"> </w:t>
      </w:r>
      <w:r w:rsidRPr="0071526E">
        <w:rPr>
          <w:rFonts w:ascii="Times New Roman" w:eastAsia="Times New Roman" w:hAnsi="Times New Roman" w:cs="Times New Roman"/>
          <w:color w:val="222222"/>
          <w:kern w:val="0"/>
          <w14:ligatures w14:val="none"/>
        </w:rPr>
        <w:t>EN. Langerhans Cell Histiocytosis. Turkiye Klinikleri J Hematol Special Topics. 2013;6(1):74-79.</w:t>
      </w:r>
    </w:p>
    <w:p w14:paraId="0BC6D535" w14:textId="72DCC2B6" w:rsidR="00ED36A1" w:rsidRPr="00ED36A1" w:rsidRDefault="00ED36A1" w:rsidP="00D13B29">
      <w:pPr>
        <w:pStyle w:val="NormalWeb"/>
        <w:numPr>
          <w:ilvl w:val="0"/>
          <w:numId w:val="1"/>
        </w:numPr>
        <w:spacing w:before="0" w:beforeAutospacing="0"/>
        <w:jc w:val="both"/>
      </w:pPr>
      <w:proofErr w:type="spellStart"/>
      <w:r w:rsidRPr="00ED36A1">
        <w:rPr>
          <w:rFonts w:eastAsiaTheme="minorHAnsi"/>
          <w:color w:val="212121"/>
          <w:kern w:val="2"/>
          <w:shd w:val="clear" w:color="auto" w:fill="FFFFFF"/>
          <w14:ligatures w14:val="standardContextual"/>
        </w:rPr>
        <w:t>Atarbashi</w:t>
      </w:r>
      <w:proofErr w:type="spellEnd"/>
      <w:r w:rsidRPr="00ED36A1">
        <w:rPr>
          <w:rFonts w:eastAsiaTheme="minorHAnsi"/>
          <w:color w:val="212121"/>
          <w:kern w:val="2"/>
          <w:shd w:val="clear" w:color="auto" w:fill="FFFFFF"/>
          <w14:ligatures w14:val="standardContextual"/>
        </w:rPr>
        <w:t xml:space="preserve"> Moghadam, S., Lotfi, A., </w:t>
      </w:r>
      <w:proofErr w:type="spellStart"/>
      <w:r w:rsidRPr="00ED36A1">
        <w:rPr>
          <w:rFonts w:eastAsiaTheme="minorHAnsi"/>
          <w:color w:val="212121"/>
          <w:kern w:val="2"/>
          <w:shd w:val="clear" w:color="auto" w:fill="FFFFFF"/>
          <w14:ligatures w14:val="standardContextual"/>
        </w:rPr>
        <w:t>Piroozhashemi</w:t>
      </w:r>
      <w:proofErr w:type="spellEnd"/>
      <w:r w:rsidRPr="00ED36A1">
        <w:rPr>
          <w:rFonts w:eastAsiaTheme="minorHAnsi"/>
          <w:color w:val="212121"/>
          <w:kern w:val="2"/>
          <w:shd w:val="clear" w:color="auto" w:fill="FFFFFF"/>
          <w14:ligatures w14:val="standardContextual"/>
        </w:rPr>
        <w:t xml:space="preserve">, B., &amp; Mokhtari, S. (2015). A Retrospective Analysis of Oral Langerhans Cell Histiocytosis in an Iranian Population: a 20-year Evaluation. *Journal of Dentistry (Shiraz)*, *16*(3 </w:t>
      </w:r>
      <w:proofErr w:type="spellStart"/>
      <w:r w:rsidRPr="00ED36A1">
        <w:rPr>
          <w:rFonts w:eastAsiaTheme="minorHAnsi"/>
          <w:color w:val="212121"/>
          <w:kern w:val="2"/>
          <w:shd w:val="clear" w:color="auto" w:fill="FFFFFF"/>
          <w14:ligatures w14:val="standardContextual"/>
        </w:rPr>
        <w:t>Suppl</w:t>
      </w:r>
      <w:proofErr w:type="spellEnd"/>
      <w:r w:rsidRPr="00ED36A1">
        <w:rPr>
          <w:rFonts w:eastAsiaTheme="minorHAnsi"/>
          <w:color w:val="212121"/>
          <w:kern w:val="2"/>
          <w:shd w:val="clear" w:color="auto" w:fill="FFFFFF"/>
          <w14:ligatures w14:val="standardContextual"/>
        </w:rPr>
        <w:t xml:space="preserve">), 274-277. </w:t>
      </w:r>
      <w:hyperlink r:id="rId7" w:history="1">
        <w:r w:rsidRPr="00C533ED">
          <w:rPr>
            <w:rStyle w:val="Hyperlink"/>
            <w:rFonts w:eastAsiaTheme="minorHAnsi"/>
            <w:kern w:val="2"/>
            <w:shd w:val="clear" w:color="auto" w:fill="FFFFFF"/>
            <w14:ligatures w14:val="standardContextual"/>
          </w:rPr>
          <w:t>https://www.ncbi.nlm.nih.gov/pmc/articles/PMC4623830/</w:t>
        </w:r>
      </w:hyperlink>
    </w:p>
    <w:p w14:paraId="55FAD9EA" w14:textId="779ADB41" w:rsidR="00ED36A1" w:rsidRDefault="00ED36A1" w:rsidP="00D13B29">
      <w:pPr>
        <w:pStyle w:val="NormalWeb"/>
        <w:numPr>
          <w:ilvl w:val="0"/>
          <w:numId w:val="1"/>
        </w:numPr>
        <w:jc w:val="both"/>
      </w:pPr>
      <w:r w:rsidRPr="00ED36A1">
        <w:t xml:space="preserve">Martins, M. A. T., </w:t>
      </w:r>
      <w:proofErr w:type="spellStart"/>
      <w:r w:rsidRPr="00ED36A1">
        <w:t>Gheno</w:t>
      </w:r>
      <w:proofErr w:type="spellEnd"/>
      <w:r w:rsidRPr="00ED36A1">
        <w:t xml:space="preserve">, J. L. N., Sant'Ana Filho, M., Pinto, D. S. Jr., Tenis, C. A., &amp; Martins, M. D. (2011). Rare case of unifocal Langerhans cell histiocytosis in four-month-old child. International Journal of </w:t>
      </w:r>
      <w:proofErr w:type="spellStart"/>
      <w:r w:rsidRPr="00ED36A1">
        <w:t>Pediatric</w:t>
      </w:r>
      <w:proofErr w:type="spellEnd"/>
      <w:r w:rsidRPr="00ED36A1">
        <w:t xml:space="preserve"> Otorhinolaryngology, 75(7), 963-967. </w:t>
      </w:r>
      <w:hyperlink r:id="rId8" w:history="1">
        <w:r w:rsidRPr="00C533ED">
          <w:rPr>
            <w:rStyle w:val="Hyperlink"/>
          </w:rPr>
          <w:t>https://doi.org/10.1016/j.ijporl.2011.04.009</w:t>
        </w:r>
      </w:hyperlink>
    </w:p>
    <w:p w14:paraId="71468AE3" w14:textId="50B15466" w:rsidR="00ED36A1" w:rsidRPr="00ED36A1" w:rsidRDefault="00ED36A1" w:rsidP="00D13B29">
      <w:pPr>
        <w:numPr>
          <w:ilvl w:val="0"/>
          <w:numId w:val="1"/>
        </w:numPr>
        <w:spacing w:after="24"/>
        <w:jc w:val="both"/>
        <w:rPr>
          <w:color w:val="000000" w:themeColor="text1"/>
        </w:rPr>
      </w:pPr>
      <w:r w:rsidRPr="00ED36A1">
        <w:t xml:space="preserve">Meyer, J. S., Harty, M. P., Mahboubi, S., Heyman, S., Zimmerman, R. A., Womer, R. B., Dormans, J. P., &amp; </w:t>
      </w:r>
      <w:proofErr w:type="spellStart"/>
      <w:r w:rsidRPr="00ED36A1">
        <w:t>D'Angio</w:t>
      </w:r>
      <w:proofErr w:type="spellEnd"/>
      <w:r w:rsidRPr="00ED36A1">
        <w:t xml:space="preserve">, G. J. (1995). Langerhans cell histiocytosis: Presentation and evolution of radiologic findings with clinical correlation. </w:t>
      </w:r>
      <w:proofErr w:type="spellStart"/>
      <w:r w:rsidRPr="00ED36A1">
        <w:t>Radiographics</w:t>
      </w:r>
      <w:proofErr w:type="spellEnd"/>
      <w:r w:rsidRPr="00ED36A1">
        <w:t xml:space="preserve">, 15(5), 1135-1146. </w:t>
      </w:r>
      <w:hyperlink r:id="rId9" w:history="1">
        <w:r w:rsidRPr="00C533ED">
          <w:rPr>
            <w:rStyle w:val="Hyperlink"/>
          </w:rPr>
          <w:t>https://doi.org/10.1148/radiographics.15.5.7501855</w:t>
        </w:r>
      </w:hyperlink>
    </w:p>
    <w:p w14:paraId="3C66D3EB" w14:textId="1BFA66CF" w:rsidR="00ED36A1" w:rsidRPr="00ED36A1" w:rsidRDefault="00ED36A1" w:rsidP="00D13B29">
      <w:pPr>
        <w:pStyle w:val="NormalWeb"/>
        <w:numPr>
          <w:ilvl w:val="0"/>
          <w:numId w:val="1"/>
        </w:numPr>
        <w:spacing w:before="0" w:beforeAutospacing="0" w:after="0" w:afterAutospacing="0"/>
        <w:jc w:val="both"/>
      </w:pPr>
      <w:r w:rsidRPr="00ED36A1">
        <w:rPr>
          <w:color w:val="000000" w:themeColor="text1"/>
        </w:rPr>
        <w:t xml:space="preserve">Stull, M. A., </w:t>
      </w:r>
      <w:proofErr w:type="spellStart"/>
      <w:r w:rsidRPr="00ED36A1">
        <w:rPr>
          <w:color w:val="000000" w:themeColor="text1"/>
        </w:rPr>
        <w:t>Kransdorf</w:t>
      </w:r>
      <w:proofErr w:type="spellEnd"/>
      <w:r w:rsidRPr="00ED36A1">
        <w:rPr>
          <w:color w:val="000000" w:themeColor="text1"/>
        </w:rPr>
        <w:t xml:space="preserve">, M. J., &amp; Devaney, K. O. (1992). Langerhans cell histiocytosis of bone. </w:t>
      </w:r>
      <w:proofErr w:type="spellStart"/>
      <w:r w:rsidRPr="00ED36A1">
        <w:rPr>
          <w:color w:val="000000" w:themeColor="text1"/>
        </w:rPr>
        <w:t>RadioGraphics</w:t>
      </w:r>
      <w:proofErr w:type="spellEnd"/>
      <w:r w:rsidRPr="00ED36A1">
        <w:rPr>
          <w:color w:val="000000" w:themeColor="text1"/>
        </w:rPr>
        <w:t xml:space="preserve">, 12(4), 801-823. </w:t>
      </w:r>
      <w:hyperlink r:id="rId10" w:history="1">
        <w:r w:rsidRPr="00C533ED">
          <w:rPr>
            <w:rStyle w:val="Hyperlink"/>
          </w:rPr>
          <w:t>https://doi.org/10.1148/radiographics.12.4.1636041</w:t>
        </w:r>
      </w:hyperlink>
    </w:p>
    <w:p w14:paraId="2DB69092" w14:textId="1DD41461" w:rsidR="00ED36A1" w:rsidRDefault="00ED36A1" w:rsidP="00D13B29">
      <w:pPr>
        <w:pStyle w:val="NormalWeb"/>
        <w:numPr>
          <w:ilvl w:val="0"/>
          <w:numId w:val="1"/>
        </w:numPr>
        <w:spacing w:after="0" w:afterAutospacing="0"/>
        <w:jc w:val="both"/>
      </w:pPr>
      <w:r w:rsidRPr="00ED36A1">
        <w:t xml:space="preserve">Öztaş, B., Kurşun, Ş., </w:t>
      </w:r>
      <w:proofErr w:type="spellStart"/>
      <w:r w:rsidRPr="00ED36A1">
        <w:t>Kamburoğlu</w:t>
      </w:r>
      <w:proofErr w:type="spellEnd"/>
      <w:r w:rsidRPr="00ED36A1">
        <w:t xml:space="preserve">, K., </w:t>
      </w:r>
      <w:proofErr w:type="spellStart"/>
      <w:r w:rsidRPr="00ED36A1">
        <w:t>Karaçaylı</w:t>
      </w:r>
      <w:proofErr w:type="spellEnd"/>
      <w:r w:rsidRPr="00ED36A1">
        <w:t xml:space="preserve">, Ü., &amp; Özen, T. (2010). </w:t>
      </w:r>
      <w:proofErr w:type="spellStart"/>
      <w:r w:rsidRPr="00ED36A1">
        <w:t>Kronik</w:t>
      </w:r>
      <w:proofErr w:type="spellEnd"/>
      <w:r w:rsidRPr="00ED36A1">
        <w:t xml:space="preserve"> </w:t>
      </w:r>
      <w:proofErr w:type="spellStart"/>
      <w:r w:rsidRPr="00ED36A1">
        <w:t>Osteomiyelit</w:t>
      </w:r>
      <w:proofErr w:type="spellEnd"/>
      <w:r w:rsidRPr="00ED36A1">
        <w:t xml:space="preserve">: Bir </w:t>
      </w:r>
      <w:proofErr w:type="spellStart"/>
      <w:r w:rsidRPr="00ED36A1">
        <w:t>Olgu</w:t>
      </w:r>
      <w:proofErr w:type="spellEnd"/>
      <w:r w:rsidRPr="00ED36A1">
        <w:t xml:space="preserve"> Sunumu. ADO </w:t>
      </w:r>
      <w:proofErr w:type="spellStart"/>
      <w:r w:rsidRPr="00ED36A1">
        <w:t>Klinik</w:t>
      </w:r>
      <w:proofErr w:type="spellEnd"/>
      <w:r w:rsidRPr="00ED36A1">
        <w:t xml:space="preserve"> </w:t>
      </w:r>
      <w:proofErr w:type="spellStart"/>
      <w:r w:rsidRPr="00ED36A1">
        <w:t>Bilimler</w:t>
      </w:r>
      <w:proofErr w:type="spellEnd"/>
      <w:r w:rsidRPr="00ED36A1">
        <w:t xml:space="preserve"> </w:t>
      </w:r>
      <w:proofErr w:type="spellStart"/>
      <w:r w:rsidRPr="00ED36A1">
        <w:t>Dergisi</w:t>
      </w:r>
      <w:proofErr w:type="spellEnd"/>
      <w:r w:rsidRPr="00ED36A1">
        <w:t xml:space="preserve">, 3(4), 474-478. </w:t>
      </w:r>
      <w:hyperlink r:id="rId11" w:history="1">
        <w:r w:rsidRPr="00C533ED">
          <w:rPr>
            <w:rStyle w:val="Hyperlink"/>
          </w:rPr>
          <w:t>https://dergipark.org.tr/tr/download/article-file/100000</w:t>
        </w:r>
      </w:hyperlink>
    </w:p>
    <w:p w14:paraId="6D62167B" w14:textId="0D330A6E" w:rsidR="00ED36A1" w:rsidRDefault="00ED36A1" w:rsidP="00D13B29">
      <w:pPr>
        <w:pStyle w:val="NormalWeb"/>
        <w:numPr>
          <w:ilvl w:val="0"/>
          <w:numId w:val="1"/>
        </w:numPr>
        <w:jc w:val="both"/>
      </w:pPr>
      <w:r w:rsidRPr="00ED36A1">
        <w:t xml:space="preserve">De Giorgi, V., Sestini, S., Nardini, P., &amp; Carli, P. (2005). A 42-year-old man with a rapidly growing lesion of the soft palate. CMAJ, 173(4), 367. </w:t>
      </w:r>
      <w:hyperlink r:id="rId12" w:history="1">
        <w:r w:rsidRPr="00C533ED">
          <w:rPr>
            <w:rStyle w:val="Hyperlink"/>
          </w:rPr>
          <w:t>https://doi.org/10.1503/cmaj.050242</w:t>
        </w:r>
      </w:hyperlink>
    </w:p>
    <w:p w14:paraId="12B5CDD6" w14:textId="5D090EDE" w:rsidR="00ED36A1" w:rsidRDefault="00ED36A1" w:rsidP="00D13B29">
      <w:pPr>
        <w:pStyle w:val="NormalWeb"/>
        <w:numPr>
          <w:ilvl w:val="0"/>
          <w:numId w:val="1"/>
        </w:numPr>
        <w:jc w:val="both"/>
      </w:pPr>
      <w:r w:rsidRPr="00ED36A1">
        <w:t xml:space="preserve">Parisi, E., Glick, P. H., &amp; Glick, M. (2006). Recurrent intraoral pyogenic granuloma with satellitosis treated with corticosteroids. Oral Diseases, 12(1), 70-72. </w:t>
      </w:r>
      <w:hyperlink r:id="rId13" w:history="1">
        <w:r w:rsidRPr="00C533ED">
          <w:rPr>
            <w:rStyle w:val="Hyperlink"/>
          </w:rPr>
          <w:t>https://doi.org/10.1111/j.1601-0825.2005.01158.x</w:t>
        </w:r>
      </w:hyperlink>
    </w:p>
    <w:p w14:paraId="198680DC" w14:textId="160A9374" w:rsidR="00ED36A1" w:rsidRDefault="00ED36A1" w:rsidP="00D13B29">
      <w:pPr>
        <w:pStyle w:val="NormalWeb"/>
        <w:numPr>
          <w:ilvl w:val="0"/>
          <w:numId w:val="1"/>
        </w:numPr>
        <w:jc w:val="both"/>
      </w:pPr>
      <w:r w:rsidRPr="00ED36A1">
        <w:t xml:space="preserve">Zaballos, P., </w:t>
      </w:r>
      <w:proofErr w:type="spellStart"/>
      <w:r w:rsidRPr="00ED36A1">
        <w:t>Llambrich</w:t>
      </w:r>
      <w:proofErr w:type="spellEnd"/>
      <w:r w:rsidRPr="00ED36A1">
        <w:t xml:space="preserve">, Á., Cuéllar, F., Puig, S., &amp; </w:t>
      </w:r>
      <w:proofErr w:type="spellStart"/>
      <w:r w:rsidRPr="00ED36A1">
        <w:t>Malvehy</w:t>
      </w:r>
      <w:proofErr w:type="spellEnd"/>
      <w:r w:rsidRPr="00ED36A1">
        <w:t xml:space="preserve">, J. (2006). </w:t>
      </w:r>
      <w:proofErr w:type="spellStart"/>
      <w:r w:rsidRPr="00ED36A1">
        <w:t>Dermoscopic</w:t>
      </w:r>
      <w:proofErr w:type="spellEnd"/>
      <w:r w:rsidRPr="00ED36A1">
        <w:t xml:space="preserve"> findings in pyogenic granuloma. *British Journal of Dermatology*, *154*(6), 1108–1111. </w:t>
      </w:r>
      <w:hyperlink r:id="rId14" w:history="1">
        <w:r w:rsidRPr="00C533ED">
          <w:rPr>
            <w:rStyle w:val="Hyperlink"/>
          </w:rPr>
          <w:t>https://doi.org/10.1111/j.1365-2133.2006.07193.x</w:t>
        </w:r>
      </w:hyperlink>
    </w:p>
    <w:p w14:paraId="2A583F8C" w14:textId="50231ECC" w:rsidR="00ED36A1" w:rsidRDefault="00ED36A1" w:rsidP="00D13B29">
      <w:pPr>
        <w:pStyle w:val="NormalWeb"/>
        <w:numPr>
          <w:ilvl w:val="0"/>
          <w:numId w:val="1"/>
        </w:numPr>
        <w:jc w:val="both"/>
      </w:pPr>
      <w:r w:rsidRPr="00ED36A1">
        <w:t xml:space="preserve">Jurkiewicz, B. Z. (2005). Rare case of pyogenic granuloma of the tongue in an 8-week-old child. </w:t>
      </w:r>
      <w:proofErr w:type="spellStart"/>
      <w:r w:rsidRPr="00ED36A1">
        <w:t>Otolaryngologia</w:t>
      </w:r>
      <w:proofErr w:type="spellEnd"/>
      <w:r w:rsidRPr="00ED36A1">
        <w:t xml:space="preserve"> </w:t>
      </w:r>
      <w:proofErr w:type="spellStart"/>
      <w:r w:rsidRPr="00ED36A1">
        <w:t>Polska</w:t>
      </w:r>
      <w:proofErr w:type="spellEnd"/>
      <w:r w:rsidRPr="00ED36A1">
        <w:t xml:space="preserve">, 59(5), 755–758. </w:t>
      </w:r>
      <w:hyperlink r:id="rId15" w:history="1">
        <w:r w:rsidRPr="00C533ED">
          <w:rPr>
            <w:rStyle w:val="Hyperlink"/>
          </w:rPr>
          <w:t>https://pubmed.ncbi.nlm.nih.gov/16471197/</w:t>
        </w:r>
      </w:hyperlink>
    </w:p>
    <w:p w14:paraId="470FE8EA" w14:textId="22DD65A7" w:rsidR="00ED36A1" w:rsidRDefault="00ED36A1" w:rsidP="00D13B29">
      <w:pPr>
        <w:pStyle w:val="NormalWeb"/>
        <w:numPr>
          <w:ilvl w:val="0"/>
          <w:numId w:val="1"/>
        </w:numPr>
        <w:jc w:val="both"/>
      </w:pPr>
      <w:r w:rsidRPr="00ED36A1">
        <w:t xml:space="preserve">Jafarzadeh, H., </w:t>
      </w:r>
      <w:proofErr w:type="spellStart"/>
      <w:r w:rsidRPr="00ED36A1">
        <w:t>Sanatkhani</w:t>
      </w:r>
      <w:proofErr w:type="spellEnd"/>
      <w:r w:rsidRPr="00ED36A1">
        <w:t xml:space="preserve">, M., &amp; </w:t>
      </w:r>
      <w:proofErr w:type="spellStart"/>
      <w:r w:rsidRPr="00ED36A1">
        <w:t>Mohtasham</w:t>
      </w:r>
      <w:proofErr w:type="spellEnd"/>
      <w:r w:rsidRPr="00ED36A1">
        <w:t xml:space="preserve">, N. (2006). Oral pyogenic granuloma: a review. Journal of Oral Science, 48(4), 167–175. </w:t>
      </w:r>
      <w:hyperlink r:id="rId16" w:history="1">
        <w:r w:rsidRPr="00C533ED">
          <w:rPr>
            <w:rStyle w:val="Hyperlink"/>
          </w:rPr>
          <w:t>https://doi.org/10.2334/josnusd.48.167</w:t>
        </w:r>
      </w:hyperlink>
    </w:p>
    <w:p w14:paraId="14A77093" w14:textId="604FDA7E" w:rsidR="00ED36A1" w:rsidRPr="00ED36A1" w:rsidRDefault="00ED36A1" w:rsidP="00D13B29">
      <w:pPr>
        <w:numPr>
          <w:ilvl w:val="0"/>
          <w:numId w:val="1"/>
        </w:numPr>
        <w:spacing w:before="100" w:beforeAutospacing="1" w:after="24"/>
        <w:jc w:val="both"/>
        <w:rPr>
          <w:color w:val="202122"/>
        </w:rPr>
      </w:pPr>
      <w:r w:rsidRPr="00ED36A1">
        <w:rPr>
          <w:color w:val="000000" w:themeColor="text1"/>
        </w:rPr>
        <w:lastRenderedPageBreak/>
        <w:t xml:space="preserve">Broadbent, V., Pritchard, J., Davies, E. G., Levinsky, R. J., </w:t>
      </w:r>
      <w:proofErr w:type="spellStart"/>
      <w:r w:rsidRPr="00ED36A1">
        <w:rPr>
          <w:color w:val="000000" w:themeColor="text1"/>
        </w:rPr>
        <w:t>Heaf</w:t>
      </w:r>
      <w:proofErr w:type="spellEnd"/>
      <w:r w:rsidRPr="00ED36A1">
        <w:rPr>
          <w:color w:val="000000" w:themeColor="text1"/>
        </w:rPr>
        <w:t xml:space="preserve">, D., Atherton, D. J., </w:t>
      </w:r>
      <w:proofErr w:type="spellStart"/>
      <w:r w:rsidRPr="00ED36A1">
        <w:rPr>
          <w:color w:val="000000" w:themeColor="text1"/>
        </w:rPr>
        <w:t>Pincott</w:t>
      </w:r>
      <w:proofErr w:type="spellEnd"/>
      <w:r w:rsidRPr="00ED36A1">
        <w:rPr>
          <w:color w:val="000000" w:themeColor="text1"/>
        </w:rPr>
        <w:t xml:space="preserve">, J. R., &amp; Tucker, S. (1984). Spontaneous remission of multi-system histiocytosis X. The Lancet, 323(8371), 253-254. </w:t>
      </w:r>
      <w:hyperlink r:id="rId17" w:history="1">
        <w:r w:rsidRPr="00C533ED">
          <w:rPr>
            <w:rStyle w:val="Hyperlink"/>
          </w:rPr>
          <w:t>https://doi.org/10.1016/s0140-6736(84)90127-2</w:t>
        </w:r>
      </w:hyperlink>
    </w:p>
    <w:p w14:paraId="6DE919CE" w14:textId="423614CA" w:rsidR="00ED36A1" w:rsidRPr="00ED36A1" w:rsidRDefault="00ED36A1" w:rsidP="00D13B29">
      <w:pPr>
        <w:pStyle w:val="NormalWeb"/>
        <w:numPr>
          <w:ilvl w:val="0"/>
          <w:numId w:val="1"/>
        </w:numPr>
        <w:jc w:val="both"/>
      </w:pPr>
      <w:r w:rsidRPr="00ED36A1">
        <w:rPr>
          <w:color w:val="212121"/>
          <w:shd w:val="clear" w:color="auto" w:fill="FFFFFF"/>
        </w:rPr>
        <w:t xml:space="preserve">De Filippi, P., Badulli, C., Cuccia, M., De Silvestri, A., </w:t>
      </w:r>
      <w:proofErr w:type="spellStart"/>
      <w:r w:rsidRPr="00ED36A1">
        <w:rPr>
          <w:color w:val="212121"/>
          <w:shd w:val="clear" w:color="auto" w:fill="FFFFFF"/>
        </w:rPr>
        <w:t>Dametto</w:t>
      </w:r>
      <w:proofErr w:type="spellEnd"/>
      <w:r w:rsidRPr="00ED36A1">
        <w:rPr>
          <w:color w:val="212121"/>
          <w:shd w:val="clear" w:color="auto" w:fill="FFFFFF"/>
        </w:rPr>
        <w:t xml:space="preserve">, E., Pasi, A., Garaventa, A., del </w:t>
      </w:r>
      <w:proofErr w:type="spellStart"/>
      <w:r w:rsidRPr="00ED36A1">
        <w:rPr>
          <w:color w:val="212121"/>
          <w:shd w:val="clear" w:color="auto" w:fill="FFFFFF"/>
        </w:rPr>
        <w:t>Prever</w:t>
      </w:r>
      <w:proofErr w:type="spellEnd"/>
      <w:r w:rsidRPr="00ED36A1">
        <w:rPr>
          <w:color w:val="212121"/>
          <w:shd w:val="clear" w:color="auto" w:fill="FFFFFF"/>
        </w:rPr>
        <w:t xml:space="preserve">, A. B., Todesco, A., Trizzino, A., </w:t>
      </w:r>
      <w:proofErr w:type="spellStart"/>
      <w:r w:rsidRPr="00ED36A1">
        <w:rPr>
          <w:color w:val="212121"/>
          <w:shd w:val="clear" w:color="auto" w:fill="FFFFFF"/>
        </w:rPr>
        <w:t>Danesino</w:t>
      </w:r>
      <w:proofErr w:type="spellEnd"/>
      <w:r w:rsidRPr="00ED36A1">
        <w:rPr>
          <w:color w:val="212121"/>
          <w:shd w:val="clear" w:color="auto" w:fill="FFFFFF"/>
        </w:rPr>
        <w:t xml:space="preserve">, C., Martinetti, M., &amp; </w:t>
      </w:r>
      <w:proofErr w:type="spellStart"/>
      <w:r w:rsidRPr="00ED36A1">
        <w:rPr>
          <w:color w:val="212121"/>
          <w:shd w:val="clear" w:color="auto" w:fill="FFFFFF"/>
        </w:rPr>
        <w:t>Aricò</w:t>
      </w:r>
      <w:proofErr w:type="spellEnd"/>
      <w:r w:rsidRPr="00ED36A1">
        <w:rPr>
          <w:color w:val="212121"/>
          <w:shd w:val="clear" w:color="auto" w:fill="FFFFFF"/>
        </w:rPr>
        <w:t xml:space="preserve">, M. (2006). Specific polymorphisms of cytokine genes are associated with different risks to develop single-system or multi-system childhood Langerhans cell histiocytosis. British Journal of Haematology, 132(6), 784-787. </w:t>
      </w:r>
      <w:hyperlink r:id="rId18" w:history="1">
        <w:r w:rsidRPr="00C533ED">
          <w:rPr>
            <w:rStyle w:val="Hyperlink"/>
            <w:shd w:val="clear" w:color="auto" w:fill="FFFFFF"/>
          </w:rPr>
          <w:t>https://doi.org/10.1111/j.1365-2141.2005.05922.x</w:t>
        </w:r>
      </w:hyperlink>
    </w:p>
    <w:p w14:paraId="2B27E892" w14:textId="7BDA5811" w:rsidR="00ED36A1" w:rsidRPr="00ED36A1" w:rsidRDefault="00ED36A1" w:rsidP="00D13B29">
      <w:pPr>
        <w:pStyle w:val="ListParagraph"/>
        <w:numPr>
          <w:ilvl w:val="0"/>
          <w:numId w:val="1"/>
        </w:numPr>
        <w:jc w:val="both"/>
        <w:rPr>
          <w:rFonts w:ascii="Times New Roman" w:hAnsi="Times New Roman" w:cs="Times New Roman"/>
        </w:rPr>
      </w:pPr>
      <w:r w:rsidRPr="00ED36A1">
        <w:rPr>
          <w:rFonts w:ascii="Times New Roman" w:eastAsia="Times New Roman" w:hAnsi="Times New Roman" w:cs="Times New Roman"/>
          <w:kern w:val="0"/>
          <w14:ligatures w14:val="none"/>
        </w:rPr>
        <w:t xml:space="preserve">Erdem, A. P., </w:t>
      </w:r>
      <w:proofErr w:type="spellStart"/>
      <w:r w:rsidRPr="00ED36A1">
        <w:rPr>
          <w:rFonts w:ascii="Times New Roman" w:eastAsia="Times New Roman" w:hAnsi="Times New Roman" w:cs="Times New Roman"/>
          <w:kern w:val="0"/>
          <w14:ligatures w14:val="none"/>
        </w:rPr>
        <w:t>Kasimoglu</w:t>
      </w:r>
      <w:proofErr w:type="spellEnd"/>
      <w:r w:rsidRPr="00ED36A1">
        <w:rPr>
          <w:rFonts w:ascii="Times New Roman" w:eastAsia="Times New Roman" w:hAnsi="Times New Roman" w:cs="Times New Roman"/>
          <w:kern w:val="0"/>
          <w14:ligatures w14:val="none"/>
        </w:rPr>
        <w:t xml:space="preserve">, Y., </w:t>
      </w:r>
      <w:proofErr w:type="spellStart"/>
      <w:r w:rsidRPr="00ED36A1">
        <w:rPr>
          <w:rFonts w:ascii="Times New Roman" w:eastAsia="Times New Roman" w:hAnsi="Times New Roman" w:cs="Times New Roman"/>
          <w:kern w:val="0"/>
          <w14:ligatures w14:val="none"/>
        </w:rPr>
        <w:t>Sepet</w:t>
      </w:r>
      <w:proofErr w:type="spellEnd"/>
      <w:r w:rsidRPr="00ED36A1">
        <w:rPr>
          <w:rFonts w:ascii="Times New Roman" w:eastAsia="Times New Roman" w:hAnsi="Times New Roman" w:cs="Times New Roman"/>
          <w:kern w:val="0"/>
          <w14:ligatures w14:val="none"/>
        </w:rPr>
        <w:t xml:space="preserve">, E., Gencay, K., Sahin, S., &amp; </w:t>
      </w:r>
      <w:proofErr w:type="spellStart"/>
      <w:r w:rsidRPr="00ED36A1">
        <w:rPr>
          <w:rFonts w:ascii="Times New Roman" w:eastAsia="Times New Roman" w:hAnsi="Times New Roman" w:cs="Times New Roman"/>
          <w:kern w:val="0"/>
          <w14:ligatures w14:val="none"/>
        </w:rPr>
        <w:t>Dervisoglu</w:t>
      </w:r>
      <w:proofErr w:type="spellEnd"/>
      <w:r w:rsidRPr="00ED36A1">
        <w:rPr>
          <w:rFonts w:ascii="Times New Roman" w:eastAsia="Times New Roman" w:hAnsi="Times New Roman" w:cs="Times New Roman"/>
          <w:kern w:val="0"/>
          <w14:ligatures w14:val="none"/>
        </w:rPr>
        <w:t xml:space="preserve">, S. (2013). Oral manifestations may be the first sign of Langerhans cell histiocytosis. Oral Health &amp; Preventive Dentistry, 11(1), 57-59. </w:t>
      </w:r>
      <w:hyperlink r:id="rId19" w:history="1">
        <w:r w:rsidRPr="00C533ED">
          <w:rPr>
            <w:rStyle w:val="Hyperlink"/>
            <w:rFonts w:ascii="Times New Roman" w:eastAsia="Times New Roman" w:hAnsi="Times New Roman" w:cs="Times New Roman"/>
            <w:kern w:val="0"/>
            <w14:ligatures w14:val="none"/>
          </w:rPr>
          <w:t>https://doi.org/10.3290/j.ohpd.a29376</w:t>
        </w:r>
      </w:hyperlink>
    </w:p>
    <w:p w14:paraId="56188F7B" w14:textId="642BA3F5"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Scappaticci, S., </w:t>
      </w:r>
      <w:proofErr w:type="spellStart"/>
      <w:r w:rsidRPr="00ED36A1">
        <w:rPr>
          <w:rFonts w:ascii="Times New Roman" w:hAnsi="Times New Roman" w:cs="Times New Roman"/>
        </w:rPr>
        <w:t>Danesino</w:t>
      </w:r>
      <w:proofErr w:type="spellEnd"/>
      <w:r w:rsidRPr="00ED36A1">
        <w:rPr>
          <w:rFonts w:ascii="Times New Roman" w:hAnsi="Times New Roman" w:cs="Times New Roman"/>
        </w:rPr>
        <w:t xml:space="preserve">, C., Rossi, E., </w:t>
      </w:r>
      <w:proofErr w:type="spellStart"/>
      <w:r w:rsidRPr="00ED36A1">
        <w:rPr>
          <w:rFonts w:ascii="Times New Roman" w:hAnsi="Times New Roman" w:cs="Times New Roman"/>
        </w:rPr>
        <w:t>Klersy</w:t>
      </w:r>
      <w:proofErr w:type="spellEnd"/>
      <w:r w:rsidRPr="00ED36A1">
        <w:rPr>
          <w:rFonts w:ascii="Times New Roman" w:hAnsi="Times New Roman" w:cs="Times New Roman"/>
        </w:rPr>
        <w:t xml:space="preserve">, C., Fiori, G. M., Clementi, R., Russotto, V. S., Bossi, G., &amp; </w:t>
      </w:r>
      <w:proofErr w:type="spellStart"/>
      <w:r w:rsidRPr="00ED36A1">
        <w:rPr>
          <w:rFonts w:ascii="Times New Roman" w:hAnsi="Times New Roman" w:cs="Times New Roman"/>
        </w:rPr>
        <w:t>Aricò</w:t>
      </w:r>
      <w:proofErr w:type="spellEnd"/>
      <w:r w:rsidRPr="00ED36A1">
        <w:rPr>
          <w:rFonts w:ascii="Times New Roman" w:hAnsi="Times New Roman" w:cs="Times New Roman"/>
        </w:rPr>
        <w:t xml:space="preserve">, M. (2000). Cytogenetic abnormalities in PHA-stimulated lymphocytes from patients with Langerhans cell histiocytosis. British Journal of Haematology, 111(1), 258-262. </w:t>
      </w:r>
      <w:hyperlink r:id="rId20" w:history="1">
        <w:r w:rsidRPr="00C533ED">
          <w:rPr>
            <w:rStyle w:val="Hyperlink"/>
            <w:rFonts w:ascii="Times New Roman" w:hAnsi="Times New Roman" w:cs="Times New Roman"/>
          </w:rPr>
          <w:t>https://doi.org/10.1046/j.1365-2141.2000.02313.x</w:t>
        </w:r>
      </w:hyperlink>
    </w:p>
    <w:p w14:paraId="5B046F5A" w14:textId="76543F6B"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Willman, C. L., &amp; McClain, K. L. (1998). An update on clonality, cytokines, and viral </w:t>
      </w:r>
      <w:proofErr w:type="spellStart"/>
      <w:r w:rsidRPr="00ED36A1">
        <w:rPr>
          <w:rFonts w:ascii="Times New Roman" w:hAnsi="Times New Roman" w:cs="Times New Roman"/>
        </w:rPr>
        <w:t>etiology</w:t>
      </w:r>
      <w:proofErr w:type="spellEnd"/>
      <w:r w:rsidRPr="00ED36A1">
        <w:rPr>
          <w:rFonts w:ascii="Times New Roman" w:hAnsi="Times New Roman" w:cs="Times New Roman"/>
        </w:rPr>
        <w:t xml:space="preserve"> in Langerhans cell histiocytosis. </w:t>
      </w:r>
      <w:proofErr w:type="spellStart"/>
      <w:r w:rsidRPr="00ED36A1">
        <w:rPr>
          <w:rFonts w:ascii="Times New Roman" w:hAnsi="Times New Roman" w:cs="Times New Roman"/>
        </w:rPr>
        <w:t>Hematology</w:t>
      </w:r>
      <w:proofErr w:type="spellEnd"/>
      <w:r w:rsidRPr="00ED36A1">
        <w:rPr>
          <w:rFonts w:ascii="Times New Roman" w:hAnsi="Times New Roman" w:cs="Times New Roman"/>
        </w:rPr>
        <w:t xml:space="preserve">/Oncology Clinics of North America, 12(2), 407–416. </w:t>
      </w:r>
      <w:hyperlink r:id="rId21" w:history="1">
        <w:r w:rsidRPr="00C533ED">
          <w:rPr>
            <w:rStyle w:val="Hyperlink"/>
            <w:rFonts w:ascii="Times New Roman" w:hAnsi="Times New Roman" w:cs="Times New Roman"/>
          </w:rPr>
          <w:t>https://doi.org/10.1016/s0889-8588(05)70519-0</w:t>
        </w:r>
      </w:hyperlink>
    </w:p>
    <w:p w14:paraId="5C1EB88D" w14:textId="2DB9099F"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Dreyer, Z. E., Dowell, B. L., Chen, H., Hawkins, E., &amp; McClain, K. L. (1991). Infection-associated hemophagocytic syndrome. Evidence for Epstein-Barr virus gene expression. American Journal of </w:t>
      </w:r>
      <w:proofErr w:type="spellStart"/>
      <w:r w:rsidRPr="00ED36A1">
        <w:rPr>
          <w:rFonts w:ascii="Times New Roman" w:hAnsi="Times New Roman" w:cs="Times New Roman"/>
        </w:rPr>
        <w:t>Pediatric</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Hematology</w:t>
      </w:r>
      <w:proofErr w:type="spellEnd"/>
      <w:r w:rsidRPr="00ED36A1">
        <w:rPr>
          <w:rFonts w:ascii="Times New Roman" w:hAnsi="Times New Roman" w:cs="Times New Roman"/>
        </w:rPr>
        <w:t xml:space="preserve">/Oncology, 13(4), 476–481. </w:t>
      </w:r>
      <w:hyperlink r:id="rId22" w:history="1">
        <w:r w:rsidRPr="00C533ED">
          <w:rPr>
            <w:rStyle w:val="Hyperlink"/>
            <w:rFonts w:ascii="Times New Roman" w:hAnsi="Times New Roman" w:cs="Times New Roman"/>
          </w:rPr>
          <w:t>https://doi.org/10.1097/00043426-199124000-00015</w:t>
        </w:r>
      </w:hyperlink>
    </w:p>
    <w:p w14:paraId="1C89D702" w14:textId="0ACC1A9F"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McClain, K., Jin, H., Gresik, V., &amp; Favara, B. (1994). Langerhans cell histiocytosis: lack of a viral </w:t>
      </w:r>
      <w:proofErr w:type="spellStart"/>
      <w:r w:rsidRPr="00ED36A1">
        <w:rPr>
          <w:rFonts w:ascii="Times New Roman" w:hAnsi="Times New Roman" w:cs="Times New Roman"/>
        </w:rPr>
        <w:t>etiology</w:t>
      </w:r>
      <w:proofErr w:type="spellEnd"/>
      <w:r w:rsidRPr="00ED36A1">
        <w:rPr>
          <w:rFonts w:ascii="Times New Roman" w:hAnsi="Times New Roman" w:cs="Times New Roman"/>
        </w:rPr>
        <w:t xml:space="preserve">. American Journal of </w:t>
      </w:r>
      <w:proofErr w:type="spellStart"/>
      <w:r w:rsidRPr="00ED36A1">
        <w:rPr>
          <w:rFonts w:ascii="Times New Roman" w:hAnsi="Times New Roman" w:cs="Times New Roman"/>
        </w:rPr>
        <w:t>Hematology</w:t>
      </w:r>
      <w:proofErr w:type="spellEnd"/>
      <w:r w:rsidRPr="00ED36A1">
        <w:rPr>
          <w:rFonts w:ascii="Times New Roman" w:hAnsi="Times New Roman" w:cs="Times New Roman"/>
        </w:rPr>
        <w:t xml:space="preserve">, 47(1), 16-20. </w:t>
      </w:r>
      <w:hyperlink r:id="rId23" w:history="1">
        <w:r w:rsidRPr="00C533ED">
          <w:rPr>
            <w:rStyle w:val="Hyperlink"/>
            <w:rFonts w:ascii="Times New Roman" w:hAnsi="Times New Roman" w:cs="Times New Roman"/>
          </w:rPr>
          <w:t>https://doi.org/10.1002/ajh.2830470104</w:t>
        </w:r>
      </w:hyperlink>
    </w:p>
    <w:p w14:paraId="61799329" w14:textId="036AFA53"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Jordan, M. B., McClain, K. L., Yan, X., Hicks, J., &amp; Jaffe, R. (2005). Anti-CD52 antibody, alemtuzumab, binds to Langerhans cells in Langerhans cell histiocytosis. </w:t>
      </w:r>
      <w:proofErr w:type="spellStart"/>
      <w:r w:rsidRPr="00ED36A1">
        <w:rPr>
          <w:rFonts w:ascii="Times New Roman" w:hAnsi="Times New Roman" w:cs="Times New Roman"/>
        </w:rPr>
        <w:t>Pediatric</w:t>
      </w:r>
      <w:proofErr w:type="spellEnd"/>
      <w:r w:rsidRPr="00ED36A1">
        <w:rPr>
          <w:rFonts w:ascii="Times New Roman" w:hAnsi="Times New Roman" w:cs="Times New Roman"/>
        </w:rPr>
        <w:t xml:space="preserve"> Blood &amp; Cancer, 44(3), 251-254. </w:t>
      </w:r>
      <w:hyperlink r:id="rId24" w:history="1">
        <w:r w:rsidRPr="00C533ED">
          <w:rPr>
            <w:rStyle w:val="Hyperlink"/>
            <w:rFonts w:ascii="Times New Roman" w:hAnsi="Times New Roman" w:cs="Times New Roman"/>
          </w:rPr>
          <w:t>https://doi.org/10.1002/pbc.20181</w:t>
        </w:r>
      </w:hyperlink>
    </w:p>
    <w:p w14:paraId="1E0E90CB" w14:textId="120B98EE" w:rsidR="00ED36A1" w:rsidRDefault="00ED36A1" w:rsidP="00D13B29">
      <w:pPr>
        <w:pStyle w:val="ListParagraph"/>
        <w:numPr>
          <w:ilvl w:val="0"/>
          <w:numId w:val="1"/>
        </w:numPr>
        <w:spacing w:after="0"/>
        <w:jc w:val="both"/>
        <w:rPr>
          <w:rFonts w:ascii="Times New Roman" w:hAnsi="Times New Roman" w:cs="Times New Roman"/>
        </w:rPr>
      </w:pPr>
      <w:r w:rsidRPr="00ED36A1">
        <w:rPr>
          <w:rFonts w:ascii="Times New Roman" w:hAnsi="Times New Roman" w:cs="Times New Roman"/>
        </w:rPr>
        <w:t xml:space="preserve">Betts, D. R., </w:t>
      </w:r>
      <w:proofErr w:type="spellStart"/>
      <w:r w:rsidRPr="00ED36A1">
        <w:rPr>
          <w:rFonts w:ascii="Times New Roman" w:hAnsi="Times New Roman" w:cs="Times New Roman"/>
        </w:rPr>
        <w:t>Leibundgut</w:t>
      </w:r>
      <w:proofErr w:type="spellEnd"/>
      <w:r w:rsidRPr="00ED36A1">
        <w:rPr>
          <w:rFonts w:ascii="Times New Roman" w:hAnsi="Times New Roman" w:cs="Times New Roman"/>
        </w:rPr>
        <w:t xml:space="preserve">, K. E., </w:t>
      </w:r>
      <w:proofErr w:type="spellStart"/>
      <w:r w:rsidRPr="00ED36A1">
        <w:rPr>
          <w:rFonts w:ascii="Times New Roman" w:hAnsi="Times New Roman" w:cs="Times New Roman"/>
        </w:rPr>
        <w:t>Feldges</w:t>
      </w:r>
      <w:proofErr w:type="spellEnd"/>
      <w:r w:rsidRPr="00ED36A1">
        <w:rPr>
          <w:rFonts w:ascii="Times New Roman" w:hAnsi="Times New Roman" w:cs="Times New Roman"/>
        </w:rPr>
        <w:t xml:space="preserve">, A., </w:t>
      </w:r>
      <w:proofErr w:type="spellStart"/>
      <w:r w:rsidRPr="00ED36A1">
        <w:rPr>
          <w:rFonts w:ascii="Times New Roman" w:hAnsi="Times New Roman" w:cs="Times New Roman"/>
        </w:rPr>
        <w:t>Plüss</w:t>
      </w:r>
      <w:proofErr w:type="spellEnd"/>
      <w:r w:rsidRPr="00ED36A1">
        <w:rPr>
          <w:rFonts w:ascii="Times New Roman" w:hAnsi="Times New Roman" w:cs="Times New Roman"/>
        </w:rPr>
        <w:t xml:space="preserve">, H. J., &amp; Niggli, F. K. (1998). Cytogenetic abnormalities in Langerhans cell histiocytosis. British Journal of Cancer, 77(4), 552-555. </w:t>
      </w:r>
      <w:hyperlink r:id="rId25" w:history="1">
        <w:r w:rsidRPr="00C533ED">
          <w:rPr>
            <w:rStyle w:val="Hyperlink"/>
            <w:rFonts w:ascii="Times New Roman" w:hAnsi="Times New Roman" w:cs="Times New Roman"/>
          </w:rPr>
          <w:t>https://doi.org/10.1038/bjc.1998.89</w:t>
        </w:r>
      </w:hyperlink>
    </w:p>
    <w:p w14:paraId="4E426241" w14:textId="59B8B112" w:rsidR="00ED36A1" w:rsidRPr="00ED36A1" w:rsidRDefault="00ED36A1" w:rsidP="00D13B29">
      <w:pPr>
        <w:pStyle w:val="NormalWeb"/>
        <w:numPr>
          <w:ilvl w:val="0"/>
          <w:numId w:val="1"/>
        </w:numPr>
        <w:jc w:val="both"/>
        <w:rPr>
          <w:color w:val="212121"/>
          <w:shd w:val="clear" w:color="auto" w:fill="FFFFFF"/>
        </w:rPr>
      </w:pPr>
      <w:proofErr w:type="spellStart"/>
      <w:r w:rsidRPr="00ED36A1">
        <w:rPr>
          <w:rFonts w:eastAsiaTheme="minorHAnsi"/>
          <w:kern w:val="2"/>
          <w14:ligatures w14:val="standardContextual"/>
        </w:rPr>
        <w:t>Kapukaya</w:t>
      </w:r>
      <w:proofErr w:type="spellEnd"/>
      <w:r w:rsidRPr="00ED36A1">
        <w:rPr>
          <w:rFonts w:eastAsiaTheme="minorHAnsi"/>
          <w:kern w:val="2"/>
          <w14:ligatures w14:val="standardContextual"/>
        </w:rPr>
        <w:t>, A., Işık, R., Alemdar, C., &amp; Yıldırım, A. (2013). Langerhans-</w:t>
      </w:r>
      <w:proofErr w:type="spellStart"/>
      <w:r w:rsidRPr="00ED36A1">
        <w:rPr>
          <w:rFonts w:eastAsiaTheme="minorHAnsi"/>
          <w:kern w:val="2"/>
          <w14:ligatures w14:val="standardContextual"/>
        </w:rPr>
        <w:t>hücreli</w:t>
      </w:r>
      <w:proofErr w:type="spellEnd"/>
      <w:r w:rsidRPr="00ED36A1">
        <w:rPr>
          <w:rFonts w:eastAsiaTheme="minorHAnsi"/>
          <w:kern w:val="2"/>
          <w14:ligatures w14:val="standardContextual"/>
        </w:rPr>
        <w:t xml:space="preserve"> </w:t>
      </w:r>
      <w:proofErr w:type="spellStart"/>
      <w:r w:rsidRPr="00ED36A1">
        <w:rPr>
          <w:rFonts w:eastAsiaTheme="minorHAnsi"/>
          <w:kern w:val="2"/>
          <w14:ligatures w14:val="standardContextual"/>
        </w:rPr>
        <w:t>histiyositoz</w:t>
      </w:r>
      <w:proofErr w:type="spellEnd"/>
      <w:r w:rsidRPr="00ED36A1">
        <w:rPr>
          <w:rFonts w:eastAsiaTheme="minorHAnsi"/>
          <w:kern w:val="2"/>
          <w14:ligatures w14:val="standardContextual"/>
        </w:rPr>
        <w:t xml:space="preserve">. TOTBİD </w:t>
      </w:r>
      <w:proofErr w:type="spellStart"/>
      <w:r w:rsidRPr="00ED36A1">
        <w:rPr>
          <w:rFonts w:eastAsiaTheme="minorHAnsi"/>
          <w:kern w:val="2"/>
          <w14:ligatures w14:val="standardContextual"/>
        </w:rPr>
        <w:t>Dergisi</w:t>
      </w:r>
      <w:proofErr w:type="spellEnd"/>
      <w:r w:rsidRPr="00ED36A1">
        <w:rPr>
          <w:rFonts w:eastAsiaTheme="minorHAnsi"/>
          <w:kern w:val="2"/>
          <w14:ligatures w14:val="standardContextual"/>
        </w:rPr>
        <w:t xml:space="preserve">, 12, 547-556. </w:t>
      </w:r>
      <w:hyperlink r:id="rId26" w:history="1">
        <w:r w:rsidRPr="00C533ED">
          <w:rPr>
            <w:rStyle w:val="Hyperlink"/>
            <w:rFonts w:eastAsiaTheme="minorHAnsi"/>
            <w:kern w:val="2"/>
            <w14:ligatures w14:val="standardContextual"/>
          </w:rPr>
          <w:t>https://doi.org/10.14292/totbid.dergisi.2013.64</w:t>
        </w:r>
      </w:hyperlink>
    </w:p>
    <w:p w14:paraId="5EECD884" w14:textId="18A0BC9A" w:rsidR="00ED36A1" w:rsidRPr="00ED36A1" w:rsidRDefault="00ED36A1" w:rsidP="00D13B29">
      <w:pPr>
        <w:pStyle w:val="NormalWeb"/>
        <w:numPr>
          <w:ilvl w:val="0"/>
          <w:numId w:val="1"/>
        </w:numPr>
        <w:shd w:val="clear" w:color="auto" w:fill="FFFFFF"/>
        <w:jc w:val="both"/>
        <w:rPr>
          <w:color w:val="212121"/>
        </w:rPr>
      </w:pPr>
      <w:r w:rsidRPr="00ED36A1">
        <w:rPr>
          <w:color w:val="212121"/>
          <w:shd w:val="clear" w:color="auto" w:fill="FFFFFF"/>
        </w:rPr>
        <w:t xml:space="preserve">Faustino, I. S. P., Fernandes, P. M., Pontes, H. A. R., Mosqueda-Taylor, A., Santos-Silva, A. R., Vargas, P. A., &amp; Lopes, M. A. (2021). Langerhans cell histiocytosis in the oral and maxillofacial region: An update. Journal of Oral Pathology &amp; Medicine, 50(6), 565-571. </w:t>
      </w:r>
      <w:hyperlink r:id="rId27" w:history="1">
        <w:r w:rsidRPr="00C533ED">
          <w:rPr>
            <w:rStyle w:val="Hyperlink"/>
            <w:shd w:val="clear" w:color="auto" w:fill="FFFFFF"/>
          </w:rPr>
          <w:t>https://doi.org/10.1111/jop.13207</w:t>
        </w:r>
      </w:hyperlink>
    </w:p>
    <w:p w14:paraId="04A2E162" w14:textId="0EE9639D" w:rsidR="00ED36A1" w:rsidRPr="00ED36A1" w:rsidRDefault="00ED36A1" w:rsidP="00D13B29">
      <w:pPr>
        <w:pStyle w:val="NormalWeb"/>
        <w:numPr>
          <w:ilvl w:val="0"/>
          <w:numId w:val="1"/>
        </w:numPr>
        <w:jc w:val="both"/>
      </w:pPr>
      <w:r w:rsidRPr="00ED36A1">
        <w:rPr>
          <w:color w:val="212121"/>
        </w:rPr>
        <w:t xml:space="preserve">Allen, C. E., Merad, M., &amp; McClain, K. L. (2018). Langerhans-cell histiocytosis. New England Journal of Medicine, 379(9), 856–868. </w:t>
      </w:r>
      <w:hyperlink r:id="rId28" w:history="1">
        <w:r w:rsidRPr="00C533ED">
          <w:rPr>
            <w:rStyle w:val="Hyperlink"/>
          </w:rPr>
          <w:t>https://doi.org/10.1056/NEJMra1607548</w:t>
        </w:r>
      </w:hyperlink>
    </w:p>
    <w:p w14:paraId="6065A33E" w14:textId="6ECC3A47" w:rsidR="00ED36A1" w:rsidRPr="00ED36A1" w:rsidRDefault="00ED36A1" w:rsidP="00D13B29">
      <w:pPr>
        <w:pStyle w:val="ListParagraph"/>
        <w:numPr>
          <w:ilvl w:val="0"/>
          <w:numId w:val="1"/>
        </w:numPr>
        <w:jc w:val="both"/>
        <w:rPr>
          <w:rFonts w:ascii="Times New Roman" w:hAnsi="Times New Roman" w:cs="Times New Roman"/>
        </w:rPr>
      </w:pPr>
      <w:r w:rsidRPr="00ED36A1">
        <w:rPr>
          <w:rFonts w:ascii="Times New Roman" w:eastAsia="Times New Roman" w:hAnsi="Times New Roman" w:cs="Times New Roman"/>
          <w:kern w:val="0"/>
          <w14:ligatures w14:val="none"/>
        </w:rPr>
        <w:t xml:space="preserve">Padmanaban, K., </w:t>
      </w:r>
      <w:proofErr w:type="spellStart"/>
      <w:r w:rsidRPr="00ED36A1">
        <w:rPr>
          <w:rFonts w:ascii="Times New Roman" w:eastAsia="Times New Roman" w:hAnsi="Times New Roman" w:cs="Times New Roman"/>
          <w:kern w:val="0"/>
          <w14:ligatures w14:val="none"/>
        </w:rPr>
        <w:t>Kamalakaran</w:t>
      </w:r>
      <w:proofErr w:type="spellEnd"/>
      <w:r w:rsidRPr="00ED36A1">
        <w:rPr>
          <w:rFonts w:ascii="Times New Roman" w:eastAsia="Times New Roman" w:hAnsi="Times New Roman" w:cs="Times New Roman"/>
          <w:kern w:val="0"/>
          <w14:ligatures w14:val="none"/>
        </w:rPr>
        <w:t xml:space="preserve">, A., Raghavan, P., Palani, T., &amp; Rajiah, D. (2022). Langerhans Cell Histiocytosis of the Mandible. Cureus, 14(8), e28222. </w:t>
      </w:r>
      <w:hyperlink r:id="rId29" w:history="1">
        <w:r w:rsidRPr="00C533ED">
          <w:rPr>
            <w:rStyle w:val="Hyperlink"/>
            <w:rFonts w:ascii="Times New Roman" w:eastAsia="Times New Roman" w:hAnsi="Times New Roman" w:cs="Times New Roman"/>
            <w:kern w:val="0"/>
            <w14:ligatures w14:val="none"/>
          </w:rPr>
          <w:t>https://doi.org/10.7759/cureus.28222</w:t>
        </w:r>
      </w:hyperlink>
    </w:p>
    <w:p w14:paraId="689C1C18" w14:textId="4E3B4788"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lastRenderedPageBreak/>
        <w:t xml:space="preserve">Sümer, P., &amp; Bodur, F. Z. (2019). Langerhans </w:t>
      </w:r>
      <w:proofErr w:type="spellStart"/>
      <w:r w:rsidRPr="00ED36A1">
        <w:rPr>
          <w:rFonts w:ascii="Times New Roman" w:hAnsi="Times New Roman" w:cs="Times New Roman"/>
        </w:rPr>
        <w:t>Hücresi</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Histiositozisi</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Olgu</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Sunumu</w:t>
      </w:r>
      <w:proofErr w:type="spellEnd"/>
      <w:r w:rsidRPr="00ED36A1">
        <w:rPr>
          <w:rFonts w:ascii="Times New Roman" w:hAnsi="Times New Roman" w:cs="Times New Roman"/>
        </w:rPr>
        <w:t>. Journal of International Dental Sciences (</w:t>
      </w:r>
      <w:proofErr w:type="spellStart"/>
      <w:r w:rsidRPr="00ED36A1">
        <w:rPr>
          <w:rFonts w:ascii="Times New Roman" w:hAnsi="Times New Roman" w:cs="Times New Roman"/>
        </w:rPr>
        <w:t>Uluslararası</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Diş</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Hekimliği</w:t>
      </w:r>
      <w:proofErr w:type="spellEnd"/>
      <w:r w:rsidRPr="00ED36A1">
        <w:rPr>
          <w:rFonts w:ascii="Times New Roman" w:hAnsi="Times New Roman" w:cs="Times New Roman"/>
        </w:rPr>
        <w:t xml:space="preserve"> </w:t>
      </w:r>
      <w:proofErr w:type="spellStart"/>
      <w:r w:rsidRPr="00ED36A1">
        <w:rPr>
          <w:rFonts w:ascii="Times New Roman" w:hAnsi="Times New Roman" w:cs="Times New Roman"/>
        </w:rPr>
        <w:t>Bilimleri</w:t>
      </w:r>
      <w:proofErr w:type="spellEnd"/>
      <w:r w:rsidRPr="00ED36A1">
        <w:rPr>
          <w:rFonts w:ascii="Times New Roman" w:hAnsi="Times New Roman" w:cs="Times New Roman"/>
        </w:rPr>
        <w:t xml:space="preserve"> Dergisi), 5(3), 62-65. </w:t>
      </w:r>
      <w:hyperlink r:id="rId30" w:history="1">
        <w:r w:rsidRPr="00C533ED">
          <w:rPr>
            <w:rStyle w:val="Hyperlink"/>
            <w:rFonts w:ascii="Times New Roman" w:hAnsi="Times New Roman" w:cs="Times New Roman"/>
          </w:rPr>
          <w:t>https://dergipark.org.tr/en/pub/jids/issue/49957/640900</w:t>
        </w:r>
      </w:hyperlink>
    </w:p>
    <w:p w14:paraId="3DC9EBA4" w14:textId="2D193DBF" w:rsidR="00ED36A1" w:rsidRDefault="00ED36A1" w:rsidP="00D13B29">
      <w:pPr>
        <w:pStyle w:val="ListParagraph"/>
        <w:numPr>
          <w:ilvl w:val="0"/>
          <w:numId w:val="1"/>
        </w:numPr>
        <w:jc w:val="both"/>
        <w:rPr>
          <w:rFonts w:ascii="Times New Roman" w:hAnsi="Times New Roman" w:cs="Times New Roman"/>
        </w:rPr>
      </w:pPr>
      <w:r w:rsidRPr="00ED36A1">
        <w:rPr>
          <w:rFonts w:ascii="Times New Roman" w:hAnsi="Times New Roman" w:cs="Times New Roman"/>
        </w:rPr>
        <w:t xml:space="preserve">White, S. C., &amp; Pharoah, M. J. (2000). Oral radiology: Principles and interpretation. Mosby. </w:t>
      </w:r>
      <w:hyperlink r:id="rId31" w:history="1">
        <w:r w:rsidRPr="00C533ED">
          <w:rPr>
            <w:rStyle w:val="Hyperlink"/>
            <w:rFonts w:ascii="Times New Roman" w:hAnsi="Times New Roman" w:cs="Times New Roman"/>
          </w:rPr>
          <w:t>https://www.ncbi.nlm.nih.gov/nlmcatalog/100883229</w:t>
        </w:r>
      </w:hyperlink>
    </w:p>
    <w:p w14:paraId="3C530429" w14:textId="3BFEDA49" w:rsidR="00D13B29" w:rsidRPr="00ED36A1" w:rsidRDefault="00ED36A1" w:rsidP="00ED36A1">
      <w:pPr>
        <w:pStyle w:val="ListParagraph"/>
        <w:numPr>
          <w:ilvl w:val="0"/>
          <w:numId w:val="1"/>
        </w:numPr>
      </w:pPr>
      <w:r w:rsidRPr="00ED36A1">
        <w:t xml:space="preserve">Gonçalves, C. F., Morais, M. O., de Cassia Gonçalves Alencar, R., Batista, A. C., &amp; Mendonça, E. F. (2016). Solitary </w:t>
      </w:r>
      <w:proofErr w:type="spellStart"/>
      <w:r w:rsidRPr="00ED36A1">
        <w:t>langerhans</w:t>
      </w:r>
      <w:proofErr w:type="spellEnd"/>
      <w:r w:rsidRPr="00ED36A1">
        <w:t xml:space="preserve"> cell histiocytosis in an adult: case report and literature review. BMC Research Notes, 9, 19. </w:t>
      </w:r>
      <w:hyperlink r:id="rId32" w:history="1">
        <w:r w:rsidRPr="00ED36A1">
          <w:rPr>
            <w:rStyle w:val="Hyperlink"/>
          </w:rPr>
          <w:t>https://doi.org/10.1186/s13104-015-1799-z</w:t>
        </w:r>
      </w:hyperlink>
    </w:p>
    <w:p w14:paraId="14730198" w14:textId="77777777" w:rsidR="00ED36A1" w:rsidRDefault="00ED36A1" w:rsidP="00D13B29">
      <w:pPr>
        <w:ind w:firstLine="720"/>
      </w:pPr>
    </w:p>
    <w:p w14:paraId="3B729BB9" w14:textId="025BDFC9" w:rsidR="00A80442" w:rsidRDefault="00A80442"/>
    <w:sectPr w:rsidR="00A80442">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74B95" w14:textId="77777777" w:rsidR="002264E6" w:rsidRDefault="002264E6" w:rsidP="008A4C93">
      <w:r>
        <w:separator/>
      </w:r>
    </w:p>
  </w:endnote>
  <w:endnote w:type="continuationSeparator" w:id="0">
    <w:p w14:paraId="4F8C52D6" w14:textId="77777777" w:rsidR="002264E6" w:rsidRDefault="002264E6" w:rsidP="008A4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F27BF" w14:textId="77777777" w:rsidR="008A4C93" w:rsidRDefault="008A4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3D9A5" w14:textId="77777777" w:rsidR="008A4C93" w:rsidRDefault="008A4C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64A7" w14:textId="77777777" w:rsidR="008A4C93" w:rsidRDefault="008A4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7901E" w14:textId="77777777" w:rsidR="002264E6" w:rsidRDefault="002264E6" w:rsidP="008A4C93">
      <w:r>
        <w:separator/>
      </w:r>
    </w:p>
  </w:footnote>
  <w:footnote w:type="continuationSeparator" w:id="0">
    <w:p w14:paraId="4A892D4F" w14:textId="77777777" w:rsidR="002264E6" w:rsidRDefault="002264E6" w:rsidP="008A4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3FF50" w14:textId="3A37F279" w:rsidR="008A4C93" w:rsidRDefault="008A4C93">
    <w:pPr>
      <w:pStyle w:val="Header"/>
    </w:pPr>
    <w:r>
      <w:rPr>
        <w:noProof/>
      </w:rPr>
      <w:pict w14:anchorId="3D4C7B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426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4C2E8" w14:textId="4E2D0EE0" w:rsidR="008A4C93" w:rsidRDefault="008A4C93">
    <w:pPr>
      <w:pStyle w:val="Header"/>
    </w:pPr>
    <w:r>
      <w:rPr>
        <w:noProof/>
      </w:rPr>
      <w:pict w14:anchorId="5F8A0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426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3E5B" w14:textId="44C19CEC" w:rsidR="008A4C93" w:rsidRDefault="008A4C93">
    <w:pPr>
      <w:pStyle w:val="Header"/>
    </w:pPr>
    <w:r>
      <w:rPr>
        <w:noProof/>
      </w:rPr>
      <w:pict w14:anchorId="3ED67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37426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592FEF"/>
    <w:multiLevelType w:val="multilevel"/>
    <w:tmpl w:val="99109BC0"/>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20"/>
    <w:rsid w:val="00000FC7"/>
    <w:rsid w:val="00145ABD"/>
    <w:rsid w:val="001563A8"/>
    <w:rsid w:val="001670B0"/>
    <w:rsid w:val="0019613E"/>
    <w:rsid w:val="001C1714"/>
    <w:rsid w:val="002264E6"/>
    <w:rsid w:val="0026073C"/>
    <w:rsid w:val="002C1E4B"/>
    <w:rsid w:val="002D1BCE"/>
    <w:rsid w:val="003E1812"/>
    <w:rsid w:val="003E421D"/>
    <w:rsid w:val="00410305"/>
    <w:rsid w:val="004306DC"/>
    <w:rsid w:val="004E5370"/>
    <w:rsid w:val="00543B86"/>
    <w:rsid w:val="00596D5B"/>
    <w:rsid w:val="005B7174"/>
    <w:rsid w:val="005D2D22"/>
    <w:rsid w:val="005F6120"/>
    <w:rsid w:val="006370AC"/>
    <w:rsid w:val="00663A94"/>
    <w:rsid w:val="006A2423"/>
    <w:rsid w:val="008679FF"/>
    <w:rsid w:val="00895D1E"/>
    <w:rsid w:val="008A4C93"/>
    <w:rsid w:val="008C5A90"/>
    <w:rsid w:val="008D039B"/>
    <w:rsid w:val="00942D9C"/>
    <w:rsid w:val="00A26619"/>
    <w:rsid w:val="00A80442"/>
    <w:rsid w:val="00A86FBE"/>
    <w:rsid w:val="00AF7405"/>
    <w:rsid w:val="00B83185"/>
    <w:rsid w:val="00BA2FEB"/>
    <w:rsid w:val="00BF6021"/>
    <w:rsid w:val="00C225CA"/>
    <w:rsid w:val="00C41E50"/>
    <w:rsid w:val="00CA4C48"/>
    <w:rsid w:val="00D00ABE"/>
    <w:rsid w:val="00D13B29"/>
    <w:rsid w:val="00D24FFC"/>
    <w:rsid w:val="00D4079A"/>
    <w:rsid w:val="00D50396"/>
    <w:rsid w:val="00E26C09"/>
    <w:rsid w:val="00E746CA"/>
    <w:rsid w:val="00ED36A1"/>
    <w:rsid w:val="00EF6190"/>
    <w:rsid w:val="00F52958"/>
    <w:rsid w:val="00FB6C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008108"/>
  <w15:chartTrackingRefBased/>
  <w15:docId w15:val="{4F5FFFA0-17AE-834D-8EF6-8223D011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612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F61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F61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F61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F6120"/>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F6120"/>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F6120"/>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F6120"/>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F6120"/>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F6120"/>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20"/>
    <w:rPr>
      <w:rFonts w:eastAsiaTheme="majorEastAsia" w:cstheme="majorBidi"/>
      <w:color w:val="272727" w:themeColor="text1" w:themeTint="D8"/>
    </w:rPr>
  </w:style>
  <w:style w:type="paragraph" w:styleId="Title">
    <w:name w:val="Title"/>
    <w:basedOn w:val="Normal"/>
    <w:next w:val="Normal"/>
    <w:link w:val="TitleChar"/>
    <w:uiPriority w:val="10"/>
    <w:qFormat/>
    <w:rsid w:val="005F612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F6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F6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20"/>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F6120"/>
    <w:rPr>
      <w:i/>
      <w:iCs/>
      <w:color w:val="404040" w:themeColor="text1" w:themeTint="BF"/>
    </w:rPr>
  </w:style>
  <w:style w:type="paragraph" w:styleId="ListParagraph">
    <w:name w:val="List Paragraph"/>
    <w:basedOn w:val="Normal"/>
    <w:uiPriority w:val="34"/>
    <w:qFormat/>
    <w:rsid w:val="005F6120"/>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F6120"/>
    <w:rPr>
      <w:i/>
      <w:iCs/>
      <w:color w:val="0F4761" w:themeColor="accent1" w:themeShade="BF"/>
    </w:rPr>
  </w:style>
  <w:style w:type="paragraph" w:styleId="IntenseQuote">
    <w:name w:val="Intense Quote"/>
    <w:basedOn w:val="Normal"/>
    <w:next w:val="Normal"/>
    <w:link w:val="IntenseQuoteChar"/>
    <w:uiPriority w:val="30"/>
    <w:qFormat/>
    <w:rsid w:val="005F61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F6120"/>
    <w:rPr>
      <w:i/>
      <w:iCs/>
      <w:color w:val="0F4761" w:themeColor="accent1" w:themeShade="BF"/>
    </w:rPr>
  </w:style>
  <w:style w:type="character" w:styleId="IntenseReference">
    <w:name w:val="Intense Reference"/>
    <w:basedOn w:val="DefaultParagraphFont"/>
    <w:uiPriority w:val="32"/>
    <w:qFormat/>
    <w:rsid w:val="005F6120"/>
    <w:rPr>
      <w:b/>
      <w:bCs/>
      <w:smallCaps/>
      <w:color w:val="0F4761" w:themeColor="accent1" w:themeShade="BF"/>
      <w:spacing w:val="5"/>
    </w:rPr>
  </w:style>
  <w:style w:type="paragraph" w:styleId="NormalWeb">
    <w:name w:val="Normal (Web)"/>
    <w:basedOn w:val="Normal"/>
    <w:uiPriority w:val="99"/>
    <w:unhideWhenUsed/>
    <w:rsid w:val="00D13B29"/>
    <w:pPr>
      <w:spacing w:before="100" w:beforeAutospacing="1" w:after="100" w:afterAutospacing="1"/>
    </w:pPr>
  </w:style>
  <w:style w:type="character" w:styleId="Hyperlink">
    <w:name w:val="Hyperlink"/>
    <w:basedOn w:val="DefaultParagraphFont"/>
    <w:uiPriority w:val="99"/>
    <w:unhideWhenUsed/>
    <w:rsid w:val="004E5370"/>
    <w:rPr>
      <w:color w:val="467886" w:themeColor="hyperlink"/>
      <w:u w:val="single"/>
    </w:rPr>
  </w:style>
  <w:style w:type="character" w:styleId="UnresolvedMention">
    <w:name w:val="Unresolved Mention"/>
    <w:basedOn w:val="DefaultParagraphFont"/>
    <w:uiPriority w:val="99"/>
    <w:semiHidden/>
    <w:unhideWhenUsed/>
    <w:rsid w:val="004E5370"/>
    <w:rPr>
      <w:color w:val="605E5C"/>
      <w:shd w:val="clear" w:color="auto" w:fill="E1DFDD"/>
    </w:rPr>
  </w:style>
  <w:style w:type="paragraph" w:styleId="Header">
    <w:name w:val="header"/>
    <w:basedOn w:val="Normal"/>
    <w:link w:val="HeaderChar"/>
    <w:uiPriority w:val="99"/>
    <w:unhideWhenUsed/>
    <w:rsid w:val="008A4C93"/>
    <w:pPr>
      <w:tabs>
        <w:tab w:val="center" w:pos="4680"/>
        <w:tab w:val="right" w:pos="9360"/>
      </w:tabs>
    </w:pPr>
  </w:style>
  <w:style w:type="character" w:customStyle="1" w:styleId="HeaderChar">
    <w:name w:val="Header Char"/>
    <w:basedOn w:val="DefaultParagraphFont"/>
    <w:link w:val="Header"/>
    <w:uiPriority w:val="99"/>
    <w:rsid w:val="008A4C9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A4C93"/>
    <w:pPr>
      <w:tabs>
        <w:tab w:val="center" w:pos="4680"/>
        <w:tab w:val="right" w:pos="9360"/>
      </w:tabs>
    </w:pPr>
  </w:style>
  <w:style w:type="character" w:customStyle="1" w:styleId="FooterChar">
    <w:name w:val="Footer Char"/>
    <w:basedOn w:val="DefaultParagraphFont"/>
    <w:link w:val="Footer"/>
    <w:uiPriority w:val="99"/>
    <w:rsid w:val="008A4C9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601-0825.2005.01158.x" TargetMode="External"/><Relationship Id="rId18" Type="http://schemas.openxmlformats.org/officeDocument/2006/relationships/hyperlink" Target="https://doi.org/10.1111/j.1365-2141.2005.05922.x" TargetMode="External"/><Relationship Id="rId26" Type="http://schemas.openxmlformats.org/officeDocument/2006/relationships/hyperlink" Target="https://doi.org/10.14292/totbid.dergisi.2013.64" TargetMode="External"/><Relationship Id="rId39" Type="http://schemas.openxmlformats.org/officeDocument/2006/relationships/fontTable" Target="fontTable.xml"/><Relationship Id="rId21" Type="http://schemas.openxmlformats.org/officeDocument/2006/relationships/hyperlink" Target="https://doi.org/10.1016/s0889-8588(05)70519-0" TargetMode="External"/><Relationship Id="rId34" Type="http://schemas.openxmlformats.org/officeDocument/2006/relationships/header" Target="header2.xml"/><Relationship Id="rId7" Type="http://schemas.openxmlformats.org/officeDocument/2006/relationships/hyperlink" Target="https://www.ncbi.nlm.nih.gov/pmc/articles/PMC4623830/" TargetMode="External"/><Relationship Id="rId12" Type="http://schemas.openxmlformats.org/officeDocument/2006/relationships/hyperlink" Target="https://doi.org/10.1503/cmaj.050242" TargetMode="External"/><Relationship Id="rId17" Type="http://schemas.openxmlformats.org/officeDocument/2006/relationships/hyperlink" Target="https://doi.org/10.1016/s0140-6736(84)90127-2" TargetMode="External"/><Relationship Id="rId25" Type="http://schemas.openxmlformats.org/officeDocument/2006/relationships/hyperlink" Target="https://doi.org/10.1038/bjc.1998.89"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2334/josnusd.48.167" TargetMode="External"/><Relationship Id="rId20" Type="http://schemas.openxmlformats.org/officeDocument/2006/relationships/hyperlink" Target="https://doi.org/10.1046/j.1365-2141.2000.02313.x" TargetMode="External"/><Relationship Id="rId29" Type="http://schemas.openxmlformats.org/officeDocument/2006/relationships/hyperlink" Target="https://doi.org/10.7759/cureus.282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rgipark.org.tr/tr/download/article-file/100000" TargetMode="External"/><Relationship Id="rId24" Type="http://schemas.openxmlformats.org/officeDocument/2006/relationships/hyperlink" Target="https://doi.org/10.1002/pbc.20181" TargetMode="External"/><Relationship Id="rId32" Type="http://schemas.openxmlformats.org/officeDocument/2006/relationships/hyperlink" Target="https://doi.org/10.1186/s13104-015-1799-z"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16471197/" TargetMode="External"/><Relationship Id="rId23" Type="http://schemas.openxmlformats.org/officeDocument/2006/relationships/hyperlink" Target="https://doi.org/10.1002/ajh.2830470104" TargetMode="External"/><Relationship Id="rId28" Type="http://schemas.openxmlformats.org/officeDocument/2006/relationships/hyperlink" Target="https://doi.org/10.1056/NEJMra1607548" TargetMode="External"/><Relationship Id="rId36" Type="http://schemas.openxmlformats.org/officeDocument/2006/relationships/footer" Target="footer2.xml"/><Relationship Id="rId10" Type="http://schemas.openxmlformats.org/officeDocument/2006/relationships/hyperlink" Target="https://doi.org/10.1148/radiographics.12.4.1636041" TargetMode="External"/><Relationship Id="rId19" Type="http://schemas.openxmlformats.org/officeDocument/2006/relationships/hyperlink" Target="https://doi.org/10.3290/j.ohpd.a29376" TargetMode="External"/><Relationship Id="rId31" Type="http://schemas.openxmlformats.org/officeDocument/2006/relationships/hyperlink" Target="https://www.ncbi.nlm.nih.gov/nlmcatalog/100883229" TargetMode="External"/><Relationship Id="rId4" Type="http://schemas.openxmlformats.org/officeDocument/2006/relationships/webSettings" Target="webSettings.xml"/><Relationship Id="rId9" Type="http://schemas.openxmlformats.org/officeDocument/2006/relationships/hyperlink" Target="https://doi.org/10.1148/radiographics.15.5.7501855" TargetMode="External"/><Relationship Id="rId14" Type="http://schemas.openxmlformats.org/officeDocument/2006/relationships/hyperlink" Target="https://doi.org/10.1111/j.1365-2133.2006.07193.x" TargetMode="External"/><Relationship Id="rId22" Type="http://schemas.openxmlformats.org/officeDocument/2006/relationships/hyperlink" Target="https://doi.org/10.1097/00043426-199124000-00015" TargetMode="External"/><Relationship Id="rId27" Type="http://schemas.openxmlformats.org/officeDocument/2006/relationships/hyperlink" Target="https://doi.org/10.1111/jop.13207" TargetMode="External"/><Relationship Id="rId30" Type="http://schemas.openxmlformats.org/officeDocument/2006/relationships/hyperlink" Target="https://dergipark.org.tr/en/pub/jids/issue/49957/640900" TargetMode="External"/><Relationship Id="rId35" Type="http://schemas.openxmlformats.org/officeDocument/2006/relationships/footer" Target="footer1.xml"/><Relationship Id="rId8" Type="http://schemas.openxmlformats.org/officeDocument/2006/relationships/hyperlink" Target="https://doi.org/10.1016/j.ijporl.2011.04.00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3284</Words>
  <Characters>18721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 Çağlar</dc:creator>
  <cp:keywords/>
  <dc:description/>
  <cp:lastModifiedBy>SDI 1180</cp:lastModifiedBy>
  <cp:revision>33</cp:revision>
  <dcterms:created xsi:type="dcterms:W3CDTF">2025-06-15T02:45:00Z</dcterms:created>
  <dcterms:modified xsi:type="dcterms:W3CDTF">2025-12-03T10:50:00Z</dcterms:modified>
</cp:coreProperties>
</file>