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5962F" w14:textId="77777777" w:rsidR="000E2DC9" w:rsidRDefault="000E2DC9" w:rsidP="0031013D">
      <w:pPr>
        <w:spacing w:line="360" w:lineRule="auto"/>
        <w:jc w:val="center"/>
        <w:rPr>
          <w:rFonts w:asciiTheme="majorBidi" w:hAnsiTheme="majorBidi" w:cstheme="majorBidi"/>
          <w:b/>
          <w:bCs/>
          <w:color w:val="000000" w:themeColor="text1"/>
          <w:lang w:val="en-US"/>
        </w:rPr>
      </w:pPr>
      <w:r w:rsidRPr="000E2DC9">
        <w:rPr>
          <w:rFonts w:asciiTheme="majorBidi" w:hAnsiTheme="majorBidi" w:cstheme="majorBidi"/>
          <w:b/>
          <w:bCs/>
          <w:color w:val="000000" w:themeColor="text1"/>
          <w:lang w:val="en-US"/>
        </w:rPr>
        <w:t xml:space="preserve">Original Research Article </w:t>
      </w:r>
    </w:p>
    <w:p w14:paraId="6A11A321" w14:textId="77777777" w:rsidR="000E2DC9" w:rsidRDefault="000E2DC9" w:rsidP="0031013D">
      <w:pPr>
        <w:spacing w:line="360" w:lineRule="auto"/>
        <w:jc w:val="center"/>
        <w:rPr>
          <w:rFonts w:asciiTheme="majorBidi" w:hAnsiTheme="majorBidi" w:cstheme="majorBidi"/>
          <w:b/>
          <w:bCs/>
          <w:color w:val="000000" w:themeColor="text1"/>
          <w:lang w:val="en-US"/>
        </w:rPr>
      </w:pPr>
    </w:p>
    <w:p w14:paraId="59F271E6" w14:textId="2ECF8442" w:rsidR="0031013D" w:rsidRDefault="0031013D" w:rsidP="0031013D">
      <w:pPr>
        <w:spacing w:line="360" w:lineRule="auto"/>
        <w:jc w:val="center"/>
        <w:rPr>
          <w:rFonts w:asciiTheme="majorBidi" w:hAnsiTheme="majorBidi" w:cstheme="majorBidi"/>
          <w:b/>
          <w:bCs/>
          <w:color w:val="000000" w:themeColor="text1"/>
          <w:lang w:val="en-GB"/>
        </w:rPr>
      </w:pPr>
      <w:r w:rsidRPr="0031013D">
        <w:rPr>
          <w:rFonts w:asciiTheme="majorBidi" w:hAnsiTheme="majorBidi" w:cstheme="majorBidi"/>
          <w:b/>
          <w:bCs/>
          <w:color w:val="000000" w:themeColor="text1"/>
          <w:lang w:val="en-US"/>
        </w:rPr>
        <w:t>Groundwater Quality and Health Risk Assessment</w:t>
      </w:r>
      <w:r w:rsidR="00BE6C96" w:rsidRPr="00BE6C96">
        <w:rPr>
          <w:rFonts w:asciiTheme="majorBidi" w:hAnsiTheme="majorBidi" w:cstheme="majorBidi"/>
          <w:b/>
          <w:bCs/>
          <w:color w:val="000000" w:themeColor="text1"/>
          <w:lang w:val="en-GB"/>
        </w:rPr>
        <w:t xml:space="preserve"> </w:t>
      </w:r>
      <w:r>
        <w:rPr>
          <w:rFonts w:asciiTheme="majorBidi" w:hAnsiTheme="majorBidi" w:cstheme="majorBidi"/>
          <w:b/>
          <w:bCs/>
          <w:color w:val="000000" w:themeColor="text1"/>
          <w:lang w:val="en-GB"/>
        </w:rPr>
        <w:t xml:space="preserve">Around </w:t>
      </w:r>
      <w:r w:rsidR="00BE6C96" w:rsidRPr="00BE6C96">
        <w:rPr>
          <w:rFonts w:asciiTheme="majorBidi" w:hAnsiTheme="majorBidi" w:cstheme="majorBidi"/>
          <w:b/>
          <w:bCs/>
          <w:color w:val="000000" w:themeColor="text1"/>
          <w:lang w:val="en-GB"/>
        </w:rPr>
        <w:t xml:space="preserve">Waste Electrical and Electronic Equipment (WEEE) Dumps in Benin </w:t>
      </w:r>
    </w:p>
    <w:p w14:paraId="632E688D" w14:textId="77777777" w:rsidR="00153206" w:rsidRPr="0031013D" w:rsidRDefault="00153206" w:rsidP="0031013D">
      <w:pPr>
        <w:spacing w:line="360" w:lineRule="auto"/>
        <w:jc w:val="center"/>
        <w:rPr>
          <w:rFonts w:asciiTheme="majorBidi" w:hAnsiTheme="majorBidi" w:cstheme="majorBidi"/>
          <w:b/>
          <w:bCs/>
          <w:color w:val="000000" w:themeColor="text1"/>
        </w:rPr>
      </w:pPr>
    </w:p>
    <w:p w14:paraId="2651BC9D" w14:textId="77777777" w:rsidR="00153206" w:rsidRDefault="00153206" w:rsidP="00BE6C96">
      <w:pPr>
        <w:spacing w:line="360" w:lineRule="auto"/>
        <w:jc w:val="center"/>
        <w:rPr>
          <w:rStyle w:val="s2"/>
          <w:rFonts w:asciiTheme="majorBidi" w:hAnsiTheme="majorBidi" w:cstheme="majorBidi"/>
          <w:color w:val="000000" w:themeColor="text1"/>
          <w:lang w:val="en-GB"/>
        </w:rPr>
      </w:pPr>
    </w:p>
    <w:p w14:paraId="6DCF01AF" w14:textId="77777777" w:rsidR="005E7DEE" w:rsidRPr="00BE6C96" w:rsidRDefault="005E7DEE" w:rsidP="00BE6C96">
      <w:pPr>
        <w:spacing w:line="360" w:lineRule="auto"/>
        <w:jc w:val="center"/>
        <w:rPr>
          <w:rFonts w:asciiTheme="majorBidi" w:hAnsiTheme="majorBidi" w:cstheme="majorBidi"/>
          <w:color w:val="000000" w:themeColor="text1"/>
          <w:lang w:val="en-GB"/>
        </w:rPr>
      </w:pPr>
    </w:p>
    <w:p w14:paraId="353F3325" w14:textId="67219EAC" w:rsidR="00FC207F"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Abstract</w:t>
      </w:r>
    </w:p>
    <w:p w14:paraId="0FD12AAB" w14:textId="29681B12" w:rsidR="00FC207F" w:rsidRPr="005460FD" w:rsidRDefault="00FC207F" w:rsidP="00BE6C96">
      <w:pPr>
        <w:spacing w:line="360" w:lineRule="auto"/>
        <w:jc w:val="both"/>
        <w:rPr>
          <w:rFonts w:asciiTheme="majorBidi" w:hAnsiTheme="majorBidi" w:cstheme="majorBidi"/>
          <w:bCs/>
          <w:color w:val="000000" w:themeColor="text1"/>
          <w:lang w:val="en-US"/>
        </w:rPr>
      </w:pPr>
      <w:r>
        <w:rPr>
          <w:rFonts w:asciiTheme="majorBidi" w:hAnsiTheme="majorBidi" w:cstheme="majorBidi"/>
          <w:b/>
          <w:bCs/>
          <w:color w:val="000000" w:themeColor="text1"/>
          <w:lang w:val="en-GB"/>
        </w:rPr>
        <w:t>Introduction</w:t>
      </w:r>
      <w:r w:rsidRPr="005460FD">
        <w:rPr>
          <w:rFonts w:asciiTheme="majorBidi" w:hAnsiTheme="majorBidi" w:cstheme="majorBidi"/>
          <w:bCs/>
          <w:color w:val="000000" w:themeColor="text1"/>
          <w:lang w:val="en-GB"/>
        </w:rPr>
        <w:t>:</w:t>
      </w:r>
      <w:r w:rsidRPr="005460FD">
        <w:rPr>
          <w:lang w:val="en-US"/>
        </w:rPr>
        <w:t xml:space="preserve"> </w:t>
      </w:r>
      <w:r w:rsidRPr="005460FD">
        <w:rPr>
          <w:rFonts w:asciiTheme="majorBidi" w:hAnsiTheme="majorBidi" w:cstheme="majorBidi"/>
          <w:bCs/>
          <w:color w:val="000000" w:themeColor="text1"/>
          <w:lang w:val="en-US"/>
        </w:rPr>
        <w:t>Groundwater represents the main source of drinking water. However, this natural resource is sometimes exposed to anthropogenic pollution.</w:t>
      </w:r>
    </w:p>
    <w:p w14:paraId="556F8C9B" w14:textId="77777777" w:rsidR="00FC207F" w:rsidRDefault="00FC207F" w:rsidP="00BE6C96">
      <w:pPr>
        <w:spacing w:line="360" w:lineRule="auto"/>
        <w:jc w:val="both"/>
        <w:rPr>
          <w:rFonts w:asciiTheme="majorBidi" w:hAnsiTheme="majorBidi" w:cstheme="majorBidi"/>
          <w:color w:val="000000" w:themeColor="text1"/>
          <w:lang w:val="en-GB"/>
        </w:rPr>
      </w:pPr>
      <w:r>
        <w:rPr>
          <w:rFonts w:asciiTheme="majorBidi" w:hAnsiTheme="majorBidi" w:cstheme="majorBidi"/>
          <w:b/>
          <w:bCs/>
          <w:color w:val="000000" w:themeColor="text1"/>
          <w:lang w:val="en-GB"/>
        </w:rPr>
        <w:t xml:space="preserve">Aims: </w:t>
      </w:r>
      <w:r w:rsidR="00BE6C96" w:rsidRPr="00BE6C96">
        <w:rPr>
          <w:rFonts w:asciiTheme="majorBidi" w:hAnsiTheme="majorBidi" w:cstheme="majorBidi"/>
          <w:color w:val="000000" w:themeColor="text1"/>
          <w:lang w:val="en-GB"/>
        </w:rPr>
        <w:t xml:space="preserve">This study aims to assess </w:t>
      </w:r>
      <w:r w:rsidR="0031013D">
        <w:rPr>
          <w:rFonts w:asciiTheme="majorBidi" w:hAnsiTheme="majorBidi" w:cstheme="majorBidi"/>
          <w:color w:val="000000" w:themeColor="text1"/>
          <w:lang w:val="en-GB"/>
        </w:rPr>
        <w:t>the metal</w:t>
      </w:r>
      <w:r w:rsidR="00BE6C96" w:rsidRPr="00BE6C96">
        <w:rPr>
          <w:rFonts w:asciiTheme="majorBidi" w:hAnsiTheme="majorBidi" w:cstheme="majorBidi"/>
          <w:color w:val="000000" w:themeColor="text1"/>
          <w:lang w:val="en-GB"/>
        </w:rPr>
        <w:t xml:space="preserve"> contamination of wells located near Waste Electrical and Electronic Equipment (WEEE) dumps in three cities in Benin (Cotonou, Abomey-Calavi, and Natitingou), and to evaluate the health risks to local populations.</w:t>
      </w:r>
    </w:p>
    <w:p w14:paraId="76D8B4A1" w14:textId="328D839D" w:rsidR="00FC207F" w:rsidRDefault="00FC207F" w:rsidP="00BE6C96">
      <w:pPr>
        <w:spacing w:line="360" w:lineRule="auto"/>
        <w:jc w:val="both"/>
        <w:rPr>
          <w:rFonts w:asciiTheme="majorBidi" w:hAnsiTheme="majorBidi" w:cstheme="majorBidi"/>
          <w:color w:val="000000" w:themeColor="text1"/>
          <w:lang w:val="en-GB"/>
        </w:rPr>
      </w:pPr>
      <w:r w:rsidRPr="00FC207F">
        <w:rPr>
          <w:rFonts w:asciiTheme="majorBidi" w:hAnsiTheme="majorBidi" w:cstheme="majorBidi"/>
          <w:b/>
          <w:color w:val="000000" w:themeColor="text1"/>
          <w:lang w:val="en-GB"/>
        </w:rPr>
        <w:t>Method</w:t>
      </w:r>
      <w:r>
        <w:rPr>
          <w:rFonts w:asciiTheme="majorBidi" w:hAnsiTheme="majorBidi" w:cstheme="majorBidi"/>
          <w:b/>
          <w:color w:val="000000" w:themeColor="text1"/>
          <w:lang w:val="en-GB"/>
        </w:rPr>
        <w:t>ology</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 Water samples were collected at distances of 0, 50, and 100 metres from the sites and analysed. Eight heavy metals</w:t>
      </w:r>
      <w:r w:rsidR="0031013D">
        <w:rPr>
          <w:rFonts w:asciiTheme="majorBidi" w:hAnsiTheme="majorBidi" w:cstheme="majorBidi"/>
          <w:color w:val="000000" w:themeColor="text1"/>
          <w:lang w:val="en-GB"/>
        </w:rPr>
        <w:t xml:space="preserve"> including </w:t>
      </w:r>
      <w:r w:rsidR="00BE6C96" w:rsidRPr="00BE6C96">
        <w:rPr>
          <w:rFonts w:asciiTheme="majorBidi" w:hAnsiTheme="majorBidi" w:cstheme="majorBidi"/>
          <w:color w:val="000000" w:themeColor="text1"/>
          <w:lang w:val="en-GB"/>
        </w:rPr>
        <w:t>arsenic (As), cadmium (Cd), chromium (Cr), copper (Cu), iron (Fe), nickel (Ni), lead (Pb), and zinc (Zn)</w:t>
      </w:r>
      <w:r w:rsidR="0031013D">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were quantified using Microwave Plasma-Atomic Emission Spectrometry (MP-AES). Water quality was evaluated using the Metal Index (MI) and Heavy Metal Pollution Index (HPI), while non-carcinogenic and carcinogenic risks were estimated via Health Risk Assessment methodologies.</w:t>
      </w:r>
    </w:p>
    <w:p w14:paraId="5A55FA33" w14:textId="0EE85726" w:rsidR="0000032E" w:rsidRPr="00FC207F" w:rsidRDefault="00FC207F" w:rsidP="00BE6C96">
      <w:pPr>
        <w:spacing w:line="360" w:lineRule="auto"/>
        <w:jc w:val="both"/>
        <w:rPr>
          <w:rFonts w:asciiTheme="majorBidi" w:hAnsiTheme="majorBidi" w:cstheme="majorBidi"/>
          <w:b/>
          <w:bCs/>
          <w:color w:val="000000" w:themeColor="text1"/>
          <w:lang w:val="en-GB"/>
        </w:rPr>
      </w:pPr>
      <w:r w:rsidRPr="00FC207F">
        <w:rPr>
          <w:rFonts w:asciiTheme="majorBidi" w:hAnsiTheme="majorBidi" w:cstheme="majorBidi"/>
          <w:b/>
          <w:color w:val="000000" w:themeColor="text1"/>
          <w:lang w:val="en-GB"/>
        </w:rPr>
        <w:t>Results</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 The results indicated several </w:t>
      </w:r>
      <w:r w:rsidR="0000032E">
        <w:rPr>
          <w:rFonts w:asciiTheme="majorBidi" w:hAnsiTheme="majorBidi" w:cstheme="majorBidi"/>
          <w:color w:val="000000" w:themeColor="text1"/>
          <w:lang w:val="en-GB"/>
        </w:rPr>
        <w:t xml:space="preserve">heavy </w:t>
      </w:r>
      <w:r w:rsidR="00BE6C96" w:rsidRPr="00BE6C96">
        <w:rPr>
          <w:rFonts w:asciiTheme="majorBidi" w:hAnsiTheme="majorBidi" w:cstheme="majorBidi"/>
          <w:color w:val="000000" w:themeColor="text1"/>
          <w:lang w:val="en-GB"/>
        </w:rPr>
        <w:t xml:space="preserve">metals present at concentrations far exceeding WHO guideline values; for instance, cadmium reached 0.48 mg/L in Cotonou, approximately 160 times the recommended 0.003 mg/L. Lead concentrations peaked at 0.76 mg/L in Natitingou, significantly surpassing the 0.01 mg/L threshold. Iron levels were recorded at 8.76 mg/L versus a guideline of 0.3 mg/L. The MI and HPI indices confirmed marked metal pollution, with HPI values reaching 8,698 in Cotonou. Health risk assessment revealed Hazard Indices (HI) well above 1 for both adults and children, alongside Cancer Risks (CR) exceeding 10⁻⁴, with children in Natitingou exhibiting a CR of 2.29 × 10⁻³ (USEPA, 2011). </w:t>
      </w:r>
    </w:p>
    <w:p w14:paraId="5513C9F3" w14:textId="7AD4FF7D" w:rsidR="00BE6C96" w:rsidRPr="00BE6C96" w:rsidRDefault="00FC207F" w:rsidP="00BE6C96">
      <w:pPr>
        <w:spacing w:line="360" w:lineRule="auto"/>
        <w:jc w:val="both"/>
        <w:rPr>
          <w:rFonts w:asciiTheme="majorBidi" w:hAnsiTheme="majorBidi" w:cstheme="majorBidi"/>
          <w:color w:val="000000" w:themeColor="text1"/>
          <w:lang w:val="en-GB"/>
        </w:rPr>
      </w:pPr>
      <w:r w:rsidRPr="00FC207F">
        <w:rPr>
          <w:rFonts w:asciiTheme="majorBidi" w:hAnsiTheme="majorBidi" w:cstheme="majorBidi"/>
          <w:b/>
          <w:color w:val="000000" w:themeColor="text1"/>
          <w:lang w:val="en-GB"/>
        </w:rPr>
        <w:t>Conclusion</w:t>
      </w:r>
      <w:r w:rsidRPr="00FC207F">
        <w:rPr>
          <w:rFonts w:asciiTheme="majorBidi" w:hAnsiTheme="majorBidi" w:cstheme="majorBidi"/>
          <w:color w:val="000000" w:themeColor="text1"/>
          <w:lang w:val="en-GB"/>
        </w:rPr>
        <w:t>:</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The quality of the studied well waters is a significant public health concern, underlining the urgent need to strengthen ecological management of WEEE and groundwater monitoring.</w:t>
      </w:r>
    </w:p>
    <w:p w14:paraId="73375E3E" w14:textId="25E627FB"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t>Keywords</w:t>
      </w:r>
      <w:r w:rsidRPr="00BE6C96">
        <w:rPr>
          <w:rFonts w:asciiTheme="majorBidi" w:hAnsiTheme="majorBidi" w:cstheme="majorBidi"/>
          <w:color w:val="000000" w:themeColor="text1"/>
          <w:lang w:val="en-GB"/>
        </w:rPr>
        <w:t>: Groundwater, heavy metals, pollution indices, health risks, WEEE, Benin</w:t>
      </w:r>
    </w:p>
    <w:p w14:paraId="099885B4" w14:textId="3B4E02BD" w:rsidR="005460FD" w:rsidRDefault="005460FD" w:rsidP="00BE6C96">
      <w:pPr>
        <w:spacing w:line="360" w:lineRule="auto"/>
        <w:jc w:val="both"/>
        <w:rPr>
          <w:rFonts w:asciiTheme="majorBidi" w:hAnsiTheme="majorBidi" w:cstheme="majorBidi"/>
          <w:color w:val="000000" w:themeColor="text1"/>
          <w:lang w:val="en-GB"/>
        </w:rPr>
      </w:pPr>
    </w:p>
    <w:p w14:paraId="3ACBD6EA" w14:textId="77777777" w:rsidR="005460FD" w:rsidRDefault="005460FD" w:rsidP="00BE6C96">
      <w:pPr>
        <w:spacing w:line="360" w:lineRule="auto"/>
        <w:jc w:val="both"/>
        <w:rPr>
          <w:rFonts w:asciiTheme="majorBidi" w:hAnsiTheme="majorBidi" w:cstheme="majorBidi"/>
          <w:color w:val="000000" w:themeColor="text1"/>
          <w:lang w:val="en-GB"/>
        </w:rPr>
      </w:pPr>
    </w:p>
    <w:p w14:paraId="18DF6676" w14:textId="77777777" w:rsidR="00BE6C96" w:rsidRPr="00BE6C96" w:rsidRDefault="00BE6C96" w:rsidP="00BE6C96">
      <w:pPr>
        <w:spacing w:line="360" w:lineRule="auto"/>
        <w:jc w:val="both"/>
        <w:rPr>
          <w:rFonts w:asciiTheme="majorBidi" w:hAnsiTheme="majorBidi" w:cstheme="majorBidi"/>
          <w:color w:val="000000" w:themeColor="text1"/>
          <w:lang w:val="en-GB"/>
        </w:rPr>
      </w:pPr>
    </w:p>
    <w:p w14:paraId="2E27711A" w14:textId="77777777" w:rsidR="00BE6C96" w:rsidRPr="00BE6C96" w:rsidRDefault="00BE6C96" w:rsidP="00BE6C96">
      <w:pPr>
        <w:spacing w:line="360" w:lineRule="auto"/>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lastRenderedPageBreak/>
        <w:t>1. Introduction</w:t>
      </w:r>
      <w:r w:rsidRPr="00BE6C96">
        <w:rPr>
          <w:rFonts w:asciiTheme="majorBidi" w:hAnsiTheme="majorBidi" w:cstheme="majorBidi"/>
          <w:b/>
          <w:bCs/>
          <w:color w:val="000000" w:themeColor="text1"/>
          <w:lang w:val="en-GB"/>
        </w:rPr>
        <w:br/>
      </w:r>
      <w:r w:rsidRPr="00BE6C96">
        <w:rPr>
          <w:rFonts w:asciiTheme="majorBidi" w:hAnsiTheme="majorBidi" w:cstheme="majorBidi"/>
          <w:color w:val="000000" w:themeColor="text1"/>
          <w:lang w:val="en-GB"/>
        </w:rPr>
        <w:t>Groundwater is among the most essential resources for human survival. However, this vital resource is increasingly threatened by both anthropogenic and natural contamination. Among the most concerning pollutants are heavy metals, noted for their persistence, toxicity, and bioaccumulative potential (Sbai et al., 2024). Heavy metals may originate from natural geological processes, such as rock weathering or mineral dissolution, but excessive concentrations in groundwater predominantly arise from human activities.</w:t>
      </w:r>
    </w:p>
    <w:p w14:paraId="3A2AC099" w14:textId="77777777"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In numerous developing countries, heavy metal concentrations frequently exceed recommended quality thresholds, rendering these elements primary contaminants of aquifers (Adeyemi &amp; Ojekunle, 2021). Their presence is attributed to both natural phenomena and increasing anthropogenic pressures (Mthembu et al., 2022). While some play essential biological roles, metals such as copper (Cu), iron (Fe), lead (Pb), chromium (Cr), cadmium (Cd), nickel (Ni), arsenic (As), and zinc (Zn) are regularly detected in groundwater worldwide, including in Limpopo Province, South Africa (Durowoju et al., 2020) and Za-Kpota, Benin (Ahlonsou et al., 2024). Their persistence, non-biodegradability, and tendency to bioaccumulate pose serious concerns (Tchounwou et al., 2012). Chronic exposure, even at low doses, may result in carcinogenic, mutagenic or teratogenic effects (Jaishankar et al., 2014). Prolonged cadmium intake has been linked to bone lesions, renal dysfunction, and increased cancer risk (Belabed et al., 2018), whereas groundwater with excessive iron has been associated with fatigue and joint inflammation (Ahmed et al., 2019).</w:t>
      </w:r>
    </w:p>
    <w:p w14:paraId="152B725F" w14:textId="77777777"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Additional pollution sources include industrial effluents, mining activities, fertiliser and pesticide use, and improper solid waste management. Open-air dumps, especially those containing electronic waste, pose particular risks, as metals like lead, cadmium, copper, and zinc gradually leach into aquifers (Liu et al., 2025). The health effects of heavy metal contamination in drinking water are well documented: lead affects neurological development, particularly in children, while cadmium can damage kidneys and bones (WHO, 2021). Hexavalent chromium is a confirmed carcinogen; nickel and copper, although biologically necessary in trace amounts, become toxic at elevated levels (WHO, 2021). Mercury, in both organic and inorganic forms, presents serious threats to renal, neurological, and cognitive development (Emmanuel et al., 2022). Beyond human health, groundwater heavy metal contamination harms soil quality, agricultural productivity, and causes bioaccumulation through aquatic and terrestrial food chains, indirectly increasing human exposure via food and drinking water (Sbai et al., 2024).</w:t>
      </w:r>
    </w:p>
    <w:p w14:paraId="3ECF503F" w14:textId="77777777"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lastRenderedPageBreak/>
        <w:t>Several assessment tools exist to evaluate pollution extent. The Heavy Metal Pollution Index (HPI) is widely used to consolidate complex water quality data into a single value, facilitating interpretation (Sanad et al., 2024; Anitha et al., 2021). It aids in conveying scientific results to non-specialists (Shankar et al., 2019) and involves standardised steps such as metal selection, concentration normalisation, weighting, and sub-index aggregation (Badeenezhad et al., 2023). Numerous studies have demonstrated HPI’s effectiveness for assessing groundwater quality in diverse contexts (Hartiningsih et al., 2024; Eldaw et al., 2020; Majumdar et al., 2024). Indices like the Metal Index (MI) and HPI provide integrated views of water quality relative to studied metals and highlight zones with critical standard exceedances (Sbai et al., 2024). Complementarily, Health Risk Assessment (HRA) frameworks calculate Chronic Daily Intake (CDI), Hazard Quotient (HQ), Hazard Index (HI), and Cancer Risk (CR) to quantify population threats. These methods typically show children face higher risks than adults due to lower body mass and higher relative water consumption (Emmanuel et al., 2022). Frequently, HQ and HI values exceed safety limits prescribed by international agencies, while CR values reveal notable carcinogenic risks, particularly from cadmium and lead. Recent investigations in arid regions such as Xining, China, have revealed the spatial and temporal variability of contamination complicates sustainable water resource management.</w:t>
      </w:r>
    </w:p>
    <w:p w14:paraId="32466165" w14:textId="39808984"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 xml:space="preserve">In Benin, groundwater is extensively used for domestic purposes in urban and rural settings, as well as for agriculture and livestock (Boukari et al., 2018). Central regions exhibit a minimum recharge estimate of approximately 1.09 × 10⁹ m³/year, insufficient in densely populated areas (Kpegli et al., 2024). Urban expansion and farming practices in Za-Kpota (southern Benin) contribute to deterioration of well and borehole water quality (Ahlonsou et al., 2024). Simultaneously, WEEE management is rapidly developing in West Africa, with Benin marked by limited regulation and significant waste generation (UNEP, 2011). Surveys reveal repairers, households, and waste reclaimers are at environmental and health risk (Topanou et al., 2025). WEEE disposal sites frequently lie adjacent to densely populated districts, exposing residents using nearby wells to potential metal contamination. Previous studies have documented cadmium, lead, copper, and zinc contamination in wells and boreholes consumed by local populations in urban Benin (Dovonou et al., 2014; Azokpota et al., 2022). These investigations highlight links between anthropogenic pollution, domestic and agricultural activities, and groundwater deterioration. Yet, no comprehensive study integrating pollution indices (MI, HPI) with health risk assessment (HRA) has been conducted in these areas. Existing work mainly quantifies metal levels in selected municipalities (e.g. Godomey, Za-Kpota) (Dovonou et al., 2014; Azokpota et al., 2022). Assessing well water quality and identifying the health </w:t>
      </w:r>
      <w:r w:rsidRPr="00BE6C96">
        <w:rPr>
          <w:rFonts w:asciiTheme="majorBidi" w:hAnsiTheme="majorBidi" w:cstheme="majorBidi"/>
          <w:color w:val="000000" w:themeColor="text1"/>
          <w:lang w:val="en-GB"/>
        </w:rPr>
        <w:lastRenderedPageBreak/>
        <w:t>risks posed by heavy metals constitute a critical step for guiding public policies on ecological WEEE management, water resource protection, and public health.</w:t>
      </w:r>
    </w:p>
    <w:p w14:paraId="13285902" w14:textId="77777777" w:rsidR="005E7DEE" w:rsidRPr="00BE6C96" w:rsidRDefault="005E7DEE" w:rsidP="00BE6C96">
      <w:pPr>
        <w:spacing w:line="360" w:lineRule="auto"/>
        <w:jc w:val="both"/>
        <w:rPr>
          <w:rFonts w:asciiTheme="majorBidi" w:hAnsiTheme="majorBidi" w:cstheme="majorBidi"/>
          <w:color w:val="000000" w:themeColor="text1"/>
          <w:lang w:val="en-GB"/>
        </w:rPr>
      </w:pPr>
    </w:p>
    <w:p w14:paraId="511337BB" w14:textId="77777777" w:rsidR="00BE6C96" w:rsidRPr="00BE6C96" w:rsidRDefault="00BE6C96" w:rsidP="00BE6C96">
      <w:pPr>
        <w:spacing w:line="360" w:lineRule="auto"/>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 Materials and Methods</w:t>
      </w:r>
    </w:p>
    <w:p w14:paraId="0FBC06C6" w14:textId="77777777" w:rsidR="0000032E"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2.1 Study Area</w:t>
      </w:r>
    </w:p>
    <w:p w14:paraId="694DEB2E" w14:textId="67065D62"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 xml:space="preserve">The </w:t>
      </w:r>
      <w:r w:rsidR="0000032E">
        <w:rPr>
          <w:rFonts w:asciiTheme="majorBidi" w:hAnsiTheme="majorBidi" w:cstheme="majorBidi"/>
          <w:color w:val="000000" w:themeColor="text1"/>
          <w:lang w:val="en-GB"/>
        </w:rPr>
        <w:t>study</w:t>
      </w:r>
      <w:r w:rsidRPr="00BE6C96">
        <w:rPr>
          <w:rFonts w:asciiTheme="majorBidi" w:hAnsiTheme="majorBidi" w:cstheme="majorBidi"/>
          <w:color w:val="000000" w:themeColor="text1"/>
          <w:lang w:val="en-GB"/>
        </w:rPr>
        <w:t xml:space="preserve"> was conducted in three Benin cities</w:t>
      </w:r>
      <w:r w:rsidR="0000032E">
        <w:rPr>
          <w:rFonts w:asciiTheme="majorBidi" w:hAnsiTheme="majorBidi" w:cstheme="majorBidi"/>
          <w:color w:val="000000" w:themeColor="text1"/>
          <w:lang w:val="en-GB"/>
        </w:rPr>
        <w:t xml:space="preserve"> such as </w:t>
      </w:r>
      <w:r w:rsidRPr="00BE6C96">
        <w:rPr>
          <w:rFonts w:asciiTheme="majorBidi" w:hAnsiTheme="majorBidi" w:cstheme="majorBidi"/>
          <w:color w:val="000000" w:themeColor="text1"/>
          <w:lang w:val="en-GB"/>
        </w:rPr>
        <w:t>Cotonou, Abomey-Calavi, and Natitingou (Figure 1)</w:t>
      </w:r>
      <w:r w:rsidR="0000032E">
        <w:rPr>
          <w:rFonts w:asciiTheme="majorBidi" w:hAnsiTheme="majorBidi" w:cstheme="majorBidi"/>
          <w:color w:val="000000" w:themeColor="text1"/>
          <w:lang w:val="en-GB"/>
        </w:rPr>
        <w:t xml:space="preserve"> </w:t>
      </w:r>
      <w:r w:rsidRPr="00BE6C96">
        <w:rPr>
          <w:rFonts w:asciiTheme="majorBidi" w:hAnsiTheme="majorBidi" w:cstheme="majorBidi"/>
          <w:color w:val="000000" w:themeColor="text1"/>
          <w:lang w:val="en-GB"/>
        </w:rPr>
        <w:t>where WEEE dumps are located. These zones were selected due to the proximity of residential areas to dumpsites, facilitating potential heavy metal transfer into groundwater.</w:t>
      </w:r>
    </w:p>
    <w:p w14:paraId="5C4BD488" w14:textId="77777777" w:rsidR="00BE6C96" w:rsidRDefault="00BE6C96" w:rsidP="00BE6C96">
      <w:pPr>
        <w:spacing w:line="360" w:lineRule="auto"/>
        <w:jc w:val="both"/>
        <w:rPr>
          <w:rFonts w:asciiTheme="majorBidi" w:hAnsiTheme="majorBidi" w:cstheme="majorBidi"/>
          <w:color w:val="000000" w:themeColor="text1"/>
        </w:rPr>
      </w:pPr>
      <w:r>
        <w:rPr>
          <w:rFonts w:asciiTheme="majorBidi" w:hAnsiTheme="majorBidi" w:cstheme="majorBidi"/>
          <w:noProof/>
          <w:color w:val="000000" w:themeColor="text1"/>
          <w14:ligatures w14:val="standardContextual"/>
        </w:rPr>
        <w:drawing>
          <wp:inline distT="0" distB="0" distL="0" distR="0" wp14:anchorId="7B7AF663" wp14:editId="374B34B1">
            <wp:extent cx="5731510" cy="4055110"/>
            <wp:effectExtent l="0" t="0" r="0" b="0"/>
            <wp:docPr id="1542466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66288" name="Image 15424662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7DE74AB3" w14:textId="0DEB6338"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t xml:space="preserve">Figure 1: </w:t>
      </w:r>
      <w:r w:rsidRPr="00BE6C96">
        <w:rPr>
          <w:rFonts w:asciiTheme="majorBidi" w:hAnsiTheme="majorBidi" w:cstheme="majorBidi"/>
          <w:color w:val="000000" w:themeColor="text1"/>
          <w:lang w:val="en-GB"/>
        </w:rPr>
        <w:t>Location of Sampling Sites</w:t>
      </w:r>
    </w:p>
    <w:p w14:paraId="1A4A0562" w14:textId="77777777" w:rsidR="005E7DEE" w:rsidRPr="00BE6C96" w:rsidRDefault="005E7DEE" w:rsidP="00BE6C96">
      <w:pPr>
        <w:spacing w:line="360" w:lineRule="auto"/>
        <w:jc w:val="both"/>
        <w:rPr>
          <w:rFonts w:asciiTheme="majorBidi" w:hAnsiTheme="majorBidi" w:cstheme="majorBidi"/>
          <w:b/>
          <w:bCs/>
          <w:color w:val="000000" w:themeColor="text1"/>
          <w:lang w:val="en-GB"/>
        </w:rPr>
      </w:pPr>
    </w:p>
    <w:p w14:paraId="0125E390" w14:textId="77777777" w:rsidR="00CB5EF5" w:rsidRDefault="00BE6C96" w:rsidP="00CB5EF5">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2.2 Sampling</w:t>
      </w:r>
    </w:p>
    <w:p w14:paraId="2D29A99E" w14:textId="6505E158" w:rsidR="00BE6C96" w:rsidRDefault="00BE6C96" w:rsidP="00CB5EF5">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Well water samples were collected in March 2025 at distances of 0 m (immediately adjacent to the site), 50 m, and 100 m from the dumpsites. In total, 33 samples were collected. Samples were taken in clean polyethylene bottles previously rinsed with</w:t>
      </w:r>
      <w:r w:rsidR="00320602">
        <w:rPr>
          <w:rFonts w:asciiTheme="majorBidi" w:hAnsiTheme="majorBidi" w:cstheme="majorBidi"/>
          <w:color w:val="000000" w:themeColor="text1"/>
          <w:lang w:val="en-GB"/>
        </w:rPr>
        <w:t xml:space="preserve"> </w:t>
      </w:r>
      <w:r w:rsidR="00320602" w:rsidRPr="00320602">
        <w:rPr>
          <w:rFonts w:asciiTheme="majorBidi" w:hAnsiTheme="majorBidi" w:cstheme="majorBidi"/>
          <w:color w:val="000000" w:themeColor="text1"/>
          <w:lang w:val="en-GB"/>
        </w:rPr>
        <w:t xml:space="preserve">distilled </w:t>
      </w:r>
      <w:r w:rsidRPr="00320602">
        <w:rPr>
          <w:rFonts w:asciiTheme="majorBidi" w:hAnsiTheme="majorBidi" w:cstheme="majorBidi"/>
          <w:color w:val="000000" w:themeColor="text1"/>
          <w:lang w:val="en-GB"/>
        </w:rPr>
        <w:t>water.</w:t>
      </w:r>
      <w:r w:rsidRPr="00BE6C96">
        <w:rPr>
          <w:rFonts w:asciiTheme="majorBidi" w:hAnsiTheme="majorBidi" w:cstheme="majorBidi"/>
          <w:color w:val="000000" w:themeColor="text1"/>
          <w:lang w:val="en-GB"/>
        </w:rPr>
        <w:t xml:space="preserve"> Physicochemical parameters, specifically pH and conductivity, were measured in situ using calibrated portable devices. The samples were subsequently transported to the laboratory at 4 °C in a cooler to prevent any alteration prior to analysis.</w:t>
      </w:r>
    </w:p>
    <w:p w14:paraId="2DA2CE27" w14:textId="77777777" w:rsidR="005E7DEE" w:rsidRPr="00BE6C96" w:rsidRDefault="005E7DEE" w:rsidP="00CB5EF5">
      <w:pPr>
        <w:spacing w:line="360" w:lineRule="auto"/>
        <w:jc w:val="both"/>
        <w:rPr>
          <w:rFonts w:asciiTheme="majorBidi" w:hAnsiTheme="majorBidi" w:cstheme="majorBidi"/>
          <w:color w:val="000000" w:themeColor="text1"/>
          <w:lang w:val="en-GB"/>
        </w:rPr>
      </w:pPr>
    </w:p>
    <w:p w14:paraId="325CDE27" w14:textId="77777777"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2.3 Chemical Analysis</w:t>
      </w:r>
    </w:p>
    <w:p w14:paraId="3DC6104B" w14:textId="77777777" w:rsidR="00CB5EF5"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2.3.1 Quantification of Heavy Metals</w:t>
      </w:r>
    </w:p>
    <w:p w14:paraId="2FC34A26" w14:textId="7228B4BA"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The heavy metals analysed (arsenic, cadmium, chromium, copper, iron, nickel, lead, and zinc) were quantified using Microwave Plasma-Atomic Emission Spectrometry (MP-AES). This technique relies on the excitation of atoms within a plasma and the measurement of photons emitted at characteristic wavelengths. Calibration was performed using standard solutions covering the expected concentration ranges. Quality control procedures included blank samples. Detection limits were on the order of a few micrograms per litre for the metals analysed.</w:t>
      </w:r>
    </w:p>
    <w:p w14:paraId="1EAA4593" w14:textId="77777777" w:rsidR="005E7CCC" w:rsidRPr="00BE6C96" w:rsidRDefault="005E7CCC" w:rsidP="00BE6C96">
      <w:pPr>
        <w:spacing w:line="360" w:lineRule="auto"/>
        <w:jc w:val="both"/>
        <w:rPr>
          <w:rFonts w:asciiTheme="majorBidi" w:hAnsiTheme="majorBidi" w:cstheme="majorBidi"/>
          <w:color w:val="000000" w:themeColor="text1"/>
          <w:lang w:val="en-GB"/>
        </w:rPr>
      </w:pPr>
    </w:p>
    <w:p w14:paraId="72004E52" w14:textId="77777777"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 Statistical Analysis</w:t>
      </w:r>
    </w:p>
    <w:p w14:paraId="1BB987EF" w14:textId="77777777" w:rsidR="00CB5EF5" w:rsidRDefault="00BE6C96" w:rsidP="00BE6C96">
      <w:pPr>
        <w:spacing w:line="360" w:lineRule="auto"/>
        <w:jc w:val="both"/>
        <w:rPr>
          <w:rFonts w:asciiTheme="majorBidi" w:hAnsiTheme="majorBidi" w:cstheme="majorBidi"/>
          <w:b/>
          <w:bCs/>
          <w:color w:val="000000" w:themeColor="text1"/>
          <w:lang w:val="en-GB"/>
        </w:rPr>
      </w:pPr>
      <w:r w:rsidRPr="003A133E">
        <w:rPr>
          <w:rFonts w:asciiTheme="majorBidi" w:hAnsiTheme="majorBidi" w:cstheme="majorBidi"/>
          <w:b/>
          <w:bCs/>
          <w:color w:val="000000" w:themeColor="text1"/>
          <w:lang w:val="en-GB"/>
        </w:rPr>
        <w:t>2.4.1 Statistical Treatment of Concentrations</w:t>
      </w:r>
    </w:p>
    <w:p w14:paraId="10C99AAD" w14:textId="053BD194"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Data were processed using R version 4.3. Descriptive statistics (mean, median, minimum, maximum, standard deviation) characterised the distribution of metals. Comparisons between cities and distances were conducted using the Kruskal-Wallis test followed by Dunn’s post hoc tests. Correlations between metals were examined via Spearman’s method and visualised through a correlation matrix. Principal Component Analysis (PCA) was undertaken to identify associations between metals and potential pollution sources.</w:t>
      </w:r>
    </w:p>
    <w:p w14:paraId="62E3BE94" w14:textId="77777777" w:rsidR="005E7CCC" w:rsidRPr="00BE6C96" w:rsidRDefault="005E7CCC" w:rsidP="00BE6C96">
      <w:pPr>
        <w:spacing w:line="360" w:lineRule="auto"/>
        <w:jc w:val="both"/>
        <w:rPr>
          <w:rFonts w:asciiTheme="majorBidi" w:hAnsiTheme="majorBidi" w:cstheme="majorBidi"/>
          <w:color w:val="000000" w:themeColor="text1"/>
          <w:lang w:val="en-GB"/>
        </w:rPr>
      </w:pPr>
    </w:p>
    <w:p w14:paraId="213F8E21" w14:textId="19AA6474"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 Pollution Indices</w:t>
      </w:r>
    </w:p>
    <w:p w14:paraId="5A464C32" w14:textId="77777777" w:rsidR="00CB5EF5"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2.4.2.1 Metal Index (MI)</w:t>
      </w:r>
    </w:p>
    <w:p w14:paraId="1E3C5312" w14:textId="279D5804"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The Metal Index (MI) is an aggregate indicator used to assess the degree of contamination of water by multiple metals simultaneously. It is based on a comparison between measured concentrations and WHO guideline values (2017). A higher MI indicates poorer water quality. An MI exceeding 1 is generally interpreted as evidence of pollution (Rajkumar et al., 2020).</w:t>
      </w:r>
    </w:p>
    <w:p w14:paraId="0B4B8D2B" w14:textId="16065AEA" w:rsidR="00BE6C96" w:rsidRPr="00BE6C96" w:rsidRDefault="00CB5EF5" w:rsidP="00CB5EF5">
      <w:pPr>
        <w:spacing w:line="360" w:lineRule="auto"/>
        <w:rPr>
          <w:rFonts w:asciiTheme="majorBidi" w:hAnsiTheme="majorBidi" w:cstheme="majorBidi"/>
          <w:color w:val="000000" w:themeColor="text1"/>
          <w:lang w:val="en-GB"/>
        </w:rPr>
      </w:pPr>
      <m:oMathPara>
        <m:oMath>
          <m:r>
            <w:rPr>
              <w:rFonts w:ascii="Cambria Math" w:hAnsi="Cambria Math" w:cstheme="majorBidi"/>
              <w:color w:val="000000" w:themeColor="text1"/>
              <w:lang w:val="en-GB"/>
            </w:rPr>
            <m:t>MI=∑</m:t>
          </m:r>
          <m:f>
            <m:fPr>
              <m:ctrlPr>
                <w:rPr>
                  <w:rFonts w:ascii="Cambria Math" w:hAnsi="Cambria Math" w:cstheme="majorBidi"/>
                  <w:color w:val="000000" w:themeColor="text1"/>
                  <w:lang w:val="en-GB"/>
                </w:rPr>
              </m:ctrlPr>
            </m:fPr>
            <m:num>
              <m:sSub>
                <m:sSubPr>
                  <m:ctrlPr>
                    <w:rPr>
                      <w:rFonts w:ascii="Cambria Math" w:hAnsi="Cambria Math" w:cstheme="majorBidi"/>
                      <w:color w:val="000000" w:themeColor="text1"/>
                      <w:lang w:val="en-GB"/>
                    </w:rPr>
                  </m:ctrlPr>
                </m:sSubPr>
                <m:e>
                  <m:r>
                    <w:rPr>
                      <w:rFonts w:ascii="Cambria Math" w:hAnsi="Cambria Math" w:cstheme="majorBidi"/>
                      <w:color w:val="000000" w:themeColor="text1"/>
                      <w:lang w:val="en-GB"/>
                    </w:rPr>
                    <m:t>C</m:t>
                  </m:r>
                </m:e>
                <m:sub>
                  <m:r>
                    <w:rPr>
                      <w:rFonts w:ascii="Cambria Math" w:hAnsi="Cambria Math" w:cstheme="majorBidi"/>
                      <w:color w:val="000000" w:themeColor="text1"/>
                      <w:lang w:val="en-GB"/>
                    </w:rPr>
                    <m:t>i</m:t>
                  </m:r>
                </m:sub>
              </m:sSub>
            </m:num>
            <m:den>
              <m:sSub>
                <m:sSubPr>
                  <m:ctrlPr>
                    <w:rPr>
                      <w:rFonts w:ascii="Cambria Math" w:hAnsi="Cambria Math" w:cstheme="majorBidi"/>
                      <w:color w:val="000000" w:themeColor="text1"/>
                      <w:lang w:val="en-GB"/>
                    </w:rPr>
                  </m:ctrlPr>
                </m:sSubPr>
                <m:e>
                  <m:r>
                    <w:rPr>
                      <w:rFonts w:ascii="Cambria Math" w:hAnsi="Cambria Math" w:cstheme="majorBidi"/>
                      <w:color w:val="000000" w:themeColor="text1"/>
                      <w:lang w:val="en-GB"/>
                    </w:rPr>
                    <m:t>S</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 xml:space="preserve">             (2)</m:t>
          </m:r>
          <m:r>
            <m:rPr>
              <m:sty m:val="p"/>
            </m:rPr>
            <w:rPr>
              <w:rFonts w:asciiTheme="majorBidi" w:hAnsiTheme="majorBidi" w:cstheme="majorBidi"/>
              <w:color w:val="000000" w:themeColor="text1"/>
              <w:lang w:val="en-GB"/>
            </w:rPr>
            <w:br/>
          </m:r>
        </m:oMath>
      </m:oMathPara>
    </w:p>
    <w:p w14:paraId="6C7363DD" w14:textId="6323E08F" w:rsidR="00BE6C96" w:rsidRDefault="00BE6C96" w:rsidP="005460FD">
      <w:pPr>
        <w:spacing w:line="276" w:lineRule="auto"/>
        <w:rPr>
          <w:color w:val="000000" w:themeColor="text1"/>
          <w:sz w:val="22"/>
          <w:szCs w:val="22"/>
          <w:lang w:val="en-GB"/>
        </w:rPr>
      </w:pPr>
      <w:r w:rsidRPr="00BE6C96">
        <w:rPr>
          <w:rFonts w:asciiTheme="majorBidi" w:hAnsiTheme="majorBidi" w:cstheme="majorBidi"/>
          <w:color w:val="000000" w:themeColor="text1"/>
          <w:lang w:val="en-GB"/>
        </w:rPr>
        <w:t>Where:</w:t>
      </w:r>
      <w:r w:rsidRPr="00BE6C96">
        <w:rPr>
          <w:rFonts w:asciiTheme="majorBidi" w:hAnsiTheme="majorBidi" w:cstheme="majorBidi"/>
          <w:color w:val="000000" w:themeColor="text1"/>
          <w:lang w:val="en-GB"/>
        </w:rPr>
        <w:br/>
      </w:r>
      <m:oMath>
        <m:sSub>
          <m:sSubPr>
            <m:ctrlPr>
              <w:rPr>
                <w:rFonts w:ascii="Cambria Math" w:hAnsi="Cambria Math"/>
                <w:color w:val="000000" w:themeColor="text1"/>
                <w:sz w:val="22"/>
                <w:szCs w:val="22"/>
                <w:lang w:val="en-GB"/>
              </w:rPr>
            </m:ctrlPr>
          </m:sSubPr>
          <m:e>
            <m:r>
              <w:rPr>
                <w:rFonts w:ascii="Cambria Math" w:hAnsi="Cambria Math"/>
                <w:color w:val="000000" w:themeColor="text1"/>
                <w:sz w:val="22"/>
                <w:szCs w:val="22"/>
                <w:lang w:val="en-GB"/>
              </w:rPr>
              <m:t>C</m:t>
            </m:r>
          </m:e>
          <m:sub>
            <m:r>
              <w:rPr>
                <w:rFonts w:ascii="Cambria Math" w:hAnsi="Cambria Math"/>
                <w:color w:val="000000" w:themeColor="text1"/>
                <w:sz w:val="22"/>
                <w:szCs w:val="22"/>
                <w:lang w:val="en-GB"/>
              </w:rPr>
              <m:t>i</m:t>
            </m:r>
          </m:sub>
        </m:sSub>
      </m:oMath>
      <w:r w:rsidRPr="005460FD">
        <w:rPr>
          <w:color w:val="000000" w:themeColor="text1"/>
          <w:sz w:val="22"/>
          <w:szCs w:val="22"/>
          <w:lang w:val="en-GB"/>
        </w:rPr>
        <w:t xml:space="preserve">= Measured concentration of metal </w:t>
      </w:r>
      <m:oMath>
        <m:r>
          <w:rPr>
            <w:rFonts w:ascii="Cambria Math" w:hAnsi="Cambria Math"/>
            <w:color w:val="000000" w:themeColor="text1"/>
            <w:sz w:val="22"/>
            <w:szCs w:val="22"/>
            <w:lang w:val="en-GB"/>
          </w:rPr>
          <m:t>i</m:t>
        </m:r>
      </m:oMath>
      <w:r w:rsidRPr="005460FD">
        <w:rPr>
          <w:color w:val="000000" w:themeColor="text1"/>
          <w:sz w:val="22"/>
          <w:szCs w:val="22"/>
          <w:lang w:val="en-GB"/>
        </w:rPr>
        <w:t>(mg/L)</w:t>
      </w:r>
      <w:r w:rsidRPr="005460FD">
        <w:rPr>
          <w:color w:val="000000" w:themeColor="text1"/>
          <w:sz w:val="22"/>
          <w:szCs w:val="22"/>
          <w:lang w:val="en-GB"/>
        </w:rPr>
        <w:br/>
      </w:r>
      <m:oMath>
        <m:sSub>
          <m:sSubPr>
            <m:ctrlPr>
              <w:rPr>
                <w:rFonts w:ascii="Cambria Math" w:hAnsi="Cambria Math"/>
                <w:color w:val="000000" w:themeColor="text1"/>
                <w:sz w:val="22"/>
                <w:szCs w:val="22"/>
                <w:lang w:val="en-GB"/>
              </w:rPr>
            </m:ctrlPr>
          </m:sSubPr>
          <m:e>
            <m:r>
              <w:rPr>
                <w:rFonts w:ascii="Cambria Math" w:hAnsi="Cambria Math"/>
                <w:color w:val="000000" w:themeColor="text1"/>
                <w:sz w:val="22"/>
                <w:szCs w:val="22"/>
                <w:lang w:val="en-GB"/>
              </w:rPr>
              <m:t>S</m:t>
            </m:r>
          </m:e>
          <m:sub>
            <m:r>
              <w:rPr>
                <w:rFonts w:ascii="Cambria Math" w:hAnsi="Cambria Math"/>
                <w:color w:val="000000" w:themeColor="text1"/>
                <w:sz w:val="22"/>
                <w:szCs w:val="22"/>
                <w:lang w:val="en-GB"/>
              </w:rPr>
              <m:t>i</m:t>
            </m:r>
          </m:sub>
        </m:sSub>
      </m:oMath>
      <w:r w:rsidRPr="005460FD">
        <w:rPr>
          <w:color w:val="000000" w:themeColor="text1"/>
          <w:sz w:val="22"/>
          <w:szCs w:val="22"/>
          <w:lang w:val="en-GB"/>
        </w:rPr>
        <w:t xml:space="preserve">= WHO guideline value for metal </w:t>
      </w:r>
      <m:oMath>
        <m:r>
          <w:rPr>
            <w:rFonts w:ascii="Cambria Math" w:hAnsi="Cambria Math"/>
            <w:color w:val="000000" w:themeColor="text1"/>
            <w:sz w:val="22"/>
            <w:szCs w:val="22"/>
            <w:lang w:val="en-GB"/>
          </w:rPr>
          <m:t>i</m:t>
        </m:r>
      </m:oMath>
      <w:r w:rsidRPr="005460FD">
        <w:rPr>
          <w:color w:val="000000" w:themeColor="text1"/>
          <w:sz w:val="22"/>
          <w:szCs w:val="22"/>
          <w:lang w:val="en-GB"/>
        </w:rPr>
        <w:t>(mg/L)</w:t>
      </w:r>
    </w:p>
    <w:p w14:paraId="726AB652" w14:textId="77777777" w:rsidR="005460FD" w:rsidRPr="00BE6C96" w:rsidRDefault="005460FD" w:rsidP="005460FD">
      <w:pPr>
        <w:spacing w:line="276" w:lineRule="auto"/>
        <w:rPr>
          <w:rFonts w:asciiTheme="majorBidi" w:hAnsiTheme="majorBidi" w:cstheme="majorBidi"/>
          <w:color w:val="000000" w:themeColor="text1"/>
          <w:lang w:val="en-GB"/>
        </w:rPr>
      </w:pPr>
    </w:p>
    <w:p w14:paraId="78340603" w14:textId="77777777" w:rsidR="00CB5EF5" w:rsidRPr="00CB5EF5" w:rsidRDefault="00BE6C96" w:rsidP="00CB5EF5">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2.4.2.2 Heavy Metal Pollution Index (HPI)</w:t>
      </w:r>
    </w:p>
    <w:p w14:paraId="21CB0CCC" w14:textId="053FB5F4" w:rsidR="00BE6C96" w:rsidRPr="00BE6C96" w:rsidRDefault="00BE6C96" w:rsidP="00CB5EF5">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lastRenderedPageBreak/>
        <w:t>The Heavy Metal Pollution Index (HPI) is a more sensitive synthetic indicator than the MI, integrating both measured values and relative weights assigned to each metal based on its guideline limit. An HPI below 100 indicates good water quality, while an HPI exceeding 100 signals concerning contamination (Herojeet et al., 2020; Latif et al., 2025).</w:t>
      </w:r>
    </w:p>
    <w:p w14:paraId="684F0432" w14:textId="79F1F237" w:rsidR="003B4130" w:rsidRPr="003B4130"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MI=∑</m:t>
          </m:r>
          <m:f>
            <m:fPr>
              <m:ctrlPr>
                <w:rPr>
                  <w:rFonts w:ascii="Cambria Math" w:hAnsi="Cambria Math" w:cstheme="majorBidi"/>
                  <w:i/>
                  <w:color w:val="000000" w:themeColor="text1"/>
                  <w:lang w:val="en-GB"/>
                </w:rPr>
              </m:ctrlPr>
            </m:fPr>
            <m:num>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C</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I</m:t>
                  </m:r>
                </m:e>
                <m:sub>
                  <m:r>
                    <w:rPr>
                      <w:rFonts w:ascii="Cambria Math" w:hAnsi="Cambria Math" w:cstheme="majorBidi"/>
                      <w:color w:val="000000" w:themeColor="text1"/>
                      <w:lang w:val="en-GB"/>
                    </w:rPr>
                    <m:t>i</m:t>
                  </m:r>
                </m:sub>
              </m:sSub>
            </m:num>
            <m:den>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S</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I</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 xml:space="preserve">             (3)</m:t>
          </m:r>
        </m:oMath>
      </m:oMathPara>
    </w:p>
    <w:p w14:paraId="05D14A72" w14:textId="1167BDC8"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
          <w:color w:val="000000" w:themeColor="text1"/>
          <w:lang w:val="en-GB"/>
        </w:rPr>
        <w:br/>
      </w:r>
      <m:oMathPara>
        <m:oMath>
          <m:r>
            <w:rPr>
              <w:rFonts w:ascii="Cambria Math" w:hAnsi="Cambria Math" w:cstheme="majorBidi"/>
              <w:color w:val="000000" w:themeColor="text1"/>
              <w:lang w:val="en-GB"/>
            </w:rPr>
            <m:t>HPI=</m:t>
          </m:r>
          <m:f>
            <m:fPr>
              <m:ctrlPr>
                <w:rPr>
                  <w:rFonts w:ascii="Cambria Math" w:hAnsi="Cambria Math" w:cstheme="majorBidi"/>
                  <w:i/>
                  <w:color w:val="000000" w:themeColor="text1"/>
                  <w:lang w:val="en-GB"/>
                </w:rPr>
              </m:ctrlPr>
            </m:fPr>
            <m:num>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Q</m:t>
                  </m:r>
                </m:e>
                <m:sub>
                  <m:r>
                    <w:rPr>
                      <w:rFonts w:ascii="Cambria Math" w:hAnsi="Cambria Math" w:cstheme="majorBidi"/>
                      <w:color w:val="000000" w:themeColor="text1"/>
                      <w:lang w:val="en-GB"/>
                    </w:rPr>
                    <m:t>i</m:t>
                  </m:r>
                </m:sub>
              </m:sSub>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num>
            <m:den>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 xml:space="preserve">         (4)</m:t>
          </m:r>
          <m:r>
            <m:rPr>
              <m:sty m:val="p"/>
            </m:rPr>
            <w:rPr>
              <w:rFonts w:ascii="Cambria Math" w:hAnsi="Cambria Math" w:cstheme="majorBidi"/>
              <w:color w:val="000000" w:themeColor="text1"/>
              <w:lang w:val="en-GB"/>
            </w:rPr>
            <w:br/>
          </m:r>
        </m:oMath>
      </m:oMathPara>
    </w:p>
    <w:p w14:paraId="4921B83A" w14:textId="4586EA42" w:rsidR="00CB5EF5" w:rsidRDefault="00CB5EF5" w:rsidP="005460FD">
      <w:pPr>
        <w:spacing w:line="276" w:lineRule="auto"/>
        <w:rPr>
          <w:rFonts w:ascii="Cambria Math" w:hAnsi="Cambria Math" w:cstheme="majorBidi"/>
          <w:color w:val="000000" w:themeColor="text1"/>
          <w:sz w:val="22"/>
          <w:szCs w:val="22"/>
          <w:lang w:val="en-GB"/>
        </w:rPr>
      </w:pPr>
      <w:r w:rsidRPr="00CB5EF5">
        <w:rPr>
          <w:rFonts w:ascii="Cambria Math" w:hAnsi="Cambria Math" w:cstheme="majorBidi"/>
          <w:i/>
          <w:color w:val="000000" w:themeColor="text1"/>
          <w:lang w:val="en-GB"/>
        </w:rPr>
        <w:t>Where:</w:t>
      </w:r>
      <w:r w:rsidRPr="00CB5EF5">
        <w:rPr>
          <w:rFonts w:ascii="Cambria Math" w:hAnsi="Cambria Math" w:cstheme="majorBidi"/>
          <w:i/>
          <w:color w:val="000000" w:themeColor="text1"/>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C</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Measured concentration of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(mg/L)</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S</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WHO guideline value for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(mg/L)</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I</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Ideal value (here 0 for all metals)</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W</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Weight assigned to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 the inverse of the WHO guideline</w:t>
      </w:r>
    </w:p>
    <w:p w14:paraId="1C84AB44" w14:textId="77777777" w:rsidR="005460FD" w:rsidRPr="00CB5EF5" w:rsidRDefault="005460FD" w:rsidP="005460FD">
      <w:pPr>
        <w:spacing w:line="276" w:lineRule="auto"/>
        <w:rPr>
          <w:rFonts w:ascii="Cambria Math" w:hAnsi="Cambria Math" w:cstheme="majorBidi"/>
          <w:i/>
          <w:color w:val="000000" w:themeColor="text1"/>
          <w:lang w:val="en-GB"/>
        </w:rPr>
      </w:pPr>
    </w:p>
    <w:p w14:paraId="01DCF6C8" w14:textId="77777777" w:rsidR="003B4130" w:rsidRPr="003B4130"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 Health Risk Assessment (HRA)</w:t>
      </w:r>
    </w:p>
    <w:p w14:paraId="2DA5677B" w14:textId="596B9D63" w:rsid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The human health risk assessment was conducted following the methodology of the US Environmental Protection Agency (USEPA, 1989, 2011) and adapted in recent studies on metal contamination of water (Shehu et al., 2022). It includes estimation of Chronic Daily Intake (CDI), calculation of non-carcinogenic risks (Hazard Quotient [HQ] and Hazard Index [HI]), and carcinogenic risk (Cancer Risk [CR]). HQ and HI are defined by USEPA as indicators of non-carcinogenic risk (USEPA, 1989). CR is calculated using cancer slope factors provided by the Integrated Risk Information System (IRIS) (USEPA, 2011).</w:t>
      </w:r>
    </w:p>
    <w:p w14:paraId="1081C612" w14:textId="77777777" w:rsidR="00DE0A68" w:rsidRPr="00CB5EF5" w:rsidRDefault="00DE0A68" w:rsidP="00CB5EF5">
      <w:pPr>
        <w:spacing w:line="360" w:lineRule="auto"/>
        <w:jc w:val="both"/>
        <w:rPr>
          <w:rFonts w:ascii="Cambria Math" w:hAnsi="Cambria Math" w:cstheme="majorBidi"/>
          <w:i/>
          <w:color w:val="000000" w:themeColor="text1"/>
          <w:lang w:val="en-GB"/>
        </w:rPr>
      </w:pPr>
    </w:p>
    <w:p w14:paraId="3D7FAE6E" w14:textId="77777777" w:rsidR="00CB5EF5" w:rsidRPr="00CB5EF5" w:rsidRDefault="00CB5EF5" w:rsidP="003B4130">
      <w:pPr>
        <w:spacing w:line="360" w:lineRule="auto"/>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2.4.3.1 Chronic Daily Intake (CDI)</w:t>
      </w:r>
      <w:r w:rsidRPr="00CB5EF5">
        <w:rPr>
          <w:rFonts w:ascii="Cambria Math" w:hAnsi="Cambria Math" w:cstheme="majorBidi"/>
          <w:i/>
          <w:color w:val="000000" w:themeColor="text1"/>
          <w:lang w:val="en-GB"/>
        </w:rPr>
        <w:br/>
      </w:r>
      <w:r w:rsidRPr="00CB5EF5">
        <w:rPr>
          <w:rFonts w:ascii="Cambria Math" w:hAnsi="Cambria Math" w:cstheme="majorBidi"/>
          <w:iCs/>
          <w:color w:val="000000" w:themeColor="text1"/>
          <w:lang w:val="en-GB"/>
        </w:rPr>
        <w:t>CDI expresses the chronic daily dose ingested by an individual based on metal concentration in water and consumption habits:</w:t>
      </w:r>
    </w:p>
    <w:p w14:paraId="66537625" w14:textId="43481317" w:rsidR="00CB5EF5" w:rsidRPr="00CB5EF5" w:rsidRDefault="003B4130" w:rsidP="003B4130">
      <w:pPr>
        <w:spacing w:line="360" w:lineRule="auto"/>
        <w:rPr>
          <w:rFonts w:ascii="Cambria Math" w:hAnsi="Cambria Math" w:cstheme="majorBidi"/>
          <w:iCs/>
          <w:color w:val="000000" w:themeColor="text1"/>
          <w:lang w:val="en-GB"/>
        </w:rPr>
      </w:pPr>
      <m:oMathPara>
        <m:oMath>
          <m:r>
            <m:rPr>
              <m:sty m:val="p"/>
            </m:rPr>
            <w:rPr>
              <w:rFonts w:ascii="Cambria Math" w:hAnsi="Cambria Math" w:cstheme="majorBidi"/>
              <w:color w:val="000000" w:themeColor="text1"/>
              <w:lang w:val="en-GB"/>
            </w:rPr>
            <m:t>CDI=</m:t>
          </m:r>
          <m:f>
            <m:fPr>
              <m:ctrlPr>
                <w:rPr>
                  <w:rFonts w:ascii="Cambria Math" w:hAnsi="Cambria Math" w:cstheme="majorBidi"/>
                  <w:iCs/>
                  <w:color w:val="000000" w:themeColor="text1"/>
                  <w:lang w:val="en-GB"/>
                </w:rPr>
              </m:ctrlPr>
            </m:fPr>
            <m:num>
              <m:r>
                <m:rPr>
                  <m:sty m:val="p"/>
                </m:rPr>
                <w:rPr>
                  <w:rFonts w:ascii="Cambria Math" w:hAnsi="Cambria Math" w:cstheme="majorBidi"/>
                  <w:color w:val="000000" w:themeColor="text1"/>
                  <w:lang w:val="en-GB"/>
                </w:rPr>
                <m:t>C×IR×EF×ED</m:t>
              </m:r>
            </m:num>
            <m:den>
              <m:r>
                <m:rPr>
                  <m:sty m:val="p"/>
                </m:rPr>
                <w:rPr>
                  <w:rFonts w:ascii="Cambria Math" w:hAnsi="Cambria Math" w:cstheme="majorBidi"/>
                  <w:color w:val="000000" w:themeColor="text1"/>
                  <w:lang w:val="en-GB"/>
                </w:rPr>
                <m:t>BW×AT</m:t>
              </m:r>
            </m:den>
          </m:f>
          <m:r>
            <m:rPr>
              <m:sty m:val="p"/>
            </m:rPr>
            <w:rPr>
              <w:rFonts w:ascii="Cambria Math" w:hAnsi="Cambria Math" w:cstheme="majorBidi"/>
              <w:color w:val="000000" w:themeColor="text1"/>
              <w:lang w:val="en-GB"/>
            </w:rPr>
            <m:t xml:space="preserve">              (5)</m:t>
          </m:r>
          <m:r>
            <m:rPr>
              <m:sty m:val="p"/>
            </m:rPr>
            <w:rPr>
              <w:rFonts w:ascii="Cambria Math" w:hAnsi="Cambria Math" w:cstheme="majorBidi"/>
              <w:color w:val="000000" w:themeColor="text1"/>
              <w:lang w:val="en-GB"/>
            </w:rPr>
            <w:br/>
          </m:r>
        </m:oMath>
      </m:oMathPara>
    </w:p>
    <w:p w14:paraId="2AE84E85" w14:textId="3AD94D54" w:rsidR="00CB5EF5" w:rsidRDefault="00CB5EF5" w:rsidP="005460FD">
      <w:pPr>
        <w:spacing w:line="360" w:lineRule="auto"/>
        <w:rPr>
          <w:iCs/>
          <w:color w:val="000000" w:themeColor="text1"/>
          <w:sz w:val="22"/>
          <w:szCs w:val="22"/>
          <w:lang w:val="en-GB"/>
        </w:rPr>
      </w:pPr>
      <w:r w:rsidRPr="00CB5EF5">
        <w:rPr>
          <w:rFonts w:ascii="Cambria Math" w:hAnsi="Cambria Math" w:cstheme="majorBidi"/>
          <w:iCs/>
          <w:color w:val="000000" w:themeColor="text1"/>
          <w:lang w:val="en-GB"/>
        </w:rPr>
        <w:t>Where:</w:t>
      </w:r>
      <w:r w:rsidRPr="00CB5EF5">
        <w:rPr>
          <w:rFonts w:ascii="Cambria Math" w:hAnsi="Cambria Math" w:cstheme="majorBidi"/>
          <w:iCs/>
          <w:color w:val="000000" w:themeColor="text1"/>
          <w:lang w:val="en-GB"/>
        </w:rPr>
        <w:br/>
      </w:r>
      <m:oMath>
        <m:r>
          <m:rPr>
            <m:sty m:val="p"/>
          </m:rPr>
          <w:rPr>
            <w:rFonts w:ascii="Cambria Math" w:hAnsi="Cambria Math"/>
            <w:color w:val="000000" w:themeColor="text1"/>
            <w:sz w:val="22"/>
            <w:szCs w:val="22"/>
            <w:lang w:val="en-GB"/>
          </w:rPr>
          <m:t>C</m:t>
        </m:r>
      </m:oMath>
      <w:r w:rsidRPr="005460FD">
        <w:rPr>
          <w:iCs/>
          <w:color w:val="000000" w:themeColor="text1"/>
          <w:sz w:val="22"/>
          <w:szCs w:val="22"/>
          <w:lang w:val="en-GB"/>
        </w:rPr>
        <w:t>= Concentration of metal (mg/L)</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IR</m:t>
        </m:r>
      </m:oMath>
      <w:r w:rsidRPr="005460FD">
        <w:rPr>
          <w:iCs/>
          <w:color w:val="000000" w:themeColor="text1"/>
          <w:sz w:val="22"/>
          <w:szCs w:val="22"/>
          <w:lang w:val="en-GB"/>
        </w:rPr>
        <w:t>= Daily water ingestion rate (2.5 L/day for adults; 0.78 L/day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EF</m:t>
        </m:r>
      </m:oMath>
      <w:r w:rsidRPr="005460FD">
        <w:rPr>
          <w:iCs/>
          <w:color w:val="000000" w:themeColor="text1"/>
          <w:sz w:val="22"/>
          <w:szCs w:val="22"/>
          <w:lang w:val="en-GB"/>
        </w:rPr>
        <w:t>= Exposure frequency (365 days/year)</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ED</m:t>
        </m:r>
      </m:oMath>
      <w:r w:rsidRPr="005460FD">
        <w:rPr>
          <w:iCs/>
          <w:color w:val="000000" w:themeColor="text1"/>
          <w:sz w:val="22"/>
          <w:szCs w:val="22"/>
          <w:lang w:val="en-GB"/>
        </w:rPr>
        <w:t>= Exposure duration (70 years for adults; 6 years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w:lastRenderedPageBreak/>
          <m:t>BW</m:t>
        </m:r>
      </m:oMath>
      <w:r w:rsidRPr="005460FD">
        <w:rPr>
          <w:iCs/>
          <w:color w:val="000000" w:themeColor="text1"/>
          <w:sz w:val="22"/>
          <w:szCs w:val="22"/>
          <w:lang w:val="en-GB"/>
        </w:rPr>
        <w:t>= Body weight (70 kg for adults; 15 kg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AT</m:t>
        </m:r>
      </m:oMath>
      <w:r w:rsidRPr="005460FD">
        <w:rPr>
          <w:iCs/>
          <w:color w:val="000000" w:themeColor="text1"/>
          <w:sz w:val="22"/>
          <w:szCs w:val="22"/>
          <w:lang w:val="en-GB"/>
        </w:rPr>
        <w:t>= Averaging time (ED × 365 days for non-carcinogenic effects; lifetime for carcinogenic effects)</w:t>
      </w:r>
    </w:p>
    <w:p w14:paraId="3D787199" w14:textId="77777777" w:rsidR="005460FD" w:rsidRPr="00CB5EF5" w:rsidRDefault="005460FD" w:rsidP="005460FD">
      <w:pPr>
        <w:spacing w:line="360" w:lineRule="auto"/>
        <w:rPr>
          <w:rFonts w:ascii="Cambria Math" w:hAnsi="Cambria Math" w:cstheme="majorBidi"/>
          <w:iCs/>
          <w:color w:val="000000" w:themeColor="text1"/>
          <w:lang w:val="en-GB"/>
        </w:rPr>
      </w:pPr>
    </w:p>
    <w:p w14:paraId="5A9C9573" w14:textId="77777777" w:rsidR="003B4130" w:rsidRPr="003B4130" w:rsidRDefault="00CB5EF5" w:rsidP="00CB5EF5">
      <w:pPr>
        <w:spacing w:line="360" w:lineRule="auto"/>
        <w:jc w:val="both"/>
        <w:rPr>
          <w:rFonts w:ascii="Cambria Math" w:hAnsi="Cambria Math" w:cstheme="majorBidi"/>
          <w:b/>
          <w:bCs/>
          <w:iCs/>
          <w:color w:val="000000" w:themeColor="text1"/>
          <w:lang w:val="en-GB"/>
        </w:rPr>
      </w:pPr>
      <w:r w:rsidRPr="00CB5EF5">
        <w:rPr>
          <w:rFonts w:ascii="Cambria Math" w:hAnsi="Cambria Math" w:cstheme="majorBidi"/>
          <w:b/>
          <w:bCs/>
          <w:iCs/>
          <w:color w:val="000000" w:themeColor="text1"/>
          <w:lang w:val="en-GB"/>
        </w:rPr>
        <w:t>2.4.3.2 Hazard Quotient (HQ)</w:t>
      </w:r>
    </w:p>
    <w:p w14:paraId="2D191F6E" w14:textId="12B59187" w:rsid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HQ assesses the non-carcinogenic risk of an individual metal:</w:t>
      </w:r>
    </w:p>
    <w:p w14:paraId="32E5E157" w14:textId="77777777" w:rsidR="003B4130" w:rsidRPr="00CB5EF5" w:rsidRDefault="003B4130" w:rsidP="00CB5EF5">
      <w:pPr>
        <w:spacing w:line="360" w:lineRule="auto"/>
        <w:jc w:val="both"/>
        <w:rPr>
          <w:rFonts w:ascii="Cambria Math" w:hAnsi="Cambria Math" w:cstheme="majorBidi"/>
          <w:iCs/>
          <w:color w:val="000000" w:themeColor="text1"/>
          <w:lang w:val="en-GB"/>
        </w:rPr>
      </w:pPr>
    </w:p>
    <w:p w14:paraId="37D79401" w14:textId="7A9A82A7" w:rsidR="00CB5EF5" w:rsidRPr="005460FD" w:rsidRDefault="003B4130" w:rsidP="00CB5EF5">
      <w:pPr>
        <w:spacing w:line="360" w:lineRule="auto"/>
        <w:jc w:val="both"/>
        <w:rPr>
          <w:rFonts w:ascii="Cambria Math" w:hAnsi="Cambria Math" w:cstheme="majorBidi"/>
          <w:iCs/>
          <w:color w:val="000000" w:themeColor="text1"/>
          <w:lang w:val="en-GB"/>
        </w:rPr>
      </w:pPr>
      <m:oMathPara>
        <m:oMath>
          <m:r>
            <m:rPr>
              <m:sty m:val="p"/>
            </m:rPr>
            <w:rPr>
              <w:rFonts w:ascii="Cambria Math" w:hAnsi="Cambria Math" w:cstheme="majorBidi"/>
              <w:color w:val="000000" w:themeColor="text1"/>
              <w:lang w:val="en-GB"/>
            </w:rPr>
            <m:t>HQ=</m:t>
          </m:r>
          <m:f>
            <m:fPr>
              <m:ctrlPr>
                <w:rPr>
                  <w:rFonts w:ascii="Cambria Math" w:hAnsi="Cambria Math" w:cstheme="majorBidi"/>
                  <w:iCs/>
                  <w:color w:val="000000" w:themeColor="text1"/>
                  <w:lang w:val="en-GB"/>
                </w:rPr>
              </m:ctrlPr>
            </m:fPr>
            <m:num>
              <m:r>
                <m:rPr>
                  <m:sty m:val="p"/>
                </m:rPr>
                <w:rPr>
                  <w:rFonts w:ascii="Cambria Math" w:hAnsi="Cambria Math" w:cstheme="majorBidi"/>
                  <w:color w:val="000000" w:themeColor="text1"/>
                  <w:lang w:val="en-GB"/>
                </w:rPr>
                <m:t>CDI</m:t>
              </m:r>
            </m:num>
            <m:den>
              <m:r>
                <m:rPr>
                  <m:sty m:val="p"/>
                </m:rPr>
                <w:rPr>
                  <w:rFonts w:ascii="Cambria Math" w:hAnsi="Cambria Math" w:cstheme="majorBidi"/>
                  <w:color w:val="000000" w:themeColor="text1"/>
                  <w:lang w:val="en-GB"/>
                </w:rPr>
                <m:t>RfD</m:t>
              </m:r>
            </m:den>
          </m:f>
          <m:r>
            <m:rPr>
              <m:sty m:val="p"/>
            </m:rPr>
            <w:rPr>
              <w:rFonts w:ascii="Cambria Math" w:hAnsi="Cambria Math" w:cstheme="majorBidi"/>
              <w:color w:val="000000" w:themeColor="text1"/>
              <w:lang w:val="en-GB"/>
            </w:rPr>
            <m:t xml:space="preserve">          (6)</m:t>
          </m:r>
          <m:r>
            <m:rPr>
              <m:sty m:val="p"/>
            </m:rPr>
            <w:rPr>
              <w:rFonts w:ascii="Cambria Math" w:hAnsi="Cambria Math" w:cstheme="majorBidi"/>
              <w:color w:val="000000" w:themeColor="text1"/>
              <w:lang w:val="en-GB"/>
            </w:rPr>
            <w:br/>
          </m:r>
        </m:oMath>
      </m:oMathPara>
    </w:p>
    <w:p w14:paraId="6455CA6B" w14:textId="05FF11F7" w:rsidR="00CB5EF5" w:rsidRDefault="00CB5EF5" w:rsidP="005460FD">
      <w:pPr>
        <w:spacing w:line="276" w:lineRule="auto"/>
        <w:jc w:val="both"/>
        <w:rPr>
          <w:color w:val="000000" w:themeColor="text1"/>
          <w:sz w:val="22"/>
          <w:szCs w:val="22"/>
          <w:lang w:val="en-GB"/>
        </w:rPr>
      </w:pPr>
      <w:r w:rsidRPr="005460FD">
        <w:rPr>
          <w:rFonts w:ascii="Cambria Math" w:hAnsi="Cambria Math" w:cstheme="majorBidi"/>
          <w:color w:val="000000" w:themeColor="text1"/>
          <w:lang w:val="en-GB"/>
        </w:rPr>
        <w:t>Where:</w:t>
      </w:r>
      <w:r w:rsidRPr="005460FD">
        <w:rPr>
          <w:rFonts w:ascii="Cambria Math" w:hAnsi="Cambria Math" w:cstheme="majorBidi"/>
          <w:color w:val="000000" w:themeColor="text1"/>
          <w:lang w:val="en-GB"/>
        </w:rPr>
        <w:br/>
      </w:r>
      <m:oMath>
        <m:r>
          <w:rPr>
            <w:rFonts w:ascii="Cambria Math" w:hAnsi="Cambria Math"/>
            <w:color w:val="000000" w:themeColor="text1"/>
            <w:sz w:val="22"/>
            <w:szCs w:val="22"/>
            <w:lang w:val="en-GB"/>
          </w:rPr>
          <m:t>RfD</m:t>
        </m:r>
      </m:oMath>
      <w:r w:rsidRPr="005460FD">
        <w:rPr>
          <w:color w:val="000000" w:themeColor="text1"/>
          <w:sz w:val="22"/>
          <w:szCs w:val="22"/>
          <w:lang w:val="en-GB"/>
        </w:rPr>
        <w:t>= Reference dose (mg/kg/day) for each metal (values from USEPA, 2011)</w:t>
      </w:r>
      <w:r w:rsidRPr="005460FD">
        <w:rPr>
          <w:color w:val="000000" w:themeColor="text1"/>
          <w:sz w:val="22"/>
          <w:szCs w:val="22"/>
          <w:lang w:val="en-GB"/>
        </w:rPr>
        <w:br/>
        <w:t>A value of HQ &gt; 1 indicates potential non-carcinogenic risk.</w:t>
      </w:r>
    </w:p>
    <w:p w14:paraId="2560D320" w14:textId="77777777" w:rsidR="005460FD" w:rsidRPr="005460FD" w:rsidRDefault="005460FD" w:rsidP="005460FD">
      <w:pPr>
        <w:spacing w:line="276" w:lineRule="auto"/>
        <w:jc w:val="both"/>
        <w:rPr>
          <w:rFonts w:ascii="Cambria Math" w:hAnsi="Cambria Math" w:cstheme="majorBidi"/>
          <w:color w:val="000000" w:themeColor="text1"/>
          <w:lang w:val="en-GB"/>
        </w:rPr>
      </w:pPr>
    </w:p>
    <w:p w14:paraId="23285422" w14:textId="77777777" w:rsidR="003B4130" w:rsidRPr="003B4130"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2.4.3.3 Hazard Index (HI)</w:t>
      </w:r>
    </w:p>
    <w:p w14:paraId="4A4365D4" w14:textId="77CA338B"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Cs/>
          <w:color w:val="000000" w:themeColor="text1"/>
          <w:lang w:val="en-GB"/>
        </w:rPr>
        <w:t>HI is the sum of HQs for all metals, indicating combined risk:</w:t>
      </w:r>
    </w:p>
    <w:p w14:paraId="16A652A1" w14:textId="4B3AE4F4" w:rsidR="00CB5EF5" w:rsidRPr="00CB5EF5"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HI=∑H</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Q</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 xml:space="preserve">       (7)</m:t>
          </m:r>
          <m:r>
            <m:rPr>
              <m:sty m:val="p"/>
            </m:rPr>
            <w:rPr>
              <w:rFonts w:ascii="Cambria Math" w:hAnsi="Cambria Math" w:cstheme="majorBidi"/>
              <w:color w:val="000000" w:themeColor="text1"/>
              <w:lang w:val="en-GB"/>
            </w:rPr>
            <w:br/>
          </m:r>
        </m:oMath>
      </m:oMathPara>
    </w:p>
    <w:p w14:paraId="05BCB173" w14:textId="56132D39" w:rsid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
          <w:color w:val="000000" w:themeColor="text1"/>
          <w:lang w:val="en-GB"/>
        </w:rPr>
        <w:t>HI &gt; 1 denotes a concerning combined risk.</w:t>
      </w:r>
    </w:p>
    <w:p w14:paraId="38BACE68" w14:textId="77777777" w:rsidR="005E7CCC" w:rsidRPr="00CB5EF5" w:rsidRDefault="005E7CCC" w:rsidP="00CB5EF5">
      <w:pPr>
        <w:spacing w:line="360" w:lineRule="auto"/>
        <w:jc w:val="both"/>
        <w:rPr>
          <w:rFonts w:ascii="Cambria Math" w:hAnsi="Cambria Math" w:cstheme="majorBidi"/>
          <w:i/>
          <w:color w:val="000000" w:themeColor="text1"/>
          <w:lang w:val="en-GB"/>
        </w:rPr>
      </w:pPr>
    </w:p>
    <w:p w14:paraId="493A2E3C" w14:textId="77777777" w:rsidR="003B4130" w:rsidRPr="005E7DEE" w:rsidRDefault="00CB5EF5" w:rsidP="00CB5EF5">
      <w:pPr>
        <w:spacing w:line="360" w:lineRule="auto"/>
        <w:jc w:val="both"/>
        <w:rPr>
          <w:rFonts w:ascii="Cambria Math" w:hAnsi="Cambria Math" w:cstheme="majorBidi"/>
          <w:color w:val="000000" w:themeColor="text1"/>
          <w:lang w:val="en-GB"/>
        </w:rPr>
      </w:pPr>
      <w:r w:rsidRPr="005E7DEE">
        <w:rPr>
          <w:rFonts w:ascii="Cambria Math" w:hAnsi="Cambria Math" w:cstheme="majorBidi"/>
          <w:b/>
          <w:bCs/>
          <w:color w:val="000000" w:themeColor="text1"/>
          <w:lang w:val="en-GB"/>
        </w:rPr>
        <w:t>2.4.3.4 Cancer Risk (CR)</w:t>
      </w:r>
    </w:p>
    <w:p w14:paraId="32F03CC7" w14:textId="50E701BA" w:rsidR="00CB5EF5" w:rsidRP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CR estimates the probability of developing cancer due to chronic exposure to a metal and is calculated as:</w:t>
      </w:r>
    </w:p>
    <w:p w14:paraId="45587A61" w14:textId="64D3FE52" w:rsidR="00CB5EF5" w:rsidRPr="00CB5EF5"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CR=CDI×SF      (8)</m:t>
          </m:r>
          <m:r>
            <m:rPr>
              <m:sty m:val="p"/>
            </m:rPr>
            <w:rPr>
              <w:rFonts w:ascii="Cambria Math" w:hAnsi="Cambria Math" w:cstheme="majorBidi"/>
              <w:color w:val="000000" w:themeColor="text1"/>
              <w:lang w:val="en-GB"/>
            </w:rPr>
            <w:br/>
          </m:r>
        </m:oMath>
      </m:oMathPara>
    </w:p>
    <w:p w14:paraId="509A624A" w14:textId="019F6BEC" w:rsidR="00CB5EF5" w:rsidRP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 xml:space="preserve">Where </w:t>
      </w:r>
      <m:oMath>
        <m:r>
          <m:rPr>
            <m:sty m:val="p"/>
          </m:rPr>
          <w:rPr>
            <w:rFonts w:ascii="Cambria Math" w:hAnsi="Cambria Math" w:cstheme="majorBidi"/>
            <w:color w:val="000000" w:themeColor="text1"/>
            <w:lang w:val="en-GB"/>
          </w:rPr>
          <m:t>SF</m:t>
        </m:r>
      </m:oMath>
      <w:r w:rsidRPr="00CB5EF5">
        <w:rPr>
          <w:rFonts w:ascii="Cambria Math" w:hAnsi="Cambria Math" w:cstheme="majorBidi"/>
          <w:iCs/>
          <w:color w:val="000000" w:themeColor="text1"/>
          <w:lang w:val="en-GB"/>
        </w:rPr>
        <w:t xml:space="preserve">is the cancer slope factor. Acceptable CR values are </w:t>
      </w:r>
      <m:oMath>
        <m:r>
          <m:rPr>
            <m:sty m:val="p"/>
          </m:rPr>
          <w:rPr>
            <w:rFonts w:ascii="Cambria Math" w:hAnsi="Cambria Math" w:cstheme="majorBidi"/>
            <w:color w:val="000000" w:themeColor="text1"/>
            <w:lang w:val="en-GB"/>
          </w:rPr>
          <m:t>&lt;</m:t>
        </m:r>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-6</m:t>
            </m:r>
          </m:sup>
        </m:sSup>
      </m:oMath>
      <w:r w:rsidRPr="00CB5EF5">
        <w:rPr>
          <w:rFonts w:ascii="Cambria Math" w:hAnsi="Cambria Math" w:cstheme="majorBidi"/>
          <w:iCs/>
          <w:color w:val="000000" w:themeColor="text1"/>
          <w:lang w:val="en-GB"/>
        </w:rPr>
        <w:t xml:space="preserve">; values between </w:t>
      </w:r>
      <m:oMath>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-6</m:t>
            </m:r>
          </m:sup>
        </m:sSup>
      </m:oMath>
      <w:r w:rsidRPr="00CB5EF5">
        <w:rPr>
          <w:rFonts w:ascii="Cambria Math" w:hAnsi="Cambria Math" w:cstheme="majorBidi"/>
          <w:iCs/>
          <w:color w:val="000000" w:themeColor="text1"/>
          <w:lang w:val="en-GB"/>
        </w:rPr>
        <w:t xml:space="preserve">and </w:t>
      </w:r>
      <m:oMath>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-4</m:t>
            </m:r>
          </m:sup>
        </m:sSup>
      </m:oMath>
      <w:r w:rsidRPr="00CB5EF5">
        <w:rPr>
          <w:rFonts w:ascii="Cambria Math" w:hAnsi="Cambria Math" w:cstheme="majorBidi"/>
          <w:iCs/>
          <w:color w:val="000000" w:themeColor="text1"/>
          <w:lang w:val="en-GB"/>
        </w:rPr>
        <w:t xml:space="preserve">are considered acceptable; CR values </w:t>
      </w:r>
      <m:oMath>
        <m:r>
          <m:rPr>
            <m:sty m:val="p"/>
          </m:rPr>
          <w:rPr>
            <w:rFonts w:ascii="Cambria Math" w:hAnsi="Cambria Math" w:cstheme="majorBidi"/>
            <w:color w:val="000000" w:themeColor="text1"/>
            <w:lang w:val="en-GB"/>
          </w:rPr>
          <m:t>&gt;</m:t>
        </m:r>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-4</m:t>
            </m:r>
          </m:sup>
        </m:sSup>
      </m:oMath>
      <w:r w:rsidRPr="00CB5EF5">
        <w:rPr>
          <w:rFonts w:ascii="Cambria Math" w:hAnsi="Cambria Math" w:cstheme="majorBidi"/>
          <w:iCs/>
          <w:color w:val="000000" w:themeColor="text1"/>
          <w:lang w:val="en-GB"/>
        </w:rPr>
        <w:t>indicate elevated risk. Notably, cancer slope factors are unavailable for all metals; thus, CR was not calculated where absent. For chromium, only the hexavalent (Cr VI) form, a recognised carcinogen, was considered (USEPA, 2011).</w:t>
      </w:r>
    </w:p>
    <w:p w14:paraId="5E3D2DFA" w14:textId="77777777" w:rsidR="00FA664D" w:rsidRDefault="00FA664D" w:rsidP="00CB5EF5">
      <w:pPr>
        <w:spacing w:line="360" w:lineRule="auto"/>
        <w:jc w:val="both"/>
        <w:rPr>
          <w:rFonts w:ascii="Cambria Math" w:hAnsi="Cambria Math" w:cstheme="majorBidi"/>
          <w:b/>
          <w:bCs/>
          <w:i/>
          <w:color w:val="000000" w:themeColor="text1"/>
          <w:lang w:val="en-GB"/>
        </w:rPr>
      </w:pPr>
    </w:p>
    <w:p w14:paraId="324BFD6E" w14:textId="7ECBD28C" w:rsidR="005460FD" w:rsidRDefault="005460FD" w:rsidP="00CB5EF5">
      <w:pPr>
        <w:spacing w:line="360" w:lineRule="auto"/>
        <w:jc w:val="both"/>
        <w:rPr>
          <w:rFonts w:ascii="Cambria Math" w:hAnsi="Cambria Math" w:cstheme="majorBidi"/>
          <w:b/>
          <w:bCs/>
          <w:color w:val="000000" w:themeColor="text1"/>
          <w:lang w:val="en-GB"/>
        </w:rPr>
      </w:pPr>
      <w:r>
        <w:rPr>
          <w:rFonts w:ascii="Cambria Math" w:hAnsi="Cambria Math" w:cstheme="majorBidi"/>
          <w:b/>
          <w:bCs/>
          <w:color w:val="000000" w:themeColor="text1"/>
          <w:lang w:val="en-GB"/>
        </w:rPr>
        <w:t xml:space="preserve">3. </w:t>
      </w:r>
      <w:r w:rsidRPr="005460FD">
        <w:rPr>
          <w:rFonts w:ascii="Cambria Math" w:hAnsi="Cambria Math" w:cstheme="majorBidi"/>
          <w:b/>
          <w:bCs/>
          <w:color w:val="000000" w:themeColor="text1"/>
          <w:lang w:val="en-GB"/>
        </w:rPr>
        <w:t>Result and Discussion</w:t>
      </w:r>
    </w:p>
    <w:p w14:paraId="6C593028" w14:textId="0970A745" w:rsidR="005460FD" w:rsidRPr="005460FD" w:rsidRDefault="005460FD" w:rsidP="00CB5EF5">
      <w:pPr>
        <w:spacing w:line="360" w:lineRule="auto"/>
        <w:jc w:val="both"/>
        <w:rPr>
          <w:rFonts w:ascii="Cambria Math" w:hAnsi="Cambria Math" w:cstheme="majorBidi"/>
          <w:b/>
          <w:bCs/>
          <w:color w:val="000000" w:themeColor="text1"/>
          <w:lang w:val="en-GB"/>
        </w:rPr>
      </w:pPr>
      <w:r>
        <w:rPr>
          <w:rFonts w:ascii="Cambria Math" w:hAnsi="Cambria Math" w:cstheme="majorBidi"/>
          <w:b/>
          <w:bCs/>
          <w:color w:val="000000" w:themeColor="text1"/>
          <w:lang w:val="en-GB"/>
        </w:rPr>
        <w:t>3.1. Results</w:t>
      </w:r>
    </w:p>
    <w:p w14:paraId="4DB98A6C" w14:textId="00C21FD6"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Cs/>
          <w:color w:val="000000" w:themeColor="text1"/>
          <w:lang w:val="en-GB"/>
        </w:rPr>
        <w:t xml:space="preserve">The analysis of heavy metals in water samples from Cotonou, Abomey-Calavi, and Natitingou revealed significant variations in concentrations depending on site and metal. </w:t>
      </w:r>
      <w:r w:rsidRPr="00CB5EF5">
        <w:rPr>
          <w:rFonts w:ascii="Cambria Math" w:hAnsi="Cambria Math" w:cstheme="majorBidi"/>
          <w:iCs/>
          <w:color w:val="000000" w:themeColor="text1"/>
          <w:lang w:val="en-GB"/>
        </w:rPr>
        <w:lastRenderedPageBreak/>
        <w:t>Table 1 summarises average concentrations by city. Complete descriptive statistics are provided in Table A1 (Appendix).</w:t>
      </w:r>
    </w:p>
    <w:p w14:paraId="51F9C876" w14:textId="11994EDF" w:rsidR="00CB5EF5" w:rsidRPr="00CB5EF5" w:rsidRDefault="00CB5EF5" w:rsidP="003B4130">
      <w:pPr>
        <w:spacing w:line="360" w:lineRule="auto"/>
        <w:jc w:val="both"/>
        <w:rPr>
          <w:rFonts w:ascii="Cambria Math" w:hAnsi="Cambria Math" w:cstheme="majorBidi"/>
          <w:i/>
          <w:color w:val="000000" w:themeColor="text1"/>
          <w:lang w:val="en-GB"/>
        </w:rPr>
      </w:pPr>
      <w:r w:rsidRPr="00CB5EF5">
        <w:rPr>
          <w:rFonts w:ascii="Cambria Math" w:hAnsi="Cambria Math" w:cstheme="majorBidi"/>
          <w:b/>
          <w:bCs/>
          <w:i/>
          <w:color w:val="000000" w:themeColor="text1"/>
          <w:lang w:val="en-GB"/>
        </w:rPr>
        <w:t>Table 1: Summary Table (mean concentrations in mg/L by city and metal)</w:t>
      </w:r>
    </w:p>
    <w:tbl>
      <w:tblPr>
        <w:tblStyle w:val="PlainTable2"/>
        <w:tblW w:w="0" w:type="auto"/>
        <w:tblLook w:val="04A0" w:firstRow="1" w:lastRow="0" w:firstColumn="1" w:lastColumn="0" w:noHBand="0" w:noVBand="1"/>
      </w:tblPr>
      <w:tblGrid>
        <w:gridCol w:w="1288"/>
        <w:gridCol w:w="1550"/>
        <w:gridCol w:w="950"/>
        <w:gridCol w:w="1128"/>
        <w:gridCol w:w="1581"/>
      </w:tblGrid>
      <w:tr w:rsidR="00BE6C96" w:rsidRPr="00955D3D" w14:paraId="48008E5E"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9C5E" w14:textId="7563239F" w:rsidR="00BE6C96" w:rsidRPr="00FA664D" w:rsidRDefault="003B4130"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Haevy metal</w:t>
            </w:r>
          </w:p>
        </w:tc>
        <w:tc>
          <w:tcPr>
            <w:tcW w:w="0" w:type="auto"/>
            <w:hideMark/>
          </w:tcPr>
          <w:p w14:paraId="2C77A548"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Abomey-Calavi </w:t>
            </w:r>
          </w:p>
          <w:p w14:paraId="050C7A8D" w14:textId="5E3A7AC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r w:rsidR="00CB5EF5" w:rsidRPr="00FA664D">
              <w:rPr>
                <w:rFonts w:asciiTheme="majorBidi" w:hAnsiTheme="majorBidi" w:cstheme="majorBidi"/>
                <w:color w:val="000000" w:themeColor="text1"/>
                <w:sz w:val="20"/>
                <w:szCs w:val="20"/>
              </w:rPr>
              <w:t>Mean</w:t>
            </w:r>
            <w:r w:rsidRPr="00FA664D">
              <w:rPr>
                <w:rFonts w:asciiTheme="majorBidi" w:hAnsiTheme="majorBidi" w:cstheme="majorBidi"/>
                <w:color w:val="000000" w:themeColor="text1"/>
                <w:sz w:val="20"/>
                <w:szCs w:val="20"/>
              </w:rPr>
              <w:t>)</w:t>
            </w:r>
          </w:p>
        </w:tc>
        <w:tc>
          <w:tcPr>
            <w:tcW w:w="0" w:type="auto"/>
            <w:hideMark/>
          </w:tcPr>
          <w:p w14:paraId="4AC619F6"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Cotonou </w:t>
            </w:r>
          </w:p>
          <w:p w14:paraId="2CDEC8B0" w14:textId="49B8ED6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r w:rsidR="00FA664D">
              <w:rPr>
                <w:rFonts w:asciiTheme="majorBidi" w:hAnsiTheme="majorBidi" w:cstheme="majorBidi"/>
                <w:color w:val="000000" w:themeColor="text1"/>
                <w:sz w:val="20"/>
                <w:szCs w:val="20"/>
              </w:rPr>
              <w:t>M</w:t>
            </w:r>
            <w:r w:rsidR="00CB5EF5" w:rsidRPr="00FA664D">
              <w:rPr>
                <w:rFonts w:asciiTheme="majorBidi" w:hAnsiTheme="majorBidi" w:cstheme="majorBidi"/>
                <w:color w:val="000000" w:themeColor="text1"/>
                <w:sz w:val="20"/>
                <w:szCs w:val="20"/>
              </w:rPr>
              <w:t>ean</w:t>
            </w:r>
            <w:r w:rsidRPr="00FA664D">
              <w:rPr>
                <w:rFonts w:asciiTheme="majorBidi" w:hAnsiTheme="majorBidi" w:cstheme="majorBidi"/>
                <w:color w:val="000000" w:themeColor="text1"/>
                <w:sz w:val="20"/>
                <w:szCs w:val="20"/>
              </w:rPr>
              <w:t>)</w:t>
            </w:r>
          </w:p>
        </w:tc>
        <w:tc>
          <w:tcPr>
            <w:tcW w:w="0" w:type="auto"/>
            <w:hideMark/>
          </w:tcPr>
          <w:p w14:paraId="79C5C500"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Natitingou </w:t>
            </w:r>
          </w:p>
          <w:p w14:paraId="332392A1" w14:textId="06FF154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r w:rsidR="00FA664D">
              <w:rPr>
                <w:rFonts w:asciiTheme="majorBidi" w:hAnsiTheme="majorBidi" w:cstheme="majorBidi"/>
                <w:color w:val="000000" w:themeColor="text1"/>
                <w:sz w:val="20"/>
                <w:szCs w:val="20"/>
              </w:rPr>
              <w:t>M</w:t>
            </w:r>
            <w:r w:rsidR="003B4130" w:rsidRPr="00FA664D">
              <w:rPr>
                <w:rFonts w:asciiTheme="majorBidi" w:hAnsiTheme="majorBidi" w:cstheme="majorBidi"/>
                <w:color w:val="000000" w:themeColor="text1"/>
                <w:sz w:val="20"/>
                <w:szCs w:val="20"/>
              </w:rPr>
              <w:t>ean</w:t>
            </w:r>
            <w:r w:rsidRPr="00FA664D">
              <w:rPr>
                <w:rFonts w:asciiTheme="majorBidi" w:hAnsiTheme="majorBidi" w:cstheme="majorBidi"/>
                <w:color w:val="000000" w:themeColor="text1"/>
                <w:sz w:val="20"/>
                <w:szCs w:val="20"/>
              </w:rPr>
              <w:t>)</w:t>
            </w:r>
          </w:p>
        </w:tc>
        <w:tc>
          <w:tcPr>
            <w:tcW w:w="1581" w:type="dxa"/>
            <w:hideMark/>
          </w:tcPr>
          <w:p w14:paraId="76BCE741" w14:textId="1D273285" w:rsidR="00BE6C96" w:rsidRPr="00FA664D" w:rsidRDefault="003B4130"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WHO Standart</w:t>
            </w:r>
            <w:r w:rsidR="00BE6C96" w:rsidRPr="00FA664D">
              <w:rPr>
                <w:rFonts w:asciiTheme="majorBidi" w:hAnsiTheme="majorBidi" w:cstheme="majorBidi"/>
                <w:color w:val="000000" w:themeColor="text1"/>
                <w:sz w:val="20"/>
                <w:szCs w:val="20"/>
              </w:rPr>
              <w:t xml:space="preserve"> (2017)</w:t>
            </w:r>
          </w:p>
        </w:tc>
      </w:tr>
      <w:tr w:rsidR="00BE6C96" w:rsidRPr="00955D3D" w14:paraId="56D1FAF2"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627966" w14:textId="77777777" w:rsidR="00BE6C96" w:rsidRPr="00FA664D" w:rsidRDefault="00BE6C96" w:rsidP="0031013D">
            <w:pPr>
              <w:spacing w:line="360" w:lineRule="auto"/>
              <w:jc w:val="both"/>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As</w:t>
            </w:r>
          </w:p>
        </w:tc>
        <w:tc>
          <w:tcPr>
            <w:tcW w:w="0" w:type="auto"/>
            <w:hideMark/>
          </w:tcPr>
          <w:p w14:paraId="54D8224F"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0.0000</w:t>
            </w:r>
          </w:p>
        </w:tc>
        <w:tc>
          <w:tcPr>
            <w:tcW w:w="0" w:type="auto"/>
            <w:hideMark/>
          </w:tcPr>
          <w:p w14:paraId="02A90BE4"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0.0007</w:t>
            </w:r>
          </w:p>
        </w:tc>
        <w:tc>
          <w:tcPr>
            <w:tcW w:w="0" w:type="auto"/>
            <w:hideMark/>
          </w:tcPr>
          <w:p w14:paraId="2A39DF7A"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0.0017</w:t>
            </w:r>
          </w:p>
        </w:tc>
        <w:tc>
          <w:tcPr>
            <w:tcW w:w="1581" w:type="dxa"/>
            <w:hideMark/>
          </w:tcPr>
          <w:p w14:paraId="093F2743"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0.01</w:t>
            </w:r>
          </w:p>
        </w:tc>
      </w:tr>
      <w:tr w:rsidR="00BE6C96" w:rsidRPr="00955D3D" w14:paraId="0F670640"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50950C4D"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Cd</w:t>
            </w:r>
          </w:p>
        </w:tc>
        <w:tc>
          <w:tcPr>
            <w:tcW w:w="0" w:type="auto"/>
            <w:hideMark/>
          </w:tcPr>
          <w:p w14:paraId="0105BF84"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0.123</w:t>
            </w:r>
          </w:p>
        </w:tc>
        <w:tc>
          <w:tcPr>
            <w:tcW w:w="0" w:type="auto"/>
            <w:hideMark/>
          </w:tcPr>
          <w:p w14:paraId="5490E0C0"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0.481</w:t>
            </w:r>
          </w:p>
        </w:tc>
        <w:tc>
          <w:tcPr>
            <w:tcW w:w="0" w:type="auto"/>
            <w:hideMark/>
          </w:tcPr>
          <w:p w14:paraId="550B0FA0"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0.204</w:t>
            </w:r>
          </w:p>
        </w:tc>
        <w:tc>
          <w:tcPr>
            <w:tcW w:w="1581" w:type="dxa"/>
            <w:hideMark/>
          </w:tcPr>
          <w:p w14:paraId="2463455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0.003</w:t>
            </w:r>
          </w:p>
        </w:tc>
      </w:tr>
      <w:tr w:rsidR="00BE6C96" w:rsidRPr="00955D3D" w14:paraId="16BAFCC5"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78636"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Cu</w:t>
            </w:r>
          </w:p>
        </w:tc>
        <w:tc>
          <w:tcPr>
            <w:tcW w:w="0" w:type="auto"/>
            <w:hideMark/>
          </w:tcPr>
          <w:p w14:paraId="6494B1F6"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0.053</w:t>
            </w:r>
          </w:p>
        </w:tc>
        <w:tc>
          <w:tcPr>
            <w:tcW w:w="0" w:type="auto"/>
            <w:hideMark/>
          </w:tcPr>
          <w:p w14:paraId="377C1D62"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0.751</w:t>
            </w:r>
          </w:p>
        </w:tc>
        <w:tc>
          <w:tcPr>
            <w:tcW w:w="0" w:type="auto"/>
            <w:hideMark/>
          </w:tcPr>
          <w:p w14:paraId="2F800B79"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6.391</w:t>
            </w:r>
          </w:p>
        </w:tc>
        <w:tc>
          <w:tcPr>
            <w:tcW w:w="1581" w:type="dxa"/>
            <w:hideMark/>
          </w:tcPr>
          <w:p w14:paraId="5E44F6C0"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2.0</w:t>
            </w:r>
          </w:p>
        </w:tc>
      </w:tr>
      <w:tr w:rsidR="00BE6C96" w:rsidRPr="00955D3D" w14:paraId="1BAF3A4C"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1E7FBCF4"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Fe</w:t>
            </w:r>
          </w:p>
        </w:tc>
        <w:tc>
          <w:tcPr>
            <w:tcW w:w="0" w:type="auto"/>
            <w:hideMark/>
          </w:tcPr>
          <w:p w14:paraId="258096A3"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0.609</w:t>
            </w:r>
          </w:p>
        </w:tc>
        <w:tc>
          <w:tcPr>
            <w:tcW w:w="0" w:type="auto"/>
            <w:hideMark/>
          </w:tcPr>
          <w:p w14:paraId="511FB55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2.133</w:t>
            </w:r>
          </w:p>
        </w:tc>
        <w:tc>
          <w:tcPr>
            <w:tcW w:w="0" w:type="auto"/>
            <w:hideMark/>
          </w:tcPr>
          <w:p w14:paraId="487BD6EB"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8.763</w:t>
            </w:r>
          </w:p>
        </w:tc>
        <w:tc>
          <w:tcPr>
            <w:tcW w:w="1581" w:type="dxa"/>
            <w:hideMark/>
          </w:tcPr>
          <w:p w14:paraId="51F0BDD3"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0.3</w:t>
            </w:r>
          </w:p>
        </w:tc>
      </w:tr>
      <w:tr w:rsidR="00BE6C96" w:rsidRPr="00955D3D" w14:paraId="1D73E06C"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C25A4"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Pb</w:t>
            </w:r>
          </w:p>
        </w:tc>
        <w:tc>
          <w:tcPr>
            <w:tcW w:w="0" w:type="auto"/>
            <w:hideMark/>
          </w:tcPr>
          <w:p w14:paraId="661CC89C"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0.108</w:t>
            </w:r>
          </w:p>
        </w:tc>
        <w:tc>
          <w:tcPr>
            <w:tcW w:w="0" w:type="auto"/>
            <w:hideMark/>
          </w:tcPr>
          <w:p w14:paraId="7949062C"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0.230</w:t>
            </w:r>
          </w:p>
        </w:tc>
        <w:tc>
          <w:tcPr>
            <w:tcW w:w="0" w:type="auto"/>
            <w:hideMark/>
          </w:tcPr>
          <w:p w14:paraId="017ECFB5"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0.761</w:t>
            </w:r>
          </w:p>
        </w:tc>
        <w:tc>
          <w:tcPr>
            <w:tcW w:w="1581" w:type="dxa"/>
            <w:hideMark/>
          </w:tcPr>
          <w:p w14:paraId="78F300D5"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0.01</w:t>
            </w:r>
          </w:p>
        </w:tc>
      </w:tr>
      <w:tr w:rsidR="00BE6C96" w:rsidRPr="00955D3D" w14:paraId="65A00097"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0175439D"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Zn</w:t>
            </w:r>
          </w:p>
        </w:tc>
        <w:tc>
          <w:tcPr>
            <w:tcW w:w="0" w:type="auto"/>
            <w:hideMark/>
          </w:tcPr>
          <w:p w14:paraId="0AAF903E"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0.348</w:t>
            </w:r>
          </w:p>
        </w:tc>
        <w:tc>
          <w:tcPr>
            <w:tcW w:w="0" w:type="auto"/>
            <w:hideMark/>
          </w:tcPr>
          <w:p w14:paraId="0C3D427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1.080</w:t>
            </w:r>
          </w:p>
        </w:tc>
        <w:tc>
          <w:tcPr>
            <w:tcW w:w="0" w:type="auto"/>
            <w:hideMark/>
          </w:tcPr>
          <w:p w14:paraId="252B871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4.263</w:t>
            </w:r>
          </w:p>
        </w:tc>
        <w:tc>
          <w:tcPr>
            <w:tcW w:w="1581" w:type="dxa"/>
            <w:hideMark/>
          </w:tcPr>
          <w:p w14:paraId="11EA53DD"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3.0</w:t>
            </w:r>
          </w:p>
        </w:tc>
      </w:tr>
      <w:tr w:rsidR="00BE6C96" w:rsidRPr="00955D3D" w14:paraId="75289F1C"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384F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27520E98"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0.0013</w:t>
            </w:r>
          </w:p>
        </w:tc>
        <w:tc>
          <w:tcPr>
            <w:tcW w:w="0" w:type="auto"/>
            <w:hideMark/>
          </w:tcPr>
          <w:p w14:paraId="12069C89"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0.0175</w:t>
            </w:r>
          </w:p>
        </w:tc>
        <w:tc>
          <w:tcPr>
            <w:tcW w:w="0" w:type="auto"/>
            <w:hideMark/>
          </w:tcPr>
          <w:p w14:paraId="22AFF9E8"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A664D">
              <w:rPr>
                <w:rFonts w:asciiTheme="majorBidi" w:hAnsiTheme="majorBidi" w:cstheme="majorBidi"/>
                <w:b/>
                <w:bCs/>
                <w:color w:val="000000" w:themeColor="text1"/>
              </w:rPr>
              <w:t>1.050</w:t>
            </w:r>
          </w:p>
        </w:tc>
        <w:tc>
          <w:tcPr>
            <w:tcW w:w="1581" w:type="dxa"/>
            <w:hideMark/>
          </w:tcPr>
          <w:p w14:paraId="5412ED5B"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0.07</w:t>
            </w:r>
          </w:p>
        </w:tc>
      </w:tr>
      <w:tr w:rsidR="00BE6C96" w:rsidRPr="00955D3D" w14:paraId="68ABB639"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326CFA5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Cr</w:t>
            </w:r>
          </w:p>
        </w:tc>
        <w:tc>
          <w:tcPr>
            <w:tcW w:w="0" w:type="auto"/>
            <w:hideMark/>
          </w:tcPr>
          <w:p w14:paraId="19CBED1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FA664D">
              <w:rPr>
                <w:rFonts w:asciiTheme="majorBidi" w:hAnsiTheme="majorBidi" w:cstheme="majorBidi"/>
                <w:b/>
                <w:bCs/>
                <w:color w:val="000000" w:themeColor="text1"/>
              </w:rPr>
              <w:t>0.055</w:t>
            </w:r>
          </w:p>
        </w:tc>
        <w:tc>
          <w:tcPr>
            <w:tcW w:w="0" w:type="auto"/>
            <w:hideMark/>
          </w:tcPr>
          <w:p w14:paraId="3F5341E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0.0376</w:t>
            </w:r>
          </w:p>
        </w:tc>
        <w:tc>
          <w:tcPr>
            <w:tcW w:w="0" w:type="auto"/>
            <w:hideMark/>
          </w:tcPr>
          <w:p w14:paraId="78141DBF"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0.0097</w:t>
            </w:r>
          </w:p>
        </w:tc>
        <w:tc>
          <w:tcPr>
            <w:tcW w:w="1581" w:type="dxa"/>
            <w:hideMark/>
          </w:tcPr>
          <w:p w14:paraId="36C618A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0.05</w:t>
            </w:r>
          </w:p>
        </w:tc>
      </w:tr>
    </w:tbl>
    <w:p w14:paraId="7E56846E" w14:textId="77777777"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The analysis reveals widespread metal contamination, with concentrations exceeding World Health Organization (WHO) guideline values. Arsenic (As) remains low and well below the WHO limit of 0.01 mg/L, indicating no significant contamination. In contrast, cadmium (Cd) exceeds the permissible limit of 0.003 mg/L across all cities, reaching a mean maximum of 0.48 mg/L in Cotonou. Lead (Pb) also surpasses the guideline value of 0.01 mg/L, with levels up to 0.76 mg/L in Natitingou and 0.23 mg/L in Cotonou, posing a considerable public health risk. Iron (Fe) displays very high concentrations in all locations, particularly in Natitingou, where it reaches 8.76 mg/L compared with the 0.3 mg/L standard.</w:t>
      </w:r>
    </w:p>
    <w:p w14:paraId="58236F0A" w14:textId="3E287F10"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In Natitingou, the situation is particularly alarming: in addition to elevated levels of iron, cadmium, and lead, there is substantial copper (Cu) contamination, averaging 6.39 mg/L, with 67% of samples exceeding the threshold of 2 mg/L. Nickel (Ni) is detected in 100% of samples, with a mean concentration of 1.05 mg/L</w:t>
      </w:r>
      <w:r w:rsidR="00FA664D">
        <w:rPr>
          <w:rFonts w:asciiTheme="majorBidi" w:hAnsiTheme="majorBidi" w:cstheme="majorBidi"/>
          <w:color w:val="000000" w:themeColor="text1"/>
          <w:lang w:val="en-GB"/>
        </w:rPr>
        <w:t xml:space="preserve"> </w:t>
      </w:r>
      <w:r w:rsidRPr="00F35333">
        <w:rPr>
          <w:rFonts w:asciiTheme="majorBidi" w:hAnsiTheme="majorBidi" w:cstheme="majorBidi"/>
          <w:color w:val="000000" w:themeColor="text1"/>
          <w:lang w:val="en-GB"/>
        </w:rPr>
        <w:t>far above the 0.07 mg/L guideline</w:t>
      </w:r>
      <w:r w:rsidR="00FA664D">
        <w:rPr>
          <w:rFonts w:asciiTheme="majorBidi" w:hAnsiTheme="majorBidi" w:cstheme="majorBidi"/>
          <w:color w:val="000000" w:themeColor="text1"/>
          <w:lang w:val="en-GB"/>
        </w:rPr>
        <w:t xml:space="preserve"> </w:t>
      </w:r>
      <w:r w:rsidRPr="00F35333">
        <w:rPr>
          <w:rFonts w:asciiTheme="majorBidi" w:hAnsiTheme="majorBidi" w:cstheme="majorBidi"/>
          <w:color w:val="000000" w:themeColor="text1"/>
          <w:lang w:val="en-GB"/>
        </w:rPr>
        <w:t>and is recognised as carcinogenic. Zinc (Zn) also reaches 4.26 mg/L, exceeding the recommended limit of 3 mg/L.</w:t>
      </w:r>
    </w:p>
    <w:p w14:paraId="6267AEDE" w14:textId="77777777"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In Abomey-Calavi, the main concerns relate to chromium (Cr), with 87% of samples surpassing the WHO limit of 0.05 mg/L and a mean concentration of 0.055 mg/L, alongside high levels of iron (80% of samples), as well as cadmium and lead. In Cotonou, exceedances primarily involve cadmium, lead, and iron, with isolated cases of elevated copper and chromium. Arsenic and zinc generally remain below regulatory thresholds, except for a few critical cases observed in Natitingou.</w:t>
      </w:r>
    </w:p>
    <w:p w14:paraId="3EAC6B7E" w14:textId="70152974" w:rsidR="00F35333" w:rsidRPr="00F35333" w:rsidRDefault="00D55CE6"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lastRenderedPageBreak/>
        <w:t>Kruskal</w:t>
      </w:r>
      <w:r>
        <w:rPr>
          <w:rFonts w:asciiTheme="majorBidi" w:hAnsiTheme="majorBidi" w:cstheme="majorBidi"/>
          <w:color w:val="000000" w:themeColor="text1"/>
          <w:lang w:val="en-GB"/>
        </w:rPr>
        <w:t>-</w:t>
      </w:r>
      <w:r w:rsidRPr="00F35333">
        <w:rPr>
          <w:rFonts w:asciiTheme="majorBidi" w:hAnsiTheme="majorBidi" w:cstheme="majorBidi"/>
          <w:color w:val="000000" w:themeColor="text1"/>
          <w:lang w:val="en-GB"/>
        </w:rPr>
        <w:t>Wallis Test</w:t>
      </w:r>
      <w:r>
        <w:rPr>
          <w:rFonts w:asciiTheme="majorBidi" w:hAnsiTheme="majorBidi" w:cstheme="majorBidi"/>
          <w:color w:val="000000" w:themeColor="text1"/>
          <w:lang w:val="en-GB"/>
        </w:rPr>
        <w:t xml:space="preserve"> </w:t>
      </w:r>
      <w:r w:rsidR="00F35333" w:rsidRPr="00F35333">
        <w:rPr>
          <w:rFonts w:asciiTheme="majorBidi" w:hAnsiTheme="majorBidi" w:cstheme="majorBidi"/>
          <w:color w:val="000000" w:themeColor="text1"/>
          <w:lang w:val="en-GB"/>
        </w:rPr>
        <w:t>confirm that heavy metal concentrations vary significantly across the studied cities (p.adj &lt; 0.05), with large effect sizes (ε² ≥ 0.234), indicating substantial spatial differences (Table 2).</w:t>
      </w:r>
    </w:p>
    <w:p w14:paraId="5E451724" w14:textId="7E9CE499" w:rsidR="00BE6C96" w:rsidRPr="00F35333" w:rsidRDefault="00F35333" w:rsidP="00BE6C96">
      <w:pPr>
        <w:spacing w:line="360" w:lineRule="auto"/>
        <w:jc w:val="both"/>
        <w:rPr>
          <w:rFonts w:asciiTheme="majorBidi" w:hAnsiTheme="majorBidi" w:cstheme="majorBidi"/>
          <w:b/>
          <w:bCs/>
          <w:color w:val="000000" w:themeColor="text1"/>
          <w:lang w:val="en-GB"/>
        </w:rPr>
      </w:pPr>
      <w:r w:rsidRPr="00F35333">
        <w:rPr>
          <w:rFonts w:asciiTheme="majorBidi" w:hAnsiTheme="majorBidi" w:cstheme="majorBidi"/>
          <w:b/>
          <w:bCs/>
          <w:color w:val="000000" w:themeColor="text1"/>
          <w:u w:val="single"/>
          <w:lang w:val="en-GB"/>
        </w:rPr>
        <w:t>Table 2</w:t>
      </w:r>
      <w:r w:rsidRPr="00F35333">
        <w:rPr>
          <w:rFonts w:asciiTheme="majorBidi" w:hAnsiTheme="majorBidi" w:cstheme="majorBidi"/>
          <w:color w:val="000000" w:themeColor="text1"/>
          <w:lang w:val="en-GB"/>
        </w:rPr>
        <w:t>: Results of the Kruskal</w:t>
      </w:r>
      <w:r w:rsidR="00D55CE6">
        <w:rPr>
          <w:rFonts w:asciiTheme="majorBidi" w:hAnsiTheme="majorBidi" w:cstheme="majorBidi"/>
          <w:color w:val="000000" w:themeColor="text1"/>
          <w:lang w:val="en-GB"/>
        </w:rPr>
        <w:t>-</w:t>
      </w:r>
      <w:r w:rsidRPr="00F35333">
        <w:rPr>
          <w:rFonts w:asciiTheme="majorBidi" w:hAnsiTheme="majorBidi" w:cstheme="majorBidi"/>
          <w:color w:val="000000" w:themeColor="text1"/>
          <w:lang w:val="en-GB"/>
        </w:rPr>
        <w:t>Wallis Test (Comparison among Cities)</w:t>
      </w:r>
    </w:p>
    <w:tbl>
      <w:tblPr>
        <w:tblStyle w:val="PlainTable2"/>
        <w:tblW w:w="0" w:type="auto"/>
        <w:tblLook w:val="04A0" w:firstRow="1" w:lastRow="0" w:firstColumn="1" w:lastColumn="0" w:noHBand="0" w:noVBand="1"/>
      </w:tblPr>
      <w:tblGrid>
        <w:gridCol w:w="816"/>
        <w:gridCol w:w="1486"/>
        <w:gridCol w:w="550"/>
        <w:gridCol w:w="1607"/>
        <w:gridCol w:w="1630"/>
        <w:gridCol w:w="1600"/>
        <w:gridCol w:w="1337"/>
      </w:tblGrid>
      <w:tr w:rsidR="00BE6C96" w:rsidRPr="00955D3D" w14:paraId="29A33F9C"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5A1CA"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Métal</w:t>
            </w:r>
          </w:p>
        </w:tc>
        <w:tc>
          <w:tcPr>
            <w:tcW w:w="0" w:type="auto"/>
            <w:hideMark/>
          </w:tcPr>
          <w:p w14:paraId="566C7076"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Statistique χ²</w:t>
            </w:r>
          </w:p>
        </w:tc>
        <w:tc>
          <w:tcPr>
            <w:tcW w:w="0" w:type="auto"/>
            <w:hideMark/>
          </w:tcPr>
          <w:p w14:paraId="192353E8"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ddl</w:t>
            </w:r>
          </w:p>
        </w:tc>
        <w:tc>
          <w:tcPr>
            <w:tcW w:w="0" w:type="auto"/>
            <w:hideMark/>
          </w:tcPr>
          <w:p w14:paraId="7B56BA7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p-valeur ajustée</w:t>
            </w:r>
          </w:p>
        </w:tc>
        <w:tc>
          <w:tcPr>
            <w:tcW w:w="0" w:type="auto"/>
            <w:hideMark/>
          </w:tcPr>
          <w:p w14:paraId="493CDA4C"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Significativité</w:t>
            </w:r>
          </w:p>
        </w:tc>
        <w:tc>
          <w:tcPr>
            <w:tcW w:w="0" w:type="auto"/>
            <w:hideMark/>
          </w:tcPr>
          <w:p w14:paraId="3E8F78BD"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ε² (taille d’effet)</w:t>
            </w:r>
          </w:p>
        </w:tc>
        <w:tc>
          <w:tcPr>
            <w:tcW w:w="0" w:type="auto"/>
            <w:hideMark/>
          </w:tcPr>
          <w:p w14:paraId="2117D06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Magnitude</w:t>
            </w:r>
          </w:p>
        </w:tc>
      </w:tr>
      <w:tr w:rsidR="00BE6C96" w:rsidRPr="00955D3D" w14:paraId="4115F3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C19FC"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t>As</w:t>
            </w:r>
          </w:p>
        </w:tc>
        <w:tc>
          <w:tcPr>
            <w:tcW w:w="0" w:type="auto"/>
            <w:hideMark/>
          </w:tcPr>
          <w:p w14:paraId="0F0DE25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9.012</w:t>
            </w:r>
          </w:p>
        </w:tc>
        <w:tc>
          <w:tcPr>
            <w:tcW w:w="0" w:type="auto"/>
            <w:hideMark/>
          </w:tcPr>
          <w:p w14:paraId="22B0FEF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7B314D7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0.011</w:t>
            </w:r>
          </w:p>
        </w:tc>
        <w:tc>
          <w:tcPr>
            <w:tcW w:w="0" w:type="auto"/>
            <w:hideMark/>
          </w:tcPr>
          <w:p w14:paraId="2D76FB3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88F82F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0.234</w:t>
            </w:r>
          </w:p>
        </w:tc>
        <w:tc>
          <w:tcPr>
            <w:tcW w:w="0" w:type="auto"/>
            <w:hideMark/>
          </w:tcPr>
          <w:p w14:paraId="449FCA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A4D1D3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22DBBA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2F857F9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17.924</w:t>
            </w:r>
          </w:p>
        </w:tc>
        <w:tc>
          <w:tcPr>
            <w:tcW w:w="0" w:type="auto"/>
            <w:hideMark/>
          </w:tcPr>
          <w:p w14:paraId="2F7C8F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58AC96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1.46e-04</w:t>
            </w:r>
          </w:p>
        </w:tc>
        <w:tc>
          <w:tcPr>
            <w:tcW w:w="0" w:type="auto"/>
            <w:hideMark/>
          </w:tcPr>
          <w:p w14:paraId="70038DE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5369076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0.531</w:t>
            </w:r>
          </w:p>
        </w:tc>
        <w:tc>
          <w:tcPr>
            <w:tcW w:w="0" w:type="auto"/>
            <w:hideMark/>
          </w:tcPr>
          <w:p w14:paraId="7F4DE4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F1B2A5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5EECB"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00869D3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21.382</w:t>
            </w:r>
          </w:p>
        </w:tc>
        <w:tc>
          <w:tcPr>
            <w:tcW w:w="0" w:type="auto"/>
            <w:hideMark/>
          </w:tcPr>
          <w:p w14:paraId="474B0F8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25A00DE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8433EE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16CFE1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0.646</w:t>
            </w:r>
          </w:p>
        </w:tc>
        <w:tc>
          <w:tcPr>
            <w:tcW w:w="0" w:type="auto"/>
            <w:hideMark/>
          </w:tcPr>
          <w:p w14:paraId="401B370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0D325B89"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035005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0C59BE5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21.710</w:t>
            </w:r>
          </w:p>
        </w:tc>
        <w:tc>
          <w:tcPr>
            <w:tcW w:w="0" w:type="auto"/>
            <w:hideMark/>
          </w:tcPr>
          <w:p w14:paraId="69E7580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6B28357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098AE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7C754B1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0.657</w:t>
            </w:r>
          </w:p>
        </w:tc>
        <w:tc>
          <w:tcPr>
            <w:tcW w:w="0" w:type="auto"/>
            <w:hideMark/>
          </w:tcPr>
          <w:p w14:paraId="3ACE08B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5458A14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E499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538945B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5444A2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6814150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6576B2C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15B69B2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196BB70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1B10216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2F89D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25C8CD2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21.891</w:t>
            </w:r>
          </w:p>
        </w:tc>
        <w:tc>
          <w:tcPr>
            <w:tcW w:w="0" w:type="auto"/>
            <w:hideMark/>
          </w:tcPr>
          <w:p w14:paraId="23736A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1DCE2F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A04F8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7BC29EC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0.663</w:t>
            </w:r>
          </w:p>
        </w:tc>
        <w:tc>
          <w:tcPr>
            <w:tcW w:w="0" w:type="auto"/>
            <w:hideMark/>
          </w:tcPr>
          <w:p w14:paraId="7452799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3B118D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F1EA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0EA7AE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51D104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5AB6F47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37CDDA3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6F3A41E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28FF42C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759FA7D6"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C11EBE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Zn</w:t>
            </w:r>
          </w:p>
        </w:tc>
        <w:tc>
          <w:tcPr>
            <w:tcW w:w="0" w:type="auto"/>
            <w:hideMark/>
          </w:tcPr>
          <w:p w14:paraId="7694F9C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4C3F2BD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2E81F4A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4A9490A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07F120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65E3F7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bl>
    <w:p w14:paraId="2CDA0094" w14:textId="77777777" w:rsidR="00D55CE6" w:rsidRDefault="00D55CE6" w:rsidP="00BE6C96">
      <w:pPr>
        <w:spacing w:line="360" w:lineRule="auto"/>
        <w:jc w:val="both"/>
        <w:rPr>
          <w:rFonts w:asciiTheme="majorBidi" w:hAnsiTheme="majorBidi" w:cstheme="majorBidi"/>
          <w:color w:val="000000" w:themeColor="text1"/>
          <w:lang w:val="en-GB"/>
        </w:rPr>
      </w:pPr>
    </w:p>
    <w:p w14:paraId="60761BF9" w14:textId="76E43BE0" w:rsidR="006D5AED" w:rsidRDefault="006D5AED" w:rsidP="00BE6C96">
      <w:pPr>
        <w:spacing w:line="360" w:lineRule="auto"/>
        <w:jc w:val="both"/>
        <w:rPr>
          <w:rFonts w:asciiTheme="majorBidi" w:hAnsiTheme="majorBidi" w:cstheme="majorBidi"/>
          <w:color w:val="000000" w:themeColor="text1"/>
          <w:lang w:val="en-GB"/>
        </w:rPr>
      </w:pPr>
      <w:r w:rsidRPr="006D5AED">
        <w:rPr>
          <w:rFonts w:asciiTheme="majorBidi" w:hAnsiTheme="majorBidi" w:cstheme="majorBidi"/>
          <w:color w:val="000000" w:themeColor="text1"/>
          <w:lang w:val="en-GB"/>
        </w:rPr>
        <w:t>The Kruskal–Wallis test (Table 2) indicates highly significant differences (p &lt; 0.001) for cadmium (Cd), chromium (Cr), copper (Cu), iron (Fe), nickel (Ni), lead (Pb), and zinc (Zn), all of which exhibit large effect sizes. Arsenic (As) shows moderately significant variation across cities. The Dunn post hoc tests reveal that, for most metals, concentrations in Cotonou and Natitingou are significantly higher than those recorded in Abomey-Calavi, whereas no significant differences are observed between Cotonou and Natitingou. This suggests comparable pollution levels in these two cities. Conversely, Abomey-Calavi appears to be the least contaminated location, although some exceedances (notably for Cd, Pb, and Fe) are still evident.</w:t>
      </w:r>
    </w:p>
    <w:p w14:paraId="7D427BA7" w14:textId="70DDD738" w:rsidR="00BE6C96" w:rsidRPr="00D55CE6" w:rsidRDefault="00BE6C96" w:rsidP="00BE6C96">
      <w:pPr>
        <w:spacing w:line="360" w:lineRule="auto"/>
        <w:jc w:val="both"/>
        <w:rPr>
          <w:rFonts w:asciiTheme="majorBidi" w:hAnsiTheme="majorBidi" w:cstheme="majorBidi"/>
          <w:color w:val="000000" w:themeColor="text1"/>
        </w:rPr>
      </w:pPr>
      <w:r w:rsidRPr="00D55CE6">
        <w:rPr>
          <w:rFonts w:asciiTheme="majorBidi" w:hAnsiTheme="majorBidi" w:cstheme="majorBidi"/>
          <w:b/>
          <w:bCs/>
          <w:color w:val="000000" w:themeColor="text1"/>
          <w:u w:val="single"/>
          <w:lang w:val="en-US"/>
        </w:rPr>
        <w:t>Table</w:t>
      </w:r>
      <w:r w:rsidR="00D55CE6">
        <w:rPr>
          <w:rFonts w:asciiTheme="majorBidi" w:hAnsiTheme="majorBidi" w:cstheme="majorBidi"/>
          <w:b/>
          <w:bCs/>
          <w:color w:val="000000" w:themeColor="text1"/>
          <w:u w:val="single"/>
          <w:lang w:val="en-US"/>
        </w:rPr>
        <w:t xml:space="preserve"> </w:t>
      </w:r>
      <w:r w:rsidRPr="00D55CE6">
        <w:rPr>
          <w:rFonts w:asciiTheme="majorBidi" w:hAnsiTheme="majorBidi" w:cstheme="majorBidi"/>
          <w:b/>
          <w:bCs/>
          <w:color w:val="000000" w:themeColor="text1"/>
          <w:u w:val="single"/>
          <w:lang w:val="en-US"/>
        </w:rPr>
        <w:t>3</w:t>
      </w:r>
      <w:r w:rsidRPr="00D55CE6">
        <w:rPr>
          <w:rFonts w:asciiTheme="majorBidi" w:hAnsiTheme="majorBidi" w:cstheme="majorBidi"/>
          <w:b/>
          <w:bCs/>
          <w:color w:val="000000" w:themeColor="text1"/>
          <w:lang w:val="en-US"/>
        </w:rPr>
        <w:t xml:space="preserve"> : </w:t>
      </w:r>
      <w:r w:rsidR="00D55CE6" w:rsidRPr="00D55CE6">
        <w:rPr>
          <w:rFonts w:asciiTheme="majorBidi" w:hAnsiTheme="majorBidi" w:cstheme="majorBidi"/>
          <w:color w:val="000000" w:themeColor="text1"/>
        </w:rPr>
        <w:t>Results of Dunn's post-hoc tests (comparison between cities)</w:t>
      </w:r>
    </w:p>
    <w:tbl>
      <w:tblPr>
        <w:tblStyle w:val="PlainTable2"/>
        <w:tblW w:w="0" w:type="auto"/>
        <w:tblLook w:val="04A0" w:firstRow="1" w:lastRow="0" w:firstColumn="1" w:lastColumn="0" w:noHBand="0" w:noVBand="1"/>
      </w:tblPr>
      <w:tblGrid>
        <w:gridCol w:w="816"/>
        <w:gridCol w:w="3109"/>
        <w:gridCol w:w="1263"/>
        <w:gridCol w:w="1177"/>
        <w:gridCol w:w="1456"/>
      </w:tblGrid>
      <w:tr w:rsidR="00BE6C96" w:rsidRPr="00955D3D" w14:paraId="441499F8"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8EC17B" w14:textId="6949C1FD"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M</w:t>
            </w:r>
            <w:r w:rsidR="00D55CE6">
              <w:rPr>
                <w:rFonts w:asciiTheme="majorBidi" w:hAnsiTheme="majorBidi" w:cstheme="majorBidi"/>
                <w:color w:val="000000" w:themeColor="text1"/>
              </w:rPr>
              <w:t>e</w:t>
            </w:r>
            <w:r w:rsidRPr="00955D3D">
              <w:rPr>
                <w:rFonts w:asciiTheme="majorBidi" w:hAnsiTheme="majorBidi" w:cstheme="majorBidi"/>
                <w:color w:val="000000" w:themeColor="text1"/>
              </w:rPr>
              <w:t>tal</w:t>
            </w:r>
          </w:p>
        </w:tc>
        <w:tc>
          <w:tcPr>
            <w:tcW w:w="0" w:type="auto"/>
            <w:hideMark/>
          </w:tcPr>
          <w:p w14:paraId="51A189C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Comparaison</w:t>
            </w:r>
          </w:p>
        </w:tc>
        <w:tc>
          <w:tcPr>
            <w:tcW w:w="0" w:type="auto"/>
            <w:hideMark/>
          </w:tcPr>
          <w:p w14:paraId="3D2FD8D5" w14:textId="0A60DDC0"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Statisti</w:t>
            </w:r>
            <w:r w:rsidR="00D55CE6">
              <w:rPr>
                <w:rFonts w:asciiTheme="majorBidi" w:hAnsiTheme="majorBidi" w:cstheme="majorBidi"/>
                <w:color w:val="000000" w:themeColor="text1"/>
              </w:rPr>
              <w:t>c</w:t>
            </w:r>
            <w:r w:rsidRPr="00955D3D">
              <w:rPr>
                <w:rFonts w:asciiTheme="majorBidi" w:hAnsiTheme="majorBidi" w:cstheme="majorBidi"/>
                <w:color w:val="000000" w:themeColor="text1"/>
              </w:rPr>
              <w:t xml:space="preserve"> Z</w:t>
            </w:r>
          </w:p>
        </w:tc>
        <w:tc>
          <w:tcPr>
            <w:tcW w:w="0" w:type="auto"/>
            <w:hideMark/>
          </w:tcPr>
          <w:p w14:paraId="6F9E4409" w14:textId="4DF225B4"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p-ajust</w:t>
            </w:r>
            <w:r w:rsidR="00D55CE6">
              <w:rPr>
                <w:rFonts w:asciiTheme="majorBidi" w:hAnsiTheme="majorBidi" w:cstheme="majorBidi"/>
                <w:color w:val="000000" w:themeColor="text1"/>
              </w:rPr>
              <w:t>ed</w:t>
            </w:r>
          </w:p>
        </w:tc>
        <w:tc>
          <w:tcPr>
            <w:tcW w:w="0" w:type="auto"/>
            <w:hideMark/>
          </w:tcPr>
          <w:p w14:paraId="25A4F340" w14:textId="355285DC"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Significa</w:t>
            </w:r>
            <w:r w:rsidR="00D55CE6">
              <w:rPr>
                <w:rFonts w:asciiTheme="majorBidi" w:hAnsiTheme="majorBidi" w:cstheme="majorBidi"/>
                <w:color w:val="000000" w:themeColor="text1"/>
              </w:rPr>
              <w:t>nce</w:t>
            </w:r>
          </w:p>
        </w:tc>
      </w:tr>
      <w:tr w:rsidR="00BE6C96" w:rsidRPr="00955D3D" w14:paraId="58CBD445"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39004"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t>As</w:t>
            </w:r>
          </w:p>
        </w:tc>
        <w:tc>
          <w:tcPr>
            <w:tcW w:w="0" w:type="auto"/>
            <w:hideMark/>
          </w:tcPr>
          <w:p w14:paraId="3798C9E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7B85DA8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2.141</w:t>
            </w:r>
          </w:p>
        </w:tc>
        <w:tc>
          <w:tcPr>
            <w:tcW w:w="0" w:type="auto"/>
            <w:hideMark/>
          </w:tcPr>
          <w:p w14:paraId="591DA8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0.048</w:t>
            </w:r>
          </w:p>
        </w:tc>
        <w:tc>
          <w:tcPr>
            <w:tcW w:w="0" w:type="auto"/>
            <w:hideMark/>
          </w:tcPr>
          <w:p w14:paraId="61C835F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1E9DB24"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E9B3F19"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44D0685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0A40A02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2.633</w:t>
            </w:r>
          </w:p>
        </w:tc>
        <w:tc>
          <w:tcPr>
            <w:tcW w:w="0" w:type="auto"/>
            <w:hideMark/>
          </w:tcPr>
          <w:p w14:paraId="6C4D1FB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0.025</w:t>
            </w:r>
          </w:p>
        </w:tc>
        <w:tc>
          <w:tcPr>
            <w:tcW w:w="0" w:type="auto"/>
            <w:hideMark/>
          </w:tcPr>
          <w:p w14:paraId="65C6424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798595A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88A7C8"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2C9963E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1399460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1.396</w:t>
            </w:r>
          </w:p>
        </w:tc>
        <w:tc>
          <w:tcPr>
            <w:tcW w:w="0" w:type="auto"/>
            <w:hideMark/>
          </w:tcPr>
          <w:p w14:paraId="7A207E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0.163</w:t>
            </w:r>
          </w:p>
        </w:tc>
        <w:tc>
          <w:tcPr>
            <w:tcW w:w="0" w:type="auto"/>
            <w:hideMark/>
          </w:tcPr>
          <w:p w14:paraId="4B9A4CE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10C3F5C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4CC2AE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779688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65036D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4.211</w:t>
            </w:r>
          </w:p>
        </w:tc>
        <w:tc>
          <w:tcPr>
            <w:tcW w:w="0" w:type="auto"/>
            <w:hideMark/>
          </w:tcPr>
          <w:p w14:paraId="4F9F48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2C9CA71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321E58FA"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B99363"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25815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5841B09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0.796</w:t>
            </w:r>
          </w:p>
        </w:tc>
        <w:tc>
          <w:tcPr>
            <w:tcW w:w="0" w:type="auto"/>
            <w:hideMark/>
          </w:tcPr>
          <w:p w14:paraId="6B1FEC5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0.426</w:t>
            </w:r>
          </w:p>
        </w:tc>
        <w:tc>
          <w:tcPr>
            <w:tcW w:w="0" w:type="auto"/>
            <w:hideMark/>
          </w:tcPr>
          <w:p w14:paraId="42BB9A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59849F3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1482B36"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8AE9FE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3E38CF8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-1.635</w:t>
            </w:r>
          </w:p>
        </w:tc>
        <w:tc>
          <w:tcPr>
            <w:tcW w:w="0" w:type="auto"/>
            <w:hideMark/>
          </w:tcPr>
          <w:p w14:paraId="247E8F3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0.153</w:t>
            </w:r>
          </w:p>
        </w:tc>
        <w:tc>
          <w:tcPr>
            <w:tcW w:w="0" w:type="auto"/>
            <w:hideMark/>
          </w:tcPr>
          <w:p w14:paraId="2648FFA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3FB20D0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D740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7DB9D3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5CF348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-3.801</w:t>
            </w:r>
          </w:p>
        </w:tc>
        <w:tc>
          <w:tcPr>
            <w:tcW w:w="0" w:type="auto"/>
            <w:hideMark/>
          </w:tcPr>
          <w:p w14:paraId="7C24408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5CB9F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6FD00B6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CAA62C4"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F9BCCE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3710694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0BA3747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8B8423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9F5C8D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2FBDD"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99507A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45537E9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-1.425</w:t>
            </w:r>
          </w:p>
        </w:tc>
        <w:tc>
          <w:tcPr>
            <w:tcW w:w="0" w:type="auto"/>
            <w:hideMark/>
          </w:tcPr>
          <w:p w14:paraId="2F2D2A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0.154</w:t>
            </w:r>
          </w:p>
        </w:tc>
        <w:tc>
          <w:tcPr>
            <w:tcW w:w="0" w:type="auto"/>
            <w:hideMark/>
          </w:tcPr>
          <w:p w14:paraId="72D46A0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43D52F7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526E90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00C5796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32CDF93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3.754</w:t>
            </w:r>
          </w:p>
        </w:tc>
        <w:tc>
          <w:tcPr>
            <w:tcW w:w="0" w:type="auto"/>
            <w:hideMark/>
          </w:tcPr>
          <w:p w14:paraId="22DEACA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5392DA7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15C112D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9B00E"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133F7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119D8CD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3.726</w:t>
            </w:r>
          </w:p>
        </w:tc>
        <w:tc>
          <w:tcPr>
            <w:tcW w:w="0" w:type="auto"/>
            <w:hideMark/>
          </w:tcPr>
          <w:p w14:paraId="6431606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554D68F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2B3234B4"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AFBA728"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3486B1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5C414F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1.559</w:t>
            </w:r>
          </w:p>
        </w:tc>
        <w:tc>
          <w:tcPr>
            <w:tcW w:w="0" w:type="auto"/>
            <w:hideMark/>
          </w:tcPr>
          <w:p w14:paraId="5083D0E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0.119</w:t>
            </w:r>
          </w:p>
        </w:tc>
        <w:tc>
          <w:tcPr>
            <w:tcW w:w="0" w:type="auto"/>
            <w:hideMark/>
          </w:tcPr>
          <w:p w14:paraId="6BF182C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2EE5F6B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CAA5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26BFBA5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245CD40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183E04E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E4DEF6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1DF51D0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736C271"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ACE3B7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74CC634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600A72B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0BDFA62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455F149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84620"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3E5721A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2FB1D57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5456DDA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2381CB4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2CFD923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BA5C37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51497C0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0B2929C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3.664</w:t>
            </w:r>
          </w:p>
        </w:tc>
        <w:tc>
          <w:tcPr>
            <w:tcW w:w="0" w:type="auto"/>
            <w:hideMark/>
          </w:tcPr>
          <w:p w14:paraId="4534D1C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661476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28B665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F0041"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041980E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6172D5B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3.843</w:t>
            </w:r>
          </w:p>
        </w:tc>
        <w:tc>
          <w:tcPr>
            <w:tcW w:w="0" w:type="auto"/>
            <w:hideMark/>
          </w:tcPr>
          <w:p w14:paraId="0D7E99D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4CE183D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BEA0CD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8E1B08F"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453F241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22582B1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1.727</w:t>
            </w:r>
          </w:p>
        </w:tc>
        <w:tc>
          <w:tcPr>
            <w:tcW w:w="0" w:type="auto"/>
            <w:hideMark/>
          </w:tcPr>
          <w:p w14:paraId="2B792B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0.084</w:t>
            </w:r>
          </w:p>
        </w:tc>
        <w:tc>
          <w:tcPr>
            <w:tcW w:w="0" w:type="auto"/>
            <w:hideMark/>
          </w:tcPr>
          <w:p w14:paraId="6287B9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064BB00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A7CE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20966EA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461EDF9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2975950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EE3053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4106FA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0ACB3FE"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C81DAA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3CAD5E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61FC2E7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228E9C5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9D968E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910EC"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2C2AF5B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072242D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486B945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6225A93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75052FAA"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499B85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Zn</w:t>
            </w:r>
          </w:p>
        </w:tc>
        <w:tc>
          <w:tcPr>
            <w:tcW w:w="0" w:type="auto"/>
            <w:hideMark/>
          </w:tcPr>
          <w:p w14:paraId="184290D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4CBB6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4C3BEBF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31D9364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343169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028B16"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739EAE6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2996408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04352B4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06C9B57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3F8D8FD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FC70EA0"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288F38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6AF480D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4100051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38D0DB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bl>
    <w:p w14:paraId="4ABC9C70" w14:textId="39D459F4" w:rsidR="00D55CE6" w:rsidRDefault="00D55CE6" w:rsidP="00BE6C9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w:t>
      </w:r>
      <w:r w:rsidRPr="00D55CE6">
        <w:rPr>
          <w:rFonts w:asciiTheme="majorBidi" w:eastAsia="Times New Roman" w:hAnsiTheme="majorBidi"/>
          <w:i/>
          <w:color w:val="000000" w:themeColor="text1"/>
          <w:sz w:val="22"/>
          <w:szCs w:val="22"/>
          <w:lang w:val="en-GB"/>
        </w:rPr>
        <w:t>ns: Non significant</w:t>
      </w:r>
    </w:p>
    <w:p w14:paraId="54B40CED" w14:textId="4D75EB5C" w:rsidR="006D5AED" w:rsidRDefault="00D55CE6" w:rsidP="00BE6C9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 xml:space="preserve">Table 3 presents the </w:t>
      </w:r>
      <w:r w:rsidR="006D5AED" w:rsidRPr="006D5AED">
        <w:rPr>
          <w:rFonts w:asciiTheme="majorBidi" w:eastAsia="Times New Roman" w:hAnsiTheme="majorBidi"/>
          <w:color w:val="000000" w:themeColor="text1"/>
          <w:sz w:val="24"/>
          <w:szCs w:val="24"/>
          <w:lang w:val="en-GB"/>
        </w:rPr>
        <w:t xml:space="preserve">results of the Dunn post hoc comparisons by city. </w:t>
      </w:r>
      <w:r>
        <w:rPr>
          <w:rFonts w:asciiTheme="majorBidi" w:eastAsia="Times New Roman" w:hAnsiTheme="majorBidi"/>
          <w:color w:val="000000" w:themeColor="text1"/>
          <w:sz w:val="24"/>
          <w:szCs w:val="24"/>
          <w:lang w:val="en-GB"/>
        </w:rPr>
        <w:t>The analysis of this table reveals that</w:t>
      </w:r>
      <w:r w:rsidR="006D5AED" w:rsidRPr="006D5AED">
        <w:rPr>
          <w:rFonts w:asciiTheme="majorBidi" w:eastAsia="Times New Roman" w:hAnsiTheme="majorBidi"/>
          <w:color w:val="000000" w:themeColor="text1"/>
          <w:sz w:val="24"/>
          <w:szCs w:val="24"/>
          <w:lang w:val="en-GB"/>
        </w:rPr>
        <w:t xml:space="preserve"> As, concentrations are significantly higher in both Cotonou and Natitingou compared with Abomey-Calavi, while no significant difference is detected between Cotonou and Natitingou. C</w:t>
      </w:r>
      <w:r>
        <w:rPr>
          <w:rFonts w:asciiTheme="majorBidi" w:eastAsia="Times New Roman" w:hAnsiTheme="majorBidi"/>
          <w:color w:val="000000" w:themeColor="text1"/>
          <w:sz w:val="24"/>
          <w:szCs w:val="24"/>
          <w:lang w:val="en-GB"/>
        </w:rPr>
        <w:t>admium C</w:t>
      </w:r>
      <w:r w:rsidR="006D5AED" w:rsidRPr="006D5AED">
        <w:rPr>
          <w:rFonts w:asciiTheme="majorBidi" w:eastAsia="Times New Roman" w:hAnsiTheme="majorBidi"/>
          <w:color w:val="000000" w:themeColor="text1"/>
          <w:sz w:val="24"/>
          <w:szCs w:val="24"/>
          <w:lang w:val="en-GB"/>
        </w:rPr>
        <w:t>d, only the contrast between Abomey-Calavi and Cotonou is significant. In contrast, Cr, Cu, Fe, Ni, Pb, and Zn show strong and consistent differences between Abomey-Calavi and the two other cities, with no significant differences between Cotonou and Natitingou. These patterns reinforce the conclusion that Abomey-Calavi is relatively less affected by heavy-metal contamination.</w:t>
      </w:r>
    </w:p>
    <w:p w14:paraId="0E288E0A" w14:textId="730D466D" w:rsidR="006D5AED" w:rsidRPr="006D5AED" w:rsidRDefault="006D5AED" w:rsidP="00D55CE6">
      <w:pPr>
        <w:spacing w:line="360" w:lineRule="auto"/>
        <w:jc w:val="both"/>
        <w:rPr>
          <w:lang w:val="en-GB"/>
        </w:rPr>
      </w:pPr>
      <w:r w:rsidRPr="006D5AED">
        <w:rPr>
          <w:lang w:val="en-GB"/>
        </w:rPr>
        <w:t xml:space="preserve">The comparisons across distances from the waste disposal sites (0 m, 50 m, and 100 m), shown in </w:t>
      </w:r>
      <w:r w:rsidR="00D55CE6">
        <w:rPr>
          <w:lang w:val="en-GB"/>
        </w:rPr>
        <w:t>t</w:t>
      </w:r>
      <w:r w:rsidRPr="006D5AED">
        <w:rPr>
          <w:lang w:val="en-GB"/>
        </w:rPr>
        <w:t>able 4, indicate that none of the metals display significant variation with increasing distance (p &gt; 0.05). This suggests either a relatively homogeneous dispersion of contaminants within the groundwater or a limitation linked to the small number of samples, especially in Natitingou.</w:t>
      </w:r>
    </w:p>
    <w:p w14:paraId="167AD7DE" w14:textId="22E451B0" w:rsidR="00D55CE6" w:rsidRPr="00D55CE6" w:rsidRDefault="00D55CE6" w:rsidP="00D55CE6">
      <w:pPr>
        <w:spacing w:line="360" w:lineRule="auto"/>
        <w:jc w:val="both"/>
        <w:rPr>
          <w:rFonts w:asciiTheme="majorBidi" w:eastAsiaTheme="majorEastAsia" w:hAnsiTheme="majorBidi" w:cstheme="majorBidi"/>
          <w:bCs/>
          <w:color w:val="000000" w:themeColor="text1"/>
        </w:rPr>
      </w:pPr>
      <w:r w:rsidRPr="00D55CE6">
        <w:rPr>
          <w:rFonts w:asciiTheme="majorBidi" w:eastAsiaTheme="majorEastAsia" w:hAnsiTheme="majorBidi" w:cstheme="majorBidi"/>
          <w:b/>
          <w:bCs/>
          <w:color w:val="000000" w:themeColor="text1"/>
        </w:rPr>
        <w:t>Table 4:</w:t>
      </w:r>
      <w:r w:rsidRPr="00D55CE6">
        <w:rPr>
          <w:rFonts w:asciiTheme="majorBidi" w:eastAsiaTheme="majorEastAsia" w:hAnsiTheme="majorBidi" w:cstheme="majorBidi"/>
          <w:bCs/>
          <w:color w:val="000000" w:themeColor="text1"/>
        </w:rPr>
        <w:t xml:space="preserve"> Dunn's post-hoc tests (comparison between distances)</w:t>
      </w:r>
    </w:p>
    <w:tbl>
      <w:tblPr>
        <w:tblStyle w:val="PlainTable2"/>
        <w:tblW w:w="0" w:type="auto"/>
        <w:tblLook w:val="04A0" w:firstRow="1" w:lastRow="0" w:firstColumn="1" w:lastColumn="0" w:noHBand="0" w:noVBand="1"/>
      </w:tblPr>
      <w:tblGrid>
        <w:gridCol w:w="816"/>
        <w:gridCol w:w="3770"/>
        <w:gridCol w:w="1177"/>
        <w:gridCol w:w="1456"/>
      </w:tblGrid>
      <w:tr w:rsidR="00BE6C96" w:rsidRPr="00955D3D" w14:paraId="1DF83F89"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AC9647" w14:textId="2DE59DFE"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M</w:t>
            </w:r>
            <w:r w:rsidR="00D55CE6">
              <w:rPr>
                <w:rFonts w:asciiTheme="majorBidi" w:hAnsiTheme="majorBidi" w:cstheme="majorBidi"/>
                <w:color w:val="000000" w:themeColor="text1"/>
              </w:rPr>
              <w:t>e</w:t>
            </w:r>
            <w:r w:rsidRPr="00955D3D">
              <w:rPr>
                <w:rFonts w:asciiTheme="majorBidi" w:hAnsiTheme="majorBidi" w:cstheme="majorBidi"/>
                <w:color w:val="000000" w:themeColor="text1"/>
              </w:rPr>
              <w:t>tal</w:t>
            </w:r>
          </w:p>
        </w:tc>
        <w:tc>
          <w:tcPr>
            <w:tcW w:w="0" w:type="auto"/>
            <w:hideMark/>
          </w:tcPr>
          <w:p w14:paraId="710E0B11"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Comparaisons (0–50–100 m)</w:t>
            </w:r>
          </w:p>
        </w:tc>
        <w:tc>
          <w:tcPr>
            <w:tcW w:w="0" w:type="auto"/>
            <w:hideMark/>
          </w:tcPr>
          <w:p w14:paraId="42CB6CE2" w14:textId="4D5230F0"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p-ajust</w:t>
            </w:r>
            <w:r w:rsidR="00D55CE6">
              <w:rPr>
                <w:rFonts w:asciiTheme="majorBidi" w:hAnsiTheme="majorBidi" w:cstheme="majorBidi"/>
                <w:color w:val="000000" w:themeColor="text1"/>
              </w:rPr>
              <w:t>ed</w:t>
            </w:r>
          </w:p>
        </w:tc>
        <w:tc>
          <w:tcPr>
            <w:tcW w:w="0" w:type="auto"/>
            <w:hideMark/>
          </w:tcPr>
          <w:p w14:paraId="111CEE8D" w14:textId="5725D5AD"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Significa</w:t>
            </w:r>
            <w:r w:rsidR="00D55CE6">
              <w:rPr>
                <w:rFonts w:asciiTheme="majorBidi" w:hAnsiTheme="majorBidi" w:cstheme="majorBidi"/>
                <w:color w:val="000000" w:themeColor="text1"/>
              </w:rPr>
              <w:t>nce</w:t>
            </w:r>
          </w:p>
        </w:tc>
      </w:tr>
      <w:tr w:rsidR="00BE6C96" w:rsidRPr="00955D3D" w14:paraId="08399FD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AA39F8"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lastRenderedPageBreak/>
              <w:t>As</w:t>
            </w:r>
          </w:p>
        </w:tc>
        <w:tc>
          <w:tcPr>
            <w:tcW w:w="0" w:type="auto"/>
            <w:hideMark/>
          </w:tcPr>
          <w:p w14:paraId="387EB8B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7080DAE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0.39</w:t>
            </w:r>
          </w:p>
        </w:tc>
        <w:tc>
          <w:tcPr>
            <w:tcW w:w="0" w:type="auto"/>
            <w:hideMark/>
          </w:tcPr>
          <w:p w14:paraId="1A59F5D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65938F26"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5B4AC7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1F48B95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43FAA78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0.39</w:t>
            </w:r>
          </w:p>
        </w:tc>
        <w:tc>
          <w:tcPr>
            <w:tcW w:w="0" w:type="auto"/>
            <w:hideMark/>
          </w:tcPr>
          <w:p w14:paraId="01F9C1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7C5197E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7A44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199567B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13B7EAD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0.54</w:t>
            </w:r>
          </w:p>
        </w:tc>
        <w:tc>
          <w:tcPr>
            <w:tcW w:w="0" w:type="auto"/>
            <w:hideMark/>
          </w:tcPr>
          <w:p w14:paraId="11B8DF0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0FECBDD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13CD91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7660803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6F24E2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0.70</w:t>
            </w:r>
          </w:p>
        </w:tc>
        <w:tc>
          <w:tcPr>
            <w:tcW w:w="0" w:type="auto"/>
            <w:hideMark/>
          </w:tcPr>
          <w:p w14:paraId="75170A2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473D49B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C25A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067CEF6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01FA033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hideMark/>
          </w:tcPr>
          <w:p w14:paraId="6F59131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33B1F84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54200D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20263E2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762A103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0.75</w:t>
            </w:r>
          </w:p>
        </w:tc>
        <w:tc>
          <w:tcPr>
            <w:tcW w:w="0" w:type="auto"/>
            <w:hideMark/>
          </w:tcPr>
          <w:p w14:paraId="46BBF4F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2FD21CF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DC2D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5279455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116514A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hideMark/>
          </w:tcPr>
          <w:p w14:paraId="6DD56D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r w:rsidR="00BE6C96" w:rsidRPr="00955D3D" w14:paraId="761A4E0E" w14:textId="77777777" w:rsidTr="0031013D">
        <w:tc>
          <w:tcPr>
            <w:cnfStyle w:val="001000000000" w:firstRow="0" w:lastRow="0" w:firstColumn="1" w:lastColumn="0" w:oddVBand="0" w:evenVBand="0" w:oddHBand="0" w:evenHBand="0" w:firstRowFirstColumn="0" w:firstRowLastColumn="0" w:lastRowFirstColumn="0" w:lastRowLastColumn="0"/>
            <w:tcW w:w="0" w:type="auto"/>
          </w:tcPr>
          <w:p w14:paraId="2AAE4451" w14:textId="77777777" w:rsidR="00BE6C96" w:rsidRPr="00955D3D" w:rsidRDefault="00BE6C96" w:rsidP="0031013D">
            <w:pPr>
              <w:spacing w:line="360" w:lineRule="auto"/>
              <w:jc w:val="both"/>
              <w:rPr>
                <w:rStyle w:val="Strong"/>
                <w:rFonts w:asciiTheme="majorBidi" w:eastAsiaTheme="majorEastAsia" w:hAnsiTheme="majorBidi"/>
                <w:color w:val="000000" w:themeColor="text1"/>
              </w:rPr>
            </w:pPr>
            <w:r w:rsidRPr="00955D3D">
              <w:rPr>
                <w:rStyle w:val="Strong"/>
                <w:rFonts w:asciiTheme="majorBidi" w:eastAsiaTheme="majorEastAsia" w:hAnsiTheme="majorBidi"/>
                <w:color w:val="000000" w:themeColor="text1"/>
              </w:rPr>
              <w:t>Zn</w:t>
            </w:r>
          </w:p>
        </w:tc>
        <w:tc>
          <w:tcPr>
            <w:tcW w:w="0" w:type="auto"/>
          </w:tcPr>
          <w:p w14:paraId="7A7F92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tcPr>
          <w:p w14:paraId="0B1D24C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tcPr>
          <w:p w14:paraId="78191A7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ns</w:t>
            </w:r>
          </w:p>
        </w:tc>
      </w:tr>
    </w:tbl>
    <w:p w14:paraId="7E491EA2" w14:textId="6B229390" w:rsidR="006D5AED" w:rsidRPr="00D55CE6" w:rsidRDefault="00D55CE6" w:rsidP="00D55CE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w:t>
      </w:r>
      <w:r w:rsidRPr="00D55CE6">
        <w:rPr>
          <w:rFonts w:asciiTheme="majorBidi" w:eastAsia="Times New Roman" w:hAnsiTheme="majorBidi"/>
          <w:i/>
          <w:color w:val="000000" w:themeColor="text1"/>
          <w:sz w:val="22"/>
          <w:szCs w:val="22"/>
          <w:lang w:val="en-GB"/>
        </w:rPr>
        <w:t>ns: Non significant</w:t>
      </w:r>
    </w:p>
    <w:p w14:paraId="024B60E1" w14:textId="7550A28B" w:rsidR="00BE6C96" w:rsidRPr="006D5AED" w:rsidRDefault="006D5AED" w:rsidP="00BE6C96">
      <w:pPr>
        <w:spacing w:line="360" w:lineRule="auto"/>
        <w:jc w:val="both"/>
        <w:rPr>
          <w:rFonts w:asciiTheme="majorBidi" w:hAnsiTheme="majorBidi" w:cstheme="majorBidi"/>
          <w:b/>
          <w:bCs/>
          <w:color w:val="000000" w:themeColor="text1"/>
          <w:lang w:val="en-GB"/>
        </w:rPr>
      </w:pPr>
      <w:r w:rsidRPr="006D5AED">
        <w:rPr>
          <w:rFonts w:asciiTheme="majorBidi" w:hAnsiTheme="majorBidi" w:cstheme="majorBidi"/>
          <w:color w:val="000000" w:themeColor="text1"/>
          <w:lang w:val="en-GB"/>
        </w:rPr>
        <w:t xml:space="preserve">The principal component analysis (PCA) plot </w:t>
      </w:r>
      <w:r w:rsidR="00772868">
        <w:rPr>
          <w:rFonts w:asciiTheme="majorBidi" w:hAnsiTheme="majorBidi" w:cstheme="majorBidi"/>
          <w:color w:val="000000" w:themeColor="text1"/>
          <w:lang w:val="en-GB"/>
        </w:rPr>
        <w:t xml:space="preserve">presented in Figure 2 </w:t>
      </w:r>
      <w:r w:rsidRPr="006D5AED">
        <w:rPr>
          <w:rFonts w:asciiTheme="majorBidi" w:hAnsiTheme="majorBidi" w:cstheme="majorBidi"/>
          <w:color w:val="000000" w:themeColor="text1"/>
          <w:lang w:val="en-GB"/>
        </w:rPr>
        <w:t xml:space="preserve">further highlights the distinct metallic composition of well water across the three cities. </w:t>
      </w:r>
    </w:p>
    <w:p w14:paraId="20D04F56" w14:textId="77777777" w:rsidR="00BE6C96" w:rsidRPr="00955D3D" w:rsidRDefault="00BE6C96" w:rsidP="00BE6C96">
      <w:pPr>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5B314689" wp14:editId="0C6BE69D">
            <wp:extent cx="5731510" cy="3462655"/>
            <wp:effectExtent l="0" t="0" r="0" b="4445"/>
            <wp:docPr id="85594628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46289" name="Image 855946289"/>
                    <pic:cNvPicPr/>
                  </pic:nvPicPr>
                  <pic:blipFill>
                    <a:blip r:embed="rId8">
                      <a:extLst>
                        <a:ext uri="{28A0092B-C50C-407E-A947-70E740481C1C}">
                          <a14:useLocalDpi xmlns:a14="http://schemas.microsoft.com/office/drawing/2010/main" val="0"/>
                        </a:ext>
                      </a:extLst>
                    </a:blip>
                    <a:stretch>
                      <a:fillRect/>
                    </a:stretch>
                  </pic:blipFill>
                  <pic:spPr>
                    <a:xfrm>
                      <a:off x="0" y="0"/>
                      <a:ext cx="5731510" cy="3462655"/>
                    </a:xfrm>
                    <a:prstGeom prst="rect">
                      <a:avLst/>
                    </a:prstGeom>
                  </pic:spPr>
                </pic:pic>
              </a:graphicData>
            </a:graphic>
          </wp:inline>
        </w:drawing>
      </w:r>
    </w:p>
    <w:p w14:paraId="54C40E6D" w14:textId="77777777" w:rsidR="006D5AED" w:rsidRPr="006D5AED" w:rsidRDefault="006D5AED" w:rsidP="006D5AED">
      <w:pPr>
        <w:spacing w:line="360" w:lineRule="auto"/>
        <w:jc w:val="both"/>
        <w:rPr>
          <w:rFonts w:asciiTheme="majorBidi" w:hAnsiTheme="majorBidi" w:cstheme="majorBidi"/>
          <w:color w:val="000000" w:themeColor="text1"/>
          <w:lang w:val="en-GB"/>
        </w:rPr>
      </w:pPr>
      <w:r w:rsidRPr="006D5AED">
        <w:rPr>
          <w:rFonts w:asciiTheme="majorBidi" w:hAnsiTheme="majorBidi" w:cstheme="majorBidi"/>
          <w:b/>
          <w:bCs/>
          <w:color w:val="000000" w:themeColor="text1"/>
          <w:lang w:val="en-GB"/>
        </w:rPr>
        <w:t>Figure 2</w:t>
      </w:r>
      <w:r w:rsidRPr="006D5AED">
        <w:rPr>
          <w:rFonts w:asciiTheme="majorBidi" w:hAnsiTheme="majorBidi" w:cstheme="majorBidi"/>
          <w:color w:val="000000" w:themeColor="text1"/>
          <w:lang w:val="en-GB"/>
        </w:rPr>
        <w:t>: PCA Plot of Sampling Sites</w:t>
      </w:r>
    </w:p>
    <w:p w14:paraId="006A3B8D" w14:textId="121C4300" w:rsidR="006D5AED" w:rsidRPr="006D5AED" w:rsidRDefault="00772868" w:rsidP="006D5AED">
      <w:pPr>
        <w:spacing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The</w:t>
      </w:r>
      <w:r w:rsidR="006D5AED" w:rsidRPr="006D5AED">
        <w:rPr>
          <w:rFonts w:asciiTheme="majorBidi" w:hAnsiTheme="majorBidi" w:cstheme="majorBidi"/>
          <w:color w:val="000000" w:themeColor="text1"/>
          <w:lang w:val="en-GB"/>
        </w:rPr>
        <w:t xml:space="preserve"> analysis </w:t>
      </w:r>
      <w:r>
        <w:rPr>
          <w:rFonts w:asciiTheme="majorBidi" w:hAnsiTheme="majorBidi" w:cstheme="majorBidi"/>
          <w:color w:val="000000" w:themeColor="text1"/>
          <w:lang w:val="en-GB"/>
        </w:rPr>
        <w:t xml:space="preserve">of the </w:t>
      </w:r>
      <w:r w:rsidR="006D5AED" w:rsidRPr="006D5AED">
        <w:rPr>
          <w:rFonts w:asciiTheme="majorBidi" w:hAnsiTheme="majorBidi" w:cstheme="majorBidi"/>
          <w:color w:val="000000" w:themeColor="text1"/>
          <w:lang w:val="en-GB"/>
        </w:rPr>
        <w:t xml:space="preserve">PCA </w:t>
      </w:r>
      <w:r>
        <w:rPr>
          <w:rFonts w:asciiTheme="majorBidi" w:hAnsiTheme="majorBidi" w:cstheme="majorBidi"/>
          <w:color w:val="000000" w:themeColor="text1"/>
          <w:lang w:val="en-GB"/>
        </w:rPr>
        <w:t>reveals</w:t>
      </w:r>
      <w:r w:rsidR="006D5AED" w:rsidRPr="006D5AED">
        <w:rPr>
          <w:rFonts w:asciiTheme="majorBidi" w:hAnsiTheme="majorBidi" w:cstheme="majorBidi"/>
          <w:color w:val="000000" w:themeColor="text1"/>
          <w:lang w:val="en-GB"/>
        </w:rPr>
        <w:t xml:space="preserve"> differences in well-water metal composition among the three cities. The first dimension (Dim1), which accounts for 7</w:t>
      </w:r>
      <w:r>
        <w:rPr>
          <w:rFonts w:asciiTheme="majorBidi" w:hAnsiTheme="majorBidi" w:cstheme="majorBidi"/>
          <w:color w:val="000000" w:themeColor="text1"/>
          <w:lang w:val="en-GB"/>
        </w:rPr>
        <w:t>3.9</w:t>
      </w:r>
      <w:r w:rsidR="006D5AED" w:rsidRPr="006D5AED">
        <w:rPr>
          <w:rFonts w:asciiTheme="majorBidi" w:hAnsiTheme="majorBidi" w:cstheme="majorBidi"/>
          <w:color w:val="000000" w:themeColor="text1"/>
          <w:lang w:val="en-GB"/>
        </w:rPr>
        <w:t xml:space="preserve">% of the total variance, is primarily associated with metals that are strongly correlated (Fe, Cu, Ni, Pb, Cd, and Zn). Samples positioned at higher values along Dim1 correspond to areas where these metals are present at elevated concentrations. Abomey-Calavi samples cluster around lower Dim1 values, indicating generally low levels of contamination. Cotonou samples occupy intermediate Dim1 values, reflecting moderate concentrations of correlated metals, whereas Natitingou samples display </w:t>
      </w:r>
      <w:r w:rsidR="006D5AED" w:rsidRPr="006D5AED">
        <w:rPr>
          <w:rFonts w:asciiTheme="majorBidi" w:hAnsiTheme="majorBidi" w:cstheme="majorBidi"/>
          <w:color w:val="000000" w:themeColor="text1"/>
          <w:lang w:val="en-GB"/>
        </w:rPr>
        <w:lastRenderedPageBreak/>
        <w:t xml:space="preserve">the highest Dim1 values, signifying greater concentrations of these metals. </w:t>
      </w:r>
      <w:r>
        <w:rPr>
          <w:rFonts w:asciiTheme="majorBidi" w:hAnsiTheme="majorBidi" w:cstheme="majorBidi"/>
          <w:color w:val="000000" w:themeColor="text1"/>
          <w:lang w:val="en-GB"/>
        </w:rPr>
        <w:t>The</w:t>
      </w:r>
      <w:r w:rsidR="006D5AED" w:rsidRPr="006D5AED">
        <w:rPr>
          <w:rFonts w:asciiTheme="majorBidi" w:hAnsiTheme="majorBidi" w:cstheme="majorBidi"/>
          <w:color w:val="000000" w:themeColor="text1"/>
          <w:lang w:val="en-GB"/>
        </w:rPr>
        <w:t xml:space="preserve"> PCA confirms that the correlated metals strongly influence the data structure, positioning Abomey-Calavi as the least affected area, Cotonou as intermediate, and Natitingou as the most contaminated.</w:t>
      </w:r>
    </w:p>
    <w:p w14:paraId="067B3C6F" w14:textId="77777777" w:rsidR="006D5AED" w:rsidRPr="006D5AED" w:rsidRDefault="006D5AED" w:rsidP="006D5AED">
      <w:pPr>
        <w:spacing w:line="360" w:lineRule="auto"/>
        <w:jc w:val="both"/>
        <w:rPr>
          <w:rFonts w:asciiTheme="majorBidi" w:hAnsiTheme="majorBidi" w:cstheme="majorBidi"/>
          <w:color w:val="000000" w:themeColor="text1"/>
          <w:lang w:val="en-GB"/>
        </w:rPr>
      </w:pPr>
      <w:r w:rsidRPr="006D5AED">
        <w:rPr>
          <w:rFonts w:asciiTheme="majorBidi" w:hAnsiTheme="majorBidi" w:cstheme="majorBidi"/>
          <w:b/>
          <w:bCs/>
          <w:color w:val="000000" w:themeColor="text1"/>
          <w:lang w:val="en-GB"/>
        </w:rPr>
        <w:t>Table 5</w:t>
      </w:r>
      <w:r w:rsidRPr="006D5AED">
        <w:rPr>
          <w:rFonts w:asciiTheme="majorBidi" w:hAnsiTheme="majorBidi" w:cstheme="majorBidi"/>
          <w:color w:val="000000" w:themeColor="text1"/>
          <w:lang w:val="en-GB"/>
        </w:rPr>
        <w:t>: Metal Index (MI) by City</w:t>
      </w:r>
    </w:p>
    <w:tbl>
      <w:tblPr>
        <w:tblStyle w:val="PlainTable2"/>
        <w:tblW w:w="0" w:type="auto"/>
        <w:tblLook w:val="04A0" w:firstRow="1" w:lastRow="0" w:firstColumn="1" w:lastColumn="0" w:noHBand="0" w:noVBand="1"/>
      </w:tblPr>
      <w:tblGrid>
        <w:gridCol w:w="1683"/>
        <w:gridCol w:w="1310"/>
        <w:gridCol w:w="913"/>
        <w:gridCol w:w="730"/>
        <w:gridCol w:w="601"/>
        <w:gridCol w:w="620"/>
        <w:gridCol w:w="2947"/>
      </w:tblGrid>
      <w:tr w:rsidR="0070221F" w:rsidRPr="00955D3D" w14:paraId="28A176CB"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93C3C0" w14:textId="77777777" w:rsidR="006D5AED" w:rsidRPr="00772868" w:rsidRDefault="006D5AED" w:rsidP="0031013D">
            <w:pPr>
              <w:spacing w:line="360" w:lineRule="auto"/>
              <w:jc w:val="both"/>
              <w:rPr>
                <w:rFonts w:asciiTheme="majorBidi" w:hAnsiTheme="majorBidi" w:cstheme="majorBidi"/>
                <w:b w:val="0"/>
                <w:bCs w:val="0"/>
                <w:color w:val="000000" w:themeColor="text1"/>
                <w:sz w:val="22"/>
                <w:szCs w:val="22"/>
                <w:lang w:val="en-GB"/>
              </w:rPr>
            </w:pPr>
          </w:p>
          <w:p w14:paraId="3C92F2EB" w14:textId="28E3FA64" w:rsidR="00BE6C96" w:rsidRPr="00772868" w:rsidRDefault="0070221F"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City</w:t>
            </w:r>
          </w:p>
        </w:tc>
        <w:tc>
          <w:tcPr>
            <w:tcW w:w="0" w:type="auto"/>
            <w:hideMark/>
          </w:tcPr>
          <w:p w14:paraId="6C7DFDF6" w14:textId="0EF5DA68"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Sample size</w:t>
            </w:r>
          </w:p>
        </w:tc>
        <w:tc>
          <w:tcPr>
            <w:tcW w:w="0" w:type="auto"/>
            <w:hideMark/>
          </w:tcPr>
          <w:p w14:paraId="3884BB8E" w14:textId="61431E2E"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median</w:t>
            </w:r>
          </w:p>
        </w:tc>
        <w:tc>
          <w:tcPr>
            <w:tcW w:w="0" w:type="auto"/>
            <w:hideMark/>
          </w:tcPr>
          <w:p w14:paraId="571C13B9" w14:textId="66E9B9FA"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70221F" w:rsidRPr="00772868">
              <w:rPr>
                <w:rFonts w:asciiTheme="majorBidi" w:hAnsiTheme="majorBidi" w:cstheme="majorBidi"/>
                <w:color w:val="000000" w:themeColor="text1"/>
                <w:sz w:val="22"/>
                <w:szCs w:val="22"/>
              </w:rPr>
              <w:t>ean</w:t>
            </w:r>
          </w:p>
        </w:tc>
        <w:tc>
          <w:tcPr>
            <w:tcW w:w="0" w:type="auto"/>
            <w:hideMark/>
          </w:tcPr>
          <w:p w14:paraId="6B2D7194" w14:textId="2F90A1E9"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min</w:t>
            </w:r>
          </w:p>
        </w:tc>
        <w:tc>
          <w:tcPr>
            <w:tcW w:w="0" w:type="auto"/>
            <w:hideMark/>
          </w:tcPr>
          <w:p w14:paraId="496B1EA5" w14:textId="5AA0254F"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max</w:t>
            </w:r>
          </w:p>
        </w:tc>
        <w:tc>
          <w:tcPr>
            <w:tcW w:w="0" w:type="auto"/>
            <w:hideMark/>
          </w:tcPr>
          <w:p w14:paraId="2D837EBA" w14:textId="19A7664C"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 Polluted Samples (MI ≥ 1)</w:t>
            </w:r>
          </w:p>
        </w:tc>
      </w:tr>
      <w:tr w:rsidR="0070221F" w:rsidRPr="00955D3D" w14:paraId="4FE242C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71FB0" w14:textId="77777777" w:rsidR="00BE6C96" w:rsidRPr="00772868" w:rsidRDefault="00BE6C96" w:rsidP="0031013D">
            <w:pPr>
              <w:spacing w:line="360" w:lineRule="auto"/>
              <w:jc w:val="both"/>
              <w:rPr>
                <w:rFonts w:asciiTheme="majorBidi" w:hAnsiTheme="majorBidi" w:cstheme="majorBidi"/>
                <w:b w:val="0"/>
                <w:bCs w:val="0"/>
                <w:color w:val="000000" w:themeColor="text1"/>
                <w:sz w:val="22"/>
                <w:szCs w:val="22"/>
              </w:rPr>
            </w:pPr>
            <w:r w:rsidRPr="00772868">
              <w:rPr>
                <w:rFonts w:asciiTheme="majorBidi" w:hAnsiTheme="majorBidi" w:cstheme="majorBidi"/>
                <w:color w:val="000000" w:themeColor="text1"/>
                <w:sz w:val="22"/>
                <w:szCs w:val="22"/>
              </w:rPr>
              <w:t>Abomey-Calavi</w:t>
            </w:r>
          </w:p>
        </w:tc>
        <w:tc>
          <w:tcPr>
            <w:tcW w:w="0" w:type="auto"/>
            <w:hideMark/>
          </w:tcPr>
          <w:p w14:paraId="0A6789E4"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4121B95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39,8</w:t>
            </w:r>
          </w:p>
        </w:tc>
        <w:tc>
          <w:tcPr>
            <w:tcW w:w="0" w:type="auto"/>
            <w:hideMark/>
          </w:tcPr>
          <w:p w14:paraId="45CFD2FC"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55,1</w:t>
            </w:r>
          </w:p>
        </w:tc>
        <w:tc>
          <w:tcPr>
            <w:tcW w:w="0" w:type="auto"/>
            <w:hideMark/>
          </w:tcPr>
          <w:p w14:paraId="50DDF6F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18,1</w:t>
            </w:r>
          </w:p>
        </w:tc>
        <w:tc>
          <w:tcPr>
            <w:tcW w:w="0" w:type="auto"/>
            <w:hideMark/>
          </w:tcPr>
          <w:p w14:paraId="6E5877BC"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132</w:t>
            </w:r>
          </w:p>
        </w:tc>
        <w:tc>
          <w:tcPr>
            <w:tcW w:w="0" w:type="auto"/>
            <w:hideMark/>
          </w:tcPr>
          <w:p w14:paraId="52F659DD"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2DC8B5A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628E825"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Cotonou</w:t>
            </w:r>
          </w:p>
        </w:tc>
        <w:tc>
          <w:tcPr>
            <w:tcW w:w="0" w:type="auto"/>
            <w:hideMark/>
          </w:tcPr>
          <w:p w14:paraId="5A5EA616"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7C16813D"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172</w:t>
            </w:r>
          </w:p>
        </w:tc>
        <w:tc>
          <w:tcPr>
            <w:tcW w:w="0" w:type="auto"/>
            <w:hideMark/>
          </w:tcPr>
          <w:p w14:paraId="06690CE8"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192</w:t>
            </w:r>
          </w:p>
        </w:tc>
        <w:tc>
          <w:tcPr>
            <w:tcW w:w="0" w:type="auto"/>
            <w:hideMark/>
          </w:tcPr>
          <w:p w14:paraId="0720CA9F"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69,2</w:t>
            </w:r>
          </w:p>
        </w:tc>
        <w:tc>
          <w:tcPr>
            <w:tcW w:w="0" w:type="auto"/>
            <w:hideMark/>
          </w:tcPr>
          <w:p w14:paraId="1009DAEE"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468</w:t>
            </w:r>
          </w:p>
        </w:tc>
        <w:tc>
          <w:tcPr>
            <w:tcW w:w="0" w:type="auto"/>
            <w:hideMark/>
          </w:tcPr>
          <w:p w14:paraId="65209388"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379A141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D9B11"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Natitingou</w:t>
            </w:r>
          </w:p>
        </w:tc>
        <w:tc>
          <w:tcPr>
            <w:tcW w:w="0" w:type="auto"/>
            <w:hideMark/>
          </w:tcPr>
          <w:p w14:paraId="4162950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w:t>
            </w:r>
          </w:p>
        </w:tc>
        <w:tc>
          <w:tcPr>
            <w:tcW w:w="0" w:type="auto"/>
            <w:hideMark/>
          </w:tcPr>
          <w:p w14:paraId="7DFBC35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120</w:t>
            </w:r>
          </w:p>
        </w:tc>
        <w:tc>
          <w:tcPr>
            <w:tcW w:w="0" w:type="auto"/>
            <w:hideMark/>
          </w:tcPr>
          <w:p w14:paraId="3E8201B4"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193</w:t>
            </w:r>
          </w:p>
        </w:tc>
        <w:tc>
          <w:tcPr>
            <w:tcW w:w="0" w:type="auto"/>
            <w:hideMark/>
          </w:tcPr>
          <w:p w14:paraId="1C881E40"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66,7</w:t>
            </w:r>
          </w:p>
        </w:tc>
        <w:tc>
          <w:tcPr>
            <w:tcW w:w="0" w:type="auto"/>
            <w:hideMark/>
          </w:tcPr>
          <w:p w14:paraId="2CFD382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393</w:t>
            </w:r>
          </w:p>
        </w:tc>
        <w:tc>
          <w:tcPr>
            <w:tcW w:w="0" w:type="auto"/>
            <w:hideMark/>
          </w:tcPr>
          <w:p w14:paraId="095FB47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bl>
    <w:p w14:paraId="14890A8C"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i/>
          <w:iCs/>
          <w:color w:val="000000" w:themeColor="text1"/>
          <w:lang w:val="en-GB"/>
        </w:rPr>
        <w:t>MI &lt; 1: water considered acceptable with respect to metals; MI ≥ 1: water considered polluted by metals.</w:t>
      </w:r>
    </w:p>
    <w:p w14:paraId="686657AD"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color w:val="000000" w:themeColor="text1"/>
          <w:lang w:val="en-GB"/>
        </w:rPr>
        <w:t>The Metal Index (MI), calculated according to WHO standards, indicates widespread metal contamination, as all samples exceeded the threshold of 1. Summarised by city, Cotonou is the most impacted locality, with a median MI of 172 and extreme values up to 468. Natitingou also exhibits high levels (median 120; maximum 393), while Abomey-Calavi presents lower indices, though still substantially above the potability threshold (median 39.8; maximum 132). Overall, 100% of the wells studied are classified as polluted according to this indicator. A more detailed distance-based analysis from the waste disposal sites (Table A2, Appendix) shows no clear spatial gradient. In Abomey-Calavi, a moderate decrease in MI is observed from 0 m (68.8) to 100 m (27.5), suggesting a slight attenuation effect. In Cotonou, values remain very high across all distances, indicating diffuse contamination of the groundwater. In Natitingou, although sample numbers are limited, indices remain elevated at all distances, peaking at 50 m (MI = 393), reflecting widespread contamination. These results demonstrate that groundwater quality is compromised across all study sites, with the greatest severity observed in Cotonou and Natitingou and to a lesser extent in Abomey-Calavi.</w:t>
      </w:r>
    </w:p>
    <w:p w14:paraId="393E783E"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b/>
          <w:bCs/>
          <w:color w:val="000000" w:themeColor="text1"/>
          <w:lang w:val="en-GB"/>
        </w:rPr>
        <w:t>Table 6:</w:t>
      </w:r>
      <w:r w:rsidRPr="0070221F">
        <w:rPr>
          <w:rFonts w:asciiTheme="majorBidi" w:eastAsiaTheme="majorEastAsia" w:hAnsiTheme="majorBidi"/>
          <w:color w:val="000000" w:themeColor="text1"/>
          <w:lang w:val="en-GB"/>
        </w:rPr>
        <w:t xml:space="preserve"> Heavy Metal Pollution Index (HPI) by City (WHO, 2017)</w:t>
      </w:r>
    </w:p>
    <w:tbl>
      <w:tblPr>
        <w:tblStyle w:val="PlainTable2"/>
        <w:tblW w:w="0" w:type="auto"/>
        <w:tblLook w:val="04A0" w:firstRow="1" w:lastRow="0" w:firstColumn="1" w:lastColumn="0" w:noHBand="0" w:noVBand="1"/>
      </w:tblPr>
      <w:tblGrid>
        <w:gridCol w:w="1683"/>
        <w:gridCol w:w="1310"/>
        <w:gridCol w:w="938"/>
        <w:gridCol w:w="864"/>
        <w:gridCol w:w="656"/>
        <w:gridCol w:w="818"/>
        <w:gridCol w:w="1870"/>
      </w:tblGrid>
      <w:tr w:rsidR="0070221F" w:rsidRPr="00955D3D" w14:paraId="4F4B9E15" w14:textId="77777777" w:rsidTr="00702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CE720D" w14:textId="43F8960E" w:rsidR="00BE6C96" w:rsidRPr="00772868" w:rsidRDefault="0070221F"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City</w:t>
            </w:r>
          </w:p>
        </w:tc>
        <w:tc>
          <w:tcPr>
            <w:tcW w:w="0" w:type="auto"/>
            <w:hideMark/>
          </w:tcPr>
          <w:p w14:paraId="3CFA3763" w14:textId="7B417AE0"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Sample size</w:t>
            </w:r>
          </w:p>
        </w:tc>
        <w:tc>
          <w:tcPr>
            <w:tcW w:w="0" w:type="auto"/>
            <w:hideMark/>
          </w:tcPr>
          <w:p w14:paraId="662BA28F" w14:textId="23BF0F6D"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70221F" w:rsidRPr="00772868">
              <w:rPr>
                <w:rFonts w:asciiTheme="majorBidi" w:hAnsiTheme="majorBidi" w:cstheme="majorBidi"/>
                <w:color w:val="000000" w:themeColor="text1"/>
                <w:sz w:val="22"/>
                <w:szCs w:val="22"/>
              </w:rPr>
              <w:t>e</w:t>
            </w:r>
            <w:r w:rsidR="00BE6C96" w:rsidRPr="00772868">
              <w:rPr>
                <w:rFonts w:asciiTheme="majorBidi" w:hAnsiTheme="majorBidi" w:cstheme="majorBidi"/>
                <w:color w:val="000000" w:themeColor="text1"/>
                <w:sz w:val="22"/>
                <w:szCs w:val="22"/>
              </w:rPr>
              <w:t>dian</w:t>
            </w:r>
          </w:p>
        </w:tc>
        <w:tc>
          <w:tcPr>
            <w:tcW w:w="0" w:type="auto"/>
            <w:hideMark/>
          </w:tcPr>
          <w:p w14:paraId="330840BC" w14:textId="18BC2064"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oyen</w:t>
            </w:r>
          </w:p>
        </w:tc>
        <w:tc>
          <w:tcPr>
            <w:tcW w:w="0" w:type="auto"/>
            <w:hideMark/>
          </w:tcPr>
          <w:p w14:paraId="5EA83EA4" w14:textId="3F6CA4CD"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in</w:t>
            </w:r>
          </w:p>
        </w:tc>
        <w:tc>
          <w:tcPr>
            <w:tcW w:w="818" w:type="dxa"/>
            <w:hideMark/>
          </w:tcPr>
          <w:p w14:paraId="77780B51" w14:textId="4F559898"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ax</w:t>
            </w:r>
          </w:p>
        </w:tc>
        <w:tc>
          <w:tcPr>
            <w:tcW w:w="1870" w:type="dxa"/>
            <w:hideMark/>
          </w:tcPr>
          <w:p w14:paraId="5357184A" w14:textId="10ADD374"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 xml:space="preserve">%Samples </w:t>
            </w:r>
            <w:r w:rsidR="00BE6C96" w:rsidRPr="00772868">
              <w:rPr>
                <w:rFonts w:asciiTheme="majorBidi" w:hAnsiTheme="majorBidi" w:cstheme="majorBidi"/>
                <w:color w:val="000000" w:themeColor="text1"/>
                <w:sz w:val="22"/>
                <w:szCs w:val="22"/>
              </w:rPr>
              <w:t>≥100</w:t>
            </w:r>
          </w:p>
        </w:tc>
      </w:tr>
      <w:tr w:rsidR="0070221F" w:rsidRPr="00955D3D" w14:paraId="2EC5817B" w14:textId="77777777" w:rsidTr="00702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C653F" w14:textId="77777777" w:rsidR="00BE6C96" w:rsidRPr="00772868" w:rsidRDefault="00BE6C96" w:rsidP="0031013D">
            <w:pPr>
              <w:spacing w:line="360" w:lineRule="auto"/>
              <w:jc w:val="both"/>
              <w:rPr>
                <w:rFonts w:asciiTheme="majorBidi" w:hAnsiTheme="majorBidi" w:cstheme="majorBidi"/>
                <w:b w:val="0"/>
                <w:bCs w:val="0"/>
                <w:color w:val="000000" w:themeColor="text1"/>
                <w:sz w:val="22"/>
                <w:szCs w:val="22"/>
              </w:rPr>
            </w:pPr>
            <w:r w:rsidRPr="00772868">
              <w:rPr>
                <w:rFonts w:asciiTheme="majorBidi" w:hAnsiTheme="majorBidi" w:cstheme="majorBidi"/>
                <w:color w:val="000000" w:themeColor="text1"/>
                <w:sz w:val="22"/>
                <w:szCs w:val="22"/>
              </w:rPr>
              <w:t>Cotonou</w:t>
            </w:r>
          </w:p>
        </w:tc>
        <w:tc>
          <w:tcPr>
            <w:tcW w:w="0" w:type="auto"/>
            <w:hideMark/>
          </w:tcPr>
          <w:p w14:paraId="47C4DEA7"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669E926B"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8698</w:t>
            </w:r>
          </w:p>
        </w:tc>
        <w:tc>
          <w:tcPr>
            <w:tcW w:w="0" w:type="auto"/>
            <w:hideMark/>
          </w:tcPr>
          <w:p w14:paraId="6C64065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9751</w:t>
            </w:r>
          </w:p>
        </w:tc>
        <w:tc>
          <w:tcPr>
            <w:tcW w:w="0" w:type="auto"/>
            <w:hideMark/>
          </w:tcPr>
          <w:p w14:paraId="5453E78F"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3326</w:t>
            </w:r>
          </w:p>
        </w:tc>
        <w:tc>
          <w:tcPr>
            <w:tcW w:w="818" w:type="dxa"/>
            <w:hideMark/>
          </w:tcPr>
          <w:p w14:paraId="31E73C6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24222</w:t>
            </w:r>
          </w:p>
        </w:tc>
        <w:tc>
          <w:tcPr>
            <w:tcW w:w="1870" w:type="dxa"/>
            <w:hideMark/>
          </w:tcPr>
          <w:p w14:paraId="0F04308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71495E79" w14:textId="77777777" w:rsidTr="0070221F">
        <w:tc>
          <w:tcPr>
            <w:cnfStyle w:val="001000000000" w:firstRow="0" w:lastRow="0" w:firstColumn="1" w:lastColumn="0" w:oddVBand="0" w:evenVBand="0" w:oddHBand="0" w:evenHBand="0" w:firstRowFirstColumn="0" w:firstRowLastColumn="0" w:lastRowFirstColumn="0" w:lastRowLastColumn="0"/>
            <w:tcW w:w="0" w:type="auto"/>
            <w:hideMark/>
          </w:tcPr>
          <w:p w14:paraId="6A05237F"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Natitingou</w:t>
            </w:r>
          </w:p>
        </w:tc>
        <w:tc>
          <w:tcPr>
            <w:tcW w:w="0" w:type="auto"/>
            <w:hideMark/>
          </w:tcPr>
          <w:p w14:paraId="622FBAD7"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w:t>
            </w:r>
          </w:p>
        </w:tc>
        <w:tc>
          <w:tcPr>
            <w:tcW w:w="0" w:type="auto"/>
            <w:hideMark/>
          </w:tcPr>
          <w:p w14:paraId="5C1FC609"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3322</w:t>
            </w:r>
          </w:p>
        </w:tc>
        <w:tc>
          <w:tcPr>
            <w:tcW w:w="0" w:type="auto"/>
            <w:hideMark/>
          </w:tcPr>
          <w:p w14:paraId="49FD31BE"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5353</w:t>
            </w:r>
          </w:p>
        </w:tc>
        <w:tc>
          <w:tcPr>
            <w:tcW w:w="0" w:type="auto"/>
            <w:hideMark/>
          </w:tcPr>
          <w:p w14:paraId="116A2423"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1812</w:t>
            </w:r>
          </w:p>
        </w:tc>
        <w:tc>
          <w:tcPr>
            <w:tcW w:w="818" w:type="dxa"/>
            <w:hideMark/>
          </w:tcPr>
          <w:p w14:paraId="2FF90B96"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10925</w:t>
            </w:r>
          </w:p>
        </w:tc>
        <w:tc>
          <w:tcPr>
            <w:tcW w:w="1870" w:type="dxa"/>
            <w:hideMark/>
          </w:tcPr>
          <w:p w14:paraId="003E4E2A"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74C07E07" w14:textId="77777777" w:rsidTr="00702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A3129"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Abomey-Calavi</w:t>
            </w:r>
          </w:p>
        </w:tc>
        <w:tc>
          <w:tcPr>
            <w:tcW w:w="0" w:type="auto"/>
            <w:hideMark/>
          </w:tcPr>
          <w:p w14:paraId="4FFCB4A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2CAB64CD"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1782</w:t>
            </w:r>
          </w:p>
        </w:tc>
        <w:tc>
          <w:tcPr>
            <w:tcW w:w="0" w:type="auto"/>
            <w:hideMark/>
          </w:tcPr>
          <w:p w14:paraId="4646E929"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2583</w:t>
            </w:r>
          </w:p>
        </w:tc>
        <w:tc>
          <w:tcPr>
            <w:tcW w:w="0" w:type="auto"/>
            <w:hideMark/>
          </w:tcPr>
          <w:p w14:paraId="296B97D2"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641</w:t>
            </w:r>
          </w:p>
        </w:tc>
        <w:tc>
          <w:tcPr>
            <w:tcW w:w="818" w:type="dxa"/>
            <w:hideMark/>
          </w:tcPr>
          <w:p w14:paraId="1FAC2989"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6612</w:t>
            </w:r>
          </w:p>
        </w:tc>
        <w:tc>
          <w:tcPr>
            <w:tcW w:w="1870" w:type="dxa"/>
            <w:hideMark/>
          </w:tcPr>
          <w:p w14:paraId="2AC222DF"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bl>
    <w:p w14:paraId="73113324" w14:textId="77777777" w:rsidR="00A27251" w:rsidRDefault="00A27251" w:rsidP="0070221F">
      <w:pPr>
        <w:spacing w:line="360" w:lineRule="auto"/>
        <w:jc w:val="both"/>
        <w:rPr>
          <w:rFonts w:asciiTheme="majorBidi" w:hAnsiTheme="majorBidi" w:cstheme="majorBidi"/>
          <w:color w:val="000000" w:themeColor="text1"/>
          <w:lang w:val="en-GB"/>
        </w:rPr>
      </w:pPr>
    </w:p>
    <w:p w14:paraId="15D37B99" w14:textId="4926DDA1" w:rsidR="0070221F" w:rsidRPr="0070221F" w:rsidRDefault="0070221F" w:rsidP="0070221F">
      <w:pPr>
        <w:spacing w:line="360" w:lineRule="auto"/>
        <w:jc w:val="both"/>
        <w:rPr>
          <w:rFonts w:asciiTheme="majorBidi" w:hAnsiTheme="majorBidi" w:cstheme="majorBidi"/>
          <w:color w:val="000000" w:themeColor="text1"/>
          <w:lang w:val="en-GB"/>
        </w:rPr>
      </w:pPr>
      <w:r w:rsidRPr="0070221F">
        <w:rPr>
          <w:rFonts w:asciiTheme="majorBidi" w:hAnsiTheme="majorBidi" w:cstheme="majorBidi"/>
          <w:color w:val="000000" w:themeColor="text1"/>
          <w:lang w:val="en-GB"/>
        </w:rPr>
        <w:lastRenderedPageBreak/>
        <w:t>The Heavy Metal Pollution Index (HPI), based on WHO guideline values, reveals critical pollution levels across all samples (HPI ≥ 100). Median HPI values are highest in Cotonou, followed by Natitingou and then Abomey-Calavi. Distance-based analysis (0</w:t>
      </w:r>
      <w:r w:rsidR="00A27251">
        <w:rPr>
          <w:rFonts w:asciiTheme="majorBidi" w:hAnsiTheme="majorBidi" w:cstheme="majorBidi"/>
          <w:color w:val="000000" w:themeColor="text1"/>
          <w:lang w:val="en-GB"/>
        </w:rPr>
        <w:t>-</w:t>
      </w:r>
      <w:r w:rsidRPr="0070221F">
        <w:rPr>
          <w:rFonts w:asciiTheme="majorBidi" w:hAnsiTheme="majorBidi" w:cstheme="majorBidi"/>
          <w:color w:val="000000" w:themeColor="text1"/>
          <w:lang w:val="en-GB"/>
        </w:rPr>
        <w:t>50</w:t>
      </w:r>
      <w:r w:rsidR="00A27251">
        <w:rPr>
          <w:rFonts w:asciiTheme="majorBidi" w:hAnsiTheme="majorBidi" w:cstheme="majorBidi"/>
          <w:color w:val="000000" w:themeColor="text1"/>
          <w:lang w:val="en-GB"/>
        </w:rPr>
        <w:t>-</w:t>
      </w:r>
      <w:r w:rsidRPr="0070221F">
        <w:rPr>
          <w:rFonts w:asciiTheme="majorBidi" w:hAnsiTheme="majorBidi" w:cstheme="majorBidi"/>
          <w:color w:val="000000" w:themeColor="text1"/>
          <w:lang w:val="en-GB"/>
        </w:rPr>
        <w:t>100 m) shows no clear gradient. The HPI indicates extreme contamination in all wells studied: in Cotonou, the median HPI reaches 8698 with a maximum of 24,222, confirming widespread metal pollution; Natitingou also displays very high values (median 3322; maximum 10,925). Abomey-Calavi, though less affected, remains substantially above the acceptable threshold (median 1782; maximum 6612). Even at 100 m from the disposal sites, HPI values exceed 100 at all locations. A slight decrease with distance is observed in Abomey-Calavi, but values remain critical, whereas Cotonou and Natitingou show persistently extreme values, confirming diffuse and persistent contamination of the groundwater.</w:t>
      </w:r>
    </w:p>
    <w:p w14:paraId="6D3951A1" w14:textId="77777777" w:rsidR="0070221F" w:rsidRPr="0070221F" w:rsidRDefault="0070221F" w:rsidP="0070221F">
      <w:pPr>
        <w:spacing w:line="360" w:lineRule="auto"/>
        <w:jc w:val="both"/>
        <w:rPr>
          <w:rFonts w:asciiTheme="majorBidi" w:hAnsiTheme="majorBidi" w:cstheme="majorBidi"/>
          <w:color w:val="000000" w:themeColor="text1"/>
          <w:lang w:val="en-GB"/>
        </w:rPr>
      </w:pPr>
      <w:r w:rsidRPr="0070221F">
        <w:rPr>
          <w:rFonts w:asciiTheme="majorBidi" w:hAnsiTheme="majorBidi" w:cstheme="majorBidi"/>
          <w:b/>
          <w:bCs/>
          <w:color w:val="000000" w:themeColor="text1"/>
          <w:lang w:val="en-GB"/>
        </w:rPr>
        <w:t>Table 7</w:t>
      </w:r>
      <w:r w:rsidRPr="0070221F">
        <w:rPr>
          <w:rFonts w:asciiTheme="majorBidi" w:hAnsiTheme="majorBidi" w:cstheme="majorBidi"/>
          <w:color w:val="000000" w:themeColor="text1"/>
          <w:lang w:val="en-GB"/>
        </w:rPr>
        <w:t>: Health Risk Assessment (HRA) by City</w:t>
      </w:r>
    </w:p>
    <w:tbl>
      <w:tblPr>
        <w:tblStyle w:val="PlainTable2"/>
        <w:tblW w:w="0" w:type="auto"/>
        <w:tblLook w:val="04A0" w:firstRow="1" w:lastRow="0" w:firstColumn="1" w:lastColumn="0" w:noHBand="0" w:noVBand="1"/>
      </w:tblPr>
      <w:tblGrid>
        <w:gridCol w:w="1669"/>
        <w:gridCol w:w="1815"/>
        <w:gridCol w:w="1804"/>
        <w:gridCol w:w="1875"/>
        <w:gridCol w:w="1863"/>
      </w:tblGrid>
      <w:tr w:rsidR="00A83D67" w:rsidRPr="00955D3D" w14:paraId="520F7013"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76D0D" w14:textId="0093DB71" w:rsidR="00BE6C96" w:rsidRPr="00A27251" w:rsidRDefault="0070221F"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City</w:t>
            </w:r>
          </w:p>
        </w:tc>
        <w:tc>
          <w:tcPr>
            <w:tcW w:w="0" w:type="auto"/>
            <w:hideMark/>
          </w:tcPr>
          <w:p w14:paraId="528F390E" w14:textId="75E3DB1E"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Median Adult HI</w:t>
            </w:r>
          </w:p>
        </w:tc>
        <w:tc>
          <w:tcPr>
            <w:tcW w:w="0" w:type="auto"/>
            <w:hideMark/>
          </w:tcPr>
          <w:p w14:paraId="5B8CA3CD" w14:textId="3CB0226A"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Median Child HI</w:t>
            </w:r>
          </w:p>
        </w:tc>
        <w:tc>
          <w:tcPr>
            <w:tcW w:w="0" w:type="auto"/>
            <w:hideMark/>
          </w:tcPr>
          <w:p w14:paraId="3D74E7E2" w14:textId="7A080A4D"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Median Adult CR</w:t>
            </w:r>
          </w:p>
        </w:tc>
        <w:tc>
          <w:tcPr>
            <w:tcW w:w="0" w:type="auto"/>
            <w:hideMark/>
          </w:tcPr>
          <w:p w14:paraId="48F09EF8" w14:textId="11690C5B"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Median Child CR</w:t>
            </w:r>
          </w:p>
        </w:tc>
      </w:tr>
      <w:tr w:rsidR="00A83D67" w:rsidRPr="00955D3D" w14:paraId="1F371D4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B7CE4" w14:textId="77777777" w:rsidR="00BE6C96" w:rsidRPr="00A27251" w:rsidRDefault="00BE6C96" w:rsidP="0031013D">
            <w:pPr>
              <w:spacing w:line="360" w:lineRule="auto"/>
              <w:jc w:val="both"/>
              <w:rPr>
                <w:rFonts w:asciiTheme="majorBidi" w:hAnsiTheme="majorBidi" w:cstheme="majorBidi"/>
                <w:b w:val="0"/>
                <w:bCs w:val="0"/>
                <w:color w:val="000000" w:themeColor="text1"/>
                <w:sz w:val="22"/>
                <w:szCs w:val="22"/>
              </w:rPr>
            </w:pPr>
            <w:r w:rsidRPr="00A27251">
              <w:rPr>
                <w:rFonts w:asciiTheme="majorBidi" w:hAnsiTheme="majorBidi" w:cstheme="majorBidi"/>
                <w:color w:val="000000" w:themeColor="text1"/>
                <w:sz w:val="22"/>
                <w:szCs w:val="22"/>
              </w:rPr>
              <w:t>Cotonou</w:t>
            </w:r>
          </w:p>
        </w:tc>
        <w:tc>
          <w:tcPr>
            <w:tcW w:w="0" w:type="auto"/>
            <w:hideMark/>
          </w:tcPr>
          <w:p w14:paraId="2C031790"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33,2</w:t>
            </w:r>
          </w:p>
        </w:tc>
        <w:tc>
          <w:tcPr>
            <w:tcW w:w="0" w:type="auto"/>
            <w:hideMark/>
          </w:tcPr>
          <w:p w14:paraId="0DABB5E6"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48,3</w:t>
            </w:r>
          </w:p>
        </w:tc>
        <w:tc>
          <w:tcPr>
            <w:tcW w:w="0" w:type="auto"/>
            <w:hideMark/>
          </w:tcPr>
          <w:p w14:paraId="0F6DF014"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2,74 × 10⁻⁴</w:t>
            </w:r>
          </w:p>
        </w:tc>
        <w:tc>
          <w:tcPr>
            <w:tcW w:w="0" w:type="auto"/>
            <w:hideMark/>
          </w:tcPr>
          <w:p w14:paraId="079FF999"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2,57 × 10⁻⁴</w:t>
            </w:r>
          </w:p>
        </w:tc>
      </w:tr>
      <w:tr w:rsidR="00A83D67" w:rsidRPr="00955D3D" w14:paraId="0BB36EB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06A02B5" w14:textId="77777777" w:rsidR="00BE6C96" w:rsidRPr="00A27251" w:rsidRDefault="00BE6C96"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Natitingou</w:t>
            </w:r>
          </w:p>
        </w:tc>
        <w:tc>
          <w:tcPr>
            <w:tcW w:w="0" w:type="auto"/>
            <w:hideMark/>
          </w:tcPr>
          <w:p w14:paraId="1DF6A728"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13,6</w:t>
            </w:r>
          </w:p>
        </w:tc>
        <w:tc>
          <w:tcPr>
            <w:tcW w:w="0" w:type="auto"/>
            <w:hideMark/>
          </w:tcPr>
          <w:p w14:paraId="1A77755C"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19,9</w:t>
            </w:r>
          </w:p>
        </w:tc>
        <w:tc>
          <w:tcPr>
            <w:tcW w:w="0" w:type="auto"/>
            <w:hideMark/>
          </w:tcPr>
          <w:p w14:paraId="73DE1D5D"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2,29 × 10⁻³</w:t>
            </w:r>
          </w:p>
        </w:tc>
        <w:tc>
          <w:tcPr>
            <w:tcW w:w="0" w:type="auto"/>
            <w:hideMark/>
          </w:tcPr>
          <w:p w14:paraId="2B197BE9"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2,29 × 10⁻³</w:t>
            </w:r>
          </w:p>
        </w:tc>
      </w:tr>
      <w:tr w:rsidR="00A83D67" w:rsidRPr="00955D3D" w14:paraId="2BB655A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A35FE" w14:textId="77777777" w:rsidR="00BE6C96" w:rsidRPr="00A27251" w:rsidRDefault="00BE6C96"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Abomey-Calavi</w:t>
            </w:r>
          </w:p>
        </w:tc>
        <w:tc>
          <w:tcPr>
            <w:tcW w:w="0" w:type="auto"/>
            <w:hideMark/>
          </w:tcPr>
          <w:p w14:paraId="05E64C3C"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6,65</w:t>
            </w:r>
          </w:p>
        </w:tc>
        <w:tc>
          <w:tcPr>
            <w:tcW w:w="0" w:type="auto"/>
            <w:hideMark/>
          </w:tcPr>
          <w:p w14:paraId="6F07501E"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9,68</w:t>
            </w:r>
          </w:p>
        </w:tc>
        <w:tc>
          <w:tcPr>
            <w:tcW w:w="0" w:type="auto"/>
            <w:hideMark/>
          </w:tcPr>
          <w:p w14:paraId="06998331"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3,31 × 10⁻⁴</w:t>
            </w:r>
          </w:p>
        </w:tc>
        <w:tc>
          <w:tcPr>
            <w:tcW w:w="0" w:type="auto"/>
            <w:hideMark/>
          </w:tcPr>
          <w:p w14:paraId="4A4A9EAE"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3,37 × 10⁻⁴</w:t>
            </w:r>
          </w:p>
        </w:tc>
      </w:tr>
    </w:tbl>
    <w:p w14:paraId="6B9B4F4D"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The non-carcinogenic risk assessment indicates that the Hazard Index (HI) substantially exceeds the critical threshold of 1 in all cities studied. Among adults, median HI values reach 33.2 in Cotonou, 13.6 in Natitingou, and 6.65 in Abomey-Calavi. Children consistently exhibit higher indices, with median values of 48.3, 19.9, and 9.68, respectively. These results demonstrate that exposure to heavy metals via well-water consumption poses a significant health risk, particularly for children.</w:t>
      </w:r>
    </w:p>
    <w:p w14:paraId="403E2A5E"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With regard to carcinogenic risk, median Cancer Risk (CR) values range from 2.74 × 10⁻⁴ in Cotonou, 2.29 × 10⁻³ in Natitingou, and 3.31 × 10⁻⁴ in Abomey-Calavi for adults. In children, comparable magnitudes are observed, with, for instance, a CR of 2.57 × 10⁻³ in Natitingou. All values exceed the tolerable risk threshold of 1 × 10⁻⁴ established by the EPA, indicating a high carcinogenic risk primarily associated with arsenic and hexavalent chromium.</w:t>
      </w:r>
    </w:p>
    <w:p w14:paraId="2BEC397B"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 xml:space="preserve">Distance-based analysis relative to waste disposal sites does not reveal a consistent trend. In Abomey-Calavi, adult HI decreases from 12.1 to 4.37 between 0 m and 100 m, suggesting a localized attenuation effect. In Cotonou, values remain elevated and relatively stable regardless of distance. In Natitingou, a pronounced peak is observed at 50 m, where the adult HI reaches </w:t>
      </w:r>
      <w:r w:rsidRPr="00A83D67">
        <w:rPr>
          <w:rFonts w:asciiTheme="majorBidi" w:hAnsiTheme="majorBidi" w:cstheme="majorBidi"/>
          <w:color w:val="000000" w:themeColor="text1"/>
          <w:lang w:val="en-GB"/>
        </w:rPr>
        <w:lastRenderedPageBreak/>
        <w:t>48.7 and the child CR exceeds 2 × 10⁻³, reflecting particularly intense groundwater contamination.</w:t>
      </w:r>
    </w:p>
    <w:p w14:paraId="2065FBA7" w14:textId="43920239" w:rsidR="00A83D67" w:rsidRPr="00A83D67" w:rsidRDefault="00A27251"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These</w:t>
      </w:r>
      <w:r w:rsidR="00A83D67" w:rsidRPr="00A83D67">
        <w:rPr>
          <w:rFonts w:asciiTheme="majorBidi" w:hAnsiTheme="majorBidi" w:cstheme="majorBidi"/>
          <w:color w:val="000000" w:themeColor="text1"/>
          <w:lang w:val="en-GB"/>
        </w:rPr>
        <w:t xml:space="preserve"> findings indicate that well-water consumption in the three cities poses both non-carcinogenic and carcinogenic health risks, with heightened vulnerability among children and particularly severe exposure in Cotonou and Natitingou.</w:t>
      </w:r>
    </w:p>
    <w:p w14:paraId="0E9FD542" w14:textId="77777777" w:rsidR="00BE6C96" w:rsidRPr="00955D3D" w:rsidRDefault="00BE6C96" w:rsidP="00BE6C96">
      <w:pPr>
        <w:pStyle w:val="NormalWeb"/>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227ADDA5" wp14:editId="1CC5A834">
            <wp:extent cx="5731510" cy="3202305"/>
            <wp:effectExtent l="0" t="0" r="2540" b="0"/>
            <wp:docPr id="99163288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32883" name="Image 991632883"/>
                    <pic:cNvPicPr/>
                  </pic:nvPicPr>
                  <pic:blipFill rotWithShape="1">
                    <a:blip r:embed="rId9">
                      <a:extLst>
                        <a:ext uri="{28A0092B-C50C-407E-A947-70E740481C1C}">
                          <a14:useLocalDpi xmlns:a14="http://schemas.microsoft.com/office/drawing/2010/main" val="0"/>
                        </a:ext>
                      </a:extLst>
                    </a:blip>
                    <a:srcRect t="7519"/>
                    <a:stretch/>
                  </pic:blipFill>
                  <pic:spPr bwMode="auto">
                    <a:xfrm>
                      <a:off x="0" y="0"/>
                      <a:ext cx="5731510" cy="3202305"/>
                    </a:xfrm>
                    <a:prstGeom prst="rect">
                      <a:avLst/>
                    </a:prstGeom>
                    <a:ln>
                      <a:noFill/>
                    </a:ln>
                    <a:extLst>
                      <a:ext uri="{53640926-AAD7-44D8-BBD7-CCE9431645EC}">
                        <a14:shadowObscured xmlns:a14="http://schemas.microsoft.com/office/drawing/2010/main"/>
                      </a:ext>
                    </a:extLst>
                  </pic:spPr>
                </pic:pic>
              </a:graphicData>
            </a:graphic>
          </wp:inline>
        </w:drawing>
      </w:r>
    </w:p>
    <w:p w14:paraId="464E9C81"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b/>
          <w:bCs/>
          <w:color w:val="000000" w:themeColor="text1"/>
          <w:lang w:val="en-GB"/>
        </w:rPr>
        <w:t>Figure 3</w:t>
      </w:r>
      <w:r w:rsidRPr="00A83D67">
        <w:rPr>
          <w:rFonts w:asciiTheme="majorBidi" w:hAnsiTheme="majorBidi" w:cstheme="majorBidi"/>
          <w:color w:val="000000" w:themeColor="text1"/>
          <w:lang w:val="en-GB"/>
        </w:rPr>
        <w:t>: Carcinogenic Risk by City and Distance</w:t>
      </w:r>
    </w:p>
    <w:p w14:paraId="50D6E258"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Figure 3 illustrates that, across the three cities studied, populations are exposed to carcinogenic risks that substantially exceed the thresholds considered acceptable for drinking water. In Abomey-Calavi, calculated values for adults are approximately 3 × 10⁻⁴, indicating that daily exposure to this water may increase the lifetime probability of developing cancer. For children, the values are slightly lower but still remain above the recommended limit. Even at these relatively moderate levels, the heightened vulnerability of children renders the situation concerning.</w:t>
      </w:r>
    </w:p>
    <w:p w14:paraId="5EB62FDF"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In Cotonou, observed levels are comparable. Adult risks remain close to those in Abomey-Calavi, while children’s risks vary between 10⁻⁵ and 10⁻⁴. Notably, contamination extends beyond the immediate vicinity of the waste disposal sites, affecting populations who rely on this water on a daily basis.</w:t>
      </w:r>
    </w:p>
    <w:p w14:paraId="0E57590E"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 xml:space="preserve">Natitingou presents a particularly alarming scenario. Adult values exceed 3 × 10⁻³, and children are exposed to especially high risks. Even at increasing distances from the disposal sites, risk levels remain above internationally recognised acceptable thresholds. Such concentrations </w:t>
      </w:r>
      <w:r w:rsidRPr="00A83D67">
        <w:rPr>
          <w:rFonts w:asciiTheme="majorBidi" w:hAnsiTheme="majorBidi" w:cstheme="majorBidi"/>
          <w:color w:val="000000" w:themeColor="text1"/>
          <w:lang w:val="en-GB"/>
        </w:rPr>
        <w:lastRenderedPageBreak/>
        <w:t>indicate chronic exposure, which may significantly elevate the long-term probability of developing certain cancers.</w:t>
      </w:r>
    </w:p>
    <w:p w14:paraId="5FF589C3" w14:textId="77777777" w:rsidR="00BE6C96" w:rsidRPr="00955D3D" w:rsidRDefault="00BE6C96" w:rsidP="00BE6C96">
      <w:pPr>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309257E6" wp14:editId="7942D756">
            <wp:extent cx="5731510" cy="3462655"/>
            <wp:effectExtent l="0" t="0" r="0" b="4445"/>
            <wp:docPr id="205618199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81996" name="Image 2056181996"/>
                    <pic:cNvPicPr/>
                  </pic:nvPicPr>
                  <pic:blipFill>
                    <a:blip r:embed="rId10">
                      <a:extLst>
                        <a:ext uri="{28A0092B-C50C-407E-A947-70E740481C1C}">
                          <a14:useLocalDpi xmlns:a14="http://schemas.microsoft.com/office/drawing/2010/main" val="0"/>
                        </a:ext>
                      </a:extLst>
                    </a:blip>
                    <a:stretch>
                      <a:fillRect/>
                    </a:stretch>
                  </pic:blipFill>
                  <pic:spPr>
                    <a:xfrm>
                      <a:off x="0" y="0"/>
                      <a:ext cx="5731510" cy="3462655"/>
                    </a:xfrm>
                    <a:prstGeom prst="rect">
                      <a:avLst/>
                    </a:prstGeom>
                  </pic:spPr>
                </pic:pic>
              </a:graphicData>
            </a:graphic>
          </wp:inline>
        </w:drawing>
      </w:r>
    </w:p>
    <w:p w14:paraId="765D2E92"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b/>
          <w:bCs/>
          <w:color w:val="000000" w:themeColor="text1"/>
          <w:lang w:val="en-GB"/>
        </w:rPr>
        <w:t>Figure 4</w:t>
      </w:r>
      <w:r w:rsidRPr="00086463">
        <w:rPr>
          <w:rFonts w:asciiTheme="majorBidi" w:hAnsiTheme="majorBidi" w:cstheme="majorBidi"/>
          <w:color w:val="000000" w:themeColor="text1"/>
          <w:lang w:val="en-GB"/>
        </w:rPr>
        <w:t>: Hazard Index by City and Distance</w:t>
      </w:r>
    </w:p>
    <w:p w14:paraId="6FD09A89"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The assessment of the Hazard Index (HI; Figure 4) demonstrates that all well-water samples examined exhibit values substantially exceeding the safety threshold of 1. In Abomey-Calavi, the highest HI values are observed in wells located in close proximity to the waste disposal sites, reaching approximately 12 for adults and 18 for children. These values decline progressively with distance, reaching around 4 for adults and 6 for children at 100 m, suggesting a partial attenuation of contamination. In Cotonou, HI values remain elevated regardless of distance, with median values ranging from 30 to 35 for adults and 40 to 50 for children, indicating diffuse contamination of the aquifer that is not solely dependent on proximity to the waste sites. Natitingou presents a distinctive pattern, with relatively moderate values at 0 m (approximately 9 for adults and 13 for children), a pronounced peak at 50 m (around 35 for adults and 70 for children), followed by a decline at 100 m. This distribution may reflect local variations in pollution dynamics or groundwater flow. Overall, these findings indicate a substantial non-carcinogenic risk to populations, with children consistently exhibiting higher exposure than adults.</w:t>
      </w:r>
    </w:p>
    <w:p w14:paraId="30C57195" w14:textId="4BE8B7F8" w:rsidR="00086463" w:rsidRPr="00086463" w:rsidRDefault="005460FD" w:rsidP="00086463">
      <w:pPr>
        <w:spacing w:line="360" w:lineRule="auto"/>
        <w:jc w:val="both"/>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 xml:space="preserve">3.2. </w:t>
      </w:r>
      <w:r w:rsidR="00086463" w:rsidRPr="00086463">
        <w:rPr>
          <w:rFonts w:asciiTheme="majorBidi" w:hAnsiTheme="majorBidi" w:cstheme="majorBidi"/>
          <w:b/>
          <w:bCs/>
          <w:color w:val="000000" w:themeColor="text1"/>
          <w:lang w:val="en-GB"/>
        </w:rPr>
        <w:t>Discussion</w:t>
      </w:r>
    </w:p>
    <w:p w14:paraId="21A325B1"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The results of this study reveal significant contamination of trace metals in well water located near waste disposal sites in three cities in Benin: Cotonou, Abomey-Calavi, and Natitingou. </w:t>
      </w:r>
      <w:r w:rsidRPr="00086463">
        <w:rPr>
          <w:rFonts w:asciiTheme="majorBidi" w:hAnsiTheme="majorBidi" w:cstheme="majorBidi"/>
          <w:color w:val="000000" w:themeColor="text1"/>
          <w:lang w:val="en-GB"/>
        </w:rPr>
        <w:lastRenderedPageBreak/>
        <w:t>Concentrations of several heavy metals markedly exceed the guideline values established by the World Health Organization (WHO, 2017), confirming a high risk to local populations. For reference, the WHO recommends maximum values of 0.01 mg/L for arsenic and lead, 0.003 mg/L for cadmium, 0.05 mg/L for chromium, 2 mg/L for copper, and 0.07 mg/L for nickel. Our results show frequent, and in some cases extreme, exceedances for cadmium, lead, copper, iron, and nickel. These findings align with recent WHO (2021) concerns regarding health risks associated with exposure to waste from electrical and electronic equipment (WEEE), particularly for children, who are more vulnerable.</w:t>
      </w:r>
    </w:p>
    <w:p w14:paraId="0AE9B27F"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Arsenic concentrations in our samples are generally low and close to the limit of 0.01 mg/L; however, its presence remains concerning due to its carcinogenic properties. The WHO (2017) classifies arsenic as a confirmed human carcinogen, responsible for skin, lung, and bladder cancers. In India, Rajkumar et al. (2020) reported concentrations up to 0.03 mg/L in aquifers near industrial zones. Compared to these values, the concentrations observed in our study are lower but still significant given the carcinogenic risk associated with chronic low-level exposure.</w:t>
      </w:r>
    </w:p>
    <w:p w14:paraId="427178A5" w14:textId="7BAC2E2C"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Cadmium emerges as one of the most concerning metals, with a mean concentration of 0.47 mg/L in Cotonou, vastly exceeding the guideline value of 0.003 mg/L. This level is considerably higher than those reported in the literature, such as 0.01</w:t>
      </w:r>
      <w:r w:rsidR="00641D36">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0.08 mg/L in India (Rajkumar et al., 2020) and 0.005 mg/L in bottled water in Albania (Shehu et al., 2022). Cadmium is nephrotoxic and bioaccumulative, with chronic exposure causing renal damage and bone fragility (WHO, 2021).</w:t>
      </w:r>
    </w:p>
    <w:p w14:paraId="162E28DC" w14:textId="3BD0551F"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Lead also represents a major contaminant, with maximum concentrations of 0.33 mg/L in Cotonou, thirty-three times above the WHO limit. Comparable concentrations have been reported in Pakistan (up to 0.27 mg/L; Latif et al., 2025) but are higher than those observed in the Mandakini River, India (0.04</w:t>
      </w:r>
      <w:r w:rsidR="00B94B39">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0.12 mg/L; Arora et al., 2025). Lead is particularly hazardous because no safe exposure threshold exists, especially for children, where it induces irreversible neurotoxic effects, cognitive delays, behavioural disorders, and reduced IQ. In adults, it is associated with cardiovascular disorders and hypertension. The WHO (2021) emphasises that children exposed to WEEE are especially susceptible due to their developing nervous systems and higher intestinal absorption.</w:t>
      </w:r>
    </w:p>
    <w:p w14:paraId="03E24E60"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Chromium concentrations reach a maximum of 0.06 mg/L, close to the WHO guideline of 0.05 mg/L. Speciation is critical, as trivalent chromium (Cr III) is an essential trace element, whereas hexavalent chromium (Cr VI) is carcinogenic. Shehu et al. (2022) reported 0.01–0.04 mg/L in </w:t>
      </w:r>
      <w:r w:rsidRPr="00086463">
        <w:rPr>
          <w:rFonts w:asciiTheme="majorBidi" w:hAnsiTheme="majorBidi" w:cstheme="majorBidi"/>
          <w:color w:val="000000" w:themeColor="text1"/>
          <w:lang w:val="en-GB"/>
        </w:rPr>
        <w:lastRenderedPageBreak/>
        <w:t>bottled water in Albania, associated with CR &gt; 10⁻⁴. Cr VI exposure is linked to gastrointestinal and lung cancers, as well as chronic dermatitis.</w:t>
      </w:r>
    </w:p>
    <w:p w14:paraId="1BE5732C"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Copper levels are extremely high in Natitingou, with a maximum of 13.8 mg/L, nearly seven times the WHO guideline. High concentrations can cause gastrointestinal disturbances, nausea, vomiting, and, with chronic exposure, hepatic damage. Iron, though not highly toxic, was found at extreme levels, reaching 18 mg/L in Natitingou, which far exceeds values reported in India (0.5–2.4 mg/L; Rajkumar et al., 2020; 1.8 mg/L; Arora et al., 2025). Excess iron can lead to organ deposits (hemochromatosis) affecting liver, pancreas, and cardiovascular health. Nickel was detected at up to 2.26 mg/L, over thirty times the WHO limit, and is implicated in allergic skin reactions and digestive system cancers. Zinc concentrations reached 8.7 mg/L, nearly three times the WHO guideline of 3 mg/L; while essential in trace amounts, excessive zinc can cause gastrointestinal issues and interfere with copper and iron metabolism. Comparable elevated zinc levels have been reported by Gad et al. (2024), though lower than those observed in Natitingou.</w:t>
      </w:r>
    </w:p>
    <w:p w14:paraId="4C801E99" w14:textId="60BAC728" w:rsidR="00086463" w:rsidRPr="00DB7446" w:rsidRDefault="00086463" w:rsidP="00086463">
      <w:pPr>
        <w:spacing w:line="360" w:lineRule="auto"/>
        <w:jc w:val="both"/>
        <w:rPr>
          <w:rFonts w:asciiTheme="majorBidi" w:hAnsiTheme="majorBidi" w:cstheme="majorBidi"/>
          <w:color w:val="000000" w:themeColor="text1"/>
          <w:lang w:val="en-GB"/>
        </w:rPr>
      </w:pPr>
      <w:r w:rsidRPr="00DB7446">
        <w:rPr>
          <w:rFonts w:asciiTheme="majorBidi" w:hAnsiTheme="majorBidi" w:cstheme="majorBidi"/>
          <w:color w:val="000000" w:themeColor="text1"/>
          <w:lang w:val="en-GB"/>
        </w:rPr>
        <w:t xml:space="preserve">Pollution indices confirm the severity of contamination. The Metal Index (MI) exceeds 30 across all cities, indicating highly polluted water. In Cotonou, the Heavy Metal Pollution Index (HPI) averages over 9,000, orders of magnitude higher than reported in other countries, such as Punjab, India </w:t>
      </w:r>
      <w:r w:rsidR="00DB7446" w:rsidRPr="00DB7446">
        <w:rPr>
          <w:rFonts w:asciiTheme="majorBidi" w:hAnsiTheme="majorBidi" w:cstheme="majorBidi"/>
          <w:color w:val="000000" w:themeColor="text1"/>
          <w:lang w:val="en-GB"/>
        </w:rPr>
        <w:t xml:space="preserve">with </w:t>
      </w:r>
      <w:r w:rsidRPr="00DB7446">
        <w:rPr>
          <w:rFonts w:asciiTheme="majorBidi" w:hAnsiTheme="majorBidi" w:cstheme="majorBidi"/>
          <w:color w:val="000000" w:themeColor="text1"/>
          <w:lang w:val="en-GB"/>
        </w:rPr>
        <w:t>120</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280</w:t>
      </w:r>
      <w:r w:rsidR="00DB7446"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by (</w:t>
      </w:r>
      <w:r w:rsidRPr="00DB7446">
        <w:rPr>
          <w:rFonts w:asciiTheme="majorBidi" w:hAnsiTheme="majorBidi" w:cstheme="majorBidi"/>
          <w:color w:val="000000" w:themeColor="text1"/>
          <w:lang w:val="en-GB"/>
        </w:rPr>
        <w:t xml:space="preserve">Herojeet et al., 2020), Egypt </w:t>
      </w:r>
      <w:r w:rsidR="00DB7446" w:rsidRPr="00DB7446">
        <w:rPr>
          <w:rFonts w:asciiTheme="majorBidi" w:hAnsiTheme="majorBidi" w:cstheme="majorBidi"/>
          <w:color w:val="000000" w:themeColor="text1"/>
          <w:lang w:val="en-GB"/>
        </w:rPr>
        <w:t xml:space="preserve"> in range of </w:t>
      </w:r>
      <w:r w:rsidRPr="00DB7446">
        <w:rPr>
          <w:rFonts w:asciiTheme="majorBidi" w:hAnsiTheme="majorBidi" w:cstheme="majorBidi"/>
          <w:color w:val="000000" w:themeColor="text1"/>
          <w:lang w:val="en-GB"/>
        </w:rPr>
        <w:t>200–400</w:t>
      </w:r>
      <w:r w:rsidR="00DB7446" w:rsidRPr="00DB7446">
        <w:rPr>
          <w:rFonts w:asciiTheme="majorBidi" w:hAnsiTheme="majorBidi" w:cstheme="majorBidi"/>
          <w:color w:val="000000" w:themeColor="text1"/>
          <w:lang w:val="en-GB"/>
        </w:rPr>
        <w:t xml:space="preserve"> found </w:t>
      </w:r>
      <w:r w:rsidR="00B94B39" w:rsidRPr="00DB7446">
        <w:rPr>
          <w:rFonts w:asciiTheme="majorBidi" w:hAnsiTheme="majorBidi" w:cstheme="majorBidi"/>
          <w:color w:val="000000" w:themeColor="text1"/>
          <w:lang w:val="en-GB"/>
        </w:rPr>
        <w:t xml:space="preserve"> by</w:t>
      </w:r>
      <w:r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 xml:space="preserve">Gad et al., 2024), Pakistan </w:t>
      </w:r>
      <w:r w:rsidR="00DB7446" w:rsidRPr="00DB7446">
        <w:rPr>
          <w:rFonts w:asciiTheme="majorBidi" w:hAnsiTheme="majorBidi" w:cstheme="majorBidi"/>
          <w:color w:val="000000" w:themeColor="text1"/>
          <w:lang w:val="en-GB"/>
        </w:rPr>
        <w:t xml:space="preserve">with </w:t>
      </w:r>
      <w:r w:rsidRPr="00DB7446">
        <w:rPr>
          <w:rFonts w:asciiTheme="majorBidi" w:hAnsiTheme="majorBidi" w:cstheme="majorBidi"/>
          <w:color w:val="000000" w:themeColor="text1"/>
          <w:lang w:val="en-GB"/>
        </w:rPr>
        <w:t>150–350</w:t>
      </w:r>
      <w:r w:rsidR="00B94B39" w:rsidRPr="00DB7446">
        <w:rPr>
          <w:rFonts w:asciiTheme="majorBidi" w:hAnsiTheme="majorBidi" w:cstheme="majorBidi"/>
          <w:color w:val="000000" w:themeColor="text1"/>
          <w:lang w:val="en-GB"/>
        </w:rPr>
        <w:t xml:space="preserve">) </w:t>
      </w:r>
      <w:r w:rsidR="00DB7446" w:rsidRPr="00DB7446">
        <w:rPr>
          <w:rFonts w:asciiTheme="majorBidi" w:hAnsiTheme="majorBidi" w:cstheme="majorBidi"/>
          <w:color w:val="000000" w:themeColor="text1"/>
          <w:lang w:val="en-GB"/>
        </w:rPr>
        <w:t>highlighted by (</w:t>
      </w:r>
      <w:r w:rsidRPr="00DB7446">
        <w:rPr>
          <w:rFonts w:asciiTheme="majorBidi" w:hAnsiTheme="majorBidi" w:cstheme="majorBidi"/>
          <w:color w:val="000000" w:themeColor="text1"/>
          <w:lang w:val="en-GB"/>
        </w:rPr>
        <w:t xml:space="preserve">Latif et al., 2025), and India </w:t>
      </w:r>
      <w:r w:rsidR="00DB7446" w:rsidRPr="00DB7446">
        <w:rPr>
          <w:rFonts w:asciiTheme="majorBidi" w:hAnsiTheme="majorBidi" w:cstheme="majorBidi"/>
          <w:color w:val="000000" w:themeColor="text1"/>
          <w:lang w:val="en-GB"/>
        </w:rPr>
        <w:t xml:space="preserve"> with a value greater than </w:t>
      </w:r>
      <w:r w:rsidRPr="00DB7446">
        <w:rPr>
          <w:rFonts w:asciiTheme="majorBidi" w:hAnsiTheme="majorBidi" w:cstheme="majorBidi"/>
          <w:color w:val="000000" w:themeColor="text1"/>
          <w:lang w:val="en-GB"/>
        </w:rPr>
        <w:t>500</w:t>
      </w:r>
      <w:r w:rsidR="00B94B39" w:rsidRPr="00DB7446">
        <w:rPr>
          <w:rFonts w:asciiTheme="majorBidi" w:hAnsiTheme="majorBidi" w:cstheme="majorBidi"/>
          <w:color w:val="000000" w:themeColor="text1"/>
          <w:lang w:val="en-GB"/>
        </w:rPr>
        <w:t xml:space="preserve"> </w:t>
      </w:r>
      <w:r w:rsidR="00DB7446" w:rsidRPr="00DB7446">
        <w:rPr>
          <w:rFonts w:asciiTheme="majorBidi" w:hAnsiTheme="majorBidi" w:cstheme="majorBidi"/>
          <w:color w:val="000000" w:themeColor="text1"/>
          <w:lang w:val="en-GB"/>
        </w:rPr>
        <w:t>reported by</w:t>
      </w:r>
      <w:r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Rajkumar et al., 2020), reflecting the exceptional intensity of pollution near WEEE disposal sites.</w:t>
      </w:r>
    </w:p>
    <w:p w14:paraId="6A22B596" w14:textId="4310E94F" w:rsidR="00086463" w:rsidRPr="006A24CC" w:rsidRDefault="00086463" w:rsidP="00086463">
      <w:pPr>
        <w:spacing w:line="360" w:lineRule="auto"/>
        <w:jc w:val="both"/>
        <w:rPr>
          <w:rFonts w:asciiTheme="majorBidi" w:hAnsiTheme="majorBidi" w:cstheme="majorBidi"/>
          <w:color w:val="000000" w:themeColor="text1"/>
          <w:lang w:val="en-GB"/>
        </w:rPr>
      </w:pPr>
      <w:r w:rsidRPr="006A24CC">
        <w:rPr>
          <w:rFonts w:asciiTheme="majorBidi" w:hAnsiTheme="majorBidi" w:cstheme="majorBidi"/>
          <w:color w:val="000000" w:themeColor="text1"/>
          <w:lang w:val="en-GB"/>
        </w:rPr>
        <w:t>Health risk assessment demonstrates that HI values exceed 1 in all cases, confirming significant non-carcinogenic risk. Median adult HI values range from 6.65 in Abomey-Calavi to 33.2 in Cotonou, with a maximum of 48.7 in Natitingou. Children exhibit higher values, ranging from 9.68 to 70.8. Previous studies reported lower HI values</w:t>
      </w:r>
      <w:r w:rsidR="006A24CC" w:rsidRPr="006A24CC">
        <w:rPr>
          <w:rFonts w:asciiTheme="majorBidi" w:hAnsiTheme="majorBidi" w:cstheme="majorBidi"/>
          <w:color w:val="000000" w:themeColor="text1"/>
          <w:lang w:val="en-GB"/>
        </w:rPr>
        <w:t xml:space="preserve"> (5-10, 15-25; 5-12) found respectively by</w:t>
      </w:r>
      <w:r w:rsidRPr="006A24CC">
        <w:rPr>
          <w:rFonts w:asciiTheme="majorBidi" w:hAnsiTheme="majorBidi" w:cstheme="majorBidi"/>
          <w:color w:val="000000" w:themeColor="text1"/>
          <w:lang w:val="en-GB"/>
        </w:rPr>
        <w:t xml:space="preserve"> </w:t>
      </w:r>
      <w:r w:rsidR="00B94B39" w:rsidRPr="006A24CC">
        <w:rPr>
          <w:rFonts w:asciiTheme="majorBidi" w:hAnsiTheme="majorBidi" w:cstheme="majorBidi"/>
          <w:color w:val="000000" w:themeColor="text1"/>
          <w:lang w:val="en-GB"/>
        </w:rPr>
        <w:t>(</w:t>
      </w:r>
      <w:r w:rsidRPr="006A24CC">
        <w:rPr>
          <w:rFonts w:asciiTheme="majorBidi" w:hAnsiTheme="majorBidi" w:cstheme="majorBidi"/>
          <w:color w:val="000000" w:themeColor="text1"/>
          <w:lang w:val="en-GB"/>
        </w:rPr>
        <w:t>Heroje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2020</w:t>
      </w:r>
      <w:r w:rsidR="006A24CC"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Shehu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2022</w:t>
      </w:r>
      <w:r w:rsidR="006A24CC"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Gad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2024). The elevated values in this study indicate a substantially higher non-carcinogenic risk in Benin.</w:t>
      </w:r>
    </w:p>
    <w:p w14:paraId="509D2BCF" w14:textId="6DB3213C" w:rsidR="00086463" w:rsidRPr="00086463" w:rsidRDefault="00086463" w:rsidP="00086463">
      <w:pPr>
        <w:spacing w:line="360" w:lineRule="auto"/>
        <w:jc w:val="both"/>
        <w:rPr>
          <w:rFonts w:asciiTheme="majorBidi" w:hAnsiTheme="majorBidi" w:cstheme="majorBidi"/>
          <w:color w:val="000000" w:themeColor="text1"/>
          <w:lang w:val="en-GB"/>
        </w:rPr>
      </w:pPr>
      <w:r w:rsidRPr="006A24CC">
        <w:rPr>
          <w:rFonts w:asciiTheme="majorBidi" w:hAnsiTheme="majorBidi" w:cstheme="majorBidi"/>
          <w:color w:val="000000" w:themeColor="text1"/>
          <w:lang w:val="en-GB"/>
        </w:rPr>
        <w:t>Carcinogenic risk, expressed as CR, frequently exceeds the USEPA threshold of 10⁻⁴. In Natitingou, values reach 2 × 10⁻³, more than ten times the critical limit. Median CR values are 2.7 × 10⁻⁴ in Cotonou and 3.3 × 10⁻⁴ in Abomey-Calavi. Comparisons with other studies</w:t>
      </w:r>
      <w:r w:rsidR="006A24CC" w:rsidRPr="006A24CC">
        <w:rPr>
          <w:rFonts w:asciiTheme="majorBidi" w:hAnsiTheme="majorBidi" w:cstheme="majorBidi"/>
          <w:color w:val="000000" w:themeColor="text1"/>
          <w:lang w:val="en-GB"/>
        </w:rPr>
        <w:t xml:space="preserve"> (2 × 10⁻⁴–8 × 10⁻⁴; up to 6 × 10⁻⁴) </w:t>
      </w:r>
      <w:r w:rsidRPr="006A24CC">
        <w:rPr>
          <w:rFonts w:asciiTheme="majorBidi" w:hAnsiTheme="majorBidi" w:cstheme="majorBidi"/>
          <w:color w:val="000000" w:themeColor="text1"/>
          <w:lang w:val="en-GB"/>
        </w:rPr>
        <w:t>confirm the particularly concerning situation in Benin</w:t>
      </w:r>
      <w:r w:rsidR="006A24CC" w:rsidRPr="006A24CC">
        <w:rPr>
          <w:rFonts w:asciiTheme="majorBidi" w:hAnsiTheme="majorBidi" w:cstheme="majorBidi"/>
          <w:color w:val="000000" w:themeColor="text1"/>
          <w:lang w:val="en-GB"/>
        </w:rPr>
        <w:t xml:space="preserve"> (Shehu et al., 2022; Latif et al., 2025)</w:t>
      </w:r>
      <w:r w:rsidRPr="006A24CC">
        <w:rPr>
          <w:rFonts w:asciiTheme="majorBidi" w:hAnsiTheme="majorBidi" w:cstheme="majorBidi"/>
          <w:color w:val="000000" w:themeColor="text1"/>
          <w:lang w:val="en-GB"/>
        </w:rPr>
        <w:t>.</w:t>
      </w:r>
    </w:p>
    <w:p w14:paraId="38A688C1" w14:textId="4AEB86F1"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Beyond numerical values, the associated health effects are significant: cadmium causes renal and bone damage; lead induces irreversible neurocognitive impairment; arsenic and Cr VI are </w:t>
      </w:r>
      <w:r w:rsidRPr="00086463">
        <w:rPr>
          <w:rFonts w:asciiTheme="majorBidi" w:hAnsiTheme="majorBidi" w:cstheme="majorBidi"/>
          <w:color w:val="000000" w:themeColor="text1"/>
          <w:lang w:val="en-GB"/>
        </w:rPr>
        <w:lastRenderedPageBreak/>
        <w:t xml:space="preserve">carcinogenic; nickel provokes allergic and digestive cancers; and excessive copper, zinc, and iron, while essential in trace amounts, can lead to gastrointestinal and hepatic disorders. The </w:t>
      </w:r>
      <w:r w:rsidR="00EE04F2">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WHO</w:t>
      </w:r>
      <w:r w:rsidR="00EE04F2">
        <w:rPr>
          <w:rFonts w:asciiTheme="majorBidi" w:hAnsiTheme="majorBidi" w:cstheme="majorBidi"/>
          <w:color w:val="000000" w:themeColor="text1"/>
          <w:lang w:val="en-GB"/>
        </w:rPr>
        <w:t xml:space="preserve">, </w:t>
      </w:r>
      <w:r w:rsidRPr="00086463">
        <w:rPr>
          <w:rFonts w:asciiTheme="majorBidi" w:hAnsiTheme="majorBidi" w:cstheme="majorBidi"/>
          <w:color w:val="000000" w:themeColor="text1"/>
          <w:lang w:val="en-GB"/>
        </w:rPr>
        <w:t>2021) emphasises children’s heightened vulnerability to WEEE-associated contaminants, which may compound overall morbidity.</w:t>
      </w:r>
    </w:p>
    <w:p w14:paraId="67D924CF"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These findings underscore the urgent need for improved WEEE management and protection of drinking water resources in Benin. Chronic exposure at these contamination levels may significantly increase the incidence of renal, neurological, and carcinogenic diseases. International experience demonstrates that populations exposed to heavy metals suffer enduring health and socio-economic impacts unless pollution sources are effectively controlled.</w:t>
      </w:r>
    </w:p>
    <w:p w14:paraId="10660B18" w14:textId="3D808329" w:rsidR="00086463" w:rsidRPr="00086463" w:rsidRDefault="005460FD" w:rsidP="00086463">
      <w:pPr>
        <w:spacing w:line="360" w:lineRule="auto"/>
        <w:jc w:val="both"/>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 xml:space="preserve">4. </w:t>
      </w:r>
      <w:r w:rsidR="00086463" w:rsidRPr="00086463">
        <w:rPr>
          <w:rFonts w:asciiTheme="majorBidi" w:hAnsiTheme="majorBidi" w:cstheme="majorBidi"/>
          <w:b/>
          <w:bCs/>
          <w:color w:val="000000" w:themeColor="text1"/>
          <w:lang w:val="en-GB"/>
        </w:rPr>
        <w:t>Conclusion</w:t>
      </w:r>
    </w:p>
    <w:p w14:paraId="35C44ECB" w14:textId="151171C7" w:rsidR="00086463" w:rsidRDefault="00EE04F2" w:rsidP="00086463">
      <w:pPr>
        <w:spacing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In light of the findings above, the</w:t>
      </w:r>
      <w:r w:rsidR="00086463" w:rsidRPr="00086463">
        <w:rPr>
          <w:rFonts w:asciiTheme="majorBidi" w:hAnsiTheme="majorBidi" w:cstheme="majorBidi"/>
          <w:color w:val="000000" w:themeColor="text1"/>
          <w:lang w:val="en-GB"/>
        </w:rPr>
        <w:t xml:space="preserve"> study demonstrates significant heavy-metal contamination of well water in Cotonou and Abomey-Calavi, with concentrations exceeding recommended limits for</w:t>
      </w:r>
      <w:r>
        <w:rPr>
          <w:rFonts w:asciiTheme="majorBidi" w:hAnsiTheme="majorBidi" w:cstheme="majorBidi"/>
          <w:color w:val="000000" w:themeColor="text1"/>
          <w:lang w:val="en-GB"/>
        </w:rPr>
        <w:t xml:space="preserve"> heavy</w:t>
      </w:r>
      <w:r w:rsidR="00086463" w:rsidRPr="00086463">
        <w:rPr>
          <w:rFonts w:asciiTheme="majorBidi" w:hAnsiTheme="majorBidi" w:cstheme="majorBidi"/>
          <w:color w:val="000000" w:themeColor="text1"/>
          <w:lang w:val="en-GB"/>
        </w:rPr>
        <w:t xml:space="preserve"> metals including lead, copper, and iron. Even lower concentrations of cadmium and nickel pose cumulative toxicological risks. Pollution indices, particularly the MI and HPI, classify water quality as severely polluted across all sites, with values far exceeding those reported in other countries. Health risk assessment confirms high non-carcinogenic risks, especially for children (HI &gt; 1), and unacceptable carcinogenic risks (CR &gt; 10⁻⁴, reaching 10⁻³ </w:t>
      </w:r>
      <w:r>
        <w:rPr>
          <w:rFonts w:asciiTheme="majorBidi" w:hAnsiTheme="majorBidi" w:cstheme="majorBidi"/>
          <w:color w:val="000000" w:themeColor="text1"/>
          <w:lang w:val="en-GB"/>
        </w:rPr>
        <w:t xml:space="preserve">) </w:t>
      </w:r>
      <w:r w:rsidR="00086463" w:rsidRPr="00086463">
        <w:rPr>
          <w:rFonts w:asciiTheme="majorBidi" w:hAnsiTheme="majorBidi" w:cstheme="majorBidi"/>
          <w:color w:val="000000" w:themeColor="text1"/>
          <w:lang w:val="en-GB"/>
        </w:rPr>
        <w:t>in some locations. These results highlight the urgent need for environmental monitoring and management strategies to limit population exposure to these hazardous contaminants.</w:t>
      </w:r>
    </w:p>
    <w:p w14:paraId="5946A580" w14:textId="77777777" w:rsidR="00C2494C" w:rsidRPr="00086463" w:rsidRDefault="00C2494C" w:rsidP="00086463">
      <w:pPr>
        <w:spacing w:line="360" w:lineRule="auto"/>
        <w:jc w:val="both"/>
        <w:rPr>
          <w:rFonts w:asciiTheme="majorBidi" w:hAnsiTheme="majorBidi" w:cstheme="majorBidi"/>
          <w:color w:val="000000" w:themeColor="text1"/>
          <w:lang w:val="en-GB"/>
        </w:rPr>
      </w:pPr>
    </w:p>
    <w:p w14:paraId="4A58F9C8"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Availability of data and materials</w:t>
      </w:r>
    </w:p>
    <w:p w14:paraId="5273579B" w14:textId="77777777" w:rsidR="00C2494C" w:rsidRDefault="00C2494C" w:rsidP="00C2494C">
      <w:pPr>
        <w:spacing w:line="360" w:lineRule="auto"/>
        <w:jc w:val="both"/>
        <w:rPr>
          <w:rFonts w:ascii="Arial" w:hAnsi="Arial" w:cs="Arial"/>
          <w:sz w:val="20"/>
          <w:szCs w:val="20"/>
          <w:lang w:val="en-US"/>
        </w:rPr>
      </w:pPr>
      <w:r w:rsidRPr="003D39D8">
        <w:rPr>
          <w:rFonts w:ascii="Arial" w:hAnsi="Arial" w:cs="Arial"/>
          <w:b/>
          <w:sz w:val="20"/>
          <w:szCs w:val="20"/>
          <w:lang w:val="en-US"/>
        </w:rPr>
        <w:t xml:space="preserve"> </w:t>
      </w:r>
      <w:r w:rsidRPr="003D39D8">
        <w:rPr>
          <w:rFonts w:ascii="Arial" w:hAnsi="Arial" w:cs="Arial"/>
          <w:sz w:val="20"/>
          <w:szCs w:val="20"/>
          <w:lang w:val="en-US"/>
        </w:rPr>
        <w:t>Data are available at the Laboratory of Study and Research in Applied Chemistry, Polytechnic School of Abomey-Calavi, University of Abomey-Calavi. You should contact the corresponding author for the data request.</w:t>
      </w:r>
    </w:p>
    <w:p w14:paraId="2DF4A901" w14:textId="77777777" w:rsidR="00C2494C" w:rsidRPr="003D39D8" w:rsidRDefault="00C2494C" w:rsidP="00C2494C">
      <w:pPr>
        <w:spacing w:line="360" w:lineRule="auto"/>
        <w:jc w:val="both"/>
        <w:rPr>
          <w:rFonts w:ascii="Arial" w:hAnsi="Arial" w:cs="Arial"/>
          <w:sz w:val="20"/>
          <w:szCs w:val="20"/>
          <w:lang w:val="en-US"/>
        </w:rPr>
      </w:pPr>
    </w:p>
    <w:p w14:paraId="1E046115"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Declarations</w:t>
      </w:r>
    </w:p>
    <w:p w14:paraId="7AAAA6B6" w14:textId="485555F0" w:rsidR="00C2494C" w:rsidRDefault="00C2494C" w:rsidP="00C2494C">
      <w:pPr>
        <w:spacing w:line="360" w:lineRule="auto"/>
        <w:jc w:val="both"/>
        <w:rPr>
          <w:rFonts w:ascii="Arial" w:hAnsi="Arial" w:cs="Arial"/>
          <w:sz w:val="20"/>
          <w:szCs w:val="20"/>
          <w:lang w:val="en-US"/>
        </w:rPr>
      </w:pPr>
      <w:r>
        <w:rPr>
          <w:rFonts w:ascii="Arial" w:hAnsi="Arial" w:cs="Arial"/>
          <w:sz w:val="20"/>
          <w:szCs w:val="20"/>
          <w:lang w:val="en-US"/>
        </w:rPr>
        <w:t>Not Applicable</w:t>
      </w:r>
    </w:p>
    <w:p w14:paraId="7FCA9A76" w14:textId="77777777" w:rsidR="00C2494C" w:rsidRPr="003D39D8" w:rsidRDefault="00C2494C" w:rsidP="00C2494C">
      <w:pPr>
        <w:spacing w:line="360" w:lineRule="auto"/>
        <w:jc w:val="both"/>
        <w:rPr>
          <w:rFonts w:ascii="Arial" w:hAnsi="Arial" w:cs="Arial"/>
          <w:sz w:val="20"/>
          <w:szCs w:val="20"/>
          <w:lang w:val="en-US"/>
        </w:rPr>
      </w:pPr>
    </w:p>
    <w:p w14:paraId="1A9494EF"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Consent for publication</w:t>
      </w:r>
    </w:p>
    <w:p w14:paraId="5122563C" w14:textId="77777777" w:rsidR="00C2494C" w:rsidRPr="003D39D8" w:rsidRDefault="00C2494C" w:rsidP="00C2494C">
      <w:pPr>
        <w:spacing w:line="360" w:lineRule="auto"/>
        <w:jc w:val="both"/>
        <w:rPr>
          <w:rFonts w:ascii="Arial" w:hAnsi="Arial" w:cs="Arial"/>
          <w:sz w:val="20"/>
          <w:szCs w:val="20"/>
          <w:lang w:val="en-US"/>
        </w:rPr>
      </w:pPr>
      <w:r w:rsidRPr="003D39D8">
        <w:rPr>
          <w:rFonts w:ascii="Arial" w:hAnsi="Arial" w:cs="Arial"/>
          <w:sz w:val="20"/>
          <w:szCs w:val="20"/>
          <w:lang w:val="en-US"/>
        </w:rPr>
        <w:t>Not applicable</w:t>
      </w:r>
    </w:p>
    <w:p w14:paraId="2D532B97" w14:textId="77777777" w:rsidR="00C2494C" w:rsidRDefault="00C2494C" w:rsidP="00C2494C">
      <w:pPr>
        <w:spacing w:line="360" w:lineRule="auto"/>
        <w:jc w:val="both"/>
        <w:rPr>
          <w:rFonts w:ascii="Arial" w:hAnsi="Arial" w:cs="Arial"/>
          <w:b/>
          <w:bCs/>
          <w:sz w:val="20"/>
          <w:szCs w:val="20"/>
          <w:lang w:val="en-US"/>
        </w:rPr>
      </w:pPr>
      <w:r w:rsidRPr="003D39D8">
        <w:rPr>
          <w:rFonts w:ascii="Arial" w:hAnsi="Arial" w:cs="Arial"/>
          <w:b/>
          <w:bCs/>
          <w:sz w:val="20"/>
          <w:szCs w:val="20"/>
          <w:lang w:val="en-US"/>
        </w:rPr>
        <w:t>Declaration of interests</w:t>
      </w:r>
    </w:p>
    <w:p w14:paraId="6ABC19FE" w14:textId="77777777" w:rsidR="00C2494C" w:rsidRPr="003D39D8" w:rsidRDefault="00C2494C" w:rsidP="00C2494C">
      <w:pPr>
        <w:spacing w:line="360" w:lineRule="auto"/>
        <w:jc w:val="both"/>
        <w:rPr>
          <w:rFonts w:ascii="Arial" w:hAnsi="Arial" w:cs="Arial"/>
          <w:sz w:val="20"/>
          <w:szCs w:val="20"/>
          <w:lang w:val="en-US"/>
        </w:rPr>
      </w:pPr>
      <w:r w:rsidRPr="003D39D8">
        <w:rPr>
          <w:rFonts w:ascii="Arial" w:hAnsi="Arial" w:cs="Arial"/>
          <w:sz w:val="20"/>
          <w:szCs w:val="20"/>
          <w:lang w:val="en-US"/>
        </w:rPr>
        <w:t>The authors declare that they have no known competing financial interests or personal relationships that could have appeared to influence the work reported in this paper. </w:t>
      </w:r>
    </w:p>
    <w:p w14:paraId="4D3E12D1" w14:textId="77777777" w:rsidR="00C2494C" w:rsidRDefault="00C2494C" w:rsidP="00C2494C">
      <w:pPr>
        <w:spacing w:line="360" w:lineRule="auto"/>
        <w:jc w:val="both"/>
        <w:rPr>
          <w:rFonts w:ascii="Arial" w:hAnsi="Arial" w:cs="Arial"/>
          <w:b/>
          <w:lang w:val="en-US"/>
        </w:rPr>
      </w:pPr>
      <w:r w:rsidRPr="006A4678">
        <w:rPr>
          <w:rFonts w:ascii="Arial" w:hAnsi="Arial" w:cs="Arial"/>
          <w:b/>
          <w:lang w:val="en-US"/>
        </w:rPr>
        <w:t>Disclaimer (Artificial Intelligence)</w:t>
      </w:r>
    </w:p>
    <w:p w14:paraId="2C1BCB0E" w14:textId="136E99DD" w:rsidR="005460FD" w:rsidRPr="00C2494C" w:rsidRDefault="00C2494C" w:rsidP="00C2494C">
      <w:pPr>
        <w:spacing w:line="360" w:lineRule="auto"/>
        <w:jc w:val="both"/>
        <w:rPr>
          <w:rFonts w:ascii="Arial" w:hAnsi="Arial" w:cs="Arial"/>
          <w:sz w:val="20"/>
          <w:szCs w:val="20"/>
          <w:lang w:val="en-US"/>
        </w:rPr>
      </w:pPr>
      <w:r w:rsidRPr="006A4678">
        <w:rPr>
          <w:rFonts w:ascii="Arial" w:hAnsi="Arial" w:cs="Arial"/>
          <w:sz w:val="20"/>
          <w:szCs w:val="20"/>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3265612D" w14:textId="01EDDCB3" w:rsidR="00BE6C96" w:rsidRDefault="00BE6C96" w:rsidP="00BE6C96">
      <w:pPr>
        <w:spacing w:line="360" w:lineRule="auto"/>
        <w:jc w:val="center"/>
        <w:rPr>
          <w:rFonts w:asciiTheme="majorBidi" w:hAnsiTheme="majorBidi" w:cstheme="majorBidi"/>
          <w:b/>
          <w:bCs/>
          <w:color w:val="000000" w:themeColor="text1"/>
          <w:lang w:val="en-GB"/>
        </w:rPr>
      </w:pPr>
    </w:p>
    <w:p w14:paraId="1D38652B" w14:textId="77777777" w:rsidR="00D176FB" w:rsidRDefault="00D176FB" w:rsidP="00BE6C96">
      <w:pPr>
        <w:spacing w:line="360" w:lineRule="auto"/>
        <w:jc w:val="center"/>
        <w:rPr>
          <w:rFonts w:asciiTheme="majorBidi" w:hAnsiTheme="majorBidi" w:cstheme="majorBidi"/>
          <w:b/>
          <w:bCs/>
          <w:color w:val="000000" w:themeColor="text1"/>
          <w:sz w:val="28"/>
          <w:szCs w:val="28"/>
        </w:rPr>
      </w:pPr>
    </w:p>
    <w:p w14:paraId="7509A263" w14:textId="77777777" w:rsidR="00D176FB" w:rsidRPr="00086463" w:rsidRDefault="00D176FB" w:rsidP="00D176FB">
      <w:pPr>
        <w:spacing w:line="360" w:lineRule="auto"/>
        <w:rPr>
          <w:rFonts w:asciiTheme="majorBidi" w:hAnsiTheme="majorBidi" w:cstheme="majorBidi"/>
          <w:b/>
          <w:bCs/>
          <w:color w:val="000000" w:themeColor="text1"/>
          <w:lang w:val="en-GB"/>
        </w:rPr>
      </w:pPr>
      <w:r w:rsidRPr="00086463">
        <w:rPr>
          <w:rFonts w:asciiTheme="majorBidi" w:hAnsiTheme="majorBidi" w:cstheme="majorBidi"/>
          <w:b/>
          <w:bCs/>
          <w:color w:val="000000" w:themeColor="text1"/>
          <w:lang w:val="en-GB"/>
        </w:rPr>
        <w:t>References</w:t>
      </w:r>
    </w:p>
    <w:p w14:paraId="0DA7980B"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Adeyemi, A. A., &amp; Ojekunle, Z. O. (2021). Concentrations and health risk assessment of groundwater contamination by industrial heavy metals in Ogun State, Nigeria. </w:t>
      </w:r>
      <w:r w:rsidRPr="00442A85">
        <w:rPr>
          <w:rFonts w:asciiTheme="majorBidi" w:hAnsiTheme="majorBidi" w:cstheme="majorBidi"/>
          <w:i/>
          <w:iCs/>
          <w:color w:val="000000" w:themeColor="text1"/>
          <w:lang w:val="en-GB"/>
        </w:rPr>
        <w:t>Scientific African, 11</w:t>
      </w:r>
      <w:r w:rsidRPr="00442A85">
        <w:rPr>
          <w:rFonts w:asciiTheme="majorBidi" w:hAnsiTheme="majorBidi" w:cstheme="majorBidi"/>
          <w:color w:val="000000" w:themeColor="text1"/>
          <w:lang w:val="en-GB"/>
        </w:rPr>
        <w:t xml:space="preserve">, e00666. </w:t>
      </w:r>
      <w:hyperlink r:id="rId11" w:tgtFrame="_new" w:history="1">
        <w:r w:rsidRPr="00442A85">
          <w:rPr>
            <w:rStyle w:val="Hyperlink"/>
            <w:rFonts w:asciiTheme="majorBidi" w:hAnsiTheme="majorBidi" w:cstheme="majorBidi"/>
            <w:lang w:val="en-GB"/>
          </w:rPr>
          <w:t>https://doi.org/10.1016/j.sciaf.2020.e00666</w:t>
        </w:r>
      </w:hyperlink>
    </w:p>
    <w:p w14:paraId="71809D02"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Ahlonsou, J., Adandedji, F., Alassane, A., Adihou, C., &amp; Daouda, M. (2024). Evaluation and prediction of groundwater quality in the municipality of Za-Kpota (southern Benin) using machine learning and remote sensing. </w:t>
      </w:r>
      <w:r w:rsidRPr="00442A85">
        <w:rPr>
          <w:rFonts w:asciiTheme="majorBidi" w:hAnsiTheme="majorBidi" w:cstheme="majorBidi"/>
          <w:i/>
          <w:iCs/>
          <w:color w:val="000000" w:themeColor="text1"/>
          <w:lang w:val="en-GB"/>
        </w:rPr>
        <w:t>Journal of Water Resource and Protection, 16</w:t>
      </w:r>
      <w:r w:rsidRPr="00442A85">
        <w:rPr>
          <w:rFonts w:asciiTheme="majorBidi" w:hAnsiTheme="majorBidi" w:cstheme="majorBidi"/>
          <w:color w:val="000000" w:themeColor="text1"/>
          <w:lang w:val="en-GB"/>
        </w:rPr>
        <w:t xml:space="preserve">, 502–522. </w:t>
      </w:r>
      <w:hyperlink r:id="rId12" w:tgtFrame="_new" w:history="1">
        <w:r w:rsidRPr="00442A85">
          <w:rPr>
            <w:rStyle w:val="Hyperlink"/>
            <w:rFonts w:asciiTheme="majorBidi" w:hAnsiTheme="majorBidi" w:cstheme="majorBidi"/>
            <w:lang w:val="en-GB"/>
          </w:rPr>
          <w:t>https://doi.org/10.4236/jwarp.2024.167028</w:t>
        </w:r>
      </w:hyperlink>
    </w:p>
    <w:p w14:paraId="6E144CB6"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Ahmed, N., Bodrud-Doza, M., Islam, S. M. D. U., et al. (2019). Hydrogeochemical evaluation and statistical analysis of groundwater in Sylhet, north-eastern Bangladesh. </w:t>
      </w:r>
      <w:r w:rsidRPr="00442A85">
        <w:rPr>
          <w:rFonts w:asciiTheme="majorBidi" w:hAnsiTheme="majorBidi" w:cstheme="majorBidi"/>
          <w:i/>
          <w:iCs/>
          <w:color w:val="000000" w:themeColor="text1"/>
          <w:lang w:val="en-GB"/>
        </w:rPr>
        <w:t>Acta Geochimica, 38</w:t>
      </w:r>
      <w:r w:rsidRPr="00442A85">
        <w:rPr>
          <w:rFonts w:asciiTheme="majorBidi" w:hAnsiTheme="majorBidi" w:cstheme="majorBidi"/>
          <w:color w:val="000000" w:themeColor="text1"/>
          <w:lang w:val="en-GB"/>
        </w:rPr>
        <w:t xml:space="preserve">, 440–455. </w:t>
      </w:r>
      <w:hyperlink r:id="rId13" w:tgtFrame="_new" w:history="1">
        <w:r w:rsidRPr="00442A85">
          <w:rPr>
            <w:rStyle w:val="Hyperlink"/>
            <w:rFonts w:asciiTheme="majorBidi" w:hAnsiTheme="majorBidi" w:cstheme="majorBidi"/>
            <w:lang w:val="en-GB"/>
          </w:rPr>
          <w:t>https://doi.org/10.1007/s11631-018-0303-6</w:t>
        </w:r>
      </w:hyperlink>
    </w:p>
    <w:p w14:paraId="1BCFCD0B"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Anitha, B. H., Naik, S. M., Nanjundaswamy, C., &amp; Divyanand, M. S. (2021). Application of heavy metal pollution index and metal index for assessing groundwater quality in the Peenya industrial area. </w:t>
      </w:r>
      <w:r w:rsidRPr="00442A85">
        <w:rPr>
          <w:rFonts w:asciiTheme="majorBidi" w:hAnsiTheme="majorBidi" w:cstheme="majorBidi"/>
          <w:i/>
          <w:iCs/>
          <w:color w:val="000000" w:themeColor="text1"/>
          <w:lang w:val="en-GB"/>
        </w:rPr>
        <w:t>IOP Conference Series: Earth and Environmental Science, 822</w:t>
      </w:r>
      <w:r w:rsidRPr="00442A85">
        <w:rPr>
          <w:rFonts w:asciiTheme="majorBidi" w:hAnsiTheme="majorBidi" w:cstheme="majorBidi"/>
          <w:color w:val="000000" w:themeColor="text1"/>
          <w:lang w:val="en-GB"/>
        </w:rPr>
        <w:t xml:space="preserve">, 012033. </w:t>
      </w:r>
      <w:hyperlink r:id="rId14" w:tgtFrame="_new" w:history="1">
        <w:r w:rsidRPr="00442A85">
          <w:rPr>
            <w:rStyle w:val="Hyperlink"/>
            <w:rFonts w:asciiTheme="majorBidi" w:hAnsiTheme="majorBidi" w:cstheme="majorBidi"/>
            <w:lang w:val="en-GB"/>
          </w:rPr>
          <w:t>https://doi.org/10.1088/1755-1315/822/1/012033</w:t>
        </w:r>
      </w:hyperlink>
    </w:p>
    <w:p w14:paraId="0DF9DA45"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Arora, S., Saha, P., &amp; Shende, A. D. (2025). Assessment of heavy metal pollution of surface water through multivariate analysis, HPI, and GIS techniques. </w:t>
      </w:r>
      <w:r w:rsidRPr="00442A85">
        <w:rPr>
          <w:rFonts w:asciiTheme="majorBidi" w:hAnsiTheme="majorBidi" w:cstheme="majorBidi"/>
          <w:i/>
          <w:iCs/>
          <w:color w:val="000000" w:themeColor="text1"/>
          <w:lang w:val="en-GB"/>
        </w:rPr>
        <w:t>Water Practice &amp; Technology, 20</w:t>
      </w:r>
      <w:r w:rsidRPr="00442A85">
        <w:rPr>
          <w:rFonts w:asciiTheme="majorBidi" w:hAnsiTheme="majorBidi" w:cstheme="majorBidi"/>
          <w:color w:val="000000" w:themeColor="text1"/>
          <w:lang w:val="en-GB"/>
        </w:rPr>
        <w:t xml:space="preserve">(1), 148. </w:t>
      </w:r>
      <w:hyperlink r:id="rId15" w:tgtFrame="_new" w:history="1">
        <w:r w:rsidRPr="00442A85">
          <w:rPr>
            <w:rStyle w:val="Hyperlink"/>
            <w:rFonts w:asciiTheme="majorBidi" w:hAnsiTheme="majorBidi" w:cstheme="majorBidi"/>
            <w:lang w:val="en-GB"/>
          </w:rPr>
          <w:t>https://doi.org/10.2166/wpt.2025.010</w:t>
        </w:r>
      </w:hyperlink>
    </w:p>
    <w:p w14:paraId="4537302E"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Azokpota, E., Alassane, Y. A. K., Avocefohoun, A. S., Alassane Moussa, A. K., Adandedjan, C., Ahyi, V., Dossa, C. P. A., &amp; Sohounhloue, D. C. K. (2022). Levels of heavy metal contamination (As, Cd, Hg, Pb) in drinking water sources in Agbangnizoun and Za-Kpota Town Halls, southern Benin. </w:t>
      </w:r>
      <w:r w:rsidRPr="00442A85">
        <w:rPr>
          <w:rFonts w:asciiTheme="majorBidi" w:hAnsiTheme="majorBidi" w:cstheme="majorBidi"/>
          <w:i/>
          <w:iCs/>
          <w:color w:val="000000" w:themeColor="text1"/>
          <w:lang w:val="en-GB"/>
        </w:rPr>
        <w:t>International Journal of Chemistry, 14</w:t>
      </w:r>
      <w:r w:rsidRPr="00442A85">
        <w:rPr>
          <w:rFonts w:asciiTheme="majorBidi" w:hAnsiTheme="majorBidi" w:cstheme="majorBidi"/>
          <w:color w:val="000000" w:themeColor="text1"/>
          <w:lang w:val="en-GB"/>
        </w:rPr>
        <w:t xml:space="preserve">(1), 41–60. </w:t>
      </w:r>
      <w:hyperlink r:id="rId16" w:tgtFrame="_new" w:history="1">
        <w:r w:rsidRPr="00442A85">
          <w:rPr>
            <w:rStyle w:val="Hyperlink"/>
            <w:rFonts w:asciiTheme="majorBidi" w:hAnsiTheme="majorBidi" w:cstheme="majorBidi"/>
            <w:lang w:val="en-GB"/>
          </w:rPr>
          <w:t>https://doi.org/10.5539/ijc.v14n1p41</w:t>
        </w:r>
      </w:hyperlink>
    </w:p>
    <w:p w14:paraId="71402781"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Badeenezhad, A., Soleimani, H., Shahsavani, S., et al. (2023). Comprehensive assessment of human health risks from heavy metal contamination using water quality indices and Monte Carlo simulation in R. </w:t>
      </w:r>
      <w:r w:rsidRPr="00442A85">
        <w:rPr>
          <w:rFonts w:asciiTheme="majorBidi" w:hAnsiTheme="majorBidi" w:cstheme="majorBidi"/>
          <w:i/>
          <w:iCs/>
          <w:color w:val="000000" w:themeColor="text1"/>
          <w:lang w:val="en-GB"/>
        </w:rPr>
        <w:t>Scientific Reports, 13</w:t>
      </w:r>
      <w:r w:rsidRPr="00442A85">
        <w:rPr>
          <w:rFonts w:asciiTheme="majorBidi" w:hAnsiTheme="majorBidi" w:cstheme="majorBidi"/>
          <w:color w:val="000000" w:themeColor="text1"/>
          <w:lang w:val="en-GB"/>
        </w:rPr>
        <w:t xml:space="preserve">, 15817. </w:t>
      </w:r>
      <w:hyperlink r:id="rId17" w:tgtFrame="_new" w:history="1">
        <w:r w:rsidRPr="00442A85">
          <w:rPr>
            <w:rStyle w:val="Hyperlink"/>
            <w:rFonts w:asciiTheme="majorBidi" w:hAnsiTheme="majorBidi" w:cstheme="majorBidi"/>
            <w:lang w:val="en-GB"/>
          </w:rPr>
          <w:t>https://doi.org/10.1038/s41598-023-43161-3</w:t>
        </w:r>
      </w:hyperlink>
    </w:p>
    <w:p w14:paraId="4538750D"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lastRenderedPageBreak/>
        <w:t xml:space="preserve">Belabed, S., &amp; Soltani, N. (2018). Effects of cadmium concentration on bioaccumulation and depuration in the marine bivalve </w:t>
      </w:r>
      <w:r w:rsidRPr="00442A85">
        <w:rPr>
          <w:rFonts w:asciiTheme="majorBidi" w:hAnsiTheme="majorBidi" w:cstheme="majorBidi"/>
          <w:i/>
          <w:iCs/>
          <w:color w:val="000000" w:themeColor="text1"/>
          <w:lang w:val="en-GB"/>
        </w:rPr>
        <w:t>Donax trunculus</w:t>
      </w:r>
      <w:r w:rsidRPr="00442A85">
        <w:rPr>
          <w:rFonts w:asciiTheme="majorBidi" w:hAnsiTheme="majorBidi" w:cstheme="majorBidi"/>
          <w:color w:val="000000" w:themeColor="text1"/>
          <w:lang w:val="en-GB"/>
        </w:rPr>
        <w:t xml:space="preserve">. </w:t>
      </w:r>
      <w:r w:rsidRPr="00442A85">
        <w:rPr>
          <w:rFonts w:asciiTheme="majorBidi" w:hAnsiTheme="majorBidi" w:cstheme="majorBidi"/>
          <w:i/>
          <w:iCs/>
          <w:color w:val="000000" w:themeColor="text1"/>
          <w:lang w:val="en-GB"/>
        </w:rPr>
        <w:t>Euro-Mediterranean Journal for Environmental Integration, 3</w:t>
      </w:r>
      <w:r w:rsidRPr="00442A85">
        <w:rPr>
          <w:rFonts w:asciiTheme="majorBidi" w:hAnsiTheme="majorBidi" w:cstheme="majorBidi"/>
          <w:color w:val="000000" w:themeColor="text1"/>
          <w:lang w:val="en-GB"/>
        </w:rPr>
        <w:t xml:space="preserve">, 19. </w:t>
      </w:r>
      <w:hyperlink r:id="rId18" w:tgtFrame="_new" w:history="1">
        <w:r w:rsidRPr="00442A85">
          <w:rPr>
            <w:rStyle w:val="Hyperlink"/>
            <w:rFonts w:asciiTheme="majorBidi" w:hAnsiTheme="majorBidi" w:cstheme="majorBidi"/>
            <w:lang w:val="en-GB"/>
          </w:rPr>
          <w:t>https://doi.org/10.1007/s41207-018-0054-0</w:t>
        </w:r>
      </w:hyperlink>
    </w:p>
    <w:p w14:paraId="21EF50DC" w14:textId="77777777" w:rsidR="00D176FB" w:rsidRPr="00442A85" w:rsidRDefault="00D176FB" w:rsidP="00D176FB">
      <w:pPr>
        <w:spacing w:line="360" w:lineRule="auto"/>
        <w:ind w:left="360"/>
        <w:rPr>
          <w:rFonts w:asciiTheme="majorBidi" w:hAnsiTheme="majorBidi" w:cstheme="majorBidi"/>
          <w:color w:val="000000" w:themeColor="text1"/>
        </w:rPr>
      </w:pPr>
      <w:r w:rsidRPr="00442A85">
        <w:rPr>
          <w:rFonts w:asciiTheme="majorBidi" w:hAnsiTheme="majorBidi" w:cstheme="majorBidi"/>
          <w:color w:val="000000" w:themeColor="text1"/>
          <w:lang w:val="en-GB"/>
        </w:rPr>
        <w:t xml:space="preserve">Boukari, M., Totin, H., Upton, K., Ó Dochartaigh, B. É., &amp; Bellwood-Howard, I. (2018). </w:t>
      </w:r>
      <w:r w:rsidRPr="00442A85">
        <w:rPr>
          <w:rFonts w:asciiTheme="majorBidi" w:hAnsiTheme="majorBidi" w:cstheme="majorBidi"/>
          <w:i/>
          <w:iCs/>
          <w:color w:val="000000" w:themeColor="text1"/>
          <w:lang w:val="en-GB"/>
        </w:rPr>
        <w:t>Atlas of African Groundwater: Hydrogeology of Benin.</w:t>
      </w:r>
      <w:r w:rsidRPr="00442A85">
        <w:rPr>
          <w:rFonts w:asciiTheme="majorBidi" w:hAnsiTheme="majorBidi" w:cstheme="majorBidi"/>
          <w:color w:val="000000" w:themeColor="text1"/>
          <w:lang w:val="en-GB"/>
        </w:rPr>
        <w:t xml:space="preserve"> British Geological Survey. </w:t>
      </w:r>
      <w:hyperlink r:id="rId19" w:tgtFrame="_new" w:history="1">
        <w:r w:rsidRPr="00442A85">
          <w:rPr>
            <w:rStyle w:val="Hyperlink"/>
            <w:rFonts w:asciiTheme="majorBidi" w:hAnsiTheme="majorBidi" w:cstheme="majorBidi"/>
          </w:rPr>
          <w:t>http://earthwise.bgs.ac.uk/index.php/Hydrogeology_of_Benin</w:t>
        </w:r>
      </w:hyperlink>
    </w:p>
    <w:p w14:paraId="74FDD94B"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rPr>
        <w:t xml:space="preserve">Dovonou, F., Adjahossou, N., Alamou, E., Alassane, A., Mama, D., &amp; Boukari, M. (2014). </w:t>
      </w:r>
      <w:r w:rsidRPr="00442A85">
        <w:rPr>
          <w:rFonts w:asciiTheme="majorBidi" w:hAnsiTheme="majorBidi" w:cstheme="majorBidi"/>
          <w:color w:val="000000" w:themeColor="text1"/>
          <w:lang w:val="en-GB"/>
        </w:rPr>
        <w:t xml:space="preserve">Groundwater contamination by heavy metals and environmental impact: The case of the shallow aquifer of the Godomey intensive abstraction site, southern Benin. </w:t>
      </w:r>
      <w:r w:rsidRPr="00442A85">
        <w:rPr>
          <w:rFonts w:asciiTheme="majorBidi" w:hAnsiTheme="majorBidi" w:cstheme="majorBidi"/>
          <w:i/>
          <w:iCs/>
          <w:color w:val="000000" w:themeColor="text1"/>
          <w:lang w:val="en-GB"/>
        </w:rPr>
        <w:t>Africa Geoscience Review, 21</w:t>
      </w:r>
      <w:r w:rsidRPr="00442A85">
        <w:rPr>
          <w:rFonts w:asciiTheme="majorBidi" w:hAnsiTheme="majorBidi" w:cstheme="majorBidi"/>
          <w:color w:val="000000" w:themeColor="text1"/>
          <w:lang w:val="en-GB"/>
        </w:rPr>
        <w:t xml:space="preserve">(1–2), 45–55. </w:t>
      </w:r>
      <w:hyperlink r:id="rId20" w:tgtFrame="_new" w:history="1">
        <w:r w:rsidRPr="00442A85">
          <w:rPr>
            <w:rStyle w:val="Hyperlink"/>
            <w:rFonts w:asciiTheme="majorBidi" w:hAnsiTheme="majorBidi" w:cstheme="majorBidi"/>
            <w:lang w:val="en-GB"/>
          </w:rPr>
          <w:t>https://bec.uac.bj/uploads/publication/e4217fdf1aed7ebc639a44c93cc54fab.pdf</w:t>
        </w:r>
      </w:hyperlink>
    </w:p>
    <w:p w14:paraId="4985F620"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Durowoju, O. S., Ekosse, G. I. E., &amp; Odiyo, J. O. (2020). Occurrence and health risk assessment of trace metals in geothermal springs of Soutpansberg, Limpopo Province, South Africa. </w:t>
      </w:r>
      <w:r w:rsidRPr="00442A85">
        <w:rPr>
          <w:rFonts w:asciiTheme="majorBidi" w:hAnsiTheme="majorBidi" w:cstheme="majorBidi"/>
          <w:i/>
          <w:iCs/>
          <w:color w:val="000000" w:themeColor="text1"/>
          <w:lang w:val="en-GB"/>
        </w:rPr>
        <w:t>International Journal of Environmental Research and Public Health, 17</w:t>
      </w:r>
      <w:r w:rsidRPr="00442A85">
        <w:rPr>
          <w:rFonts w:asciiTheme="majorBidi" w:hAnsiTheme="majorBidi" w:cstheme="majorBidi"/>
          <w:color w:val="000000" w:themeColor="text1"/>
          <w:lang w:val="en-GB"/>
        </w:rPr>
        <w:t xml:space="preserve">(12), 4438. </w:t>
      </w:r>
      <w:hyperlink r:id="rId21" w:tgtFrame="_new" w:history="1">
        <w:r w:rsidRPr="00442A85">
          <w:rPr>
            <w:rStyle w:val="Hyperlink"/>
            <w:rFonts w:asciiTheme="majorBidi" w:hAnsiTheme="majorBidi" w:cstheme="majorBidi"/>
            <w:lang w:val="en-GB"/>
          </w:rPr>
          <w:t>https://doi.org/10.3390/ijerph17124438</w:t>
        </w:r>
      </w:hyperlink>
    </w:p>
    <w:p w14:paraId="33400869"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Eldaw, E., Huang, T., Elubid, B., Khalifa Mahamed, A., &amp; Mahama, Y. (2020). A novel approach for heavy metal pollution indexing to assess groundwater quality for human consumption. </w:t>
      </w:r>
      <w:r w:rsidRPr="00442A85">
        <w:rPr>
          <w:rFonts w:asciiTheme="majorBidi" w:hAnsiTheme="majorBidi" w:cstheme="majorBidi"/>
          <w:i/>
          <w:iCs/>
          <w:color w:val="000000" w:themeColor="text1"/>
          <w:lang w:val="en-GB"/>
        </w:rPr>
        <w:t>International Journal of Environmental Research and Public Health, 17</w:t>
      </w:r>
      <w:r w:rsidRPr="00442A85">
        <w:rPr>
          <w:rFonts w:asciiTheme="majorBidi" w:hAnsiTheme="majorBidi" w:cstheme="majorBidi"/>
          <w:color w:val="000000" w:themeColor="text1"/>
          <w:lang w:val="en-GB"/>
        </w:rPr>
        <w:t xml:space="preserve">, 1245. </w:t>
      </w:r>
      <w:hyperlink r:id="rId22" w:tgtFrame="_new" w:history="1">
        <w:r w:rsidRPr="00442A85">
          <w:rPr>
            <w:rStyle w:val="Hyperlink"/>
            <w:rFonts w:asciiTheme="majorBidi" w:hAnsiTheme="majorBidi" w:cstheme="majorBidi"/>
            <w:lang w:val="en-GB"/>
          </w:rPr>
          <w:t>https://doi.org/10.3390/ijerph17041245</w:t>
        </w:r>
      </w:hyperlink>
    </w:p>
    <w:p w14:paraId="3A8F755E"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Emmanuel, U. C., Maduka, I. C., Suru, S. M., &amp; Anakwuo, I. A. (2022). Human health risk assessment of heavy metals in drinking water sources in three senatorial districts of Anambra State, Nigeria. </w:t>
      </w:r>
      <w:r w:rsidRPr="00442A85">
        <w:rPr>
          <w:rFonts w:asciiTheme="majorBidi" w:hAnsiTheme="majorBidi" w:cstheme="majorBidi"/>
          <w:i/>
          <w:iCs/>
          <w:color w:val="000000" w:themeColor="text1"/>
          <w:lang w:val="en-GB"/>
        </w:rPr>
        <w:t>Toxicology Reports, 9</w:t>
      </w:r>
      <w:r w:rsidRPr="00442A85">
        <w:rPr>
          <w:rFonts w:asciiTheme="majorBidi" w:hAnsiTheme="majorBidi" w:cstheme="majorBidi"/>
          <w:color w:val="000000" w:themeColor="text1"/>
          <w:lang w:val="en-GB"/>
        </w:rPr>
        <w:t xml:space="preserve">, 869–875. </w:t>
      </w:r>
      <w:hyperlink r:id="rId23" w:tgtFrame="_new" w:history="1">
        <w:r w:rsidRPr="00442A85">
          <w:rPr>
            <w:rStyle w:val="Hyperlink"/>
            <w:rFonts w:asciiTheme="majorBidi" w:hAnsiTheme="majorBidi" w:cstheme="majorBidi"/>
            <w:lang w:val="en-GB"/>
          </w:rPr>
          <w:t>https://doi.org/10.1016/j.toxrep.2022.04.011</w:t>
        </w:r>
      </w:hyperlink>
    </w:p>
    <w:p w14:paraId="2C966D18"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Gad, M., Gaagai, A., Agrama, A. A., El-Fiqy, W. F. M., Eid, M. H., Szucs, P., &amp; Ibrahim, H. (2024). Comprehensive evaluation and prediction of groundwater quality and risk indices using quantitative approaches, multivariate analysis, and machine learning models. </w:t>
      </w:r>
      <w:r w:rsidRPr="00442A85">
        <w:rPr>
          <w:rFonts w:asciiTheme="majorBidi" w:hAnsiTheme="majorBidi" w:cstheme="majorBidi"/>
          <w:i/>
          <w:iCs/>
          <w:color w:val="000000" w:themeColor="text1"/>
          <w:lang w:val="en-GB"/>
        </w:rPr>
        <w:t>Heliyon, 10</w:t>
      </w:r>
      <w:r w:rsidRPr="00442A85">
        <w:rPr>
          <w:rFonts w:asciiTheme="majorBidi" w:hAnsiTheme="majorBidi" w:cstheme="majorBidi"/>
          <w:color w:val="000000" w:themeColor="text1"/>
          <w:lang w:val="en-GB"/>
        </w:rPr>
        <w:t xml:space="preserve">, e36606. </w:t>
      </w:r>
      <w:hyperlink r:id="rId24" w:tgtFrame="_new" w:history="1">
        <w:r w:rsidRPr="00442A85">
          <w:rPr>
            <w:rStyle w:val="Hyperlink"/>
            <w:rFonts w:asciiTheme="majorBidi" w:hAnsiTheme="majorBidi" w:cstheme="majorBidi"/>
            <w:lang w:val="en-GB"/>
          </w:rPr>
          <w:t>https://doi.org/10.1016/j.heliyon.2024.e36606</w:t>
        </w:r>
      </w:hyperlink>
    </w:p>
    <w:p w14:paraId="21E3F24F"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Hartiningsih, D., Diana, S., Yuniarti, M. S., Ismail, M. R., &amp; Sari, Q. W. (2024). Water pollution indices for assessing heavy metal contamination: A case study of Cirebon estuarine waters before and after the COVID-19 pandemic. </w:t>
      </w:r>
      <w:r w:rsidRPr="00442A85">
        <w:rPr>
          <w:rFonts w:asciiTheme="majorBidi" w:hAnsiTheme="majorBidi" w:cstheme="majorBidi"/>
          <w:i/>
          <w:iCs/>
          <w:color w:val="000000" w:themeColor="text1"/>
          <w:lang w:val="en-GB"/>
        </w:rPr>
        <w:t>Environmental Sustainability Indicators, 21</w:t>
      </w:r>
      <w:r w:rsidRPr="00442A85">
        <w:rPr>
          <w:rFonts w:asciiTheme="majorBidi" w:hAnsiTheme="majorBidi" w:cstheme="majorBidi"/>
          <w:color w:val="000000" w:themeColor="text1"/>
          <w:lang w:val="en-GB"/>
        </w:rPr>
        <w:t xml:space="preserve">, 100318. </w:t>
      </w:r>
      <w:hyperlink r:id="rId25" w:tgtFrame="_new" w:history="1">
        <w:r w:rsidRPr="00442A85">
          <w:rPr>
            <w:rStyle w:val="Hyperlink"/>
            <w:rFonts w:asciiTheme="majorBidi" w:hAnsiTheme="majorBidi" w:cstheme="majorBidi"/>
            <w:lang w:val="en-GB"/>
          </w:rPr>
          <w:t>https://doi.org/10.1016/j.indic.2023.100318</w:t>
        </w:r>
      </w:hyperlink>
    </w:p>
    <w:p w14:paraId="40D38A34" w14:textId="77777777" w:rsidR="00D176FB" w:rsidRPr="00442A85" w:rsidRDefault="00D176FB" w:rsidP="00D176FB">
      <w:pPr>
        <w:spacing w:line="360" w:lineRule="auto"/>
        <w:ind w:left="360"/>
        <w:rPr>
          <w:rFonts w:asciiTheme="majorBidi" w:hAnsiTheme="majorBidi" w:cstheme="majorBidi"/>
          <w:color w:val="000000" w:themeColor="text1"/>
        </w:rPr>
      </w:pPr>
      <w:r w:rsidRPr="00442A85">
        <w:rPr>
          <w:rFonts w:asciiTheme="majorBidi" w:hAnsiTheme="majorBidi" w:cstheme="majorBidi"/>
          <w:color w:val="000000" w:themeColor="text1"/>
          <w:lang w:val="en-GB"/>
        </w:rPr>
        <w:t xml:space="preserve">Jaishankar, M., Tseten, T., Anbalagan, N., Mathew, B. B., &amp; Beeregowda, K. N. (2014). Toxicity, mechanism, and health effects of selected heavy metals. </w:t>
      </w:r>
      <w:r w:rsidRPr="00442A85">
        <w:rPr>
          <w:rFonts w:asciiTheme="majorBidi" w:hAnsiTheme="majorBidi" w:cstheme="majorBidi"/>
          <w:i/>
          <w:iCs/>
          <w:color w:val="000000" w:themeColor="text1"/>
          <w:lang w:val="en-GB"/>
        </w:rPr>
        <w:t>Interdisciplinary Toxicology, 7</w:t>
      </w:r>
      <w:r w:rsidRPr="00442A85">
        <w:rPr>
          <w:rFonts w:asciiTheme="majorBidi" w:hAnsiTheme="majorBidi" w:cstheme="majorBidi"/>
          <w:color w:val="000000" w:themeColor="text1"/>
          <w:lang w:val="en-GB"/>
        </w:rPr>
        <w:t xml:space="preserve">(2), 60–72. </w:t>
      </w:r>
      <w:hyperlink r:id="rId26" w:tgtFrame="_new" w:history="1">
        <w:r w:rsidRPr="00442A85">
          <w:rPr>
            <w:rStyle w:val="Hyperlink"/>
            <w:rFonts w:asciiTheme="majorBidi" w:hAnsiTheme="majorBidi" w:cstheme="majorBidi"/>
          </w:rPr>
          <w:t>https://doi.org/10.2478/intox-2014-0009</w:t>
        </w:r>
      </w:hyperlink>
    </w:p>
    <w:p w14:paraId="0E69CE00"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rPr>
        <w:lastRenderedPageBreak/>
        <w:t xml:space="preserve">Kpegli, K. A. R., Adandedji, F., Ahouandogbo, C., Djihouessi, M. B., Hounkpe, J., N’Tcha M’Po, Y., Bossa, A. Y., Alassane, A., Sintondji, L. O., Mama, D., &amp; Boukari, M. (2024). </w:t>
      </w:r>
      <w:r w:rsidRPr="00442A85">
        <w:rPr>
          <w:rFonts w:asciiTheme="majorBidi" w:hAnsiTheme="majorBidi" w:cstheme="majorBidi"/>
          <w:color w:val="000000" w:themeColor="text1"/>
          <w:lang w:val="en-GB"/>
        </w:rPr>
        <w:t xml:space="preserve">Groundwater recharge assessment in central Benin: The case of the Collines region (West Africa). </w:t>
      </w:r>
      <w:r w:rsidRPr="00442A85">
        <w:rPr>
          <w:rFonts w:asciiTheme="majorBidi" w:hAnsiTheme="majorBidi" w:cstheme="majorBidi"/>
          <w:i/>
          <w:iCs/>
          <w:color w:val="000000" w:themeColor="text1"/>
          <w:lang w:val="en-GB"/>
        </w:rPr>
        <w:t>Water, 16</w:t>
      </w:r>
      <w:r w:rsidRPr="00442A85">
        <w:rPr>
          <w:rFonts w:asciiTheme="majorBidi" w:hAnsiTheme="majorBidi" w:cstheme="majorBidi"/>
          <w:color w:val="000000" w:themeColor="text1"/>
          <w:lang w:val="en-GB"/>
        </w:rPr>
        <w:t xml:space="preserve">(10), 1330. </w:t>
      </w:r>
      <w:hyperlink r:id="rId27" w:tgtFrame="_new" w:history="1">
        <w:r w:rsidRPr="00442A85">
          <w:rPr>
            <w:rStyle w:val="Hyperlink"/>
            <w:rFonts w:asciiTheme="majorBidi" w:hAnsiTheme="majorBidi" w:cstheme="majorBidi"/>
            <w:lang w:val="en-GB"/>
          </w:rPr>
          <w:t>https://doi.org/10.3390/w16101330</w:t>
        </w:r>
      </w:hyperlink>
    </w:p>
    <w:p w14:paraId="0C109910"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Latif, M., Nasim, I., Ahmad, M., Nawaz, R., Tahir, A., Irshad, M. A., … Zaki, M. E. A. (2025). Human health risk assessment of drinking water using heavy metal pollution index: A GIS-based study in a megacity. </w:t>
      </w:r>
      <w:r w:rsidRPr="00442A85">
        <w:rPr>
          <w:rFonts w:asciiTheme="majorBidi" w:hAnsiTheme="majorBidi" w:cstheme="majorBidi"/>
          <w:i/>
          <w:iCs/>
          <w:color w:val="000000" w:themeColor="text1"/>
          <w:lang w:val="en-GB"/>
        </w:rPr>
        <w:t>Applied Water Science, 15</w:t>
      </w:r>
      <w:r w:rsidRPr="00442A85">
        <w:rPr>
          <w:rFonts w:asciiTheme="majorBidi" w:hAnsiTheme="majorBidi" w:cstheme="majorBidi"/>
          <w:color w:val="000000" w:themeColor="text1"/>
          <w:lang w:val="en-GB"/>
        </w:rPr>
        <w:t xml:space="preserve">, 12. </w:t>
      </w:r>
      <w:hyperlink r:id="rId28" w:tgtFrame="_new" w:history="1">
        <w:r w:rsidRPr="00442A85">
          <w:rPr>
            <w:rStyle w:val="Hyperlink"/>
            <w:rFonts w:asciiTheme="majorBidi" w:hAnsiTheme="majorBidi" w:cstheme="majorBidi"/>
            <w:lang w:val="en-GB"/>
          </w:rPr>
          <w:t>https://doi.org/10.1007/s13201-024-02341-w</w:t>
        </w:r>
      </w:hyperlink>
    </w:p>
    <w:p w14:paraId="73CCC417"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Liu, Y., Sun, H., Ding, M., Jia, D., Li, Z., An, J., … Zhao, Z. (2025). Risk evaluation of heavy metal pollution in groundwater in the arid region of Xining, Qinghai Province. </w:t>
      </w:r>
      <w:r w:rsidRPr="00442A85">
        <w:rPr>
          <w:rFonts w:asciiTheme="majorBidi" w:hAnsiTheme="majorBidi" w:cstheme="majorBidi"/>
          <w:i/>
          <w:iCs/>
          <w:color w:val="000000" w:themeColor="text1"/>
          <w:lang w:val="en-GB"/>
        </w:rPr>
        <w:t>China Geology, 8</w:t>
      </w:r>
      <w:r w:rsidRPr="00442A85">
        <w:rPr>
          <w:rFonts w:asciiTheme="majorBidi" w:hAnsiTheme="majorBidi" w:cstheme="majorBidi"/>
          <w:color w:val="000000" w:themeColor="text1"/>
          <w:lang w:val="en-GB"/>
        </w:rPr>
        <w:t>, 526–539</w:t>
      </w:r>
    </w:p>
    <w:p w14:paraId="118B98ED" w14:textId="77777777" w:rsidR="00D176FB" w:rsidRPr="00442A85" w:rsidRDefault="00D176FB" w:rsidP="00D176FB">
      <w:pPr>
        <w:spacing w:line="360" w:lineRule="auto"/>
        <w:ind w:left="360"/>
        <w:rPr>
          <w:rFonts w:asciiTheme="majorBidi" w:hAnsiTheme="majorBidi" w:cstheme="majorBidi"/>
          <w:color w:val="000000" w:themeColor="text1"/>
        </w:rPr>
      </w:pPr>
      <w:r w:rsidRPr="00442A85">
        <w:rPr>
          <w:rFonts w:asciiTheme="majorBidi" w:hAnsiTheme="majorBidi" w:cstheme="majorBidi"/>
          <w:color w:val="000000" w:themeColor="text1"/>
          <w:lang w:val="en-GB"/>
        </w:rPr>
        <w:t xml:space="preserve">Majumdar, A., &amp; Avishek, K. (2024). Assessment of heavy metal and physicochemical pollutant load in the Danro River and its management through floating-bed remediation. </w:t>
      </w:r>
      <w:r w:rsidRPr="00442A85">
        <w:rPr>
          <w:rFonts w:asciiTheme="majorBidi" w:hAnsiTheme="majorBidi" w:cstheme="majorBidi"/>
          <w:i/>
          <w:iCs/>
          <w:color w:val="000000" w:themeColor="text1"/>
        </w:rPr>
        <w:t>Scientific Reports, 14</w:t>
      </w:r>
      <w:r w:rsidRPr="00442A85">
        <w:rPr>
          <w:rFonts w:asciiTheme="majorBidi" w:hAnsiTheme="majorBidi" w:cstheme="majorBidi"/>
          <w:color w:val="000000" w:themeColor="text1"/>
        </w:rPr>
        <w:t xml:space="preserve">, 9885. </w:t>
      </w:r>
      <w:hyperlink r:id="rId29" w:tgtFrame="_new" w:history="1">
        <w:r w:rsidRPr="00442A85">
          <w:rPr>
            <w:rStyle w:val="Hyperlink"/>
            <w:rFonts w:asciiTheme="majorBidi" w:hAnsiTheme="majorBidi" w:cstheme="majorBidi"/>
          </w:rPr>
          <w:t>https://doi.org/10.1038/s41598-024-60511-x</w:t>
        </w:r>
      </w:hyperlink>
    </w:p>
    <w:p w14:paraId="3376653C"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rPr>
        <w:t xml:space="preserve">Mthembu, P. P., Elumalai, V., Li, P., et al. </w:t>
      </w:r>
      <w:r w:rsidRPr="00442A85">
        <w:rPr>
          <w:rFonts w:asciiTheme="majorBidi" w:hAnsiTheme="majorBidi" w:cstheme="majorBidi"/>
          <w:color w:val="000000" w:themeColor="text1"/>
          <w:lang w:val="en-GB"/>
        </w:rPr>
        <w:t xml:space="preserve">(2022). Integrating heavy metal pollution indices and human health risk assessment in semi-arid coastal aquifers of South Africa. </w:t>
      </w:r>
      <w:r w:rsidRPr="00442A85">
        <w:rPr>
          <w:rFonts w:asciiTheme="majorBidi" w:hAnsiTheme="majorBidi" w:cstheme="majorBidi"/>
          <w:i/>
          <w:iCs/>
          <w:color w:val="000000" w:themeColor="text1"/>
          <w:lang w:val="en-GB"/>
        </w:rPr>
        <w:t>Exposure and Health, 14</w:t>
      </w:r>
      <w:r w:rsidRPr="00442A85">
        <w:rPr>
          <w:rFonts w:asciiTheme="majorBidi" w:hAnsiTheme="majorBidi" w:cstheme="majorBidi"/>
          <w:color w:val="000000" w:themeColor="text1"/>
          <w:lang w:val="en-GB"/>
        </w:rPr>
        <w:t xml:space="preserve">, 487–502. </w:t>
      </w:r>
      <w:hyperlink r:id="rId30" w:tgtFrame="_new" w:history="1">
        <w:r w:rsidRPr="00442A85">
          <w:rPr>
            <w:rStyle w:val="Hyperlink"/>
            <w:rFonts w:asciiTheme="majorBidi" w:hAnsiTheme="majorBidi" w:cstheme="majorBidi"/>
            <w:lang w:val="en-GB"/>
          </w:rPr>
          <w:t>https://doi.org/10.1007/s12403-022-00478-0</w:t>
        </w:r>
      </w:hyperlink>
    </w:p>
    <w:p w14:paraId="60167DEB"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World Health Organization (WHO). (2017). </w:t>
      </w:r>
      <w:r w:rsidRPr="00442A85">
        <w:rPr>
          <w:rFonts w:asciiTheme="majorBidi" w:hAnsiTheme="majorBidi" w:cstheme="majorBidi"/>
          <w:i/>
          <w:iCs/>
          <w:color w:val="000000" w:themeColor="text1"/>
          <w:lang w:val="en-GB"/>
        </w:rPr>
        <w:t>Guidelines for Drinking-water Quality: Fourth Edition incorporating the first addendum.</w:t>
      </w:r>
      <w:r w:rsidRPr="00442A85">
        <w:rPr>
          <w:rFonts w:asciiTheme="majorBidi" w:hAnsiTheme="majorBidi" w:cstheme="majorBidi"/>
          <w:color w:val="000000" w:themeColor="text1"/>
          <w:lang w:val="en-GB"/>
        </w:rPr>
        <w:t xml:space="preserve"> Geneva. </w:t>
      </w:r>
      <w:hyperlink r:id="rId31" w:tgtFrame="_new" w:history="1">
        <w:r w:rsidRPr="00442A85">
          <w:rPr>
            <w:rStyle w:val="Hyperlink"/>
            <w:rFonts w:asciiTheme="majorBidi" w:hAnsiTheme="majorBidi" w:cstheme="majorBidi"/>
            <w:lang w:val="en-GB"/>
          </w:rPr>
          <w:t>https://www.who.int/fr/publications/i/item/9789241549950</w:t>
        </w:r>
      </w:hyperlink>
    </w:p>
    <w:p w14:paraId="59E99961"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World Health Organization (WHO). (2021). </w:t>
      </w:r>
      <w:r w:rsidRPr="00442A85">
        <w:rPr>
          <w:rFonts w:asciiTheme="majorBidi" w:hAnsiTheme="majorBidi" w:cstheme="majorBidi"/>
          <w:i/>
          <w:iCs/>
          <w:color w:val="000000" w:themeColor="text1"/>
          <w:lang w:val="en-GB"/>
        </w:rPr>
        <w:t>Children and digital waste: Exposure to waste from electrical and electronic equipment and child health.</w:t>
      </w:r>
      <w:r w:rsidRPr="00442A85">
        <w:rPr>
          <w:rFonts w:asciiTheme="majorBidi" w:hAnsiTheme="majorBidi" w:cstheme="majorBidi"/>
          <w:color w:val="000000" w:themeColor="text1"/>
          <w:lang w:val="en-GB"/>
        </w:rPr>
        <w:t xml:space="preserve"> Geneva. </w:t>
      </w:r>
      <w:hyperlink r:id="rId32" w:tgtFrame="_new" w:history="1">
        <w:r w:rsidRPr="00442A85">
          <w:rPr>
            <w:rStyle w:val="Hyperlink"/>
            <w:rFonts w:asciiTheme="majorBidi" w:hAnsiTheme="majorBidi" w:cstheme="majorBidi"/>
            <w:lang w:val="en-GB"/>
          </w:rPr>
          <w:t>https://www.who.int/fr/publications/i/item/9789240023901</w:t>
        </w:r>
      </w:hyperlink>
    </w:p>
    <w:p w14:paraId="71AE057D"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Rajkumar, H., Naik, P. K., &amp; Rishi, M. S. (2020). A new indexing approach for evaluating heavy metal contamination in groundwater. </w:t>
      </w:r>
      <w:r w:rsidRPr="00442A85">
        <w:rPr>
          <w:rFonts w:asciiTheme="majorBidi" w:hAnsiTheme="majorBidi" w:cstheme="majorBidi"/>
          <w:i/>
          <w:iCs/>
          <w:color w:val="000000" w:themeColor="text1"/>
          <w:lang w:val="en-GB"/>
        </w:rPr>
        <w:t>Chemosphere, 246</w:t>
      </w:r>
      <w:r w:rsidRPr="00442A85">
        <w:rPr>
          <w:rFonts w:asciiTheme="majorBidi" w:hAnsiTheme="majorBidi" w:cstheme="majorBidi"/>
          <w:color w:val="000000" w:themeColor="text1"/>
          <w:lang w:val="en-GB"/>
        </w:rPr>
        <w:t xml:space="preserve">, 125598. </w:t>
      </w:r>
      <w:hyperlink r:id="rId33" w:tgtFrame="_new" w:history="1">
        <w:r w:rsidRPr="00442A85">
          <w:rPr>
            <w:rStyle w:val="Hyperlink"/>
            <w:rFonts w:asciiTheme="majorBidi" w:hAnsiTheme="majorBidi" w:cstheme="majorBidi"/>
            <w:lang w:val="en-GB"/>
          </w:rPr>
          <w:t>https://doi.org/10.1016/j.chemosphere.2019.125598</w:t>
        </w:r>
      </w:hyperlink>
    </w:p>
    <w:p w14:paraId="3C1571CA" w14:textId="77777777" w:rsidR="00D176FB" w:rsidRPr="00442A85" w:rsidRDefault="00D176FB" w:rsidP="00D176FB">
      <w:pPr>
        <w:spacing w:line="360" w:lineRule="auto"/>
        <w:ind w:left="360"/>
        <w:rPr>
          <w:rFonts w:asciiTheme="majorBidi" w:hAnsiTheme="majorBidi" w:cstheme="majorBidi"/>
          <w:color w:val="000000" w:themeColor="text1"/>
        </w:rPr>
      </w:pPr>
      <w:r w:rsidRPr="00442A85">
        <w:rPr>
          <w:rFonts w:asciiTheme="majorBidi" w:hAnsiTheme="majorBidi" w:cstheme="majorBidi"/>
          <w:color w:val="000000" w:themeColor="text1"/>
          <w:lang w:val="en-GB"/>
        </w:rPr>
        <w:t xml:space="preserve">Sanad, H., Moussadek, R., Dakak, H., Zouahri, A., Oueld Lhaj, M., &amp; Mouhir, L. (2024). Ecological and health risk assessment of heavy metals in groundwater of an agricultural ecosystem using GIS and multivariate statistical analysis. </w:t>
      </w:r>
      <w:r w:rsidRPr="00442A85">
        <w:rPr>
          <w:rFonts w:asciiTheme="majorBidi" w:hAnsiTheme="majorBidi" w:cstheme="majorBidi"/>
          <w:i/>
          <w:iCs/>
          <w:color w:val="000000" w:themeColor="text1"/>
        </w:rPr>
        <w:t>Water, 16</w:t>
      </w:r>
      <w:r w:rsidRPr="00442A85">
        <w:rPr>
          <w:rFonts w:asciiTheme="majorBidi" w:hAnsiTheme="majorBidi" w:cstheme="majorBidi"/>
          <w:color w:val="000000" w:themeColor="text1"/>
        </w:rPr>
        <w:t xml:space="preserve">(7), 2417. </w:t>
      </w:r>
      <w:hyperlink r:id="rId34" w:tgtFrame="_new" w:history="1">
        <w:r w:rsidRPr="00442A85">
          <w:rPr>
            <w:rStyle w:val="Hyperlink"/>
            <w:rFonts w:asciiTheme="majorBidi" w:hAnsiTheme="majorBidi" w:cstheme="majorBidi"/>
          </w:rPr>
          <w:t>https://doi.org/10.3390/w16172417</w:t>
        </w:r>
      </w:hyperlink>
    </w:p>
    <w:p w14:paraId="1DBB2315"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rPr>
        <w:t xml:space="preserve">Sbai, K., Tahri, L., Ghoumari, A., Hssaida, H., Essahlaoui, A., &amp; Moussaoui, Y. (2024). </w:t>
      </w:r>
      <w:r w:rsidRPr="00442A85">
        <w:rPr>
          <w:rFonts w:asciiTheme="majorBidi" w:hAnsiTheme="majorBidi" w:cstheme="majorBidi"/>
          <w:color w:val="000000" w:themeColor="text1"/>
          <w:lang w:val="en-GB"/>
        </w:rPr>
        <w:t xml:space="preserve">Water contamination by heavy metals in the Moulouya Plain and risk assessment (MI, HPI, HQ, HI &amp; CR). </w:t>
      </w:r>
      <w:r w:rsidRPr="00442A85">
        <w:rPr>
          <w:rFonts w:asciiTheme="majorBidi" w:hAnsiTheme="majorBidi" w:cstheme="majorBidi"/>
          <w:i/>
          <w:iCs/>
          <w:color w:val="000000" w:themeColor="text1"/>
          <w:lang w:val="en-GB"/>
        </w:rPr>
        <w:t>Journal of Water and Land Development, 260</w:t>
      </w:r>
      <w:r w:rsidRPr="00442A85">
        <w:rPr>
          <w:rFonts w:asciiTheme="majorBidi" w:hAnsiTheme="majorBidi" w:cstheme="majorBidi"/>
          <w:color w:val="000000" w:themeColor="text1"/>
          <w:lang w:val="en-GB"/>
        </w:rPr>
        <w:t xml:space="preserve">, 73–85. </w:t>
      </w:r>
      <w:hyperlink r:id="rId35" w:tgtFrame="_new" w:history="1">
        <w:r w:rsidRPr="00442A85">
          <w:rPr>
            <w:rStyle w:val="Hyperlink"/>
            <w:rFonts w:asciiTheme="majorBidi" w:hAnsiTheme="majorBidi" w:cstheme="majorBidi"/>
            <w:lang w:val="en-GB"/>
          </w:rPr>
          <w:t>https://doi.org/10.24425/jwld.2024.150272</w:t>
        </w:r>
      </w:hyperlink>
    </w:p>
    <w:p w14:paraId="2F3DA828"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lastRenderedPageBreak/>
        <w:t xml:space="preserve">Shankar, B. S. (2019). Critical analysis of the heavy metal pollution index of groundwater in the Peenya industrial area, Bangalore, India. </w:t>
      </w:r>
      <w:r w:rsidRPr="00442A85">
        <w:rPr>
          <w:rFonts w:asciiTheme="majorBidi" w:hAnsiTheme="majorBidi" w:cstheme="majorBidi"/>
          <w:i/>
          <w:iCs/>
          <w:color w:val="000000" w:themeColor="text1"/>
          <w:lang w:val="en-GB"/>
        </w:rPr>
        <w:t>Environmental Monitoring and Assessment, 191</w:t>
      </w:r>
      <w:r w:rsidRPr="00442A85">
        <w:rPr>
          <w:rFonts w:asciiTheme="majorBidi" w:hAnsiTheme="majorBidi" w:cstheme="majorBidi"/>
          <w:color w:val="000000" w:themeColor="text1"/>
          <w:lang w:val="en-GB"/>
        </w:rPr>
        <w:t xml:space="preserve">, 289. </w:t>
      </w:r>
      <w:hyperlink r:id="rId36" w:tgtFrame="_new" w:history="1">
        <w:r w:rsidRPr="00442A85">
          <w:rPr>
            <w:rStyle w:val="Hyperlink"/>
            <w:rFonts w:asciiTheme="majorBidi" w:hAnsiTheme="majorBidi" w:cstheme="majorBidi"/>
            <w:lang w:val="en-GB"/>
          </w:rPr>
          <w:t>https://doi.org/10.1007/s10661-019-7453-9</w:t>
        </w:r>
      </w:hyperlink>
    </w:p>
    <w:p w14:paraId="6B68E3F7"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Shehu, A., Vasjari, M., Duka, S., Vallja, L., Broli, N., &amp; Cenolli, S. (2022). Assessment of health risks induced by heavy metal contents in drinking water. </w:t>
      </w:r>
      <w:r w:rsidRPr="00442A85">
        <w:rPr>
          <w:rFonts w:asciiTheme="majorBidi" w:hAnsiTheme="majorBidi" w:cstheme="majorBidi"/>
          <w:i/>
          <w:iCs/>
          <w:color w:val="000000" w:themeColor="text1"/>
          <w:lang w:val="en-GB"/>
        </w:rPr>
        <w:t>Journal of Water, Sanitation and Hygiene for Development, 12</w:t>
      </w:r>
      <w:r w:rsidRPr="00442A85">
        <w:rPr>
          <w:rFonts w:asciiTheme="majorBidi" w:hAnsiTheme="majorBidi" w:cstheme="majorBidi"/>
          <w:color w:val="000000" w:themeColor="text1"/>
          <w:lang w:val="en-GB"/>
        </w:rPr>
        <w:t xml:space="preserve">(11), 816–826. </w:t>
      </w:r>
      <w:hyperlink r:id="rId37" w:tgtFrame="_new" w:history="1">
        <w:r w:rsidRPr="00442A85">
          <w:rPr>
            <w:rStyle w:val="Hyperlink"/>
            <w:rFonts w:asciiTheme="majorBidi" w:hAnsiTheme="majorBidi" w:cstheme="majorBidi"/>
            <w:lang w:val="en-GB"/>
          </w:rPr>
          <w:t>https://doi.org/10.2166/washdev.2022.126</w:t>
        </w:r>
      </w:hyperlink>
    </w:p>
    <w:p w14:paraId="31FE67FA"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Tchounwou, P. B., Yedjou, C. G., Patlolla, A. K., &amp; Sutton, D. J. (2012). Heavy metal toxicity and the environment. In A. Luch (Ed.), </w:t>
      </w:r>
      <w:r w:rsidRPr="00442A85">
        <w:rPr>
          <w:rFonts w:asciiTheme="majorBidi" w:hAnsiTheme="majorBidi" w:cstheme="majorBidi"/>
          <w:i/>
          <w:iCs/>
          <w:color w:val="000000" w:themeColor="text1"/>
          <w:lang w:val="en-GB"/>
        </w:rPr>
        <w:t>Molecular, Clinical and Environmental Toxicology</w:t>
      </w:r>
      <w:r w:rsidRPr="00442A85">
        <w:rPr>
          <w:rFonts w:asciiTheme="majorBidi" w:hAnsiTheme="majorBidi" w:cstheme="majorBidi"/>
          <w:color w:val="000000" w:themeColor="text1"/>
          <w:lang w:val="en-GB"/>
        </w:rPr>
        <w:t xml:space="preserve"> (Vol. 101, pp. 133–164). Springer. </w:t>
      </w:r>
      <w:hyperlink r:id="rId38" w:tgtFrame="_new" w:history="1">
        <w:r w:rsidRPr="00442A85">
          <w:rPr>
            <w:rStyle w:val="Hyperlink"/>
            <w:rFonts w:asciiTheme="majorBidi" w:hAnsiTheme="majorBidi" w:cstheme="majorBidi"/>
            <w:lang w:val="en-GB"/>
          </w:rPr>
          <w:t>https://doi.org/10.1007/978-3-7643-8340-4_6</w:t>
        </w:r>
      </w:hyperlink>
    </w:p>
    <w:p w14:paraId="07E7B55E"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Topanou, N., Gougbedji, M., Gbaguidi, G. J., Fadonougbo, R., Tometin, L., &amp; Fatombi, J. (2025). Electrical and electronic waste management in Benin: Socio-environmental and economic practices of households and professionals. </w:t>
      </w:r>
      <w:r w:rsidRPr="00442A85">
        <w:rPr>
          <w:rFonts w:asciiTheme="majorBidi" w:hAnsiTheme="majorBidi" w:cstheme="majorBidi"/>
          <w:i/>
          <w:iCs/>
          <w:color w:val="000000" w:themeColor="text1"/>
          <w:lang w:val="en-GB"/>
        </w:rPr>
        <w:t>Journal of Geoscience and Environment Protection, 13</w:t>
      </w:r>
      <w:r w:rsidRPr="00442A85">
        <w:rPr>
          <w:rFonts w:asciiTheme="majorBidi" w:hAnsiTheme="majorBidi" w:cstheme="majorBidi"/>
          <w:color w:val="000000" w:themeColor="text1"/>
          <w:lang w:val="en-GB"/>
        </w:rPr>
        <w:t xml:space="preserve">(5), 183–199. </w:t>
      </w:r>
      <w:hyperlink r:id="rId39" w:tgtFrame="_new" w:history="1">
        <w:r w:rsidRPr="00442A85">
          <w:rPr>
            <w:rStyle w:val="Hyperlink"/>
            <w:rFonts w:asciiTheme="majorBidi" w:hAnsiTheme="majorBidi" w:cstheme="majorBidi"/>
            <w:lang w:val="en-GB"/>
          </w:rPr>
          <w:t>https://doi.org/10.4236/gep.2025.135013</w:t>
        </w:r>
      </w:hyperlink>
    </w:p>
    <w:p w14:paraId="5F259EEE"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United Nations Environment Programme &amp; Basel Convention Secretariat. (2011). </w:t>
      </w:r>
      <w:r w:rsidRPr="00442A85">
        <w:rPr>
          <w:rFonts w:asciiTheme="majorBidi" w:hAnsiTheme="majorBidi" w:cstheme="majorBidi"/>
          <w:i/>
          <w:iCs/>
          <w:color w:val="000000" w:themeColor="text1"/>
          <w:lang w:val="en-GB"/>
        </w:rPr>
        <w:t>Where are WEEE in Africa? Diagnostic of e-waste flows and management in Benin.</w:t>
      </w:r>
      <w:r w:rsidRPr="00442A85">
        <w:rPr>
          <w:rFonts w:asciiTheme="majorBidi" w:hAnsiTheme="majorBidi" w:cstheme="majorBidi"/>
          <w:color w:val="000000" w:themeColor="text1"/>
          <w:lang w:val="en-GB"/>
        </w:rPr>
        <w:t xml:space="preserve"> Geneva: UNEP.</w:t>
      </w:r>
      <w:r>
        <w:rPr>
          <w:rFonts w:asciiTheme="majorBidi" w:hAnsiTheme="majorBidi" w:cstheme="majorBidi"/>
          <w:color w:val="000000" w:themeColor="text1"/>
          <w:lang w:val="en-GB"/>
        </w:rPr>
        <w:t xml:space="preserve"> </w:t>
      </w:r>
      <w:hyperlink r:id="rId40" w:history="1">
        <w:r w:rsidRPr="00231FF4">
          <w:rPr>
            <w:rStyle w:val="Hyperlink"/>
            <w:rFonts w:asciiTheme="majorBidi" w:hAnsiTheme="majorBidi" w:cstheme="majorBidi"/>
            <w:lang w:val="en-GB"/>
          </w:rPr>
          <w:t>https://www.basel.int/Portals/4/download.aspx?d=UNEP-CHW-EWASTE-PUB-WeeAfricaReport.English.pdf</w:t>
        </w:r>
      </w:hyperlink>
      <w:r>
        <w:rPr>
          <w:rFonts w:asciiTheme="majorBidi" w:hAnsiTheme="majorBidi" w:cstheme="majorBidi"/>
          <w:color w:val="000000" w:themeColor="text1"/>
          <w:lang w:val="en-GB"/>
        </w:rPr>
        <w:t xml:space="preserve"> </w:t>
      </w:r>
    </w:p>
    <w:p w14:paraId="414EEAC0"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United States Environmental Protection Agency (USEPA). (1989). </w:t>
      </w:r>
      <w:r w:rsidRPr="00442A85">
        <w:rPr>
          <w:rFonts w:asciiTheme="majorBidi" w:hAnsiTheme="majorBidi" w:cstheme="majorBidi"/>
          <w:i/>
          <w:iCs/>
          <w:color w:val="000000" w:themeColor="text1"/>
          <w:lang w:val="en-GB"/>
        </w:rPr>
        <w:t>Risk Assessment Guidance for Superfund: Human Health Evaluation Manual (Part A), EPA/540/1-89/002.</w:t>
      </w:r>
      <w:r w:rsidRPr="00442A85">
        <w:rPr>
          <w:rFonts w:asciiTheme="majorBidi" w:hAnsiTheme="majorBidi" w:cstheme="majorBidi"/>
          <w:color w:val="000000" w:themeColor="text1"/>
          <w:lang w:val="en-GB"/>
        </w:rPr>
        <w:t xml:space="preserve"> Washington, DC: Office of Emergency and Remedial Response. </w:t>
      </w:r>
      <w:hyperlink r:id="rId41" w:anchor="whatisrisk" w:tgtFrame="_new" w:history="1">
        <w:r w:rsidRPr="00442A85">
          <w:rPr>
            <w:rStyle w:val="Hyperlink"/>
            <w:rFonts w:asciiTheme="majorBidi" w:hAnsiTheme="majorBidi" w:cstheme="majorBidi"/>
            <w:lang w:val="en-GB"/>
          </w:rPr>
          <w:t>https://www.epa.gov/risk/about-risk-assessment#whatisrisk</w:t>
        </w:r>
      </w:hyperlink>
    </w:p>
    <w:p w14:paraId="0B909CDF" w14:textId="77777777" w:rsidR="00D176FB" w:rsidRPr="00442A85" w:rsidRDefault="00D176FB" w:rsidP="00D176FB">
      <w:pPr>
        <w:spacing w:line="360" w:lineRule="auto"/>
        <w:ind w:left="360"/>
        <w:rPr>
          <w:rFonts w:asciiTheme="majorBidi" w:hAnsiTheme="majorBidi" w:cstheme="majorBidi"/>
          <w:color w:val="000000" w:themeColor="text1"/>
          <w:lang w:val="en-GB"/>
        </w:rPr>
      </w:pPr>
      <w:r w:rsidRPr="00442A85">
        <w:rPr>
          <w:rFonts w:asciiTheme="majorBidi" w:hAnsiTheme="majorBidi" w:cstheme="majorBidi"/>
          <w:color w:val="000000" w:themeColor="text1"/>
          <w:lang w:val="en-GB"/>
        </w:rPr>
        <w:t xml:space="preserve">United States Environmental Protection Agency (USEPA). (2011). </w:t>
      </w:r>
      <w:r w:rsidRPr="00442A85">
        <w:rPr>
          <w:rFonts w:asciiTheme="majorBidi" w:hAnsiTheme="majorBidi" w:cstheme="majorBidi"/>
          <w:i/>
          <w:iCs/>
          <w:color w:val="000000" w:themeColor="text1"/>
          <w:lang w:val="en-GB"/>
        </w:rPr>
        <w:t>Integrated Risk Information System (IRIS).</w:t>
      </w:r>
      <w:r w:rsidRPr="00442A85">
        <w:rPr>
          <w:rFonts w:asciiTheme="majorBidi" w:hAnsiTheme="majorBidi" w:cstheme="majorBidi"/>
          <w:color w:val="000000" w:themeColor="text1"/>
          <w:lang w:val="en-GB"/>
        </w:rPr>
        <w:t xml:space="preserve"> Washington, DC: USEPA. </w:t>
      </w:r>
      <w:hyperlink r:id="rId42" w:tgtFrame="_new" w:history="1">
        <w:r w:rsidRPr="00442A85">
          <w:rPr>
            <w:rStyle w:val="Hyperlink"/>
            <w:rFonts w:asciiTheme="majorBidi" w:hAnsiTheme="majorBidi" w:cstheme="majorBidi"/>
            <w:lang w:val="en-GB"/>
          </w:rPr>
          <w:t>https://www.epa.gov/iris</w:t>
        </w:r>
      </w:hyperlink>
    </w:p>
    <w:p w14:paraId="764DC0BA" w14:textId="77777777" w:rsidR="00BE6C96" w:rsidRDefault="00BE6C96" w:rsidP="00BE6C96">
      <w:pPr>
        <w:spacing w:line="360" w:lineRule="auto"/>
        <w:jc w:val="center"/>
        <w:rPr>
          <w:rFonts w:asciiTheme="majorBidi" w:hAnsiTheme="majorBidi" w:cstheme="majorBidi"/>
          <w:b/>
          <w:bCs/>
          <w:color w:val="000000" w:themeColor="text1"/>
          <w:sz w:val="28"/>
          <w:szCs w:val="28"/>
        </w:rPr>
      </w:pPr>
      <w:bookmarkStart w:id="0" w:name="_GoBack"/>
      <w:bookmarkEnd w:id="0"/>
    </w:p>
    <w:p w14:paraId="1FE7A76B" w14:textId="77777777" w:rsidR="00BE6C96" w:rsidRDefault="00BE6C96" w:rsidP="00BE6C96">
      <w:pPr>
        <w:spacing w:line="360" w:lineRule="auto"/>
        <w:jc w:val="center"/>
        <w:rPr>
          <w:rFonts w:asciiTheme="majorBidi" w:hAnsiTheme="majorBidi" w:cstheme="majorBidi"/>
          <w:b/>
          <w:bCs/>
          <w:color w:val="000000" w:themeColor="text1"/>
          <w:sz w:val="28"/>
          <w:szCs w:val="28"/>
        </w:rPr>
      </w:pPr>
    </w:p>
    <w:p w14:paraId="150E737D" w14:textId="77777777" w:rsidR="00BE6C96" w:rsidRDefault="00BE6C96" w:rsidP="00BE6C96">
      <w:pPr>
        <w:spacing w:line="360" w:lineRule="auto"/>
        <w:jc w:val="center"/>
        <w:rPr>
          <w:rFonts w:asciiTheme="majorBidi" w:hAnsiTheme="majorBidi" w:cstheme="majorBidi"/>
          <w:b/>
          <w:bCs/>
          <w:color w:val="000000" w:themeColor="text1"/>
          <w:sz w:val="28"/>
          <w:szCs w:val="28"/>
        </w:rPr>
      </w:pPr>
    </w:p>
    <w:p w14:paraId="48A8C1E9" w14:textId="77777777" w:rsidR="005F51F7" w:rsidRDefault="005F51F7" w:rsidP="00E0413D">
      <w:pPr>
        <w:spacing w:line="360" w:lineRule="auto"/>
        <w:jc w:val="both"/>
        <w:rPr>
          <w:rFonts w:asciiTheme="majorBidi" w:hAnsiTheme="majorBidi" w:cstheme="majorBidi"/>
          <w:b/>
          <w:bCs/>
          <w:color w:val="000000" w:themeColor="text1"/>
          <w:sz w:val="28"/>
          <w:szCs w:val="28"/>
        </w:rPr>
      </w:pPr>
      <w:r w:rsidRPr="005F51F7">
        <w:rPr>
          <w:rFonts w:asciiTheme="majorBidi" w:hAnsiTheme="majorBidi" w:cstheme="majorBidi"/>
          <w:b/>
          <w:bCs/>
          <w:color w:val="000000" w:themeColor="text1"/>
          <w:sz w:val="28"/>
          <w:szCs w:val="28"/>
        </w:rPr>
        <w:t xml:space="preserve">Appendix </w:t>
      </w:r>
    </w:p>
    <w:p w14:paraId="7672C017" w14:textId="2A603A49" w:rsidR="00E0413D" w:rsidRPr="00E0413D" w:rsidRDefault="00E0413D" w:rsidP="00E0413D">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lang w:val="en-GB"/>
        </w:rPr>
        <w:t>Table A1</w:t>
      </w:r>
      <w:r w:rsidRPr="00E0413D">
        <w:rPr>
          <w:rFonts w:asciiTheme="majorBidi" w:hAnsiTheme="majorBidi" w:cstheme="majorBidi"/>
          <w:color w:val="000000" w:themeColor="text1"/>
          <w:lang w:val="en-GB"/>
        </w:rPr>
        <w:t xml:space="preserve"> : Descriptive statistics of heavy metal concentrations (mg/L)</w:t>
      </w:r>
      <w:r>
        <w:rPr>
          <w:rFonts w:asciiTheme="majorBidi" w:hAnsiTheme="majorBidi" w:cstheme="majorBidi"/>
          <w:color w:val="000000" w:themeColor="text1"/>
          <w:lang w:val="en-GB"/>
        </w:rPr>
        <w:t xml:space="preserve"> (Abomey-Calavi)</w:t>
      </w:r>
    </w:p>
    <w:tbl>
      <w:tblPr>
        <w:tblStyle w:val="PlainTable1"/>
        <w:tblW w:w="0" w:type="auto"/>
        <w:tblLook w:val="04A0" w:firstRow="1" w:lastRow="0" w:firstColumn="1" w:lastColumn="0" w:noHBand="0" w:noVBand="1"/>
      </w:tblPr>
      <w:tblGrid>
        <w:gridCol w:w="1516"/>
        <w:gridCol w:w="1503"/>
        <w:gridCol w:w="876"/>
        <w:gridCol w:w="1003"/>
        <w:gridCol w:w="756"/>
        <w:gridCol w:w="756"/>
        <w:gridCol w:w="2184"/>
      </w:tblGrid>
      <w:tr w:rsidR="00BE6C96" w:rsidRPr="00955D3D" w14:paraId="2CA82949"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D8892F"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3E13C723" w14:textId="2E7332A1" w:rsidR="00BE6C96" w:rsidRPr="00955D3D" w:rsidRDefault="00086463"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Heavy metal</w:t>
            </w:r>
          </w:p>
        </w:tc>
        <w:tc>
          <w:tcPr>
            <w:tcW w:w="0" w:type="auto"/>
            <w:hideMark/>
          </w:tcPr>
          <w:p w14:paraId="17CB5552" w14:textId="5C7C9EF9"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sidR="00086463">
              <w:rPr>
                <w:rFonts w:asciiTheme="majorBidi" w:hAnsiTheme="majorBidi" w:cstheme="majorBidi"/>
                <w:color w:val="000000" w:themeColor="text1"/>
              </w:rPr>
              <w:t>ean</w:t>
            </w:r>
          </w:p>
        </w:tc>
        <w:tc>
          <w:tcPr>
            <w:tcW w:w="0" w:type="auto"/>
            <w:hideMark/>
          </w:tcPr>
          <w:p w14:paraId="6E94E8D4" w14:textId="76A5FA58"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sidR="00086463">
              <w:rPr>
                <w:rFonts w:asciiTheme="majorBidi" w:hAnsiTheme="majorBidi" w:cstheme="majorBidi"/>
                <w:color w:val="000000" w:themeColor="text1"/>
              </w:rPr>
              <w:t>e</w:t>
            </w:r>
            <w:r w:rsidRPr="00955D3D">
              <w:rPr>
                <w:rFonts w:asciiTheme="majorBidi" w:hAnsiTheme="majorBidi" w:cstheme="majorBidi"/>
                <w:color w:val="000000" w:themeColor="text1"/>
              </w:rPr>
              <w:t>dian</w:t>
            </w:r>
          </w:p>
        </w:tc>
        <w:tc>
          <w:tcPr>
            <w:tcW w:w="0" w:type="auto"/>
            <w:hideMark/>
          </w:tcPr>
          <w:p w14:paraId="61B4F623"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765396EB"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c>
          <w:tcPr>
            <w:tcW w:w="0" w:type="auto"/>
            <w:hideMark/>
          </w:tcPr>
          <w:p w14:paraId="7FD1BF63" w14:textId="1E75603B" w:rsidR="00BE6C96" w:rsidRPr="00955D3D" w:rsidRDefault="00086463"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Standard deviation</w:t>
            </w:r>
          </w:p>
        </w:tc>
      </w:tr>
      <w:tr w:rsidR="00BE6C96" w:rsidRPr="00955D3D" w14:paraId="2727604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493C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3E65DB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77A4F05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0.0000</w:t>
            </w:r>
          </w:p>
        </w:tc>
        <w:tc>
          <w:tcPr>
            <w:tcW w:w="0" w:type="auto"/>
            <w:hideMark/>
          </w:tcPr>
          <w:p w14:paraId="0DA53D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173FE5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0941AF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37FAAF6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0.0000</w:t>
            </w:r>
          </w:p>
        </w:tc>
      </w:tr>
      <w:tr w:rsidR="00BE6C96" w:rsidRPr="00955D3D" w14:paraId="40545E8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CA457A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lastRenderedPageBreak/>
              <w:t>0</w:t>
            </w:r>
          </w:p>
        </w:tc>
        <w:tc>
          <w:tcPr>
            <w:tcW w:w="0" w:type="auto"/>
            <w:hideMark/>
          </w:tcPr>
          <w:p w14:paraId="37C4A5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E13995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0.1574</w:t>
            </w:r>
          </w:p>
        </w:tc>
        <w:tc>
          <w:tcPr>
            <w:tcW w:w="0" w:type="auto"/>
            <w:hideMark/>
          </w:tcPr>
          <w:p w14:paraId="20ED5AE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0.159</w:t>
            </w:r>
          </w:p>
        </w:tc>
        <w:tc>
          <w:tcPr>
            <w:tcW w:w="0" w:type="auto"/>
            <w:hideMark/>
          </w:tcPr>
          <w:p w14:paraId="4CC4CBF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0.063</w:t>
            </w:r>
          </w:p>
        </w:tc>
        <w:tc>
          <w:tcPr>
            <w:tcW w:w="0" w:type="auto"/>
            <w:hideMark/>
          </w:tcPr>
          <w:p w14:paraId="34D0EB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0.324</w:t>
            </w:r>
          </w:p>
        </w:tc>
        <w:tc>
          <w:tcPr>
            <w:tcW w:w="0" w:type="auto"/>
            <w:hideMark/>
          </w:tcPr>
          <w:p w14:paraId="4DD6B1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0.1057</w:t>
            </w:r>
          </w:p>
        </w:tc>
      </w:tr>
      <w:tr w:rsidR="00BE6C96" w:rsidRPr="00955D3D" w14:paraId="218CF6F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BB2A1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A4ADEB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354FFAF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0.0172</w:t>
            </w:r>
          </w:p>
        </w:tc>
        <w:tc>
          <w:tcPr>
            <w:tcW w:w="0" w:type="auto"/>
            <w:hideMark/>
          </w:tcPr>
          <w:p w14:paraId="585B84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49F0B05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31A985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0.055</w:t>
            </w:r>
          </w:p>
        </w:tc>
        <w:tc>
          <w:tcPr>
            <w:tcW w:w="0" w:type="auto"/>
            <w:hideMark/>
          </w:tcPr>
          <w:p w14:paraId="4F76F47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0.0250</w:t>
            </w:r>
          </w:p>
        </w:tc>
      </w:tr>
      <w:tr w:rsidR="00BE6C96" w:rsidRPr="00955D3D" w14:paraId="65EAD49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7EBEA2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082B46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614EE1C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0.7560</w:t>
            </w:r>
          </w:p>
        </w:tc>
        <w:tc>
          <w:tcPr>
            <w:tcW w:w="0" w:type="auto"/>
            <w:hideMark/>
          </w:tcPr>
          <w:p w14:paraId="2A376DF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0.760</w:t>
            </w:r>
          </w:p>
        </w:tc>
        <w:tc>
          <w:tcPr>
            <w:tcW w:w="0" w:type="auto"/>
            <w:hideMark/>
          </w:tcPr>
          <w:p w14:paraId="2B82C08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0.350</w:t>
            </w:r>
          </w:p>
        </w:tc>
        <w:tc>
          <w:tcPr>
            <w:tcW w:w="0" w:type="auto"/>
            <w:hideMark/>
          </w:tcPr>
          <w:p w14:paraId="5220B1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1.470</w:t>
            </w:r>
          </w:p>
        </w:tc>
        <w:tc>
          <w:tcPr>
            <w:tcW w:w="0" w:type="auto"/>
            <w:hideMark/>
          </w:tcPr>
          <w:p w14:paraId="4B35B19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0.4528</w:t>
            </w:r>
          </w:p>
        </w:tc>
      </w:tr>
      <w:tr w:rsidR="00BE6C96" w:rsidRPr="00955D3D" w14:paraId="40E3338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A331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FB6E6D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66C2150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0.1196</w:t>
            </w:r>
          </w:p>
        </w:tc>
        <w:tc>
          <w:tcPr>
            <w:tcW w:w="0" w:type="auto"/>
            <w:hideMark/>
          </w:tcPr>
          <w:p w14:paraId="3EAD885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0.120</w:t>
            </w:r>
          </w:p>
        </w:tc>
        <w:tc>
          <w:tcPr>
            <w:tcW w:w="0" w:type="auto"/>
            <w:hideMark/>
          </w:tcPr>
          <w:p w14:paraId="2254EA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0.087</w:t>
            </w:r>
          </w:p>
        </w:tc>
        <w:tc>
          <w:tcPr>
            <w:tcW w:w="0" w:type="auto"/>
            <w:hideMark/>
          </w:tcPr>
          <w:p w14:paraId="2EB8936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0.177</w:t>
            </w:r>
          </w:p>
        </w:tc>
        <w:tc>
          <w:tcPr>
            <w:tcW w:w="0" w:type="auto"/>
            <w:hideMark/>
          </w:tcPr>
          <w:p w14:paraId="79FB832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0.0365</w:t>
            </w:r>
          </w:p>
        </w:tc>
      </w:tr>
      <w:tr w:rsidR="00BE6C96" w:rsidRPr="00955D3D" w14:paraId="58C29613"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3BA88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6BCA2D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3DBF4E7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0.4188</w:t>
            </w:r>
          </w:p>
        </w:tc>
        <w:tc>
          <w:tcPr>
            <w:tcW w:w="0" w:type="auto"/>
            <w:hideMark/>
          </w:tcPr>
          <w:p w14:paraId="6F31448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0.422</w:t>
            </w:r>
          </w:p>
        </w:tc>
        <w:tc>
          <w:tcPr>
            <w:tcW w:w="0" w:type="auto"/>
            <w:hideMark/>
          </w:tcPr>
          <w:p w14:paraId="501DE19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0.225</w:t>
            </w:r>
          </w:p>
        </w:tc>
        <w:tc>
          <w:tcPr>
            <w:tcW w:w="0" w:type="auto"/>
            <w:hideMark/>
          </w:tcPr>
          <w:p w14:paraId="2563C7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0.761</w:t>
            </w:r>
          </w:p>
        </w:tc>
        <w:tc>
          <w:tcPr>
            <w:tcW w:w="0" w:type="auto"/>
            <w:hideMark/>
          </w:tcPr>
          <w:p w14:paraId="7FD63BD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0.2172</w:t>
            </w:r>
          </w:p>
        </w:tc>
      </w:tr>
      <w:tr w:rsidR="00BE6C96" w:rsidRPr="00955D3D" w14:paraId="0EF7466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04313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7DFF9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3683936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0.1320</w:t>
            </w:r>
          </w:p>
        </w:tc>
        <w:tc>
          <w:tcPr>
            <w:tcW w:w="0" w:type="auto"/>
            <w:hideMark/>
          </w:tcPr>
          <w:p w14:paraId="70BA808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0.096</w:t>
            </w:r>
          </w:p>
        </w:tc>
        <w:tc>
          <w:tcPr>
            <w:tcW w:w="0" w:type="auto"/>
            <w:hideMark/>
          </w:tcPr>
          <w:p w14:paraId="3DE1980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0.054</w:t>
            </w:r>
          </w:p>
        </w:tc>
        <w:tc>
          <w:tcPr>
            <w:tcW w:w="0" w:type="auto"/>
            <w:hideMark/>
          </w:tcPr>
          <w:p w14:paraId="12922E6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0.317</w:t>
            </w:r>
          </w:p>
        </w:tc>
        <w:tc>
          <w:tcPr>
            <w:tcW w:w="0" w:type="auto"/>
            <w:hideMark/>
          </w:tcPr>
          <w:p w14:paraId="0D0B8B9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0.1055</w:t>
            </w:r>
          </w:p>
        </w:tc>
      </w:tr>
      <w:tr w:rsidR="00BE6C96" w:rsidRPr="00955D3D" w14:paraId="7C17E87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F556EE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B8C93A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6B09FBB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0.6480</w:t>
            </w:r>
          </w:p>
        </w:tc>
        <w:tc>
          <w:tcPr>
            <w:tcW w:w="0" w:type="auto"/>
            <w:hideMark/>
          </w:tcPr>
          <w:p w14:paraId="790A40D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0.490</w:t>
            </w:r>
          </w:p>
        </w:tc>
        <w:tc>
          <w:tcPr>
            <w:tcW w:w="0" w:type="auto"/>
            <w:hideMark/>
          </w:tcPr>
          <w:p w14:paraId="196777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0.320</w:t>
            </w:r>
          </w:p>
        </w:tc>
        <w:tc>
          <w:tcPr>
            <w:tcW w:w="0" w:type="auto"/>
            <w:hideMark/>
          </w:tcPr>
          <w:p w14:paraId="314F88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533D92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0.4507</w:t>
            </w:r>
          </w:p>
        </w:tc>
      </w:tr>
      <w:tr w:rsidR="00BE6C96" w:rsidRPr="00955D3D" w14:paraId="05867B7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CFEF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B0ECB6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19E48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0.1110</w:t>
            </w:r>
          </w:p>
        </w:tc>
        <w:tc>
          <w:tcPr>
            <w:tcW w:w="0" w:type="auto"/>
            <w:hideMark/>
          </w:tcPr>
          <w:p w14:paraId="403DCF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0.099</w:t>
            </w:r>
          </w:p>
        </w:tc>
        <w:tc>
          <w:tcPr>
            <w:tcW w:w="0" w:type="auto"/>
            <w:hideMark/>
          </w:tcPr>
          <w:p w14:paraId="1E51C3A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0.085</w:t>
            </w:r>
          </w:p>
        </w:tc>
        <w:tc>
          <w:tcPr>
            <w:tcW w:w="0" w:type="auto"/>
            <w:hideMark/>
          </w:tcPr>
          <w:p w14:paraId="41CB917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0.174</w:t>
            </w:r>
          </w:p>
        </w:tc>
        <w:tc>
          <w:tcPr>
            <w:tcW w:w="0" w:type="auto"/>
            <w:hideMark/>
          </w:tcPr>
          <w:p w14:paraId="3997899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0.0359</w:t>
            </w:r>
          </w:p>
        </w:tc>
      </w:tr>
      <w:tr w:rsidR="00BE6C96" w:rsidRPr="00955D3D" w14:paraId="54F9A63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33C3A2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88F0E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73278BE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0.3670</w:t>
            </w:r>
          </w:p>
        </w:tc>
        <w:tc>
          <w:tcPr>
            <w:tcW w:w="0" w:type="auto"/>
            <w:hideMark/>
          </w:tcPr>
          <w:p w14:paraId="4F2E457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0.293</w:t>
            </w:r>
          </w:p>
        </w:tc>
        <w:tc>
          <w:tcPr>
            <w:tcW w:w="0" w:type="auto"/>
            <w:hideMark/>
          </w:tcPr>
          <w:p w14:paraId="3D2C343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0.209</w:t>
            </w:r>
          </w:p>
        </w:tc>
        <w:tc>
          <w:tcPr>
            <w:tcW w:w="0" w:type="auto"/>
            <w:hideMark/>
          </w:tcPr>
          <w:p w14:paraId="63DBBBC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0.746</w:t>
            </w:r>
          </w:p>
        </w:tc>
        <w:tc>
          <w:tcPr>
            <w:tcW w:w="0" w:type="auto"/>
            <w:hideMark/>
          </w:tcPr>
          <w:p w14:paraId="7FBEC7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0.2159</w:t>
            </w:r>
          </w:p>
        </w:tc>
      </w:tr>
      <w:tr w:rsidR="00BE6C96" w:rsidRPr="00955D3D" w14:paraId="6E36FF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6B597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1954D66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66B1AD3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0.0794</w:t>
            </w:r>
          </w:p>
        </w:tc>
        <w:tc>
          <w:tcPr>
            <w:tcW w:w="0" w:type="auto"/>
            <w:hideMark/>
          </w:tcPr>
          <w:p w14:paraId="494E1C1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0.051</w:t>
            </w:r>
          </w:p>
        </w:tc>
        <w:tc>
          <w:tcPr>
            <w:tcW w:w="0" w:type="auto"/>
            <w:hideMark/>
          </w:tcPr>
          <w:p w14:paraId="5498C91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0.026</w:t>
            </w:r>
          </w:p>
        </w:tc>
        <w:tc>
          <w:tcPr>
            <w:tcW w:w="0" w:type="auto"/>
            <w:hideMark/>
          </w:tcPr>
          <w:p w14:paraId="04685C2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0.217</w:t>
            </w:r>
          </w:p>
        </w:tc>
        <w:tc>
          <w:tcPr>
            <w:tcW w:w="0" w:type="auto"/>
            <w:hideMark/>
          </w:tcPr>
          <w:p w14:paraId="32A4900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0.0783</w:t>
            </w:r>
          </w:p>
        </w:tc>
      </w:tr>
      <w:tr w:rsidR="00BE6C96" w:rsidRPr="00955D3D" w14:paraId="50C4461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EF7240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7A2E36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59E6EB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0.4240</w:t>
            </w:r>
          </w:p>
        </w:tc>
        <w:tc>
          <w:tcPr>
            <w:tcW w:w="0" w:type="auto"/>
            <w:hideMark/>
          </w:tcPr>
          <w:p w14:paraId="0AF1668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0.300</w:t>
            </w:r>
          </w:p>
        </w:tc>
        <w:tc>
          <w:tcPr>
            <w:tcW w:w="0" w:type="auto"/>
            <w:hideMark/>
          </w:tcPr>
          <w:p w14:paraId="69F6117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0.200</w:t>
            </w:r>
          </w:p>
        </w:tc>
        <w:tc>
          <w:tcPr>
            <w:tcW w:w="0" w:type="auto"/>
            <w:hideMark/>
          </w:tcPr>
          <w:p w14:paraId="200901B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1.010</w:t>
            </w:r>
          </w:p>
        </w:tc>
        <w:tc>
          <w:tcPr>
            <w:tcW w:w="0" w:type="auto"/>
            <w:hideMark/>
          </w:tcPr>
          <w:p w14:paraId="14926F4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0.3329</w:t>
            </w:r>
          </w:p>
        </w:tc>
      </w:tr>
      <w:tr w:rsidR="00BE6C96" w:rsidRPr="00955D3D" w14:paraId="508B2D4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C2DDB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12C18AA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25F01CB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0.0930</w:t>
            </w:r>
          </w:p>
        </w:tc>
        <w:tc>
          <w:tcPr>
            <w:tcW w:w="0" w:type="auto"/>
            <w:hideMark/>
          </w:tcPr>
          <w:p w14:paraId="0789F38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0.083</w:t>
            </w:r>
          </w:p>
        </w:tc>
        <w:tc>
          <w:tcPr>
            <w:tcW w:w="0" w:type="auto"/>
            <w:hideMark/>
          </w:tcPr>
          <w:p w14:paraId="5250E04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0.075</w:t>
            </w:r>
          </w:p>
        </w:tc>
        <w:tc>
          <w:tcPr>
            <w:tcW w:w="0" w:type="auto"/>
            <w:hideMark/>
          </w:tcPr>
          <w:p w14:paraId="03B8FA4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0.140</w:t>
            </w:r>
          </w:p>
        </w:tc>
        <w:tc>
          <w:tcPr>
            <w:tcW w:w="0" w:type="auto"/>
            <w:hideMark/>
          </w:tcPr>
          <w:p w14:paraId="6A65701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0.0267</w:t>
            </w:r>
          </w:p>
        </w:tc>
      </w:tr>
      <w:tr w:rsidR="00BE6C96" w:rsidRPr="00955D3D" w14:paraId="42A8A88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655CD3A"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4AECCE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60F7F23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0.2596</w:t>
            </w:r>
          </w:p>
        </w:tc>
        <w:tc>
          <w:tcPr>
            <w:tcW w:w="0" w:type="auto"/>
            <w:hideMark/>
          </w:tcPr>
          <w:p w14:paraId="2315081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0.201</w:t>
            </w:r>
          </w:p>
        </w:tc>
        <w:tc>
          <w:tcPr>
            <w:tcW w:w="0" w:type="auto"/>
            <w:hideMark/>
          </w:tcPr>
          <w:p w14:paraId="78E362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0.151</w:t>
            </w:r>
          </w:p>
        </w:tc>
        <w:tc>
          <w:tcPr>
            <w:tcW w:w="0" w:type="auto"/>
            <w:hideMark/>
          </w:tcPr>
          <w:p w14:paraId="463FBE1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0.541</w:t>
            </w:r>
          </w:p>
        </w:tc>
        <w:tc>
          <w:tcPr>
            <w:tcW w:w="0" w:type="auto"/>
            <w:hideMark/>
          </w:tcPr>
          <w:p w14:paraId="166BDA7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0.1600</w:t>
            </w:r>
          </w:p>
        </w:tc>
      </w:tr>
    </w:tbl>
    <w:p w14:paraId="5B5502DA" w14:textId="77777777" w:rsidR="00BE6C96" w:rsidRDefault="00BE6C96" w:rsidP="00BE6C96">
      <w:pPr>
        <w:spacing w:line="360" w:lineRule="auto"/>
        <w:jc w:val="both"/>
        <w:rPr>
          <w:rFonts w:asciiTheme="majorBidi" w:hAnsiTheme="majorBidi" w:cstheme="majorBidi"/>
          <w:b/>
          <w:bCs/>
          <w:color w:val="000000" w:themeColor="text1"/>
          <w:u w:val="single"/>
        </w:rPr>
      </w:pPr>
    </w:p>
    <w:p w14:paraId="1602079B" w14:textId="77777777" w:rsidR="00E0413D" w:rsidRPr="00E0413D" w:rsidRDefault="00E0413D" w:rsidP="00E0413D">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lang w:val="en-GB"/>
        </w:rPr>
        <w:t>Table A1</w:t>
      </w:r>
      <w:r w:rsidRPr="00E0413D">
        <w:rPr>
          <w:rFonts w:asciiTheme="majorBidi" w:hAnsiTheme="majorBidi" w:cstheme="majorBidi"/>
          <w:color w:val="000000" w:themeColor="text1"/>
          <w:lang w:val="en-GB"/>
        </w:rPr>
        <w:t xml:space="preserve"> : Descriptive statistics of heavy metal concentrations (mg/L)</w:t>
      </w:r>
      <w:r>
        <w:rPr>
          <w:rFonts w:asciiTheme="majorBidi" w:hAnsiTheme="majorBidi" w:cstheme="majorBidi"/>
          <w:color w:val="000000" w:themeColor="text1"/>
          <w:lang w:val="en-GB"/>
        </w:rPr>
        <w:t xml:space="preserve"> (</w:t>
      </w:r>
      <w:r w:rsidRPr="00E0413D">
        <w:rPr>
          <w:rFonts w:asciiTheme="majorBidi" w:hAnsiTheme="majorBidi" w:cstheme="majorBidi"/>
          <w:color w:val="000000" w:themeColor="text1"/>
          <w:lang w:val="en-GB"/>
        </w:rPr>
        <w:t>Cotonou</w:t>
      </w:r>
      <w:r>
        <w:rPr>
          <w:rFonts w:asciiTheme="majorBidi" w:hAnsiTheme="majorBidi" w:cstheme="majorBidi"/>
          <w:color w:val="000000" w:themeColor="text1"/>
          <w:lang w:val="en-GB"/>
        </w:rPr>
        <w:t>)</w:t>
      </w:r>
    </w:p>
    <w:tbl>
      <w:tblPr>
        <w:tblStyle w:val="PlainTable1"/>
        <w:tblW w:w="0" w:type="auto"/>
        <w:tblLook w:val="04A0" w:firstRow="1" w:lastRow="0" w:firstColumn="1" w:lastColumn="0" w:noHBand="0" w:noVBand="1"/>
      </w:tblPr>
      <w:tblGrid>
        <w:gridCol w:w="1516"/>
        <w:gridCol w:w="1503"/>
        <w:gridCol w:w="876"/>
        <w:gridCol w:w="1003"/>
        <w:gridCol w:w="756"/>
        <w:gridCol w:w="756"/>
        <w:gridCol w:w="2184"/>
      </w:tblGrid>
      <w:tr w:rsidR="00BE6C96" w:rsidRPr="00955D3D" w14:paraId="65CC31A8"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527DD"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4DA720CD" w14:textId="091D3CC8" w:rsidR="00BE6C96"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Heavy metal</w:t>
            </w:r>
          </w:p>
        </w:tc>
        <w:tc>
          <w:tcPr>
            <w:tcW w:w="0" w:type="auto"/>
            <w:hideMark/>
          </w:tcPr>
          <w:p w14:paraId="1FA2384F" w14:textId="32FD398F"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sidR="00E0413D">
              <w:rPr>
                <w:rFonts w:asciiTheme="majorBidi" w:hAnsiTheme="majorBidi" w:cstheme="majorBidi"/>
                <w:color w:val="000000" w:themeColor="text1"/>
              </w:rPr>
              <w:t>ean</w:t>
            </w:r>
          </w:p>
        </w:tc>
        <w:tc>
          <w:tcPr>
            <w:tcW w:w="0" w:type="auto"/>
            <w:hideMark/>
          </w:tcPr>
          <w:p w14:paraId="2D56EE64" w14:textId="54A8BF95"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sidR="00E0413D">
              <w:rPr>
                <w:rFonts w:asciiTheme="majorBidi" w:hAnsiTheme="majorBidi" w:cstheme="majorBidi"/>
                <w:color w:val="000000" w:themeColor="text1"/>
              </w:rPr>
              <w:t>e</w:t>
            </w:r>
            <w:r w:rsidRPr="00955D3D">
              <w:rPr>
                <w:rFonts w:asciiTheme="majorBidi" w:hAnsiTheme="majorBidi" w:cstheme="majorBidi"/>
                <w:color w:val="000000" w:themeColor="text1"/>
              </w:rPr>
              <w:t>dian</w:t>
            </w:r>
          </w:p>
        </w:tc>
        <w:tc>
          <w:tcPr>
            <w:tcW w:w="0" w:type="auto"/>
            <w:hideMark/>
          </w:tcPr>
          <w:p w14:paraId="7B0434F0"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6B6FC762"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c>
          <w:tcPr>
            <w:tcW w:w="0" w:type="auto"/>
            <w:hideMark/>
          </w:tcPr>
          <w:p w14:paraId="3A40DF88" w14:textId="02163FC3" w:rsidR="00BE6C96"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Standard deviation</w:t>
            </w:r>
          </w:p>
        </w:tc>
      </w:tr>
      <w:tr w:rsidR="00BE6C96" w:rsidRPr="00955D3D" w14:paraId="133F943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99DE4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5AF171B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7BA408C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0.0012</w:t>
            </w:r>
          </w:p>
        </w:tc>
        <w:tc>
          <w:tcPr>
            <w:tcW w:w="0" w:type="auto"/>
            <w:hideMark/>
          </w:tcPr>
          <w:p w14:paraId="5EF123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63DDF11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547812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1D63A86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0.0016</w:t>
            </w:r>
          </w:p>
        </w:tc>
      </w:tr>
      <w:tr w:rsidR="00BE6C96" w:rsidRPr="00955D3D" w14:paraId="7072CB0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925C8F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99A798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635F25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0.4744</w:t>
            </w:r>
          </w:p>
        </w:tc>
        <w:tc>
          <w:tcPr>
            <w:tcW w:w="0" w:type="auto"/>
            <w:hideMark/>
          </w:tcPr>
          <w:p w14:paraId="5E9DA3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0.485</w:t>
            </w:r>
          </w:p>
        </w:tc>
        <w:tc>
          <w:tcPr>
            <w:tcW w:w="0" w:type="auto"/>
            <w:hideMark/>
          </w:tcPr>
          <w:p w14:paraId="609A422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0.276</w:t>
            </w:r>
          </w:p>
        </w:tc>
        <w:tc>
          <w:tcPr>
            <w:tcW w:w="0" w:type="auto"/>
            <w:hideMark/>
          </w:tcPr>
          <w:p w14:paraId="18E8D2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0.784</w:t>
            </w:r>
          </w:p>
        </w:tc>
        <w:tc>
          <w:tcPr>
            <w:tcW w:w="0" w:type="auto"/>
            <w:hideMark/>
          </w:tcPr>
          <w:p w14:paraId="36CCF8D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0.2102</w:t>
            </w:r>
          </w:p>
        </w:tc>
      </w:tr>
      <w:tr w:rsidR="00BE6C96" w:rsidRPr="00955D3D" w14:paraId="64B406D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2FE7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54812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8FA0C5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0.8630</w:t>
            </w:r>
          </w:p>
        </w:tc>
        <w:tc>
          <w:tcPr>
            <w:tcW w:w="0" w:type="auto"/>
            <w:hideMark/>
          </w:tcPr>
          <w:p w14:paraId="4BB94C8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0.411</w:t>
            </w:r>
          </w:p>
        </w:tc>
        <w:tc>
          <w:tcPr>
            <w:tcW w:w="0" w:type="auto"/>
            <w:hideMark/>
          </w:tcPr>
          <w:p w14:paraId="1EB919A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0.299</w:t>
            </w:r>
          </w:p>
        </w:tc>
        <w:tc>
          <w:tcPr>
            <w:tcW w:w="0" w:type="auto"/>
            <w:hideMark/>
          </w:tcPr>
          <w:p w14:paraId="3E1AE4C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2.119</w:t>
            </w:r>
          </w:p>
        </w:tc>
        <w:tc>
          <w:tcPr>
            <w:tcW w:w="0" w:type="auto"/>
            <w:hideMark/>
          </w:tcPr>
          <w:p w14:paraId="28C690F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0.7717</w:t>
            </w:r>
          </w:p>
        </w:tc>
      </w:tr>
      <w:tr w:rsidR="00BE6C96" w:rsidRPr="00955D3D" w14:paraId="1BF487C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976EE9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12AB450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F8436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2.1060</w:t>
            </w:r>
          </w:p>
        </w:tc>
        <w:tc>
          <w:tcPr>
            <w:tcW w:w="0" w:type="auto"/>
            <w:hideMark/>
          </w:tcPr>
          <w:p w14:paraId="1E304F2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2.150</w:t>
            </w:r>
          </w:p>
        </w:tc>
        <w:tc>
          <w:tcPr>
            <w:tcW w:w="0" w:type="auto"/>
            <w:hideMark/>
          </w:tcPr>
          <w:p w14:paraId="3E583E8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1.260</w:t>
            </w:r>
          </w:p>
        </w:tc>
        <w:tc>
          <w:tcPr>
            <w:tcW w:w="0" w:type="auto"/>
            <w:hideMark/>
          </w:tcPr>
          <w:p w14:paraId="5A640B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3.430</w:t>
            </w:r>
          </w:p>
        </w:tc>
        <w:tc>
          <w:tcPr>
            <w:tcW w:w="0" w:type="auto"/>
            <w:hideMark/>
          </w:tcPr>
          <w:p w14:paraId="4B1FBF2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0.8976</w:t>
            </w:r>
          </w:p>
        </w:tc>
      </w:tr>
      <w:tr w:rsidR="00BE6C96" w:rsidRPr="00955D3D" w14:paraId="7E83811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09532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3C8D18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7A1BA66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0.2276</w:t>
            </w:r>
          </w:p>
        </w:tc>
        <w:tc>
          <w:tcPr>
            <w:tcW w:w="0" w:type="auto"/>
            <w:hideMark/>
          </w:tcPr>
          <w:p w14:paraId="11CC70D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0.231</w:t>
            </w:r>
          </w:p>
        </w:tc>
        <w:tc>
          <w:tcPr>
            <w:tcW w:w="0" w:type="auto"/>
            <w:hideMark/>
          </w:tcPr>
          <w:p w14:paraId="6B1219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w:t>
            </w:r>
          </w:p>
        </w:tc>
        <w:tc>
          <w:tcPr>
            <w:tcW w:w="0" w:type="auto"/>
            <w:hideMark/>
          </w:tcPr>
          <w:p w14:paraId="305C1C0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0.333</w:t>
            </w:r>
          </w:p>
        </w:tc>
        <w:tc>
          <w:tcPr>
            <w:tcW w:w="0" w:type="auto"/>
            <w:hideMark/>
          </w:tcPr>
          <w:p w14:paraId="58ACF6C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0.0714</w:t>
            </w:r>
          </w:p>
        </w:tc>
      </w:tr>
      <w:tr w:rsidR="00BE6C96" w:rsidRPr="00955D3D" w14:paraId="6B56F5F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5FC189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34711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587BDB4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1.0676</w:t>
            </w:r>
          </w:p>
        </w:tc>
        <w:tc>
          <w:tcPr>
            <w:tcW w:w="0" w:type="auto"/>
            <w:hideMark/>
          </w:tcPr>
          <w:p w14:paraId="2297F67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1.089</w:t>
            </w:r>
          </w:p>
        </w:tc>
        <w:tc>
          <w:tcPr>
            <w:tcW w:w="0" w:type="auto"/>
            <w:hideMark/>
          </w:tcPr>
          <w:p w14:paraId="3AD6B1C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0.662</w:t>
            </w:r>
          </w:p>
        </w:tc>
        <w:tc>
          <w:tcPr>
            <w:tcW w:w="0" w:type="auto"/>
            <w:hideMark/>
          </w:tcPr>
          <w:p w14:paraId="59701AB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1.701</w:t>
            </w:r>
          </w:p>
        </w:tc>
        <w:tc>
          <w:tcPr>
            <w:tcW w:w="0" w:type="auto"/>
            <w:hideMark/>
          </w:tcPr>
          <w:p w14:paraId="3CBE4B2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0.4297</w:t>
            </w:r>
          </w:p>
        </w:tc>
      </w:tr>
      <w:tr w:rsidR="00BE6C96" w:rsidRPr="00955D3D" w14:paraId="60048EF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788F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1BDF2B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2F1492C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0.5050</w:t>
            </w:r>
          </w:p>
        </w:tc>
        <w:tc>
          <w:tcPr>
            <w:tcW w:w="0" w:type="auto"/>
            <w:hideMark/>
          </w:tcPr>
          <w:p w14:paraId="434E927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0.358</w:t>
            </w:r>
          </w:p>
        </w:tc>
        <w:tc>
          <w:tcPr>
            <w:tcW w:w="0" w:type="auto"/>
            <w:hideMark/>
          </w:tcPr>
          <w:p w14:paraId="38549F7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0.205</w:t>
            </w:r>
          </w:p>
        </w:tc>
        <w:tc>
          <w:tcPr>
            <w:tcW w:w="0" w:type="auto"/>
            <w:hideMark/>
          </w:tcPr>
          <w:p w14:paraId="21775F3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1.203</w:t>
            </w:r>
          </w:p>
        </w:tc>
        <w:tc>
          <w:tcPr>
            <w:tcW w:w="0" w:type="auto"/>
            <w:hideMark/>
          </w:tcPr>
          <w:p w14:paraId="7B8CB4E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0.3984</w:t>
            </w:r>
          </w:p>
        </w:tc>
      </w:tr>
      <w:tr w:rsidR="00BE6C96" w:rsidRPr="00955D3D" w14:paraId="4768566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9ED17D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7B9180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62DACA5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0.5670</w:t>
            </w:r>
          </w:p>
        </w:tc>
        <w:tc>
          <w:tcPr>
            <w:tcW w:w="0" w:type="auto"/>
            <w:hideMark/>
          </w:tcPr>
          <w:p w14:paraId="7E91154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0.575</w:t>
            </w:r>
          </w:p>
        </w:tc>
        <w:tc>
          <w:tcPr>
            <w:tcW w:w="0" w:type="auto"/>
            <w:hideMark/>
          </w:tcPr>
          <w:p w14:paraId="1EE9AB3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0.143</w:t>
            </w:r>
          </w:p>
        </w:tc>
        <w:tc>
          <w:tcPr>
            <w:tcW w:w="0" w:type="auto"/>
            <w:hideMark/>
          </w:tcPr>
          <w:p w14:paraId="055B4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0.903</w:t>
            </w:r>
          </w:p>
        </w:tc>
        <w:tc>
          <w:tcPr>
            <w:tcW w:w="0" w:type="auto"/>
            <w:hideMark/>
          </w:tcPr>
          <w:p w14:paraId="199014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0.2753</w:t>
            </w:r>
          </w:p>
        </w:tc>
      </w:tr>
      <w:tr w:rsidR="00BE6C96" w:rsidRPr="00955D3D" w14:paraId="10A6532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C73AE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E2BA46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B4FFB1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2.2380</w:t>
            </w:r>
          </w:p>
        </w:tc>
        <w:tc>
          <w:tcPr>
            <w:tcW w:w="0" w:type="auto"/>
            <w:hideMark/>
          </w:tcPr>
          <w:p w14:paraId="5661314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1.610</w:t>
            </w:r>
          </w:p>
        </w:tc>
        <w:tc>
          <w:tcPr>
            <w:tcW w:w="0" w:type="auto"/>
            <w:hideMark/>
          </w:tcPr>
          <w:p w14:paraId="69AC049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0.960</w:t>
            </w:r>
          </w:p>
        </w:tc>
        <w:tc>
          <w:tcPr>
            <w:tcW w:w="0" w:type="auto"/>
            <w:hideMark/>
          </w:tcPr>
          <w:p w14:paraId="0738537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5.210</w:t>
            </w:r>
          </w:p>
        </w:tc>
        <w:tc>
          <w:tcPr>
            <w:tcW w:w="0" w:type="auto"/>
            <w:hideMark/>
          </w:tcPr>
          <w:p w14:paraId="16E600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1.6965</w:t>
            </w:r>
          </w:p>
        </w:tc>
      </w:tr>
      <w:tr w:rsidR="00BE6C96" w:rsidRPr="00955D3D" w14:paraId="0DA7C31F"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7D1D0F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2749A77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4FAA21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0.2382</w:t>
            </w:r>
          </w:p>
        </w:tc>
        <w:tc>
          <w:tcPr>
            <w:tcW w:w="0" w:type="auto"/>
            <w:hideMark/>
          </w:tcPr>
          <w:p w14:paraId="4CD9B79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0.188</w:t>
            </w:r>
          </w:p>
        </w:tc>
        <w:tc>
          <w:tcPr>
            <w:tcW w:w="0" w:type="auto"/>
            <w:hideMark/>
          </w:tcPr>
          <w:p w14:paraId="5765175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0.136</w:t>
            </w:r>
          </w:p>
        </w:tc>
        <w:tc>
          <w:tcPr>
            <w:tcW w:w="0" w:type="auto"/>
            <w:hideMark/>
          </w:tcPr>
          <w:p w14:paraId="5C3D254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0.476</w:t>
            </w:r>
          </w:p>
        </w:tc>
        <w:tc>
          <w:tcPr>
            <w:tcW w:w="0" w:type="auto"/>
            <w:hideMark/>
          </w:tcPr>
          <w:p w14:paraId="30CB988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0.1357</w:t>
            </w:r>
          </w:p>
        </w:tc>
      </w:tr>
      <w:tr w:rsidR="00BE6C96" w:rsidRPr="00955D3D" w14:paraId="3AB98E7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F53FB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16997BC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92EAC0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1.1302</w:t>
            </w:r>
          </w:p>
        </w:tc>
        <w:tc>
          <w:tcPr>
            <w:tcW w:w="0" w:type="auto"/>
            <w:hideMark/>
          </w:tcPr>
          <w:p w14:paraId="2E8B6D5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0.830</w:t>
            </w:r>
          </w:p>
        </w:tc>
        <w:tc>
          <w:tcPr>
            <w:tcW w:w="0" w:type="auto"/>
            <w:hideMark/>
          </w:tcPr>
          <w:p w14:paraId="35EEEE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0.516</w:t>
            </w:r>
          </w:p>
        </w:tc>
        <w:tc>
          <w:tcPr>
            <w:tcW w:w="0" w:type="auto"/>
            <w:hideMark/>
          </w:tcPr>
          <w:p w14:paraId="2A3FEE4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2.558</w:t>
            </w:r>
          </w:p>
        </w:tc>
        <w:tc>
          <w:tcPr>
            <w:tcW w:w="0" w:type="auto"/>
            <w:hideMark/>
          </w:tcPr>
          <w:p w14:paraId="71A3F9F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0.8150</w:t>
            </w:r>
          </w:p>
        </w:tc>
      </w:tr>
      <w:tr w:rsidR="00BE6C96" w:rsidRPr="00955D3D" w14:paraId="4DE1FA7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7B9A358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60469E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525F0E6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0.4626</w:t>
            </w:r>
          </w:p>
        </w:tc>
        <w:tc>
          <w:tcPr>
            <w:tcW w:w="0" w:type="auto"/>
            <w:hideMark/>
          </w:tcPr>
          <w:p w14:paraId="23B805D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0.462</w:t>
            </w:r>
          </w:p>
        </w:tc>
        <w:tc>
          <w:tcPr>
            <w:tcW w:w="0" w:type="auto"/>
            <w:hideMark/>
          </w:tcPr>
          <w:p w14:paraId="65C5F2E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w:t>
            </w:r>
          </w:p>
        </w:tc>
        <w:tc>
          <w:tcPr>
            <w:tcW w:w="0" w:type="auto"/>
            <w:hideMark/>
          </w:tcPr>
          <w:p w14:paraId="76059A2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0.841</w:t>
            </w:r>
          </w:p>
        </w:tc>
        <w:tc>
          <w:tcPr>
            <w:tcW w:w="0" w:type="auto"/>
            <w:hideMark/>
          </w:tcPr>
          <w:p w14:paraId="4FF6E5F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0.2636</w:t>
            </w:r>
          </w:p>
        </w:tc>
      </w:tr>
      <w:tr w:rsidR="00BE6C96" w:rsidRPr="00955D3D" w14:paraId="6A67EC7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1B19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616E75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7B4D2D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0.8240</w:t>
            </w:r>
          </w:p>
        </w:tc>
        <w:tc>
          <w:tcPr>
            <w:tcW w:w="0" w:type="auto"/>
            <w:hideMark/>
          </w:tcPr>
          <w:p w14:paraId="0F092F5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0.411</w:t>
            </w:r>
          </w:p>
        </w:tc>
        <w:tc>
          <w:tcPr>
            <w:tcW w:w="0" w:type="auto"/>
            <w:hideMark/>
          </w:tcPr>
          <w:p w14:paraId="6E6AD18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12F54AF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2.311</w:t>
            </w:r>
          </w:p>
        </w:tc>
        <w:tc>
          <w:tcPr>
            <w:tcW w:w="0" w:type="auto"/>
            <w:hideMark/>
          </w:tcPr>
          <w:p w14:paraId="6748AED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0.9078</w:t>
            </w:r>
          </w:p>
        </w:tc>
      </w:tr>
      <w:tr w:rsidR="00BE6C96" w:rsidRPr="00955D3D" w14:paraId="62AB764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FE71E7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089A7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BE72BC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2.0560</w:t>
            </w:r>
          </w:p>
        </w:tc>
        <w:tc>
          <w:tcPr>
            <w:tcW w:w="0" w:type="auto"/>
            <w:hideMark/>
          </w:tcPr>
          <w:p w14:paraId="7E8633B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2.050</w:t>
            </w:r>
          </w:p>
        </w:tc>
        <w:tc>
          <w:tcPr>
            <w:tcW w:w="0" w:type="auto"/>
            <w:hideMark/>
          </w:tcPr>
          <w:p w14:paraId="7D7B2B4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0.770</w:t>
            </w:r>
          </w:p>
        </w:tc>
        <w:tc>
          <w:tcPr>
            <w:tcW w:w="0" w:type="auto"/>
            <w:hideMark/>
          </w:tcPr>
          <w:p w14:paraId="7938325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3.670</w:t>
            </w:r>
          </w:p>
        </w:tc>
        <w:tc>
          <w:tcPr>
            <w:tcW w:w="0" w:type="auto"/>
            <w:hideMark/>
          </w:tcPr>
          <w:p w14:paraId="7BF0DF1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1.1228</w:t>
            </w:r>
          </w:p>
        </w:tc>
      </w:tr>
      <w:tr w:rsidR="00BE6C96" w:rsidRPr="00955D3D" w14:paraId="1578024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E67F6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33B26F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F7CCB4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0.2238</w:t>
            </w:r>
          </w:p>
        </w:tc>
        <w:tc>
          <w:tcPr>
            <w:tcW w:w="0" w:type="auto"/>
            <w:hideMark/>
          </w:tcPr>
          <w:p w14:paraId="51908B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0.223</w:t>
            </w:r>
          </w:p>
        </w:tc>
        <w:tc>
          <w:tcPr>
            <w:tcW w:w="0" w:type="auto"/>
            <w:hideMark/>
          </w:tcPr>
          <w:p w14:paraId="313E42D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0.121</w:t>
            </w:r>
          </w:p>
        </w:tc>
        <w:tc>
          <w:tcPr>
            <w:tcW w:w="0" w:type="auto"/>
            <w:hideMark/>
          </w:tcPr>
          <w:p w14:paraId="3C9677A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0.353</w:t>
            </w:r>
          </w:p>
        </w:tc>
        <w:tc>
          <w:tcPr>
            <w:tcW w:w="0" w:type="auto"/>
            <w:hideMark/>
          </w:tcPr>
          <w:p w14:paraId="7379748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0.0897</w:t>
            </w:r>
          </w:p>
        </w:tc>
      </w:tr>
      <w:tr w:rsidR="00BE6C96" w:rsidRPr="00955D3D" w14:paraId="38D1F18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7FB8634"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7584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207957F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1.0434</w:t>
            </w:r>
          </w:p>
        </w:tc>
        <w:tc>
          <w:tcPr>
            <w:tcW w:w="0" w:type="auto"/>
            <w:hideMark/>
          </w:tcPr>
          <w:p w14:paraId="6A31019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1.041</w:t>
            </w:r>
          </w:p>
        </w:tc>
        <w:tc>
          <w:tcPr>
            <w:tcW w:w="0" w:type="auto"/>
            <w:hideMark/>
          </w:tcPr>
          <w:p w14:paraId="7517BE2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0.425</w:t>
            </w:r>
          </w:p>
        </w:tc>
        <w:tc>
          <w:tcPr>
            <w:tcW w:w="0" w:type="auto"/>
            <w:hideMark/>
          </w:tcPr>
          <w:p w14:paraId="2AE78B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1.817</w:t>
            </w:r>
          </w:p>
        </w:tc>
        <w:tc>
          <w:tcPr>
            <w:tcW w:w="0" w:type="auto"/>
            <w:hideMark/>
          </w:tcPr>
          <w:p w14:paraId="0FE0A97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0.5387</w:t>
            </w:r>
          </w:p>
        </w:tc>
      </w:tr>
    </w:tbl>
    <w:p w14:paraId="692BA3D4" w14:textId="77777777" w:rsidR="00BE6C96" w:rsidRDefault="00BE6C96" w:rsidP="00BE6C96">
      <w:pPr>
        <w:spacing w:line="360" w:lineRule="auto"/>
        <w:jc w:val="both"/>
        <w:rPr>
          <w:rFonts w:asciiTheme="majorBidi" w:hAnsiTheme="majorBidi" w:cstheme="majorBidi"/>
          <w:b/>
          <w:bCs/>
          <w:color w:val="000000" w:themeColor="text1"/>
          <w:u w:val="single"/>
        </w:rPr>
      </w:pPr>
    </w:p>
    <w:p w14:paraId="4A38E969" w14:textId="196678D1" w:rsidR="00BE6C96" w:rsidRPr="00020E2E" w:rsidRDefault="00020E2E" w:rsidP="00BE6C96">
      <w:pPr>
        <w:spacing w:line="360" w:lineRule="auto"/>
        <w:jc w:val="both"/>
        <w:rPr>
          <w:rFonts w:asciiTheme="majorBidi" w:hAnsiTheme="majorBidi" w:cstheme="majorBidi"/>
          <w:color w:val="000000" w:themeColor="text1"/>
          <w:lang w:val="en-GB"/>
        </w:rPr>
      </w:pPr>
      <w:r w:rsidRPr="00020E2E">
        <w:rPr>
          <w:rFonts w:asciiTheme="majorBidi" w:hAnsiTheme="majorBidi" w:cstheme="majorBidi"/>
          <w:b/>
          <w:bCs/>
          <w:color w:val="000000" w:themeColor="text1"/>
          <w:lang w:val="en-GB"/>
        </w:rPr>
        <w:lastRenderedPageBreak/>
        <w:t>Table A1</w:t>
      </w:r>
      <w:r w:rsidRPr="00020E2E">
        <w:rPr>
          <w:rFonts w:asciiTheme="majorBidi" w:hAnsiTheme="majorBidi" w:cstheme="majorBidi"/>
          <w:color w:val="000000" w:themeColor="text1"/>
          <w:lang w:val="en-GB"/>
        </w:rPr>
        <w:t xml:space="preserve"> : Descriptive statistics of heavy metal concentrations (mg/L)</w:t>
      </w:r>
      <w:r>
        <w:rPr>
          <w:rFonts w:asciiTheme="majorBidi" w:hAnsiTheme="majorBidi" w:cstheme="majorBidi"/>
          <w:color w:val="000000" w:themeColor="text1"/>
          <w:lang w:val="en-GB"/>
        </w:rPr>
        <w:t xml:space="preserve"> (</w:t>
      </w:r>
      <w:r w:rsidRPr="00020E2E">
        <w:rPr>
          <w:rFonts w:asciiTheme="majorBidi" w:hAnsiTheme="majorBidi" w:cstheme="majorBidi"/>
          <w:color w:val="000000" w:themeColor="text1"/>
          <w:lang w:val="en-GB"/>
        </w:rPr>
        <w:t>Natitingou</w:t>
      </w:r>
      <w:r>
        <w:rPr>
          <w:rFonts w:asciiTheme="majorBidi" w:hAnsiTheme="majorBidi" w:cstheme="majorBidi"/>
          <w:color w:val="000000" w:themeColor="text1"/>
          <w:lang w:val="en-GB"/>
        </w:rPr>
        <w:t>)</w:t>
      </w:r>
    </w:p>
    <w:tbl>
      <w:tblPr>
        <w:tblStyle w:val="PlainTable1"/>
        <w:tblpPr w:leftFromText="180" w:rightFromText="180" w:horzAnchor="page" w:tblpX="1941" w:tblpY="250"/>
        <w:tblW w:w="0" w:type="auto"/>
        <w:tblLook w:val="04A0" w:firstRow="1" w:lastRow="0" w:firstColumn="1" w:lastColumn="0" w:noHBand="0" w:noVBand="1"/>
      </w:tblPr>
      <w:tblGrid>
        <w:gridCol w:w="1516"/>
        <w:gridCol w:w="1503"/>
        <w:gridCol w:w="996"/>
        <w:gridCol w:w="1003"/>
        <w:gridCol w:w="876"/>
        <w:gridCol w:w="876"/>
      </w:tblGrid>
      <w:tr w:rsidR="003A133E" w:rsidRPr="00955D3D" w14:paraId="45135463" w14:textId="77777777" w:rsidTr="003A1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5F427B" w14:textId="2A889563" w:rsidR="003A133E" w:rsidRPr="00955D3D" w:rsidRDefault="003A133E" w:rsidP="003A133E">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55861A49" w14:textId="76A31E4E"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Heavy metal</w:t>
            </w:r>
          </w:p>
        </w:tc>
        <w:tc>
          <w:tcPr>
            <w:tcW w:w="0" w:type="auto"/>
            <w:hideMark/>
          </w:tcPr>
          <w:p w14:paraId="14AB45CD" w14:textId="13609339"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Pr>
                <w:rFonts w:asciiTheme="majorBidi" w:hAnsiTheme="majorBidi" w:cstheme="majorBidi"/>
                <w:color w:val="000000" w:themeColor="text1"/>
              </w:rPr>
              <w:t>ean</w:t>
            </w:r>
          </w:p>
        </w:tc>
        <w:tc>
          <w:tcPr>
            <w:tcW w:w="0" w:type="auto"/>
            <w:hideMark/>
          </w:tcPr>
          <w:p w14:paraId="09A196CD" w14:textId="4BDDB0C7"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w:t>
            </w:r>
            <w:r>
              <w:rPr>
                <w:rFonts w:asciiTheme="majorBidi" w:hAnsiTheme="majorBidi" w:cstheme="majorBidi"/>
                <w:color w:val="000000" w:themeColor="text1"/>
              </w:rPr>
              <w:t>e</w:t>
            </w:r>
            <w:r w:rsidRPr="00955D3D">
              <w:rPr>
                <w:rFonts w:asciiTheme="majorBidi" w:hAnsiTheme="majorBidi" w:cstheme="majorBidi"/>
                <w:color w:val="000000" w:themeColor="text1"/>
              </w:rPr>
              <w:t>dian</w:t>
            </w:r>
          </w:p>
        </w:tc>
        <w:tc>
          <w:tcPr>
            <w:tcW w:w="0" w:type="auto"/>
            <w:hideMark/>
          </w:tcPr>
          <w:p w14:paraId="1722FB56" w14:textId="5AB21AAE"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3410C2F2" w14:textId="579490F7"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r>
      <w:tr w:rsidR="003A133E" w:rsidRPr="00955D3D" w14:paraId="7FE89D7E"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940B2"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F53B84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09D0ED1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0.0030</w:t>
            </w:r>
          </w:p>
        </w:tc>
        <w:tc>
          <w:tcPr>
            <w:tcW w:w="0" w:type="auto"/>
            <w:hideMark/>
          </w:tcPr>
          <w:p w14:paraId="2F250DE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3B945D9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45D76CE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r>
      <w:tr w:rsidR="003A133E" w:rsidRPr="00955D3D" w14:paraId="52975A09"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19EEEDA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E20C5E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4A55611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0.0660</w:t>
            </w:r>
          </w:p>
        </w:tc>
        <w:tc>
          <w:tcPr>
            <w:tcW w:w="0" w:type="auto"/>
            <w:hideMark/>
          </w:tcPr>
          <w:p w14:paraId="487AD3D3"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c>
          <w:tcPr>
            <w:tcW w:w="0" w:type="auto"/>
            <w:hideMark/>
          </w:tcPr>
          <w:p w14:paraId="2B1D140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c>
          <w:tcPr>
            <w:tcW w:w="0" w:type="auto"/>
            <w:hideMark/>
          </w:tcPr>
          <w:p w14:paraId="15962A3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r>
      <w:tr w:rsidR="003A133E" w:rsidRPr="00955D3D" w14:paraId="07CBD4CE"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5FF1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AF8A7F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4050A3E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1.6830</w:t>
            </w:r>
          </w:p>
        </w:tc>
        <w:tc>
          <w:tcPr>
            <w:tcW w:w="0" w:type="auto"/>
            <w:hideMark/>
          </w:tcPr>
          <w:p w14:paraId="70AD4B81"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c>
          <w:tcPr>
            <w:tcW w:w="0" w:type="auto"/>
            <w:hideMark/>
          </w:tcPr>
          <w:p w14:paraId="43368B9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c>
          <w:tcPr>
            <w:tcW w:w="0" w:type="auto"/>
            <w:hideMark/>
          </w:tcPr>
          <w:p w14:paraId="1E96509D"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r>
      <w:tr w:rsidR="003A133E" w:rsidRPr="00955D3D" w14:paraId="6485FA1E"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1AF9749"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84BAB0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9EE0244"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2.8800</w:t>
            </w:r>
          </w:p>
        </w:tc>
        <w:tc>
          <w:tcPr>
            <w:tcW w:w="0" w:type="auto"/>
            <w:hideMark/>
          </w:tcPr>
          <w:p w14:paraId="4AD9BDC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c>
          <w:tcPr>
            <w:tcW w:w="0" w:type="auto"/>
            <w:hideMark/>
          </w:tcPr>
          <w:p w14:paraId="1E5325C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c>
          <w:tcPr>
            <w:tcW w:w="0" w:type="auto"/>
            <w:hideMark/>
          </w:tcPr>
          <w:p w14:paraId="76DE42D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r>
      <w:tr w:rsidR="003A133E" w:rsidRPr="00955D3D" w14:paraId="000A7DBD"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937D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2406FB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D0A072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0.2900</w:t>
            </w:r>
          </w:p>
        </w:tc>
        <w:tc>
          <w:tcPr>
            <w:tcW w:w="0" w:type="auto"/>
            <w:hideMark/>
          </w:tcPr>
          <w:p w14:paraId="64C0A3C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c>
          <w:tcPr>
            <w:tcW w:w="0" w:type="auto"/>
            <w:hideMark/>
          </w:tcPr>
          <w:p w14:paraId="4D57EFD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c>
          <w:tcPr>
            <w:tcW w:w="0" w:type="auto"/>
            <w:hideMark/>
          </w:tcPr>
          <w:p w14:paraId="419A0B0A"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r>
      <w:tr w:rsidR="003A133E" w:rsidRPr="00955D3D" w14:paraId="52521E3F"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2D867030"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198AA19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76657E7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1.4400</w:t>
            </w:r>
          </w:p>
        </w:tc>
        <w:tc>
          <w:tcPr>
            <w:tcW w:w="0" w:type="auto"/>
            <w:hideMark/>
          </w:tcPr>
          <w:p w14:paraId="2EB14A96"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62872E8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771139F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r>
      <w:tr w:rsidR="003A133E" w:rsidRPr="00955D3D" w14:paraId="0F72A041"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5F3EAA"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67F3C92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E7A109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0.4210</w:t>
            </w:r>
          </w:p>
        </w:tc>
        <w:tc>
          <w:tcPr>
            <w:tcW w:w="0" w:type="auto"/>
            <w:hideMark/>
          </w:tcPr>
          <w:p w14:paraId="7BDAC4F2"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c>
          <w:tcPr>
            <w:tcW w:w="0" w:type="auto"/>
            <w:hideMark/>
          </w:tcPr>
          <w:p w14:paraId="12C26730"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c>
          <w:tcPr>
            <w:tcW w:w="0" w:type="auto"/>
            <w:hideMark/>
          </w:tcPr>
          <w:p w14:paraId="46FD45D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r>
      <w:tr w:rsidR="003A133E" w:rsidRPr="00955D3D" w14:paraId="5AC9AFF4"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B7AA013"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6A5BD72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605A2D1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13.7800</w:t>
            </w:r>
          </w:p>
        </w:tc>
        <w:tc>
          <w:tcPr>
            <w:tcW w:w="0" w:type="auto"/>
            <w:hideMark/>
          </w:tcPr>
          <w:p w14:paraId="7E7FB19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c>
          <w:tcPr>
            <w:tcW w:w="0" w:type="auto"/>
            <w:hideMark/>
          </w:tcPr>
          <w:p w14:paraId="03CD454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c>
          <w:tcPr>
            <w:tcW w:w="0" w:type="auto"/>
            <w:hideMark/>
          </w:tcPr>
          <w:p w14:paraId="74E770A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r>
      <w:tr w:rsidR="003A133E" w:rsidRPr="00955D3D" w14:paraId="55C4B716"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70037A"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12421F0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0DAC78B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18.0000</w:t>
            </w:r>
          </w:p>
        </w:tc>
        <w:tc>
          <w:tcPr>
            <w:tcW w:w="0" w:type="auto"/>
            <w:hideMark/>
          </w:tcPr>
          <w:p w14:paraId="2C9F573A"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c>
          <w:tcPr>
            <w:tcW w:w="0" w:type="auto"/>
            <w:hideMark/>
          </w:tcPr>
          <w:p w14:paraId="77E20AA2"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c>
          <w:tcPr>
            <w:tcW w:w="0" w:type="auto"/>
            <w:hideMark/>
          </w:tcPr>
          <w:p w14:paraId="35BEDC6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r>
      <w:tr w:rsidR="003A133E" w:rsidRPr="00955D3D" w14:paraId="15D7B986"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76B09A89"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02567E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66105672"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1.5000</w:t>
            </w:r>
          </w:p>
        </w:tc>
        <w:tc>
          <w:tcPr>
            <w:tcW w:w="0" w:type="auto"/>
            <w:hideMark/>
          </w:tcPr>
          <w:p w14:paraId="1BD1368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c>
          <w:tcPr>
            <w:tcW w:w="0" w:type="auto"/>
            <w:hideMark/>
          </w:tcPr>
          <w:p w14:paraId="4426584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c>
          <w:tcPr>
            <w:tcW w:w="0" w:type="auto"/>
            <w:hideMark/>
          </w:tcPr>
          <w:p w14:paraId="0E145C5B"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r>
      <w:tr w:rsidR="003A133E" w:rsidRPr="00955D3D" w14:paraId="51521F3A"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4FE95"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4D756B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427B535"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8.7000</w:t>
            </w:r>
          </w:p>
        </w:tc>
        <w:tc>
          <w:tcPr>
            <w:tcW w:w="0" w:type="auto"/>
            <w:hideMark/>
          </w:tcPr>
          <w:p w14:paraId="525F613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c>
          <w:tcPr>
            <w:tcW w:w="0" w:type="auto"/>
            <w:hideMark/>
          </w:tcPr>
          <w:p w14:paraId="3022105E"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c>
          <w:tcPr>
            <w:tcW w:w="0" w:type="auto"/>
            <w:hideMark/>
          </w:tcPr>
          <w:p w14:paraId="25DAAA4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r>
      <w:tr w:rsidR="003A133E" w:rsidRPr="00955D3D" w14:paraId="78A93CB1"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5684C8B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3F15DE3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44FBB35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2.2690</w:t>
            </w:r>
          </w:p>
        </w:tc>
        <w:tc>
          <w:tcPr>
            <w:tcW w:w="0" w:type="auto"/>
            <w:hideMark/>
          </w:tcPr>
          <w:p w14:paraId="071CAB2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c>
          <w:tcPr>
            <w:tcW w:w="0" w:type="auto"/>
            <w:hideMark/>
          </w:tcPr>
          <w:p w14:paraId="71DF1C7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c>
          <w:tcPr>
            <w:tcW w:w="0" w:type="auto"/>
            <w:hideMark/>
          </w:tcPr>
          <w:p w14:paraId="1753A92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r>
      <w:tr w:rsidR="003A133E" w:rsidRPr="00955D3D" w14:paraId="1B0539C3"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A55CE"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90A6AE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2FB4A43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0.1250</w:t>
            </w:r>
          </w:p>
        </w:tc>
        <w:tc>
          <w:tcPr>
            <w:tcW w:w="0" w:type="auto"/>
            <w:hideMark/>
          </w:tcPr>
          <w:p w14:paraId="400CD2E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c>
          <w:tcPr>
            <w:tcW w:w="0" w:type="auto"/>
            <w:hideMark/>
          </w:tcPr>
          <w:p w14:paraId="4704E57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c>
          <w:tcPr>
            <w:tcW w:w="0" w:type="auto"/>
            <w:hideMark/>
          </w:tcPr>
          <w:p w14:paraId="21E369A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r>
      <w:tr w:rsidR="003A133E" w:rsidRPr="00955D3D" w14:paraId="0891F285"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285AB95"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D144061"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CF6AD7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3.7100</w:t>
            </w:r>
          </w:p>
        </w:tc>
        <w:tc>
          <w:tcPr>
            <w:tcW w:w="0" w:type="auto"/>
            <w:hideMark/>
          </w:tcPr>
          <w:p w14:paraId="3E6A95F6"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c>
          <w:tcPr>
            <w:tcW w:w="0" w:type="auto"/>
            <w:hideMark/>
          </w:tcPr>
          <w:p w14:paraId="1A07DA62"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c>
          <w:tcPr>
            <w:tcW w:w="0" w:type="auto"/>
            <w:hideMark/>
          </w:tcPr>
          <w:p w14:paraId="3A51972D"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r>
      <w:tr w:rsidR="003A133E" w:rsidRPr="00955D3D" w14:paraId="53D0F46D"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118AA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6019E5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1724F9E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5.4100</w:t>
            </w:r>
          </w:p>
        </w:tc>
        <w:tc>
          <w:tcPr>
            <w:tcW w:w="0" w:type="auto"/>
            <w:hideMark/>
          </w:tcPr>
          <w:p w14:paraId="0093DB8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c>
          <w:tcPr>
            <w:tcW w:w="0" w:type="auto"/>
            <w:hideMark/>
          </w:tcPr>
          <w:p w14:paraId="43597DE5"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c>
          <w:tcPr>
            <w:tcW w:w="0" w:type="auto"/>
            <w:hideMark/>
          </w:tcPr>
          <w:p w14:paraId="5B3F885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r>
      <w:tr w:rsidR="003A133E" w:rsidRPr="00955D3D" w14:paraId="4B0D91E6"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123DC966"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76412B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052DD27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0.4920</w:t>
            </w:r>
          </w:p>
        </w:tc>
        <w:tc>
          <w:tcPr>
            <w:tcW w:w="0" w:type="auto"/>
            <w:hideMark/>
          </w:tcPr>
          <w:p w14:paraId="49EFE19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c>
          <w:tcPr>
            <w:tcW w:w="0" w:type="auto"/>
            <w:hideMark/>
          </w:tcPr>
          <w:p w14:paraId="12AF41B1"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c>
          <w:tcPr>
            <w:tcW w:w="0" w:type="auto"/>
            <w:hideMark/>
          </w:tcPr>
          <w:p w14:paraId="6877EE3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r>
      <w:tr w:rsidR="003A133E" w:rsidRPr="00955D3D" w14:paraId="2B991A62"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2F4F3"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09C0AA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D51BCF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2.6500</w:t>
            </w:r>
          </w:p>
        </w:tc>
        <w:tc>
          <w:tcPr>
            <w:tcW w:w="0" w:type="auto"/>
            <w:hideMark/>
          </w:tcPr>
          <w:p w14:paraId="63CAA206"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c>
          <w:tcPr>
            <w:tcW w:w="0" w:type="auto"/>
            <w:hideMark/>
          </w:tcPr>
          <w:p w14:paraId="6FB6A1A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c>
          <w:tcPr>
            <w:tcW w:w="0" w:type="auto"/>
            <w:hideMark/>
          </w:tcPr>
          <w:p w14:paraId="4C64B64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r>
      <w:tr w:rsidR="003A133E" w:rsidRPr="00955D3D" w14:paraId="6507ABD7"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2B95DF6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FA8E01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7CA9B27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0.6080</w:t>
            </w:r>
          </w:p>
        </w:tc>
        <w:tc>
          <w:tcPr>
            <w:tcW w:w="0" w:type="auto"/>
            <w:hideMark/>
          </w:tcPr>
          <w:p w14:paraId="153140F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c>
          <w:tcPr>
            <w:tcW w:w="0" w:type="auto"/>
            <w:hideMark/>
          </w:tcPr>
          <w:p w14:paraId="1D96691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c>
          <w:tcPr>
            <w:tcW w:w="0" w:type="auto"/>
            <w:hideMark/>
          </w:tcPr>
          <w:p w14:paraId="2E4AB95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r>
    </w:tbl>
    <w:p w14:paraId="725834D7" w14:textId="77777777" w:rsidR="00BE6C96" w:rsidRDefault="00BE6C96" w:rsidP="00BE6C96">
      <w:pPr>
        <w:spacing w:line="360" w:lineRule="auto"/>
        <w:jc w:val="both"/>
        <w:rPr>
          <w:rFonts w:asciiTheme="majorBidi" w:hAnsiTheme="majorBidi" w:cstheme="majorBidi"/>
          <w:color w:val="000000" w:themeColor="text1"/>
        </w:rPr>
      </w:pPr>
    </w:p>
    <w:p w14:paraId="296902AD"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3F7149EC"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0EB658EC"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71933587"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19837DF8"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53776C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2D02E26"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A4D2FDB"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1567E079"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26904400"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95CA73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6CE59F9E"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0E0E7582"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0D4169E"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972D7F6"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81A851C"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47A28B8"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32A7C70"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0887C657"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6F3A568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CEFFEDD" w14:textId="1E9F5AAF" w:rsidR="00BE6C96" w:rsidRPr="00E0413D" w:rsidRDefault="00BE6C96" w:rsidP="00BE6C96">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u w:val="single"/>
          <w:lang w:val="en-GB"/>
        </w:rPr>
        <w:t>Table A2</w:t>
      </w:r>
      <w:r w:rsidRPr="00E0413D">
        <w:rPr>
          <w:rFonts w:asciiTheme="majorBidi" w:hAnsiTheme="majorBidi" w:cstheme="majorBidi"/>
          <w:color w:val="000000" w:themeColor="text1"/>
          <w:lang w:val="en-GB"/>
        </w:rPr>
        <w:t xml:space="preserve"> : Heavy Metal</w:t>
      </w:r>
      <w:r w:rsidR="001B0AC1">
        <w:rPr>
          <w:rFonts w:asciiTheme="majorBidi" w:hAnsiTheme="majorBidi" w:cstheme="majorBidi"/>
          <w:color w:val="000000" w:themeColor="text1"/>
          <w:lang w:val="en-GB"/>
        </w:rPr>
        <w:t>(MI)</w:t>
      </w:r>
      <w:r w:rsidRPr="00E0413D">
        <w:rPr>
          <w:rFonts w:asciiTheme="majorBidi" w:hAnsiTheme="majorBidi" w:cstheme="majorBidi"/>
          <w:color w:val="000000" w:themeColor="text1"/>
          <w:lang w:val="en-GB"/>
        </w:rPr>
        <w:t xml:space="preserve"> Pollution index </w:t>
      </w:r>
      <w:r w:rsidR="00E0413D" w:rsidRPr="00E0413D">
        <w:rPr>
          <w:rFonts w:asciiTheme="majorBidi" w:hAnsiTheme="majorBidi" w:cstheme="majorBidi"/>
          <w:color w:val="000000" w:themeColor="text1"/>
          <w:lang w:val="en-GB"/>
        </w:rPr>
        <w:t>b</w:t>
      </w:r>
      <w:r w:rsidR="00E0413D">
        <w:rPr>
          <w:rFonts w:asciiTheme="majorBidi" w:hAnsiTheme="majorBidi" w:cstheme="majorBidi"/>
          <w:color w:val="000000" w:themeColor="text1"/>
          <w:lang w:val="en-GB"/>
        </w:rPr>
        <w:t>y city and distance</w:t>
      </w:r>
    </w:p>
    <w:tbl>
      <w:tblPr>
        <w:tblStyle w:val="PlainTable1"/>
        <w:tblW w:w="9351" w:type="dxa"/>
        <w:tblLook w:val="04A0" w:firstRow="1" w:lastRow="0" w:firstColumn="1" w:lastColumn="0" w:noHBand="0" w:noVBand="1"/>
      </w:tblPr>
      <w:tblGrid>
        <w:gridCol w:w="1737"/>
        <w:gridCol w:w="1261"/>
        <w:gridCol w:w="1147"/>
        <w:gridCol w:w="1003"/>
        <w:gridCol w:w="803"/>
        <w:gridCol w:w="643"/>
        <w:gridCol w:w="683"/>
        <w:gridCol w:w="2074"/>
      </w:tblGrid>
      <w:tr w:rsidR="00E0413D" w:rsidRPr="00955D3D" w14:paraId="04E31BB4" w14:textId="77777777" w:rsidTr="001B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12758" w14:textId="22A6FCC9" w:rsidR="00BE6C96" w:rsidRPr="00955D3D" w:rsidRDefault="00E0413D" w:rsidP="0031013D">
            <w:pPr>
              <w:spacing w:line="360" w:lineRule="auto"/>
              <w:jc w:val="both"/>
              <w:rPr>
                <w:rFonts w:asciiTheme="majorBidi" w:hAnsiTheme="majorBidi" w:cstheme="majorBidi"/>
                <w:b w:val="0"/>
                <w:bCs w:val="0"/>
                <w:color w:val="000000" w:themeColor="text1"/>
              </w:rPr>
            </w:pPr>
            <w:r>
              <w:rPr>
                <w:rFonts w:asciiTheme="majorBidi" w:hAnsiTheme="majorBidi" w:cstheme="majorBidi"/>
                <w:color w:val="000000" w:themeColor="text1"/>
              </w:rPr>
              <w:t>City</w:t>
            </w:r>
          </w:p>
        </w:tc>
        <w:tc>
          <w:tcPr>
            <w:tcW w:w="0" w:type="auto"/>
            <w:hideMark/>
          </w:tcPr>
          <w:p w14:paraId="531F4A9C"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727E353C" w14:textId="4DDD4A04" w:rsidR="00BE6C96" w:rsidRPr="00955D3D" w:rsidRDefault="001B0AC1"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Sample size</w:t>
            </w:r>
          </w:p>
        </w:tc>
        <w:tc>
          <w:tcPr>
            <w:tcW w:w="0" w:type="auto"/>
            <w:hideMark/>
          </w:tcPr>
          <w:p w14:paraId="516726A6" w14:textId="4AEE1DB0" w:rsidR="00E0413D"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Me</w:t>
            </w:r>
            <w:r w:rsidR="00BE6C96" w:rsidRPr="00955D3D">
              <w:rPr>
                <w:rFonts w:asciiTheme="majorBidi" w:hAnsiTheme="majorBidi" w:cstheme="majorBidi"/>
                <w:color w:val="000000" w:themeColor="text1"/>
              </w:rPr>
              <w:t>dian</w:t>
            </w:r>
          </w:p>
        </w:tc>
        <w:tc>
          <w:tcPr>
            <w:tcW w:w="0" w:type="auto"/>
            <w:hideMark/>
          </w:tcPr>
          <w:p w14:paraId="54914045" w14:textId="44D1A048"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Mean</w:t>
            </w:r>
          </w:p>
          <w:p w14:paraId="7BFACA48" w14:textId="635B7C84"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0" w:type="auto"/>
            <w:hideMark/>
          </w:tcPr>
          <w:p w14:paraId="5161BDFB" w14:textId="1E421B60"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w:t>
            </w:r>
            <w:r w:rsidR="00BE6C96" w:rsidRPr="00955D3D">
              <w:rPr>
                <w:rFonts w:asciiTheme="majorBidi" w:hAnsiTheme="majorBidi" w:cstheme="majorBidi"/>
                <w:color w:val="000000" w:themeColor="text1"/>
              </w:rPr>
              <w:t>in</w:t>
            </w:r>
            <w:r>
              <w:rPr>
                <w:rFonts w:asciiTheme="majorBidi" w:hAnsiTheme="majorBidi" w:cstheme="majorBidi"/>
                <w:color w:val="000000" w:themeColor="text1"/>
              </w:rPr>
              <w:t xml:space="preserve"> </w:t>
            </w:r>
          </w:p>
          <w:p w14:paraId="316F0408" w14:textId="2DC23082"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0" w:type="auto"/>
            <w:hideMark/>
          </w:tcPr>
          <w:p w14:paraId="5CABF2C6" w14:textId="2FC34B95"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w:t>
            </w:r>
            <w:r w:rsidR="00BE6C96" w:rsidRPr="00955D3D">
              <w:rPr>
                <w:rFonts w:asciiTheme="majorBidi" w:hAnsiTheme="majorBidi" w:cstheme="majorBidi"/>
                <w:color w:val="000000" w:themeColor="text1"/>
              </w:rPr>
              <w:t>ax</w:t>
            </w:r>
            <w:r>
              <w:rPr>
                <w:rFonts w:asciiTheme="majorBidi" w:hAnsiTheme="majorBidi" w:cstheme="majorBidi"/>
                <w:color w:val="000000" w:themeColor="text1"/>
              </w:rPr>
              <w:t xml:space="preserve"> </w:t>
            </w:r>
          </w:p>
          <w:p w14:paraId="42F9C14C" w14:textId="4B8D81FA"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2074" w:type="dxa"/>
            <w:hideMark/>
          </w:tcPr>
          <w:p w14:paraId="02795CA0" w14:textId="13A6E538" w:rsidR="00BE6C96" w:rsidRPr="001B0AC1" w:rsidRDefault="001B0AC1"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B0AC1">
              <w:rPr>
                <w:rFonts w:asciiTheme="majorBidi" w:hAnsiTheme="majorBidi" w:cstheme="majorBidi"/>
                <w:color w:val="000000" w:themeColor="text1"/>
              </w:rPr>
              <w:t>% polluted samples (MI ≥ 1)</w:t>
            </w:r>
          </w:p>
        </w:tc>
      </w:tr>
      <w:tr w:rsidR="00E0413D" w:rsidRPr="00955D3D" w14:paraId="3E9BC71F"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A770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01A404B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C55ED9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578944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68,8</w:t>
            </w:r>
          </w:p>
        </w:tc>
        <w:tc>
          <w:tcPr>
            <w:tcW w:w="0" w:type="auto"/>
            <w:hideMark/>
          </w:tcPr>
          <w:p w14:paraId="48268EE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68,2</w:t>
            </w:r>
          </w:p>
        </w:tc>
        <w:tc>
          <w:tcPr>
            <w:tcW w:w="0" w:type="auto"/>
            <w:hideMark/>
          </w:tcPr>
          <w:p w14:paraId="0A459E2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32,1</w:t>
            </w:r>
          </w:p>
        </w:tc>
        <w:tc>
          <w:tcPr>
            <w:tcW w:w="0" w:type="auto"/>
            <w:hideMark/>
          </w:tcPr>
          <w:p w14:paraId="2BD0C3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132</w:t>
            </w:r>
          </w:p>
        </w:tc>
        <w:tc>
          <w:tcPr>
            <w:tcW w:w="2074" w:type="dxa"/>
            <w:hideMark/>
          </w:tcPr>
          <w:p w14:paraId="02F9A78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A98F94F"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7932C02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lastRenderedPageBreak/>
              <w:t>Abomey-Calavi</w:t>
            </w:r>
          </w:p>
        </w:tc>
        <w:tc>
          <w:tcPr>
            <w:tcW w:w="0" w:type="auto"/>
            <w:hideMark/>
          </w:tcPr>
          <w:p w14:paraId="2B01E1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22DE22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3548CF9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44,8</w:t>
            </w:r>
          </w:p>
        </w:tc>
        <w:tc>
          <w:tcPr>
            <w:tcW w:w="0" w:type="auto"/>
            <w:hideMark/>
          </w:tcPr>
          <w:p w14:paraId="45500E1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58,6</w:t>
            </w:r>
          </w:p>
        </w:tc>
        <w:tc>
          <w:tcPr>
            <w:tcW w:w="0" w:type="auto"/>
            <w:hideMark/>
          </w:tcPr>
          <w:p w14:paraId="2B39C1C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w:t>
            </w:r>
          </w:p>
        </w:tc>
        <w:tc>
          <w:tcPr>
            <w:tcW w:w="0" w:type="auto"/>
            <w:hideMark/>
          </w:tcPr>
          <w:p w14:paraId="61CCC4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129</w:t>
            </w:r>
          </w:p>
        </w:tc>
        <w:tc>
          <w:tcPr>
            <w:tcW w:w="2074" w:type="dxa"/>
            <w:hideMark/>
          </w:tcPr>
          <w:p w14:paraId="07A75C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6A2403F8"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1125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534A11E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B9E043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5814936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27,5</w:t>
            </w:r>
          </w:p>
        </w:tc>
        <w:tc>
          <w:tcPr>
            <w:tcW w:w="0" w:type="auto"/>
            <w:hideMark/>
          </w:tcPr>
          <w:p w14:paraId="28671BE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38,4</w:t>
            </w:r>
          </w:p>
        </w:tc>
        <w:tc>
          <w:tcPr>
            <w:tcW w:w="0" w:type="auto"/>
            <w:hideMark/>
          </w:tcPr>
          <w:p w14:paraId="16A625B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w:t>
            </w:r>
          </w:p>
        </w:tc>
        <w:tc>
          <w:tcPr>
            <w:tcW w:w="0" w:type="auto"/>
            <w:hideMark/>
          </w:tcPr>
          <w:p w14:paraId="7F01AB2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91,0</w:t>
            </w:r>
          </w:p>
        </w:tc>
        <w:tc>
          <w:tcPr>
            <w:tcW w:w="2074" w:type="dxa"/>
            <w:hideMark/>
          </w:tcPr>
          <w:p w14:paraId="7E10EB6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29AD74E2"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02B91F6F"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Abomey-Calavi (total)</w:t>
            </w:r>
          </w:p>
        </w:tc>
        <w:tc>
          <w:tcPr>
            <w:tcW w:w="0" w:type="auto"/>
            <w:hideMark/>
          </w:tcPr>
          <w:p w14:paraId="12F78C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3DDEF6F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w:t>
            </w:r>
          </w:p>
        </w:tc>
        <w:tc>
          <w:tcPr>
            <w:tcW w:w="0" w:type="auto"/>
            <w:hideMark/>
          </w:tcPr>
          <w:p w14:paraId="2DB55D7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39,8</w:t>
            </w:r>
          </w:p>
        </w:tc>
        <w:tc>
          <w:tcPr>
            <w:tcW w:w="0" w:type="auto"/>
            <w:hideMark/>
          </w:tcPr>
          <w:p w14:paraId="21CE674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55,1</w:t>
            </w:r>
          </w:p>
        </w:tc>
        <w:tc>
          <w:tcPr>
            <w:tcW w:w="0" w:type="auto"/>
            <w:hideMark/>
          </w:tcPr>
          <w:p w14:paraId="065C131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w:t>
            </w:r>
          </w:p>
        </w:tc>
        <w:tc>
          <w:tcPr>
            <w:tcW w:w="0" w:type="auto"/>
            <w:hideMark/>
          </w:tcPr>
          <w:p w14:paraId="1555111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132</w:t>
            </w:r>
          </w:p>
        </w:tc>
        <w:tc>
          <w:tcPr>
            <w:tcW w:w="2074" w:type="dxa"/>
            <w:hideMark/>
          </w:tcPr>
          <w:p w14:paraId="7B7DF1A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3F6A057"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9BF7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39E32F5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5B9CFBC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3074820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194</w:t>
            </w:r>
          </w:p>
        </w:tc>
        <w:tc>
          <w:tcPr>
            <w:tcW w:w="0" w:type="auto"/>
            <w:hideMark/>
          </w:tcPr>
          <w:p w14:paraId="00ABF9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190</w:t>
            </w:r>
          </w:p>
        </w:tc>
        <w:tc>
          <w:tcPr>
            <w:tcW w:w="0" w:type="auto"/>
            <w:hideMark/>
          </w:tcPr>
          <w:p w14:paraId="607CDF1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114</w:t>
            </w:r>
          </w:p>
        </w:tc>
        <w:tc>
          <w:tcPr>
            <w:tcW w:w="0" w:type="auto"/>
            <w:hideMark/>
          </w:tcPr>
          <w:p w14:paraId="3186C6D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w:t>
            </w:r>
          </w:p>
        </w:tc>
        <w:tc>
          <w:tcPr>
            <w:tcW w:w="2074" w:type="dxa"/>
            <w:hideMark/>
          </w:tcPr>
          <w:p w14:paraId="1A8679A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7138CFF5"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1771EFD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0909DFF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AE20C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2CF447B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145</w:t>
            </w:r>
          </w:p>
        </w:tc>
        <w:tc>
          <w:tcPr>
            <w:tcW w:w="0" w:type="auto"/>
            <w:hideMark/>
          </w:tcPr>
          <w:p w14:paraId="326F921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201</w:t>
            </w:r>
          </w:p>
        </w:tc>
        <w:tc>
          <w:tcPr>
            <w:tcW w:w="0" w:type="auto"/>
            <w:hideMark/>
          </w:tcPr>
          <w:p w14:paraId="7D44640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86,4</w:t>
            </w:r>
          </w:p>
        </w:tc>
        <w:tc>
          <w:tcPr>
            <w:tcW w:w="0" w:type="auto"/>
            <w:hideMark/>
          </w:tcPr>
          <w:p w14:paraId="43BF55E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468</w:t>
            </w:r>
          </w:p>
        </w:tc>
        <w:tc>
          <w:tcPr>
            <w:tcW w:w="2074" w:type="dxa"/>
            <w:hideMark/>
          </w:tcPr>
          <w:p w14:paraId="1E4FA9F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461D1E1"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8ED8A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221B234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0624A6F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472551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185</w:t>
            </w:r>
          </w:p>
        </w:tc>
        <w:tc>
          <w:tcPr>
            <w:tcW w:w="0" w:type="auto"/>
            <w:hideMark/>
          </w:tcPr>
          <w:p w14:paraId="7DA44AD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185</w:t>
            </w:r>
          </w:p>
        </w:tc>
        <w:tc>
          <w:tcPr>
            <w:tcW w:w="0" w:type="auto"/>
            <w:hideMark/>
          </w:tcPr>
          <w:p w14:paraId="22D763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69,2</w:t>
            </w:r>
          </w:p>
        </w:tc>
        <w:tc>
          <w:tcPr>
            <w:tcW w:w="0" w:type="auto"/>
            <w:hideMark/>
          </w:tcPr>
          <w:p w14:paraId="3C0A964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331</w:t>
            </w:r>
          </w:p>
        </w:tc>
        <w:tc>
          <w:tcPr>
            <w:tcW w:w="2074" w:type="dxa"/>
            <w:hideMark/>
          </w:tcPr>
          <w:p w14:paraId="7D334EC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19A212EA"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27BD7763"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Cotonou (total)</w:t>
            </w:r>
          </w:p>
        </w:tc>
        <w:tc>
          <w:tcPr>
            <w:tcW w:w="0" w:type="auto"/>
            <w:hideMark/>
          </w:tcPr>
          <w:p w14:paraId="2A99D1D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6A147D9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w:t>
            </w:r>
          </w:p>
        </w:tc>
        <w:tc>
          <w:tcPr>
            <w:tcW w:w="0" w:type="auto"/>
            <w:hideMark/>
          </w:tcPr>
          <w:p w14:paraId="2F2241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172</w:t>
            </w:r>
          </w:p>
        </w:tc>
        <w:tc>
          <w:tcPr>
            <w:tcW w:w="0" w:type="auto"/>
            <w:hideMark/>
          </w:tcPr>
          <w:p w14:paraId="50256E1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192</w:t>
            </w:r>
          </w:p>
        </w:tc>
        <w:tc>
          <w:tcPr>
            <w:tcW w:w="0" w:type="auto"/>
            <w:hideMark/>
          </w:tcPr>
          <w:p w14:paraId="46FDBD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69,2</w:t>
            </w:r>
          </w:p>
        </w:tc>
        <w:tc>
          <w:tcPr>
            <w:tcW w:w="0" w:type="auto"/>
            <w:hideMark/>
          </w:tcPr>
          <w:p w14:paraId="0F4895E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468</w:t>
            </w:r>
          </w:p>
        </w:tc>
        <w:tc>
          <w:tcPr>
            <w:tcW w:w="2074" w:type="dxa"/>
            <w:hideMark/>
          </w:tcPr>
          <w:p w14:paraId="6EAA62E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6458D644"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C556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492430D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C71C65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03D2366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327E7FA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39F4599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6E1E2F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2074" w:type="dxa"/>
            <w:hideMark/>
          </w:tcPr>
          <w:p w14:paraId="17098C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4B07BF2D"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3F20DC8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6AB9CBA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4C611D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6DA6647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236894C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7E2059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3A1C40D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2074" w:type="dxa"/>
            <w:hideMark/>
          </w:tcPr>
          <w:p w14:paraId="68EF9A8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16D0E897"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3DF98B"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B9AF4F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02B41BF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52A1D6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259EA71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527C13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7D15B3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2074" w:type="dxa"/>
            <w:hideMark/>
          </w:tcPr>
          <w:p w14:paraId="4483FEC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29236A92"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67779E5A"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Natitingou (total)</w:t>
            </w:r>
          </w:p>
        </w:tc>
        <w:tc>
          <w:tcPr>
            <w:tcW w:w="0" w:type="auto"/>
            <w:hideMark/>
          </w:tcPr>
          <w:p w14:paraId="7302D70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F0137A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w:t>
            </w:r>
          </w:p>
        </w:tc>
        <w:tc>
          <w:tcPr>
            <w:tcW w:w="0" w:type="auto"/>
            <w:hideMark/>
          </w:tcPr>
          <w:p w14:paraId="7CC126B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18F7DA0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193</w:t>
            </w:r>
          </w:p>
        </w:tc>
        <w:tc>
          <w:tcPr>
            <w:tcW w:w="0" w:type="auto"/>
            <w:hideMark/>
          </w:tcPr>
          <w:p w14:paraId="77752A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64E5607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2074" w:type="dxa"/>
            <w:hideMark/>
          </w:tcPr>
          <w:p w14:paraId="4EB24C3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bl>
    <w:p w14:paraId="4EBC3589" w14:textId="77777777" w:rsidR="00BE6C96" w:rsidRPr="00955D3D" w:rsidRDefault="00BE6C96" w:rsidP="00BE6C96">
      <w:pPr>
        <w:spacing w:line="360" w:lineRule="auto"/>
        <w:jc w:val="both"/>
        <w:rPr>
          <w:rFonts w:asciiTheme="majorBidi" w:hAnsiTheme="majorBidi" w:cstheme="majorBidi"/>
          <w:color w:val="000000" w:themeColor="text1"/>
        </w:rPr>
      </w:pPr>
    </w:p>
    <w:p w14:paraId="255EA216" w14:textId="212C59B0" w:rsidR="00BE6C96" w:rsidRPr="00020E2E" w:rsidRDefault="00020E2E" w:rsidP="00BE6C96">
      <w:pPr>
        <w:spacing w:line="360" w:lineRule="auto"/>
        <w:jc w:val="both"/>
        <w:rPr>
          <w:rFonts w:asciiTheme="majorBidi" w:hAnsiTheme="majorBidi" w:cstheme="majorBidi"/>
          <w:color w:val="000000" w:themeColor="text1"/>
          <w:lang w:val="en-GB"/>
        </w:rPr>
      </w:pPr>
      <w:r w:rsidRPr="00020E2E">
        <w:rPr>
          <w:rFonts w:asciiTheme="majorBidi" w:hAnsiTheme="majorBidi" w:cstheme="majorBidi"/>
          <w:b/>
          <w:bCs/>
          <w:color w:val="000000" w:themeColor="text1"/>
          <w:lang w:val="en-GB"/>
        </w:rPr>
        <w:t>Table A3:</w:t>
      </w:r>
      <w:r>
        <w:rPr>
          <w:rFonts w:asciiTheme="majorBidi" w:hAnsiTheme="majorBidi" w:cstheme="majorBidi"/>
          <w:color w:val="000000" w:themeColor="text1"/>
          <w:lang w:val="en-GB"/>
        </w:rPr>
        <w:t xml:space="preserve"> </w:t>
      </w:r>
      <w:r w:rsidRPr="00020E2E">
        <w:rPr>
          <w:rFonts w:asciiTheme="majorBidi" w:hAnsiTheme="majorBidi" w:cstheme="majorBidi"/>
          <w:color w:val="000000" w:themeColor="text1"/>
          <w:lang w:val="en-GB"/>
        </w:rPr>
        <w:t>Assessment of health risks by city and distance</w:t>
      </w:r>
    </w:p>
    <w:tbl>
      <w:tblPr>
        <w:tblStyle w:val="PlainTable1"/>
        <w:tblW w:w="0" w:type="auto"/>
        <w:tblLook w:val="04A0" w:firstRow="1" w:lastRow="0" w:firstColumn="1" w:lastColumn="0" w:noHBand="0" w:noVBand="1"/>
      </w:tblPr>
      <w:tblGrid>
        <w:gridCol w:w="1576"/>
        <w:gridCol w:w="1318"/>
        <w:gridCol w:w="1498"/>
        <w:gridCol w:w="1503"/>
        <w:gridCol w:w="1564"/>
        <w:gridCol w:w="1557"/>
      </w:tblGrid>
      <w:tr w:rsidR="00020E2E" w:rsidRPr="00955D3D" w14:paraId="5B73EDBD"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CED40" w14:textId="6707A2FC" w:rsidR="00BE6C96" w:rsidRPr="00955D3D" w:rsidRDefault="00020E2E" w:rsidP="0031013D">
            <w:pPr>
              <w:spacing w:line="360" w:lineRule="auto"/>
              <w:jc w:val="both"/>
              <w:rPr>
                <w:rFonts w:asciiTheme="majorBidi" w:hAnsiTheme="majorBidi" w:cstheme="majorBidi"/>
                <w:b w:val="0"/>
                <w:bCs w:val="0"/>
                <w:color w:val="000000" w:themeColor="text1"/>
              </w:rPr>
            </w:pPr>
            <w:r>
              <w:rPr>
                <w:rFonts w:asciiTheme="majorBidi" w:hAnsiTheme="majorBidi" w:cstheme="majorBidi"/>
                <w:color w:val="000000" w:themeColor="text1"/>
              </w:rPr>
              <w:t>City</w:t>
            </w:r>
          </w:p>
        </w:tc>
        <w:tc>
          <w:tcPr>
            <w:tcW w:w="0" w:type="auto"/>
            <w:hideMark/>
          </w:tcPr>
          <w:p w14:paraId="65A6801F"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3F8E173A" w14:textId="61A04CE0"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Adult median HI</w:t>
            </w:r>
          </w:p>
        </w:tc>
        <w:tc>
          <w:tcPr>
            <w:tcW w:w="0" w:type="auto"/>
            <w:hideMark/>
          </w:tcPr>
          <w:p w14:paraId="491DF079" w14:textId="04B443F4"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Child Median Hi</w:t>
            </w:r>
          </w:p>
        </w:tc>
        <w:tc>
          <w:tcPr>
            <w:tcW w:w="0" w:type="auto"/>
            <w:hideMark/>
          </w:tcPr>
          <w:p w14:paraId="1C9F3B15" w14:textId="5DB210A7"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A</w:t>
            </w:r>
            <w:r w:rsidR="00BE6C96" w:rsidRPr="00955D3D">
              <w:rPr>
                <w:rFonts w:asciiTheme="majorBidi" w:hAnsiTheme="majorBidi" w:cstheme="majorBidi"/>
                <w:color w:val="000000" w:themeColor="text1"/>
              </w:rPr>
              <w:t>dult</w:t>
            </w:r>
            <w:r>
              <w:rPr>
                <w:rFonts w:asciiTheme="majorBidi" w:hAnsiTheme="majorBidi" w:cstheme="majorBidi"/>
                <w:color w:val="000000" w:themeColor="text1"/>
              </w:rPr>
              <w:t xml:space="preserve">  median CR</w:t>
            </w:r>
            <w:r w:rsidR="00BE6C96" w:rsidRPr="00955D3D">
              <w:rPr>
                <w:rFonts w:asciiTheme="majorBidi" w:hAnsiTheme="majorBidi" w:cstheme="majorBidi"/>
                <w:color w:val="000000" w:themeColor="text1"/>
              </w:rPr>
              <w:t xml:space="preserve"> </w:t>
            </w:r>
          </w:p>
        </w:tc>
        <w:tc>
          <w:tcPr>
            <w:tcW w:w="0" w:type="auto"/>
            <w:hideMark/>
          </w:tcPr>
          <w:p w14:paraId="23AA6867" w14:textId="2C6F442C"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Child  median CR</w:t>
            </w:r>
          </w:p>
        </w:tc>
      </w:tr>
      <w:tr w:rsidR="00020E2E" w:rsidRPr="00955D3D" w14:paraId="673540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45FF4"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5091C38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306A1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12,1</w:t>
            </w:r>
          </w:p>
        </w:tc>
        <w:tc>
          <w:tcPr>
            <w:tcW w:w="0" w:type="auto"/>
            <w:hideMark/>
          </w:tcPr>
          <w:p w14:paraId="30792EA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17,5</w:t>
            </w:r>
          </w:p>
        </w:tc>
        <w:tc>
          <w:tcPr>
            <w:tcW w:w="0" w:type="auto"/>
            <w:hideMark/>
          </w:tcPr>
          <w:p w14:paraId="3400857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c>
          <w:tcPr>
            <w:tcW w:w="0" w:type="auto"/>
            <w:hideMark/>
          </w:tcPr>
          <w:p w14:paraId="130CA5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 × 10⁻⁴</w:t>
            </w:r>
          </w:p>
        </w:tc>
      </w:tr>
      <w:tr w:rsidR="00020E2E" w:rsidRPr="00955D3D" w14:paraId="78350A3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0FACF3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30EB86C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69F7E4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7,57</w:t>
            </w:r>
          </w:p>
        </w:tc>
        <w:tc>
          <w:tcPr>
            <w:tcW w:w="0" w:type="auto"/>
            <w:hideMark/>
          </w:tcPr>
          <w:p w14:paraId="3FBC4F4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11,0</w:t>
            </w:r>
          </w:p>
        </w:tc>
        <w:tc>
          <w:tcPr>
            <w:tcW w:w="0" w:type="auto"/>
            <w:hideMark/>
          </w:tcPr>
          <w:p w14:paraId="363A6B7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3,26 × 10⁻⁴</w:t>
            </w:r>
          </w:p>
        </w:tc>
        <w:tc>
          <w:tcPr>
            <w:tcW w:w="0" w:type="auto"/>
            <w:hideMark/>
          </w:tcPr>
          <w:p w14:paraId="7A3903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3,22 × 10⁻⁴</w:t>
            </w:r>
          </w:p>
        </w:tc>
      </w:tr>
      <w:tr w:rsidR="00020E2E" w:rsidRPr="00955D3D" w14:paraId="0B6C0832"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D6AE1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37E1596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B30D03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4,37</w:t>
            </w:r>
          </w:p>
        </w:tc>
        <w:tc>
          <w:tcPr>
            <w:tcW w:w="0" w:type="auto"/>
            <w:hideMark/>
          </w:tcPr>
          <w:p w14:paraId="7AAFAB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6,36</w:t>
            </w:r>
          </w:p>
        </w:tc>
        <w:tc>
          <w:tcPr>
            <w:tcW w:w="0" w:type="auto"/>
            <w:hideMark/>
          </w:tcPr>
          <w:p w14:paraId="4057684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3,37 × 10⁻⁴</w:t>
            </w:r>
          </w:p>
        </w:tc>
        <w:tc>
          <w:tcPr>
            <w:tcW w:w="0" w:type="auto"/>
            <w:hideMark/>
          </w:tcPr>
          <w:p w14:paraId="74480E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3,33 × 10⁻⁴</w:t>
            </w:r>
          </w:p>
        </w:tc>
      </w:tr>
      <w:tr w:rsidR="00020E2E" w:rsidRPr="00955D3D" w14:paraId="2A19AB9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A830B4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205393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13E57A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38,0</w:t>
            </w:r>
          </w:p>
        </w:tc>
        <w:tc>
          <w:tcPr>
            <w:tcW w:w="0" w:type="auto"/>
            <w:hideMark/>
          </w:tcPr>
          <w:p w14:paraId="0FB4B4E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55,3</w:t>
            </w:r>
          </w:p>
        </w:tc>
        <w:tc>
          <w:tcPr>
            <w:tcW w:w="0" w:type="auto"/>
            <w:hideMark/>
          </w:tcPr>
          <w:p w14:paraId="228BB2B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2,74 × 10⁻⁴</w:t>
            </w:r>
          </w:p>
        </w:tc>
        <w:tc>
          <w:tcPr>
            <w:tcW w:w="0" w:type="auto"/>
            <w:hideMark/>
          </w:tcPr>
          <w:p w14:paraId="6454F3C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2,74 × 10⁻⁴</w:t>
            </w:r>
          </w:p>
        </w:tc>
      </w:tr>
      <w:tr w:rsidR="00020E2E" w:rsidRPr="00955D3D" w14:paraId="64C4A5E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D932A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6877EB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B8DDE7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26,8</w:t>
            </w:r>
          </w:p>
        </w:tc>
        <w:tc>
          <w:tcPr>
            <w:tcW w:w="0" w:type="auto"/>
            <w:hideMark/>
          </w:tcPr>
          <w:p w14:paraId="6C9CB9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39,0</w:t>
            </w:r>
          </w:p>
        </w:tc>
        <w:tc>
          <w:tcPr>
            <w:tcW w:w="0" w:type="auto"/>
            <w:hideMark/>
          </w:tcPr>
          <w:p w14:paraId="539577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2,57 × 10⁻⁴</w:t>
            </w:r>
          </w:p>
        </w:tc>
        <w:tc>
          <w:tcPr>
            <w:tcW w:w="0" w:type="auto"/>
            <w:hideMark/>
          </w:tcPr>
          <w:p w14:paraId="280862D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2,57 × 10⁻⁴</w:t>
            </w:r>
          </w:p>
        </w:tc>
      </w:tr>
      <w:tr w:rsidR="00020E2E" w:rsidRPr="00955D3D" w14:paraId="26B9136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1C5F0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4677B6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79AA46E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34,5</w:t>
            </w:r>
          </w:p>
        </w:tc>
        <w:tc>
          <w:tcPr>
            <w:tcW w:w="0" w:type="auto"/>
            <w:hideMark/>
          </w:tcPr>
          <w:p w14:paraId="146EE8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50,3</w:t>
            </w:r>
          </w:p>
        </w:tc>
        <w:tc>
          <w:tcPr>
            <w:tcW w:w="0" w:type="auto"/>
            <w:hideMark/>
          </w:tcPr>
          <w:p w14:paraId="7DD5B0C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c>
          <w:tcPr>
            <w:tcW w:w="0" w:type="auto"/>
            <w:hideMark/>
          </w:tcPr>
          <w:p w14:paraId="09EB661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r>
      <w:tr w:rsidR="00020E2E" w:rsidRPr="00955D3D" w14:paraId="55488B2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2AC22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466C9D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265A83D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9,01</w:t>
            </w:r>
          </w:p>
        </w:tc>
        <w:tc>
          <w:tcPr>
            <w:tcW w:w="0" w:type="auto"/>
            <w:hideMark/>
          </w:tcPr>
          <w:p w14:paraId="797FB7A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13,1</w:t>
            </w:r>
          </w:p>
        </w:tc>
        <w:tc>
          <w:tcPr>
            <w:tcW w:w="0" w:type="auto"/>
            <w:hideMark/>
          </w:tcPr>
          <w:p w14:paraId="33B63E0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3,59 × 10⁻³</w:t>
            </w:r>
          </w:p>
        </w:tc>
        <w:tc>
          <w:tcPr>
            <w:tcW w:w="0" w:type="auto"/>
            <w:hideMark/>
          </w:tcPr>
          <w:p w14:paraId="7175F51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3,59 × 10⁻³</w:t>
            </w:r>
          </w:p>
        </w:tc>
      </w:tr>
      <w:tr w:rsidR="00020E2E" w:rsidRPr="00955D3D" w14:paraId="2710CA5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B0F7E0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C62E67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92FB90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48,7</w:t>
            </w:r>
          </w:p>
        </w:tc>
        <w:tc>
          <w:tcPr>
            <w:tcW w:w="0" w:type="auto"/>
            <w:hideMark/>
          </w:tcPr>
          <w:p w14:paraId="36DAD12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70,8</w:t>
            </w:r>
          </w:p>
        </w:tc>
        <w:tc>
          <w:tcPr>
            <w:tcW w:w="0" w:type="auto"/>
            <w:hideMark/>
          </w:tcPr>
          <w:p w14:paraId="0396D69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2,29 × 10⁻³</w:t>
            </w:r>
          </w:p>
        </w:tc>
        <w:tc>
          <w:tcPr>
            <w:tcW w:w="0" w:type="auto"/>
            <w:hideMark/>
          </w:tcPr>
          <w:p w14:paraId="4CB3C17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2,29 × 10⁻³</w:t>
            </w:r>
          </w:p>
        </w:tc>
      </w:tr>
      <w:tr w:rsidR="00020E2E" w:rsidRPr="00955D3D" w14:paraId="54BBD16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E5D1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6FB6291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3A548E7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13,6</w:t>
            </w:r>
          </w:p>
        </w:tc>
        <w:tc>
          <w:tcPr>
            <w:tcW w:w="0" w:type="auto"/>
            <w:hideMark/>
          </w:tcPr>
          <w:p w14:paraId="58E9220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19,9</w:t>
            </w:r>
          </w:p>
        </w:tc>
        <w:tc>
          <w:tcPr>
            <w:tcW w:w="0" w:type="auto"/>
            <w:hideMark/>
          </w:tcPr>
          <w:p w14:paraId="02CC0B8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8E282A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r>
    </w:tbl>
    <w:p w14:paraId="445D7A38" w14:textId="77777777" w:rsidR="00BE6C96" w:rsidRPr="00955D3D" w:rsidRDefault="00BE6C96" w:rsidP="00BE6C96">
      <w:pPr>
        <w:spacing w:line="360" w:lineRule="auto"/>
        <w:jc w:val="both"/>
        <w:rPr>
          <w:rFonts w:asciiTheme="majorBidi" w:hAnsiTheme="majorBidi" w:cstheme="majorBidi"/>
          <w:color w:val="000000" w:themeColor="text1"/>
        </w:rPr>
      </w:pPr>
    </w:p>
    <w:p w14:paraId="51267E59" w14:textId="77777777" w:rsidR="00BE248B" w:rsidRDefault="00BE248B"/>
    <w:sectPr w:rsidR="00BE248B">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9B63A" w14:textId="77777777" w:rsidR="00634D94" w:rsidRDefault="00634D94" w:rsidP="007F0AF6">
      <w:r>
        <w:separator/>
      </w:r>
    </w:p>
  </w:endnote>
  <w:endnote w:type="continuationSeparator" w:id="0">
    <w:p w14:paraId="45BE1418" w14:textId="77777777" w:rsidR="00634D94" w:rsidRDefault="00634D94" w:rsidP="007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5444" w14:textId="77777777" w:rsidR="007F0AF6" w:rsidRDefault="007F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3B52" w14:textId="77777777" w:rsidR="007F0AF6" w:rsidRDefault="007F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0A17" w14:textId="77777777" w:rsidR="007F0AF6" w:rsidRDefault="007F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F1EE" w14:textId="77777777" w:rsidR="00634D94" w:rsidRDefault="00634D94" w:rsidP="007F0AF6">
      <w:r>
        <w:separator/>
      </w:r>
    </w:p>
  </w:footnote>
  <w:footnote w:type="continuationSeparator" w:id="0">
    <w:p w14:paraId="16D8BFC8" w14:textId="77777777" w:rsidR="00634D94" w:rsidRDefault="00634D94" w:rsidP="007F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E532" w14:textId="6A8933B1" w:rsidR="007F0AF6" w:rsidRDefault="00634D94">
    <w:pPr>
      <w:pStyle w:val="Header"/>
    </w:pPr>
    <w:r>
      <w:rPr>
        <w:noProof/>
      </w:rPr>
      <w:pict w14:anchorId="583B0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7AB5" w14:textId="41EFC0BE" w:rsidR="007F0AF6" w:rsidRDefault="00634D94">
    <w:pPr>
      <w:pStyle w:val="Header"/>
    </w:pPr>
    <w:r>
      <w:rPr>
        <w:noProof/>
      </w:rPr>
      <w:pict w14:anchorId="337C4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4BFF" w14:textId="7EFADC46" w:rsidR="007F0AF6" w:rsidRDefault="00634D94">
    <w:pPr>
      <w:pStyle w:val="Header"/>
    </w:pPr>
    <w:r>
      <w:rPr>
        <w:noProof/>
      </w:rPr>
      <w:pict w14:anchorId="717D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0A9"/>
    <w:multiLevelType w:val="multilevel"/>
    <w:tmpl w:val="A14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F0EB5"/>
    <w:multiLevelType w:val="multilevel"/>
    <w:tmpl w:val="E53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2069"/>
    <w:multiLevelType w:val="hybridMultilevel"/>
    <w:tmpl w:val="FDB01396"/>
    <w:lvl w:ilvl="0" w:tplc="16FC3EB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D24BF"/>
    <w:multiLevelType w:val="hybridMultilevel"/>
    <w:tmpl w:val="E14A8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30EF6"/>
    <w:multiLevelType w:val="multilevel"/>
    <w:tmpl w:val="2AF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7144D"/>
    <w:multiLevelType w:val="hybridMultilevel"/>
    <w:tmpl w:val="056EC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2D65AB"/>
    <w:multiLevelType w:val="multilevel"/>
    <w:tmpl w:val="5AD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325F8"/>
    <w:multiLevelType w:val="multilevel"/>
    <w:tmpl w:val="A1B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610B3"/>
    <w:multiLevelType w:val="multilevel"/>
    <w:tmpl w:val="B6DA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F1459"/>
    <w:multiLevelType w:val="multilevel"/>
    <w:tmpl w:val="93A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94CA5"/>
    <w:multiLevelType w:val="multilevel"/>
    <w:tmpl w:val="218EB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E73B6"/>
    <w:multiLevelType w:val="multilevel"/>
    <w:tmpl w:val="DE14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253C7"/>
    <w:multiLevelType w:val="multilevel"/>
    <w:tmpl w:val="7722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83E08"/>
    <w:multiLevelType w:val="multilevel"/>
    <w:tmpl w:val="F7E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75BEA"/>
    <w:multiLevelType w:val="hybridMultilevel"/>
    <w:tmpl w:val="C0D8D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10963"/>
    <w:multiLevelType w:val="hybridMultilevel"/>
    <w:tmpl w:val="7B529C72"/>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6" w15:restartNumberingAfterBreak="0">
    <w:nsid w:val="313457AA"/>
    <w:multiLevelType w:val="multilevel"/>
    <w:tmpl w:val="9A32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117FE"/>
    <w:multiLevelType w:val="multilevel"/>
    <w:tmpl w:val="4D2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64B8E"/>
    <w:multiLevelType w:val="multilevel"/>
    <w:tmpl w:val="945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E0CB4"/>
    <w:multiLevelType w:val="multilevel"/>
    <w:tmpl w:val="EC9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61503"/>
    <w:multiLevelType w:val="hybridMultilevel"/>
    <w:tmpl w:val="0972D526"/>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21" w15:restartNumberingAfterBreak="0">
    <w:nsid w:val="48A93ACB"/>
    <w:multiLevelType w:val="multilevel"/>
    <w:tmpl w:val="9E2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E50E2"/>
    <w:multiLevelType w:val="multilevel"/>
    <w:tmpl w:val="6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A7B53"/>
    <w:multiLevelType w:val="multilevel"/>
    <w:tmpl w:val="E0F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03DC6"/>
    <w:multiLevelType w:val="multilevel"/>
    <w:tmpl w:val="287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135F8"/>
    <w:multiLevelType w:val="multilevel"/>
    <w:tmpl w:val="30F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26263"/>
    <w:multiLevelType w:val="hybridMultilevel"/>
    <w:tmpl w:val="826AA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E150A6"/>
    <w:multiLevelType w:val="hybridMultilevel"/>
    <w:tmpl w:val="C1B85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FB0917"/>
    <w:multiLevelType w:val="hybridMultilevel"/>
    <w:tmpl w:val="76DA0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4373C1"/>
    <w:multiLevelType w:val="hybridMultilevel"/>
    <w:tmpl w:val="424E1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135FCA"/>
    <w:multiLevelType w:val="hybridMultilevel"/>
    <w:tmpl w:val="8B46A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7357AC"/>
    <w:multiLevelType w:val="multilevel"/>
    <w:tmpl w:val="990001F4"/>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7195C"/>
    <w:multiLevelType w:val="hybridMultilevel"/>
    <w:tmpl w:val="932E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14325B"/>
    <w:multiLevelType w:val="multilevel"/>
    <w:tmpl w:val="37F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136D7"/>
    <w:multiLevelType w:val="multilevel"/>
    <w:tmpl w:val="3E8C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A731C"/>
    <w:multiLevelType w:val="hybridMultilevel"/>
    <w:tmpl w:val="831E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217AC5"/>
    <w:multiLevelType w:val="multilevel"/>
    <w:tmpl w:val="75EC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F13AC6"/>
    <w:multiLevelType w:val="multilevel"/>
    <w:tmpl w:val="DA90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A3788"/>
    <w:multiLevelType w:val="multilevel"/>
    <w:tmpl w:val="230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D1F05"/>
    <w:multiLevelType w:val="hybridMultilevel"/>
    <w:tmpl w:val="62D88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606361"/>
    <w:multiLevelType w:val="hybridMultilevel"/>
    <w:tmpl w:val="84425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15"/>
  </w:num>
  <w:num w:numId="4">
    <w:abstractNumId w:val="2"/>
  </w:num>
  <w:num w:numId="5">
    <w:abstractNumId w:val="5"/>
  </w:num>
  <w:num w:numId="6">
    <w:abstractNumId w:val="35"/>
  </w:num>
  <w:num w:numId="7">
    <w:abstractNumId w:val="39"/>
  </w:num>
  <w:num w:numId="8">
    <w:abstractNumId w:val="28"/>
  </w:num>
  <w:num w:numId="9">
    <w:abstractNumId w:val="26"/>
  </w:num>
  <w:num w:numId="10">
    <w:abstractNumId w:val="3"/>
  </w:num>
  <w:num w:numId="11">
    <w:abstractNumId w:val="32"/>
  </w:num>
  <w:num w:numId="12">
    <w:abstractNumId w:val="29"/>
  </w:num>
  <w:num w:numId="13">
    <w:abstractNumId w:val="14"/>
  </w:num>
  <w:num w:numId="14">
    <w:abstractNumId w:val="0"/>
  </w:num>
  <w:num w:numId="15">
    <w:abstractNumId w:val="18"/>
  </w:num>
  <w:num w:numId="16">
    <w:abstractNumId w:val="12"/>
  </w:num>
  <w:num w:numId="17">
    <w:abstractNumId w:val="13"/>
  </w:num>
  <w:num w:numId="18">
    <w:abstractNumId w:val="25"/>
  </w:num>
  <w:num w:numId="19">
    <w:abstractNumId w:val="31"/>
  </w:num>
  <w:num w:numId="20">
    <w:abstractNumId w:val="24"/>
  </w:num>
  <w:num w:numId="21">
    <w:abstractNumId w:val="4"/>
  </w:num>
  <w:num w:numId="22">
    <w:abstractNumId w:val="38"/>
  </w:num>
  <w:num w:numId="23">
    <w:abstractNumId w:val="11"/>
  </w:num>
  <w:num w:numId="24">
    <w:abstractNumId w:val="23"/>
  </w:num>
  <w:num w:numId="25">
    <w:abstractNumId w:val="6"/>
  </w:num>
  <w:num w:numId="26">
    <w:abstractNumId w:val="21"/>
  </w:num>
  <w:num w:numId="27">
    <w:abstractNumId w:val="16"/>
  </w:num>
  <w:num w:numId="28">
    <w:abstractNumId w:val="7"/>
  </w:num>
  <w:num w:numId="29">
    <w:abstractNumId w:val="19"/>
  </w:num>
  <w:num w:numId="30">
    <w:abstractNumId w:val="17"/>
  </w:num>
  <w:num w:numId="31">
    <w:abstractNumId w:val="37"/>
  </w:num>
  <w:num w:numId="32">
    <w:abstractNumId w:val="33"/>
  </w:num>
  <w:num w:numId="33">
    <w:abstractNumId w:val="1"/>
  </w:num>
  <w:num w:numId="34">
    <w:abstractNumId w:val="10"/>
  </w:num>
  <w:num w:numId="35">
    <w:abstractNumId w:val="9"/>
  </w:num>
  <w:num w:numId="36">
    <w:abstractNumId w:val="22"/>
  </w:num>
  <w:num w:numId="37">
    <w:abstractNumId w:val="34"/>
  </w:num>
  <w:num w:numId="38">
    <w:abstractNumId w:val="27"/>
  </w:num>
  <w:num w:numId="39">
    <w:abstractNumId w:val="30"/>
  </w:num>
  <w:num w:numId="40">
    <w:abstractNumId w:val="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96"/>
    <w:rsid w:val="0000032E"/>
    <w:rsid w:val="00020E2E"/>
    <w:rsid w:val="00086463"/>
    <w:rsid w:val="000E2DC9"/>
    <w:rsid w:val="00153206"/>
    <w:rsid w:val="001B0AC1"/>
    <w:rsid w:val="00265A3F"/>
    <w:rsid w:val="00287E93"/>
    <w:rsid w:val="0031013D"/>
    <w:rsid w:val="00320602"/>
    <w:rsid w:val="003602A2"/>
    <w:rsid w:val="003617FA"/>
    <w:rsid w:val="003A133E"/>
    <w:rsid w:val="003B4130"/>
    <w:rsid w:val="003C145E"/>
    <w:rsid w:val="003E58B8"/>
    <w:rsid w:val="004831EB"/>
    <w:rsid w:val="004873CB"/>
    <w:rsid w:val="005460FD"/>
    <w:rsid w:val="00553B48"/>
    <w:rsid w:val="005E7CCC"/>
    <w:rsid w:val="005E7DEE"/>
    <w:rsid w:val="005F51F7"/>
    <w:rsid w:val="00634D94"/>
    <w:rsid w:val="00641D36"/>
    <w:rsid w:val="006A24CC"/>
    <w:rsid w:val="006D5AED"/>
    <w:rsid w:val="0070221F"/>
    <w:rsid w:val="00772868"/>
    <w:rsid w:val="00784105"/>
    <w:rsid w:val="007B594B"/>
    <w:rsid w:val="007B6BD8"/>
    <w:rsid w:val="007F0AF6"/>
    <w:rsid w:val="00897C84"/>
    <w:rsid w:val="00916E71"/>
    <w:rsid w:val="009F6830"/>
    <w:rsid w:val="00A27251"/>
    <w:rsid w:val="00A83D67"/>
    <w:rsid w:val="00B912D6"/>
    <w:rsid w:val="00B92885"/>
    <w:rsid w:val="00B94B39"/>
    <w:rsid w:val="00BB0D6E"/>
    <w:rsid w:val="00BE248B"/>
    <w:rsid w:val="00BE6C96"/>
    <w:rsid w:val="00C2494C"/>
    <w:rsid w:val="00CB5EF5"/>
    <w:rsid w:val="00D176FB"/>
    <w:rsid w:val="00D55CE6"/>
    <w:rsid w:val="00DB7446"/>
    <w:rsid w:val="00DE0A68"/>
    <w:rsid w:val="00DE1051"/>
    <w:rsid w:val="00E0413D"/>
    <w:rsid w:val="00E7307A"/>
    <w:rsid w:val="00EA1464"/>
    <w:rsid w:val="00EE04F2"/>
    <w:rsid w:val="00F35333"/>
    <w:rsid w:val="00F662A4"/>
    <w:rsid w:val="00FA664D"/>
    <w:rsid w:val="00FC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3FA06"/>
  <w15:chartTrackingRefBased/>
  <w15:docId w15:val="{51F84518-8F78-4843-B894-CB2CE299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C96"/>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BE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C96"/>
    <w:rPr>
      <w:rFonts w:eastAsiaTheme="majorEastAsia" w:cstheme="majorBidi"/>
      <w:color w:val="272727" w:themeColor="text1" w:themeTint="D8"/>
    </w:rPr>
  </w:style>
  <w:style w:type="paragraph" w:styleId="Title">
    <w:name w:val="Title"/>
    <w:basedOn w:val="Normal"/>
    <w:next w:val="Normal"/>
    <w:link w:val="TitleChar"/>
    <w:uiPriority w:val="10"/>
    <w:qFormat/>
    <w:rsid w:val="00BE6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C96"/>
    <w:pPr>
      <w:spacing w:before="160"/>
      <w:jc w:val="center"/>
    </w:pPr>
    <w:rPr>
      <w:i/>
      <w:iCs/>
      <w:color w:val="404040" w:themeColor="text1" w:themeTint="BF"/>
    </w:rPr>
  </w:style>
  <w:style w:type="character" w:customStyle="1" w:styleId="QuoteChar">
    <w:name w:val="Quote Char"/>
    <w:basedOn w:val="DefaultParagraphFont"/>
    <w:link w:val="Quote"/>
    <w:uiPriority w:val="29"/>
    <w:rsid w:val="00BE6C96"/>
    <w:rPr>
      <w:i/>
      <w:iCs/>
      <w:color w:val="404040" w:themeColor="text1" w:themeTint="BF"/>
    </w:rPr>
  </w:style>
  <w:style w:type="paragraph" w:styleId="ListParagraph">
    <w:name w:val="List Paragraph"/>
    <w:basedOn w:val="Normal"/>
    <w:uiPriority w:val="34"/>
    <w:qFormat/>
    <w:rsid w:val="00BE6C96"/>
    <w:pPr>
      <w:ind w:left="720"/>
      <w:contextualSpacing/>
    </w:pPr>
  </w:style>
  <w:style w:type="character" w:styleId="IntenseEmphasis">
    <w:name w:val="Intense Emphasis"/>
    <w:basedOn w:val="DefaultParagraphFont"/>
    <w:uiPriority w:val="21"/>
    <w:qFormat/>
    <w:rsid w:val="00BE6C96"/>
    <w:rPr>
      <w:i/>
      <w:iCs/>
      <w:color w:val="0F4761" w:themeColor="accent1" w:themeShade="BF"/>
    </w:rPr>
  </w:style>
  <w:style w:type="paragraph" w:styleId="IntenseQuote">
    <w:name w:val="Intense Quote"/>
    <w:basedOn w:val="Normal"/>
    <w:next w:val="Normal"/>
    <w:link w:val="IntenseQuoteChar"/>
    <w:uiPriority w:val="30"/>
    <w:qFormat/>
    <w:rsid w:val="00BE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C96"/>
    <w:rPr>
      <w:i/>
      <w:iCs/>
      <w:color w:val="0F4761" w:themeColor="accent1" w:themeShade="BF"/>
    </w:rPr>
  </w:style>
  <w:style w:type="character" w:styleId="IntenseReference">
    <w:name w:val="Intense Reference"/>
    <w:basedOn w:val="DefaultParagraphFont"/>
    <w:uiPriority w:val="32"/>
    <w:qFormat/>
    <w:rsid w:val="00BE6C96"/>
    <w:rPr>
      <w:b/>
      <w:bCs/>
      <w:smallCaps/>
      <w:color w:val="0F4761" w:themeColor="accent1" w:themeShade="BF"/>
      <w:spacing w:val="5"/>
    </w:rPr>
  </w:style>
  <w:style w:type="paragraph" w:styleId="NormalWeb">
    <w:name w:val="Normal (Web)"/>
    <w:basedOn w:val="Normal"/>
    <w:uiPriority w:val="99"/>
    <w:unhideWhenUsed/>
    <w:rsid w:val="00BE6C96"/>
    <w:pPr>
      <w:spacing w:before="100" w:beforeAutospacing="1" w:after="100" w:afterAutospacing="1"/>
    </w:pPr>
  </w:style>
  <w:style w:type="table" w:styleId="TableGrid">
    <w:name w:val="Table Grid"/>
    <w:basedOn w:val="TableNormal"/>
    <w:uiPriority w:val="39"/>
    <w:rsid w:val="00BE6C9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C96"/>
    <w:rPr>
      <w:b/>
      <w:bCs/>
    </w:rPr>
  </w:style>
  <w:style w:type="character" w:customStyle="1" w:styleId="katex-mathml">
    <w:name w:val="katex-mathml"/>
    <w:basedOn w:val="DefaultParagraphFont"/>
    <w:rsid w:val="00BE6C96"/>
  </w:style>
  <w:style w:type="character" w:customStyle="1" w:styleId="mord">
    <w:name w:val="mord"/>
    <w:basedOn w:val="DefaultParagraphFont"/>
    <w:rsid w:val="00BE6C96"/>
  </w:style>
  <w:style w:type="character" w:customStyle="1" w:styleId="mrel">
    <w:name w:val="mrel"/>
    <w:basedOn w:val="DefaultParagraphFont"/>
    <w:rsid w:val="00BE6C96"/>
  </w:style>
  <w:style w:type="character" w:customStyle="1" w:styleId="mop">
    <w:name w:val="mop"/>
    <w:basedOn w:val="DefaultParagraphFont"/>
    <w:rsid w:val="00BE6C96"/>
  </w:style>
  <w:style w:type="character" w:customStyle="1" w:styleId="vlist-s">
    <w:name w:val="vlist-s"/>
    <w:basedOn w:val="DefaultParagraphFont"/>
    <w:rsid w:val="00BE6C96"/>
  </w:style>
  <w:style w:type="character" w:styleId="Emphasis">
    <w:name w:val="Emphasis"/>
    <w:basedOn w:val="DefaultParagraphFont"/>
    <w:uiPriority w:val="20"/>
    <w:qFormat/>
    <w:rsid w:val="00BE6C96"/>
    <w:rPr>
      <w:i/>
      <w:iCs/>
    </w:rPr>
  </w:style>
  <w:style w:type="character" w:customStyle="1" w:styleId="mopen">
    <w:name w:val="mopen"/>
    <w:basedOn w:val="DefaultParagraphFont"/>
    <w:rsid w:val="00BE6C96"/>
  </w:style>
  <w:style w:type="character" w:customStyle="1" w:styleId="mclose">
    <w:name w:val="mclose"/>
    <w:basedOn w:val="DefaultParagraphFont"/>
    <w:rsid w:val="00BE6C96"/>
  </w:style>
  <w:style w:type="character" w:customStyle="1" w:styleId="mbin">
    <w:name w:val="mbin"/>
    <w:basedOn w:val="DefaultParagraphFont"/>
    <w:rsid w:val="00BE6C96"/>
  </w:style>
  <w:style w:type="table" w:styleId="PlainTable2">
    <w:name w:val="Plain Table 2"/>
    <w:basedOn w:val="TableNormal"/>
    <w:uiPriority w:val="42"/>
    <w:rsid w:val="00BE6C96"/>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BE6C96"/>
    <w:rPr>
      <w:color w:val="000000"/>
      <w:sz w:val="18"/>
      <w:szCs w:val="18"/>
    </w:rPr>
  </w:style>
  <w:style w:type="paragraph" w:customStyle="1" w:styleId="p2">
    <w:name w:val="p2"/>
    <w:basedOn w:val="Normal"/>
    <w:rsid w:val="00BE6C96"/>
    <w:rPr>
      <w:color w:val="0000FF"/>
      <w:sz w:val="18"/>
      <w:szCs w:val="18"/>
    </w:rPr>
  </w:style>
  <w:style w:type="character" w:customStyle="1" w:styleId="s1">
    <w:name w:val="s1"/>
    <w:basedOn w:val="DefaultParagraphFont"/>
    <w:rsid w:val="00BE6C96"/>
    <w:rPr>
      <w:rFonts w:ascii="Times New Roman" w:hAnsi="Times New Roman" w:cs="Times New Roman" w:hint="default"/>
      <w:b w:val="0"/>
      <w:bCs w:val="0"/>
      <w:i w:val="0"/>
      <w:iCs w:val="0"/>
      <w:sz w:val="12"/>
      <w:szCs w:val="12"/>
    </w:rPr>
  </w:style>
  <w:style w:type="character" w:customStyle="1" w:styleId="s2">
    <w:name w:val="s2"/>
    <w:basedOn w:val="DefaultParagraphFont"/>
    <w:rsid w:val="00BE6C96"/>
    <w:rPr>
      <w:rFonts w:ascii="Times New Roman" w:hAnsi="Times New Roman" w:cs="Times New Roman" w:hint="default"/>
      <w:b w:val="0"/>
      <w:bCs w:val="0"/>
      <w:i w:val="0"/>
      <w:iCs w:val="0"/>
      <w:sz w:val="18"/>
      <w:szCs w:val="18"/>
    </w:rPr>
  </w:style>
  <w:style w:type="character" w:customStyle="1" w:styleId="s3">
    <w:name w:val="s3"/>
    <w:basedOn w:val="DefaultParagraphFont"/>
    <w:rsid w:val="00BE6C96"/>
    <w:rPr>
      <w:rFonts w:ascii="Times New Roman" w:hAnsi="Times New Roman" w:cs="Times New Roman" w:hint="default"/>
      <w:b w:val="0"/>
      <w:bCs w:val="0"/>
      <w:i w:val="0"/>
      <w:iCs w:val="0"/>
      <w:color w:val="000000"/>
      <w:sz w:val="18"/>
      <w:szCs w:val="18"/>
    </w:rPr>
  </w:style>
  <w:style w:type="character" w:styleId="Hyperlink">
    <w:name w:val="Hyperlink"/>
    <w:basedOn w:val="DefaultParagraphFont"/>
    <w:uiPriority w:val="99"/>
    <w:unhideWhenUsed/>
    <w:rsid w:val="00BE6C96"/>
    <w:rPr>
      <w:color w:val="467886" w:themeColor="hyperlink"/>
      <w:u w:val="single"/>
    </w:rPr>
  </w:style>
  <w:style w:type="character" w:styleId="UnresolvedMention">
    <w:name w:val="Unresolved Mention"/>
    <w:basedOn w:val="DefaultParagraphFont"/>
    <w:uiPriority w:val="99"/>
    <w:semiHidden/>
    <w:unhideWhenUsed/>
    <w:rsid w:val="00BE6C96"/>
    <w:rPr>
      <w:color w:val="605E5C"/>
      <w:shd w:val="clear" w:color="auto" w:fill="E1DFDD"/>
    </w:rPr>
  </w:style>
  <w:style w:type="character" w:styleId="PlaceholderText">
    <w:name w:val="Placeholder Text"/>
    <w:basedOn w:val="DefaultParagraphFont"/>
    <w:uiPriority w:val="99"/>
    <w:semiHidden/>
    <w:rsid w:val="00BE6C96"/>
    <w:rPr>
      <w:color w:val="666666"/>
    </w:rPr>
  </w:style>
  <w:style w:type="character" w:styleId="FollowedHyperlink">
    <w:name w:val="FollowedHyperlink"/>
    <w:basedOn w:val="DefaultParagraphFont"/>
    <w:uiPriority w:val="99"/>
    <w:semiHidden/>
    <w:unhideWhenUsed/>
    <w:rsid w:val="00BE6C96"/>
    <w:rPr>
      <w:color w:val="96607D" w:themeColor="followedHyperlink"/>
      <w:u w:val="single"/>
    </w:rPr>
  </w:style>
  <w:style w:type="table" w:styleId="PlainTable1">
    <w:name w:val="Plain Table 1"/>
    <w:basedOn w:val="TableNormal"/>
    <w:uiPriority w:val="41"/>
    <w:rsid w:val="00BE6C96"/>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E6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C96"/>
    <w:rPr>
      <w:rFonts w:ascii="Segoe UI" w:eastAsia="Times New Roman" w:hAnsi="Segoe UI" w:cs="Segoe UI"/>
      <w:kern w:val="0"/>
      <w:sz w:val="18"/>
      <w:szCs w:val="18"/>
      <w:lang w:val="fr-FR" w:eastAsia="fr-FR"/>
      <w14:ligatures w14:val="none"/>
    </w:rPr>
  </w:style>
  <w:style w:type="character" w:styleId="CommentReference">
    <w:name w:val="annotation reference"/>
    <w:basedOn w:val="DefaultParagraphFont"/>
    <w:uiPriority w:val="99"/>
    <w:semiHidden/>
    <w:unhideWhenUsed/>
    <w:rsid w:val="00BE6C96"/>
    <w:rPr>
      <w:sz w:val="16"/>
      <w:szCs w:val="16"/>
    </w:rPr>
  </w:style>
  <w:style w:type="paragraph" w:styleId="CommentText">
    <w:name w:val="annotation text"/>
    <w:basedOn w:val="Normal"/>
    <w:link w:val="CommentTextChar"/>
    <w:uiPriority w:val="99"/>
    <w:semiHidden/>
    <w:unhideWhenUsed/>
    <w:rsid w:val="00BE6C96"/>
    <w:rPr>
      <w:sz w:val="20"/>
      <w:szCs w:val="20"/>
    </w:rPr>
  </w:style>
  <w:style w:type="character" w:customStyle="1" w:styleId="CommentTextChar">
    <w:name w:val="Comment Text Char"/>
    <w:basedOn w:val="DefaultParagraphFont"/>
    <w:link w:val="CommentText"/>
    <w:uiPriority w:val="99"/>
    <w:semiHidden/>
    <w:rsid w:val="00BE6C96"/>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BE6C96"/>
    <w:rPr>
      <w:b/>
      <w:bCs/>
    </w:rPr>
  </w:style>
  <w:style w:type="character" w:customStyle="1" w:styleId="CommentSubjectChar">
    <w:name w:val="Comment Subject Char"/>
    <w:basedOn w:val="CommentTextChar"/>
    <w:link w:val="CommentSubject"/>
    <w:uiPriority w:val="99"/>
    <w:semiHidden/>
    <w:rsid w:val="00BE6C96"/>
    <w:rPr>
      <w:rFonts w:ascii="Times New Roman" w:eastAsia="Times New Roman" w:hAnsi="Times New Roman" w:cs="Times New Roman"/>
      <w:b/>
      <w:bCs/>
      <w:kern w:val="0"/>
      <w:sz w:val="20"/>
      <w:szCs w:val="20"/>
      <w:lang w:val="fr-FR" w:eastAsia="fr-FR"/>
      <w14:ligatures w14:val="none"/>
    </w:rPr>
  </w:style>
  <w:style w:type="paragraph" w:styleId="Revision">
    <w:name w:val="Revision"/>
    <w:hidden/>
    <w:uiPriority w:val="99"/>
    <w:semiHidden/>
    <w:rsid w:val="00BE6C96"/>
    <w:pPr>
      <w:spacing w:after="0" w:line="240" w:lineRule="auto"/>
    </w:pPr>
    <w:rPr>
      <w:rFonts w:ascii="Times New Roman" w:eastAsia="Times New Roman" w:hAnsi="Times New Roman" w:cs="Times New Roman"/>
      <w:kern w:val="0"/>
      <w:lang w:val="fr-FR" w:eastAsia="fr-FR"/>
      <w14:ligatures w14:val="none"/>
    </w:rPr>
  </w:style>
  <w:style w:type="character" w:customStyle="1" w:styleId="anchor-text">
    <w:name w:val="anchor-text"/>
    <w:basedOn w:val="DefaultParagraphFont"/>
    <w:rsid w:val="00BE6C96"/>
  </w:style>
  <w:style w:type="paragraph" w:styleId="Header">
    <w:name w:val="header"/>
    <w:basedOn w:val="Normal"/>
    <w:link w:val="HeaderChar"/>
    <w:uiPriority w:val="99"/>
    <w:unhideWhenUsed/>
    <w:rsid w:val="007F0AF6"/>
    <w:pPr>
      <w:tabs>
        <w:tab w:val="center" w:pos="4680"/>
        <w:tab w:val="right" w:pos="9360"/>
      </w:tabs>
    </w:pPr>
  </w:style>
  <w:style w:type="character" w:customStyle="1" w:styleId="HeaderChar">
    <w:name w:val="Header Char"/>
    <w:basedOn w:val="DefaultParagraphFont"/>
    <w:link w:val="Header"/>
    <w:uiPriority w:val="99"/>
    <w:rsid w:val="007F0AF6"/>
    <w:rPr>
      <w:rFonts w:ascii="Times New Roman" w:eastAsia="Times New Roman" w:hAnsi="Times New Roman" w:cs="Times New Roman"/>
      <w:kern w:val="0"/>
      <w:lang w:val="fr-FR" w:eastAsia="fr-FR"/>
      <w14:ligatures w14:val="none"/>
    </w:rPr>
  </w:style>
  <w:style w:type="paragraph" w:styleId="Footer">
    <w:name w:val="footer"/>
    <w:basedOn w:val="Normal"/>
    <w:link w:val="FooterChar"/>
    <w:uiPriority w:val="99"/>
    <w:unhideWhenUsed/>
    <w:rsid w:val="007F0AF6"/>
    <w:pPr>
      <w:tabs>
        <w:tab w:val="center" w:pos="4680"/>
        <w:tab w:val="right" w:pos="9360"/>
      </w:tabs>
    </w:pPr>
  </w:style>
  <w:style w:type="character" w:customStyle="1" w:styleId="FooterChar">
    <w:name w:val="Footer Char"/>
    <w:basedOn w:val="DefaultParagraphFont"/>
    <w:link w:val="Footer"/>
    <w:uiPriority w:val="99"/>
    <w:rsid w:val="007F0AF6"/>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1543">
      <w:bodyDiv w:val="1"/>
      <w:marLeft w:val="0"/>
      <w:marRight w:val="0"/>
      <w:marTop w:val="0"/>
      <w:marBottom w:val="0"/>
      <w:divBdr>
        <w:top w:val="none" w:sz="0" w:space="0" w:color="auto"/>
        <w:left w:val="none" w:sz="0" w:space="0" w:color="auto"/>
        <w:bottom w:val="none" w:sz="0" w:space="0" w:color="auto"/>
        <w:right w:val="none" w:sz="0" w:space="0" w:color="auto"/>
      </w:divBdr>
    </w:div>
    <w:div w:id="743455374">
      <w:bodyDiv w:val="1"/>
      <w:marLeft w:val="0"/>
      <w:marRight w:val="0"/>
      <w:marTop w:val="0"/>
      <w:marBottom w:val="0"/>
      <w:divBdr>
        <w:top w:val="none" w:sz="0" w:space="0" w:color="auto"/>
        <w:left w:val="none" w:sz="0" w:space="0" w:color="auto"/>
        <w:bottom w:val="none" w:sz="0" w:space="0" w:color="auto"/>
        <w:right w:val="none" w:sz="0" w:space="0" w:color="auto"/>
      </w:divBdr>
    </w:div>
    <w:div w:id="1111706918">
      <w:bodyDiv w:val="1"/>
      <w:marLeft w:val="0"/>
      <w:marRight w:val="0"/>
      <w:marTop w:val="0"/>
      <w:marBottom w:val="0"/>
      <w:divBdr>
        <w:top w:val="none" w:sz="0" w:space="0" w:color="auto"/>
        <w:left w:val="none" w:sz="0" w:space="0" w:color="auto"/>
        <w:bottom w:val="none" w:sz="0" w:space="0" w:color="auto"/>
        <w:right w:val="none" w:sz="0" w:space="0" w:color="auto"/>
      </w:divBdr>
    </w:div>
    <w:div w:id="20893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631-018-0303-6" TargetMode="External"/><Relationship Id="rId18" Type="http://schemas.openxmlformats.org/officeDocument/2006/relationships/hyperlink" Target="https://doi.org/10.1007/s41207-018-0054-0" TargetMode="External"/><Relationship Id="rId26" Type="http://schemas.openxmlformats.org/officeDocument/2006/relationships/hyperlink" Target="https://doi.org/10.2478/intox-2014-0009" TargetMode="External"/><Relationship Id="rId39" Type="http://schemas.openxmlformats.org/officeDocument/2006/relationships/hyperlink" Target="https://doi.org/10.4236/gep.2025.135013" TargetMode="External"/><Relationship Id="rId21" Type="http://schemas.openxmlformats.org/officeDocument/2006/relationships/hyperlink" Target="https://doi.org/10.3390/ijerph17124438" TargetMode="External"/><Relationship Id="rId34" Type="http://schemas.openxmlformats.org/officeDocument/2006/relationships/hyperlink" Target="https://doi.org/10.3390/w16172417" TargetMode="External"/><Relationship Id="rId42" Type="http://schemas.openxmlformats.org/officeDocument/2006/relationships/hyperlink" Target="https://www.epa.gov/iri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5539/ijc.v14n1p41" TargetMode="External"/><Relationship Id="rId29" Type="http://schemas.openxmlformats.org/officeDocument/2006/relationships/hyperlink" Target="https://doi.org/10.1038/s41598-024-60511-x" TargetMode="External"/><Relationship Id="rId11" Type="http://schemas.openxmlformats.org/officeDocument/2006/relationships/hyperlink" Target="https://doi.org/10.1016/j.sciaf.2020.e00666" TargetMode="External"/><Relationship Id="rId24" Type="http://schemas.openxmlformats.org/officeDocument/2006/relationships/hyperlink" Target="https://doi.org/10.1016/j.heliyon.2024.e36606" TargetMode="External"/><Relationship Id="rId32" Type="http://schemas.openxmlformats.org/officeDocument/2006/relationships/hyperlink" Target="https://www.who.int/fr/publications/i/item/9789240023901" TargetMode="External"/><Relationship Id="rId37" Type="http://schemas.openxmlformats.org/officeDocument/2006/relationships/hyperlink" Target="https://doi.org/10.2166/washdev.2022.126" TargetMode="External"/><Relationship Id="rId40" Type="http://schemas.openxmlformats.org/officeDocument/2006/relationships/hyperlink" Target="https://www.basel.int/Portals/4/download.aspx?d=UNEP-CHW-EWASTE-PUB-WeeAfricaReport.English.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166/wpt.2025.010" TargetMode="External"/><Relationship Id="rId23" Type="http://schemas.openxmlformats.org/officeDocument/2006/relationships/hyperlink" Target="https://doi.org/10.1016/j.toxrep.2022.04.011" TargetMode="External"/><Relationship Id="rId28" Type="http://schemas.openxmlformats.org/officeDocument/2006/relationships/hyperlink" Target="https://doi.org/10.1007/s13201-024-02341-w" TargetMode="External"/><Relationship Id="rId36" Type="http://schemas.openxmlformats.org/officeDocument/2006/relationships/hyperlink" Target="https://doi.org/10.1007/s10661-019-7453-9"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earthwise.bgs.ac.uk/index.php/Hydrogeology_of_Benin" TargetMode="External"/><Relationship Id="rId31" Type="http://schemas.openxmlformats.org/officeDocument/2006/relationships/hyperlink" Target="https://www.who.int/fr/publications/i/item/9789241549950"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8/1755-1315/822/1/012033" TargetMode="External"/><Relationship Id="rId22" Type="http://schemas.openxmlformats.org/officeDocument/2006/relationships/hyperlink" Target="https://doi.org/10.3390/ijerph17041245" TargetMode="External"/><Relationship Id="rId27" Type="http://schemas.openxmlformats.org/officeDocument/2006/relationships/hyperlink" Target="https://doi.org/10.3390/w16101330" TargetMode="External"/><Relationship Id="rId30" Type="http://schemas.openxmlformats.org/officeDocument/2006/relationships/hyperlink" Target="https://doi.org/10.1007/s12403-022-00478-0" TargetMode="External"/><Relationship Id="rId35" Type="http://schemas.openxmlformats.org/officeDocument/2006/relationships/hyperlink" Target="https://doi.org/10.24425/jwld.2024.15027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4236/jwarp.2024.167028" TargetMode="External"/><Relationship Id="rId17" Type="http://schemas.openxmlformats.org/officeDocument/2006/relationships/hyperlink" Target="https://doi.org/10.1038/s41598-023-43161-3" TargetMode="External"/><Relationship Id="rId25" Type="http://schemas.openxmlformats.org/officeDocument/2006/relationships/hyperlink" Target="https://doi.org/10.1016/j.indic.2023.100318" TargetMode="External"/><Relationship Id="rId33" Type="http://schemas.openxmlformats.org/officeDocument/2006/relationships/hyperlink" Target="https://doi.org/10.1016/j.chemosphere.2019.125598" TargetMode="External"/><Relationship Id="rId38" Type="http://schemas.openxmlformats.org/officeDocument/2006/relationships/hyperlink" Target="https://doi.org/10.1007/978-3-7643-8340-4_6" TargetMode="External"/><Relationship Id="rId46" Type="http://schemas.openxmlformats.org/officeDocument/2006/relationships/footer" Target="footer2.xml"/><Relationship Id="rId20" Type="http://schemas.openxmlformats.org/officeDocument/2006/relationships/hyperlink" Target="https://bec.uac.bj/uploads/publication/e4217fdf1aed7ebc639a44c93cc54fab.pdf" TargetMode="External"/><Relationship Id="rId41" Type="http://schemas.openxmlformats.org/officeDocument/2006/relationships/hyperlink" Target="https://www.epa.gov/risk/about-risk-assessmen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3822</TotalTime>
  <Pages>25</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Gouvide Jean GBAGUIDI</dc:creator>
  <cp:keywords/>
  <dc:description/>
  <cp:lastModifiedBy>SDI 1067</cp:lastModifiedBy>
  <cp:revision>20</cp:revision>
  <dcterms:created xsi:type="dcterms:W3CDTF">2025-11-18T17:28:00Z</dcterms:created>
  <dcterms:modified xsi:type="dcterms:W3CDTF">2025-11-27T06:49:00Z</dcterms:modified>
</cp:coreProperties>
</file>