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9A2E5" w14:textId="77777777" w:rsidR="00934487" w:rsidRDefault="00934487" w:rsidP="00A53B65">
      <w:pPr>
        <w:spacing w:line="360" w:lineRule="auto"/>
        <w:jc w:val="right"/>
        <w:rPr>
          <w:rFonts w:ascii="Arial" w:hAnsi="Arial" w:cs="Arial"/>
          <w:b/>
          <w:bCs/>
          <w:color w:val="0D0D0D" w:themeColor="text1" w:themeTint="F2"/>
          <w:szCs w:val="22"/>
        </w:rPr>
      </w:pPr>
      <w:r w:rsidRPr="00934487">
        <w:rPr>
          <w:rFonts w:ascii="Arial" w:hAnsi="Arial" w:cs="Arial"/>
          <w:b/>
          <w:bCs/>
          <w:color w:val="0D0D0D" w:themeColor="text1" w:themeTint="F2"/>
          <w:szCs w:val="22"/>
        </w:rPr>
        <w:t>Review Article</w:t>
      </w:r>
    </w:p>
    <w:p w14:paraId="5E14B7E2" w14:textId="67E04590" w:rsidR="00C60DF0" w:rsidRPr="00E44923" w:rsidRDefault="00A843E4" w:rsidP="00A53B65">
      <w:pPr>
        <w:spacing w:line="360" w:lineRule="auto"/>
        <w:jc w:val="right"/>
        <w:rPr>
          <w:rFonts w:ascii="Arial" w:hAnsi="Arial" w:cs="Arial"/>
          <w:b/>
          <w:bCs/>
          <w:color w:val="0D0D0D" w:themeColor="text1" w:themeTint="F2"/>
          <w:szCs w:val="22"/>
        </w:rPr>
      </w:pPr>
      <w:r w:rsidRPr="00E44923">
        <w:rPr>
          <w:rFonts w:ascii="Arial" w:hAnsi="Arial" w:cs="Arial"/>
          <w:b/>
          <w:bCs/>
          <w:color w:val="0D0D0D" w:themeColor="text1" w:themeTint="F2"/>
          <w:szCs w:val="22"/>
        </w:rPr>
        <w:t>Exploring the Frontiers of Extended Range Weather Forecasting</w:t>
      </w:r>
      <w:r w:rsidR="00602101" w:rsidRPr="00E44923">
        <w:rPr>
          <w:rFonts w:ascii="Arial" w:hAnsi="Arial" w:cs="Arial"/>
          <w:b/>
          <w:bCs/>
          <w:color w:val="0D0D0D" w:themeColor="text1" w:themeTint="F2"/>
          <w:szCs w:val="22"/>
        </w:rPr>
        <w:t xml:space="preserve"> in Indian Agriculture</w:t>
      </w:r>
      <w:r w:rsidRPr="00E44923">
        <w:rPr>
          <w:rFonts w:ascii="Arial" w:hAnsi="Arial" w:cs="Arial"/>
          <w:b/>
          <w:bCs/>
          <w:color w:val="0D0D0D" w:themeColor="text1" w:themeTint="F2"/>
          <w:szCs w:val="22"/>
        </w:rPr>
        <w:t xml:space="preserve">: A Review of </w:t>
      </w:r>
      <w:r w:rsidR="004F6124" w:rsidRPr="00E44923">
        <w:rPr>
          <w:rFonts w:ascii="Arial" w:eastAsia="Calibri" w:hAnsi="Arial" w:cs="Arial"/>
          <w:b/>
          <w:bCs/>
          <w:color w:val="0D0D0D" w:themeColor="text1" w:themeTint="F2"/>
          <w:szCs w:val="22"/>
        </w:rPr>
        <w:t xml:space="preserve">the </w:t>
      </w:r>
      <w:r w:rsidRPr="00E44923">
        <w:rPr>
          <w:rFonts w:ascii="Arial" w:hAnsi="Arial" w:cs="Arial"/>
          <w:b/>
          <w:bCs/>
          <w:color w:val="0D0D0D" w:themeColor="text1" w:themeTint="F2"/>
          <w:szCs w:val="22"/>
        </w:rPr>
        <w:t>Current Status and Future Development</w:t>
      </w:r>
    </w:p>
    <w:p w14:paraId="49398598" w14:textId="4E55FD51" w:rsidR="007F3AF6" w:rsidRDefault="007F3AF6" w:rsidP="00A53B65">
      <w:pPr>
        <w:spacing w:line="360" w:lineRule="auto"/>
        <w:jc w:val="center"/>
        <w:rPr>
          <w:rFonts w:ascii="Arial" w:hAnsi="Arial" w:cs="Arial"/>
          <w:szCs w:val="22"/>
        </w:rPr>
      </w:pPr>
    </w:p>
    <w:p w14:paraId="53E3DFE5" w14:textId="77777777" w:rsidR="00E64F09" w:rsidRPr="00E44923" w:rsidRDefault="00E64F09" w:rsidP="00A53B65">
      <w:pPr>
        <w:spacing w:line="360" w:lineRule="auto"/>
        <w:jc w:val="center"/>
        <w:rPr>
          <w:rFonts w:ascii="Arial" w:hAnsi="Arial" w:cs="Arial"/>
          <w:szCs w:val="22"/>
        </w:rPr>
      </w:pPr>
    </w:p>
    <w:p w14:paraId="3116602A" w14:textId="77777777" w:rsidR="00D30907" w:rsidRPr="00E44923" w:rsidRDefault="004F6124" w:rsidP="00A53B65">
      <w:pPr>
        <w:spacing w:line="360" w:lineRule="auto"/>
        <w:rPr>
          <w:rFonts w:ascii="Arial" w:hAnsi="Arial" w:cs="Arial"/>
          <w:color w:val="0D0D0D" w:themeColor="text1" w:themeTint="F2"/>
          <w:szCs w:val="22"/>
        </w:rPr>
      </w:pPr>
      <w:r w:rsidRPr="00E44923">
        <w:rPr>
          <w:rFonts w:ascii="Arial" w:hAnsi="Arial" w:cs="Arial"/>
          <w:b/>
          <w:bCs/>
          <w:color w:val="0D0D0D" w:themeColor="text1" w:themeTint="F2"/>
          <w:szCs w:val="22"/>
        </w:rPr>
        <w:t>Abstract</w:t>
      </w:r>
    </w:p>
    <w:p w14:paraId="4273FC2E" w14:textId="77777777"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prediction of weather is crucial to both science and society. Extended </w:t>
      </w:r>
      <w:r w:rsidRPr="00E44923">
        <w:rPr>
          <w:rFonts w:ascii="Arial" w:eastAsia="Calibri" w:hAnsi="Arial" w:cs="Arial"/>
          <w:color w:val="0D0D0D" w:themeColor="text1" w:themeTint="F2"/>
          <w:szCs w:val="22"/>
        </w:rPr>
        <w:t>range weather forecasting</w:t>
      </w:r>
      <w:r w:rsidRPr="00E44923">
        <w:rPr>
          <w:rFonts w:ascii="Arial" w:hAnsi="Arial" w:cs="Arial"/>
          <w:color w:val="0D0D0D" w:themeColor="text1" w:themeTint="F2"/>
          <w:szCs w:val="22"/>
        </w:rPr>
        <w:t xml:space="preserve"> (ERWF) bridges the critical gap between medium-range and long-term seasonal forecasts, offering valuable insights into weather conditions over 10</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30 days. </w:t>
      </w:r>
      <w:r w:rsidR="00602101" w:rsidRPr="00E44923">
        <w:rPr>
          <w:rFonts w:ascii="Arial" w:eastAsia="Calibri" w:hAnsi="Arial" w:cs="Arial"/>
          <w:color w:val="0D0D0D" w:themeColor="text1" w:themeTint="F2"/>
          <w:szCs w:val="22"/>
        </w:rPr>
        <w:t>Explicitly</w:t>
      </w:r>
      <w:r w:rsidRPr="00E44923">
        <w:rPr>
          <w:rFonts w:ascii="Arial" w:eastAsia="Calibri" w:hAnsi="Arial" w:cs="Arial"/>
          <w:color w:val="0D0D0D" w:themeColor="text1" w:themeTint="F2"/>
          <w:szCs w:val="22"/>
        </w:rPr>
        <w:t>, the</w:t>
      </w:r>
      <w:r w:rsidRPr="00E44923">
        <w:rPr>
          <w:rFonts w:ascii="Arial" w:hAnsi="Arial" w:cs="Arial"/>
          <w:color w:val="0D0D0D" w:themeColor="text1" w:themeTint="F2"/>
          <w:szCs w:val="22"/>
        </w:rPr>
        <w:t xml:space="preserve"> ERWF is crucial for the agriculture, energy, and public health sectors. The objective of this review paper is to highlight the latest research achievements on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and </w:t>
      </w:r>
      <w:r w:rsidRPr="00E44923">
        <w:rPr>
          <w:rFonts w:ascii="Arial" w:eastAsia="Calibri" w:hAnsi="Arial" w:cs="Arial"/>
          <w:color w:val="0D0D0D" w:themeColor="text1" w:themeTint="F2"/>
          <w:szCs w:val="22"/>
        </w:rPr>
        <w:t>their</w:t>
      </w:r>
      <w:r w:rsidRPr="00E44923">
        <w:rPr>
          <w:rFonts w:ascii="Arial" w:hAnsi="Arial" w:cs="Arial"/>
          <w:color w:val="0D0D0D" w:themeColor="text1" w:themeTint="F2"/>
          <w:szCs w:val="22"/>
        </w:rPr>
        <w:t xml:space="preserve"> advancements. A significant operational milestone for Indian </w:t>
      </w:r>
      <w:r w:rsidRPr="00E44923">
        <w:rPr>
          <w:rFonts w:ascii="Arial" w:eastAsia="Calibri" w:hAnsi="Arial" w:cs="Arial"/>
          <w:color w:val="0D0D0D" w:themeColor="text1" w:themeTint="F2"/>
          <w:szCs w:val="22"/>
        </w:rPr>
        <w:t>monsoon forecasts</w:t>
      </w:r>
      <w:r w:rsidRPr="00E44923">
        <w:rPr>
          <w:rFonts w:ascii="Arial" w:hAnsi="Arial" w:cs="Arial"/>
          <w:color w:val="0D0D0D" w:themeColor="text1" w:themeTint="F2"/>
          <w:szCs w:val="22"/>
        </w:rPr>
        <w:t xml:space="preserve"> and extreme events is the need to improve predictability beyond the medium range at the </w:t>
      </w:r>
      <w:r w:rsidRPr="00E44923">
        <w:rPr>
          <w:rFonts w:ascii="Arial" w:eastAsia="Calibri" w:hAnsi="Arial" w:cs="Arial"/>
          <w:color w:val="0D0D0D" w:themeColor="text1" w:themeTint="F2"/>
          <w:szCs w:val="22"/>
        </w:rPr>
        <w:t>subdivisional</w:t>
      </w:r>
      <w:r w:rsidRPr="00E44923">
        <w:rPr>
          <w:rFonts w:ascii="Arial" w:hAnsi="Arial" w:cs="Arial"/>
          <w:color w:val="0D0D0D" w:themeColor="text1" w:themeTint="F2"/>
          <w:szCs w:val="22"/>
        </w:rPr>
        <w:t xml:space="preserve"> level. As a result, an ERWF can be used in a wide range of fields to meet stakeholder needs </w:t>
      </w:r>
      <w:r w:rsidR="00602101" w:rsidRPr="00E44923">
        <w:rPr>
          <w:rFonts w:ascii="Arial" w:hAnsi="Arial" w:cs="Arial"/>
          <w:color w:val="0D0D0D" w:themeColor="text1" w:themeTint="F2"/>
          <w:szCs w:val="22"/>
        </w:rPr>
        <w:t>based on</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weather and climate projections. The incorporation of ERWF products into crop models significantly improves crop yield prediction accuracy and helps stakeholders make informed decisions for effective climate risk management</w:t>
      </w:r>
      <w:r w:rsidR="00602101" w:rsidRPr="00E44923">
        <w:rPr>
          <w:rFonts w:ascii="Arial" w:hAnsi="Arial" w:cs="Arial"/>
          <w:color w:val="0D0D0D" w:themeColor="text1" w:themeTint="F2"/>
          <w:szCs w:val="22"/>
        </w:rPr>
        <w:t xml:space="preserve">. </w:t>
      </w:r>
      <w:r w:rsidR="00A843E4" w:rsidRPr="00E44923">
        <w:rPr>
          <w:rFonts w:ascii="Arial" w:hAnsi="Arial" w:cs="Arial"/>
          <w:color w:val="0D0D0D" w:themeColor="text1" w:themeTint="F2"/>
          <w:szCs w:val="22"/>
        </w:rPr>
        <w:t xml:space="preserve">To facilitate tactical adjustments to strategic decisions based on longer-lead seasonal forecasts, it is imperative to forecast the monsoon break </w:t>
      </w:r>
      <w:r w:rsidRPr="00E44923">
        <w:rPr>
          <w:rFonts w:ascii="Arial" w:eastAsia="Calibri" w:hAnsi="Arial" w:cs="Arial"/>
          <w:color w:val="0D0D0D" w:themeColor="text1" w:themeTint="F2"/>
          <w:szCs w:val="22"/>
        </w:rPr>
        <w:t>at</w:t>
      </w:r>
      <w:r w:rsidR="00A843E4" w:rsidRPr="00E44923">
        <w:rPr>
          <w:rFonts w:ascii="Arial" w:hAnsi="Arial" w:cs="Arial"/>
          <w:color w:val="0D0D0D" w:themeColor="text1" w:themeTint="F2"/>
          <w:szCs w:val="22"/>
        </w:rPr>
        <w:t xml:space="preserve"> the extended range time scale two to four weeks in advance. This will also aid in the timely review of the current monsoon conditions to provide farmers with outlooks.</w:t>
      </w:r>
    </w:p>
    <w:p w14:paraId="769E5124" w14:textId="14662CD1" w:rsidR="00373310" w:rsidRPr="00E44923" w:rsidRDefault="004F6124" w:rsidP="00A53B65">
      <w:pPr>
        <w:spacing w:line="360" w:lineRule="auto"/>
        <w:jc w:val="both"/>
        <w:rPr>
          <w:rFonts w:ascii="Arial" w:hAnsi="Arial" w:cs="Arial"/>
          <w:color w:val="0D0D0D" w:themeColor="text1" w:themeTint="F2"/>
          <w:sz w:val="20"/>
          <w:szCs w:val="20"/>
        </w:rPr>
      </w:pPr>
      <w:r w:rsidRPr="00E44923">
        <w:rPr>
          <w:rFonts w:ascii="Arial" w:hAnsi="Arial" w:cs="Arial"/>
          <w:b/>
          <w:bCs/>
          <w:i/>
          <w:iCs/>
          <w:color w:val="0D0D0D" w:themeColor="text1" w:themeTint="F2"/>
          <w:sz w:val="20"/>
          <w:szCs w:val="20"/>
        </w:rPr>
        <w:t xml:space="preserve">Keywords: ERWF; Weather Forecasting; Climate Change; Intraseasonal </w:t>
      </w:r>
      <w:r w:rsidR="00DE2D45" w:rsidRPr="00E44923">
        <w:rPr>
          <w:rFonts w:ascii="Arial" w:hAnsi="Arial" w:cs="Arial"/>
          <w:b/>
          <w:bCs/>
          <w:i/>
          <w:iCs/>
          <w:color w:val="0D0D0D" w:themeColor="text1" w:themeTint="F2"/>
          <w:sz w:val="20"/>
          <w:szCs w:val="20"/>
        </w:rPr>
        <w:t>variations; Indian</w:t>
      </w:r>
      <w:r w:rsidRPr="00E44923">
        <w:rPr>
          <w:rFonts w:ascii="Arial" w:hAnsi="Arial" w:cs="Arial"/>
          <w:b/>
          <w:bCs/>
          <w:i/>
          <w:iCs/>
          <w:color w:val="0D0D0D" w:themeColor="text1" w:themeTint="F2"/>
          <w:sz w:val="20"/>
          <w:szCs w:val="20"/>
        </w:rPr>
        <w:t xml:space="preserve"> Monsoon</w:t>
      </w:r>
    </w:p>
    <w:p w14:paraId="1026821F" w14:textId="77777777" w:rsidR="00E44923" w:rsidRDefault="00E44923" w:rsidP="00A53B65">
      <w:pPr>
        <w:pStyle w:val="ListParagraph"/>
        <w:spacing w:line="360" w:lineRule="auto"/>
        <w:ind w:left="66"/>
        <w:jc w:val="both"/>
        <w:rPr>
          <w:rFonts w:ascii="Arial" w:hAnsi="Arial" w:cs="Arial"/>
          <w:b/>
          <w:bCs/>
          <w:color w:val="0D0D0D" w:themeColor="text1" w:themeTint="F2"/>
          <w:sz w:val="22"/>
          <w:szCs w:val="22"/>
        </w:rPr>
      </w:pPr>
    </w:p>
    <w:p w14:paraId="201AB30C" w14:textId="77777777" w:rsidR="00E44923" w:rsidRDefault="00E44923" w:rsidP="00A53B65">
      <w:pPr>
        <w:pStyle w:val="ListParagraph"/>
        <w:spacing w:line="360" w:lineRule="auto"/>
        <w:ind w:left="66"/>
        <w:jc w:val="both"/>
        <w:rPr>
          <w:rFonts w:ascii="Arial" w:hAnsi="Arial" w:cs="Arial"/>
          <w:b/>
          <w:bCs/>
          <w:color w:val="0D0D0D" w:themeColor="text1" w:themeTint="F2"/>
          <w:sz w:val="22"/>
          <w:szCs w:val="22"/>
        </w:rPr>
      </w:pPr>
    </w:p>
    <w:p w14:paraId="329BC984" w14:textId="305AA28C" w:rsidR="00373310" w:rsidRPr="00E44923" w:rsidRDefault="004F6124" w:rsidP="00A53B65">
      <w:pPr>
        <w:pStyle w:val="ListParagraph"/>
        <w:spacing w:line="360" w:lineRule="auto"/>
        <w:ind w:left="66"/>
        <w:jc w:val="both"/>
        <w:rPr>
          <w:rFonts w:ascii="Arial" w:hAnsi="Arial" w:cs="Arial"/>
          <w:color w:val="0D0D0D" w:themeColor="text1" w:themeTint="F2"/>
          <w:sz w:val="22"/>
          <w:szCs w:val="22"/>
        </w:rPr>
      </w:pPr>
      <w:r w:rsidRPr="00E44923">
        <w:rPr>
          <w:rFonts w:ascii="Arial" w:hAnsi="Arial" w:cs="Arial"/>
          <w:b/>
          <w:bCs/>
          <w:color w:val="0D0D0D" w:themeColor="text1" w:themeTint="F2"/>
          <w:sz w:val="22"/>
          <w:szCs w:val="22"/>
        </w:rPr>
        <w:t>Introduction</w:t>
      </w:r>
    </w:p>
    <w:p w14:paraId="1D8E951D" w14:textId="42D26620"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Climate change has caused extensive </w:t>
      </w:r>
      <w:r w:rsidRPr="00E44923">
        <w:rPr>
          <w:rFonts w:ascii="Arial" w:eastAsia="Calibri" w:hAnsi="Arial" w:cs="Arial"/>
          <w:color w:val="0D0D0D" w:themeColor="text1" w:themeTint="F2"/>
          <w:szCs w:val="22"/>
        </w:rPr>
        <w:t>damage</w:t>
      </w:r>
      <w:r w:rsidRPr="00E44923">
        <w:rPr>
          <w:rFonts w:ascii="Arial" w:hAnsi="Arial" w:cs="Arial"/>
          <w:color w:val="0D0D0D" w:themeColor="text1" w:themeTint="F2"/>
          <w:szCs w:val="22"/>
        </w:rPr>
        <w:t xml:space="preserve"> and progressively irreversible losses in terrestrial (Grimm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w:t>
      </w:r>
      <w:proofErr w:type="spellStart"/>
      <w:r w:rsidRPr="00E44923">
        <w:rPr>
          <w:rFonts w:ascii="Arial" w:hAnsi="Arial" w:cs="Arial"/>
          <w:color w:val="0D0D0D" w:themeColor="text1" w:themeTint="F2"/>
          <w:szCs w:val="22"/>
        </w:rPr>
        <w:t>Bardford</w:t>
      </w:r>
      <w:proofErr w:type="spellEnd"/>
      <w:r w:rsidRPr="00E44923">
        <w:rPr>
          <w:rFonts w:ascii="Arial" w:hAnsi="Arial" w:cs="Arial"/>
          <w:color w:val="0D0D0D" w:themeColor="text1" w:themeTint="F2"/>
          <w:szCs w:val="22"/>
        </w:rPr>
        <w:t xml:space="preserve"> and Warren, 2014; Warren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Harrison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freshwater (Woodward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2010; Liu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Singh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Orr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cryosphere (Ding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w:t>
      </w:r>
      <w:r w:rsidR="0090294A" w:rsidRPr="00E44923">
        <w:rPr>
          <w:rFonts w:ascii="Arial" w:hAnsi="Arial" w:cs="Arial"/>
          <w:color w:val="0D0D0D" w:themeColor="text1" w:themeTint="F2"/>
          <w:szCs w:val="22"/>
        </w:rPr>
        <w:t>1</w:t>
      </w:r>
      <w:r w:rsidRPr="00E44923">
        <w:rPr>
          <w:rFonts w:ascii="Arial" w:hAnsi="Arial" w:cs="Arial"/>
          <w:color w:val="0D0D0D" w:themeColor="text1" w:themeTint="F2"/>
          <w:szCs w:val="22"/>
        </w:rPr>
        <w:t xml:space="preserve">; Wang, 2024), </w:t>
      </w:r>
      <w:r w:rsidRPr="00E44923">
        <w:rPr>
          <w:rFonts w:ascii="Arial" w:eastAsia="Calibri" w:hAnsi="Arial" w:cs="Arial"/>
          <w:color w:val="0D0D0D" w:themeColor="text1" w:themeTint="F2"/>
          <w:szCs w:val="22"/>
        </w:rPr>
        <w:t xml:space="preserve">and </w:t>
      </w:r>
      <w:r w:rsidRPr="00E44923">
        <w:rPr>
          <w:rFonts w:ascii="Arial" w:hAnsi="Arial" w:cs="Arial"/>
          <w:color w:val="0D0D0D" w:themeColor="text1" w:themeTint="F2"/>
          <w:szCs w:val="22"/>
        </w:rPr>
        <w:t xml:space="preserve">coastal and ocean ecosystems (Zhang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IPCC, 2023) and affects </w:t>
      </w:r>
      <w:r w:rsidRPr="00E44923">
        <w:rPr>
          <w:rFonts w:ascii="Arial" w:eastAsia="Calibri" w:hAnsi="Arial" w:cs="Arial"/>
          <w:color w:val="0D0D0D" w:themeColor="text1" w:themeTint="F2"/>
          <w:szCs w:val="22"/>
        </w:rPr>
        <w:t>ecosystems</w:t>
      </w:r>
      <w:r w:rsidRPr="00E44923">
        <w:rPr>
          <w:rFonts w:ascii="Arial" w:hAnsi="Arial" w:cs="Arial"/>
          <w:color w:val="0D0D0D" w:themeColor="text1" w:themeTint="F2"/>
          <w:szCs w:val="22"/>
        </w:rPr>
        <w:t xml:space="preserve"> at several levels </w:t>
      </w:r>
      <w:r w:rsidR="00276EEB" w:rsidRPr="00E44923">
        <w:rPr>
          <w:rFonts w:ascii="Arial" w:hAnsi="Arial" w:cs="Arial"/>
          <w:color w:val="0D0D0D" w:themeColor="text1" w:themeTint="F2"/>
          <w:szCs w:val="22"/>
        </w:rPr>
        <w:t xml:space="preserve">(Weiskopf </w:t>
      </w:r>
      <w:r w:rsidR="00D72703" w:rsidRPr="00E44923">
        <w:rPr>
          <w:rFonts w:ascii="Arial" w:hAnsi="Arial" w:cs="Arial"/>
          <w:i/>
          <w:iCs/>
          <w:color w:val="0D0D0D" w:themeColor="text1" w:themeTint="F2"/>
          <w:szCs w:val="22"/>
        </w:rPr>
        <w:t>et al.,</w:t>
      </w:r>
      <w:r w:rsidR="00276EEB" w:rsidRPr="00E44923">
        <w:rPr>
          <w:rFonts w:ascii="Arial" w:hAnsi="Arial" w:cs="Arial"/>
          <w:color w:val="0D0D0D" w:themeColor="text1" w:themeTint="F2"/>
          <w:szCs w:val="22"/>
        </w:rPr>
        <w:t xml:space="preserve"> 2020)</w:t>
      </w:r>
      <w:r w:rsidRPr="00E44923">
        <w:rPr>
          <w:rFonts w:ascii="Arial" w:hAnsi="Arial" w:cs="Arial"/>
          <w:color w:val="0D0D0D" w:themeColor="text1" w:themeTint="F2"/>
          <w:szCs w:val="22"/>
        </w:rPr>
        <w:t xml:space="preserve">. Increasingly compelling research suggests that </w:t>
      </w:r>
      <w:r w:rsidRPr="00E44923">
        <w:rPr>
          <w:rStyle w:val="Emphasis"/>
          <w:rFonts w:ascii="Arial" w:hAnsi="Arial" w:cs="Arial"/>
          <w:i w:val="0"/>
          <w:iCs w:val="0"/>
          <w:color w:val="0D0D0D" w:themeColor="text1" w:themeTint="F2"/>
          <w:szCs w:val="22"/>
        </w:rPr>
        <w:t>reinforced</w:t>
      </w:r>
      <w:r w:rsidRPr="00E44923">
        <w:rPr>
          <w:rFonts w:ascii="Arial" w:hAnsi="Arial" w:cs="Arial"/>
          <w:color w:val="0D0D0D" w:themeColor="text1" w:themeTint="F2"/>
          <w:szCs w:val="22"/>
        </w:rPr>
        <w:t xml:space="preserve"> forecasts and </w:t>
      </w:r>
      <w:r w:rsidRPr="00E44923">
        <w:rPr>
          <w:rStyle w:val="Emphasis"/>
          <w:rFonts w:ascii="Arial" w:hAnsi="Arial" w:cs="Arial"/>
          <w:i w:val="0"/>
          <w:iCs w:val="0"/>
          <w:color w:val="0D0D0D" w:themeColor="text1" w:themeTint="F2"/>
          <w:szCs w:val="22"/>
        </w:rPr>
        <w:t>finer</w:t>
      </w:r>
      <w:r w:rsidRPr="00E44923">
        <w:rPr>
          <w:rFonts w:ascii="Arial" w:hAnsi="Arial" w:cs="Arial"/>
          <w:color w:val="0D0D0D" w:themeColor="text1" w:themeTint="F2"/>
          <w:szCs w:val="22"/>
        </w:rPr>
        <w:t xml:space="preserve"> utilization of forecasts (Brunet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are affordable ways to lessen the damage caused by extreme weather and climate change (Tada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Given the close connection between extreme weather and climate change (Stott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weather forecasting </w:t>
      </w:r>
      <w:r w:rsidRPr="00E44923">
        <w:rPr>
          <w:rFonts w:ascii="Arial" w:hAnsi="Arial" w:cs="Arial"/>
          <w:color w:val="0D0D0D" w:themeColor="text1" w:themeTint="F2"/>
          <w:szCs w:val="22"/>
        </w:rPr>
        <w:lastRenderedPageBreak/>
        <w:t>investments are anticipated to play a significant role in climate adaptation (</w:t>
      </w:r>
      <w:r w:rsidRPr="00E44923">
        <w:rPr>
          <w:rFonts w:ascii="Arial" w:eastAsia="Calibri" w:hAnsi="Arial" w:cs="Arial"/>
          <w:color w:val="0D0D0D" w:themeColor="text1" w:themeTint="F2"/>
          <w:szCs w:val="22"/>
        </w:rPr>
        <w:t>Worldbank</w:t>
      </w:r>
      <w:r w:rsidRPr="00E44923">
        <w:rPr>
          <w:rFonts w:ascii="Arial" w:hAnsi="Arial" w:cs="Arial"/>
          <w:color w:val="0D0D0D" w:themeColor="text1" w:themeTint="F2"/>
          <w:szCs w:val="22"/>
        </w:rPr>
        <w:t>.org, 2023)</w:t>
      </w:r>
      <w:r w:rsidR="00505AB9" w:rsidRPr="00E44923">
        <w:rPr>
          <w:rFonts w:ascii="Arial" w:hAnsi="Arial" w:cs="Arial"/>
          <w:color w:val="0D0D0D" w:themeColor="text1" w:themeTint="F2"/>
          <w:szCs w:val="22"/>
        </w:rPr>
        <w:t>.</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application of science and technology to forecast the weather for a specific location over a period of time is known as weather forecasting (Didal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w:t>
      </w:r>
      <w:r w:rsidRPr="00E44923">
        <w:rPr>
          <w:rFonts w:ascii="Arial" w:eastAsia="Calibri" w:hAnsi="Arial" w:cs="Arial"/>
          <w:color w:val="0D0D0D" w:themeColor="text1" w:themeTint="F2"/>
          <w:szCs w:val="22"/>
        </w:rPr>
        <w:t>and uses</w:t>
      </w:r>
      <w:r w:rsidRPr="00E44923">
        <w:rPr>
          <w:rFonts w:ascii="Arial" w:hAnsi="Arial" w:cs="Arial"/>
          <w:color w:val="0D0D0D" w:themeColor="text1" w:themeTint="F2"/>
          <w:szCs w:val="22"/>
        </w:rPr>
        <w:t xml:space="preserve"> different weather parameters (</w:t>
      </w:r>
      <w:proofErr w:type="spellStart"/>
      <w:r w:rsidRPr="00E44923">
        <w:rPr>
          <w:rFonts w:ascii="Arial" w:hAnsi="Arial" w:cs="Arial"/>
          <w:color w:val="0D0D0D" w:themeColor="text1" w:themeTint="F2"/>
          <w:szCs w:val="22"/>
        </w:rPr>
        <w:t>Khajure</w:t>
      </w:r>
      <w:proofErr w:type="spellEnd"/>
      <w:r w:rsidRPr="00E44923">
        <w:rPr>
          <w:rFonts w:ascii="Arial" w:hAnsi="Arial" w:cs="Arial"/>
          <w:color w:val="0D0D0D" w:themeColor="text1" w:themeTint="F2"/>
          <w:szCs w:val="22"/>
        </w:rPr>
        <w:t xml:space="preserve"> </w:t>
      </w:r>
      <w:r w:rsidR="00D82684" w:rsidRPr="00E44923">
        <w:rPr>
          <w:rFonts w:ascii="Arial" w:hAnsi="Arial" w:cs="Arial"/>
          <w:color w:val="0D0D0D" w:themeColor="text1" w:themeTint="F2"/>
          <w:szCs w:val="22"/>
        </w:rPr>
        <w:t>and</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Mohod</w:t>
      </w:r>
      <w:proofErr w:type="spellEnd"/>
      <w:r w:rsidRPr="00E44923">
        <w:rPr>
          <w:rFonts w:ascii="Arial" w:hAnsi="Arial" w:cs="Arial"/>
          <w:color w:val="0D0D0D" w:themeColor="text1" w:themeTint="F2"/>
          <w:szCs w:val="22"/>
        </w:rPr>
        <w:t xml:space="preserve">, 2016; </w:t>
      </w:r>
      <w:proofErr w:type="spellStart"/>
      <w:r w:rsidRPr="00E44923">
        <w:rPr>
          <w:rFonts w:ascii="Arial" w:hAnsi="Arial" w:cs="Arial"/>
          <w:color w:val="0D0D0D" w:themeColor="text1" w:themeTint="F2"/>
          <w:szCs w:val="22"/>
        </w:rPr>
        <w:t>Jaseena</w:t>
      </w:r>
      <w:proofErr w:type="spellEnd"/>
      <w:r w:rsidRPr="00E44923">
        <w:rPr>
          <w:rFonts w:ascii="Arial" w:hAnsi="Arial" w:cs="Arial"/>
          <w:color w:val="0D0D0D" w:themeColor="text1" w:themeTint="F2"/>
          <w:szCs w:val="22"/>
        </w:rPr>
        <w:t xml:space="preserve"> and </w:t>
      </w:r>
      <w:proofErr w:type="spellStart"/>
      <w:r w:rsidRPr="00E44923">
        <w:rPr>
          <w:rFonts w:ascii="Arial" w:hAnsi="Arial" w:cs="Arial"/>
          <w:color w:val="0D0D0D" w:themeColor="text1" w:themeTint="F2"/>
          <w:szCs w:val="22"/>
        </w:rPr>
        <w:t>Kavoor</w:t>
      </w:r>
      <w:proofErr w:type="spellEnd"/>
      <w:r w:rsidRPr="00E44923">
        <w:rPr>
          <w:rFonts w:ascii="Arial" w:hAnsi="Arial" w:cs="Arial"/>
          <w:color w:val="0D0D0D" w:themeColor="text1" w:themeTint="F2"/>
          <w:szCs w:val="22"/>
        </w:rPr>
        <w:t>, 2022)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which are likely to occur</w:t>
      </w:r>
      <w:r w:rsidR="00B91414"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t>There are various temporal and spatial domains for which weather forecasts are provided. Venue, city, district, state, and country are examples of the spatial domain; each has a distinct temporal domain. According to their validity periods, the temporal domains are as follows: (</w:t>
      </w:r>
      <w:proofErr w:type="spellStart"/>
      <w:r w:rsidRPr="00E44923">
        <w:rPr>
          <w:rFonts w:ascii="Arial" w:hAnsi="Arial" w:cs="Arial"/>
          <w:color w:val="0D0D0D" w:themeColor="text1" w:themeTint="F2"/>
          <w:szCs w:val="22"/>
        </w:rPr>
        <w:t>i</w:t>
      </w:r>
      <w:proofErr w:type="spellEnd"/>
      <w:r w:rsidRPr="00E44923">
        <w:rPr>
          <w:rFonts w:ascii="Arial" w:hAnsi="Arial" w:cs="Arial"/>
          <w:color w:val="0D0D0D" w:themeColor="text1" w:themeTint="F2"/>
          <w:szCs w:val="22"/>
        </w:rPr>
        <w:t>) Now casting (</w:t>
      </w:r>
      <w:proofErr w:type="spellStart"/>
      <w:r w:rsidRPr="00E44923">
        <w:rPr>
          <w:rFonts w:ascii="Arial" w:hAnsi="Arial" w:cs="Arial"/>
          <w:color w:val="0D0D0D" w:themeColor="text1" w:themeTint="F2"/>
          <w:szCs w:val="22"/>
        </w:rPr>
        <w:t>Banbura</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Ravuri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which is a few hours ahead (</w:t>
      </w:r>
      <w:r w:rsidRPr="00E44923">
        <w:rPr>
          <w:rFonts w:ascii="Arial" w:eastAsia="Calibri" w:hAnsi="Arial" w:cs="Arial"/>
          <w:color w:val="0D0D0D" w:themeColor="text1" w:themeTint="F2"/>
          <w:szCs w:val="22"/>
        </w:rPr>
        <w:t xml:space="preserve">0–2 </w:t>
      </w:r>
      <w:proofErr w:type="spellStart"/>
      <w:r w:rsidRPr="00E44923">
        <w:rPr>
          <w:rFonts w:ascii="Arial" w:eastAsia="Calibri" w:hAnsi="Arial" w:cs="Arial"/>
          <w:color w:val="0D0D0D" w:themeColor="text1" w:themeTint="F2"/>
          <w:szCs w:val="22"/>
        </w:rPr>
        <w:t>hrs</w:t>
      </w:r>
      <w:proofErr w:type="spellEnd"/>
      <w:r w:rsidRPr="00E44923">
        <w:rPr>
          <w:rFonts w:ascii="Arial" w:hAnsi="Arial" w:cs="Arial"/>
          <w:color w:val="0D0D0D" w:themeColor="text1" w:themeTint="F2"/>
          <w:szCs w:val="22"/>
        </w:rPr>
        <w:t>);</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(ii) </w:t>
      </w:r>
      <w:r w:rsidRPr="00E44923">
        <w:rPr>
          <w:rFonts w:ascii="Arial" w:eastAsia="Calibri" w:hAnsi="Arial" w:cs="Arial"/>
          <w:color w:val="0D0D0D" w:themeColor="text1" w:themeTint="F2"/>
          <w:szCs w:val="22"/>
        </w:rPr>
        <w:t>very</w:t>
      </w:r>
      <w:r w:rsidRPr="00E44923">
        <w:rPr>
          <w:rFonts w:ascii="Arial" w:hAnsi="Arial" w:cs="Arial"/>
          <w:color w:val="0D0D0D" w:themeColor="text1" w:themeTint="F2"/>
          <w:szCs w:val="22"/>
        </w:rPr>
        <w:t xml:space="preserve"> short range (</w:t>
      </w:r>
      <w:r w:rsidRPr="00E44923">
        <w:rPr>
          <w:rFonts w:ascii="Arial" w:eastAsia="Calibri" w:hAnsi="Arial" w:cs="Arial"/>
          <w:color w:val="0D0D0D" w:themeColor="text1" w:themeTint="F2"/>
          <w:szCs w:val="22"/>
        </w:rPr>
        <w:t xml:space="preserve">3–12 </w:t>
      </w:r>
      <w:proofErr w:type="spellStart"/>
      <w:r w:rsidRPr="00E44923">
        <w:rPr>
          <w:rFonts w:ascii="Arial" w:eastAsia="Calibri" w:hAnsi="Arial" w:cs="Arial"/>
          <w:color w:val="0D0D0D" w:themeColor="text1" w:themeTint="F2"/>
          <w:szCs w:val="22"/>
        </w:rPr>
        <w:t>hrs</w:t>
      </w:r>
      <w:proofErr w:type="spellEnd"/>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(iii) </w:t>
      </w:r>
      <w:r w:rsidRPr="00E44923">
        <w:rPr>
          <w:rFonts w:ascii="Arial" w:eastAsia="Calibri" w:hAnsi="Arial" w:cs="Arial"/>
          <w:color w:val="0D0D0D" w:themeColor="text1" w:themeTint="F2"/>
          <w:szCs w:val="22"/>
        </w:rPr>
        <w:t>short range</w:t>
      </w:r>
      <w:r w:rsidRPr="00E44923">
        <w:rPr>
          <w:rFonts w:ascii="Arial" w:hAnsi="Arial" w:cs="Arial"/>
          <w:color w:val="0D0D0D" w:themeColor="text1" w:themeTint="F2"/>
          <w:szCs w:val="22"/>
        </w:rPr>
        <w:t xml:space="preserve"> (Sarma and Kakoti (2024); Mamgain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which is up to three days (</w:t>
      </w:r>
      <w:r w:rsidRPr="00E44923">
        <w:rPr>
          <w:rFonts w:ascii="Arial" w:eastAsia="Calibri" w:hAnsi="Arial" w:cs="Arial"/>
          <w:color w:val="0D0D0D" w:themeColor="text1" w:themeTint="F2"/>
          <w:szCs w:val="22"/>
        </w:rPr>
        <w:t xml:space="preserve">12 </w:t>
      </w:r>
      <w:proofErr w:type="spellStart"/>
      <w:r w:rsidRPr="00E44923">
        <w:rPr>
          <w:rFonts w:ascii="Arial" w:eastAsia="Calibri" w:hAnsi="Arial" w:cs="Arial"/>
          <w:color w:val="0D0D0D" w:themeColor="text1" w:themeTint="F2"/>
          <w:szCs w:val="22"/>
        </w:rPr>
        <w:t>hrs</w:t>
      </w:r>
      <w:proofErr w:type="spellEnd"/>
      <w:r w:rsidRPr="00E44923">
        <w:rPr>
          <w:rFonts w:ascii="Arial" w:eastAsia="Calibri" w:hAnsi="Arial" w:cs="Arial"/>
          <w:color w:val="0D0D0D" w:themeColor="text1" w:themeTint="F2"/>
          <w:szCs w:val="22"/>
        </w:rPr>
        <w:t>–3days</w:t>
      </w:r>
      <w:r w:rsidRPr="00E44923">
        <w:rPr>
          <w:rFonts w:ascii="Arial" w:hAnsi="Arial" w:cs="Arial"/>
          <w:color w:val="0D0D0D" w:themeColor="text1" w:themeTint="F2"/>
          <w:szCs w:val="22"/>
        </w:rPr>
        <w:t xml:space="preserve">); (iv) </w:t>
      </w:r>
      <w:r w:rsidRPr="00E44923">
        <w:rPr>
          <w:rFonts w:ascii="Arial" w:eastAsia="Calibri" w:hAnsi="Arial" w:cs="Arial"/>
          <w:color w:val="0D0D0D" w:themeColor="text1" w:themeTint="F2"/>
          <w:szCs w:val="22"/>
        </w:rPr>
        <w:t>medium range weather forecast</w:t>
      </w:r>
      <w:r w:rsidRPr="00E44923">
        <w:rPr>
          <w:rFonts w:ascii="Arial" w:hAnsi="Arial" w:cs="Arial"/>
          <w:color w:val="0D0D0D" w:themeColor="text1" w:themeTint="F2"/>
          <w:szCs w:val="22"/>
        </w:rPr>
        <w:t xml:space="preserve"> (MRWF) (Kumar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2000; Prasad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w:t>
      </w:r>
      <w:r w:rsidR="000B5A9F" w:rsidRPr="00E44923">
        <w:rPr>
          <w:rFonts w:ascii="Arial" w:hAnsi="Arial" w:cs="Arial"/>
          <w:color w:val="0D0D0D" w:themeColor="text1" w:themeTint="F2"/>
          <w:szCs w:val="22"/>
        </w:rPr>
        <w:t xml:space="preserve"> which is three to ten days; (v) </w:t>
      </w:r>
      <w:r w:rsidRPr="00E44923">
        <w:rPr>
          <w:rFonts w:ascii="Arial" w:eastAsia="Calibri" w:hAnsi="Arial" w:cs="Arial"/>
          <w:color w:val="0D0D0D" w:themeColor="text1" w:themeTint="F2"/>
          <w:szCs w:val="22"/>
        </w:rPr>
        <w:t>extended</w:t>
      </w:r>
      <w:r w:rsidR="000B5A9F" w:rsidRPr="00E44923">
        <w:rPr>
          <w:rFonts w:ascii="Arial" w:hAnsi="Arial" w:cs="Arial"/>
          <w:color w:val="0D0D0D" w:themeColor="text1" w:themeTint="F2"/>
          <w:szCs w:val="22"/>
        </w:rPr>
        <w:t xml:space="preserve"> range weather forecast (ERWF) </w:t>
      </w:r>
      <w:r w:rsidRPr="00E44923">
        <w:rPr>
          <w:rFonts w:ascii="Arial" w:hAnsi="Arial" w:cs="Arial"/>
          <w:color w:val="0D0D0D" w:themeColor="text1" w:themeTint="F2"/>
          <w:szCs w:val="22"/>
        </w:rPr>
        <w:t xml:space="preserve">(Zhen 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Zhu and Li, 2017;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Kumar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which is ten days to one month, the large-scale state will be captured by the ERWF before the event occurs </w:t>
      </w:r>
      <w:r w:rsidRPr="00E44923">
        <w:rPr>
          <w:rFonts w:ascii="Arial" w:eastAsia="Calibri" w:hAnsi="Arial" w:cs="Arial"/>
          <w:color w:val="0D0D0D" w:themeColor="text1" w:themeTint="F2"/>
          <w:szCs w:val="22"/>
        </w:rPr>
        <w:t>for approximately</w:t>
      </w:r>
      <w:r w:rsidRPr="00E44923">
        <w:rPr>
          <w:rFonts w:ascii="Arial" w:hAnsi="Arial" w:cs="Arial"/>
          <w:color w:val="0D0D0D" w:themeColor="text1" w:themeTint="F2"/>
          <w:szCs w:val="22"/>
        </w:rPr>
        <w:t xml:space="preserve"> ten days; and (vi) </w:t>
      </w:r>
      <w:r w:rsidRPr="00E44923">
        <w:rPr>
          <w:rFonts w:ascii="Arial" w:eastAsia="Calibri" w:hAnsi="Arial" w:cs="Arial"/>
          <w:color w:val="0D0D0D" w:themeColor="text1" w:themeTint="F2"/>
          <w:szCs w:val="22"/>
        </w:rPr>
        <w:t>long</w:t>
      </w:r>
      <w:r w:rsidRPr="00E44923">
        <w:rPr>
          <w:rFonts w:ascii="Arial" w:hAnsi="Arial" w:cs="Arial"/>
          <w:color w:val="0D0D0D" w:themeColor="text1" w:themeTint="F2"/>
          <w:szCs w:val="22"/>
        </w:rPr>
        <w:t xml:space="preserve">-range or seasonal, which is months to an entire season </w:t>
      </w:r>
      <w:r w:rsidR="00E54812" w:rsidRPr="00E44923">
        <w:rPr>
          <w:rFonts w:ascii="Arial" w:hAnsi="Arial" w:cs="Arial"/>
          <w:color w:val="0D0D0D" w:themeColor="text1" w:themeTint="F2"/>
          <w:szCs w:val="22"/>
        </w:rPr>
        <w:t xml:space="preserve">(Gouda </w:t>
      </w:r>
      <w:r w:rsidR="00D72703" w:rsidRPr="00E44923">
        <w:rPr>
          <w:rFonts w:ascii="Arial" w:hAnsi="Arial" w:cs="Arial"/>
          <w:i/>
          <w:iCs/>
          <w:color w:val="0D0D0D" w:themeColor="text1" w:themeTint="F2"/>
          <w:szCs w:val="22"/>
        </w:rPr>
        <w:t>et al.,</w:t>
      </w:r>
      <w:r w:rsidR="00E54812" w:rsidRPr="00E44923">
        <w:rPr>
          <w:rFonts w:ascii="Arial" w:hAnsi="Arial" w:cs="Arial"/>
          <w:color w:val="0D0D0D" w:themeColor="text1" w:themeTint="F2"/>
          <w:szCs w:val="22"/>
        </w:rPr>
        <w:t xml:space="preserve"> 2018; Mohanty </w:t>
      </w:r>
      <w:r w:rsidR="00D72703" w:rsidRPr="00E44923">
        <w:rPr>
          <w:rFonts w:ascii="Arial" w:hAnsi="Arial" w:cs="Arial"/>
          <w:i/>
          <w:iCs/>
          <w:color w:val="0D0D0D" w:themeColor="text1" w:themeTint="F2"/>
          <w:szCs w:val="22"/>
        </w:rPr>
        <w:t>et al.,</w:t>
      </w:r>
      <w:r w:rsidR="00E54812" w:rsidRPr="00E44923">
        <w:rPr>
          <w:rFonts w:ascii="Arial" w:hAnsi="Arial" w:cs="Arial"/>
          <w:color w:val="0D0D0D" w:themeColor="text1" w:themeTint="F2"/>
          <w:szCs w:val="22"/>
        </w:rPr>
        <w:t xml:space="preserve"> 2019; </w:t>
      </w:r>
      <w:proofErr w:type="spellStart"/>
      <w:r w:rsidR="00E54812" w:rsidRPr="00E44923">
        <w:rPr>
          <w:rFonts w:ascii="Arial" w:hAnsi="Arial" w:cs="Arial"/>
          <w:color w:val="0D0D0D" w:themeColor="text1" w:themeTint="F2"/>
          <w:szCs w:val="22"/>
        </w:rPr>
        <w:t>Madolli</w:t>
      </w:r>
      <w:proofErr w:type="spellEnd"/>
      <w:r w:rsidR="00E54812"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E54812" w:rsidRPr="00E44923">
        <w:rPr>
          <w:rFonts w:ascii="Arial" w:hAnsi="Arial" w:cs="Arial"/>
          <w:color w:val="0D0D0D" w:themeColor="text1" w:themeTint="F2"/>
          <w:szCs w:val="22"/>
        </w:rPr>
        <w:t xml:space="preserve"> 2022</w:t>
      </w:r>
      <w:r w:rsidR="00A745A5" w:rsidRPr="00E44923">
        <w:rPr>
          <w:rFonts w:ascii="Arial" w:hAnsi="Arial" w:cs="Arial"/>
          <w:color w:val="0D0D0D" w:themeColor="text1" w:themeTint="F2"/>
          <w:szCs w:val="22"/>
        </w:rPr>
        <w:t xml:space="preserve">; </w:t>
      </w:r>
      <w:r w:rsidR="00E54812" w:rsidRPr="00E44923">
        <w:rPr>
          <w:rFonts w:ascii="Arial" w:hAnsi="Arial" w:cs="Arial"/>
          <w:color w:val="0D0D0D" w:themeColor="text1" w:themeTint="F2"/>
          <w:szCs w:val="22"/>
        </w:rPr>
        <w:t xml:space="preserve">SOP, IMD), (v) Sub seasonal  (2 weeks to 2 months) </w:t>
      </w:r>
      <w:r w:rsidR="00E02B87" w:rsidRPr="00E44923">
        <w:rPr>
          <w:rFonts w:ascii="Arial" w:hAnsi="Arial" w:cs="Arial"/>
          <w:color w:val="0D0D0D" w:themeColor="text1" w:themeTint="F2"/>
          <w:szCs w:val="22"/>
        </w:rPr>
        <w:t>(</w:t>
      </w:r>
      <w:proofErr w:type="spellStart"/>
      <w:r w:rsidR="00E02B87" w:rsidRPr="00E44923">
        <w:rPr>
          <w:rFonts w:ascii="Arial" w:hAnsi="Arial" w:cs="Arial"/>
          <w:color w:val="0D0D0D" w:themeColor="text1" w:themeTint="F2"/>
          <w:szCs w:val="22"/>
        </w:rPr>
        <w:t>Vitart</w:t>
      </w:r>
      <w:proofErr w:type="spellEnd"/>
      <w:r w:rsidR="00E02B87"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E02B87" w:rsidRPr="00E44923">
        <w:rPr>
          <w:rFonts w:ascii="Arial" w:hAnsi="Arial" w:cs="Arial"/>
          <w:color w:val="0D0D0D" w:themeColor="text1" w:themeTint="F2"/>
          <w:szCs w:val="22"/>
        </w:rPr>
        <w:t xml:space="preserve"> 2012; Robertson </w:t>
      </w:r>
      <w:r w:rsidR="00D72703" w:rsidRPr="00E44923">
        <w:rPr>
          <w:rFonts w:ascii="Arial" w:hAnsi="Arial" w:cs="Arial"/>
          <w:i/>
          <w:iCs/>
          <w:color w:val="0D0D0D" w:themeColor="text1" w:themeTint="F2"/>
          <w:szCs w:val="22"/>
        </w:rPr>
        <w:t>et al.,</w:t>
      </w:r>
      <w:r w:rsidR="00E02B87" w:rsidRPr="00E44923">
        <w:rPr>
          <w:rFonts w:ascii="Arial" w:hAnsi="Arial" w:cs="Arial"/>
          <w:color w:val="0D0D0D" w:themeColor="text1" w:themeTint="F2"/>
          <w:szCs w:val="22"/>
        </w:rPr>
        <w:t xml:space="preserve"> 2020; White </w:t>
      </w:r>
      <w:r w:rsidR="00D72703" w:rsidRPr="00E44923">
        <w:rPr>
          <w:rFonts w:ascii="Arial" w:hAnsi="Arial" w:cs="Arial"/>
          <w:i/>
          <w:iCs/>
          <w:color w:val="0D0D0D" w:themeColor="text1" w:themeTint="F2"/>
          <w:szCs w:val="22"/>
        </w:rPr>
        <w:t>et al.,</w:t>
      </w:r>
      <w:r w:rsidR="00E02B87" w:rsidRPr="00E44923">
        <w:rPr>
          <w:rFonts w:ascii="Arial" w:hAnsi="Arial" w:cs="Arial"/>
          <w:color w:val="0D0D0D" w:themeColor="text1" w:themeTint="F2"/>
          <w:szCs w:val="22"/>
        </w:rPr>
        <w:t xml:space="preserve"> 2021; 2022; Fu </w:t>
      </w:r>
      <w:r w:rsidR="00D72703" w:rsidRPr="00E44923">
        <w:rPr>
          <w:rFonts w:ascii="Arial" w:hAnsi="Arial" w:cs="Arial"/>
          <w:i/>
          <w:iCs/>
          <w:color w:val="0D0D0D" w:themeColor="text1" w:themeTint="F2"/>
          <w:szCs w:val="22"/>
        </w:rPr>
        <w:t>et al.,</w:t>
      </w:r>
      <w:r w:rsidR="00E02B87" w:rsidRPr="00E44923">
        <w:rPr>
          <w:rFonts w:ascii="Arial" w:hAnsi="Arial" w:cs="Arial"/>
          <w:color w:val="0D0D0D" w:themeColor="text1" w:themeTint="F2"/>
          <w:szCs w:val="22"/>
        </w:rPr>
        <w:t xml:space="preserve"> 2024</w:t>
      </w:r>
      <w:r w:rsidRPr="00E44923">
        <w:rPr>
          <w:rFonts w:ascii="Arial" w:hAnsi="Arial" w:cs="Arial"/>
          <w:color w:val="0D0D0D" w:themeColor="text1" w:themeTint="F2"/>
          <w:szCs w:val="22"/>
        </w:rPr>
        <w:t>) and Climate forecast</w:t>
      </w:r>
      <w:r w:rsidR="00FA7611" w:rsidRPr="00E44923">
        <w:rPr>
          <w:rFonts w:ascii="Arial" w:hAnsi="Arial" w:cs="Arial"/>
          <w:color w:val="0D0D0D" w:themeColor="text1" w:themeTint="F2"/>
          <w:szCs w:val="22"/>
        </w:rPr>
        <w:t xml:space="preserve"> (Figure 1)</w:t>
      </w:r>
      <w:r w:rsidRPr="00E44923">
        <w:rPr>
          <w:rFonts w:ascii="Arial" w:hAnsi="Arial" w:cs="Arial"/>
          <w:color w:val="0D0D0D" w:themeColor="text1" w:themeTint="F2"/>
          <w:szCs w:val="22"/>
        </w:rPr>
        <w:t>.</w:t>
      </w:r>
    </w:p>
    <w:p w14:paraId="01FB29F1" w14:textId="0591F9A1" w:rsidR="00AB2522"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numerical weather prediction (NWP) approach (Lorenc, 1987; Kimura, 2002; Brotzge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which depicts atmospheric states as </w:t>
      </w:r>
      <w:r w:rsidRPr="00E44923">
        <w:rPr>
          <w:rFonts w:ascii="Arial" w:eastAsia="Calibri" w:hAnsi="Arial" w:cs="Arial"/>
          <w:color w:val="0D0D0D" w:themeColor="text1" w:themeTint="F2"/>
          <w:szCs w:val="22"/>
        </w:rPr>
        <w:t>discretized</w:t>
      </w:r>
      <w:r w:rsidRPr="00E44923">
        <w:rPr>
          <w:rFonts w:ascii="Arial" w:hAnsi="Arial" w:cs="Arial"/>
          <w:color w:val="0D0D0D" w:themeColor="text1" w:themeTint="F2"/>
          <w:szCs w:val="22"/>
        </w:rPr>
        <w:t xml:space="preserve"> grids and solves partial differential equations computationally to characterize the transition between those states, is currently the most accurate forecast system (Kumar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2006; </w:t>
      </w:r>
      <w:proofErr w:type="spellStart"/>
      <w:r w:rsidRPr="00E44923">
        <w:rPr>
          <w:rFonts w:ascii="Arial" w:hAnsi="Arial" w:cs="Arial"/>
          <w:color w:val="0D0D0D" w:themeColor="text1" w:themeTint="F2"/>
          <w:szCs w:val="22"/>
        </w:rPr>
        <w:t>Mengaldo</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Pu and </w:t>
      </w:r>
      <w:proofErr w:type="spellStart"/>
      <w:r w:rsidRPr="00E44923">
        <w:rPr>
          <w:rFonts w:ascii="Arial" w:hAnsi="Arial" w:cs="Arial"/>
          <w:color w:val="0D0D0D" w:themeColor="text1" w:themeTint="F2"/>
          <w:szCs w:val="22"/>
        </w:rPr>
        <w:t>Kalnay</w:t>
      </w:r>
      <w:proofErr w:type="spellEnd"/>
      <w:r w:rsidRPr="00E44923">
        <w:rPr>
          <w:rFonts w:ascii="Arial" w:hAnsi="Arial" w:cs="Arial"/>
          <w:color w:val="0D0D0D" w:themeColor="text1" w:themeTint="F2"/>
          <w:szCs w:val="22"/>
        </w:rPr>
        <w:t xml:space="preserve">, 2019). Nevertheless, the </w:t>
      </w:r>
      <w:r w:rsidRPr="00E44923">
        <w:rPr>
          <w:rFonts w:ascii="Arial" w:eastAsia="Calibri" w:hAnsi="Arial" w:cs="Arial"/>
          <w:color w:val="0D0D0D" w:themeColor="text1" w:themeTint="F2"/>
          <w:szCs w:val="22"/>
        </w:rPr>
        <w:t>computational</w:t>
      </w:r>
      <w:r w:rsidRPr="00E44923">
        <w:rPr>
          <w:rFonts w:ascii="Arial" w:hAnsi="Arial" w:cs="Arial"/>
          <w:color w:val="0D0D0D" w:themeColor="text1" w:themeTint="F2"/>
          <w:szCs w:val="22"/>
        </w:rPr>
        <w:t xml:space="preserve"> cost of this process is high. </w:t>
      </w:r>
      <w:r w:rsidRPr="00E44923">
        <w:rPr>
          <w:rFonts w:ascii="Arial" w:eastAsia="Calibri" w:hAnsi="Arial" w:cs="Arial"/>
          <w:color w:val="0D0D0D" w:themeColor="text1" w:themeTint="F2"/>
          <w:szCs w:val="22"/>
        </w:rPr>
        <w:t>Although</w:t>
      </w:r>
      <w:r w:rsidRPr="00E44923">
        <w:rPr>
          <w:rFonts w:ascii="Arial" w:hAnsi="Arial" w:cs="Arial"/>
          <w:color w:val="0D0D0D" w:themeColor="text1" w:themeTint="F2"/>
          <w:szCs w:val="22"/>
        </w:rPr>
        <w:t xml:space="preserve"> artificial intelligence (AI)-based techniques have recently demonstrated the ability to expedite weather forecasting by orders of magnitude, their forecast accuracy still lags well behind NWP techniques (Pathak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2022)</w:t>
      </w:r>
      <w:r w:rsidR="00AE0D95" w:rsidRPr="00E44923">
        <w:rPr>
          <w:rFonts w:ascii="Arial" w:hAnsi="Arial" w:cs="Arial"/>
          <w:color w:val="0D0D0D" w:themeColor="text1" w:themeTint="F2"/>
          <w:szCs w:val="22"/>
        </w:rPr>
        <w:t>. It is</w:t>
      </w:r>
      <w:r w:rsidRPr="00E44923">
        <w:rPr>
          <w:rFonts w:ascii="Arial" w:hAnsi="Arial" w:cs="Arial"/>
          <w:color w:val="0D0D0D" w:themeColor="text1" w:themeTint="F2"/>
          <w:szCs w:val="22"/>
        </w:rPr>
        <w:t xml:space="preserve"> the greatest of any field of physical science (Bauer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2015).</w:t>
      </w:r>
    </w:p>
    <w:p w14:paraId="1B84C311" w14:textId="77777777" w:rsidR="00237507"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Indian Institute of Tropical Meteorology (IITM) has initiated real-time experimental ERWF and the operational ERF system by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which forecasts four weeks starting every Wednesday </w:t>
      </w:r>
      <w:r w:rsidRPr="00E44923">
        <w:rPr>
          <w:rFonts w:ascii="Arial" w:eastAsia="Calibri" w:hAnsi="Arial" w:cs="Arial"/>
          <w:color w:val="0D0D0D" w:themeColor="text1" w:themeTint="F2"/>
          <w:szCs w:val="22"/>
        </w:rPr>
        <w:t xml:space="preserve">and </w:t>
      </w:r>
      <w:r w:rsidRPr="00E44923">
        <w:rPr>
          <w:rFonts w:ascii="Arial" w:hAnsi="Arial" w:cs="Arial"/>
          <w:color w:val="0D0D0D" w:themeColor="text1" w:themeTint="F2"/>
          <w:szCs w:val="22"/>
        </w:rPr>
        <w:t xml:space="preserve">aids policymakers and farmers by optimizing planting and harvesting practices while enabling timely assessments of monsoon conditions </w:t>
      </w:r>
      <w:r w:rsidRPr="00E44923">
        <w:rPr>
          <w:rFonts w:ascii="Arial" w:eastAsia="Calibri" w:hAnsi="Arial" w:cs="Arial"/>
          <w:color w:val="0D0D0D" w:themeColor="text1" w:themeTint="F2"/>
          <w:szCs w:val="22"/>
        </w:rPr>
        <w:t>in</w:t>
      </w:r>
      <w:r w:rsidRPr="00E44923">
        <w:rPr>
          <w:rFonts w:ascii="Arial" w:hAnsi="Arial" w:cs="Arial"/>
          <w:color w:val="0D0D0D" w:themeColor="text1" w:themeTint="F2"/>
          <w:szCs w:val="22"/>
        </w:rPr>
        <w:t xml:space="preserve"> India. </w:t>
      </w:r>
      <w:r w:rsidR="00A843E4" w:rsidRPr="00E44923">
        <w:rPr>
          <w:rFonts w:ascii="Arial" w:hAnsi="Arial" w:cs="Arial"/>
          <w:color w:val="0D0D0D" w:themeColor="text1" w:themeTint="F2"/>
          <w:szCs w:val="22"/>
        </w:rPr>
        <w:t xml:space="preserve">According to the IMD, a significant breakthrough in global weather forecasting will be the development of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ERWF. The present review </w:t>
      </w:r>
      <w:r w:rsidRPr="00E44923">
        <w:rPr>
          <w:rFonts w:ascii="Arial" w:eastAsia="Calibri" w:hAnsi="Arial" w:cs="Arial"/>
          <w:color w:val="0D0D0D" w:themeColor="text1" w:themeTint="F2"/>
          <w:szCs w:val="22"/>
        </w:rPr>
        <w:t>highlights</w:t>
      </w:r>
      <w:r w:rsidR="00A843E4" w:rsidRPr="00E44923">
        <w:rPr>
          <w:rFonts w:ascii="Arial" w:hAnsi="Arial" w:cs="Arial"/>
          <w:color w:val="0D0D0D" w:themeColor="text1" w:themeTint="F2"/>
          <w:szCs w:val="22"/>
        </w:rPr>
        <w:t xml:space="preserve"> the development of </w:t>
      </w:r>
      <w:r w:rsidRPr="00E44923">
        <w:rPr>
          <w:rFonts w:ascii="Arial" w:eastAsia="Calibri" w:hAnsi="Arial" w:cs="Arial"/>
          <w:color w:val="0D0D0D" w:themeColor="text1" w:themeTint="F2"/>
          <w:szCs w:val="22"/>
        </w:rPr>
        <w:t>ERWFs</w:t>
      </w:r>
      <w:r w:rsidR="00A843E4" w:rsidRPr="00E44923">
        <w:rPr>
          <w:rFonts w:ascii="Arial" w:hAnsi="Arial" w:cs="Arial"/>
          <w:color w:val="0D0D0D" w:themeColor="text1" w:themeTint="F2"/>
          <w:szCs w:val="22"/>
        </w:rPr>
        <w:t xml:space="preserve"> and how this advancement might be helpful to individuals in various industries and sectors in India.</w:t>
      </w:r>
    </w:p>
    <w:p w14:paraId="4F3C25B7" w14:textId="77777777" w:rsidR="00D04ABB" w:rsidRPr="00E44923" w:rsidRDefault="004F6124" w:rsidP="00A53B65">
      <w:pPr>
        <w:spacing w:line="360" w:lineRule="auto"/>
        <w:ind w:firstLine="720"/>
        <w:jc w:val="center"/>
        <w:rPr>
          <w:rFonts w:ascii="Arial" w:hAnsi="Arial" w:cs="Arial"/>
          <w:color w:val="0D0D0D" w:themeColor="text1" w:themeTint="F2"/>
          <w:szCs w:val="22"/>
        </w:rPr>
      </w:pPr>
      <w:r w:rsidRPr="00E44923">
        <w:rPr>
          <w:rFonts w:ascii="Arial" w:hAnsi="Arial" w:cs="Arial"/>
          <w:noProof/>
          <w:color w:val="0D0D0D" w:themeColor="text1" w:themeTint="F2"/>
          <w:szCs w:val="22"/>
        </w:rPr>
        <w:lastRenderedPageBreak/>
        <w:drawing>
          <wp:inline distT="0" distB="0" distL="0" distR="0" wp14:anchorId="0BCC8215" wp14:editId="5D9BE289">
            <wp:extent cx="3875314" cy="329138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896335" cy="3309237"/>
                    </a:xfrm>
                    <a:prstGeom prst="rect">
                      <a:avLst/>
                    </a:prstGeom>
                    <a:noFill/>
                  </pic:spPr>
                </pic:pic>
              </a:graphicData>
            </a:graphic>
          </wp:inline>
        </w:drawing>
      </w:r>
    </w:p>
    <w:p w14:paraId="517FB359" w14:textId="77777777" w:rsidR="00D04ABB" w:rsidRPr="00E44923" w:rsidRDefault="004F6124" w:rsidP="00A53B65">
      <w:pPr>
        <w:spacing w:line="360" w:lineRule="auto"/>
        <w:ind w:firstLine="720"/>
        <w:jc w:val="center"/>
        <w:rPr>
          <w:rFonts w:ascii="Arial" w:hAnsi="Arial" w:cs="Arial"/>
          <w:color w:val="0D0D0D" w:themeColor="text1" w:themeTint="F2"/>
          <w:szCs w:val="22"/>
        </w:rPr>
      </w:pPr>
      <w:r w:rsidRPr="00E44923">
        <w:rPr>
          <w:rFonts w:ascii="Arial" w:hAnsi="Arial" w:cs="Arial"/>
          <w:color w:val="0D0D0D" w:themeColor="text1" w:themeTint="F2"/>
          <w:szCs w:val="22"/>
        </w:rPr>
        <w:t>Figure 1: Weather Forecasting Types and their Application in the Agricultural Sector</w:t>
      </w:r>
    </w:p>
    <w:p w14:paraId="2B103D51" w14:textId="77777777" w:rsidR="00D04ABB"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b/>
          <w:bCs/>
          <w:color w:val="0D0D0D" w:themeColor="text1" w:themeTint="F2"/>
          <w:szCs w:val="22"/>
        </w:rPr>
        <w:t xml:space="preserve">Weather forecasting and its importance in </w:t>
      </w:r>
      <w:r w:rsidRPr="00E44923">
        <w:rPr>
          <w:rFonts w:ascii="Arial" w:eastAsia="Calibri" w:hAnsi="Arial" w:cs="Arial"/>
          <w:b/>
          <w:bCs/>
          <w:color w:val="0D0D0D" w:themeColor="text1" w:themeTint="F2"/>
          <w:szCs w:val="22"/>
        </w:rPr>
        <w:t xml:space="preserve">a </w:t>
      </w:r>
      <w:r w:rsidRPr="00E44923">
        <w:rPr>
          <w:rFonts w:ascii="Arial" w:hAnsi="Arial" w:cs="Arial"/>
          <w:b/>
          <w:bCs/>
          <w:color w:val="0D0D0D" w:themeColor="text1" w:themeTint="F2"/>
          <w:szCs w:val="22"/>
        </w:rPr>
        <w:t>changing climate</w:t>
      </w:r>
    </w:p>
    <w:p w14:paraId="290D1A0E" w14:textId="1CD45B4A" w:rsidR="002D14F2" w:rsidRPr="00E44923" w:rsidRDefault="004F6124" w:rsidP="00A53B65">
      <w:pPr>
        <w:pStyle w:val="BodyText"/>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Weather refers to the state of the atmosphere at a specific location and time (noaa.gov; Amin and </w:t>
      </w:r>
      <w:proofErr w:type="spellStart"/>
      <w:r w:rsidRPr="00E44923">
        <w:rPr>
          <w:rFonts w:ascii="Arial" w:hAnsi="Arial" w:cs="Arial"/>
          <w:color w:val="0D0D0D" w:themeColor="text1" w:themeTint="F2"/>
          <w:szCs w:val="22"/>
        </w:rPr>
        <w:t>Mourshed</w:t>
      </w:r>
      <w:proofErr w:type="spellEnd"/>
      <w:r w:rsidRPr="00E44923">
        <w:rPr>
          <w:rFonts w:ascii="Arial" w:hAnsi="Arial" w:cs="Arial"/>
          <w:color w:val="0D0D0D" w:themeColor="text1" w:themeTint="F2"/>
          <w:szCs w:val="22"/>
        </w:rPr>
        <w:t xml:space="preserve">, 2024), and forecasting uses past data to estimate unknown future conditions. Weather forecasting, a key area of scientific computing, aims to predict changes, particularly extreme events (Lynch, 2008). Despite </w:t>
      </w:r>
      <w:r w:rsidRPr="00E44923">
        <w:rPr>
          <w:rFonts w:ascii="Arial" w:eastAsia="Calibri" w:hAnsi="Arial" w:cs="Arial"/>
          <w:color w:val="0D0D0D" w:themeColor="text1" w:themeTint="F2"/>
          <w:szCs w:val="22"/>
        </w:rPr>
        <w:t xml:space="preserve">these </w:t>
      </w:r>
      <w:r w:rsidRPr="00E44923">
        <w:rPr>
          <w:rFonts w:ascii="Arial" w:hAnsi="Arial" w:cs="Arial"/>
          <w:color w:val="0D0D0D" w:themeColor="text1" w:themeTint="F2"/>
          <w:szCs w:val="22"/>
        </w:rPr>
        <w:t>advances, it remains a complex, evolving challenge (</w:t>
      </w:r>
      <w:proofErr w:type="spellStart"/>
      <w:r w:rsidRPr="00E44923">
        <w:rPr>
          <w:rFonts w:ascii="Arial" w:hAnsi="Arial" w:cs="Arial"/>
          <w:color w:val="0D0D0D" w:themeColor="text1" w:themeTint="F2"/>
          <w:szCs w:val="22"/>
        </w:rPr>
        <w:t>Bihlo</w:t>
      </w:r>
      <w:proofErr w:type="spellEnd"/>
      <w:r w:rsidRPr="00E44923">
        <w:rPr>
          <w:rFonts w:ascii="Arial" w:hAnsi="Arial" w:cs="Arial"/>
          <w:color w:val="0D0D0D" w:themeColor="text1" w:themeTint="F2"/>
          <w:szCs w:val="22"/>
        </w:rPr>
        <w:t xml:space="preserve">, 2021; Jain and Mallick, 2016). Weather forecasts impact all sectors, including agriculture, tourism, and energy (Jaseena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Climate change, driven by human activity and natural forces, exacerbates extreme events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heatwaves and floods, posing significant threats, especially to vulnerable regions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India (Krishnan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 IPCC, 2023). Accurate forecasting is crucial for mitigating these impacts and supporting various industries </w:t>
      </w:r>
      <w:r w:rsidR="009E55E0" w:rsidRPr="00E44923">
        <w:rPr>
          <w:rFonts w:ascii="Arial" w:hAnsi="Arial" w:cs="Arial"/>
          <w:color w:val="0D0D0D" w:themeColor="text1" w:themeTint="F2"/>
          <w:szCs w:val="22"/>
        </w:rPr>
        <w:t xml:space="preserve">(Chen </w:t>
      </w:r>
      <w:r w:rsidR="00D72703" w:rsidRPr="00E44923">
        <w:rPr>
          <w:rFonts w:ascii="Arial" w:hAnsi="Arial" w:cs="Arial"/>
          <w:i/>
          <w:iCs/>
          <w:color w:val="0D0D0D" w:themeColor="text1" w:themeTint="F2"/>
          <w:szCs w:val="22"/>
        </w:rPr>
        <w:t>et al.,</w:t>
      </w:r>
      <w:r w:rsidR="009E55E0" w:rsidRPr="00E44923">
        <w:rPr>
          <w:rFonts w:ascii="Arial" w:hAnsi="Arial" w:cs="Arial"/>
          <w:color w:val="0D0D0D" w:themeColor="text1" w:themeTint="F2"/>
          <w:szCs w:val="22"/>
        </w:rPr>
        <w:t xml:space="preserve"> 2023; </w:t>
      </w:r>
      <w:proofErr w:type="spellStart"/>
      <w:r w:rsidR="009E55E0" w:rsidRPr="00E44923">
        <w:rPr>
          <w:rFonts w:ascii="Arial" w:hAnsi="Arial" w:cs="Arial"/>
          <w:color w:val="0D0D0D" w:themeColor="text1" w:themeTint="F2"/>
          <w:szCs w:val="22"/>
        </w:rPr>
        <w:t>Pujahari</w:t>
      </w:r>
      <w:proofErr w:type="spellEnd"/>
      <w:r w:rsidR="009E55E0"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9E55E0" w:rsidRPr="00E44923">
        <w:rPr>
          <w:rFonts w:ascii="Arial" w:hAnsi="Arial" w:cs="Arial"/>
          <w:color w:val="0D0D0D" w:themeColor="text1" w:themeTint="F2"/>
          <w:szCs w:val="22"/>
        </w:rPr>
        <w:t xml:space="preserve"> 2022).</w:t>
      </w:r>
    </w:p>
    <w:p w14:paraId="76AD4574" w14:textId="77777777" w:rsidR="00373310" w:rsidRPr="00E44923" w:rsidRDefault="004F612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b w:val="0"/>
          <w:bCs w:val="0"/>
          <w:color w:val="0D0D0D" w:themeColor="text1" w:themeTint="F2"/>
          <w:szCs w:val="22"/>
        </w:rPr>
        <w:t xml:space="preserve">Scope and </w:t>
      </w:r>
      <w:r w:rsidRPr="00E44923">
        <w:rPr>
          <w:rStyle w:val="StrongEmphasis"/>
          <w:rFonts w:ascii="Arial" w:eastAsia="Calibri" w:hAnsi="Arial" w:cs="Arial"/>
          <w:b w:val="0"/>
          <w:bCs w:val="0"/>
          <w:color w:val="0D0D0D" w:themeColor="text1" w:themeTint="F2"/>
          <w:szCs w:val="22"/>
        </w:rPr>
        <w:t>potential</w:t>
      </w:r>
      <w:r w:rsidRPr="00E44923">
        <w:rPr>
          <w:rStyle w:val="StrongEmphasis"/>
          <w:rFonts w:ascii="Arial" w:hAnsi="Arial" w:cs="Arial"/>
          <w:b w:val="0"/>
          <w:bCs w:val="0"/>
          <w:color w:val="0D0D0D" w:themeColor="text1" w:themeTint="F2"/>
          <w:szCs w:val="22"/>
        </w:rPr>
        <w:t xml:space="preserve"> of </w:t>
      </w:r>
      <w:r w:rsidRPr="00E44923">
        <w:rPr>
          <w:rStyle w:val="StrongEmphasis"/>
          <w:rFonts w:ascii="Arial" w:eastAsia="Calibri" w:hAnsi="Arial" w:cs="Arial"/>
          <w:b w:val="0"/>
          <w:bCs w:val="0"/>
          <w:color w:val="0D0D0D" w:themeColor="text1" w:themeTint="F2"/>
          <w:szCs w:val="22"/>
        </w:rPr>
        <w:t xml:space="preserve">the </w:t>
      </w:r>
      <w:r w:rsidRPr="00E44923">
        <w:rPr>
          <w:rStyle w:val="StrongEmphasis"/>
          <w:rFonts w:ascii="Arial" w:hAnsi="Arial" w:cs="Arial"/>
          <w:b w:val="0"/>
          <w:bCs w:val="0"/>
          <w:color w:val="0D0D0D" w:themeColor="text1" w:themeTint="F2"/>
          <w:szCs w:val="22"/>
        </w:rPr>
        <w:t>ERWF</w:t>
      </w:r>
    </w:p>
    <w:p w14:paraId="704E6015" w14:textId="133A1377" w:rsidR="009E55E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One of the most difficult challenges in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atmospheric sciences is generating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for tropical regions. The void left by </w:t>
      </w:r>
      <w:r w:rsidRPr="00E44923">
        <w:rPr>
          <w:rFonts w:ascii="Arial" w:eastAsia="Calibri" w:hAnsi="Arial" w:cs="Arial"/>
          <w:color w:val="0D0D0D" w:themeColor="text1" w:themeTint="F2"/>
          <w:szCs w:val="22"/>
        </w:rPr>
        <w:t xml:space="preserve">the </w:t>
      </w:r>
      <w:r w:rsidR="00631B55" w:rsidRPr="00E44923">
        <w:rPr>
          <w:rFonts w:ascii="Arial" w:hAnsi="Arial" w:cs="Arial"/>
          <w:color w:val="0D0D0D" w:themeColor="text1" w:themeTint="F2"/>
          <w:szCs w:val="22"/>
        </w:rPr>
        <w:t>MRWF</w:t>
      </w:r>
      <w:r w:rsidRPr="00E44923">
        <w:rPr>
          <w:rFonts w:ascii="Arial" w:hAnsi="Arial" w:cs="Arial"/>
          <w:color w:val="0D0D0D" w:themeColor="text1" w:themeTint="F2"/>
          <w:szCs w:val="22"/>
        </w:rPr>
        <w:t xml:space="preserve"> and seasonal forecasting is filled by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which produces forecasts for periods of ten to thirty days.</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value of </w:t>
      </w:r>
      <w:r w:rsidRPr="00E44923">
        <w:rPr>
          <w:rFonts w:ascii="Arial" w:eastAsia="Calibri" w:hAnsi="Arial" w:cs="Arial"/>
          <w:color w:val="0D0D0D" w:themeColor="text1" w:themeTint="F2"/>
          <w:szCs w:val="22"/>
        </w:rPr>
        <w:t>MRWFs</w:t>
      </w:r>
      <w:r w:rsidRPr="00E44923">
        <w:rPr>
          <w:rFonts w:ascii="Arial" w:hAnsi="Arial" w:cs="Arial"/>
          <w:color w:val="0D0D0D" w:themeColor="text1" w:themeTint="F2"/>
          <w:szCs w:val="22"/>
        </w:rPr>
        <w:t xml:space="preserve"> in Indian agriculture has been demonstrated by numerous </w:t>
      </w:r>
      <w:r w:rsidRPr="00E44923">
        <w:rPr>
          <w:rFonts w:ascii="Arial" w:eastAsia="Calibri" w:hAnsi="Arial" w:cs="Arial"/>
          <w:color w:val="0D0D0D" w:themeColor="text1" w:themeTint="F2"/>
          <w:szCs w:val="22"/>
        </w:rPr>
        <w:t>studies</w:t>
      </w:r>
      <w:r w:rsidRPr="00E44923">
        <w:rPr>
          <w:rFonts w:ascii="Arial" w:hAnsi="Arial" w:cs="Arial"/>
          <w:color w:val="0D0D0D" w:themeColor="text1" w:themeTint="F2"/>
          <w:szCs w:val="22"/>
        </w:rPr>
        <w:t xml:space="preserve"> (Rao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1996; Kumar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2000; </w:t>
      </w:r>
      <w:r w:rsidR="00B75754" w:rsidRPr="00E44923">
        <w:rPr>
          <w:rFonts w:ascii="Arial" w:hAnsi="Arial" w:cs="Arial"/>
          <w:color w:val="0D0D0D" w:themeColor="text1" w:themeTint="F2"/>
          <w:szCs w:val="22"/>
        </w:rPr>
        <w:t>Rathore</w:t>
      </w:r>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2001; Chauhan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2008; Sikka, 2009; Rana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Prasad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2014; Chattopadhyay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Neal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w:t>
      </w:r>
      <w:proofErr w:type="spellStart"/>
      <w:r w:rsidRPr="00E44923">
        <w:rPr>
          <w:rFonts w:ascii="Arial" w:hAnsi="Arial" w:cs="Arial"/>
          <w:color w:val="0D0D0D" w:themeColor="text1" w:themeTint="F2"/>
          <w:szCs w:val="22"/>
        </w:rPr>
        <w:t>Mahopatra</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There has been a relatively limited amount of research conducted in the field of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w:t>
      </w:r>
    </w:p>
    <w:p w14:paraId="09C90A08" w14:textId="2DEE5657" w:rsidR="008F5E1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 The ERWF time scale is undoubtedly challenging for weather forecasting because it is long enough to erode much of the memory of the initial atmospheric conditions, but it is also too short for the monthly mean time average to be large enough to enable the atmospheric signal related to the ocean anomalies to stand out above the atmospheric noise</w:t>
      </w:r>
      <w:r w:rsidR="00D82684"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t xml:space="preserve">Statistical and numerical models have advanced to anticipate weather beyond the medium range, </w:t>
      </w:r>
      <w:r w:rsidRPr="00E44923">
        <w:rPr>
          <w:rFonts w:ascii="Arial" w:eastAsia="Calibri" w:hAnsi="Arial" w:cs="Arial"/>
          <w:color w:val="0D0D0D" w:themeColor="text1" w:themeTint="F2"/>
          <w:szCs w:val="22"/>
        </w:rPr>
        <w:t>increasing</w:t>
      </w:r>
      <w:r w:rsidRPr="00E44923">
        <w:rPr>
          <w:rFonts w:ascii="Arial" w:hAnsi="Arial" w:cs="Arial"/>
          <w:color w:val="0D0D0D" w:themeColor="text1" w:themeTint="F2"/>
          <w:szCs w:val="22"/>
        </w:rPr>
        <w:t xml:space="preserve"> the prediction horizon to 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3 weeks in the ERWF system (Abhilash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w:t>
      </w:r>
      <w:r w:rsidR="00F715F0" w:rsidRPr="00E44923">
        <w:rPr>
          <w:rFonts w:ascii="Arial" w:hAnsi="Arial" w:cs="Arial"/>
          <w:color w:val="0D0D0D" w:themeColor="text1" w:themeTint="F2"/>
          <w:szCs w:val="22"/>
        </w:rPr>
        <w:t>4</w:t>
      </w:r>
      <w:r w:rsidRPr="00E44923">
        <w:rPr>
          <w:rFonts w:ascii="Arial" w:hAnsi="Arial" w:cs="Arial"/>
          <w:color w:val="0D0D0D" w:themeColor="text1" w:themeTint="F2"/>
          <w:szCs w:val="22"/>
        </w:rPr>
        <w:t xml:space="preserve">; Waliser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2003; Borah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Sahai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2015). The possibility of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has been investigated in several </w:t>
      </w:r>
      <w:r w:rsidRPr="00E44923">
        <w:rPr>
          <w:rFonts w:ascii="Arial" w:eastAsia="Calibri" w:hAnsi="Arial" w:cs="Arial"/>
          <w:color w:val="0D0D0D" w:themeColor="text1" w:themeTint="F2"/>
          <w:szCs w:val="22"/>
        </w:rPr>
        <w:t>studies</w:t>
      </w:r>
      <w:r w:rsidRPr="00E44923">
        <w:rPr>
          <w:rFonts w:ascii="Arial" w:hAnsi="Arial" w:cs="Arial"/>
          <w:color w:val="0D0D0D" w:themeColor="text1" w:themeTint="F2"/>
          <w:szCs w:val="22"/>
        </w:rPr>
        <w:t xml:space="preserve"> utilizing various techniques and models.</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operational forecasting strategy </w:t>
      </w:r>
      <w:r w:rsidRPr="00E44923">
        <w:rPr>
          <w:rFonts w:ascii="Arial" w:eastAsia="Calibri" w:hAnsi="Arial" w:cs="Arial"/>
          <w:color w:val="0D0D0D" w:themeColor="text1" w:themeTint="F2"/>
          <w:szCs w:val="22"/>
        </w:rPr>
        <w:t xml:space="preserve">of the IMD </w:t>
      </w:r>
      <w:r w:rsidRPr="00E44923">
        <w:rPr>
          <w:rFonts w:ascii="Arial" w:hAnsi="Arial" w:cs="Arial"/>
          <w:color w:val="0D0D0D" w:themeColor="text1" w:themeTint="F2"/>
          <w:szCs w:val="22"/>
        </w:rPr>
        <w:t xml:space="preserve">involves predicting synoptic variability and </w:t>
      </w:r>
      <w:r w:rsidRPr="00E44923">
        <w:rPr>
          <w:rFonts w:ascii="Arial" w:eastAsia="Calibri" w:hAnsi="Arial" w:cs="Arial"/>
          <w:color w:val="0D0D0D" w:themeColor="text1" w:themeTint="F2"/>
          <w:szCs w:val="22"/>
        </w:rPr>
        <w:t>intraseasonal</w:t>
      </w:r>
      <w:r w:rsidRPr="00E44923">
        <w:rPr>
          <w:rFonts w:ascii="Arial" w:hAnsi="Arial" w:cs="Arial"/>
          <w:color w:val="0D0D0D" w:themeColor="text1" w:themeTint="F2"/>
          <w:szCs w:val="22"/>
        </w:rPr>
        <w:t xml:space="preserve"> oscillations (</w:t>
      </w:r>
      <w:r w:rsidRPr="00E44923">
        <w:rPr>
          <w:rFonts w:ascii="Arial" w:eastAsia="Calibri" w:hAnsi="Arial" w:cs="Arial"/>
          <w:color w:val="0D0D0D" w:themeColor="text1" w:themeTint="F2"/>
          <w:szCs w:val="22"/>
        </w:rPr>
        <w:t>ISOs</w:t>
      </w:r>
      <w:r w:rsidRPr="00E44923">
        <w:rPr>
          <w:rFonts w:ascii="Arial" w:hAnsi="Arial" w:cs="Arial"/>
          <w:color w:val="0D0D0D" w:themeColor="text1" w:themeTint="F2"/>
          <w:szCs w:val="22"/>
        </w:rPr>
        <w:t xml:space="preserve">), which are vital for various stakeholder applications. </w:t>
      </w:r>
      <w:r w:rsidRPr="00E44923">
        <w:rPr>
          <w:rFonts w:ascii="Arial" w:eastAsia="Calibri" w:hAnsi="Arial" w:cs="Arial"/>
          <w:color w:val="0D0D0D" w:themeColor="text1" w:themeTint="F2"/>
          <w:szCs w:val="22"/>
        </w:rPr>
        <w:t>An accurate</w:t>
      </w:r>
      <w:r w:rsidRPr="00E44923">
        <w:rPr>
          <w:rFonts w:ascii="Arial" w:hAnsi="Arial" w:cs="Arial"/>
          <w:color w:val="0D0D0D" w:themeColor="text1" w:themeTint="F2"/>
          <w:szCs w:val="22"/>
        </w:rPr>
        <w:t xml:space="preserve"> ERWF benefits not only agriculture but also reservoir management during floods. These forecasts focus on meteorological factors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rainy days and agricultural risks, such as high winds and extended dry or wet spells. Typically, </w:t>
      </w:r>
      <w:r w:rsidRPr="00E44923">
        <w:rPr>
          <w:rFonts w:ascii="Arial" w:eastAsia="Calibri" w:hAnsi="Arial" w:cs="Arial"/>
          <w:color w:val="0D0D0D" w:themeColor="text1" w:themeTint="F2"/>
          <w:szCs w:val="22"/>
        </w:rPr>
        <w:t xml:space="preserve">when </w:t>
      </w:r>
      <w:r w:rsidRPr="00E44923">
        <w:rPr>
          <w:rFonts w:ascii="Arial" w:hAnsi="Arial" w:cs="Arial"/>
          <w:color w:val="0D0D0D" w:themeColor="text1" w:themeTint="F2"/>
          <w:szCs w:val="22"/>
        </w:rPr>
        <w:t xml:space="preserve">reliable for 5 to 7 days with 60% to 70% accuracy, they assist farmers in making critical decisions about sowing times, planting depths, harvesting schedules, and </w:t>
      </w:r>
      <w:r w:rsidRPr="00E44923">
        <w:rPr>
          <w:rFonts w:ascii="Arial" w:eastAsia="Calibri" w:hAnsi="Arial" w:cs="Arial"/>
          <w:color w:val="0D0D0D" w:themeColor="text1" w:themeTint="F2"/>
          <w:szCs w:val="22"/>
        </w:rPr>
        <w:t>the application of</w:t>
      </w:r>
      <w:r w:rsidRPr="00E44923">
        <w:rPr>
          <w:rFonts w:ascii="Arial" w:hAnsi="Arial" w:cs="Arial"/>
          <w:color w:val="0D0D0D" w:themeColor="text1" w:themeTint="F2"/>
          <w:szCs w:val="22"/>
        </w:rPr>
        <w:t xml:space="preserve"> insecticides and nutrients, ultimately maximizing crop yields </w:t>
      </w:r>
      <w:r w:rsidR="00C97731" w:rsidRPr="00E44923">
        <w:rPr>
          <w:rFonts w:ascii="Arial" w:hAnsi="Arial" w:cs="Arial"/>
          <w:color w:val="0D0D0D" w:themeColor="text1" w:themeTint="F2"/>
          <w:szCs w:val="22"/>
        </w:rPr>
        <w:t xml:space="preserve">(Sarma and Kakoti, 2024). </w:t>
      </w:r>
      <w:r w:rsidRPr="00E44923">
        <w:rPr>
          <w:rFonts w:ascii="Arial" w:hAnsi="Arial" w:cs="Arial"/>
          <w:color w:val="0D0D0D" w:themeColor="text1" w:themeTint="F2"/>
          <w:szCs w:val="22"/>
        </w:rPr>
        <w:t xml:space="preserve">Numerous industries, including agriculture, additionally utilize this </w:t>
      </w:r>
      <w:r w:rsidRPr="00E44923">
        <w:rPr>
          <w:rFonts w:ascii="Arial" w:eastAsia="Calibri" w:hAnsi="Arial" w:cs="Arial"/>
          <w:color w:val="0D0D0D" w:themeColor="text1" w:themeTint="F2"/>
          <w:szCs w:val="22"/>
        </w:rPr>
        <w:t>type</w:t>
      </w:r>
      <w:r w:rsidRPr="00E44923">
        <w:rPr>
          <w:rFonts w:ascii="Arial" w:hAnsi="Arial" w:cs="Arial"/>
          <w:color w:val="0D0D0D" w:themeColor="text1" w:themeTint="F2"/>
          <w:szCs w:val="22"/>
        </w:rPr>
        <w:t xml:space="preserve"> of forecast. The primary purpose of this </w:t>
      </w:r>
      <w:r w:rsidRPr="00E44923">
        <w:rPr>
          <w:rFonts w:ascii="Arial" w:eastAsia="Calibri" w:hAnsi="Arial" w:cs="Arial"/>
          <w:color w:val="0D0D0D" w:themeColor="text1" w:themeTint="F2"/>
          <w:szCs w:val="22"/>
        </w:rPr>
        <w:t>type</w:t>
      </w:r>
      <w:r w:rsidRPr="00E44923">
        <w:rPr>
          <w:rFonts w:ascii="Arial" w:hAnsi="Arial" w:cs="Arial"/>
          <w:color w:val="0D0D0D" w:themeColor="text1" w:themeTint="F2"/>
          <w:szCs w:val="22"/>
        </w:rPr>
        <w:t xml:space="preserve"> of prediction is to provide a sense of deviation from the normal</w:t>
      </w:r>
      <w:r w:rsidR="00FA7611" w:rsidRPr="00E44923">
        <w:rPr>
          <w:rFonts w:ascii="Arial" w:hAnsi="Arial" w:cs="Arial"/>
          <w:color w:val="0D0D0D" w:themeColor="text1" w:themeTint="F2"/>
          <w:szCs w:val="22"/>
        </w:rPr>
        <w:t xml:space="preserve"> (Figure 2)</w:t>
      </w:r>
      <w:r w:rsidRPr="00E44923">
        <w:rPr>
          <w:rFonts w:ascii="Arial" w:hAnsi="Arial" w:cs="Arial"/>
          <w:color w:val="0D0D0D" w:themeColor="text1" w:themeTint="F2"/>
          <w:szCs w:val="22"/>
        </w:rPr>
        <w:t>.</w:t>
      </w:r>
    </w:p>
    <w:p w14:paraId="009286E3" w14:textId="77777777" w:rsidR="002D14F2" w:rsidRPr="00E44923" w:rsidRDefault="004F6124" w:rsidP="00A53B65">
      <w:pPr>
        <w:spacing w:line="360" w:lineRule="auto"/>
        <w:ind w:firstLine="709"/>
        <w:jc w:val="center"/>
        <w:rPr>
          <w:rFonts w:ascii="Arial" w:hAnsi="Arial" w:cs="Arial"/>
          <w:b/>
          <w:bCs/>
          <w:color w:val="0D0D0D" w:themeColor="text1" w:themeTint="F2"/>
          <w:szCs w:val="22"/>
        </w:rPr>
      </w:pPr>
      <w:r w:rsidRPr="00E44923">
        <w:rPr>
          <w:rFonts w:ascii="Arial" w:hAnsi="Arial" w:cs="Arial"/>
          <w:b/>
          <w:bCs/>
          <w:noProof/>
          <w:color w:val="0D0D0D" w:themeColor="text1" w:themeTint="F2"/>
          <w:szCs w:val="22"/>
        </w:rPr>
        <w:drawing>
          <wp:inline distT="0" distB="0" distL="0" distR="0" wp14:anchorId="0A1E6742" wp14:editId="2AE9923C">
            <wp:extent cx="4750841" cy="30568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57772" cy="3061262"/>
                    </a:xfrm>
                    <a:prstGeom prst="rect">
                      <a:avLst/>
                    </a:prstGeom>
                    <a:noFill/>
                  </pic:spPr>
                </pic:pic>
              </a:graphicData>
            </a:graphic>
          </wp:inline>
        </w:drawing>
      </w:r>
    </w:p>
    <w:p w14:paraId="104D6BDD" w14:textId="77777777" w:rsidR="00633FC8" w:rsidRPr="00E44923" w:rsidRDefault="004F6124" w:rsidP="00A53B65">
      <w:pPr>
        <w:spacing w:line="360" w:lineRule="auto"/>
        <w:ind w:firstLine="720"/>
        <w:jc w:val="center"/>
        <w:rPr>
          <w:rFonts w:ascii="Arial" w:hAnsi="Arial" w:cs="Arial"/>
          <w:color w:val="0D0D0D" w:themeColor="text1" w:themeTint="F2"/>
          <w:szCs w:val="22"/>
        </w:rPr>
      </w:pPr>
      <w:r w:rsidRPr="00E44923">
        <w:rPr>
          <w:rFonts w:ascii="Arial" w:hAnsi="Arial" w:cs="Arial"/>
          <w:color w:val="0D0D0D" w:themeColor="text1" w:themeTint="F2"/>
          <w:szCs w:val="22"/>
        </w:rPr>
        <w:t xml:space="preserve">Figure 2: Application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w:t>
      </w:r>
    </w:p>
    <w:p w14:paraId="052FB603" w14:textId="77777777"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b/>
          <w:bCs/>
          <w:color w:val="0D0D0D" w:themeColor="text1" w:themeTint="F2"/>
          <w:szCs w:val="22"/>
        </w:rPr>
        <w:t>Need and t</w:t>
      </w:r>
      <w:r w:rsidRPr="00E44923">
        <w:rPr>
          <w:rStyle w:val="StrongEmphasis"/>
          <w:rFonts w:ascii="Arial" w:hAnsi="Arial" w:cs="Arial"/>
          <w:color w:val="0D0D0D" w:themeColor="text1" w:themeTint="F2"/>
          <w:szCs w:val="22"/>
        </w:rPr>
        <w:t>he Imperative for Extended Range Weather Forecasting in a Climate-Responsive World</w:t>
      </w:r>
    </w:p>
    <w:p w14:paraId="12663CF7" w14:textId="0CF579F2"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The production of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for the tropics, with a timescale ranging from one week to nearly a month, is among the most challenging tasks in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atmospheric sciences. Two</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to three-week forecasts are essential for sectors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water resources, urban planning, and health management, allowing for effective disaster preparation (Sahai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Feedback from farmers highlights the importance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in improving agricultural productivity and managing weather-related uncertainties (Chattopadhyay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(2018)). </w:t>
      </w:r>
      <w:proofErr w:type="spellStart"/>
      <w:r w:rsidR="00D56379" w:rsidRPr="00E44923">
        <w:rPr>
          <w:rFonts w:ascii="Arial" w:hAnsi="Arial" w:cs="Arial"/>
          <w:color w:val="0D0D0D" w:themeColor="text1" w:themeTint="F2"/>
          <w:szCs w:val="22"/>
        </w:rPr>
        <w:t>Agro</w:t>
      </w:r>
      <w:proofErr w:type="spellEnd"/>
      <w:r w:rsidR="00D56379" w:rsidRPr="00E44923">
        <w:rPr>
          <w:rFonts w:ascii="Arial" w:hAnsi="Arial" w:cs="Arial"/>
          <w:color w:val="0D0D0D" w:themeColor="text1" w:themeTint="F2"/>
          <w:szCs w:val="22"/>
        </w:rPr>
        <w:t>-meteorological advisory services (</w:t>
      </w:r>
      <w:r w:rsidRPr="00E44923">
        <w:rPr>
          <w:rFonts w:ascii="Arial" w:eastAsia="Calibri" w:hAnsi="Arial" w:cs="Arial"/>
          <w:color w:val="0D0D0D" w:themeColor="text1" w:themeTint="F2"/>
          <w:szCs w:val="22"/>
        </w:rPr>
        <w:t>AASs</w:t>
      </w:r>
      <w:r w:rsidR="00D56379" w:rsidRPr="00E44923">
        <w:rPr>
          <w:rFonts w:ascii="Arial" w:hAnsi="Arial" w:cs="Arial"/>
          <w:color w:val="0D0D0D" w:themeColor="text1" w:themeTint="F2"/>
          <w:szCs w:val="22"/>
        </w:rPr>
        <w:t xml:space="preserve">) are currently offered by </w:t>
      </w:r>
      <w:r w:rsidRPr="00E44923">
        <w:rPr>
          <w:rFonts w:ascii="Arial" w:eastAsia="Calibri" w:hAnsi="Arial" w:cs="Arial"/>
          <w:color w:val="0D0D0D" w:themeColor="text1" w:themeTint="F2"/>
          <w:szCs w:val="22"/>
        </w:rPr>
        <w:t xml:space="preserve">the </w:t>
      </w:r>
      <w:r w:rsidR="00D56379" w:rsidRPr="00E44923">
        <w:rPr>
          <w:rFonts w:ascii="Arial" w:hAnsi="Arial" w:cs="Arial"/>
          <w:color w:val="0D0D0D" w:themeColor="text1" w:themeTint="F2"/>
          <w:szCs w:val="22"/>
        </w:rPr>
        <w:t xml:space="preserve">IMD of the Ministry of Earth Sciences in India </w:t>
      </w:r>
      <w:r w:rsidR="00A843E4" w:rsidRPr="00E44923">
        <w:rPr>
          <w:rFonts w:ascii="Arial" w:hAnsi="Arial" w:cs="Arial"/>
          <w:color w:val="0D0D0D" w:themeColor="text1" w:themeTint="F2"/>
          <w:szCs w:val="22"/>
        </w:rPr>
        <w:t xml:space="preserve">to help farmers maximize the use of natural resources and </w:t>
      </w:r>
      <w:r w:rsidRPr="00E44923">
        <w:rPr>
          <w:rFonts w:ascii="Arial" w:eastAsia="Calibri" w:hAnsi="Arial" w:cs="Arial"/>
          <w:color w:val="0D0D0D" w:themeColor="text1" w:themeTint="F2"/>
          <w:szCs w:val="22"/>
        </w:rPr>
        <w:t>increase</w:t>
      </w:r>
      <w:r w:rsidR="00A843E4" w:rsidRPr="00E44923">
        <w:rPr>
          <w:rFonts w:ascii="Arial" w:hAnsi="Arial" w:cs="Arial"/>
          <w:color w:val="0D0D0D" w:themeColor="text1" w:themeTint="F2"/>
          <w:szCs w:val="22"/>
        </w:rPr>
        <w:t xml:space="preserve"> agricultural productivity. However, it is becoming increasingly important to provide climatological data along with extended range and seasonal weather forecasts before and during the cropping season to adapt the agricultural system to </w:t>
      </w:r>
      <w:r w:rsidRPr="00E44923">
        <w:rPr>
          <w:rFonts w:ascii="Arial" w:eastAsia="Calibri" w:hAnsi="Arial" w:cs="Arial"/>
          <w:color w:val="0D0D0D" w:themeColor="text1" w:themeTint="F2"/>
          <w:szCs w:val="22"/>
        </w:rPr>
        <w:t>increasing</w:t>
      </w:r>
      <w:r w:rsidR="00A843E4" w:rsidRPr="00E44923">
        <w:rPr>
          <w:rFonts w:ascii="Arial" w:hAnsi="Arial" w:cs="Arial"/>
          <w:color w:val="0D0D0D" w:themeColor="text1" w:themeTint="F2"/>
          <w:szCs w:val="22"/>
        </w:rPr>
        <w:t xml:space="preserve"> weather variability. </w:t>
      </w:r>
      <w:r w:rsidRPr="00E44923">
        <w:rPr>
          <w:rFonts w:ascii="Arial" w:eastAsia="Calibri" w:hAnsi="Arial" w:cs="Arial"/>
          <w:color w:val="0D0D0D" w:themeColor="text1" w:themeTint="F2"/>
          <w:szCs w:val="22"/>
        </w:rPr>
        <w:t xml:space="preserve">The </w:t>
      </w:r>
      <w:r w:rsidR="008F5E19" w:rsidRPr="00E44923">
        <w:rPr>
          <w:rFonts w:ascii="Arial" w:hAnsi="Arial" w:cs="Arial"/>
          <w:color w:val="0D0D0D" w:themeColor="text1" w:themeTint="F2"/>
          <w:szCs w:val="22"/>
        </w:rPr>
        <w:t xml:space="preserve">ERWF can predict cyclones a week in advance, aiding administrative readiness. Flood management agencies seek detailed forecasts and require education on probabilistic predictions. Combining rainfall climatology with </w:t>
      </w:r>
      <w:r w:rsidRPr="00E44923">
        <w:rPr>
          <w:rFonts w:ascii="Arial" w:eastAsia="Calibri" w:hAnsi="Arial" w:cs="Arial"/>
          <w:color w:val="0D0D0D" w:themeColor="text1" w:themeTint="F2"/>
          <w:szCs w:val="22"/>
        </w:rPr>
        <w:t xml:space="preserve">the </w:t>
      </w:r>
      <w:r w:rsidR="008F5E19" w:rsidRPr="00E44923">
        <w:rPr>
          <w:rFonts w:ascii="Arial" w:hAnsi="Arial" w:cs="Arial"/>
          <w:color w:val="0D0D0D" w:themeColor="text1" w:themeTint="F2"/>
          <w:szCs w:val="22"/>
        </w:rPr>
        <w:t>ERWF can optimize water storage and release, preventing droughts and floods (Pattanaik and Das, 2015).</w:t>
      </w:r>
      <w:r w:rsidR="00A843E4" w:rsidRPr="00E44923">
        <w:rPr>
          <w:rFonts w:ascii="Arial" w:hAnsi="Arial" w:cs="Arial"/>
          <w:color w:val="0D0D0D" w:themeColor="text1" w:themeTint="F2"/>
          <w:szCs w:val="22"/>
        </w:rPr>
        <w:t xml:space="preserve"> Therefore, two to four weeks in advance, forecasting monsoon breaks </w:t>
      </w:r>
      <w:r w:rsidR="007955F1" w:rsidRPr="00E44923">
        <w:rPr>
          <w:rFonts w:ascii="Arial" w:hAnsi="Arial" w:cs="Arial"/>
          <w:color w:val="0D0D0D" w:themeColor="text1" w:themeTint="F2"/>
          <w:szCs w:val="22"/>
        </w:rPr>
        <w:t xml:space="preserve">in the extended range time scale is critical for agricultural planning (sowing, harvesting, etc.) and crop stage-specific management </w:t>
      </w:r>
      <w:r w:rsidR="00A843E4" w:rsidRPr="00E44923">
        <w:rPr>
          <w:rFonts w:ascii="Arial" w:hAnsi="Arial" w:cs="Arial"/>
          <w:color w:val="0D0D0D" w:themeColor="text1" w:themeTint="F2"/>
          <w:szCs w:val="22"/>
        </w:rPr>
        <w:t xml:space="preserve">(Chattopadhyay </w:t>
      </w:r>
      <w:r w:rsidR="00D72703" w:rsidRPr="00E44923">
        <w:rPr>
          <w:rFonts w:ascii="Arial" w:hAnsi="Arial" w:cs="Arial"/>
          <w:i/>
          <w:iCs/>
          <w:color w:val="0D0D0D" w:themeColor="text1" w:themeTint="F2"/>
          <w:szCs w:val="22"/>
        </w:rPr>
        <w:t>et al.,</w:t>
      </w:r>
      <w:r w:rsidR="00A843E4" w:rsidRPr="00E44923">
        <w:rPr>
          <w:rFonts w:ascii="Arial" w:hAnsi="Arial" w:cs="Arial"/>
          <w:color w:val="0D0D0D" w:themeColor="text1" w:themeTint="F2"/>
          <w:szCs w:val="22"/>
        </w:rPr>
        <w:t xml:space="preserve"> 2018). This can facilitate fast assessment of the current monsoon conditions, </w:t>
      </w:r>
      <w:r w:rsidRPr="00E44923">
        <w:rPr>
          <w:rFonts w:ascii="Arial" w:eastAsia="Calibri" w:hAnsi="Arial" w:cs="Arial"/>
          <w:color w:val="0D0D0D" w:themeColor="text1" w:themeTint="F2"/>
          <w:szCs w:val="22"/>
        </w:rPr>
        <w:t>give</w:t>
      </w:r>
      <w:r w:rsidR="00A843E4" w:rsidRPr="00E44923">
        <w:rPr>
          <w:rFonts w:ascii="Arial" w:hAnsi="Arial" w:cs="Arial"/>
          <w:color w:val="0D0D0D" w:themeColor="text1" w:themeTint="F2"/>
          <w:szCs w:val="22"/>
        </w:rPr>
        <w:t xml:space="preserve"> farmers </w:t>
      </w:r>
      <w:r w:rsidR="00AE0D95" w:rsidRPr="00E44923">
        <w:rPr>
          <w:rFonts w:ascii="Arial" w:hAnsi="Arial" w:cs="Arial"/>
          <w:color w:val="0D0D0D" w:themeColor="text1" w:themeTint="F2"/>
          <w:szCs w:val="22"/>
        </w:rPr>
        <w:t>outlooks,</w:t>
      </w:r>
      <w:r w:rsidR="00A843E4" w:rsidRPr="00E44923">
        <w:rPr>
          <w:rFonts w:ascii="Arial" w:hAnsi="Arial" w:cs="Arial"/>
          <w:color w:val="0D0D0D" w:themeColor="text1" w:themeTint="F2"/>
          <w:szCs w:val="22"/>
        </w:rPr>
        <w:t xml:space="preserve"> and </w:t>
      </w:r>
      <w:r w:rsidRPr="00E44923">
        <w:rPr>
          <w:rFonts w:ascii="Arial" w:eastAsia="Calibri" w:hAnsi="Arial" w:cs="Arial"/>
          <w:color w:val="0D0D0D" w:themeColor="text1" w:themeTint="F2"/>
          <w:szCs w:val="22"/>
        </w:rPr>
        <w:t>allow</w:t>
      </w:r>
      <w:r w:rsidR="00A843E4" w:rsidRPr="00E44923">
        <w:rPr>
          <w:rFonts w:ascii="Arial" w:hAnsi="Arial" w:cs="Arial"/>
          <w:color w:val="0D0D0D" w:themeColor="text1" w:themeTint="F2"/>
          <w:szCs w:val="22"/>
        </w:rPr>
        <w:t xml:space="preserve"> tactical adjustments to strategic decisions </w:t>
      </w:r>
      <w:r w:rsidR="00AE0D95" w:rsidRPr="00E44923">
        <w:rPr>
          <w:rFonts w:ascii="Arial" w:hAnsi="Arial" w:cs="Arial"/>
          <w:color w:val="0D0D0D" w:themeColor="text1" w:themeTint="F2"/>
          <w:szCs w:val="22"/>
        </w:rPr>
        <w:t>based on</w:t>
      </w:r>
      <w:r w:rsidRPr="00E44923">
        <w:rPr>
          <w:rFonts w:ascii="Arial" w:eastAsia="Calibri" w:hAnsi="Arial" w:cs="Arial"/>
          <w:color w:val="0D0D0D" w:themeColor="text1" w:themeTint="F2"/>
          <w:szCs w:val="22"/>
        </w:rPr>
        <w:t xml:space="preserve"> </w:t>
      </w:r>
      <w:r w:rsidR="00A843E4" w:rsidRPr="00E44923">
        <w:rPr>
          <w:rFonts w:ascii="Arial" w:hAnsi="Arial" w:cs="Arial"/>
          <w:color w:val="0D0D0D" w:themeColor="text1" w:themeTint="F2"/>
          <w:szCs w:val="22"/>
        </w:rPr>
        <w:t xml:space="preserve">longer-lead seasonal projections. </w:t>
      </w:r>
      <w:r w:rsidRPr="00E44923">
        <w:rPr>
          <w:rFonts w:ascii="Arial" w:eastAsia="Calibri" w:hAnsi="Arial" w:cs="Arial"/>
          <w:color w:val="0D0D0D" w:themeColor="text1" w:themeTint="F2"/>
          <w:szCs w:val="22"/>
        </w:rPr>
        <w:t xml:space="preserve">The </w:t>
      </w:r>
      <w:r w:rsidR="005B133C" w:rsidRPr="00E44923">
        <w:rPr>
          <w:rFonts w:ascii="Arial" w:hAnsi="Arial" w:cs="Arial"/>
          <w:color w:val="0D0D0D" w:themeColor="text1" w:themeTint="F2"/>
          <w:szCs w:val="22"/>
        </w:rPr>
        <w:t xml:space="preserve">ERWF is gaining significance globally as well. In Finland, a survey indicated a public interest in tailored </w:t>
      </w:r>
      <w:r w:rsidRPr="00E44923">
        <w:rPr>
          <w:rFonts w:ascii="Arial" w:eastAsia="Calibri" w:hAnsi="Arial" w:cs="Arial"/>
          <w:color w:val="0D0D0D" w:themeColor="text1" w:themeTint="F2"/>
          <w:szCs w:val="22"/>
        </w:rPr>
        <w:t>ERWFs</w:t>
      </w:r>
      <w:r w:rsidR="005B133C" w:rsidRPr="00E44923">
        <w:rPr>
          <w:rFonts w:ascii="Arial" w:hAnsi="Arial" w:cs="Arial"/>
          <w:color w:val="0D0D0D" w:themeColor="text1" w:themeTint="F2"/>
          <w:szCs w:val="22"/>
        </w:rPr>
        <w:t xml:space="preserve"> for daily planning and weather risk management (Ervasti </w:t>
      </w:r>
      <w:r w:rsidR="00D72703" w:rsidRPr="00E44923">
        <w:rPr>
          <w:rFonts w:ascii="Arial" w:hAnsi="Arial" w:cs="Arial"/>
          <w:i/>
          <w:iCs/>
          <w:color w:val="0D0D0D" w:themeColor="text1" w:themeTint="F2"/>
          <w:szCs w:val="22"/>
        </w:rPr>
        <w:t>et al.,</w:t>
      </w:r>
      <w:r w:rsidR="005B133C" w:rsidRPr="00E44923">
        <w:rPr>
          <w:rFonts w:ascii="Arial" w:hAnsi="Arial" w:cs="Arial"/>
          <w:color w:val="0D0D0D" w:themeColor="text1" w:themeTint="F2"/>
          <w:szCs w:val="22"/>
        </w:rPr>
        <w:t xml:space="preserve"> 2018). Overall, ERWFs are crucial for agriculture, water management, urban planning, energy, tourism, and health, influencing policymaking (Joseph </w:t>
      </w:r>
      <w:r w:rsidR="00D72703" w:rsidRPr="00E44923">
        <w:rPr>
          <w:rFonts w:ascii="Arial" w:hAnsi="Arial" w:cs="Arial"/>
          <w:i/>
          <w:iCs/>
          <w:color w:val="0D0D0D" w:themeColor="text1" w:themeTint="F2"/>
          <w:szCs w:val="22"/>
        </w:rPr>
        <w:t>et al.,</w:t>
      </w:r>
      <w:r w:rsidR="005B133C" w:rsidRPr="00E44923">
        <w:rPr>
          <w:rFonts w:ascii="Arial" w:hAnsi="Arial" w:cs="Arial"/>
          <w:color w:val="0D0D0D" w:themeColor="text1" w:themeTint="F2"/>
          <w:szCs w:val="22"/>
        </w:rPr>
        <w:t xml:space="preserve"> 2019). </w:t>
      </w:r>
      <w:r w:rsidR="00A843E4" w:rsidRPr="00E44923">
        <w:rPr>
          <w:rFonts w:ascii="Arial" w:hAnsi="Arial" w:cs="Arial"/>
          <w:color w:val="0D0D0D" w:themeColor="text1" w:themeTint="F2"/>
          <w:szCs w:val="22"/>
        </w:rPr>
        <w:t xml:space="preserve">The 2017 - 18 ERWF in Cuttack, Odisha, showed notable accuracy between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observed and forecasted </w:t>
      </w:r>
      <w:r w:rsidRPr="00E44923">
        <w:rPr>
          <w:rFonts w:ascii="Arial" w:eastAsia="Calibri" w:hAnsi="Arial" w:cs="Arial"/>
          <w:color w:val="0D0D0D" w:themeColor="text1" w:themeTint="F2"/>
          <w:szCs w:val="22"/>
        </w:rPr>
        <w:t>temperatures</w:t>
      </w:r>
      <w:r w:rsidR="00A843E4" w:rsidRPr="00E44923">
        <w:rPr>
          <w:rFonts w:ascii="Arial" w:hAnsi="Arial" w:cs="Arial"/>
          <w:color w:val="0D0D0D" w:themeColor="text1" w:themeTint="F2"/>
          <w:szCs w:val="22"/>
        </w:rPr>
        <w:t xml:space="preserve"> and rainfall, highlighting the growing demand for longer-term monsoon forecasts. </w:t>
      </w:r>
      <w:r w:rsidRPr="00E44923">
        <w:rPr>
          <w:rFonts w:ascii="Arial" w:eastAsia="Calibri" w:hAnsi="Arial" w:cs="Arial"/>
          <w:color w:val="0D0D0D" w:themeColor="text1" w:themeTint="F2"/>
          <w:szCs w:val="22"/>
        </w:rPr>
        <w:t>Compared with MRWFs, these</w:t>
      </w:r>
      <w:r w:rsidR="00A843E4" w:rsidRPr="00E44923">
        <w:rPr>
          <w:rFonts w:ascii="Arial" w:hAnsi="Arial" w:cs="Arial"/>
          <w:color w:val="0D0D0D" w:themeColor="text1" w:themeTint="F2"/>
          <w:szCs w:val="22"/>
        </w:rPr>
        <w:t xml:space="preserve"> forecasts benefit agriculture and reservoir management by reducing flood </w:t>
      </w:r>
      <w:r w:rsidRPr="00E44923">
        <w:rPr>
          <w:rFonts w:ascii="Arial" w:eastAsia="Calibri" w:hAnsi="Arial" w:cs="Arial"/>
          <w:color w:val="0D0D0D" w:themeColor="text1" w:themeTint="F2"/>
          <w:szCs w:val="22"/>
        </w:rPr>
        <w:t>risk</w:t>
      </w:r>
      <w:r w:rsidR="00A843E4" w:rsidRPr="00E44923">
        <w:rPr>
          <w:rFonts w:ascii="Arial" w:hAnsi="Arial" w:cs="Arial"/>
          <w:color w:val="0D0D0D" w:themeColor="text1" w:themeTint="F2"/>
          <w:szCs w:val="22"/>
        </w:rPr>
        <w:t xml:space="preserve"> and meeting high-quality verification standards </w:t>
      </w:r>
      <w:r w:rsidR="008F5E19" w:rsidRPr="00E44923">
        <w:rPr>
          <w:rFonts w:ascii="Arial" w:hAnsi="Arial" w:cs="Arial"/>
          <w:color w:val="0D0D0D" w:themeColor="text1" w:themeTint="F2"/>
          <w:szCs w:val="22"/>
        </w:rPr>
        <w:t xml:space="preserve">(Nayak </w:t>
      </w:r>
      <w:r w:rsidR="00D72703" w:rsidRPr="00E44923">
        <w:rPr>
          <w:rFonts w:ascii="Arial" w:hAnsi="Arial" w:cs="Arial"/>
          <w:i/>
          <w:iCs/>
          <w:color w:val="0D0D0D" w:themeColor="text1" w:themeTint="F2"/>
          <w:szCs w:val="22"/>
        </w:rPr>
        <w:t>et al.,</w:t>
      </w:r>
      <w:r w:rsidR="008F5E19" w:rsidRPr="00E44923">
        <w:rPr>
          <w:rFonts w:ascii="Arial" w:hAnsi="Arial" w:cs="Arial"/>
          <w:color w:val="0D0D0D" w:themeColor="text1" w:themeTint="F2"/>
          <w:szCs w:val="22"/>
        </w:rPr>
        <w:t xml:space="preserve"> 2022).</w:t>
      </w:r>
    </w:p>
    <w:p w14:paraId="773D7D79" w14:textId="77777777" w:rsidR="00373310" w:rsidRPr="00E44923" w:rsidRDefault="005B133C"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Historical Perspectives and Evolution of Extended Range Weather Forecasting in India</w:t>
      </w:r>
    </w:p>
    <w:p w14:paraId="0D0373D3" w14:textId="77777777" w:rsidR="00373310" w:rsidRPr="00E44923" w:rsidRDefault="004F6124" w:rsidP="00A53B65">
      <w:pPr>
        <w:spacing w:line="360" w:lineRule="auto"/>
        <w:ind w:left="66"/>
        <w:jc w:val="both"/>
        <w:rPr>
          <w:rFonts w:ascii="Arial" w:hAnsi="Arial" w:cs="Arial"/>
          <w:color w:val="0D0D0D" w:themeColor="text1" w:themeTint="F2"/>
          <w:szCs w:val="22"/>
        </w:rPr>
      </w:pPr>
      <w:r w:rsidRPr="00E44923">
        <w:rPr>
          <w:rFonts w:ascii="Arial" w:eastAsia="Calibri" w:hAnsi="Arial" w:cs="Arial"/>
          <w:color w:val="0D0D0D" w:themeColor="text1" w:themeTint="F2"/>
          <w:szCs w:val="22"/>
        </w:rPr>
        <w:t xml:space="preserve">Compared with the short–medium and seasonal prediction systems, the </w:t>
      </w:r>
      <w:r w:rsidR="00AE0D95" w:rsidRPr="00E44923">
        <w:rPr>
          <w:rFonts w:ascii="Arial" w:eastAsia="Calibri" w:hAnsi="Arial" w:cs="Arial"/>
          <w:color w:val="0D0D0D" w:themeColor="text1" w:themeTint="F2"/>
          <w:szCs w:val="22"/>
        </w:rPr>
        <w:t>IMD's ERWF system is</w:t>
      </w:r>
      <w:r w:rsidRPr="00E44923">
        <w:rPr>
          <w:rFonts w:ascii="Arial" w:eastAsia="Calibri" w:hAnsi="Arial" w:cs="Arial"/>
          <w:color w:val="0D0D0D" w:themeColor="text1" w:themeTint="F2"/>
          <w:szCs w:val="22"/>
        </w:rPr>
        <w:t xml:space="preserve"> unique and has a significant history</w:t>
      </w:r>
      <w:r w:rsidRPr="00E44923">
        <w:rPr>
          <w:rFonts w:ascii="Arial" w:hAnsi="Arial" w:cs="Arial"/>
          <w:color w:val="0D0D0D" w:themeColor="text1" w:themeTint="F2"/>
          <w:szCs w:val="22"/>
        </w:rPr>
        <w:t xml:space="preserve">. There were three drought years in the first ten years of the twenty-first century: 2002, 2004, and 2009. The extended dry spell in July 2002 (with a departure of -51%) and the seasonal rainfall departure of -19% across all of India were related to the drought year. This extended dry spell in July </w:t>
      </w:r>
      <w:r w:rsidRPr="00E44923">
        <w:rPr>
          <w:rFonts w:ascii="Arial" w:eastAsia="Calibri" w:hAnsi="Arial" w:cs="Arial"/>
          <w:color w:val="0D0D0D" w:themeColor="text1" w:themeTint="F2"/>
          <w:szCs w:val="22"/>
        </w:rPr>
        <w:t>exceeded</w:t>
      </w:r>
      <w:r w:rsidRPr="00E44923">
        <w:rPr>
          <w:rFonts w:ascii="Arial" w:hAnsi="Arial" w:cs="Arial"/>
          <w:color w:val="0D0D0D" w:themeColor="text1" w:themeTint="F2"/>
          <w:szCs w:val="22"/>
        </w:rPr>
        <w:t xml:space="preserve"> the capabilities of any model, and in the end, the seasonal projection for 2002 was equally erroneous. In a similar vein, the 2004 monsoon drought was linked to a protracted dry spell in July. These two drought years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lastRenderedPageBreak/>
        <w:t>followed quickly by protracted monsoon dry spells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were crucial in helping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IMD develop its real-time active-break monsoon cycle prediction.</w:t>
      </w:r>
    </w:p>
    <w:p w14:paraId="587F0DE3" w14:textId="602AF71F" w:rsidR="00AE2964" w:rsidRPr="00E44923" w:rsidRDefault="004F6124" w:rsidP="00A53B65">
      <w:pPr>
        <w:spacing w:line="360" w:lineRule="auto"/>
        <w:ind w:left="66"/>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However, it was exceedingly difficult to begin monsoon </w:t>
      </w:r>
      <w:r w:rsidRPr="00E44923">
        <w:rPr>
          <w:rFonts w:ascii="Arial" w:eastAsia="Calibri" w:hAnsi="Arial" w:cs="Arial"/>
          <w:color w:val="0D0D0D" w:themeColor="text1" w:themeTint="F2"/>
          <w:szCs w:val="22"/>
        </w:rPr>
        <w:t>intraseasonal forecasting</w:t>
      </w:r>
      <w:r w:rsidRPr="00E44923">
        <w:rPr>
          <w:rFonts w:ascii="Arial" w:hAnsi="Arial" w:cs="Arial"/>
          <w:color w:val="0D0D0D" w:themeColor="text1" w:themeTint="F2"/>
          <w:szCs w:val="22"/>
        </w:rPr>
        <w:t xml:space="preserve"> operationally </w:t>
      </w:r>
      <w:r w:rsidRPr="00E44923">
        <w:rPr>
          <w:rFonts w:ascii="Arial" w:eastAsia="Calibri" w:hAnsi="Arial" w:cs="Arial"/>
          <w:color w:val="0D0D0D" w:themeColor="text1" w:themeTint="F2"/>
          <w:szCs w:val="22"/>
        </w:rPr>
        <w:t>because of</w:t>
      </w:r>
      <w:r w:rsidRPr="00E44923">
        <w:rPr>
          <w:rFonts w:ascii="Arial" w:hAnsi="Arial" w:cs="Arial"/>
          <w:color w:val="0D0D0D" w:themeColor="text1" w:themeTint="F2"/>
          <w:szCs w:val="22"/>
        </w:rPr>
        <w:t xml:space="preserve"> the lack of appropriate instruments and the extremely low predictive </w:t>
      </w:r>
      <w:r w:rsidRPr="00E44923">
        <w:rPr>
          <w:rFonts w:ascii="Arial" w:eastAsia="Calibri" w:hAnsi="Arial" w:cs="Arial"/>
          <w:color w:val="0D0D0D" w:themeColor="text1" w:themeTint="F2"/>
          <w:szCs w:val="22"/>
        </w:rPr>
        <w:t>ability. However,</w:t>
      </w:r>
      <w:r w:rsidRPr="00E44923">
        <w:rPr>
          <w:rFonts w:ascii="Arial" w:hAnsi="Arial" w:cs="Arial"/>
          <w:color w:val="0D0D0D" w:themeColor="text1" w:themeTint="F2"/>
          <w:szCs w:val="22"/>
        </w:rPr>
        <w:t xml:space="preserve"> starting in 2008,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began to produce operationally in-house temperature and precipitation forecast products on </w:t>
      </w:r>
      <w:r w:rsidRPr="00E44923">
        <w:rPr>
          <w:rFonts w:ascii="Arial" w:eastAsia="Calibri" w:hAnsi="Arial" w:cs="Arial"/>
          <w:color w:val="0D0D0D" w:themeColor="text1" w:themeTint="F2"/>
          <w:szCs w:val="22"/>
        </w:rPr>
        <w:t xml:space="preserve">the basis of </w:t>
      </w:r>
      <w:r w:rsidRPr="00E44923">
        <w:rPr>
          <w:rFonts w:ascii="Arial" w:hAnsi="Arial" w:cs="Arial"/>
          <w:color w:val="0D0D0D" w:themeColor="text1" w:themeTint="F2"/>
          <w:szCs w:val="22"/>
        </w:rPr>
        <w:t xml:space="preserve">available model products from various </w:t>
      </w:r>
      <w:proofErr w:type="spellStart"/>
      <w:r w:rsidR="00AE0D95" w:rsidRPr="00E44923">
        <w:rPr>
          <w:rFonts w:ascii="Arial" w:hAnsi="Arial" w:cs="Arial"/>
          <w:color w:val="0D0D0D" w:themeColor="text1" w:themeTint="F2"/>
          <w:szCs w:val="22"/>
        </w:rPr>
        <w:t>centres</w:t>
      </w:r>
      <w:proofErr w:type="spellEnd"/>
      <w:r w:rsidRPr="00E44923">
        <w:rPr>
          <w:rFonts w:ascii="Arial" w:hAnsi="Arial" w:cs="Arial"/>
          <w:color w:val="0D0D0D" w:themeColor="text1" w:themeTint="F2"/>
          <w:szCs w:val="22"/>
        </w:rPr>
        <w:t xml:space="preserve"> in India and outside, taking into account the significance and demand </w:t>
      </w:r>
      <w:r w:rsidRPr="00E44923">
        <w:rPr>
          <w:rFonts w:ascii="Arial" w:eastAsia="Calibri" w:hAnsi="Arial" w:cs="Arial"/>
          <w:color w:val="0D0D0D" w:themeColor="text1" w:themeTint="F2"/>
          <w:szCs w:val="22"/>
        </w:rPr>
        <w:t>of the</w:t>
      </w:r>
      <w:r w:rsidRPr="00E44923">
        <w:rPr>
          <w:rFonts w:ascii="Arial" w:hAnsi="Arial" w:cs="Arial"/>
          <w:color w:val="0D0D0D" w:themeColor="text1" w:themeTint="F2"/>
          <w:szCs w:val="22"/>
        </w:rPr>
        <w:t xml:space="preserve"> ERWF. The available dynamical model outputs were also used for the same purposes once several empirical models were initially employed</w:t>
      </w:r>
      <w:r w:rsidR="00FA7611" w:rsidRPr="00E44923">
        <w:rPr>
          <w:rFonts w:ascii="Arial" w:hAnsi="Arial" w:cs="Arial"/>
          <w:color w:val="0D0D0D" w:themeColor="text1" w:themeTint="F2"/>
          <w:szCs w:val="22"/>
        </w:rPr>
        <w:t xml:space="preserve"> (Figure 3)</w:t>
      </w:r>
      <w:r w:rsidRPr="00E44923">
        <w:rPr>
          <w:rFonts w:ascii="Arial" w:hAnsi="Arial" w:cs="Arial"/>
          <w:color w:val="0D0D0D" w:themeColor="text1" w:themeTint="F2"/>
          <w:szCs w:val="22"/>
        </w:rPr>
        <w:t>.</w:t>
      </w:r>
    </w:p>
    <w:p w14:paraId="1D44AC10" w14:textId="77777777" w:rsidR="00AE2964" w:rsidRPr="00E44923" w:rsidRDefault="00AE2964" w:rsidP="00A53B65">
      <w:pPr>
        <w:spacing w:line="360" w:lineRule="auto"/>
        <w:ind w:left="66" w:firstLine="643"/>
        <w:jc w:val="both"/>
        <w:rPr>
          <w:rFonts w:ascii="Arial" w:hAnsi="Arial" w:cs="Arial"/>
          <w:color w:val="0D0D0D" w:themeColor="text1" w:themeTint="F2"/>
          <w:szCs w:val="22"/>
        </w:rPr>
      </w:pPr>
    </w:p>
    <w:p w14:paraId="6E89992F" w14:textId="77777777" w:rsidR="00AE2964" w:rsidRPr="00E44923" w:rsidRDefault="004F6124" w:rsidP="00A53B65">
      <w:pPr>
        <w:spacing w:line="360" w:lineRule="auto"/>
        <w:ind w:left="66" w:firstLine="643"/>
        <w:jc w:val="both"/>
        <w:rPr>
          <w:rFonts w:ascii="Arial" w:hAnsi="Arial" w:cs="Arial"/>
          <w:color w:val="0D0D0D" w:themeColor="text1" w:themeTint="F2"/>
          <w:szCs w:val="22"/>
        </w:rPr>
      </w:pPr>
      <w:r w:rsidRPr="00E44923">
        <w:rPr>
          <w:rFonts w:ascii="Arial" w:hAnsi="Arial" w:cs="Arial"/>
          <w:noProof/>
          <w:color w:val="0D0D0D" w:themeColor="text1" w:themeTint="F2"/>
          <w:szCs w:val="22"/>
        </w:rPr>
        <w:drawing>
          <wp:inline distT="0" distB="0" distL="0" distR="0" wp14:anchorId="07FD80F5" wp14:editId="28038A9E">
            <wp:extent cx="4768941" cy="28288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80606" cy="2835801"/>
                    </a:xfrm>
                    <a:prstGeom prst="rect">
                      <a:avLst/>
                    </a:prstGeom>
                    <a:noFill/>
                  </pic:spPr>
                </pic:pic>
              </a:graphicData>
            </a:graphic>
          </wp:inline>
        </w:drawing>
      </w:r>
    </w:p>
    <w:p w14:paraId="2FC682D5" w14:textId="77777777" w:rsidR="00AE2964" w:rsidRPr="00E44923" w:rsidRDefault="004F6124" w:rsidP="00A53B65">
      <w:pPr>
        <w:spacing w:line="360" w:lineRule="auto"/>
        <w:ind w:left="66" w:firstLine="643"/>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 xml:space="preserve">Figure 3: Development of </w:t>
      </w:r>
      <w:r w:rsidRPr="00E44923">
        <w:rPr>
          <w:rFonts w:ascii="Arial" w:eastAsia="Calibri" w:hAnsi="Arial" w:cs="Arial"/>
          <w:b/>
          <w:bCs/>
          <w:color w:val="0D0D0D" w:themeColor="text1" w:themeTint="F2"/>
          <w:szCs w:val="22"/>
        </w:rPr>
        <w:t xml:space="preserve">the </w:t>
      </w:r>
      <w:r w:rsidRPr="00E44923">
        <w:rPr>
          <w:rFonts w:ascii="Arial" w:hAnsi="Arial" w:cs="Arial"/>
          <w:b/>
          <w:bCs/>
          <w:color w:val="0D0D0D" w:themeColor="text1" w:themeTint="F2"/>
          <w:szCs w:val="22"/>
        </w:rPr>
        <w:t>ERWF</w:t>
      </w:r>
    </w:p>
    <w:p w14:paraId="6D95E870" w14:textId="77777777" w:rsidR="00373310" w:rsidRPr="00E44923" w:rsidRDefault="004F612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Strategic Importance of </w:t>
      </w:r>
      <w:r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 in India</w:t>
      </w:r>
    </w:p>
    <w:p w14:paraId="2B030055" w14:textId="05898D65"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Historically, monsoons have been viewed as large-scale, regional sea wind circulations caused by the contrast between land and sea temperatures (Loo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Geen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 </w:t>
      </w:r>
      <w:r w:rsidR="00DA4084" w:rsidRPr="00E44923">
        <w:rPr>
          <w:rFonts w:ascii="Arial" w:hAnsi="Arial" w:cs="Arial"/>
          <w:color w:val="0D0D0D" w:themeColor="text1" w:themeTint="F2"/>
          <w:szCs w:val="22"/>
        </w:rPr>
        <w:t xml:space="preserve">Gadgil </w:t>
      </w:r>
      <w:r w:rsidR="00D72703" w:rsidRPr="00E44923">
        <w:rPr>
          <w:rFonts w:ascii="Arial" w:hAnsi="Arial" w:cs="Arial"/>
          <w:i/>
          <w:iCs/>
          <w:color w:val="0D0D0D" w:themeColor="text1" w:themeTint="F2"/>
          <w:szCs w:val="22"/>
        </w:rPr>
        <w:t>et al.,</w:t>
      </w:r>
      <w:r w:rsidR="00DA4084" w:rsidRPr="00E44923">
        <w:rPr>
          <w:rFonts w:ascii="Arial" w:hAnsi="Arial" w:cs="Arial"/>
          <w:color w:val="0D0D0D" w:themeColor="text1" w:themeTint="F2"/>
          <w:szCs w:val="22"/>
        </w:rPr>
        <w:t xml:space="preserve"> 2020; Zuo and Zhang, 2023</w:t>
      </w:r>
      <w:r w:rsidR="00E52AEC" w:rsidRPr="00E44923">
        <w:rPr>
          <w:rFonts w:ascii="Arial" w:hAnsi="Arial" w:cs="Arial"/>
          <w:color w:val="0D0D0D" w:themeColor="text1" w:themeTint="F2"/>
          <w:szCs w:val="22"/>
        </w:rPr>
        <w:t>). The Asian monsoon system (</w:t>
      </w:r>
      <w:proofErr w:type="spellStart"/>
      <w:r w:rsidR="00E52AEC" w:rsidRPr="00E44923">
        <w:rPr>
          <w:rFonts w:ascii="Arial" w:hAnsi="Arial" w:cs="Arial"/>
          <w:color w:val="0D0D0D" w:themeColor="text1" w:themeTint="F2"/>
          <w:szCs w:val="22"/>
        </w:rPr>
        <w:t>Ummenhofer</w:t>
      </w:r>
      <w:proofErr w:type="spellEnd"/>
      <w:r w:rsidR="00E52AEC"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E52AEC" w:rsidRPr="00E44923">
        <w:rPr>
          <w:rFonts w:ascii="Arial" w:hAnsi="Arial" w:cs="Arial"/>
          <w:color w:val="0D0D0D" w:themeColor="text1" w:themeTint="F2"/>
          <w:szCs w:val="22"/>
        </w:rPr>
        <w:t xml:space="preserve"> 2024; Ao </w:t>
      </w:r>
      <w:r w:rsidR="00D72703" w:rsidRPr="00E44923">
        <w:rPr>
          <w:rFonts w:ascii="Arial" w:hAnsi="Arial" w:cs="Arial"/>
          <w:i/>
          <w:iCs/>
          <w:color w:val="0D0D0D" w:themeColor="text1" w:themeTint="F2"/>
          <w:szCs w:val="22"/>
        </w:rPr>
        <w:t>et al.,</w:t>
      </w:r>
      <w:r w:rsidR="00E52AEC" w:rsidRPr="00E44923">
        <w:rPr>
          <w:rFonts w:ascii="Arial" w:hAnsi="Arial" w:cs="Arial"/>
          <w:color w:val="0D0D0D" w:themeColor="text1" w:themeTint="F2"/>
          <w:szCs w:val="22"/>
        </w:rPr>
        <w:t xml:space="preserve"> 2024; Lu </w:t>
      </w:r>
      <w:r w:rsidR="00D72703" w:rsidRPr="00E44923">
        <w:rPr>
          <w:rFonts w:ascii="Arial" w:hAnsi="Arial" w:cs="Arial"/>
          <w:i/>
          <w:iCs/>
          <w:color w:val="0D0D0D" w:themeColor="text1" w:themeTint="F2"/>
          <w:szCs w:val="22"/>
        </w:rPr>
        <w:t>et al.,</w:t>
      </w:r>
      <w:r w:rsidR="00E52AEC" w:rsidRPr="00E44923">
        <w:rPr>
          <w:rFonts w:ascii="Arial" w:hAnsi="Arial" w:cs="Arial"/>
          <w:color w:val="0D0D0D" w:themeColor="text1" w:themeTint="F2"/>
          <w:szCs w:val="22"/>
        </w:rPr>
        <w:t xml:space="preserve"> 2024; Chen </w:t>
      </w:r>
      <w:r w:rsidR="00D72703" w:rsidRPr="00E44923">
        <w:rPr>
          <w:rFonts w:ascii="Arial" w:hAnsi="Arial" w:cs="Arial"/>
          <w:i/>
          <w:iCs/>
          <w:color w:val="0D0D0D" w:themeColor="text1" w:themeTint="F2"/>
          <w:szCs w:val="22"/>
        </w:rPr>
        <w:t>et al.,</w:t>
      </w:r>
      <w:r w:rsidR="00E52AEC" w:rsidRPr="00E44923">
        <w:rPr>
          <w:rFonts w:ascii="Arial" w:hAnsi="Arial" w:cs="Arial"/>
          <w:color w:val="0D0D0D" w:themeColor="text1" w:themeTint="F2"/>
          <w:szCs w:val="22"/>
        </w:rPr>
        <w:t xml:space="preserve"> 2024)</w:t>
      </w:r>
      <w:r w:rsidR="00CE73AB" w:rsidRPr="00E44923">
        <w:rPr>
          <w:rFonts w:ascii="Arial" w:hAnsi="Arial" w:cs="Arial"/>
          <w:color w:val="0D0D0D" w:themeColor="text1" w:themeTint="F2"/>
          <w:szCs w:val="22"/>
        </w:rPr>
        <w:t xml:space="preserve"> is the most vigorous, powerful (Hussain </w:t>
      </w:r>
      <w:r w:rsidR="00D72703" w:rsidRPr="00E44923">
        <w:rPr>
          <w:rFonts w:ascii="Arial" w:hAnsi="Arial" w:cs="Arial"/>
          <w:i/>
          <w:iCs/>
          <w:color w:val="0D0D0D" w:themeColor="text1" w:themeTint="F2"/>
          <w:szCs w:val="22"/>
        </w:rPr>
        <w:t>et al.,</w:t>
      </w:r>
      <w:r w:rsidR="00CE73AB" w:rsidRPr="00E44923">
        <w:rPr>
          <w:rFonts w:ascii="Arial" w:hAnsi="Arial" w:cs="Arial"/>
          <w:color w:val="0D0D0D" w:themeColor="text1" w:themeTint="F2"/>
          <w:szCs w:val="22"/>
        </w:rPr>
        <w:t xml:space="preserve"> 2024), robust</w:t>
      </w:r>
      <w:r w:rsidR="000F4F0C" w:rsidRPr="00E44923">
        <w:rPr>
          <w:rFonts w:ascii="Arial" w:hAnsi="Arial" w:cs="Arial"/>
          <w:color w:val="0D0D0D" w:themeColor="text1" w:themeTint="F2"/>
          <w:szCs w:val="22"/>
        </w:rPr>
        <w:t xml:space="preserve"> </w:t>
      </w:r>
      <w:r w:rsidR="00CE73AB" w:rsidRPr="00E44923">
        <w:rPr>
          <w:rFonts w:ascii="Arial" w:hAnsi="Arial" w:cs="Arial"/>
          <w:color w:val="0D0D0D" w:themeColor="text1" w:themeTint="F2"/>
          <w:szCs w:val="22"/>
        </w:rPr>
        <w:t xml:space="preserve">and strongest climatic pattern </w:t>
      </w:r>
      <w:r w:rsidRPr="00E44923">
        <w:rPr>
          <w:rFonts w:ascii="Arial" w:hAnsi="Arial" w:cs="Arial"/>
          <w:color w:val="0D0D0D" w:themeColor="text1" w:themeTint="F2"/>
          <w:szCs w:val="22"/>
        </w:rPr>
        <w:t xml:space="preserve">(Tada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because of the size of the Asian continent and the high terrain of the Tibetan Plateau and the Himalayan Mountains, whose development is closely correlated with climate (Clift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It has three subcomponents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the Indian or South Asian and East Asian subsystems </w:t>
      </w:r>
      <w:r w:rsidR="00544034" w:rsidRPr="00E44923">
        <w:rPr>
          <w:rFonts w:ascii="Arial" w:hAnsi="Arial" w:cs="Arial"/>
          <w:color w:val="0D0D0D" w:themeColor="text1" w:themeTint="F2"/>
          <w:szCs w:val="22"/>
        </w:rPr>
        <w:t xml:space="preserve">(Wang </w:t>
      </w:r>
      <w:r w:rsidR="00D72703" w:rsidRPr="00E44923">
        <w:rPr>
          <w:rFonts w:ascii="Arial" w:hAnsi="Arial" w:cs="Arial"/>
          <w:i/>
          <w:iCs/>
          <w:color w:val="0D0D0D" w:themeColor="text1" w:themeTint="F2"/>
          <w:szCs w:val="22"/>
        </w:rPr>
        <w:t>et al.,</w:t>
      </w:r>
      <w:r w:rsidR="00544034" w:rsidRPr="00E44923">
        <w:rPr>
          <w:rFonts w:ascii="Arial" w:hAnsi="Arial" w:cs="Arial"/>
          <w:color w:val="0D0D0D" w:themeColor="text1" w:themeTint="F2"/>
          <w:szCs w:val="22"/>
        </w:rPr>
        <w:t xml:space="preserve"> 2005; Gupta </w:t>
      </w:r>
      <w:r w:rsidR="00D72703" w:rsidRPr="00E44923">
        <w:rPr>
          <w:rFonts w:ascii="Arial" w:hAnsi="Arial" w:cs="Arial"/>
          <w:i/>
          <w:iCs/>
          <w:color w:val="0D0D0D" w:themeColor="text1" w:themeTint="F2"/>
          <w:szCs w:val="22"/>
        </w:rPr>
        <w:t>et al.,</w:t>
      </w:r>
      <w:r w:rsidR="00544034" w:rsidRPr="00E44923">
        <w:rPr>
          <w:rFonts w:ascii="Arial" w:hAnsi="Arial" w:cs="Arial"/>
          <w:color w:val="0D0D0D" w:themeColor="text1" w:themeTint="F2"/>
          <w:szCs w:val="22"/>
        </w:rPr>
        <w:t xml:space="preserve"> 2022; Li </w:t>
      </w:r>
      <w:r w:rsidR="00D72703" w:rsidRPr="00E44923">
        <w:rPr>
          <w:rFonts w:ascii="Arial" w:hAnsi="Arial" w:cs="Arial"/>
          <w:i/>
          <w:iCs/>
          <w:color w:val="0D0D0D" w:themeColor="text1" w:themeTint="F2"/>
          <w:szCs w:val="22"/>
        </w:rPr>
        <w:t>et al.,</w:t>
      </w:r>
      <w:r w:rsidR="00544034" w:rsidRPr="00E44923">
        <w:rPr>
          <w:rFonts w:ascii="Arial" w:hAnsi="Arial" w:cs="Arial"/>
          <w:color w:val="0D0D0D" w:themeColor="text1" w:themeTint="F2"/>
          <w:szCs w:val="22"/>
        </w:rPr>
        <w:t xml:space="preserve"> 2024) and </w:t>
      </w:r>
      <w:r w:rsidRPr="00E44923">
        <w:rPr>
          <w:rFonts w:ascii="Arial" w:eastAsia="Calibri" w:hAnsi="Arial" w:cs="Arial"/>
          <w:color w:val="0D0D0D" w:themeColor="text1" w:themeTint="F2"/>
          <w:szCs w:val="22"/>
        </w:rPr>
        <w:t xml:space="preserve">the </w:t>
      </w:r>
      <w:r w:rsidR="00544034" w:rsidRPr="00E44923">
        <w:rPr>
          <w:rFonts w:ascii="Arial" w:hAnsi="Arial" w:cs="Arial"/>
          <w:color w:val="0D0D0D" w:themeColor="text1" w:themeTint="F2"/>
          <w:szCs w:val="22"/>
        </w:rPr>
        <w:t>Southeast Asian monsoon</w:t>
      </w:r>
      <w:r w:rsidRPr="00E44923">
        <w:rPr>
          <w:rFonts w:ascii="Arial" w:hAnsi="Arial" w:cs="Arial"/>
          <w:color w:val="0D0D0D" w:themeColor="text1" w:themeTint="F2"/>
          <w:szCs w:val="22"/>
        </w:rPr>
        <w:t xml:space="preserve">. In India, the two prominent monsoon seasons are </w:t>
      </w:r>
      <w:r w:rsidR="002456A5" w:rsidRPr="00E44923">
        <w:rPr>
          <w:rFonts w:ascii="Arial" w:hAnsi="Arial" w:cs="Arial"/>
          <w:color w:val="0D0D0D" w:themeColor="text1" w:themeTint="F2"/>
          <w:szCs w:val="22"/>
        </w:rPr>
        <w:t>the northeast monsoon (NEM) season (</w:t>
      </w:r>
      <w:r w:rsidRPr="00E44923">
        <w:rPr>
          <w:rFonts w:ascii="Arial" w:eastAsia="Calibri" w:hAnsi="Arial" w:cs="Arial"/>
          <w:color w:val="0D0D0D" w:themeColor="text1" w:themeTint="F2"/>
          <w:szCs w:val="22"/>
        </w:rPr>
        <w:t>October–December</w:t>
      </w:r>
      <w:r w:rsidR="002456A5" w:rsidRPr="00E44923">
        <w:rPr>
          <w:rFonts w:ascii="Arial" w:hAnsi="Arial" w:cs="Arial"/>
          <w:color w:val="0D0D0D" w:themeColor="text1" w:themeTint="F2"/>
          <w:szCs w:val="22"/>
        </w:rPr>
        <w:t xml:space="preserve"> </w:t>
      </w:r>
      <w:r w:rsidR="002456A5" w:rsidRPr="00E44923">
        <w:rPr>
          <w:rFonts w:ascii="Arial" w:hAnsi="Arial" w:cs="Arial"/>
          <w:color w:val="0D0D0D" w:themeColor="text1" w:themeTint="F2"/>
          <w:szCs w:val="22"/>
        </w:rPr>
        <w:lastRenderedPageBreak/>
        <w:t>(OND)) and the southwest monsoon (SWM) season (</w:t>
      </w:r>
      <w:r w:rsidRPr="00E44923">
        <w:rPr>
          <w:rFonts w:ascii="Arial" w:eastAsia="Calibri" w:hAnsi="Arial" w:cs="Arial"/>
          <w:color w:val="0D0D0D" w:themeColor="text1" w:themeTint="F2"/>
          <w:szCs w:val="22"/>
        </w:rPr>
        <w:t>June–September</w:t>
      </w:r>
      <w:r w:rsidR="002456A5" w:rsidRPr="00E44923">
        <w:rPr>
          <w:rFonts w:ascii="Arial" w:hAnsi="Arial" w:cs="Arial"/>
          <w:color w:val="0D0D0D" w:themeColor="text1" w:themeTint="F2"/>
          <w:szCs w:val="22"/>
        </w:rPr>
        <w:t xml:space="preserve"> (JJAS)) </w:t>
      </w:r>
      <w:r w:rsidRPr="00E44923">
        <w:rPr>
          <w:rFonts w:ascii="Arial" w:hAnsi="Arial" w:cs="Arial"/>
          <w:color w:val="0D0D0D" w:themeColor="text1" w:themeTint="F2"/>
          <w:szCs w:val="22"/>
        </w:rPr>
        <w:t xml:space="preserve">(Murty, 2021; Prasad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Ghosh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Williams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Except for the </w:t>
      </w:r>
      <w:r w:rsidRPr="00E44923">
        <w:rPr>
          <w:rFonts w:ascii="Arial" w:eastAsia="Calibri" w:hAnsi="Arial" w:cs="Arial"/>
          <w:color w:val="0D0D0D" w:themeColor="text1" w:themeTint="F2"/>
          <w:szCs w:val="22"/>
        </w:rPr>
        <w:t>southeastern part</w:t>
      </w:r>
      <w:r w:rsidRPr="00E44923">
        <w:rPr>
          <w:rFonts w:ascii="Arial" w:hAnsi="Arial" w:cs="Arial"/>
          <w:color w:val="0D0D0D" w:themeColor="text1" w:themeTint="F2"/>
          <w:szCs w:val="22"/>
        </w:rPr>
        <w:t xml:space="preserve"> of the peninsula, </w:t>
      </w:r>
      <w:r w:rsidRPr="00E44923">
        <w:rPr>
          <w:rFonts w:ascii="Arial" w:eastAsia="Calibri" w:hAnsi="Arial" w:cs="Arial"/>
          <w:color w:val="0D0D0D" w:themeColor="text1" w:themeTint="F2"/>
          <w:szCs w:val="22"/>
        </w:rPr>
        <w:t>which encompasses</w:t>
      </w:r>
      <w:r w:rsidRPr="00E44923">
        <w:rPr>
          <w:rFonts w:ascii="Arial" w:hAnsi="Arial" w:cs="Arial"/>
          <w:color w:val="0D0D0D" w:themeColor="text1" w:themeTint="F2"/>
          <w:szCs w:val="22"/>
        </w:rPr>
        <w:t xml:space="preserve"> the state of Tamil Nadu, the majority of the country experiences its highest rainfall during JJAS (SWM, also called the Indian </w:t>
      </w:r>
      <w:r w:rsidRPr="00E44923">
        <w:rPr>
          <w:rFonts w:ascii="Arial" w:eastAsia="Calibri" w:hAnsi="Arial" w:cs="Arial"/>
          <w:color w:val="0D0D0D" w:themeColor="text1" w:themeTint="F2"/>
          <w:szCs w:val="22"/>
        </w:rPr>
        <w:t>summer monsoon</w:t>
      </w:r>
      <w:r w:rsidRPr="00E44923">
        <w:rPr>
          <w:rFonts w:ascii="Arial" w:hAnsi="Arial" w:cs="Arial"/>
          <w:color w:val="0D0D0D" w:themeColor="text1" w:themeTint="F2"/>
          <w:szCs w:val="22"/>
        </w:rPr>
        <w:t xml:space="preserve"> (ISM))</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which </w:t>
      </w:r>
      <w:r w:rsidRPr="00E44923">
        <w:rPr>
          <w:rFonts w:ascii="Arial" w:hAnsi="Arial" w:cs="Arial"/>
          <w:color w:val="0D0D0D" w:themeColor="text1" w:themeTint="F2"/>
          <w:szCs w:val="22"/>
        </w:rPr>
        <w:t xml:space="preserve">is a highly </w:t>
      </w:r>
      <w:r w:rsidRPr="00E44923">
        <w:rPr>
          <w:rFonts w:ascii="Arial" w:eastAsia="Calibri" w:hAnsi="Arial" w:cs="Arial"/>
          <w:color w:val="0D0D0D" w:themeColor="text1" w:themeTint="F2"/>
          <w:szCs w:val="22"/>
        </w:rPr>
        <w:t>variable</w:t>
      </w:r>
      <w:r w:rsidRPr="00E44923">
        <w:rPr>
          <w:rFonts w:ascii="Arial" w:hAnsi="Arial" w:cs="Arial"/>
          <w:color w:val="0D0D0D" w:themeColor="text1" w:themeTint="F2"/>
          <w:szCs w:val="22"/>
        </w:rPr>
        <w:t xml:space="preserve">, interhemispheric </w:t>
      </w:r>
      <w:r w:rsidRPr="00E44923">
        <w:rPr>
          <w:rFonts w:ascii="Arial" w:eastAsia="Calibri" w:hAnsi="Arial" w:cs="Arial"/>
          <w:color w:val="0D0D0D" w:themeColor="text1" w:themeTint="F2"/>
          <w:szCs w:val="22"/>
        </w:rPr>
        <w:t>ocean‒atmosphere‒land</w:t>
      </w:r>
      <w:r w:rsidRPr="00E44923">
        <w:rPr>
          <w:rFonts w:ascii="Arial" w:hAnsi="Arial" w:cs="Arial"/>
          <w:color w:val="0D0D0D" w:themeColor="text1" w:themeTint="F2"/>
          <w:szCs w:val="22"/>
        </w:rPr>
        <w:t xml:space="preserve"> interaction that has a direct impact on the extremely populous Indian subcontinent </w:t>
      </w:r>
      <w:r w:rsidR="00122254" w:rsidRPr="00E44923">
        <w:rPr>
          <w:rFonts w:ascii="Arial" w:hAnsi="Arial" w:cs="Arial"/>
          <w:color w:val="0D0D0D" w:themeColor="text1" w:themeTint="F2"/>
          <w:szCs w:val="22"/>
        </w:rPr>
        <w:t xml:space="preserve">(Bolton </w:t>
      </w:r>
      <w:r w:rsidR="00D72703" w:rsidRPr="00E44923">
        <w:rPr>
          <w:rFonts w:ascii="Arial" w:hAnsi="Arial" w:cs="Arial"/>
          <w:i/>
          <w:iCs/>
          <w:color w:val="0D0D0D" w:themeColor="text1" w:themeTint="F2"/>
          <w:szCs w:val="22"/>
        </w:rPr>
        <w:t>et al.,</w:t>
      </w:r>
      <w:r w:rsidR="00122254" w:rsidRPr="00E44923">
        <w:rPr>
          <w:rFonts w:ascii="Arial" w:hAnsi="Arial" w:cs="Arial"/>
          <w:color w:val="0D0D0D" w:themeColor="text1" w:themeTint="F2"/>
          <w:szCs w:val="22"/>
        </w:rPr>
        <w:t xml:space="preserve"> 2013)</w:t>
      </w:r>
      <w:r w:rsidRPr="00E44923">
        <w:rPr>
          <w:rFonts w:ascii="Arial" w:eastAsia="Calibri" w:hAnsi="Arial" w:cs="Arial"/>
          <w:color w:val="0D0D0D" w:themeColor="text1" w:themeTint="F2"/>
          <w:szCs w:val="22"/>
        </w:rPr>
        <w:t>,</w:t>
      </w:r>
      <w:r w:rsidR="00122254" w:rsidRPr="00E44923">
        <w:rPr>
          <w:rFonts w:ascii="Arial" w:hAnsi="Arial" w:cs="Arial"/>
          <w:color w:val="0D0D0D" w:themeColor="text1" w:themeTint="F2"/>
          <w:szCs w:val="22"/>
        </w:rPr>
        <w:t xml:space="preserve"> </w:t>
      </w:r>
      <w:r w:rsidR="00106D85" w:rsidRPr="00E44923">
        <w:rPr>
          <w:rFonts w:ascii="Arial" w:hAnsi="Arial" w:cs="Arial"/>
          <w:color w:val="0D0D0D" w:themeColor="text1" w:themeTint="F2"/>
          <w:szCs w:val="22"/>
        </w:rPr>
        <w:t xml:space="preserve">followed by maximum rainfall </w:t>
      </w:r>
      <w:r w:rsidRPr="00E44923">
        <w:rPr>
          <w:rFonts w:ascii="Arial" w:eastAsia="Calibri" w:hAnsi="Arial" w:cs="Arial"/>
          <w:color w:val="0D0D0D" w:themeColor="text1" w:themeTint="F2"/>
          <w:szCs w:val="22"/>
        </w:rPr>
        <w:t>occurring</w:t>
      </w:r>
      <w:r w:rsidR="00106D85" w:rsidRPr="00E44923">
        <w:rPr>
          <w:rFonts w:ascii="Arial" w:hAnsi="Arial" w:cs="Arial"/>
          <w:color w:val="0D0D0D" w:themeColor="text1" w:themeTint="F2"/>
          <w:szCs w:val="22"/>
        </w:rPr>
        <w:t xml:space="preserve"> during OND during NEM. The country's northwest, </w:t>
      </w:r>
      <w:r w:rsidRPr="00E44923">
        <w:rPr>
          <w:rFonts w:ascii="Arial" w:eastAsia="Calibri" w:hAnsi="Arial" w:cs="Arial"/>
          <w:color w:val="0D0D0D" w:themeColor="text1" w:themeTint="F2"/>
          <w:szCs w:val="22"/>
        </w:rPr>
        <w:t>central</w:t>
      </w:r>
      <w:r w:rsidR="00106D85" w:rsidRPr="00E44923">
        <w:rPr>
          <w:rFonts w:ascii="Arial" w:hAnsi="Arial" w:cs="Arial"/>
          <w:color w:val="0D0D0D" w:themeColor="text1" w:themeTint="F2"/>
          <w:szCs w:val="22"/>
        </w:rPr>
        <w:t xml:space="preserve">, and east </w:t>
      </w:r>
      <w:r w:rsidRPr="00E44923">
        <w:rPr>
          <w:rFonts w:ascii="Arial" w:eastAsia="Calibri" w:hAnsi="Arial" w:cs="Arial"/>
          <w:color w:val="0D0D0D" w:themeColor="text1" w:themeTint="F2"/>
          <w:szCs w:val="22"/>
        </w:rPr>
        <w:t xml:space="preserve">regions </w:t>
      </w:r>
      <w:r w:rsidR="00106D85" w:rsidRPr="00E44923">
        <w:rPr>
          <w:rFonts w:ascii="Arial" w:hAnsi="Arial" w:cs="Arial"/>
          <w:color w:val="0D0D0D" w:themeColor="text1" w:themeTint="F2"/>
          <w:szCs w:val="22"/>
        </w:rPr>
        <w:t xml:space="preserve">occasionally experience heat waves from April to June (AMJ). From November to February (NDJF), most of these areas occasionally endure cold waves. With an extended window of time (i.e., 15 - 20 days in advance), the severe temperatures during AMJ (NDJF) and the rainfall during SWM, NEM are possibly predicted </w:t>
      </w:r>
      <w:r w:rsidRPr="00E44923">
        <w:rPr>
          <w:rFonts w:ascii="Arial" w:eastAsia="Calibri" w:hAnsi="Arial" w:cs="Arial"/>
          <w:color w:val="0D0D0D" w:themeColor="text1" w:themeTint="F2"/>
          <w:szCs w:val="22"/>
        </w:rPr>
        <w:t>because of</w:t>
      </w:r>
      <w:r w:rsidR="00106D85" w:rsidRPr="00E44923">
        <w:rPr>
          <w:rFonts w:ascii="Arial" w:hAnsi="Arial" w:cs="Arial"/>
          <w:color w:val="0D0D0D" w:themeColor="text1" w:themeTint="F2"/>
          <w:szCs w:val="22"/>
        </w:rPr>
        <w:t xml:space="preserve"> their general association with larger-scale meteorological phenomena</w:t>
      </w:r>
      <w:r w:rsidRPr="00E44923">
        <w:rPr>
          <w:rFonts w:ascii="Arial" w:eastAsia="Calibri" w:hAnsi="Arial" w:cs="Arial"/>
          <w:color w:val="0D0D0D" w:themeColor="text1" w:themeTint="F2"/>
          <w:szCs w:val="22"/>
        </w:rPr>
        <w:t>,</w:t>
      </w:r>
      <w:r w:rsidR="00106D85" w:rsidRPr="00E44923">
        <w:rPr>
          <w:rFonts w:ascii="Arial" w:hAnsi="Arial" w:cs="Arial"/>
          <w:color w:val="0D0D0D" w:themeColor="text1" w:themeTint="F2"/>
          <w:szCs w:val="22"/>
        </w:rPr>
        <w:t xml:space="preserve"> and </w:t>
      </w:r>
      <w:r w:rsidRPr="00E44923">
        <w:rPr>
          <w:rFonts w:ascii="Arial" w:eastAsia="Calibri" w:hAnsi="Arial" w:cs="Arial"/>
          <w:color w:val="0D0D0D" w:themeColor="text1" w:themeTint="F2"/>
          <w:szCs w:val="22"/>
        </w:rPr>
        <w:t>the coupled general ensemble prediction system</w:t>
      </w:r>
      <w:r w:rsidR="00106D85" w:rsidRPr="00E44923">
        <w:rPr>
          <w:rFonts w:ascii="Arial" w:hAnsi="Arial" w:cs="Arial"/>
          <w:color w:val="0D0D0D" w:themeColor="text1" w:themeTint="F2"/>
          <w:szCs w:val="22"/>
        </w:rPr>
        <w:t xml:space="preserve"> (CGEPS) MME </w:t>
      </w:r>
      <w:r w:rsidRPr="00E44923">
        <w:rPr>
          <w:rFonts w:ascii="Arial" w:eastAsia="Calibri" w:hAnsi="Arial" w:cs="Arial"/>
          <w:color w:val="0D0D0D" w:themeColor="text1" w:themeTint="F2"/>
          <w:szCs w:val="22"/>
        </w:rPr>
        <w:t xml:space="preserve">has </w:t>
      </w:r>
      <w:r w:rsidR="00106D85" w:rsidRPr="00E44923">
        <w:rPr>
          <w:rFonts w:ascii="Arial" w:hAnsi="Arial" w:cs="Arial"/>
          <w:color w:val="0D0D0D" w:themeColor="text1" w:themeTint="F2"/>
          <w:szCs w:val="22"/>
        </w:rPr>
        <w:t xml:space="preserve">shown noticeable skill </w:t>
      </w:r>
      <w:r w:rsidRPr="00E44923">
        <w:rPr>
          <w:rFonts w:ascii="Arial" w:hAnsi="Arial" w:cs="Arial"/>
          <w:color w:val="0D0D0D" w:themeColor="text1" w:themeTint="F2"/>
          <w:szCs w:val="22"/>
        </w:rPr>
        <w:t xml:space="preserve">(Joseph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For a country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India, agrometeorological advisories based on operable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are therefore extremely valuable economically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w:t>
      </w:r>
      <w:r w:rsidR="003A5B8B" w:rsidRPr="00E44923">
        <w:rPr>
          <w:rFonts w:ascii="Arial" w:hAnsi="Arial" w:cs="Arial"/>
          <w:color w:val="0D0D0D" w:themeColor="text1" w:themeTint="F2"/>
          <w:szCs w:val="22"/>
        </w:rPr>
        <w:t xml:space="preserve"> The incorporation of ERP and ERFS forecast products into crop models significantly improves rice yield prediction accuracy and helps stakeholders make informed decisions for effective climate risk management</w:t>
      </w:r>
      <w:r w:rsidR="008B78F0" w:rsidRPr="00E44923">
        <w:rPr>
          <w:rFonts w:ascii="Arial" w:hAnsi="Arial" w:cs="Arial"/>
          <w:color w:val="0D0D0D" w:themeColor="text1" w:themeTint="F2"/>
          <w:szCs w:val="22"/>
        </w:rPr>
        <w:t>.</w:t>
      </w:r>
    </w:p>
    <w:p w14:paraId="2D30893B" w14:textId="77777777" w:rsidR="008A6EF6"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Exploring </w:t>
      </w:r>
      <w:r w:rsidRPr="00E44923">
        <w:rPr>
          <w:rStyle w:val="StrongEmphasis"/>
          <w:rFonts w:ascii="Arial" w:eastAsia="Calibri" w:hAnsi="Arial" w:cs="Arial"/>
          <w:color w:val="0D0D0D" w:themeColor="text1" w:themeTint="F2"/>
          <w:szCs w:val="22"/>
        </w:rPr>
        <w:t>intraseasonal variability</w:t>
      </w:r>
      <w:r w:rsidRPr="00E44923">
        <w:rPr>
          <w:rStyle w:val="StrongEmphasis"/>
          <w:rFonts w:ascii="Arial" w:hAnsi="Arial" w:cs="Arial"/>
          <w:color w:val="0D0D0D" w:themeColor="text1" w:themeTint="F2"/>
          <w:szCs w:val="22"/>
        </w:rPr>
        <w:t xml:space="preserve"> (ISV) with </w:t>
      </w:r>
      <w:r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w:t>
      </w:r>
    </w:p>
    <w:p w14:paraId="3A0D79CC" w14:textId="63F4AEBA" w:rsidR="003076B3"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timescales over which </w:t>
      </w:r>
      <w:proofErr w:type="spellStart"/>
      <w:r w:rsidRPr="00E44923">
        <w:rPr>
          <w:rFonts w:ascii="Arial" w:hAnsi="Arial" w:cs="Arial"/>
          <w:color w:val="0D0D0D" w:themeColor="text1" w:themeTint="F2"/>
          <w:szCs w:val="22"/>
        </w:rPr>
        <w:t>interseasonal</w:t>
      </w:r>
      <w:proofErr w:type="spellEnd"/>
      <w:r w:rsidRPr="00E44923">
        <w:rPr>
          <w:rFonts w:ascii="Arial" w:hAnsi="Arial" w:cs="Arial"/>
          <w:color w:val="0D0D0D" w:themeColor="text1" w:themeTint="F2"/>
          <w:szCs w:val="22"/>
        </w:rPr>
        <w:t xml:space="preserve"> and </w:t>
      </w:r>
      <w:proofErr w:type="spellStart"/>
      <w:r w:rsidRPr="00E44923">
        <w:rPr>
          <w:rFonts w:ascii="Arial" w:hAnsi="Arial" w:cs="Arial"/>
          <w:color w:val="0D0D0D" w:themeColor="text1" w:themeTint="F2"/>
          <w:szCs w:val="22"/>
        </w:rPr>
        <w:t>intraseasonal</w:t>
      </w:r>
      <w:proofErr w:type="spellEnd"/>
      <w:r w:rsidRPr="00E44923">
        <w:rPr>
          <w:rFonts w:ascii="Arial" w:hAnsi="Arial" w:cs="Arial"/>
          <w:color w:val="0D0D0D" w:themeColor="text1" w:themeTint="F2"/>
          <w:szCs w:val="22"/>
        </w:rPr>
        <w:t xml:space="preserve"> fluctuations occur, as well as the phenomena they encompass, are the primary differences between them. </w:t>
      </w:r>
      <w:proofErr w:type="spellStart"/>
      <w:r w:rsidRPr="00E44923">
        <w:rPr>
          <w:rFonts w:ascii="Arial" w:hAnsi="Arial" w:cs="Arial"/>
          <w:color w:val="0D0D0D" w:themeColor="text1" w:themeTint="F2"/>
          <w:szCs w:val="22"/>
        </w:rPr>
        <w:t>Interseasonal</w:t>
      </w:r>
      <w:proofErr w:type="spellEnd"/>
      <w:r w:rsidRPr="00E44923">
        <w:rPr>
          <w:rFonts w:ascii="Arial" w:hAnsi="Arial" w:cs="Arial"/>
          <w:color w:val="0D0D0D" w:themeColor="text1" w:themeTint="F2"/>
          <w:szCs w:val="22"/>
        </w:rPr>
        <w:t xml:space="preserve"> variations occur between seasons, typically spanning several months to a year. Two well-known temporal oscillations in </w:t>
      </w:r>
      <w:r w:rsidRPr="00E44923">
        <w:rPr>
          <w:rFonts w:ascii="Arial" w:eastAsia="Calibri" w:hAnsi="Arial" w:cs="Arial"/>
          <w:color w:val="0D0D0D" w:themeColor="text1" w:themeTint="F2"/>
          <w:szCs w:val="22"/>
        </w:rPr>
        <w:t>sea surface temperature</w:t>
      </w:r>
      <w:r w:rsidRPr="00E44923">
        <w:rPr>
          <w:rFonts w:ascii="Arial" w:hAnsi="Arial" w:cs="Arial"/>
          <w:color w:val="0D0D0D" w:themeColor="text1" w:themeTint="F2"/>
          <w:szCs w:val="22"/>
        </w:rPr>
        <w:t xml:space="preserve"> (SST) are the El </w:t>
      </w:r>
      <w:r w:rsidRPr="00E44923">
        <w:rPr>
          <w:rFonts w:ascii="Arial" w:eastAsia="Calibri" w:hAnsi="Arial" w:cs="Arial"/>
          <w:color w:val="0D0D0D" w:themeColor="text1" w:themeTint="F2"/>
          <w:szCs w:val="22"/>
        </w:rPr>
        <w:t>Niño</w:t>
      </w:r>
      <w:r w:rsidRPr="00E44923">
        <w:rPr>
          <w:rFonts w:ascii="Arial" w:hAnsi="Arial" w:cs="Arial"/>
          <w:color w:val="0D0D0D" w:themeColor="text1" w:themeTint="F2"/>
          <w:szCs w:val="22"/>
        </w:rPr>
        <w:t xml:space="preserve"> Southern Oscillation (ENSO) and Indian Ocean Dipole (IOD), and it has been suggested that they both affect the interannual variability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ISM (</w:t>
      </w:r>
      <w:proofErr w:type="spellStart"/>
      <w:r w:rsidRPr="00E44923">
        <w:rPr>
          <w:rFonts w:ascii="Arial" w:hAnsi="Arial" w:cs="Arial"/>
          <w:color w:val="0D0D0D" w:themeColor="text1" w:themeTint="F2"/>
          <w:szCs w:val="22"/>
        </w:rPr>
        <w:t>Pothapakula</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00DF72A4" w:rsidRPr="00E44923">
        <w:rPr>
          <w:rFonts w:ascii="Arial" w:hAnsi="Arial" w:cs="Arial"/>
          <w:color w:val="0D0D0D" w:themeColor="text1" w:themeTint="F2"/>
          <w:szCs w:val="22"/>
        </w:rPr>
        <w:t>2020).</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These variations often involve large-scale climate patterns, such as ENSO (Chen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(2020), which can persist for several seasons and influence weather and climate over broad geographic regions. Other examples include the Arctic Oscillation (He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2019) and the </w:t>
      </w:r>
      <w:r w:rsidR="00D63943" w:rsidRPr="00E44923">
        <w:rPr>
          <w:rFonts w:ascii="Arial" w:hAnsi="Arial" w:cs="Arial"/>
          <w:color w:val="0D0D0D" w:themeColor="text1" w:themeTint="F2"/>
          <w:szCs w:val="22"/>
        </w:rPr>
        <w:t>Indian Ocean Dipole (</w:t>
      </w:r>
      <w:r w:rsidRPr="00E44923">
        <w:rPr>
          <w:rFonts w:ascii="Arial" w:hAnsi="Arial" w:cs="Arial"/>
          <w:color w:val="0D0D0D" w:themeColor="text1" w:themeTint="F2"/>
          <w:szCs w:val="22"/>
        </w:rPr>
        <w:t>IOD</w:t>
      </w:r>
      <w:r w:rsidR="00D63943" w:rsidRPr="00E44923">
        <w:rPr>
          <w:rFonts w:ascii="Arial" w:hAnsi="Arial" w:cs="Arial"/>
          <w:color w:val="0D0D0D" w:themeColor="text1" w:themeTint="F2"/>
          <w:szCs w:val="22"/>
        </w:rPr>
        <w:t>)</w:t>
      </w:r>
      <w:r w:rsidRPr="00E44923">
        <w:rPr>
          <w:rFonts w:ascii="Arial" w:hAnsi="Arial" w:cs="Arial"/>
          <w:color w:val="0D0D0D" w:themeColor="text1" w:themeTint="F2"/>
          <w:szCs w:val="22"/>
        </w:rPr>
        <w:t xml:space="preserve"> (Polonsky and Torbinsky, 2021).</w:t>
      </w:r>
    </w:p>
    <w:p w14:paraId="32064706" w14:textId="66F03FEC" w:rsidR="003076B3" w:rsidRPr="00E44923" w:rsidRDefault="00AD6B0D" w:rsidP="00A53B65">
      <w:pPr>
        <w:spacing w:line="360" w:lineRule="auto"/>
        <w:ind w:left="66"/>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see-saw pattern formed by two out-of-phase convergence systems is known as </w:t>
      </w:r>
      <w:r w:rsidR="004F6124"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ISV. Along with this oscillation, anomalies in circulation features, including northward-propagating rainfall, are linked to </w:t>
      </w:r>
      <w:r w:rsidR="004F6124" w:rsidRPr="00E44923">
        <w:rPr>
          <w:rFonts w:ascii="Arial" w:eastAsia="Calibri" w:hAnsi="Arial" w:cs="Arial"/>
          <w:color w:val="0D0D0D" w:themeColor="text1" w:themeTint="F2"/>
          <w:szCs w:val="22"/>
        </w:rPr>
        <w:t>the monsoon</w:t>
      </w:r>
      <w:r w:rsidRPr="00E44923">
        <w:rPr>
          <w:rFonts w:ascii="Arial" w:hAnsi="Arial" w:cs="Arial"/>
          <w:color w:val="0D0D0D" w:themeColor="text1" w:themeTint="F2"/>
          <w:szCs w:val="22"/>
        </w:rPr>
        <w:t xml:space="preserve"> ISO (MISO). These oscillations result in alternating active and break monsoon conditions, with dry and rainy spells often lasting a week or more. Within a single season, ISO takes place, usually developing from a few weeks to several months. Short-term atmospheric processes and phenomena, such as the </w:t>
      </w:r>
      <w:r w:rsidR="004F6124" w:rsidRPr="00E44923">
        <w:rPr>
          <w:rFonts w:ascii="Arial" w:eastAsia="Calibri" w:hAnsi="Arial" w:cs="Arial"/>
          <w:color w:val="0D0D0D" w:themeColor="text1" w:themeTint="F2"/>
          <w:szCs w:val="22"/>
        </w:rPr>
        <w:t>Madden‒Julian oscillation</w:t>
      </w:r>
      <w:r w:rsidRPr="00E44923">
        <w:rPr>
          <w:rFonts w:ascii="Arial" w:hAnsi="Arial" w:cs="Arial"/>
          <w:color w:val="0D0D0D" w:themeColor="text1" w:themeTint="F2"/>
          <w:szCs w:val="22"/>
        </w:rPr>
        <w:t xml:space="preserve"> (</w:t>
      </w:r>
      <w:r w:rsidR="004F6124" w:rsidRPr="00E44923">
        <w:rPr>
          <w:rFonts w:ascii="Arial" w:hAnsi="Arial" w:cs="Arial"/>
          <w:color w:val="0D0D0D" w:themeColor="text1" w:themeTint="F2"/>
          <w:szCs w:val="22"/>
        </w:rPr>
        <w:t xml:space="preserve">MJO), which is typified by eastward-moving zones of enhanced and repressed tropical </w:t>
      </w:r>
      <w:r w:rsidR="004F6124" w:rsidRPr="00E44923">
        <w:rPr>
          <w:rFonts w:ascii="Arial" w:hAnsi="Arial" w:cs="Arial"/>
          <w:color w:val="0D0D0D" w:themeColor="text1" w:themeTint="F2"/>
          <w:szCs w:val="22"/>
        </w:rPr>
        <w:lastRenderedPageBreak/>
        <w:t>rainfall, are frequently involved in these changes (</w:t>
      </w:r>
      <w:proofErr w:type="spellStart"/>
      <w:r w:rsidR="004F6124" w:rsidRPr="00E44923">
        <w:rPr>
          <w:rFonts w:ascii="Arial" w:hAnsi="Arial" w:cs="Arial"/>
          <w:color w:val="0D0D0D" w:themeColor="text1" w:themeTint="F2"/>
          <w:szCs w:val="22"/>
        </w:rPr>
        <w:t>Lumbangaol</w:t>
      </w:r>
      <w:proofErr w:type="spellEnd"/>
      <w:r w:rsidR="004F6124"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4F6124" w:rsidRPr="00E44923">
        <w:rPr>
          <w:rFonts w:ascii="Arial" w:hAnsi="Arial" w:cs="Arial"/>
          <w:i/>
          <w:iCs/>
          <w:color w:val="0D0D0D" w:themeColor="text1" w:themeTint="F2"/>
          <w:szCs w:val="22"/>
        </w:rPr>
        <w:t xml:space="preserve"> </w:t>
      </w:r>
      <w:r w:rsidR="004F6124" w:rsidRPr="00E44923">
        <w:rPr>
          <w:rFonts w:ascii="Arial" w:hAnsi="Arial" w:cs="Arial"/>
          <w:color w:val="0D0D0D" w:themeColor="text1" w:themeTint="F2"/>
          <w:szCs w:val="22"/>
        </w:rPr>
        <w:t xml:space="preserve">2021). There is significant ISV in the ISM. </w:t>
      </w:r>
      <w:r w:rsidR="004F6124" w:rsidRPr="00E44923">
        <w:rPr>
          <w:rFonts w:ascii="Arial" w:eastAsia="Calibri" w:hAnsi="Arial" w:cs="Arial"/>
          <w:color w:val="0D0D0D" w:themeColor="text1" w:themeTint="F2"/>
          <w:szCs w:val="22"/>
        </w:rPr>
        <w:t xml:space="preserve">The </w:t>
      </w:r>
      <w:r w:rsidR="004F6124" w:rsidRPr="00E44923">
        <w:rPr>
          <w:rFonts w:ascii="Arial" w:hAnsi="Arial" w:cs="Arial"/>
          <w:color w:val="0D0D0D" w:themeColor="text1" w:themeTint="F2"/>
          <w:szCs w:val="22"/>
        </w:rPr>
        <w:t xml:space="preserve">MJO has been found in previous research to be one of the main determinants of the ISV of monsoon rainfall (Pai </w:t>
      </w:r>
      <w:r w:rsidR="00D72703" w:rsidRPr="00E44923">
        <w:rPr>
          <w:rFonts w:ascii="Arial" w:hAnsi="Arial" w:cs="Arial"/>
          <w:i/>
          <w:iCs/>
          <w:color w:val="0D0D0D" w:themeColor="text1" w:themeTint="F2"/>
          <w:szCs w:val="22"/>
        </w:rPr>
        <w:t>et al.,</w:t>
      </w:r>
      <w:r w:rsidR="004F6124" w:rsidRPr="00E44923">
        <w:rPr>
          <w:rFonts w:ascii="Arial" w:hAnsi="Arial" w:cs="Arial"/>
          <w:i/>
          <w:iCs/>
          <w:color w:val="0D0D0D" w:themeColor="text1" w:themeTint="F2"/>
          <w:szCs w:val="22"/>
        </w:rPr>
        <w:t xml:space="preserve"> </w:t>
      </w:r>
      <w:r w:rsidR="004F6124" w:rsidRPr="00E44923">
        <w:rPr>
          <w:rFonts w:ascii="Arial" w:hAnsi="Arial" w:cs="Arial"/>
          <w:color w:val="0D0D0D" w:themeColor="text1" w:themeTint="F2"/>
          <w:szCs w:val="22"/>
        </w:rPr>
        <w:t xml:space="preserve">2011). The regionality of the ISV </w:t>
      </w:r>
      <w:r w:rsidR="004F6124" w:rsidRPr="00E44923">
        <w:rPr>
          <w:rFonts w:ascii="Arial" w:eastAsia="Calibri" w:hAnsi="Arial" w:cs="Arial"/>
          <w:color w:val="0D0D0D" w:themeColor="text1" w:themeTint="F2"/>
          <w:szCs w:val="22"/>
        </w:rPr>
        <w:t>oscillation</w:t>
      </w:r>
      <w:r w:rsidR="004F6124" w:rsidRPr="00E44923">
        <w:rPr>
          <w:rFonts w:ascii="Arial" w:hAnsi="Arial" w:cs="Arial"/>
          <w:color w:val="0D0D0D" w:themeColor="text1" w:themeTint="F2"/>
          <w:szCs w:val="22"/>
        </w:rPr>
        <w:t xml:space="preserve">, however, is another important component that determines the extended range prediction (ERP) skill. The ability of the model to reflect the ISO and related variabilities </w:t>
      </w:r>
      <w:r w:rsidR="004F6124" w:rsidRPr="00E44923">
        <w:rPr>
          <w:rFonts w:ascii="Arial" w:eastAsia="Calibri" w:hAnsi="Arial" w:cs="Arial"/>
          <w:color w:val="0D0D0D" w:themeColor="text1" w:themeTint="F2"/>
          <w:szCs w:val="22"/>
        </w:rPr>
        <w:t>affects</w:t>
      </w:r>
      <w:r w:rsidR="004F6124" w:rsidRPr="00E44923">
        <w:rPr>
          <w:rFonts w:ascii="Arial" w:hAnsi="Arial" w:cs="Arial"/>
          <w:color w:val="0D0D0D" w:themeColor="text1" w:themeTint="F2"/>
          <w:szCs w:val="22"/>
        </w:rPr>
        <w:t xml:space="preserve"> the forecast skill </w:t>
      </w:r>
      <w:r w:rsidR="004F6124" w:rsidRPr="00E44923">
        <w:rPr>
          <w:rFonts w:ascii="Arial" w:eastAsia="Calibri" w:hAnsi="Arial" w:cs="Arial"/>
          <w:color w:val="0D0D0D" w:themeColor="text1" w:themeTint="F2"/>
          <w:szCs w:val="22"/>
        </w:rPr>
        <w:t>of</w:t>
      </w:r>
      <w:r w:rsidR="004F6124" w:rsidRPr="00E44923">
        <w:rPr>
          <w:rFonts w:ascii="Arial" w:hAnsi="Arial" w:cs="Arial"/>
          <w:color w:val="0D0D0D" w:themeColor="text1" w:themeTint="F2"/>
          <w:szCs w:val="22"/>
        </w:rPr>
        <w:t xml:space="preserve"> the ERP (Abhilash </w:t>
      </w:r>
      <w:r w:rsidR="00D72703" w:rsidRPr="00E44923">
        <w:rPr>
          <w:rFonts w:ascii="Arial" w:hAnsi="Arial" w:cs="Arial"/>
          <w:i/>
          <w:iCs/>
          <w:color w:val="0D0D0D" w:themeColor="text1" w:themeTint="F2"/>
          <w:szCs w:val="22"/>
        </w:rPr>
        <w:t>et al.,</w:t>
      </w:r>
      <w:r w:rsidR="004F6124" w:rsidRPr="00E44923">
        <w:rPr>
          <w:rFonts w:ascii="Arial" w:hAnsi="Arial" w:cs="Arial"/>
          <w:i/>
          <w:iCs/>
          <w:color w:val="0D0D0D" w:themeColor="text1" w:themeTint="F2"/>
          <w:szCs w:val="22"/>
        </w:rPr>
        <w:t xml:space="preserve"> </w:t>
      </w:r>
      <w:r w:rsidR="004F6124" w:rsidRPr="00E44923">
        <w:rPr>
          <w:rFonts w:ascii="Arial" w:hAnsi="Arial" w:cs="Arial"/>
          <w:color w:val="0D0D0D" w:themeColor="text1" w:themeTint="F2"/>
          <w:szCs w:val="22"/>
        </w:rPr>
        <w:t>2014)</w:t>
      </w:r>
      <w:r w:rsidR="00FA7611" w:rsidRPr="00E44923">
        <w:rPr>
          <w:rFonts w:ascii="Arial" w:hAnsi="Arial" w:cs="Arial"/>
          <w:color w:val="0D0D0D" w:themeColor="text1" w:themeTint="F2"/>
          <w:szCs w:val="22"/>
        </w:rPr>
        <w:t xml:space="preserve"> (Figure 4)</w:t>
      </w:r>
      <w:r w:rsidR="004F6124" w:rsidRPr="00E44923">
        <w:rPr>
          <w:rFonts w:ascii="Arial" w:hAnsi="Arial" w:cs="Arial"/>
          <w:color w:val="0D0D0D" w:themeColor="text1" w:themeTint="F2"/>
          <w:szCs w:val="22"/>
        </w:rPr>
        <w:t>.</w:t>
      </w:r>
    </w:p>
    <w:p w14:paraId="35DF88B2" w14:textId="77777777" w:rsidR="00881B20" w:rsidRPr="00E44923" w:rsidRDefault="004F6124" w:rsidP="00A53B65">
      <w:pPr>
        <w:spacing w:line="360" w:lineRule="auto"/>
        <w:ind w:left="66" w:firstLine="294"/>
        <w:jc w:val="both"/>
        <w:rPr>
          <w:rFonts w:ascii="Arial" w:hAnsi="Arial" w:cs="Arial"/>
          <w:color w:val="0D0D0D" w:themeColor="text1" w:themeTint="F2"/>
          <w:szCs w:val="22"/>
        </w:rPr>
      </w:pPr>
      <w:r w:rsidRPr="00E44923">
        <w:rPr>
          <w:rFonts w:ascii="Arial" w:hAnsi="Arial" w:cs="Arial"/>
          <w:noProof/>
          <w:color w:val="0D0D0D" w:themeColor="text1" w:themeTint="F2"/>
          <w:szCs w:val="22"/>
        </w:rPr>
        <w:drawing>
          <wp:inline distT="0" distB="0" distL="0" distR="0" wp14:anchorId="3EB189DB" wp14:editId="1029A09E">
            <wp:extent cx="5678787" cy="29528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03016" cy="2965407"/>
                    </a:xfrm>
                    <a:prstGeom prst="rect">
                      <a:avLst/>
                    </a:prstGeom>
                    <a:noFill/>
                  </pic:spPr>
                </pic:pic>
              </a:graphicData>
            </a:graphic>
          </wp:inline>
        </w:drawing>
      </w:r>
    </w:p>
    <w:p w14:paraId="5B8BF47F" w14:textId="5E993E73" w:rsidR="007379C8" w:rsidRPr="00E44923" w:rsidRDefault="004F6124" w:rsidP="00A53B65">
      <w:pPr>
        <w:spacing w:line="360" w:lineRule="auto"/>
        <w:ind w:left="66" w:firstLine="294"/>
        <w:jc w:val="center"/>
        <w:rPr>
          <w:rFonts w:ascii="Arial" w:hAnsi="Arial" w:cs="Arial"/>
          <w:color w:val="0D0D0D" w:themeColor="text1" w:themeTint="F2"/>
          <w:szCs w:val="22"/>
        </w:rPr>
      </w:pPr>
      <w:r w:rsidRPr="00E44923">
        <w:rPr>
          <w:rFonts w:ascii="Arial" w:hAnsi="Arial" w:cs="Arial"/>
          <w:color w:val="0D0D0D" w:themeColor="text1" w:themeTint="F2"/>
          <w:szCs w:val="22"/>
        </w:rPr>
        <w:t>Figure</w:t>
      </w:r>
      <w:r w:rsidR="00FA7611" w:rsidRPr="00E44923">
        <w:rPr>
          <w:rFonts w:ascii="Arial" w:hAnsi="Arial" w:cs="Arial"/>
          <w:color w:val="0D0D0D" w:themeColor="text1" w:themeTint="F2"/>
          <w:szCs w:val="22"/>
        </w:rPr>
        <w:t xml:space="preserve"> 4</w:t>
      </w:r>
      <w:r w:rsidRPr="00E44923">
        <w:rPr>
          <w:rFonts w:ascii="Arial" w:hAnsi="Arial" w:cs="Arial"/>
          <w:color w:val="0D0D0D" w:themeColor="text1" w:themeTint="F2"/>
          <w:szCs w:val="22"/>
        </w:rPr>
        <w:t xml:space="preserve">: Indian </w:t>
      </w:r>
      <w:r w:rsidRPr="00E44923">
        <w:rPr>
          <w:rFonts w:ascii="Arial" w:eastAsia="Calibri" w:hAnsi="Arial" w:cs="Arial"/>
          <w:color w:val="0D0D0D" w:themeColor="text1" w:themeTint="F2"/>
          <w:szCs w:val="22"/>
        </w:rPr>
        <w:t>monsoon</w:t>
      </w:r>
      <w:r w:rsidRPr="00E44923">
        <w:rPr>
          <w:rFonts w:ascii="Arial" w:hAnsi="Arial" w:cs="Arial"/>
          <w:color w:val="0D0D0D" w:themeColor="text1" w:themeTint="F2"/>
          <w:szCs w:val="22"/>
        </w:rPr>
        <w:t xml:space="preserve"> system and </w:t>
      </w:r>
      <w:r w:rsidRPr="00E44923">
        <w:rPr>
          <w:rFonts w:ascii="Arial" w:eastAsia="Calibri" w:hAnsi="Arial" w:cs="Arial"/>
          <w:color w:val="0D0D0D" w:themeColor="text1" w:themeTint="F2"/>
          <w:szCs w:val="22"/>
        </w:rPr>
        <w:t>variation in</w:t>
      </w:r>
      <w:r w:rsidRPr="00E44923">
        <w:rPr>
          <w:rFonts w:ascii="Arial" w:hAnsi="Arial" w:cs="Arial"/>
          <w:color w:val="0D0D0D" w:themeColor="text1" w:themeTint="F2"/>
          <w:szCs w:val="22"/>
        </w:rPr>
        <w:t xml:space="preserve"> and impact of global weather </w:t>
      </w:r>
      <w:r w:rsidRPr="00E44923">
        <w:rPr>
          <w:rFonts w:ascii="Arial" w:eastAsia="Calibri" w:hAnsi="Arial" w:cs="Arial"/>
          <w:color w:val="0D0D0D" w:themeColor="text1" w:themeTint="F2"/>
          <w:szCs w:val="22"/>
        </w:rPr>
        <w:t>patterns</w:t>
      </w:r>
      <w:r w:rsidRPr="00E44923">
        <w:rPr>
          <w:rFonts w:ascii="Arial" w:hAnsi="Arial" w:cs="Arial"/>
          <w:color w:val="0D0D0D" w:themeColor="text1" w:themeTint="F2"/>
          <w:szCs w:val="22"/>
        </w:rPr>
        <w:t xml:space="preserve"> on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Indian monsoon system</w:t>
      </w:r>
    </w:p>
    <w:p w14:paraId="232F9231" w14:textId="77777777" w:rsidR="001F2E2D" w:rsidRPr="00E44923" w:rsidRDefault="00AE296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The Indian Summer Monsoon and Its ISV</w:t>
      </w:r>
    </w:p>
    <w:p w14:paraId="73082469" w14:textId="01D3A1E9" w:rsidR="001F2E2D"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The ISM is one of the world’s most dynamic monsoon systems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delivering </w:t>
      </w:r>
      <w:r w:rsidRPr="00E44923">
        <w:rPr>
          <w:rFonts w:ascii="Arial" w:eastAsia="Calibri" w:hAnsi="Arial" w:cs="Arial"/>
          <w:color w:val="0D0D0D" w:themeColor="text1" w:themeTint="F2"/>
          <w:szCs w:val="22"/>
        </w:rPr>
        <w:t>75–90%</w:t>
      </w:r>
      <w:r w:rsidRPr="00E44923">
        <w:rPr>
          <w:rFonts w:ascii="Arial" w:hAnsi="Arial" w:cs="Arial"/>
          <w:color w:val="0D0D0D" w:themeColor="text1" w:themeTint="F2"/>
          <w:szCs w:val="22"/>
        </w:rPr>
        <w:t xml:space="preserve">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annual rainfall (Parthasarathy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w:t>
      </w:r>
      <w:r w:rsidR="00163D9A" w:rsidRPr="00E44923">
        <w:rPr>
          <w:rFonts w:ascii="Arial" w:hAnsi="Arial" w:cs="Arial"/>
          <w:color w:val="0D0D0D" w:themeColor="text1" w:themeTint="F2"/>
          <w:szCs w:val="22"/>
        </w:rPr>
        <w:t>1</w:t>
      </w:r>
      <w:r w:rsidRPr="00E44923">
        <w:rPr>
          <w:rFonts w:ascii="Arial" w:hAnsi="Arial" w:cs="Arial"/>
          <w:color w:val="0D0D0D" w:themeColor="text1" w:themeTint="F2"/>
          <w:szCs w:val="22"/>
        </w:rPr>
        <w:t xml:space="preserve">). ISMR variability is driven by large-scale climate factors such as the MJO, IOD, and ENSO, </w:t>
      </w:r>
      <w:r w:rsidRPr="00E44923">
        <w:rPr>
          <w:rFonts w:ascii="Arial" w:eastAsia="Calibri" w:hAnsi="Arial" w:cs="Arial"/>
          <w:color w:val="0D0D0D" w:themeColor="text1" w:themeTint="F2"/>
          <w:szCs w:val="22"/>
        </w:rPr>
        <w:t>which impact</w:t>
      </w:r>
      <w:r w:rsidRPr="00E44923">
        <w:rPr>
          <w:rFonts w:ascii="Arial" w:hAnsi="Arial" w:cs="Arial"/>
          <w:color w:val="0D0D0D" w:themeColor="text1" w:themeTint="F2"/>
          <w:szCs w:val="22"/>
        </w:rPr>
        <w:t xml:space="preserve"> crop production (Ratna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An ERP of the SWM and the active break cycle is crucial for providing accurate advisories in India, where monsoon performance directly impacts agriculture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The variability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ISM impacts numerous public interest sectors, especially agriculture and water resources (Mohanty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Changes in ISM trends significantly affect millions </w:t>
      </w:r>
      <w:r w:rsidRPr="00E44923">
        <w:rPr>
          <w:rFonts w:ascii="Arial" w:eastAsia="Calibri" w:hAnsi="Arial" w:cs="Arial"/>
          <w:color w:val="0D0D0D" w:themeColor="text1" w:themeTint="F2"/>
          <w:szCs w:val="22"/>
        </w:rPr>
        <w:t xml:space="preserve">of people </w:t>
      </w:r>
      <w:r w:rsidRPr="00E44923">
        <w:rPr>
          <w:rFonts w:ascii="Arial" w:hAnsi="Arial" w:cs="Arial"/>
          <w:color w:val="0D0D0D" w:themeColor="text1" w:themeTint="F2"/>
          <w:szCs w:val="22"/>
        </w:rPr>
        <w:t xml:space="preserve">reliant on agriculture, with a notable increase in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ISM in western India and a decrease in </w:t>
      </w:r>
      <w:r w:rsidRPr="00E44923">
        <w:rPr>
          <w:rFonts w:ascii="Arial" w:eastAsia="Calibri" w:hAnsi="Arial" w:cs="Arial"/>
          <w:color w:val="0D0D0D" w:themeColor="text1" w:themeTint="F2"/>
          <w:szCs w:val="22"/>
        </w:rPr>
        <w:t>eastern India</w:t>
      </w:r>
      <w:r w:rsidRPr="00E44923">
        <w:rPr>
          <w:rFonts w:ascii="Arial" w:hAnsi="Arial" w:cs="Arial"/>
          <w:color w:val="0D0D0D" w:themeColor="text1" w:themeTint="F2"/>
          <w:szCs w:val="22"/>
        </w:rPr>
        <w:t xml:space="preserve"> over the past 40 years (Yadav and Ramesh Kumar, 2024).</w:t>
      </w:r>
      <w:r w:rsidR="00B31FDB" w:rsidRPr="00E44923">
        <w:rPr>
          <w:rFonts w:ascii="Arial" w:hAnsi="Arial" w:cs="Arial"/>
          <w:color w:val="0D0D0D" w:themeColor="text1" w:themeTint="F2"/>
          <w:szCs w:val="22"/>
        </w:rPr>
        <w:t xml:space="preserve"> Monsoon intraseasonal oscillation and its predictability </w:t>
      </w:r>
      <w:r w:rsidRPr="00E44923">
        <w:rPr>
          <w:rFonts w:ascii="Arial" w:eastAsia="Calibri" w:hAnsi="Arial" w:cs="Arial"/>
          <w:color w:val="0D0D0D" w:themeColor="text1" w:themeTint="F2"/>
          <w:szCs w:val="22"/>
        </w:rPr>
        <w:t>via the</w:t>
      </w:r>
      <w:r w:rsidR="00B31FDB" w:rsidRPr="00E44923">
        <w:rPr>
          <w:rFonts w:ascii="Arial" w:hAnsi="Arial" w:cs="Arial"/>
          <w:color w:val="0D0D0D" w:themeColor="text1" w:themeTint="F2"/>
          <w:szCs w:val="22"/>
        </w:rPr>
        <w:t xml:space="preserve"> ERWF were </w:t>
      </w:r>
      <w:r w:rsidRPr="00E44923">
        <w:rPr>
          <w:rFonts w:ascii="Arial" w:eastAsia="Calibri" w:hAnsi="Arial" w:cs="Arial"/>
          <w:color w:val="0D0D0D" w:themeColor="text1" w:themeTint="F2"/>
          <w:szCs w:val="22"/>
        </w:rPr>
        <w:t>described</w:t>
      </w:r>
      <w:r w:rsidR="00B31FDB" w:rsidRPr="00E44923">
        <w:rPr>
          <w:rFonts w:ascii="Arial" w:hAnsi="Arial" w:cs="Arial"/>
          <w:color w:val="0D0D0D" w:themeColor="text1" w:themeTint="F2"/>
          <w:szCs w:val="22"/>
        </w:rPr>
        <w:t xml:space="preserve"> by Seo et al. (2005)</w:t>
      </w:r>
      <w:r w:rsidRPr="00E44923">
        <w:rPr>
          <w:rFonts w:ascii="Arial" w:eastAsia="Calibri" w:hAnsi="Arial" w:cs="Arial"/>
          <w:color w:val="0D0D0D" w:themeColor="text1" w:themeTint="F2"/>
          <w:szCs w:val="22"/>
        </w:rPr>
        <w:t>,</w:t>
      </w:r>
      <w:r w:rsidR="00B31FDB" w:rsidRPr="00E44923">
        <w:rPr>
          <w:rFonts w:ascii="Arial" w:hAnsi="Arial" w:cs="Arial"/>
          <w:color w:val="0D0D0D" w:themeColor="text1" w:themeTint="F2"/>
          <w:szCs w:val="22"/>
        </w:rPr>
        <w:t xml:space="preserve"> Klotzbach et al. (2006)</w:t>
      </w:r>
      <w:r w:rsidRPr="00E44923">
        <w:rPr>
          <w:rFonts w:ascii="Arial" w:eastAsia="Calibri" w:hAnsi="Arial" w:cs="Arial"/>
          <w:color w:val="0D0D0D" w:themeColor="text1" w:themeTint="F2"/>
          <w:szCs w:val="22"/>
        </w:rPr>
        <w:t>,</w:t>
      </w:r>
      <w:r w:rsidR="00B31FDB" w:rsidRPr="00E44923">
        <w:rPr>
          <w:rFonts w:ascii="Arial" w:hAnsi="Arial" w:cs="Arial"/>
          <w:color w:val="0D0D0D" w:themeColor="text1" w:themeTint="F2"/>
          <w:szCs w:val="22"/>
        </w:rPr>
        <w:t xml:space="preserve"> Fu and Hsu (2011)</w:t>
      </w:r>
      <w:r w:rsidRPr="00E44923">
        <w:rPr>
          <w:rFonts w:ascii="Arial" w:eastAsia="Calibri" w:hAnsi="Arial" w:cs="Arial"/>
          <w:color w:val="0D0D0D" w:themeColor="text1" w:themeTint="F2"/>
          <w:szCs w:val="22"/>
        </w:rPr>
        <w:t>,</w:t>
      </w:r>
      <w:r w:rsidR="00B31FDB" w:rsidRPr="00E44923">
        <w:rPr>
          <w:rFonts w:ascii="Arial" w:hAnsi="Arial" w:cs="Arial"/>
          <w:color w:val="0D0D0D" w:themeColor="text1" w:themeTint="F2"/>
          <w:szCs w:val="22"/>
        </w:rPr>
        <w:t xml:space="preserve"> Agudelo et al. (2009)</w:t>
      </w:r>
      <w:r w:rsidRPr="00E44923">
        <w:rPr>
          <w:rFonts w:ascii="Arial" w:eastAsia="Calibri" w:hAnsi="Arial" w:cs="Arial"/>
          <w:color w:val="0D0D0D" w:themeColor="text1" w:themeTint="F2"/>
          <w:szCs w:val="22"/>
        </w:rPr>
        <w:t>,</w:t>
      </w:r>
      <w:r w:rsidR="00B31FDB" w:rsidRPr="00E44923">
        <w:rPr>
          <w:rFonts w:ascii="Arial" w:hAnsi="Arial" w:cs="Arial"/>
          <w:color w:val="0D0D0D" w:themeColor="text1" w:themeTint="F2"/>
          <w:szCs w:val="22"/>
        </w:rPr>
        <w:t xml:space="preserve"> </w:t>
      </w:r>
      <w:bookmarkStart w:id="0" w:name="_Hlk190513718"/>
      <w:r w:rsidR="00B31FDB" w:rsidRPr="00E44923">
        <w:rPr>
          <w:rFonts w:ascii="Arial" w:hAnsi="Arial" w:cs="Arial"/>
          <w:color w:val="0D0D0D" w:themeColor="text1" w:themeTint="F2"/>
          <w:szCs w:val="22"/>
        </w:rPr>
        <w:t>Sahai et al. (2013; 2019)</w:t>
      </w:r>
      <w:bookmarkEnd w:id="0"/>
      <w:r w:rsidRPr="00E44923">
        <w:rPr>
          <w:rFonts w:ascii="Arial" w:eastAsia="Calibri" w:hAnsi="Arial" w:cs="Arial"/>
          <w:color w:val="0D0D0D" w:themeColor="text1" w:themeTint="F2"/>
          <w:szCs w:val="22"/>
        </w:rPr>
        <w:t>,</w:t>
      </w:r>
      <w:r w:rsidR="00B31FDB" w:rsidRPr="00E44923">
        <w:rPr>
          <w:rFonts w:ascii="Arial"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and </w:t>
      </w:r>
      <w:r w:rsidR="00B31FDB" w:rsidRPr="00E44923">
        <w:rPr>
          <w:rFonts w:ascii="Arial" w:hAnsi="Arial" w:cs="Arial"/>
          <w:color w:val="0D0D0D" w:themeColor="text1" w:themeTint="F2"/>
          <w:szCs w:val="22"/>
        </w:rPr>
        <w:t>Zhu et al. (2024)</w:t>
      </w:r>
      <w:r w:rsidRPr="00E44923">
        <w:rPr>
          <w:rFonts w:ascii="Arial" w:eastAsia="Calibri" w:hAnsi="Arial" w:cs="Arial"/>
          <w:color w:val="0D0D0D" w:themeColor="text1" w:themeTint="F2"/>
          <w:szCs w:val="22"/>
        </w:rPr>
        <w:t>, who highlighted</w:t>
      </w:r>
      <w:r w:rsidR="00B31FDB" w:rsidRPr="00E44923">
        <w:rPr>
          <w:rFonts w:ascii="Arial" w:hAnsi="Arial" w:cs="Arial"/>
          <w:color w:val="0D0D0D" w:themeColor="text1" w:themeTint="F2"/>
          <w:szCs w:val="22"/>
        </w:rPr>
        <w:t xml:space="preserve"> the importance of </w:t>
      </w:r>
      <w:r w:rsidRPr="00E44923">
        <w:rPr>
          <w:rFonts w:ascii="Arial" w:eastAsia="Calibri" w:hAnsi="Arial" w:cs="Arial"/>
          <w:color w:val="0D0D0D" w:themeColor="text1" w:themeTint="F2"/>
          <w:szCs w:val="22"/>
        </w:rPr>
        <w:t xml:space="preserve">the </w:t>
      </w:r>
      <w:r w:rsidR="00B31FDB" w:rsidRPr="00E44923">
        <w:rPr>
          <w:rFonts w:ascii="Arial" w:hAnsi="Arial" w:cs="Arial"/>
          <w:color w:val="0D0D0D" w:themeColor="text1" w:themeTint="F2"/>
          <w:szCs w:val="22"/>
        </w:rPr>
        <w:t>MISO.</w:t>
      </w:r>
    </w:p>
    <w:p w14:paraId="1A69BC58" w14:textId="4F96063D" w:rsidR="002A5FF0" w:rsidRPr="00E44923" w:rsidRDefault="004F6124" w:rsidP="00A53B65">
      <w:pPr>
        <w:spacing w:line="360" w:lineRule="auto"/>
        <w:ind w:firstLine="709"/>
        <w:jc w:val="center"/>
        <w:rPr>
          <w:rFonts w:ascii="Arial" w:hAnsi="Arial" w:cs="Arial"/>
          <w:color w:val="0D0D0D" w:themeColor="text1" w:themeTint="F2"/>
          <w:szCs w:val="22"/>
        </w:rPr>
      </w:pPr>
      <w:r w:rsidRPr="00E44923">
        <w:rPr>
          <w:rFonts w:ascii="Arial" w:hAnsi="Arial" w:cs="Arial"/>
          <w:noProof/>
          <w:color w:val="0D0D0D" w:themeColor="text1" w:themeTint="F2"/>
          <w:szCs w:val="22"/>
        </w:rPr>
        <w:lastRenderedPageBreak/>
        <w:drawing>
          <wp:inline distT="0" distB="0" distL="0" distR="0" wp14:anchorId="45E0BC3E" wp14:editId="59A26EB6">
            <wp:extent cx="4599596" cy="1765158"/>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22012" cy="1773760"/>
                    </a:xfrm>
                    <a:prstGeom prst="rect">
                      <a:avLst/>
                    </a:prstGeom>
                    <a:noFill/>
                  </pic:spPr>
                </pic:pic>
              </a:graphicData>
            </a:graphic>
          </wp:inline>
        </w:drawing>
      </w:r>
    </w:p>
    <w:p w14:paraId="497A216F" w14:textId="5B88ED3E" w:rsidR="00DE2D45" w:rsidRPr="00E44923" w:rsidRDefault="00DE2D45" w:rsidP="00A53B65">
      <w:pPr>
        <w:spacing w:line="360" w:lineRule="auto"/>
        <w:ind w:firstLine="709"/>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Figure 5: Monsoon Trough</w:t>
      </w:r>
    </w:p>
    <w:p w14:paraId="656B3A88" w14:textId="77777777" w:rsidR="00505AB9"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Monsoon </w:t>
      </w:r>
      <w:r w:rsidRPr="00E44923">
        <w:rPr>
          <w:rStyle w:val="StrongEmphasis"/>
          <w:rFonts w:ascii="Arial" w:eastAsia="Calibri" w:hAnsi="Arial" w:cs="Arial"/>
          <w:color w:val="0D0D0D" w:themeColor="text1" w:themeTint="F2"/>
          <w:szCs w:val="22"/>
        </w:rPr>
        <w:t>onset</w:t>
      </w:r>
      <w:r w:rsidRPr="00E44923">
        <w:rPr>
          <w:rStyle w:val="StrongEmphasis"/>
          <w:rFonts w:ascii="Arial" w:hAnsi="Arial" w:cs="Arial"/>
          <w:color w:val="0D0D0D" w:themeColor="text1" w:themeTint="F2"/>
          <w:szCs w:val="22"/>
        </w:rPr>
        <w:t xml:space="preserve"> and its </w:t>
      </w:r>
      <w:r w:rsidRPr="00E44923">
        <w:rPr>
          <w:rStyle w:val="StrongEmphasis"/>
          <w:rFonts w:ascii="Arial" w:eastAsia="Calibri" w:hAnsi="Arial" w:cs="Arial"/>
          <w:color w:val="0D0D0D" w:themeColor="text1" w:themeTint="F2"/>
          <w:szCs w:val="22"/>
        </w:rPr>
        <w:t>predictability</w:t>
      </w:r>
    </w:p>
    <w:p w14:paraId="5DB166F2" w14:textId="132A6B5C" w:rsidR="001F2E2D" w:rsidRPr="00E44923" w:rsidRDefault="004F6124" w:rsidP="00A53B65">
      <w:pPr>
        <w:spacing w:line="360" w:lineRule="auto"/>
        <w:jc w:val="both"/>
        <w:rPr>
          <w:rFonts w:ascii="Arial" w:eastAsia="Times New Roman" w:hAnsi="Arial" w:cs="Arial"/>
          <w:color w:val="0D0D0D" w:themeColor="text1" w:themeTint="F2"/>
          <w:szCs w:val="22"/>
          <w:lang w:eastAsia="en-IN"/>
        </w:rPr>
      </w:pPr>
      <w:r w:rsidRPr="00E44923">
        <w:rPr>
          <w:rFonts w:ascii="Arial" w:eastAsia="Times New Roman" w:hAnsi="Arial" w:cs="Arial"/>
          <w:color w:val="0D0D0D" w:themeColor="text1" w:themeTint="F2"/>
          <w:szCs w:val="22"/>
          <w:lang w:eastAsia="en-IN"/>
        </w:rPr>
        <w:t>The onset of the ISM starting across Kerala is a critical and variable annual event (</w:t>
      </w:r>
      <w:proofErr w:type="spellStart"/>
      <w:r w:rsidRPr="00E44923">
        <w:rPr>
          <w:rFonts w:ascii="Arial" w:eastAsia="Times New Roman" w:hAnsi="Arial" w:cs="Arial"/>
          <w:color w:val="0D0D0D" w:themeColor="text1" w:themeTint="F2"/>
          <w:szCs w:val="22"/>
          <w:lang w:eastAsia="en-IN"/>
        </w:rPr>
        <w:t>Rajan</w:t>
      </w:r>
      <w:proofErr w:type="spellEnd"/>
      <w:r w:rsidRPr="00E44923">
        <w:rPr>
          <w:rFonts w:ascii="Arial" w:eastAsia="Times New Roman" w:hAnsi="Arial" w:cs="Arial"/>
          <w:color w:val="0D0D0D" w:themeColor="text1" w:themeTint="F2"/>
          <w:szCs w:val="22"/>
          <w:lang w:eastAsia="en-IN"/>
        </w:rPr>
        <w:t xml:space="preserve"> and </w:t>
      </w:r>
      <w:proofErr w:type="spellStart"/>
      <w:r w:rsidRPr="00E44923">
        <w:rPr>
          <w:rFonts w:ascii="Arial" w:eastAsia="Times New Roman" w:hAnsi="Arial" w:cs="Arial"/>
          <w:color w:val="0D0D0D" w:themeColor="text1" w:themeTint="F2"/>
          <w:szCs w:val="22"/>
          <w:lang w:eastAsia="en-IN"/>
        </w:rPr>
        <w:t>Desamsetti</w:t>
      </w:r>
      <w:proofErr w:type="spellEnd"/>
      <w:r w:rsidRPr="00E44923">
        <w:rPr>
          <w:rFonts w:ascii="Arial" w:eastAsia="Times New Roman" w:hAnsi="Arial" w:cs="Arial"/>
          <w:color w:val="0D0D0D" w:themeColor="text1" w:themeTint="F2"/>
          <w:szCs w:val="22"/>
          <w:lang w:eastAsia="en-IN"/>
        </w:rPr>
        <w:t xml:space="preserve">, 2021). While state-of-the-art models can predict large-scale processes, their ability to forecast monsoon onset is currently limited to two to three weeks in advance (Pradhan </w:t>
      </w:r>
      <w:r w:rsidR="00D72703" w:rsidRPr="00E44923">
        <w:rPr>
          <w:rFonts w:ascii="Arial" w:eastAsia="Times New Roman" w:hAnsi="Arial" w:cs="Arial"/>
          <w:i/>
          <w:iCs/>
          <w:color w:val="0D0D0D" w:themeColor="text1" w:themeTint="F2"/>
          <w:szCs w:val="22"/>
          <w:lang w:eastAsia="en-IN"/>
        </w:rPr>
        <w:t>et al.,</w:t>
      </w:r>
      <w:r w:rsidRPr="00E44923">
        <w:rPr>
          <w:rFonts w:ascii="Arial" w:eastAsia="Times New Roman" w:hAnsi="Arial" w:cs="Arial"/>
          <w:color w:val="0D0D0D" w:themeColor="text1" w:themeTint="F2"/>
          <w:szCs w:val="22"/>
          <w:lang w:eastAsia="en-IN"/>
        </w:rPr>
        <w:t xml:space="preserve"> 2017). Monsoon onset impacts agriculture and planning, with early or late onset posing challenges (Aijaz, 2013). Accurate forecasting remains difficult, with current IMD forecasts offering a 21-day lead with ±4 days' accuracy</w:t>
      </w:r>
      <w:r w:rsidR="00F638FA" w:rsidRPr="00E44923">
        <w:rPr>
          <w:rFonts w:ascii="Arial" w:eastAsia="Times New Roman" w:hAnsi="Arial" w:cs="Arial"/>
          <w:color w:val="0D0D0D" w:themeColor="text1" w:themeTint="F2"/>
          <w:szCs w:val="22"/>
          <w:lang w:eastAsia="en-IN"/>
        </w:rPr>
        <w:t xml:space="preserve">. </w:t>
      </w:r>
      <w:r w:rsidRPr="00E44923">
        <w:rPr>
          <w:rFonts w:ascii="Arial" w:eastAsia="Times New Roman" w:hAnsi="Arial" w:cs="Arial"/>
          <w:color w:val="0D0D0D" w:themeColor="text1" w:themeTint="F2"/>
          <w:szCs w:val="22"/>
          <w:lang w:eastAsia="en-IN"/>
        </w:rPr>
        <w:t xml:space="preserve">Predicting abrupt monsoon onset and withdrawal continues to be a challenge, especially because of false onset caused by </w:t>
      </w:r>
      <w:proofErr w:type="spellStart"/>
      <w:r w:rsidRPr="00E44923">
        <w:rPr>
          <w:rFonts w:ascii="Arial" w:eastAsia="Times New Roman" w:hAnsi="Arial" w:cs="Arial"/>
          <w:color w:val="0D0D0D" w:themeColor="text1" w:themeTint="F2"/>
          <w:szCs w:val="22"/>
          <w:lang w:eastAsia="en-IN"/>
        </w:rPr>
        <w:t>nonmonsoonal</w:t>
      </w:r>
      <w:proofErr w:type="spellEnd"/>
      <w:r w:rsidRPr="00E44923">
        <w:rPr>
          <w:rFonts w:ascii="Arial" w:eastAsia="Times New Roman" w:hAnsi="Arial" w:cs="Arial"/>
          <w:color w:val="0D0D0D" w:themeColor="text1" w:themeTint="F2"/>
          <w:szCs w:val="22"/>
          <w:lang w:eastAsia="en-IN"/>
        </w:rPr>
        <w:t xml:space="preserve"> systems (</w:t>
      </w:r>
      <w:proofErr w:type="spellStart"/>
      <w:r w:rsidRPr="00E44923">
        <w:rPr>
          <w:rFonts w:ascii="Arial" w:eastAsia="Times New Roman" w:hAnsi="Arial" w:cs="Arial"/>
          <w:color w:val="0D0D0D" w:themeColor="text1" w:themeTint="F2"/>
          <w:szCs w:val="22"/>
          <w:lang w:eastAsia="en-IN"/>
        </w:rPr>
        <w:t>Flatau</w:t>
      </w:r>
      <w:proofErr w:type="spellEnd"/>
      <w:r w:rsidRPr="00E44923">
        <w:rPr>
          <w:rFonts w:ascii="Arial" w:eastAsia="Times New Roman" w:hAnsi="Arial" w:cs="Arial"/>
          <w:color w:val="0D0D0D" w:themeColor="text1" w:themeTint="F2"/>
          <w:szCs w:val="22"/>
          <w:lang w:eastAsia="en-IN"/>
        </w:rPr>
        <w:t xml:space="preserve"> </w:t>
      </w:r>
      <w:r w:rsidR="00D72703" w:rsidRPr="00E44923">
        <w:rPr>
          <w:rFonts w:ascii="Arial" w:eastAsia="Times New Roman" w:hAnsi="Arial" w:cs="Arial"/>
          <w:i/>
          <w:iCs/>
          <w:color w:val="0D0D0D" w:themeColor="text1" w:themeTint="F2"/>
          <w:szCs w:val="22"/>
          <w:lang w:eastAsia="en-IN"/>
        </w:rPr>
        <w:t>et al.,</w:t>
      </w:r>
      <w:r w:rsidRPr="00E44923">
        <w:rPr>
          <w:rFonts w:ascii="Arial" w:eastAsia="Times New Roman" w:hAnsi="Arial" w:cs="Arial"/>
          <w:color w:val="0D0D0D" w:themeColor="text1" w:themeTint="F2"/>
          <w:szCs w:val="22"/>
          <w:lang w:eastAsia="en-IN"/>
        </w:rPr>
        <w:t xml:space="preserve"> 2001)</w:t>
      </w:r>
      <w:r w:rsidR="00FA7611" w:rsidRPr="00E44923">
        <w:rPr>
          <w:rFonts w:ascii="Arial" w:eastAsia="Times New Roman" w:hAnsi="Arial" w:cs="Arial"/>
          <w:color w:val="0D0D0D" w:themeColor="text1" w:themeTint="F2"/>
          <w:szCs w:val="22"/>
          <w:lang w:eastAsia="en-IN"/>
        </w:rPr>
        <w:t xml:space="preserve"> (Figure 5)</w:t>
      </w:r>
      <w:r w:rsidRPr="00E44923">
        <w:rPr>
          <w:rFonts w:ascii="Arial" w:eastAsia="Times New Roman" w:hAnsi="Arial" w:cs="Arial"/>
          <w:color w:val="0D0D0D" w:themeColor="text1" w:themeTint="F2"/>
          <w:szCs w:val="22"/>
          <w:lang w:eastAsia="en-IN"/>
        </w:rPr>
        <w:t>.</w:t>
      </w:r>
    </w:p>
    <w:p w14:paraId="79C72F32" w14:textId="77777777" w:rsidR="008E2B8B" w:rsidRPr="00E44923" w:rsidRDefault="004F6124" w:rsidP="00A53B65">
      <w:pPr>
        <w:spacing w:line="360" w:lineRule="auto"/>
        <w:ind w:firstLine="720"/>
        <w:jc w:val="both"/>
        <w:rPr>
          <w:rFonts w:ascii="Arial" w:eastAsia="Times New Roman" w:hAnsi="Arial" w:cs="Arial"/>
          <w:b/>
          <w:bCs/>
          <w:color w:val="0D0D0D" w:themeColor="text1" w:themeTint="F2"/>
          <w:szCs w:val="22"/>
          <w:lang w:eastAsia="en-IN"/>
        </w:rPr>
      </w:pPr>
      <w:r w:rsidRPr="00E44923">
        <w:rPr>
          <w:rFonts w:ascii="Arial" w:eastAsia="Times New Roman" w:hAnsi="Arial" w:cs="Arial"/>
          <w:b/>
          <w:bCs/>
          <w:noProof/>
          <w:color w:val="0D0D0D" w:themeColor="text1" w:themeTint="F2"/>
          <w:szCs w:val="22"/>
          <w:lang w:eastAsia="en-IN"/>
        </w:rPr>
        <w:drawing>
          <wp:inline distT="0" distB="0" distL="0" distR="0" wp14:anchorId="477E344D" wp14:editId="4FA9554C">
            <wp:extent cx="5449052" cy="2705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55524" cy="2708313"/>
                    </a:xfrm>
                    <a:prstGeom prst="rect">
                      <a:avLst/>
                    </a:prstGeom>
                    <a:noFill/>
                  </pic:spPr>
                </pic:pic>
              </a:graphicData>
            </a:graphic>
          </wp:inline>
        </w:drawing>
      </w:r>
    </w:p>
    <w:p w14:paraId="696A96D5" w14:textId="2454A9D9" w:rsidR="002A5FF0" w:rsidRPr="00E44923" w:rsidRDefault="008E2B8B" w:rsidP="00A53B65">
      <w:pPr>
        <w:spacing w:line="360" w:lineRule="auto"/>
        <w:ind w:firstLine="720"/>
        <w:jc w:val="center"/>
        <w:rPr>
          <w:rFonts w:ascii="Arial" w:eastAsia="Times New Roman" w:hAnsi="Arial" w:cs="Arial"/>
          <w:color w:val="0D0D0D" w:themeColor="text1" w:themeTint="F2"/>
          <w:szCs w:val="22"/>
          <w:lang w:eastAsia="en-IN"/>
        </w:rPr>
      </w:pPr>
      <w:r w:rsidRPr="00E44923">
        <w:rPr>
          <w:rFonts w:ascii="Arial" w:eastAsia="Times New Roman" w:hAnsi="Arial" w:cs="Arial"/>
          <w:b/>
          <w:bCs/>
          <w:color w:val="0D0D0D" w:themeColor="text1" w:themeTint="F2"/>
          <w:szCs w:val="22"/>
          <w:lang w:eastAsia="en-IN"/>
        </w:rPr>
        <w:t>Figure</w:t>
      </w:r>
      <w:r w:rsidR="00FA7611" w:rsidRPr="00E44923">
        <w:rPr>
          <w:rFonts w:ascii="Arial" w:eastAsia="Times New Roman" w:hAnsi="Arial" w:cs="Arial"/>
          <w:b/>
          <w:bCs/>
          <w:color w:val="0D0D0D" w:themeColor="text1" w:themeTint="F2"/>
          <w:szCs w:val="22"/>
          <w:lang w:eastAsia="en-IN"/>
        </w:rPr>
        <w:t xml:space="preserve"> </w:t>
      </w:r>
      <w:r w:rsidR="00CE3AB8" w:rsidRPr="00E44923">
        <w:rPr>
          <w:rFonts w:ascii="Arial" w:eastAsia="Times New Roman" w:hAnsi="Arial" w:cs="Arial"/>
          <w:b/>
          <w:bCs/>
          <w:color w:val="0D0D0D" w:themeColor="text1" w:themeTint="F2"/>
          <w:szCs w:val="22"/>
          <w:lang w:eastAsia="en-IN"/>
        </w:rPr>
        <w:t>6</w:t>
      </w:r>
      <w:r w:rsidRPr="00E44923">
        <w:rPr>
          <w:rFonts w:ascii="Arial" w:eastAsia="Times New Roman" w:hAnsi="Arial" w:cs="Arial"/>
          <w:b/>
          <w:bCs/>
          <w:color w:val="0D0D0D" w:themeColor="text1" w:themeTint="F2"/>
          <w:szCs w:val="22"/>
          <w:lang w:eastAsia="en-IN"/>
        </w:rPr>
        <w:t xml:space="preserve">: Onset and </w:t>
      </w:r>
      <w:r w:rsidR="004F6124" w:rsidRPr="00E44923">
        <w:rPr>
          <w:rFonts w:ascii="Arial" w:eastAsia="Times New Roman" w:hAnsi="Arial" w:cs="Arial"/>
          <w:b/>
          <w:bCs/>
          <w:color w:val="0D0D0D" w:themeColor="text1" w:themeTint="F2"/>
          <w:szCs w:val="22"/>
          <w:lang w:eastAsia="en-IN"/>
        </w:rPr>
        <w:t>withdrawal</w:t>
      </w:r>
      <w:r w:rsidRPr="00E44923">
        <w:rPr>
          <w:rFonts w:ascii="Arial" w:eastAsia="Times New Roman" w:hAnsi="Arial" w:cs="Arial"/>
          <w:b/>
          <w:bCs/>
          <w:color w:val="0D0D0D" w:themeColor="text1" w:themeTint="F2"/>
          <w:szCs w:val="22"/>
          <w:lang w:eastAsia="en-IN"/>
        </w:rPr>
        <w:t xml:space="preserve"> (Picture Credit: imd.gov.in)</w:t>
      </w:r>
    </w:p>
    <w:p w14:paraId="39296B61" w14:textId="77777777" w:rsidR="002946C7" w:rsidRPr="00E44923" w:rsidRDefault="00A2700C"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Prediction of </w:t>
      </w:r>
      <w:r w:rsidR="004F6124"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 xml:space="preserve">Active and Break Phases of the Indian Monsoon </w:t>
      </w:r>
      <w:r w:rsidR="004F6124" w:rsidRPr="00E44923">
        <w:rPr>
          <w:rStyle w:val="StrongEmphasis"/>
          <w:rFonts w:ascii="Arial" w:eastAsia="Calibri" w:hAnsi="Arial" w:cs="Arial"/>
          <w:color w:val="0D0D0D" w:themeColor="text1" w:themeTint="F2"/>
          <w:szCs w:val="22"/>
        </w:rPr>
        <w:t>via</w:t>
      </w:r>
      <w:r w:rsidRPr="00E44923">
        <w:rPr>
          <w:rStyle w:val="StrongEmphasis"/>
          <w:rFonts w:ascii="Arial" w:hAnsi="Arial" w:cs="Arial"/>
          <w:color w:val="0D0D0D" w:themeColor="text1" w:themeTint="F2"/>
          <w:szCs w:val="22"/>
        </w:rPr>
        <w:t xml:space="preserve"> Critical Analysis of </w:t>
      </w:r>
      <w:r w:rsidR="004F6124"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w:t>
      </w:r>
    </w:p>
    <w:p w14:paraId="050947B3" w14:textId="1148ECF7" w:rsidR="00BD5F4D"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eastAsia="Calibri" w:hAnsi="Arial" w:cs="Arial"/>
          <w:b w:val="0"/>
          <w:bCs w:val="0"/>
          <w:color w:val="0D0D0D" w:themeColor="text1" w:themeTint="F2"/>
          <w:szCs w:val="22"/>
        </w:rPr>
        <w:lastRenderedPageBreak/>
        <w:t xml:space="preserve">The </w:t>
      </w:r>
      <w:r w:rsidR="002946C7" w:rsidRPr="00E44923">
        <w:rPr>
          <w:rFonts w:ascii="Arial" w:hAnsi="Arial" w:cs="Arial"/>
          <w:color w:val="0D0D0D" w:themeColor="text1" w:themeTint="F2"/>
          <w:szCs w:val="22"/>
        </w:rPr>
        <w:t>ERWF</w:t>
      </w:r>
      <w:r w:rsidRPr="00E44923">
        <w:rPr>
          <w:rFonts w:ascii="Arial" w:eastAsia="Calibri" w:hAnsi="Arial" w:cs="Arial"/>
          <w:color w:val="0D0D0D" w:themeColor="text1" w:themeTint="F2"/>
          <w:szCs w:val="22"/>
        </w:rPr>
        <w:t>, which uses</w:t>
      </w:r>
      <w:r w:rsidR="002946C7" w:rsidRPr="00E44923">
        <w:rPr>
          <w:rFonts w:ascii="Arial" w:hAnsi="Arial" w:cs="Arial"/>
          <w:color w:val="0D0D0D" w:themeColor="text1" w:themeTint="F2"/>
          <w:szCs w:val="22"/>
        </w:rPr>
        <w:t xml:space="preserve"> dynamic models and ensemble forecasting</w:t>
      </w:r>
      <w:r w:rsidRPr="00E44923">
        <w:rPr>
          <w:rFonts w:ascii="Arial" w:eastAsia="Calibri" w:hAnsi="Arial" w:cs="Arial"/>
          <w:color w:val="0D0D0D" w:themeColor="text1" w:themeTint="F2"/>
          <w:szCs w:val="22"/>
        </w:rPr>
        <w:t>,</w:t>
      </w:r>
      <w:r w:rsidR="002946C7" w:rsidRPr="00E44923">
        <w:rPr>
          <w:rFonts w:ascii="Arial" w:hAnsi="Arial" w:cs="Arial"/>
          <w:color w:val="0D0D0D" w:themeColor="text1" w:themeTint="F2"/>
          <w:szCs w:val="22"/>
        </w:rPr>
        <w:t xml:space="preserve"> can predict large-scale atmospheric patterns </w:t>
      </w:r>
      <w:r w:rsidRPr="00E44923">
        <w:rPr>
          <w:rFonts w:ascii="Arial" w:eastAsia="Calibri" w:hAnsi="Arial" w:cs="Arial"/>
          <w:color w:val="0D0D0D" w:themeColor="text1" w:themeTint="F2"/>
          <w:szCs w:val="22"/>
        </w:rPr>
        <w:t>such as</w:t>
      </w:r>
      <w:r w:rsidR="002946C7" w:rsidRPr="00E44923">
        <w:rPr>
          <w:rFonts w:ascii="Arial" w:hAnsi="Arial" w:cs="Arial"/>
          <w:color w:val="0D0D0D" w:themeColor="text1" w:themeTint="F2"/>
          <w:szCs w:val="22"/>
        </w:rPr>
        <w:t xml:space="preserve"> MISO</w:t>
      </w:r>
      <w:r w:rsidRPr="00E44923">
        <w:rPr>
          <w:rFonts w:ascii="Arial" w:eastAsia="Calibri" w:hAnsi="Arial" w:cs="Arial"/>
          <w:color w:val="0D0D0D" w:themeColor="text1" w:themeTint="F2"/>
          <w:szCs w:val="22"/>
        </w:rPr>
        <w:t>,</w:t>
      </w:r>
      <w:r w:rsidR="002946C7" w:rsidRPr="00E44923">
        <w:rPr>
          <w:rFonts w:ascii="Arial" w:hAnsi="Arial" w:cs="Arial"/>
          <w:color w:val="0D0D0D" w:themeColor="text1" w:themeTint="F2"/>
          <w:szCs w:val="22"/>
        </w:rPr>
        <w:t xml:space="preserve"> which influence active and break spells </w:t>
      </w:r>
      <w:r w:rsidRPr="00E44923">
        <w:rPr>
          <w:rFonts w:ascii="Arial" w:eastAsia="Calibri" w:hAnsi="Arial" w:cs="Arial"/>
          <w:color w:val="0D0D0D" w:themeColor="text1" w:themeTint="F2"/>
          <w:szCs w:val="22"/>
        </w:rPr>
        <w:t>during</w:t>
      </w:r>
      <w:r w:rsidR="002946C7" w:rsidRPr="00E44923">
        <w:rPr>
          <w:rFonts w:ascii="Arial" w:hAnsi="Arial" w:cs="Arial"/>
          <w:color w:val="0D0D0D" w:themeColor="text1" w:themeTint="F2"/>
          <w:szCs w:val="22"/>
        </w:rPr>
        <w:t xml:space="preserve"> the Indian monsoon. </w:t>
      </w:r>
      <w:r w:rsidR="006D1AD0" w:rsidRPr="00E44923">
        <w:rPr>
          <w:rFonts w:ascii="Arial" w:hAnsi="Arial" w:cs="Arial"/>
          <w:color w:val="0D0D0D" w:themeColor="text1" w:themeTint="F2"/>
          <w:szCs w:val="22"/>
        </w:rPr>
        <w:t xml:space="preserve">Abhilash et al. (2014) </w:t>
      </w:r>
      <w:r w:rsidRPr="00E44923">
        <w:rPr>
          <w:rFonts w:ascii="Arial" w:eastAsia="Calibri" w:hAnsi="Arial" w:cs="Arial"/>
          <w:color w:val="0D0D0D" w:themeColor="text1" w:themeTint="F2"/>
          <w:szCs w:val="22"/>
        </w:rPr>
        <w:t>reported that the</w:t>
      </w:r>
      <w:r w:rsidR="002946C7" w:rsidRPr="00E44923">
        <w:rPr>
          <w:rFonts w:ascii="Arial" w:hAnsi="Arial" w:cs="Arial"/>
          <w:color w:val="0D0D0D" w:themeColor="text1" w:themeTint="F2"/>
          <w:szCs w:val="22"/>
        </w:rPr>
        <w:t xml:space="preserve"> ISMR </w:t>
      </w:r>
      <w:r w:rsidRPr="00E44923">
        <w:rPr>
          <w:rFonts w:ascii="Arial" w:eastAsia="Calibri" w:hAnsi="Arial" w:cs="Arial"/>
          <w:color w:val="0D0D0D" w:themeColor="text1" w:themeTint="F2"/>
          <w:szCs w:val="22"/>
        </w:rPr>
        <w:t>can reach</w:t>
      </w:r>
      <w:r w:rsidR="002946C7" w:rsidRPr="00E44923">
        <w:rPr>
          <w:rFonts w:ascii="Arial" w:hAnsi="Arial" w:cs="Arial"/>
          <w:color w:val="0D0D0D" w:themeColor="text1" w:themeTint="F2"/>
          <w:szCs w:val="22"/>
        </w:rPr>
        <w:t xml:space="preserve"> 3-</w:t>
      </w:r>
      <w:r w:rsidRPr="00E44923">
        <w:rPr>
          <w:rFonts w:ascii="Arial" w:eastAsia="Calibri" w:hAnsi="Arial" w:cs="Arial"/>
          <w:color w:val="0D0D0D" w:themeColor="text1" w:themeTint="F2"/>
          <w:szCs w:val="22"/>
        </w:rPr>
        <w:t>-</w:t>
      </w:r>
      <w:r w:rsidR="002946C7" w:rsidRPr="00E44923">
        <w:rPr>
          <w:rFonts w:ascii="Arial" w:hAnsi="Arial" w:cs="Arial"/>
          <w:color w:val="0D0D0D" w:themeColor="text1" w:themeTint="F2"/>
          <w:szCs w:val="22"/>
        </w:rPr>
        <w:t xml:space="preserve">4 pentads in advance, with a predictability limit of </w:t>
      </w:r>
      <w:r w:rsidRPr="00E44923">
        <w:rPr>
          <w:rFonts w:ascii="Arial" w:eastAsia="Calibri" w:hAnsi="Arial" w:cs="Arial"/>
          <w:color w:val="0D0D0D" w:themeColor="text1" w:themeTint="F2"/>
          <w:szCs w:val="22"/>
        </w:rPr>
        <w:t>approximately</w:t>
      </w:r>
      <w:r w:rsidR="002946C7" w:rsidRPr="00E44923">
        <w:rPr>
          <w:rFonts w:ascii="Arial" w:hAnsi="Arial" w:cs="Arial"/>
          <w:color w:val="0D0D0D" w:themeColor="text1" w:themeTint="F2"/>
          <w:szCs w:val="22"/>
        </w:rPr>
        <w:t xml:space="preserve"> 15 days for precipitation</w:t>
      </w:r>
      <w:r w:rsidRPr="00E44923">
        <w:rPr>
          <w:rFonts w:ascii="Arial" w:eastAsia="Calibri" w:hAnsi="Arial" w:cs="Arial"/>
          <w:color w:val="0D0D0D" w:themeColor="text1" w:themeTint="F2"/>
          <w:szCs w:val="22"/>
        </w:rPr>
        <w:t>.</w:t>
      </w:r>
      <w:r w:rsidR="002946C7" w:rsidRPr="00E44923">
        <w:rPr>
          <w:rFonts w:ascii="Arial" w:hAnsi="Arial" w:cs="Arial"/>
          <w:color w:val="0D0D0D" w:themeColor="text1" w:themeTint="F2"/>
          <w:szCs w:val="22"/>
        </w:rPr>
        <w:t xml:space="preserve"> Probabilistic forecasts </w:t>
      </w:r>
      <w:r w:rsidRPr="00E44923">
        <w:rPr>
          <w:rFonts w:ascii="Arial" w:eastAsia="Calibri" w:hAnsi="Arial" w:cs="Arial"/>
          <w:color w:val="0D0D0D" w:themeColor="text1" w:themeTint="F2"/>
          <w:szCs w:val="22"/>
        </w:rPr>
        <w:t>revealed</w:t>
      </w:r>
      <w:r w:rsidR="002946C7" w:rsidRPr="00E44923">
        <w:rPr>
          <w:rFonts w:ascii="Arial" w:hAnsi="Arial" w:cs="Arial"/>
          <w:color w:val="0D0D0D" w:themeColor="text1" w:themeTint="F2"/>
          <w:szCs w:val="22"/>
        </w:rPr>
        <w:t xml:space="preserve"> a higher skill for active and break conditions </w:t>
      </w:r>
      <w:r w:rsidRPr="00E44923">
        <w:rPr>
          <w:rFonts w:ascii="Arial" w:eastAsia="Calibri" w:hAnsi="Arial" w:cs="Arial"/>
          <w:color w:val="0D0D0D" w:themeColor="text1" w:themeTint="F2"/>
          <w:szCs w:val="22"/>
        </w:rPr>
        <w:t>than for</w:t>
      </w:r>
      <w:r w:rsidR="002946C7" w:rsidRPr="00E44923">
        <w:rPr>
          <w:rFonts w:ascii="Arial" w:hAnsi="Arial" w:cs="Arial"/>
          <w:color w:val="0D0D0D" w:themeColor="text1" w:themeTint="F2"/>
          <w:szCs w:val="22"/>
        </w:rPr>
        <w:t xml:space="preserve"> normal categories, extending beyond </w:t>
      </w:r>
      <w:r w:rsidRPr="00E44923">
        <w:rPr>
          <w:rFonts w:ascii="Arial" w:eastAsia="Calibri" w:hAnsi="Arial" w:cs="Arial"/>
          <w:color w:val="0D0D0D" w:themeColor="text1" w:themeTint="F2"/>
          <w:szCs w:val="22"/>
        </w:rPr>
        <w:t xml:space="preserve">the </w:t>
      </w:r>
      <w:r w:rsidR="002946C7" w:rsidRPr="00E44923">
        <w:rPr>
          <w:rFonts w:ascii="Arial" w:hAnsi="Arial" w:cs="Arial"/>
          <w:color w:val="0D0D0D" w:themeColor="text1" w:themeTint="F2"/>
          <w:szCs w:val="22"/>
        </w:rPr>
        <w:t>pentad 4 lead time. These forecasts are crucial for agricultural planning.</w:t>
      </w:r>
      <w:r w:rsidRPr="00E44923">
        <w:rPr>
          <w:rFonts w:ascii="Arial" w:eastAsia="Calibri" w:hAnsi="Arial" w:cs="Arial"/>
          <w:color w:val="0D0D0D" w:themeColor="text1" w:themeTint="F2"/>
          <w:szCs w:val="22"/>
        </w:rPr>
        <w:t xml:space="preserve"> </w:t>
      </w:r>
      <w:r w:rsidR="002946C7" w:rsidRPr="00E44923">
        <w:rPr>
          <w:rFonts w:ascii="Arial" w:hAnsi="Arial" w:cs="Arial"/>
          <w:color w:val="0D0D0D" w:themeColor="text1" w:themeTint="F2"/>
          <w:szCs w:val="22"/>
        </w:rPr>
        <w:t xml:space="preserve">The monsoon trough, a </w:t>
      </w:r>
      <w:r w:rsidRPr="00E44923">
        <w:rPr>
          <w:rFonts w:ascii="Arial" w:eastAsia="Calibri" w:hAnsi="Arial" w:cs="Arial"/>
          <w:color w:val="0D0D0D" w:themeColor="text1" w:themeTint="F2"/>
          <w:szCs w:val="22"/>
        </w:rPr>
        <w:t>semipermanent</w:t>
      </w:r>
      <w:r w:rsidR="002946C7" w:rsidRPr="00E44923">
        <w:rPr>
          <w:rFonts w:ascii="Arial" w:hAnsi="Arial" w:cs="Arial"/>
          <w:color w:val="0D0D0D" w:themeColor="text1" w:themeTint="F2"/>
          <w:szCs w:val="22"/>
        </w:rPr>
        <w:t xml:space="preserve"> feature stretching from Pakistan to the Bay of Bengal, plays a significant role in this dynamic, as its southward migration enhances monsoon strength, </w:t>
      </w:r>
      <w:r w:rsidRPr="00E44923">
        <w:rPr>
          <w:rFonts w:ascii="Arial" w:eastAsia="Calibri" w:hAnsi="Arial" w:cs="Arial"/>
          <w:color w:val="0D0D0D" w:themeColor="text1" w:themeTint="F2"/>
          <w:szCs w:val="22"/>
        </w:rPr>
        <w:t>whereas</w:t>
      </w:r>
      <w:r w:rsidR="002946C7" w:rsidRPr="00E44923">
        <w:rPr>
          <w:rFonts w:ascii="Arial" w:hAnsi="Arial" w:cs="Arial"/>
          <w:color w:val="0D0D0D" w:themeColor="text1" w:themeTint="F2"/>
          <w:szCs w:val="22"/>
        </w:rPr>
        <w:t xml:space="preserve"> northward movement can lead to breaks and heavy rainfall in northern regions (Goel </w:t>
      </w:r>
      <w:r w:rsidR="00D72703" w:rsidRPr="00E44923">
        <w:rPr>
          <w:rFonts w:ascii="Arial" w:hAnsi="Arial" w:cs="Arial"/>
          <w:i/>
          <w:iCs/>
          <w:color w:val="0D0D0D" w:themeColor="text1" w:themeTint="F2"/>
          <w:szCs w:val="22"/>
        </w:rPr>
        <w:t>et al.,</w:t>
      </w:r>
      <w:r w:rsidR="002946C7" w:rsidRPr="00E44923">
        <w:rPr>
          <w:rFonts w:ascii="Arial" w:hAnsi="Arial" w:cs="Arial"/>
          <w:color w:val="0D0D0D" w:themeColor="text1" w:themeTint="F2"/>
          <w:szCs w:val="22"/>
        </w:rPr>
        <w:t xml:space="preserve"> 1990; Feng </w:t>
      </w:r>
      <w:r w:rsidR="00D72703" w:rsidRPr="00E44923">
        <w:rPr>
          <w:rFonts w:ascii="Arial" w:hAnsi="Arial" w:cs="Arial"/>
          <w:i/>
          <w:iCs/>
          <w:color w:val="0D0D0D" w:themeColor="text1" w:themeTint="F2"/>
          <w:szCs w:val="22"/>
        </w:rPr>
        <w:t>et al.,</w:t>
      </w:r>
      <w:r w:rsidR="002946C7" w:rsidRPr="00E44923">
        <w:rPr>
          <w:rFonts w:ascii="Arial" w:hAnsi="Arial" w:cs="Arial"/>
          <w:color w:val="0D0D0D" w:themeColor="text1" w:themeTint="F2"/>
          <w:szCs w:val="22"/>
        </w:rPr>
        <w:t xml:space="preserve"> 2020). Skill analysis indicates that </w:t>
      </w:r>
      <w:proofErr w:type="spellStart"/>
      <w:r w:rsidR="002946C7" w:rsidRPr="00E44923">
        <w:rPr>
          <w:rFonts w:ascii="Arial" w:hAnsi="Arial" w:cs="Arial"/>
          <w:color w:val="0D0D0D" w:themeColor="text1" w:themeTint="F2"/>
          <w:szCs w:val="22"/>
        </w:rPr>
        <w:t>multimodel</w:t>
      </w:r>
      <w:proofErr w:type="spellEnd"/>
      <w:r w:rsidR="002946C7" w:rsidRPr="00E44923">
        <w:rPr>
          <w:rFonts w:ascii="Arial" w:hAnsi="Arial" w:cs="Arial"/>
          <w:color w:val="0D0D0D" w:themeColor="text1" w:themeTint="F2"/>
          <w:szCs w:val="22"/>
        </w:rPr>
        <w:t xml:space="preserve"> ensemble (MME) forecasts are effective </w:t>
      </w:r>
      <w:r w:rsidRPr="00E44923">
        <w:rPr>
          <w:rFonts w:ascii="Arial" w:eastAsia="Calibri" w:hAnsi="Arial" w:cs="Arial"/>
          <w:color w:val="0D0D0D" w:themeColor="text1" w:themeTint="F2"/>
          <w:szCs w:val="22"/>
        </w:rPr>
        <w:t>at</w:t>
      </w:r>
      <w:r w:rsidR="002946C7" w:rsidRPr="00E44923">
        <w:rPr>
          <w:rFonts w:ascii="Arial" w:hAnsi="Arial" w:cs="Arial"/>
          <w:color w:val="0D0D0D" w:themeColor="text1" w:themeTint="F2"/>
          <w:szCs w:val="22"/>
        </w:rPr>
        <w:t xml:space="preserve"> predicting these patterns at a broad scale (Sahai </w:t>
      </w:r>
      <w:r w:rsidR="00D72703" w:rsidRPr="00E44923">
        <w:rPr>
          <w:rFonts w:ascii="Arial" w:hAnsi="Arial" w:cs="Arial"/>
          <w:i/>
          <w:iCs/>
          <w:color w:val="0D0D0D" w:themeColor="text1" w:themeTint="F2"/>
          <w:szCs w:val="22"/>
        </w:rPr>
        <w:t>et al.,</w:t>
      </w:r>
      <w:r w:rsidR="002946C7" w:rsidRPr="00E44923">
        <w:rPr>
          <w:rFonts w:ascii="Arial" w:hAnsi="Arial" w:cs="Arial"/>
          <w:color w:val="0D0D0D" w:themeColor="text1" w:themeTint="F2"/>
          <w:szCs w:val="22"/>
        </w:rPr>
        <w:t xml:space="preserve"> 2019). </w:t>
      </w:r>
      <w:r w:rsidR="0063057B" w:rsidRPr="00E44923">
        <w:rPr>
          <w:rFonts w:ascii="Arial" w:hAnsi="Arial" w:cs="Arial"/>
          <w:color w:val="0D0D0D" w:themeColor="text1" w:themeTint="F2"/>
          <w:szCs w:val="22"/>
        </w:rPr>
        <w:t xml:space="preserve">Research has shown that the predictability of the Indian monsoon's active and break phases, associated with ISO variations, is </w:t>
      </w:r>
      <w:r w:rsidRPr="00E44923">
        <w:rPr>
          <w:rFonts w:ascii="Arial" w:eastAsia="Calibri" w:hAnsi="Arial" w:cs="Arial"/>
          <w:color w:val="0D0D0D" w:themeColor="text1" w:themeTint="F2"/>
          <w:szCs w:val="22"/>
        </w:rPr>
        <w:t xml:space="preserve">also </w:t>
      </w:r>
      <w:r w:rsidR="0063057B" w:rsidRPr="00E44923">
        <w:rPr>
          <w:rFonts w:ascii="Arial" w:hAnsi="Arial" w:cs="Arial"/>
          <w:color w:val="0D0D0D" w:themeColor="text1" w:themeTint="F2"/>
          <w:szCs w:val="22"/>
        </w:rPr>
        <w:t xml:space="preserve">essential for accurate seasonal forecasting </w:t>
      </w:r>
      <w:r w:rsidR="002B180D" w:rsidRPr="00E44923">
        <w:rPr>
          <w:rFonts w:ascii="Arial" w:hAnsi="Arial" w:cs="Arial"/>
          <w:color w:val="0D0D0D" w:themeColor="text1" w:themeTint="F2"/>
          <w:szCs w:val="22"/>
        </w:rPr>
        <w:t xml:space="preserve">(Kulkarni </w:t>
      </w:r>
      <w:r w:rsidR="00D72703" w:rsidRPr="00E44923">
        <w:rPr>
          <w:rFonts w:ascii="Arial" w:hAnsi="Arial" w:cs="Arial"/>
          <w:i/>
          <w:iCs/>
          <w:color w:val="0D0D0D" w:themeColor="text1" w:themeTint="F2"/>
          <w:szCs w:val="22"/>
        </w:rPr>
        <w:t>et al.,</w:t>
      </w:r>
      <w:r w:rsidR="002B180D" w:rsidRPr="00E44923">
        <w:rPr>
          <w:rFonts w:ascii="Arial" w:hAnsi="Arial" w:cs="Arial"/>
          <w:color w:val="0D0D0D" w:themeColor="text1" w:themeTint="F2"/>
          <w:szCs w:val="22"/>
        </w:rPr>
        <w:t xml:space="preserve"> 2011). Goswami et al. (2003) predicted ISM active and break phases for agricultural planning, revealing that monsoon break predictability (</w:t>
      </w:r>
      <w:r w:rsidR="002B180D" w:rsidRPr="00E44923">
        <w:rPr>
          <w:rFonts w:ascii="Cambria Math" w:hAnsi="Cambria Math" w:cs="Cambria Math"/>
          <w:color w:val="0D0D0D" w:themeColor="text1" w:themeTint="F2"/>
          <w:szCs w:val="22"/>
        </w:rPr>
        <w:t>∼</w:t>
      </w:r>
      <w:r w:rsidR="002B180D" w:rsidRPr="00E44923">
        <w:rPr>
          <w:rFonts w:ascii="Arial" w:hAnsi="Arial" w:cs="Arial"/>
          <w:color w:val="0D0D0D" w:themeColor="text1" w:themeTint="F2"/>
          <w:szCs w:val="22"/>
        </w:rPr>
        <w:t xml:space="preserve">20 days) is </w:t>
      </w:r>
      <w:r w:rsidRPr="00E44923">
        <w:rPr>
          <w:rFonts w:ascii="Arial" w:eastAsia="Calibri" w:hAnsi="Arial" w:cs="Arial"/>
          <w:color w:val="0D0D0D" w:themeColor="text1" w:themeTint="F2"/>
          <w:szCs w:val="22"/>
        </w:rPr>
        <w:t>greater</w:t>
      </w:r>
      <w:r w:rsidR="002B180D" w:rsidRPr="00E44923">
        <w:rPr>
          <w:rFonts w:ascii="Arial" w:hAnsi="Arial" w:cs="Arial"/>
          <w:color w:val="0D0D0D" w:themeColor="text1" w:themeTint="F2"/>
          <w:szCs w:val="22"/>
        </w:rPr>
        <w:t xml:space="preserve"> than </w:t>
      </w:r>
      <w:r w:rsidRPr="00E44923">
        <w:rPr>
          <w:rFonts w:ascii="Arial" w:eastAsia="Calibri" w:hAnsi="Arial" w:cs="Arial"/>
          <w:color w:val="0D0D0D" w:themeColor="text1" w:themeTint="F2"/>
          <w:szCs w:val="22"/>
        </w:rPr>
        <w:t xml:space="preserve">that under </w:t>
      </w:r>
      <w:r w:rsidR="002B180D" w:rsidRPr="00E44923">
        <w:rPr>
          <w:rFonts w:ascii="Arial" w:hAnsi="Arial" w:cs="Arial"/>
          <w:color w:val="0D0D0D" w:themeColor="text1" w:themeTint="F2"/>
          <w:szCs w:val="22"/>
        </w:rPr>
        <w:t>active conditions (</w:t>
      </w:r>
      <w:r w:rsidR="002B180D" w:rsidRPr="00E44923">
        <w:rPr>
          <w:rFonts w:ascii="Cambria Math" w:hAnsi="Cambria Math" w:cs="Cambria Math"/>
          <w:color w:val="0D0D0D" w:themeColor="text1" w:themeTint="F2"/>
          <w:szCs w:val="22"/>
        </w:rPr>
        <w:t>∼</w:t>
      </w:r>
      <w:r w:rsidR="002B180D" w:rsidRPr="00E44923">
        <w:rPr>
          <w:rFonts w:ascii="Arial" w:hAnsi="Arial" w:cs="Arial"/>
          <w:color w:val="0D0D0D" w:themeColor="text1" w:themeTint="F2"/>
          <w:szCs w:val="22"/>
        </w:rPr>
        <w:t>10 days). An empirical model demonstrates the feasibility of predicting monsoon breaks up to 18 days in advance.</w:t>
      </w:r>
      <w:r w:rsidR="002D07DE" w:rsidRPr="00E44923">
        <w:rPr>
          <w:rFonts w:ascii="Arial" w:hAnsi="Arial" w:cs="Arial"/>
          <w:color w:val="0D0D0D" w:themeColor="text1" w:themeTint="F2"/>
          <w:szCs w:val="22"/>
        </w:rPr>
        <w:t xml:space="preserve"> </w:t>
      </w:r>
      <w:r w:rsidR="00480771" w:rsidRPr="00E44923">
        <w:rPr>
          <w:rFonts w:ascii="Arial" w:hAnsi="Arial" w:cs="Arial"/>
          <w:color w:val="0D0D0D" w:themeColor="text1" w:themeTint="F2"/>
          <w:szCs w:val="22"/>
        </w:rPr>
        <w:t xml:space="preserve">Borah et al. (2013) </w:t>
      </w:r>
      <w:r w:rsidR="002D07DE" w:rsidRPr="00E44923">
        <w:rPr>
          <w:rFonts w:ascii="Arial" w:hAnsi="Arial" w:cs="Arial"/>
          <w:color w:val="0D0D0D" w:themeColor="text1" w:themeTint="F2"/>
          <w:szCs w:val="22"/>
        </w:rPr>
        <w:t>noted deterministic correlation skills of 0.47 and 0.43 for development and hindcast periods, respectively, while addressing stochastic uncertainties and identifying challenges in predicting long active/break spells, providing a benchmark for future dynamical model evaluations.</w:t>
      </w:r>
    </w:p>
    <w:p w14:paraId="5010613D" w14:textId="77777777" w:rsidR="003076B3" w:rsidRPr="00E44923" w:rsidRDefault="004F612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ERWF of Key Atmospheric Variables and Global Climate Patterns</w:t>
      </w:r>
    </w:p>
    <w:p w14:paraId="1F6F3861" w14:textId="77777777" w:rsidR="003076B3"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MJO and Its Influence on Weather Patterns</w:t>
      </w:r>
    </w:p>
    <w:p w14:paraId="08D2A534" w14:textId="730507D8" w:rsidR="003076B3"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eastAsia="Calibri" w:hAnsi="Arial" w:cs="Arial"/>
          <w:b w:val="0"/>
          <w:bCs w:val="0"/>
          <w:color w:val="0D0D0D" w:themeColor="text1" w:themeTint="F2"/>
          <w:szCs w:val="22"/>
        </w:rPr>
        <w:t>The</w:t>
      </w:r>
      <w:r w:rsidRPr="00E44923">
        <w:rPr>
          <w:rStyle w:val="StrongEmphasis"/>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MJO is a planetary-scale, equatorial eastward moving pattern of abnormal rainfall with a cycle length of </w:t>
      </w:r>
      <w:r w:rsidRPr="00E44923">
        <w:rPr>
          <w:rFonts w:ascii="Arial" w:eastAsia="Calibri" w:hAnsi="Arial" w:cs="Arial"/>
          <w:color w:val="0D0D0D" w:themeColor="text1" w:themeTint="F2"/>
          <w:szCs w:val="22"/>
        </w:rPr>
        <w:t>approximately 30--</w:t>
      </w:r>
      <w:r w:rsidRPr="00E44923">
        <w:rPr>
          <w:rFonts w:ascii="Arial" w:hAnsi="Arial" w:cs="Arial"/>
          <w:color w:val="0D0D0D" w:themeColor="text1" w:themeTint="F2"/>
          <w:szCs w:val="22"/>
        </w:rPr>
        <w:t xml:space="preserve">60 days (Prajwal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with active and suppressed phases lasting 15</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30 days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also termed a 30--60-day wave or ISO (Waliser, 2005; Tao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2010). Variations in wind, cloud cover, rainfall, and SST are all part of the MJO. The MJO is crucial for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because of its consistent and predictable eastward movement through the tropics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and it is the primary mode of variability influencing the weather and climate all over the realm (Madden and Julian, 1971; Madden and Julian, 1972). MJO is one of the most significant atmosphere-ocean-linked phenomena in the tropics and has a significant </w:t>
      </w:r>
      <w:r w:rsidRPr="00E44923">
        <w:rPr>
          <w:rFonts w:ascii="Arial" w:eastAsia="Calibri" w:hAnsi="Arial" w:cs="Arial"/>
          <w:color w:val="0D0D0D" w:themeColor="text1" w:themeTint="F2"/>
          <w:szCs w:val="22"/>
        </w:rPr>
        <w:t>effect</w:t>
      </w:r>
      <w:r w:rsidRPr="00E44923">
        <w:rPr>
          <w:rFonts w:ascii="Arial" w:hAnsi="Arial" w:cs="Arial"/>
          <w:color w:val="0D0D0D" w:themeColor="text1" w:themeTint="F2"/>
          <w:szCs w:val="22"/>
        </w:rPr>
        <w:t xml:space="preserve"> on the ISM (Singh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1992; Vernekar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1993; Jones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Mishra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Singh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Dey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and its onset over land (</w:t>
      </w:r>
      <w:proofErr w:type="spellStart"/>
      <w:r w:rsidRPr="00E44923">
        <w:rPr>
          <w:rFonts w:ascii="Arial" w:hAnsi="Arial" w:cs="Arial"/>
          <w:color w:val="0D0D0D" w:themeColor="text1" w:themeTint="F2"/>
          <w:szCs w:val="22"/>
        </w:rPr>
        <w:t>Bhatla</w:t>
      </w:r>
      <w:proofErr w:type="spellEnd"/>
      <w:r w:rsidRPr="00E44923">
        <w:rPr>
          <w:rFonts w:ascii="Arial" w:hAnsi="Arial" w:cs="Arial"/>
          <w:color w:val="0D0D0D" w:themeColor="text1" w:themeTint="F2"/>
          <w:szCs w:val="22"/>
        </w:rPr>
        <w:t xml:space="preserve">, 2017; </w:t>
      </w:r>
      <w:proofErr w:type="spellStart"/>
      <w:r w:rsidRPr="00E44923">
        <w:rPr>
          <w:rFonts w:ascii="Arial" w:hAnsi="Arial" w:cs="Arial"/>
          <w:color w:val="0D0D0D" w:themeColor="text1" w:themeTint="F2"/>
          <w:szCs w:val="22"/>
        </w:rPr>
        <w:t>Taraphdar</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2018; Xie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Lenka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MJO </w:t>
      </w:r>
      <w:r w:rsidRPr="00E44923">
        <w:rPr>
          <w:rFonts w:ascii="Arial" w:eastAsia="Calibri" w:hAnsi="Arial" w:cs="Arial"/>
          <w:color w:val="0D0D0D" w:themeColor="text1" w:themeTint="F2"/>
          <w:szCs w:val="22"/>
        </w:rPr>
        <w:t>influences the</w:t>
      </w:r>
      <w:r w:rsidRPr="00E44923">
        <w:rPr>
          <w:rFonts w:ascii="Arial" w:hAnsi="Arial" w:cs="Arial"/>
          <w:color w:val="0D0D0D" w:themeColor="text1" w:themeTint="F2"/>
          <w:szCs w:val="22"/>
        </w:rPr>
        <w:t xml:space="preserve"> ISM at the subdivision level (Seetharam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2008)</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causing </w:t>
      </w:r>
      <w:r w:rsidRPr="00E44923">
        <w:rPr>
          <w:rFonts w:ascii="Arial" w:eastAsia="Calibri" w:hAnsi="Arial" w:cs="Arial"/>
          <w:color w:val="0D0D0D" w:themeColor="text1" w:themeTint="F2"/>
          <w:szCs w:val="22"/>
        </w:rPr>
        <w:t>ISVs</w:t>
      </w:r>
      <w:r w:rsidRPr="00E44923">
        <w:rPr>
          <w:rFonts w:ascii="Arial" w:hAnsi="Arial" w:cs="Arial"/>
          <w:color w:val="0D0D0D" w:themeColor="text1" w:themeTint="F2"/>
          <w:szCs w:val="22"/>
        </w:rPr>
        <w:t xml:space="preserve"> in rainfall (Pai et al. (2011) and its extreme events (Anandh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 monsoon retreat (Singh Bhatla, 2018) and drought events (Saith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2006) over India. The MJO is the primary mode of tropical ISV (Wang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and has </w:t>
      </w:r>
      <w:r w:rsidRPr="00E44923">
        <w:rPr>
          <w:rFonts w:ascii="Arial" w:hAnsi="Arial" w:cs="Arial"/>
          <w:color w:val="0D0D0D" w:themeColor="text1" w:themeTint="F2"/>
          <w:szCs w:val="22"/>
        </w:rPr>
        <w:lastRenderedPageBreak/>
        <w:t xml:space="preserve">the potential to have a significant variability of </w:t>
      </w:r>
      <w:r w:rsidRPr="00E44923">
        <w:rPr>
          <w:rFonts w:ascii="Arial" w:eastAsia="Calibri" w:hAnsi="Arial" w:cs="Arial"/>
          <w:color w:val="0D0D0D" w:themeColor="text1" w:themeTint="F2"/>
          <w:szCs w:val="22"/>
        </w:rPr>
        <w:t>50–80% in</w:t>
      </w:r>
      <w:r w:rsidRPr="00E44923">
        <w:rPr>
          <w:rFonts w:ascii="Arial" w:hAnsi="Arial" w:cs="Arial"/>
          <w:color w:val="0D0D0D" w:themeColor="text1" w:themeTint="F2"/>
          <w:szCs w:val="22"/>
        </w:rPr>
        <w:t xml:space="preserve"> monsoon activity in Asian regions (Zhang, 2013). The eight phases of the MJO period (Pai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2011; Hoffmann and Savigny, (2019); Feng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are named after the location of convective activity, and each phase lasts approximately seven to eight days. By tracking the position and strength of the MJO, models </w:t>
      </w:r>
      <w:r w:rsidRPr="00E44923">
        <w:rPr>
          <w:rFonts w:ascii="Arial" w:eastAsia="Calibri" w:hAnsi="Arial" w:cs="Arial"/>
          <w:color w:val="0D0D0D" w:themeColor="text1" w:themeTint="F2"/>
          <w:szCs w:val="22"/>
        </w:rPr>
        <w:t>such as the</w:t>
      </w:r>
      <w:r w:rsidRPr="00E44923">
        <w:rPr>
          <w:rFonts w:ascii="Arial" w:hAnsi="Arial" w:cs="Arial"/>
          <w:color w:val="0D0D0D" w:themeColor="text1" w:themeTint="F2"/>
          <w:szCs w:val="22"/>
        </w:rPr>
        <w:t xml:space="preserve"> WRF </w:t>
      </w:r>
      <w:r w:rsidRPr="00E44923">
        <w:rPr>
          <w:rFonts w:ascii="Arial" w:eastAsia="Calibri" w:hAnsi="Arial" w:cs="Arial"/>
          <w:color w:val="0D0D0D" w:themeColor="text1" w:themeTint="F2"/>
          <w:szCs w:val="22"/>
        </w:rPr>
        <w:t>model, which uses</w:t>
      </w:r>
      <w:r w:rsidRPr="00E44923">
        <w:rPr>
          <w:rFonts w:ascii="Arial" w:hAnsi="Arial" w:cs="Arial"/>
          <w:color w:val="0D0D0D" w:themeColor="text1" w:themeTint="F2"/>
          <w:szCs w:val="22"/>
        </w:rPr>
        <w:t xml:space="preserve"> GEFS and GFS data</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can forecast extended-range weather conditions with </w:t>
      </w:r>
      <w:r w:rsidRPr="00E44923">
        <w:rPr>
          <w:rFonts w:ascii="Arial" w:eastAsia="Calibri" w:hAnsi="Arial" w:cs="Arial"/>
          <w:color w:val="0D0D0D" w:themeColor="text1" w:themeTint="F2"/>
          <w:szCs w:val="22"/>
        </w:rPr>
        <w:t>greater</w:t>
      </w:r>
      <w:r w:rsidRPr="00E44923">
        <w:rPr>
          <w:rFonts w:ascii="Arial" w:hAnsi="Arial" w:cs="Arial"/>
          <w:color w:val="0D0D0D" w:themeColor="text1" w:themeTint="F2"/>
          <w:szCs w:val="22"/>
        </w:rPr>
        <w:t xml:space="preserve"> accuracy. By integrating MJO dynamics, forecasters can better anticipate weather patterns weeks in advance, </w:t>
      </w:r>
      <w:r w:rsidRPr="00E44923">
        <w:rPr>
          <w:rFonts w:ascii="Arial" w:eastAsia="Calibri" w:hAnsi="Arial" w:cs="Arial"/>
          <w:color w:val="0D0D0D" w:themeColor="text1" w:themeTint="F2"/>
          <w:szCs w:val="22"/>
        </w:rPr>
        <w:t>which is</w:t>
      </w:r>
      <w:r w:rsidRPr="00E44923">
        <w:rPr>
          <w:rFonts w:ascii="Arial" w:hAnsi="Arial" w:cs="Arial"/>
          <w:color w:val="0D0D0D" w:themeColor="text1" w:themeTint="F2"/>
          <w:szCs w:val="22"/>
        </w:rPr>
        <w:t xml:space="preserve"> invaluable. Therefore, the ability of statistical or numerical models to accurately capture the MJO signal is essential for accurately predicting the monsoon's active/break cycle </w:t>
      </w:r>
      <w:r w:rsidR="005B107C" w:rsidRPr="00E44923">
        <w:rPr>
          <w:rFonts w:ascii="Arial" w:hAnsi="Arial" w:cs="Arial"/>
          <w:color w:val="0D0D0D" w:themeColor="text1" w:themeTint="F2"/>
          <w:szCs w:val="22"/>
        </w:rPr>
        <w:t xml:space="preserve">and for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(Waliser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(1999), Lo and Hendon (2000); Jones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(2000); Li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w:t>
      </w:r>
      <w:proofErr w:type="spellStart"/>
      <w:r w:rsidRPr="00E44923">
        <w:rPr>
          <w:rFonts w:ascii="Arial" w:hAnsi="Arial" w:cs="Arial"/>
          <w:color w:val="0D0D0D" w:themeColor="text1" w:themeTint="F2"/>
          <w:szCs w:val="22"/>
        </w:rPr>
        <w:t>Shuangli</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 It is a crucial predictability source for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to seasonal (S2S) forecasting (Liu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The leading modes of the MJO or boreal summer ISO have been the </w:t>
      </w:r>
      <w:r w:rsidR="00AE0D95" w:rsidRPr="00E44923">
        <w:rPr>
          <w:rFonts w:ascii="Arial" w:hAnsi="Arial" w:cs="Arial"/>
          <w:color w:val="0D0D0D" w:themeColor="text1" w:themeTint="F2"/>
          <w:szCs w:val="22"/>
        </w:rPr>
        <w:t>focus</w:t>
      </w:r>
      <w:r w:rsidRPr="00E44923">
        <w:rPr>
          <w:rFonts w:ascii="Arial" w:hAnsi="Arial" w:cs="Arial"/>
          <w:color w:val="0D0D0D" w:themeColor="text1" w:themeTint="F2"/>
          <w:szCs w:val="22"/>
        </w:rPr>
        <w:t xml:space="preserve"> of current </w:t>
      </w:r>
      <w:r w:rsidRPr="00E44923">
        <w:rPr>
          <w:rFonts w:ascii="Arial" w:eastAsia="Calibri" w:hAnsi="Arial" w:cs="Arial"/>
          <w:color w:val="0D0D0D" w:themeColor="text1" w:themeTint="F2"/>
          <w:szCs w:val="22"/>
        </w:rPr>
        <w:t xml:space="preserve">assessments of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prediction skill and predictability estimations (Neena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2014; Lee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2015; Meehl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2021). In terms of the </w:t>
      </w:r>
      <w:r w:rsidRPr="00E44923">
        <w:rPr>
          <w:rFonts w:ascii="Arial" w:eastAsia="Calibri" w:hAnsi="Arial" w:cs="Arial"/>
          <w:color w:val="0D0D0D" w:themeColor="text1" w:themeTint="F2"/>
          <w:szCs w:val="22"/>
        </w:rPr>
        <w:t>real</w:t>
      </w:r>
      <w:r w:rsidRPr="00E44923">
        <w:rPr>
          <w:rFonts w:ascii="Arial" w:hAnsi="Arial" w:cs="Arial"/>
          <w:color w:val="0D0D0D" w:themeColor="text1" w:themeTint="F2"/>
          <w:szCs w:val="22"/>
        </w:rPr>
        <w:t xml:space="preserve">-time </w:t>
      </w:r>
      <w:r w:rsidRPr="00E44923">
        <w:rPr>
          <w:rFonts w:ascii="Arial" w:eastAsia="Calibri" w:hAnsi="Arial" w:cs="Arial"/>
          <w:color w:val="0D0D0D" w:themeColor="text1" w:themeTint="F2"/>
          <w:szCs w:val="22"/>
        </w:rPr>
        <w:t>multivariate</w:t>
      </w:r>
      <w:r w:rsidRPr="00E44923">
        <w:rPr>
          <w:rFonts w:ascii="Arial" w:hAnsi="Arial" w:cs="Arial"/>
          <w:color w:val="0D0D0D" w:themeColor="text1" w:themeTint="F2"/>
          <w:szCs w:val="22"/>
        </w:rPr>
        <w:t xml:space="preserve"> MJO (RMM) index, the most advanced model used by the European Centre for Medium-Range Weather Forecast (ECMWF) can forecast the leading modes of the MJO up to 40 days ahead of time</w:t>
      </w:r>
      <w:r w:rsidR="00F638FA" w:rsidRPr="00E44923">
        <w:rPr>
          <w:rFonts w:ascii="Arial" w:hAnsi="Arial" w:cs="Arial"/>
          <w:color w:val="0D0D0D" w:themeColor="text1" w:themeTint="F2"/>
          <w:szCs w:val="22"/>
        </w:rPr>
        <w:t>.</w:t>
      </w:r>
    </w:p>
    <w:p w14:paraId="141865B4" w14:textId="73434DC8" w:rsidR="003076B3"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According to Dey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the primary mechanisms influencing the ISV in the ISMR are the eastward</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propagating MJO and the northward</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propagating monsoon intraseasonal oscillation (MISO). Break spells mostly </w:t>
      </w:r>
      <w:r w:rsidRPr="00E44923">
        <w:rPr>
          <w:rFonts w:ascii="Arial" w:eastAsia="Calibri" w:hAnsi="Arial" w:cs="Arial"/>
          <w:color w:val="0D0D0D" w:themeColor="text1" w:themeTint="F2"/>
          <w:szCs w:val="22"/>
        </w:rPr>
        <w:t>occur</w:t>
      </w:r>
      <w:r w:rsidRPr="00E44923">
        <w:rPr>
          <w:rFonts w:ascii="Arial" w:hAnsi="Arial" w:cs="Arial"/>
          <w:color w:val="0D0D0D" w:themeColor="text1" w:themeTint="F2"/>
          <w:szCs w:val="22"/>
        </w:rPr>
        <w:t xml:space="preserve"> during MISO phases 6 - 8 (MJO phases 6 - 8 and 1), </w:t>
      </w:r>
      <w:r w:rsidRPr="00E44923">
        <w:rPr>
          <w:rFonts w:ascii="Arial" w:eastAsia="Calibri" w:hAnsi="Arial" w:cs="Arial"/>
          <w:color w:val="0D0D0D" w:themeColor="text1" w:themeTint="F2"/>
          <w:szCs w:val="22"/>
        </w:rPr>
        <w:t>whereas</w:t>
      </w:r>
      <w:r w:rsidRPr="00E44923">
        <w:rPr>
          <w:rFonts w:ascii="Arial" w:hAnsi="Arial" w:cs="Arial"/>
          <w:color w:val="0D0D0D" w:themeColor="text1" w:themeTint="F2"/>
          <w:szCs w:val="22"/>
        </w:rPr>
        <w:t xml:space="preserve"> active spells typically occur during MISO phases 2 - 5 (MJO phases 3 - 6). The MJO is a key factor in </w:t>
      </w:r>
      <w:proofErr w:type="spellStart"/>
      <w:r w:rsidRPr="00E44923">
        <w:rPr>
          <w:rFonts w:ascii="Arial" w:eastAsia="Calibri" w:hAnsi="Arial" w:cs="Arial"/>
          <w:color w:val="0D0D0D" w:themeColor="text1" w:themeTint="F2"/>
          <w:szCs w:val="22"/>
        </w:rPr>
        <w:t>subseasonal</w:t>
      </w:r>
      <w:proofErr w:type="spellEnd"/>
      <w:r w:rsidRPr="00E44923">
        <w:rPr>
          <w:rFonts w:ascii="Arial" w:hAnsi="Arial" w:cs="Arial"/>
          <w:color w:val="0D0D0D" w:themeColor="text1" w:themeTint="F2"/>
          <w:szCs w:val="22"/>
        </w:rPr>
        <w:t xml:space="preserve"> climate variability, and it can significantly improve the accuracy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By incorporating MJO dynamics, forecasters can predict weather patterns over weeks, making </w:t>
      </w:r>
      <w:r w:rsidRPr="00E44923">
        <w:rPr>
          <w:rFonts w:ascii="Arial" w:eastAsia="Calibri" w:hAnsi="Arial" w:cs="Arial"/>
          <w:color w:val="0D0D0D" w:themeColor="text1" w:themeTint="F2"/>
          <w:szCs w:val="22"/>
        </w:rPr>
        <w:t>them</w:t>
      </w:r>
      <w:r w:rsidRPr="00E44923">
        <w:rPr>
          <w:rFonts w:ascii="Arial" w:hAnsi="Arial" w:cs="Arial"/>
          <w:color w:val="0D0D0D" w:themeColor="text1" w:themeTint="F2"/>
          <w:szCs w:val="22"/>
        </w:rPr>
        <w:t xml:space="preserve"> especially valuable for agriculture, disaster preparedness, and water resource management, particularly in monsoon-dependent regions such as India.</w:t>
      </w:r>
    </w:p>
    <w:p w14:paraId="07026B82" w14:textId="77777777"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b/>
          <w:bCs/>
          <w:color w:val="0D0D0D" w:themeColor="text1" w:themeTint="F2"/>
          <w:szCs w:val="22"/>
        </w:rPr>
        <w:t xml:space="preserve">Exploring Organizations at the </w:t>
      </w:r>
      <w:r w:rsidRPr="00E44923">
        <w:rPr>
          <w:rFonts w:ascii="Arial" w:eastAsia="Calibri" w:hAnsi="Arial" w:cs="Arial"/>
          <w:b/>
          <w:bCs/>
          <w:color w:val="0D0D0D" w:themeColor="text1" w:themeTint="F2"/>
          <w:szCs w:val="22"/>
        </w:rPr>
        <w:t>Front</w:t>
      </w:r>
      <w:r w:rsidRPr="00E44923">
        <w:rPr>
          <w:rFonts w:ascii="Arial" w:hAnsi="Arial" w:cs="Arial"/>
          <w:b/>
          <w:bCs/>
          <w:color w:val="0D0D0D" w:themeColor="text1" w:themeTint="F2"/>
          <w:szCs w:val="22"/>
        </w:rPr>
        <w:t xml:space="preserve"> of ERWF Development</w:t>
      </w:r>
    </w:p>
    <w:p w14:paraId="02E307C9" w14:textId="77777777" w:rsidR="00373310" w:rsidRPr="00E44923" w:rsidRDefault="004F6124" w:rsidP="00A53B65">
      <w:pPr>
        <w:pStyle w:val="BodyText"/>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Global and National Institutions Driving ERWF Development</w:t>
      </w:r>
    </w:p>
    <w:p w14:paraId="5AAE6E47" w14:textId="5A31DE8F" w:rsidR="00F07F2F" w:rsidRPr="00E44923" w:rsidRDefault="004F6124" w:rsidP="00A53B65">
      <w:pPr>
        <w:spacing w:line="360" w:lineRule="auto"/>
        <w:jc w:val="both"/>
        <w:rPr>
          <w:rFonts w:ascii="Arial" w:hAnsi="Arial" w:cs="Arial"/>
          <w:b/>
          <w:bCs/>
          <w:color w:val="0D0D0D" w:themeColor="text1" w:themeTint="F2"/>
          <w:szCs w:val="22"/>
        </w:rPr>
      </w:pPr>
      <w:r w:rsidRPr="00E44923">
        <w:rPr>
          <w:rStyle w:val="StrongEmphasis"/>
          <w:rFonts w:ascii="Arial" w:hAnsi="Arial" w:cs="Arial"/>
          <w:b w:val="0"/>
          <w:bCs w:val="0"/>
          <w:color w:val="0D0D0D" w:themeColor="text1" w:themeTint="F2"/>
          <w:szCs w:val="22"/>
        </w:rPr>
        <w:t>Pioneers in Atmospheric Science,</w:t>
      </w:r>
      <w:r w:rsidRPr="00E44923">
        <w:rPr>
          <w:rFonts w:ascii="Arial" w:hAnsi="Arial" w:cs="Arial"/>
          <w:color w:val="0D0D0D" w:themeColor="text1" w:themeTint="F2"/>
          <w:szCs w:val="22"/>
        </w:rPr>
        <w:t xml:space="preserve"> IITM has developed an advanced ERP system using the NCEP-CFSv2 </w:t>
      </w:r>
      <w:r w:rsidRPr="00E44923">
        <w:rPr>
          <w:rFonts w:ascii="Arial" w:eastAsia="Calibri" w:hAnsi="Arial" w:cs="Arial"/>
          <w:color w:val="0D0D0D" w:themeColor="text1" w:themeTint="F2"/>
          <w:szCs w:val="22"/>
        </w:rPr>
        <w:t>ocean‒atmosphere</w:t>
      </w:r>
      <w:r w:rsidRPr="00E44923">
        <w:rPr>
          <w:rFonts w:ascii="Arial" w:hAnsi="Arial" w:cs="Arial"/>
          <w:color w:val="0D0D0D" w:themeColor="text1" w:themeTint="F2"/>
          <w:szCs w:val="22"/>
        </w:rPr>
        <w:t xml:space="preserve"> coupled dynamical model, </w:t>
      </w:r>
      <w:r w:rsidRPr="00E44923">
        <w:rPr>
          <w:rFonts w:ascii="Arial" w:eastAsia="Calibri" w:hAnsi="Arial" w:cs="Arial"/>
          <w:color w:val="0D0D0D" w:themeColor="text1" w:themeTint="F2"/>
          <w:szCs w:val="22"/>
        </w:rPr>
        <w:t xml:space="preserve">which is </w:t>
      </w:r>
      <w:r w:rsidRPr="00E44923">
        <w:rPr>
          <w:rFonts w:ascii="Arial" w:hAnsi="Arial" w:cs="Arial"/>
          <w:color w:val="0D0D0D" w:themeColor="text1" w:themeTint="F2"/>
          <w:szCs w:val="22"/>
        </w:rPr>
        <w:t xml:space="preserve">capable of producing </w:t>
      </w:r>
      <w:proofErr w:type="spellStart"/>
      <w:r w:rsidRPr="00E44923">
        <w:rPr>
          <w:rFonts w:ascii="Arial" w:eastAsia="Calibri" w:hAnsi="Arial" w:cs="Arial"/>
          <w:color w:val="0D0D0D" w:themeColor="text1" w:themeTint="F2"/>
          <w:szCs w:val="22"/>
        </w:rPr>
        <w:t>multiensemble</w:t>
      </w:r>
      <w:proofErr w:type="spellEnd"/>
      <w:r w:rsidRPr="00E44923">
        <w:rPr>
          <w:rFonts w:ascii="Arial" w:hAnsi="Arial" w:cs="Arial"/>
          <w:color w:val="0D0D0D" w:themeColor="text1" w:themeTint="F2"/>
          <w:szCs w:val="22"/>
        </w:rPr>
        <w:t xml:space="preserve"> forecasts for up to 28 days. This system is part of India's National Monsoon Mission, and while it performs well,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forecast accuracy decreases during the peak monsoon months due to regional rainfall variability.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also releases a four-week ERWF every Thursday, which is crucial for agricultural decision-making. Globally, organizations </w:t>
      </w:r>
      <w:r w:rsidRPr="00E44923">
        <w:rPr>
          <w:rFonts w:ascii="Arial" w:eastAsia="Calibri" w:hAnsi="Arial" w:cs="Arial"/>
          <w:color w:val="0D0D0D" w:themeColor="text1" w:themeTint="F2"/>
          <w:szCs w:val="22"/>
        </w:rPr>
        <w:t>such as the</w:t>
      </w:r>
      <w:r w:rsidRPr="00E44923">
        <w:rPr>
          <w:rFonts w:ascii="Arial" w:hAnsi="Arial" w:cs="Arial"/>
          <w:color w:val="0D0D0D" w:themeColor="text1" w:themeTint="F2"/>
          <w:szCs w:val="22"/>
        </w:rPr>
        <w:t xml:space="preserve"> ECMWF and IRI contribute to </w:t>
      </w:r>
      <w:proofErr w:type="spellStart"/>
      <w:r w:rsidRPr="00E44923">
        <w:rPr>
          <w:rFonts w:ascii="Arial" w:eastAsia="Calibri" w:hAnsi="Arial" w:cs="Arial"/>
          <w:color w:val="0D0D0D" w:themeColor="text1" w:themeTint="F2"/>
          <w:szCs w:val="22"/>
        </w:rPr>
        <w:t>subseasonal</w:t>
      </w:r>
      <w:proofErr w:type="spellEnd"/>
      <w:r w:rsidRPr="00E44923">
        <w:rPr>
          <w:rFonts w:ascii="Arial" w:hAnsi="Arial" w:cs="Arial"/>
          <w:color w:val="0D0D0D" w:themeColor="text1" w:themeTint="F2"/>
          <w:szCs w:val="22"/>
        </w:rPr>
        <w:t xml:space="preserve"> and seasonal forecasts, enhancing the understanding of extreme weather events and operational forecasting</w:t>
      </w:r>
      <w:r w:rsidR="00FA7611" w:rsidRPr="00E44923">
        <w:rPr>
          <w:rFonts w:ascii="Arial" w:hAnsi="Arial" w:cs="Arial"/>
          <w:color w:val="0D0D0D" w:themeColor="text1" w:themeTint="F2"/>
          <w:szCs w:val="22"/>
        </w:rPr>
        <w:t xml:space="preserve"> </w:t>
      </w:r>
      <w:r w:rsidR="00FA7611" w:rsidRPr="00E44923">
        <w:rPr>
          <w:rFonts w:ascii="Arial" w:hAnsi="Arial" w:cs="Arial"/>
          <w:b/>
          <w:bCs/>
          <w:color w:val="0D0D0D" w:themeColor="text1" w:themeTint="F2"/>
          <w:szCs w:val="22"/>
        </w:rPr>
        <w:t>(</w:t>
      </w:r>
      <w:r w:rsidR="00FA7611" w:rsidRPr="00E44923">
        <w:rPr>
          <w:rStyle w:val="StrongEmphasis"/>
          <w:rFonts w:ascii="Arial" w:hAnsi="Arial" w:cs="Arial"/>
          <w:b w:val="0"/>
          <w:bCs w:val="0"/>
          <w:color w:val="0D0D0D" w:themeColor="text1" w:themeTint="F2"/>
          <w:szCs w:val="22"/>
        </w:rPr>
        <w:t>Figure 6)</w:t>
      </w:r>
      <w:r w:rsidRPr="00E44923">
        <w:rPr>
          <w:rFonts w:ascii="Arial" w:hAnsi="Arial" w:cs="Arial"/>
          <w:b/>
          <w:bCs/>
          <w:color w:val="0D0D0D" w:themeColor="text1" w:themeTint="F2"/>
          <w:szCs w:val="22"/>
        </w:rPr>
        <w:t>.</w:t>
      </w:r>
    </w:p>
    <w:p w14:paraId="70C985D7" w14:textId="77777777" w:rsidR="008B216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The ECMWF extended-range forecast ensemble, run daily at 00 UTC, produces a 46-day forecast with a 36 km horizontal resolution and 137 vertical levels. It includes land‒atmosphere and ocean-atmosphere coupling. Anomalies, averaged over 7-day periods (Monday to Sunday), help assess whether conditions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temperature and rainfall will be above or below average and highlight potential extreme deviations. The output mainly focuses on week-to-week weather changes.</w:t>
      </w:r>
    </w:p>
    <w:p w14:paraId="7E207719" w14:textId="77777777"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IMD implements an intuitive forecasting approach. Every Thursday,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with a four-week validity period are released in conjunction with long-range forecasts, which cover the entire season. and short to MRWF.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releases a Press note for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w:t>
      </w:r>
      <w:r w:rsidRPr="00E44923">
        <w:rPr>
          <w:rFonts w:ascii="Arial" w:eastAsia="Calibri" w:hAnsi="Arial" w:cs="Arial"/>
          <w:color w:val="0D0D0D" w:themeColor="text1" w:themeTint="F2"/>
          <w:szCs w:val="22"/>
        </w:rPr>
        <w:t>, such as</w:t>
      </w:r>
      <w:r w:rsidRPr="00E44923">
        <w:rPr>
          <w:rFonts w:ascii="Arial" w:hAnsi="Arial" w:cs="Arial"/>
          <w:color w:val="0D0D0D" w:themeColor="text1" w:themeTint="F2"/>
          <w:szCs w:val="22"/>
        </w:rPr>
        <w:t xml:space="preserve"> the Current Weather Status and Extended </w:t>
      </w:r>
      <w:r w:rsidRPr="00E44923">
        <w:rPr>
          <w:rFonts w:ascii="Arial" w:eastAsia="Calibri" w:hAnsi="Arial" w:cs="Arial"/>
          <w:color w:val="0D0D0D" w:themeColor="text1" w:themeTint="F2"/>
          <w:szCs w:val="22"/>
        </w:rPr>
        <w:t>Range</w:t>
      </w:r>
      <w:r w:rsidRPr="00E44923">
        <w:rPr>
          <w:rFonts w:ascii="Arial" w:hAnsi="Arial" w:cs="Arial"/>
          <w:color w:val="0D0D0D" w:themeColor="text1" w:themeTint="F2"/>
          <w:szCs w:val="22"/>
        </w:rPr>
        <w:t xml:space="preserve"> Forecast</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for the next two weeks (</w:t>
      </w:r>
      <w:r w:rsidRPr="00E44923">
        <w:rPr>
          <w:rFonts w:ascii="Arial" w:eastAsia="Calibri" w:hAnsi="Arial" w:cs="Arial"/>
          <w:color w:val="0D0D0D" w:themeColor="text1" w:themeTint="F2"/>
          <w:szCs w:val="22"/>
        </w:rPr>
        <w:t>e</w:t>
      </w:r>
      <w:r w:rsidRPr="00E44923">
        <w:rPr>
          <w:rFonts w:ascii="Arial" w:hAnsi="Arial" w:cs="Arial"/>
          <w:color w:val="0D0D0D" w:themeColor="text1" w:themeTint="F2"/>
          <w:szCs w:val="22"/>
        </w:rPr>
        <w:t xml:space="preserve">.g., 22 </w:t>
      </w:r>
      <w:r w:rsidRPr="00E44923">
        <w:rPr>
          <w:rFonts w:ascii="Arial" w:eastAsia="Calibri" w:hAnsi="Arial" w:cs="Arial"/>
          <w:color w:val="0D0D0D" w:themeColor="text1" w:themeTint="F2"/>
          <w:szCs w:val="22"/>
        </w:rPr>
        <w:t>Feb–06</w:t>
      </w:r>
      <w:r w:rsidRPr="00E44923">
        <w:rPr>
          <w:rFonts w:ascii="Arial" w:hAnsi="Arial" w:cs="Arial"/>
          <w:color w:val="0D0D0D" w:themeColor="text1" w:themeTint="F2"/>
          <w:szCs w:val="22"/>
        </w:rPr>
        <w:t xml:space="preserve"> March, </w:t>
      </w:r>
      <w:r w:rsidRPr="00E44923">
        <w:rPr>
          <w:rFonts w:ascii="Arial" w:eastAsia="Calibri" w:hAnsi="Arial" w:cs="Arial"/>
          <w:color w:val="0D0D0D" w:themeColor="text1" w:themeTint="F2"/>
          <w:szCs w:val="22"/>
        </w:rPr>
        <w:t>Week 1</w:t>
      </w:r>
      <w:r w:rsidRPr="00E44923">
        <w:rPr>
          <w:rFonts w:ascii="Arial" w:hAnsi="Arial" w:cs="Arial"/>
          <w:color w:val="0D0D0D" w:themeColor="text1" w:themeTint="F2"/>
          <w:szCs w:val="22"/>
        </w:rPr>
        <w:t>: 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28 Feb and </w:t>
      </w:r>
      <w:r w:rsidRPr="00E44923">
        <w:rPr>
          <w:rFonts w:ascii="Arial" w:eastAsia="Calibri" w:hAnsi="Arial" w:cs="Arial"/>
          <w:color w:val="0D0D0D" w:themeColor="text1" w:themeTint="F2"/>
          <w:szCs w:val="22"/>
        </w:rPr>
        <w:t>Week 2</w:t>
      </w:r>
      <w:r w:rsidRPr="00E44923">
        <w:rPr>
          <w:rFonts w:ascii="Arial" w:hAnsi="Arial" w:cs="Arial"/>
          <w:color w:val="0D0D0D" w:themeColor="text1" w:themeTint="F2"/>
          <w:szCs w:val="22"/>
        </w:rPr>
        <w:t>: 29</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6 March) as </w:t>
      </w:r>
      <w:r w:rsidRPr="00E44923">
        <w:rPr>
          <w:rFonts w:ascii="Arial" w:eastAsia="Calibri" w:hAnsi="Arial" w:cs="Arial"/>
          <w:color w:val="0D0D0D" w:themeColor="text1" w:themeTint="F2"/>
          <w:szCs w:val="22"/>
        </w:rPr>
        <w:t>follows</w:t>
      </w:r>
      <w:r w:rsidRPr="00E44923">
        <w:rPr>
          <w:rFonts w:ascii="Arial" w:hAnsi="Arial" w:cs="Arial"/>
          <w:color w:val="0D0D0D" w:themeColor="text1" w:themeTint="F2"/>
          <w:szCs w:val="22"/>
        </w:rPr>
        <w:t>:</w:t>
      </w:r>
    </w:p>
    <w:p w14:paraId="3E85ECCC" w14:textId="77777777" w:rsidR="00373310" w:rsidRPr="00E44923" w:rsidRDefault="004F6124" w:rsidP="00A53B65">
      <w:pPr>
        <w:pStyle w:val="ListParagraph"/>
        <w:numPr>
          <w:ilvl w:val="0"/>
          <w:numId w:val="3"/>
        </w:numPr>
        <w:spacing w:line="360" w:lineRule="auto"/>
        <w:jc w:val="both"/>
        <w:rPr>
          <w:rFonts w:ascii="Arial" w:hAnsi="Arial" w:cs="Arial"/>
          <w:color w:val="0D0D0D" w:themeColor="text1" w:themeTint="F2"/>
          <w:sz w:val="22"/>
          <w:szCs w:val="22"/>
        </w:rPr>
      </w:pPr>
      <w:r w:rsidRPr="00E44923">
        <w:rPr>
          <w:rFonts w:ascii="Arial" w:eastAsia="Calibri" w:hAnsi="Arial" w:cs="Arial"/>
          <w:color w:val="0D0D0D" w:themeColor="text1" w:themeTint="F2"/>
          <w:sz w:val="22"/>
          <w:szCs w:val="22"/>
        </w:rPr>
        <w:t>Saliently observed features</w:t>
      </w:r>
      <w:r w:rsidRPr="00E44923">
        <w:rPr>
          <w:rFonts w:ascii="Arial" w:hAnsi="Arial" w:cs="Arial"/>
          <w:color w:val="0D0D0D" w:themeColor="text1" w:themeTint="F2"/>
          <w:sz w:val="22"/>
          <w:szCs w:val="22"/>
        </w:rPr>
        <w:t xml:space="preserve"> for the week ending 22 </w:t>
      </w:r>
      <w:r w:rsidRPr="00E44923">
        <w:rPr>
          <w:rFonts w:ascii="Arial" w:eastAsia="Calibri" w:hAnsi="Arial" w:cs="Arial"/>
          <w:color w:val="0D0D0D" w:themeColor="text1" w:themeTint="F2"/>
          <w:sz w:val="22"/>
          <w:szCs w:val="22"/>
        </w:rPr>
        <w:t>February</w:t>
      </w:r>
      <w:r w:rsidRPr="00E44923">
        <w:rPr>
          <w:rFonts w:ascii="Arial" w:hAnsi="Arial" w:cs="Arial"/>
          <w:color w:val="0D0D0D" w:themeColor="text1" w:themeTint="F2"/>
          <w:sz w:val="22"/>
          <w:szCs w:val="22"/>
        </w:rPr>
        <w:t xml:space="preserve"> 2024 – The rainfall status and temperature scenario for that week are regularly given by </w:t>
      </w:r>
      <w:r w:rsidRPr="00E44923">
        <w:rPr>
          <w:rFonts w:ascii="Arial" w:eastAsia="Calibri" w:hAnsi="Arial" w:cs="Arial"/>
          <w:color w:val="0D0D0D" w:themeColor="text1" w:themeTint="F2"/>
          <w:sz w:val="22"/>
          <w:szCs w:val="22"/>
        </w:rPr>
        <w:t xml:space="preserve">the </w:t>
      </w:r>
      <w:r w:rsidRPr="00E44923">
        <w:rPr>
          <w:rFonts w:ascii="Arial" w:hAnsi="Arial" w:cs="Arial"/>
          <w:color w:val="0D0D0D" w:themeColor="text1" w:themeTint="F2"/>
          <w:sz w:val="22"/>
          <w:szCs w:val="22"/>
        </w:rPr>
        <w:t>IMD.</w:t>
      </w:r>
    </w:p>
    <w:p w14:paraId="32DA2B8C" w14:textId="77777777" w:rsidR="00373310" w:rsidRPr="00E44923" w:rsidRDefault="004F6124" w:rsidP="00A53B65">
      <w:pPr>
        <w:pStyle w:val="ListParagraph"/>
        <w:numPr>
          <w:ilvl w:val="0"/>
          <w:numId w:val="3"/>
        </w:numPr>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Large</w:t>
      </w:r>
      <w:r w:rsidRPr="00E44923">
        <w:rPr>
          <w:rFonts w:ascii="Arial" w:eastAsia="Calibri" w:hAnsi="Arial" w:cs="Arial"/>
          <w:color w:val="0D0D0D" w:themeColor="text1" w:themeTint="F2"/>
          <w:sz w:val="22"/>
          <w:szCs w:val="22"/>
        </w:rPr>
        <w:t>-</w:t>
      </w:r>
      <w:r w:rsidRPr="00E44923">
        <w:rPr>
          <w:rFonts w:ascii="Arial" w:hAnsi="Arial" w:cs="Arial"/>
          <w:color w:val="0D0D0D" w:themeColor="text1" w:themeTint="F2"/>
          <w:sz w:val="22"/>
          <w:szCs w:val="22"/>
        </w:rPr>
        <w:t>scale features - MJO index in the phase diagram</w:t>
      </w:r>
    </w:p>
    <w:p w14:paraId="76C560BD" w14:textId="77777777" w:rsidR="00373310" w:rsidRPr="00E44923" w:rsidRDefault="004F6124" w:rsidP="00A53B65">
      <w:pPr>
        <w:pStyle w:val="ListParagraph"/>
        <w:numPr>
          <w:ilvl w:val="0"/>
          <w:numId w:val="3"/>
        </w:numPr>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Forecast for the next two weeks - Forecast and forecast </w:t>
      </w:r>
      <w:r w:rsidRPr="00E44923">
        <w:rPr>
          <w:rFonts w:ascii="Arial" w:eastAsia="Calibri" w:hAnsi="Arial" w:cs="Arial"/>
          <w:color w:val="0D0D0D" w:themeColor="text1" w:themeTint="F2"/>
          <w:sz w:val="22"/>
          <w:szCs w:val="22"/>
        </w:rPr>
        <w:t>anomalies</w:t>
      </w:r>
      <w:r w:rsidRPr="00E44923">
        <w:rPr>
          <w:rFonts w:ascii="Arial" w:hAnsi="Arial" w:cs="Arial"/>
          <w:color w:val="0D0D0D" w:themeColor="text1" w:themeTint="F2"/>
          <w:sz w:val="22"/>
          <w:szCs w:val="22"/>
        </w:rPr>
        <w:t xml:space="preserve"> for </w:t>
      </w:r>
      <w:r w:rsidRPr="00E44923">
        <w:rPr>
          <w:rFonts w:ascii="Arial" w:eastAsia="Calibri" w:hAnsi="Arial" w:cs="Arial"/>
          <w:color w:val="0D0D0D" w:themeColor="text1" w:themeTint="F2"/>
          <w:sz w:val="22"/>
          <w:szCs w:val="22"/>
        </w:rPr>
        <w:t>rainfall</w:t>
      </w:r>
      <w:r w:rsidRPr="00E44923">
        <w:rPr>
          <w:rFonts w:ascii="Arial" w:hAnsi="Arial" w:cs="Arial"/>
          <w:color w:val="0D0D0D" w:themeColor="text1" w:themeTint="F2"/>
          <w:sz w:val="22"/>
          <w:szCs w:val="22"/>
        </w:rPr>
        <w:t xml:space="preserve"> and </w:t>
      </w:r>
      <w:r w:rsidRPr="00E44923">
        <w:rPr>
          <w:rFonts w:ascii="Arial" w:eastAsia="Calibri" w:hAnsi="Arial" w:cs="Arial"/>
          <w:color w:val="0D0D0D" w:themeColor="text1" w:themeTint="F2"/>
          <w:sz w:val="22"/>
          <w:szCs w:val="22"/>
        </w:rPr>
        <w:t>temperature</w:t>
      </w:r>
    </w:p>
    <w:p w14:paraId="0D1D2C6C" w14:textId="77777777" w:rsidR="00373310" w:rsidRPr="00E44923" w:rsidRDefault="00A843E4" w:rsidP="00A53B65">
      <w:pPr>
        <w:pStyle w:val="ListParagraph"/>
        <w:numPr>
          <w:ilvl w:val="0"/>
          <w:numId w:val="3"/>
        </w:numPr>
        <w:spacing w:line="360" w:lineRule="auto"/>
        <w:jc w:val="both"/>
        <w:rPr>
          <w:rFonts w:ascii="Arial" w:hAnsi="Arial" w:cs="Arial"/>
          <w:color w:val="0D0D0D" w:themeColor="text1" w:themeTint="F2"/>
          <w:sz w:val="22"/>
          <w:szCs w:val="22"/>
        </w:rPr>
      </w:pPr>
      <w:proofErr w:type="spellStart"/>
      <w:r w:rsidRPr="00E44923">
        <w:rPr>
          <w:rFonts w:ascii="Arial" w:hAnsi="Arial" w:cs="Arial"/>
          <w:color w:val="0D0D0D" w:themeColor="text1" w:themeTint="F2"/>
          <w:sz w:val="22"/>
          <w:szCs w:val="22"/>
        </w:rPr>
        <w:t>Tmin</w:t>
      </w:r>
      <w:proofErr w:type="spellEnd"/>
      <w:r w:rsidRPr="00E44923">
        <w:rPr>
          <w:rFonts w:ascii="Arial" w:hAnsi="Arial" w:cs="Arial"/>
          <w:color w:val="0D0D0D" w:themeColor="text1" w:themeTint="F2"/>
          <w:sz w:val="22"/>
          <w:szCs w:val="22"/>
        </w:rPr>
        <w:t xml:space="preserve">, </w:t>
      </w:r>
      <w:r w:rsidR="004F6124" w:rsidRPr="00E44923">
        <w:rPr>
          <w:rFonts w:ascii="Arial" w:eastAsia="Calibri" w:hAnsi="Arial" w:cs="Arial"/>
          <w:color w:val="0D0D0D" w:themeColor="text1" w:themeTint="F2"/>
          <w:sz w:val="22"/>
          <w:szCs w:val="22"/>
        </w:rPr>
        <w:t>cold wave</w:t>
      </w:r>
      <w:r w:rsidRPr="00E44923">
        <w:rPr>
          <w:rFonts w:ascii="Arial" w:hAnsi="Arial" w:cs="Arial"/>
          <w:color w:val="0D0D0D" w:themeColor="text1" w:themeTint="F2"/>
          <w:sz w:val="22"/>
          <w:szCs w:val="22"/>
        </w:rPr>
        <w:t xml:space="preserve">, and </w:t>
      </w:r>
      <w:r w:rsidR="004F6124" w:rsidRPr="00E44923">
        <w:rPr>
          <w:rFonts w:ascii="Arial" w:eastAsia="Calibri" w:hAnsi="Arial" w:cs="Arial"/>
          <w:color w:val="0D0D0D" w:themeColor="text1" w:themeTint="F2"/>
          <w:sz w:val="22"/>
          <w:szCs w:val="22"/>
        </w:rPr>
        <w:t>fog forecasts and warnings</w:t>
      </w:r>
      <w:r w:rsidRPr="00E44923">
        <w:rPr>
          <w:rFonts w:ascii="Arial" w:hAnsi="Arial" w:cs="Arial"/>
          <w:color w:val="0D0D0D" w:themeColor="text1" w:themeTint="F2"/>
          <w:sz w:val="22"/>
          <w:szCs w:val="22"/>
        </w:rPr>
        <w:t xml:space="preserve"> for Week 1 (22</w:t>
      </w:r>
      <w:r w:rsidR="004F6124" w:rsidRPr="00E44923">
        <w:rPr>
          <w:rFonts w:ascii="Arial" w:eastAsia="Calibri" w:hAnsi="Arial" w:cs="Arial"/>
          <w:color w:val="0D0D0D" w:themeColor="text1" w:themeTint="F2"/>
          <w:sz w:val="22"/>
          <w:szCs w:val="22"/>
        </w:rPr>
        <w:t>--</w:t>
      </w:r>
      <w:r w:rsidRPr="00E44923">
        <w:rPr>
          <w:rFonts w:ascii="Arial" w:hAnsi="Arial" w:cs="Arial"/>
          <w:color w:val="0D0D0D" w:themeColor="text1" w:themeTint="F2"/>
          <w:sz w:val="22"/>
          <w:szCs w:val="22"/>
        </w:rPr>
        <w:t>28 February 2024) and Week 2 (29 February</w:t>
      </w:r>
      <w:r w:rsidR="004F6124" w:rsidRPr="00E44923">
        <w:rPr>
          <w:rFonts w:ascii="Arial" w:eastAsia="Calibri" w:hAnsi="Arial" w:cs="Arial"/>
          <w:color w:val="0D0D0D" w:themeColor="text1" w:themeTint="F2"/>
          <w:sz w:val="22"/>
          <w:szCs w:val="22"/>
        </w:rPr>
        <w:t>--</w:t>
      </w:r>
      <w:r w:rsidRPr="00E44923">
        <w:rPr>
          <w:rFonts w:ascii="Arial" w:hAnsi="Arial" w:cs="Arial"/>
          <w:color w:val="0D0D0D" w:themeColor="text1" w:themeTint="F2"/>
          <w:sz w:val="22"/>
          <w:szCs w:val="22"/>
        </w:rPr>
        <w:t>06 March 2024).</w:t>
      </w:r>
    </w:p>
    <w:p w14:paraId="333DE528" w14:textId="77777777" w:rsidR="00373310" w:rsidRPr="00E44923" w:rsidRDefault="004F6124" w:rsidP="00A53B65">
      <w:pPr>
        <w:spacing w:line="360" w:lineRule="auto"/>
        <w:ind w:firstLine="720"/>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operational coupled models at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provide highly helpful guidance on the onset, withdrawal, active and break phases of the monsoon, and active-break transitions. This information is relevant to the skill of monsoon </w:t>
      </w:r>
      <w:r w:rsidRPr="00E44923">
        <w:rPr>
          <w:rFonts w:ascii="Arial" w:eastAsia="Calibri" w:hAnsi="Arial" w:cs="Arial"/>
          <w:color w:val="0D0D0D" w:themeColor="text1" w:themeTint="F2"/>
          <w:szCs w:val="22"/>
        </w:rPr>
        <w:t>forecasting</w:t>
      </w:r>
      <w:r w:rsidRPr="00E44923">
        <w:rPr>
          <w:rFonts w:ascii="Arial" w:hAnsi="Arial" w:cs="Arial"/>
          <w:color w:val="0D0D0D" w:themeColor="text1" w:themeTint="F2"/>
          <w:szCs w:val="22"/>
        </w:rPr>
        <w:t xml:space="preserve"> at this time scale. </w:t>
      </w:r>
      <w:r w:rsidRPr="00E44923">
        <w:rPr>
          <w:rFonts w:ascii="Arial" w:eastAsia="Calibri" w:hAnsi="Arial" w:cs="Arial"/>
          <w:color w:val="0D0D0D" w:themeColor="text1" w:themeTint="F2"/>
          <w:szCs w:val="22"/>
        </w:rPr>
        <w:t>For</w:t>
      </w:r>
      <w:r w:rsidRPr="00E44923">
        <w:rPr>
          <w:rFonts w:ascii="Arial" w:hAnsi="Arial" w:cs="Arial"/>
          <w:color w:val="0D0D0D" w:themeColor="text1" w:themeTint="F2"/>
          <w:szCs w:val="22"/>
        </w:rPr>
        <w:t xml:space="preserve"> all of India's rainfall, </w:t>
      </w:r>
      <w:r w:rsidRPr="00E44923">
        <w:rPr>
          <w:rFonts w:ascii="Arial" w:eastAsia="Calibri" w:hAnsi="Arial" w:cs="Arial"/>
          <w:color w:val="0D0D0D" w:themeColor="text1" w:themeTint="F2"/>
          <w:szCs w:val="22"/>
        </w:rPr>
        <w:t>quantitative verification</w:t>
      </w:r>
      <w:r w:rsidRPr="00E44923">
        <w:rPr>
          <w:rFonts w:ascii="Arial" w:hAnsi="Arial" w:cs="Arial"/>
          <w:color w:val="0D0D0D" w:themeColor="text1" w:themeTint="F2"/>
          <w:szCs w:val="22"/>
        </w:rPr>
        <w:t xml:space="preserve"> typically demonstrates significant competence </w:t>
      </w:r>
      <w:r w:rsidRPr="00E44923">
        <w:rPr>
          <w:rFonts w:ascii="Arial" w:eastAsia="Calibri" w:hAnsi="Arial" w:cs="Arial"/>
          <w:color w:val="0D0D0D" w:themeColor="text1" w:themeTint="F2"/>
          <w:szCs w:val="22"/>
        </w:rPr>
        <w:t xml:space="preserve">for </w:t>
      </w:r>
      <w:r w:rsidRPr="00E44923">
        <w:rPr>
          <w:rFonts w:ascii="Arial" w:hAnsi="Arial" w:cs="Arial"/>
          <w:color w:val="0D0D0D" w:themeColor="text1" w:themeTint="F2"/>
          <w:szCs w:val="22"/>
        </w:rPr>
        <w:t xml:space="preserve">up to </w:t>
      </w:r>
      <w:r w:rsidRPr="00E44923">
        <w:rPr>
          <w:rFonts w:ascii="Arial" w:eastAsia="Calibri" w:hAnsi="Arial" w:cs="Arial"/>
          <w:color w:val="0D0D0D" w:themeColor="text1" w:themeTint="F2"/>
          <w:szCs w:val="22"/>
        </w:rPr>
        <w:t>approximately</w:t>
      </w:r>
      <w:r w:rsidRPr="00E44923">
        <w:rPr>
          <w:rFonts w:ascii="Arial" w:hAnsi="Arial" w:cs="Arial"/>
          <w:color w:val="0D0D0D" w:themeColor="text1" w:themeTint="F2"/>
          <w:szCs w:val="22"/>
        </w:rPr>
        <w:t xml:space="preserve"> three weeks.</w:t>
      </w:r>
    </w:p>
    <w:p w14:paraId="688CF2AA" w14:textId="77777777" w:rsidR="008828F2" w:rsidRPr="00E44923" w:rsidRDefault="004F6124" w:rsidP="00A53B65">
      <w:pPr>
        <w:pStyle w:val="NormalWeb"/>
        <w:spacing w:before="280" w:after="280" w:line="360" w:lineRule="auto"/>
        <w:ind w:firstLine="720"/>
        <w:jc w:val="both"/>
        <w:rPr>
          <w:rFonts w:ascii="Arial" w:hAnsi="Arial" w:cs="Arial"/>
          <w:color w:val="0D0D0D" w:themeColor="text1" w:themeTint="F2"/>
          <w:sz w:val="22"/>
          <w:szCs w:val="22"/>
        </w:rPr>
      </w:pPr>
      <w:r w:rsidRPr="00E44923">
        <w:rPr>
          <w:rFonts w:ascii="Arial" w:hAnsi="Arial" w:cs="Arial"/>
          <w:noProof/>
          <w:color w:val="0D0D0D" w:themeColor="text1" w:themeTint="F2"/>
          <w:sz w:val="22"/>
          <w:szCs w:val="22"/>
        </w:rPr>
        <w:lastRenderedPageBreak/>
        <w:drawing>
          <wp:inline distT="0" distB="0" distL="0" distR="0" wp14:anchorId="2E3A30F5" wp14:editId="2651189A">
            <wp:extent cx="5223191" cy="3842657"/>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9682" cy="3847432"/>
                    </a:xfrm>
                    <a:prstGeom prst="rect">
                      <a:avLst/>
                    </a:prstGeom>
                    <a:noFill/>
                  </pic:spPr>
                </pic:pic>
              </a:graphicData>
            </a:graphic>
          </wp:inline>
        </w:drawing>
      </w:r>
    </w:p>
    <w:p w14:paraId="02465A60" w14:textId="54635433" w:rsidR="008B2164" w:rsidRPr="00E44923" w:rsidRDefault="00646D08"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Figure</w:t>
      </w:r>
      <w:r w:rsidR="00FA7611" w:rsidRPr="00E44923">
        <w:rPr>
          <w:rStyle w:val="StrongEmphasis"/>
          <w:rFonts w:ascii="Arial" w:hAnsi="Arial" w:cs="Arial"/>
          <w:color w:val="0D0D0D" w:themeColor="text1" w:themeTint="F2"/>
          <w:szCs w:val="22"/>
        </w:rPr>
        <w:t xml:space="preserve"> </w:t>
      </w:r>
      <w:r w:rsidR="00CE3AB8" w:rsidRPr="00E44923">
        <w:rPr>
          <w:rStyle w:val="StrongEmphasis"/>
          <w:rFonts w:ascii="Arial" w:hAnsi="Arial" w:cs="Arial"/>
          <w:color w:val="0D0D0D" w:themeColor="text1" w:themeTint="F2"/>
          <w:szCs w:val="22"/>
        </w:rPr>
        <w:t>7</w:t>
      </w:r>
      <w:r w:rsidRPr="00E44923">
        <w:rPr>
          <w:rStyle w:val="StrongEmphasis"/>
          <w:rFonts w:ascii="Arial" w:hAnsi="Arial" w:cs="Arial"/>
          <w:color w:val="0D0D0D" w:themeColor="text1" w:themeTint="F2"/>
          <w:szCs w:val="22"/>
        </w:rPr>
        <w:t xml:space="preserve">: IMD- Leading ERWF for National Resilience (Picture </w:t>
      </w:r>
      <w:proofErr w:type="spellStart"/>
      <w:proofErr w:type="gramStart"/>
      <w:r w:rsidRPr="00E44923">
        <w:rPr>
          <w:rStyle w:val="StrongEmphasis"/>
          <w:rFonts w:ascii="Arial" w:hAnsi="Arial" w:cs="Arial"/>
          <w:color w:val="0D0D0D" w:themeColor="text1" w:themeTint="F2"/>
          <w:szCs w:val="22"/>
        </w:rPr>
        <w:t>Credit:imd.gov.in</w:t>
      </w:r>
      <w:proofErr w:type="spellEnd"/>
      <w:proofErr w:type="gramEnd"/>
      <w:r w:rsidRPr="00E44923">
        <w:rPr>
          <w:rStyle w:val="StrongEmphasis"/>
          <w:rFonts w:ascii="Arial" w:hAnsi="Arial" w:cs="Arial"/>
          <w:color w:val="0D0D0D" w:themeColor="text1" w:themeTint="F2"/>
          <w:szCs w:val="22"/>
        </w:rPr>
        <w:t>)</w:t>
      </w:r>
    </w:p>
    <w:p w14:paraId="6005B697" w14:textId="77777777" w:rsidR="008B2164" w:rsidRPr="00E44923" w:rsidRDefault="008B2164" w:rsidP="00A53B65">
      <w:pPr>
        <w:pStyle w:val="NormalWeb"/>
        <w:spacing w:before="280" w:after="280" w:line="360" w:lineRule="auto"/>
        <w:ind w:firstLine="720"/>
        <w:jc w:val="both"/>
        <w:rPr>
          <w:rFonts w:ascii="Arial" w:hAnsi="Arial" w:cs="Arial"/>
          <w:color w:val="0D0D0D" w:themeColor="text1" w:themeTint="F2"/>
          <w:sz w:val="22"/>
          <w:szCs w:val="22"/>
        </w:rPr>
      </w:pPr>
    </w:p>
    <w:p w14:paraId="563AB505" w14:textId="77777777" w:rsidR="00881B20" w:rsidRPr="00E44923" w:rsidRDefault="004F6124" w:rsidP="00A53B65">
      <w:pPr>
        <w:pStyle w:val="NormalWeb"/>
        <w:spacing w:before="280" w:after="280" w:line="360" w:lineRule="auto"/>
        <w:ind w:firstLine="720"/>
        <w:jc w:val="both"/>
        <w:rPr>
          <w:rFonts w:ascii="Arial" w:hAnsi="Arial" w:cs="Arial"/>
          <w:color w:val="0D0D0D" w:themeColor="text1" w:themeTint="F2"/>
          <w:sz w:val="22"/>
          <w:szCs w:val="22"/>
        </w:rPr>
      </w:pPr>
      <w:r w:rsidRPr="00E44923">
        <w:rPr>
          <w:rFonts w:ascii="Arial" w:hAnsi="Arial" w:cs="Arial"/>
          <w:noProof/>
          <w:color w:val="0D0D0D" w:themeColor="text1" w:themeTint="F2"/>
          <w:sz w:val="22"/>
          <w:szCs w:val="22"/>
        </w:rPr>
        <w:drawing>
          <wp:inline distT="0" distB="0" distL="0" distR="0" wp14:anchorId="66AE8729" wp14:editId="136F0CF7">
            <wp:extent cx="4984400" cy="3483429"/>
            <wp:effectExtent l="0" t="0" r="698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84400" cy="3483429"/>
                    </a:xfrm>
                    <a:prstGeom prst="rect">
                      <a:avLst/>
                    </a:prstGeom>
                    <a:noFill/>
                  </pic:spPr>
                </pic:pic>
              </a:graphicData>
            </a:graphic>
          </wp:inline>
        </w:drawing>
      </w:r>
    </w:p>
    <w:p w14:paraId="253F5C75" w14:textId="4047360D" w:rsidR="00630724" w:rsidRPr="00E44923" w:rsidRDefault="004F6124" w:rsidP="00A53B65">
      <w:pPr>
        <w:pStyle w:val="NormalWeb"/>
        <w:spacing w:before="280" w:after="280" w:line="360" w:lineRule="auto"/>
        <w:ind w:firstLine="720"/>
        <w:jc w:val="center"/>
        <w:rPr>
          <w:rFonts w:ascii="Arial" w:hAnsi="Arial" w:cs="Arial"/>
          <w:b/>
          <w:bCs/>
          <w:color w:val="0D0D0D" w:themeColor="text1" w:themeTint="F2"/>
          <w:sz w:val="22"/>
          <w:szCs w:val="22"/>
        </w:rPr>
      </w:pPr>
      <w:r w:rsidRPr="00E44923">
        <w:rPr>
          <w:rFonts w:ascii="Arial" w:hAnsi="Arial" w:cs="Arial"/>
          <w:b/>
          <w:bCs/>
          <w:color w:val="0D0D0D" w:themeColor="text1" w:themeTint="F2"/>
          <w:sz w:val="22"/>
          <w:szCs w:val="22"/>
        </w:rPr>
        <w:t>Figure</w:t>
      </w:r>
      <w:r w:rsidR="00FA7611" w:rsidRPr="00E44923">
        <w:rPr>
          <w:rFonts w:ascii="Arial" w:hAnsi="Arial" w:cs="Arial"/>
          <w:b/>
          <w:bCs/>
          <w:color w:val="0D0D0D" w:themeColor="text1" w:themeTint="F2"/>
          <w:sz w:val="22"/>
          <w:szCs w:val="22"/>
        </w:rPr>
        <w:t xml:space="preserve"> </w:t>
      </w:r>
      <w:r w:rsidR="00CE3AB8" w:rsidRPr="00E44923">
        <w:rPr>
          <w:rFonts w:ascii="Arial" w:hAnsi="Arial" w:cs="Arial"/>
          <w:b/>
          <w:bCs/>
          <w:color w:val="0D0D0D" w:themeColor="text1" w:themeTint="F2"/>
          <w:sz w:val="22"/>
          <w:szCs w:val="22"/>
        </w:rPr>
        <w:t>8</w:t>
      </w:r>
      <w:r w:rsidRPr="00E44923">
        <w:rPr>
          <w:rFonts w:ascii="Arial" w:hAnsi="Arial" w:cs="Arial"/>
          <w:b/>
          <w:bCs/>
          <w:color w:val="0D0D0D" w:themeColor="text1" w:themeTint="F2"/>
          <w:sz w:val="22"/>
          <w:szCs w:val="22"/>
        </w:rPr>
        <w:t>: ERP products generated by the IMD</w:t>
      </w:r>
    </w:p>
    <w:p w14:paraId="0ACAAD9A" w14:textId="77777777" w:rsidR="00391039" w:rsidRPr="00E44923" w:rsidRDefault="00A843E4" w:rsidP="00A53B65">
      <w:pPr>
        <w:pStyle w:val="NormalWeb"/>
        <w:spacing w:before="280" w:after="280" w:line="360" w:lineRule="auto"/>
        <w:jc w:val="both"/>
        <w:rPr>
          <w:rFonts w:ascii="Arial" w:hAnsi="Arial" w:cs="Arial"/>
          <w:color w:val="0D0D0D" w:themeColor="text1" w:themeTint="F2"/>
          <w:sz w:val="22"/>
          <w:szCs w:val="22"/>
        </w:rPr>
      </w:pPr>
      <w:r w:rsidRPr="00E44923">
        <w:rPr>
          <w:rStyle w:val="StrongEmphasis"/>
          <w:rFonts w:ascii="Arial" w:hAnsi="Arial" w:cs="Arial"/>
          <w:color w:val="0D0D0D" w:themeColor="text1" w:themeTint="F2"/>
          <w:sz w:val="22"/>
          <w:szCs w:val="22"/>
        </w:rPr>
        <w:lastRenderedPageBreak/>
        <w:t>S2S Forecasting: Bridging Short-Term and Long-Term Forecasting</w:t>
      </w:r>
    </w:p>
    <w:p w14:paraId="1C72B029" w14:textId="09BE7F26" w:rsidR="0039103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Indian monsoon system, driven by interactions between the atmosphere, oceans, and continents, is crucial to global weather patterns (Chen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Accurate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(2–8 weeks) rainfall predictions are increasingly </w:t>
      </w:r>
      <w:r w:rsidRPr="00E44923">
        <w:rPr>
          <w:rFonts w:ascii="Arial" w:eastAsia="Calibri" w:hAnsi="Arial" w:cs="Arial"/>
          <w:color w:val="0D0D0D" w:themeColor="text1" w:themeTint="F2"/>
          <w:szCs w:val="22"/>
        </w:rPr>
        <w:t>needed</w:t>
      </w:r>
      <w:r w:rsidRPr="00E44923">
        <w:rPr>
          <w:rFonts w:ascii="Arial" w:hAnsi="Arial" w:cs="Arial"/>
          <w:color w:val="0D0D0D" w:themeColor="text1" w:themeTint="F2"/>
          <w:szCs w:val="22"/>
        </w:rPr>
        <w:t xml:space="preserve"> for disaster prevention and agricultural planning (Webster and Hoyos, 2004). </w:t>
      </w:r>
      <w:r w:rsidRPr="00E44923">
        <w:rPr>
          <w:rFonts w:ascii="Arial" w:eastAsia="Calibri" w:hAnsi="Arial" w:cs="Arial"/>
          <w:color w:val="0D0D0D" w:themeColor="text1" w:themeTint="F2"/>
          <w:szCs w:val="22"/>
        </w:rPr>
        <w:t>The key</w:t>
      </w:r>
      <w:r w:rsidRPr="00E44923">
        <w:rPr>
          <w:rFonts w:ascii="Arial" w:hAnsi="Arial" w:cs="Arial"/>
          <w:color w:val="0D0D0D" w:themeColor="text1" w:themeTint="F2"/>
          <w:szCs w:val="22"/>
        </w:rPr>
        <w:t xml:space="preserve"> factors influencing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predictability include </w:t>
      </w:r>
      <w:r w:rsidRPr="00E44923">
        <w:rPr>
          <w:rFonts w:ascii="Arial" w:eastAsia="Calibri" w:hAnsi="Arial" w:cs="Arial"/>
          <w:color w:val="0D0D0D" w:themeColor="text1" w:themeTint="F2"/>
          <w:szCs w:val="22"/>
        </w:rPr>
        <w:t>tropical ISVs</w:t>
      </w:r>
      <w:r w:rsidRPr="00E44923">
        <w:rPr>
          <w:rFonts w:ascii="Arial" w:hAnsi="Arial" w:cs="Arial"/>
          <w:color w:val="0D0D0D" w:themeColor="text1" w:themeTint="F2"/>
          <w:szCs w:val="22"/>
        </w:rPr>
        <w:t xml:space="preserve"> and teleconnections (</w:t>
      </w:r>
      <w:proofErr w:type="spellStart"/>
      <w:r w:rsidRPr="00E44923">
        <w:rPr>
          <w:rFonts w:ascii="Arial" w:hAnsi="Arial" w:cs="Arial"/>
          <w:color w:val="0D0D0D" w:themeColor="text1" w:themeTint="F2"/>
          <w:szCs w:val="22"/>
        </w:rPr>
        <w:t>Vitart</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While forecasts are typically reliable for two weeks, more research is needed to improve ISV understanding and forecasting capabilities. The Ensemble Prediction System (EPS) must be evaluated for localized forecasts in India (Joseph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and tools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SubX</w:t>
      </w:r>
      <w:proofErr w:type="spellEnd"/>
      <w:r w:rsidRPr="00E44923">
        <w:rPr>
          <w:rFonts w:ascii="Arial" w:hAnsi="Arial" w:cs="Arial"/>
          <w:color w:val="0D0D0D" w:themeColor="text1" w:themeTint="F2"/>
          <w:szCs w:val="22"/>
        </w:rPr>
        <w:t xml:space="preserve"> provide valuable data for enhancing real-time predictions (</w:t>
      </w:r>
      <w:proofErr w:type="spellStart"/>
      <w:r w:rsidRPr="00E44923">
        <w:rPr>
          <w:rFonts w:ascii="Arial" w:hAnsi="Arial" w:cs="Arial"/>
          <w:color w:val="0D0D0D" w:themeColor="text1" w:themeTint="F2"/>
          <w:szCs w:val="22"/>
        </w:rPr>
        <w:t>Pegion</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Machine learning models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UNet</w:t>
      </w:r>
      <w:proofErr w:type="spellEnd"/>
      <w:r w:rsidRPr="00E44923">
        <w:rPr>
          <w:rFonts w:ascii="Arial" w:hAnsi="Arial" w:cs="Arial"/>
          <w:color w:val="0D0D0D" w:themeColor="text1" w:themeTint="F2"/>
          <w:szCs w:val="22"/>
        </w:rPr>
        <w:t xml:space="preserve"> also </w:t>
      </w:r>
      <w:r w:rsidRPr="00E44923">
        <w:rPr>
          <w:rFonts w:ascii="Arial" w:eastAsia="Calibri" w:hAnsi="Arial" w:cs="Arial"/>
          <w:color w:val="0D0D0D" w:themeColor="text1" w:themeTint="F2"/>
          <w:szCs w:val="22"/>
        </w:rPr>
        <w:t xml:space="preserve">improve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forecasts by leveraging historical data (Unal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w:t>
      </w:r>
    </w:p>
    <w:p w14:paraId="76DCC5BF" w14:textId="77777777" w:rsidR="00373310" w:rsidRPr="00E44923" w:rsidRDefault="002439A9" w:rsidP="00A53B65">
      <w:pPr>
        <w:spacing w:line="360" w:lineRule="auto"/>
        <w:jc w:val="both"/>
        <w:rPr>
          <w:rStyle w:val="StrongEmphasis"/>
          <w:rFonts w:ascii="Arial" w:hAnsi="Arial" w:cs="Arial"/>
          <w:color w:val="0D0D0D" w:themeColor="text1" w:themeTint="F2"/>
          <w:szCs w:val="22"/>
        </w:rPr>
      </w:pPr>
      <w:r w:rsidRPr="00E44923">
        <w:rPr>
          <w:rStyle w:val="StrongEmphasis"/>
          <w:rFonts w:ascii="Arial" w:hAnsi="Arial" w:cs="Arial"/>
          <w:color w:val="0D0D0D" w:themeColor="text1" w:themeTint="F2"/>
          <w:szCs w:val="22"/>
        </w:rPr>
        <w:t>Extended Range prediction of Atmospheric variables and its extremes:</w:t>
      </w:r>
    </w:p>
    <w:p w14:paraId="0E9B1AB7" w14:textId="77777777" w:rsidR="00DB043D"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Temperature:</w:t>
      </w:r>
    </w:p>
    <w:p w14:paraId="6F5C885D" w14:textId="488ED7DC" w:rsidR="00933141" w:rsidRPr="00E44923" w:rsidRDefault="004F6124" w:rsidP="00A53B65">
      <w:pPr>
        <w:spacing w:beforeAutospacing="1" w:afterAutospacing="1" w:line="360" w:lineRule="auto"/>
        <w:jc w:val="both"/>
        <w:outlineLvl w:val="2"/>
        <w:rPr>
          <w:rFonts w:ascii="Arial" w:hAnsi="Arial" w:cs="Arial"/>
          <w:color w:val="0D0D0D" w:themeColor="text1" w:themeTint="F2"/>
          <w:szCs w:val="22"/>
        </w:rPr>
      </w:pPr>
      <w:r w:rsidRPr="00E44923">
        <w:rPr>
          <w:rFonts w:ascii="Arial" w:eastAsia="Calibri" w:hAnsi="Arial" w:cs="Arial"/>
          <w:color w:val="0D0D0D" w:themeColor="text1" w:themeTint="F2"/>
          <w:szCs w:val="22"/>
        </w:rPr>
        <w:t>The prediction</w:t>
      </w:r>
      <w:r w:rsidRPr="00E44923">
        <w:rPr>
          <w:rFonts w:ascii="Arial" w:hAnsi="Arial" w:cs="Arial"/>
          <w:color w:val="0D0D0D" w:themeColor="text1" w:themeTint="F2"/>
          <w:szCs w:val="22"/>
        </w:rPr>
        <w:t xml:space="preserve"> of temperature </w:t>
      </w:r>
      <w:r w:rsidRPr="00E44923">
        <w:rPr>
          <w:rFonts w:ascii="Arial" w:eastAsia="Calibri" w:hAnsi="Arial" w:cs="Arial"/>
          <w:color w:val="0D0D0D" w:themeColor="text1" w:themeTint="F2"/>
          <w:szCs w:val="22"/>
        </w:rPr>
        <w:t>via the</w:t>
      </w:r>
      <w:r w:rsidRPr="00E44923">
        <w:rPr>
          <w:rFonts w:ascii="Arial" w:hAnsi="Arial" w:cs="Arial"/>
          <w:color w:val="0D0D0D" w:themeColor="text1" w:themeTint="F2"/>
          <w:szCs w:val="22"/>
        </w:rPr>
        <w:t xml:space="preserve"> ERWF is critical for managing the impacts of cold waves and heat waves in India. </w:t>
      </w:r>
      <w:r w:rsidRPr="00E44923">
        <w:rPr>
          <w:rFonts w:ascii="Arial" w:eastAsia="Calibri" w:hAnsi="Arial" w:cs="Arial"/>
          <w:color w:val="0D0D0D" w:themeColor="text1" w:themeTint="F2"/>
          <w:szCs w:val="22"/>
        </w:rPr>
        <w:t>Owing</w:t>
      </w:r>
      <w:r w:rsidRPr="00E44923">
        <w:rPr>
          <w:rFonts w:ascii="Arial" w:hAnsi="Arial" w:cs="Arial"/>
          <w:color w:val="0D0D0D" w:themeColor="text1" w:themeTint="F2"/>
          <w:szCs w:val="22"/>
        </w:rPr>
        <w:t xml:space="preserve"> to its location in major tropical and subtropical regions, </w:t>
      </w:r>
      <w:r w:rsidRPr="00E44923">
        <w:rPr>
          <w:rFonts w:ascii="Arial" w:eastAsia="Calibri" w:hAnsi="Arial" w:cs="Arial"/>
          <w:color w:val="0D0D0D" w:themeColor="text1" w:themeTint="F2"/>
          <w:szCs w:val="22"/>
        </w:rPr>
        <w:t xml:space="preserve">it is </w:t>
      </w:r>
      <w:r w:rsidRPr="00E44923">
        <w:rPr>
          <w:rFonts w:ascii="Arial" w:hAnsi="Arial" w:cs="Arial"/>
          <w:color w:val="0D0D0D" w:themeColor="text1" w:themeTint="F2"/>
          <w:szCs w:val="22"/>
        </w:rPr>
        <w:t>highly vulnerable to heatwaves, with over 24,000 deaths reported between 1992 and 2015. The need for adaptive strategies is critical</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as future projections indicate a temperature </w:t>
      </w:r>
      <w:r w:rsidRPr="00E44923">
        <w:rPr>
          <w:rFonts w:ascii="Arial" w:eastAsia="Calibri" w:hAnsi="Arial" w:cs="Arial"/>
          <w:color w:val="0D0D0D" w:themeColor="text1" w:themeTint="F2"/>
          <w:szCs w:val="22"/>
        </w:rPr>
        <w:t>increase</w:t>
      </w:r>
      <w:r w:rsidRPr="00E44923">
        <w:rPr>
          <w:rFonts w:ascii="Arial" w:hAnsi="Arial" w:cs="Arial"/>
          <w:color w:val="0D0D0D" w:themeColor="text1" w:themeTint="F2"/>
          <w:szCs w:val="22"/>
        </w:rPr>
        <w:t xml:space="preserve"> of ±1.2°C to ±3.5°C, with potential reductions expected by 2050 under various emission scenarios </w:t>
      </w:r>
      <w:r w:rsidR="00DA1390" w:rsidRPr="00E44923">
        <w:rPr>
          <w:rFonts w:ascii="Arial" w:hAnsi="Arial" w:cs="Arial"/>
          <w:color w:val="0D0D0D" w:themeColor="text1" w:themeTint="F2"/>
          <w:szCs w:val="22"/>
        </w:rPr>
        <w:t xml:space="preserve">(Ravindra </w:t>
      </w:r>
      <w:r w:rsidR="00D72703" w:rsidRPr="00E44923">
        <w:rPr>
          <w:rFonts w:ascii="Arial" w:hAnsi="Arial" w:cs="Arial"/>
          <w:i/>
          <w:iCs/>
          <w:color w:val="0D0D0D" w:themeColor="text1" w:themeTint="F2"/>
          <w:szCs w:val="22"/>
        </w:rPr>
        <w:t>et al.,</w:t>
      </w:r>
      <w:r w:rsidR="00DA1390" w:rsidRPr="00E44923">
        <w:rPr>
          <w:rFonts w:ascii="Arial" w:hAnsi="Arial" w:cs="Arial"/>
          <w:color w:val="0D0D0D" w:themeColor="text1" w:themeTint="F2"/>
          <w:szCs w:val="22"/>
        </w:rPr>
        <w:t xml:space="preserve"> 2024). </w:t>
      </w:r>
      <w:r w:rsidR="00C651A3" w:rsidRPr="00E44923">
        <w:rPr>
          <w:rFonts w:ascii="Arial" w:hAnsi="Arial" w:cs="Arial"/>
          <w:color w:val="0D0D0D" w:themeColor="text1" w:themeTint="F2"/>
          <w:szCs w:val="22"/>
        </w:rPr>
        <w:t xml:space="preserve">The IMD has set guidelines for identifying heatwaves by analyzing temperature data and deviations from the average temperature for a specific location. Heatwaves in India typically occur between March and July, primarily during the </w:t>
      </w:r>
      <w:proofErr w:type="spellStart"/>
      <w:r w:rsidRPr="00E44923">
        <w:rPr>
          <w:rFonts w:ascii="Arial" w:eastAsia="Calibri" w:hAnsi="Arial" w:cs="Arial"/>
          <w:color w:val="0D0D0D" w:themeColor="text1" w:themeTint="F2"/>
          <w:szCs w:val="22"/>
        </w:rPr>
        <w:t>premonsoon</w:t>
      </w:r>
      <w:proofErr w:type="spellEnd"/>
      <w:r w:rsidR="00C651A3" w:rsidRPr="00E44923">
        <w:rPr>
          <w:rFonts w:ascii="Arial" w:hAnsi="Arial" w:cs="Arial"/>
          <w:color w:val="0D0D0D" w:themeColor="text1" w:themeTint="F2"/>
          <w:szCs w:val="22"/>
        </w:rPr>
        <w:t xml:space="preserve"> season (</w:t>
      </w:r>
      <w:proofErr w:type="spellStart"/>
      <w:r w:rsidR="00C651A3" w:rsidRPr="00E44923">
        <w:rPr>
          <w:rFonts w:ascii="Arial" w:hAnsi="Arial" w:cs="Arial"/>
          <w:color w:val="0D0D0D" w:themeColor="text1" w:themeTint="F2"/>
          <w:szCs w:val="22"/>
        </w:rPr>
        <w:t>Nageswararao</w:t>
      </w:r>
      <w:proofErr w:type="spellEnd"/>
      <w:r w:rsidR="00C651A3"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2020). In recent years, extreme heat events have caused numerous casualties, with northern, northwestern, central, and northeastern peninsulas being the most affected (Pai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2013; Singh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2021; Mukherjee </w:t>
      </w:r>
      <w:r w:rsidR="00603FEB" w:rsidRPr="00E44923">
        <w:rPr>
          <w:rFonts w:ascii="Arial" w:hAnsi="Arial" w:cs="Arial"/>
          <w:color w:val="0D0D0D" w:themeColor="text1" w:themeTint="F2"/>
          <w:szCs w:val="22"/>
        </w:rPr>
        <w:t>and</w:t>
      </w:r>
      <w:r w:rsidR="00C651A3" w:rsidRPr="00E44923">
        <w:rPr>
          <w:rFonts w:ascii="Arial" w:hAnsi="Arial" w:cs="Arial"/>
          <w:color w:val="0D0D0D" w:themeColor="text1" w:themeTint="F2"/>
          <w:szCs w:val="22"/>
        </w:rPr>
        <w:t xml:space="preserve"> Mishra, 2018). Humidity plays a crucial role in assessing heatwaves. Studies </w:t>
      </w:r>
      <w:r w:rsidRPr="00E44923">
        <w:rPr>
          <w:rFonts w:ascii="Arial" w:eastAsia="Calibri" w:hAnsi="Arial" w:cs="Arial"/>
          <w:color w:val="0D0D0D" w:themeColor="text1" w:themeTint="F2"/>
          <w:szCs w:val="22"/>
        </w:rPr>
        <w:t>have shown</w:t>
      </w:r>
      <w:r w:rsidR="00C651A3" w:rsidRPr="00E44923">
        <w:rPr>
          <w:rFonts w:ascii="Arial" w:hAnsi="Arial" w:cs="Arial"/>
          <w:color w:val="0D0D0D" w:themeColor="text1" w:themeTint="F2"/>
          <w:szCs w:val="22"/>
        </w:rPr>
        <w:t xml:space="preserve"> that by the end of the century, under high GHG emission scenarios, heatwave intensity, frequency, and duration will increase, potentially impacting regions </w:t>
      </w:r>
      <w:r w:rsidRPr="00E44923">
        <w:rPr>
          <w:rFonts w:ascii="Arial" w:eastAsia="Calibri" w:hAnsi="Arial" w:cs="Arial"/>
          <w:color w:val="0D0D0D" w:themeColor="text1" w:themeTint="F2"/>
          <w:szCs w:val="22"/>
        </w:rPr>
        <w:t xml:space="preserve">that are </w:t>
      </w:r>
      <w:r w:rsidR="00C651A3" w:rsidRPr="00E44923">
        <w:rPr>
          <w:rFonts w:ascii="Arial" w:hAnsi="Arial" w:cs="Arial"/>
          <w:color w:val="0D0D0D" w:themeColor="text1" w:themeTint="F2"/>
          <w:szCs w:val="22"/>
        </w:rPr>
        <w:t xml:space="preserve">currently unaffected (Murari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2015; </w:t>
      </w:r>
      <w:proofErr w:type="spellStart"/>
      <w:r w:rsidR="00C651A3" w:rsidRPr="00E44923">
        <w:rPr>
          <w:rFonts w:ascii="Arial" w:hAnsi="Arial" w:cs="Arial"/>
          <w:color w:val="0D0D0D" w:themeColor="text1" w:themeTint="F2"/>
          <w:szCs w:val="22"/>
        </w:rPr>
        <w:t>Koteswara</w:t>
      </w:r>
      <w:proofErr w:type="spellEnd"/>
      <w:r w:rsidR="00C651A3" w:rsidRPr="00E44923">
        <w:rPr>
          <w:rFonts w:ascii="Arial" w:hAnsi="Arial" w:cs="Arial"/>
          <w:color w:val="0D0D0D" w:themeColor="text1" w:themeTint="F2"/>
          <w:szCs w:val="22"/>
        </w:rPr>
        <w:t xml:space="preserve"> Rao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2020; Perkins-Kirkpatrick and Lewis 2020; Dubey et al. 2021; Das and </w:t>
      </w:r>
      <w:proofErr w:type="spellStart"/>
      <w:r w:rsidR="00C651A3" w:rsidRPr="00E44923">
        <w:rPr>
          <w:rFonts w:ascii="Arial" w:hAnsi="Arial" w:cs="Arial"/>
          <w:color w:val="0D0D0D" w:themeColor="text1" w:themeTint="F2"/>
          <w:szCs w:val="22"/>
        </w:rPr>
        <w:t>Umamahesh</w:t>
      </w:r>
      <w:proofErr w:type="spellEnd"/>
      <w:r w:rsidR="00C651A3" w:rsidRPr="00E44923">
        <w:rPr>
          <w:rFonts w:ascii="Arial" w:hAnsi="Arial" w:cs="Arial"/>
          <w:color w:val="0D0D0D" w:themeColor="text1" w:themeTint="F2"/>
          <w:szCs w:val="22"/>
        </w:rPr>
        <w:t xml:space="preserve"> 2022).</w:t>
      </w:r>
      <w:r w:rsidR="007E440F" w:rsidRPr="00E44923">
        <w:rPr>
          <w:rFonts w:ascii="Arial"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The </w:t>
      </w:r>
      <w:r w:rsidR="007E440F" w:rsidRPr="00E44923">
        <w:rPr>
          <w:rFonts w:ascii="Arial" w:hAnsi="Arial" w:cs="Arial"/>
          <w:color w:val="0D0D0D" w:themeColor="text1" w:themeTint="F2"/>
          <w:szCs w:val="22"/>
        </w:rPr>
        <w:t xml:space="preserve">ERWF can be used to predict temperature (Wang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(2013); </w:t>
      </w:r>
      <w:proofErr w:type="spellStart"/>
      <w:r w:rsidR="007E440F" w:rsidRPr="00E44923">
        <w:rPr>
          <w:rFonts w:ascii="Arial" w:hAnsi="Arial" w:cs="Arial"/>
          <w:color w:val="0D0D0D" w:themeColor="text1" w:themeTint="F2"/>
          <w:szCs w:val="22"/>
        </w:rPr>
        <w:t>Qiuming</w:t>
      </w:r>
      <w:proofErr w:type="spellEnd"/>
      <w:r w:rsidR="007E440F" w:rsidRPr="00E44923">
        <w:rPr>
          <w:rFonts w:ascii="Arial" w:hAnsi="Arial" w:cs="Arial"/>
          <w:color w:val="0D0D0D" w:themeColor="text1" w:themeTint="F2"/>
          <w:szCs w:val="22"/>
        </w:rPr>
        <w:t xml:space="preserve"> (2018; Joseph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2019; Peng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2020)</w:t>
      </w:r>
      <w:r w:rsidRPr="00E44923">
        <w:rPr>
          <w:rFonts w:ascii="Arial" w:eastAsia="Calibri" w:hAnsi="Arial" w:cs="Arial"/>
          <w:color w:val="0D0D0D" w:themeColor="text1" w:themeTint="F2"/>
          <w:szCs w:val="22"/>
        </w:rPr>
        <w:t>,</w:t>
      </w:r>
      <w:r w:rsidR="007E440F" w:rsidRPr="00E44923">
        <w:rPr>
          <w:rFonts w:ascii="Arial" w:hAnsi="Arial" w:cs="Arial"/>
          <w:color w:val="0D0D0D" w:themeColor="text1" w:themeTint="F2"/>
          <w:szCs w:val="22"/>
        </w:rPr>
        <w:t xml:space="preserve"> heatwaves (Kueh and Lin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(2020); Hudson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(2016) and cold waves. Dai et al. (2024) presented a 25-day ERP model for winter </w:t>
      </w:r>
      <w:proofErr w:type="spellStart"/>
      <w:r w:rsidR="007E440F" w:rsidRPr="00E44923">
        <w:rPr>
          <w:rFonts w:ascii="Arial" w:hAnsi="Arial" w:cs="Arial"/>
          <w:color w:val="0D0D0D" w:themeColor="text1" w:themeTint="F2"/>
          <w:szCs w:val="22"/>
        </w:rPr>
        <w:t>Tmin</w:t>
      </w:r>
      <w:proofErr w:type="spellEnd"/>
      <w:r w:rsidR="007E440F" w:rsidRPr="00E44923">
        <w:rPr>
          <w:rFonts w:ascii="Arial" w:hAnsi="Arial" w:cs="Arial"/>
          <w:color w:val="0D0D0D" w:themeColor="text1" w:themeTint="F2"/>
          <w:szCs w:val="22"/>
        </w:rPr>
        <w:t xml:space="preserve"> in southern China</w:t>
      </w:r>
      <w:r w:rsidRPr="00E44923">
        <w:rPr>
          <w:rFonts w:ascii="Arial" w:eastAsia="Calibri" w:hAnsi="Arial" w:cs="Arial"/>
          <w:color w:val="0D0D0D" w:themeColor="text1" w:themeTint="F2"/>
          <w:szCs w:val="22"/>
        </w:rPr>
        <w:t xml:space="preserve"> via</w:t>
      </w:r>
      <w:r w:rsidR="007E440F" w:rsidRPr="00E44923">
        <w:rPr>
          <w:rFonts w:ascii="Arial" w:hAnsi="Arial" w:cs="Arial"/>
          <w:color w:val="0D0D0D" w:themeColor="text1" w:themeTint="F2"/>
          <w:szCs w:val="22"/>
        </w:rPr>
        <w:t xml:space="preserve"> pentad increments derived from ECMWF reanalysis data. By utilizing soil temperature and stratospheric geopotential height as predictors, the model achieves a correlation skill of 0.45 for </w:t>
      </w:r>
      <w:proofErr w:type="spellStart"/>
      <w:r w:rsidR="007E440F" w:rsidRPr="00E44923">
        <w:rPr>
          <w:rFonts w:ascii="Arial" w:hAnsi="Arial" w:cs="Arial"/>
          <w:color w:val="0D0D0D" w:themeColor="text1" w:themeTint="F2"/>
          <w:szCs w:val="22"/>
        </w:rPr>
        <w:t>Tmin</w:t>
      </w:r>
      <w:proofErr w:type="spellEnd"/>
      <w:r w:rsidR="007E440F" w:rsidRPr="00E44923">
        <w:rPr>
          <w:rFonts w:ascii="Arial" w:hAnsi="Arial" w:cs="Arial"/>
          <w:color w:val="0D0D0D" w:themeColor="text1" w:themeTint="F2"/>
          <w:szCs w:val="22"/>
        </w:rPr>
        <w:t xml:space="preserve"> and a 57% hit rate for extremely cold days, offering </w:t>
      </w:r>
      <w:r w:rsidR="007E440F" w:rsidRPr="00E44923">
        <w:rPr>
          <w:rFonts w:ascii="Arial" w:hAnsi="Arial" w:cs="Arial"/>
          <w:color w:val="0D0D0D" w:themeColor="text1" w:themeTint="F2"/>
          <w:szCs w:val="22"/>
        </w:rPr>
        <w:lastRenderedPageBreak/>
        <w:t>valuable insights for forecasting extreme weather events.</w:t>
      </w:r>
      <w:r w:rsidR="005D3474" w:rsidRPr="00E44923">
        <w:rPr>
          <w:rFonts w:ascii="Arial" w:hAnsi="Arial" w:cs="Arial"/>
          <w:color w:val="0D0D0D" w:themeColor="text1" w:themeTint="F2"/>
          <w:szCs w:val="22"/>
        </w:rPr>
        <w:t xml:space="preserve"> Some of the </w:t>
      </w:r>
      <w:r w:rsidRPr="00E44923">
        <w:rPr>
          <w:rFonts w:ascii="Arial" w:eastAsia="Calibri" w:hAnsi="Arial" w:cs="Arial"/>
          <w:color w:val="0D0D0D" w:themeColor="text1" w:themeTint="F2"/>
          <w:szCs w:val="22"/>
        </w:rPr>
        <w:t>key</w:t>
      </w:r>
      <w:r w:rsidR="005D3474" w:rsidRPr="00E44923">
        <w:rPr>
          <w:rFonts w:ascii="Arial" w:hAnsi="Arial" w:cs="Arial"/>
          <w:color w:val="0D0D0D" w:themeColor="text1" w:themeTint="F2"/>
          <w:szCs w:val="22"/>
        </w:rPr>
        <w:t xml:space="preserve"> findings are summarized in a table.</w:t>
      </w:r>
      <w:r w:rsidR="002439A9"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t>The use of the strength of the stratospheric polar vortex to enhance extended-range temperature forecasts in Europe was studied by Korhonen 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(2020).</w:t>
      </w:r>
    </w:p>
    <w:p w14:paraId="4BE8463B" w14:textId="77777777" w:rsidR="00A2700C" w:rsidRPr="00E44923" w:rsidRDefault="004F6124" w:rsidP="00A53B65">
      <w:pPr>
        <w:spacing w:line="360" w:lineRule="auto"/>
        <w:jc w:val="both"/>
        <w:rPr>
          <w:rStyle w:val="StrongEmphasis"/>
          <w:rFonts w:ascii="Arial" w:hAnsi="Arial" w:cs="Arial"/>
          <w:color w:val="0D0D0D" w:themeColor="text1" w:themeTint="F2"/>
          <w:szCs w:val="22"/>
        </w:rPr>
      </w:pPr>
      <w:r w:rsidRPr="00E44923">
        <w:rPr>
          <w:rStyle w:val="StrongEmphasis"/>
          <w:rFonts w:ascii="Arial" w:hAnsi="Arial" w:cs="Arial"/>
          <w:color w:val="0D0D0D" w:themeColor="text1" w:themeTint="F2"/>
          <w:szCs w:val="22"/>
        </w:rPr>
        <w:t>Rainfall</w:t>
      </w:r>
    </w:p>
    <w:p w14:paraId="28DB1562" w14:textId="204BE8C5" w:rsidR="00373310" w:rsidRPr="00E44923" w:rsidRDefault="002439A9" w:rsidP="00A53B65">
      <w:pPr>
        <w:spacing w:line="360" w:lineRule="auto"/>
        <w:jc w:val="both"/>
        <w:rPr>
          <w:rFonts w:ascii="Arial" w:hAnsi="Arial" w:cs="Arial"/>
          <w:color w:val="0D0D0D" w:themeColor="text1" w:themeTint="F2"/>
          <w:szCs w:val="22"/>
        </w:rPr>
      </w:pPr>
      <w:r w:rsidRPr="00E44923">
        <w:rPr>
          <w:rStyle w:val="StrongEmphasis"/>
          <w:rFonts w:ascii="Arial" w:hAnsi="Arial" w:cs="Arial"/>
          <w:b w:val="0"/>
          <w:bCs w:val="0"/>
          <w:color w:val="0D0D0D" w:themeColor="text1" w:themeTint="F2"/>
          <w:szCs w:val="22"/>
        </w:rPr>
        <w:t>Extended-range rainfall predictions (Table)</w:t>
      </w:r>
      <w:r w:rsidR="00A843E4" w:rsidRPr="00E44923">
        <w:rPr>
          <w:rStyle w:val="StrongEmphasis"/>
          <w:rFonts w:ascii="Arial" w:hAnsi="Arial" w:cs="Arial"/>
          <w:b w:val="0"/>
          <w:bCs w:val="0"/>
          <w:color w:val="0D0D0D" w:themeColor="text1" w:themeTint="F2"/>
          <w:szCs w:val="22"/>
        </w:rPr>
        <w:t xml:space="preserve"> during the monsoon </w:t>
      </w:r>
      <w:r w:rsidR="004F6124" w:rsidRPr="00E44923">
        <w:rPr>
          <w:rStyle w:val="StrongEmphasis"/>
          <w:rFonts w:ascii="Arial" w:eastAsia="Calibri" w:hAnsi="Arial" w:cs="Arial"/>
          <w:b w:val="0"/>
          <w:bCs w:val="0"/>
          <w:color w:val="0D0D0D" w:themeColor="text1" w:themeTint="F2"/>
          <w:szCs w:val="22"/>
        </w:rPr>
        <w:t xml:space="preserve">season </w:t>
      </w:r>
      <w:r w:rsidR="00A843E4" w:rsidRPr="00E44923">
        <w:rPr>
          <w:rStyle w:val="StrongEmphasis"/>
          <w:rFonts w:ascii="Arial" w:hAnsi="Arial" w:cs="Arial"/>
          <w:b w:val="0"/>
          <w:bCs w:val="0"/>
          <w:color w:val="0D0D0D" w:themeColor="text1" w:themeTint="F2"/>
          <w:szCs w:val="22"/>
        </w:rPr>
        <w:t xml:space="preserve">can guide efficient water conservation, minimize </w:t>
      </w:r>
      <w:r w:rsidR="004F6124" w:rsidRPr="00E44923">
        <w:rPr>
          <w:rStyle w:val="StrongEmphasis"/>
          <w:rFonts w:ascii="Arial" w:eastAsia="Calibri" w:hAnsi="Arial" w:cs="Arial"/>
          <w:b w:val="0"/>
          <w:bCs w:val="0"/>
          <w:color w:val="0D0D0D" w:themeColor="text1" w:themeTint="F2"/>
          <w:szCs w:val="22"/>
        </w:rPr>
        <w:t>waste</w:t>
      </w:r>
      <w:r w:rsidR="00A843E4" w:rsidRPr="00E44923">
        <w:rPr>
          <w:rStyle w:val="StrongEmphasis"/>
          <w:rFonts w:ascii="Arial" w:hAnsi="Arial" w:cs="Arial"/>
          <w:b w:val="0"/>
          <w:bCs w:val="0"/>
          <w:color w:val="0D0D0D" w:themeColor="text1" w:themeTint="F2"/>
          <w:szCs w:val="22"/>
        </w:rPr>
        <w:t xml:space="preserve">, and support more equitable </w:t>
      </w:r>
      <w:r w:rsidR="004F6124" w:rsidRPr="00E44923">
        <w:rPr>
          <w:rStyle w:val="StrongEmphasis"/>
          <w:rFonts w:ascii="Arial" w:eastAsia="Calibri" w:hAnsi="Arial" w:cs="Arial"/>
          <w:b w:val="0"/>
          <w:bCs w:val="0"/>
          <w:color w:val="0D0D0D" w:themeColor="text1" w:themeTint="F2"/>
          <w:szCs w:val="22"/>
        </w:rPr>
        <w:t>distributions</w:t>
      </w:r>
      <w:r w:rsidR="00A843E4" w:rsidRPr="00E44923">
        <w:rPr>
          <w:rStyle w:val="StrongEmphasis"/>
          <w:rFonts w:ascii="Arial" w:hAnsi="Arial" w:cs="Arial"/>
          <w:b w:val="0"/>
          <w:bCs w:val="0"/>
          <w:color w:val="0D0D0D" w:themeColor="text1" w:themeTint="F2"/>
          <w:szCs w:val="22"/>
        </w:rPr>
        <w:t xml:space="preserve"> across and within states through integrated water resource management </w:t>
      </w:r>
      <w:r w:rsidR="00A843E4" w:rsidRPr="00E44923">
        <w:rPr>
          <w:rStyle w:val="StrongEmphasis"/>
          <w:rFonts w:ascii="Arial" w:hAnsi="Arial" w:cs="Arial"/>
          <w:color w:val="0D0D0D" w:themeColor="text1" w:themeTint="F2"/>
          <w:szCs w:val="22"/>
        </w:rPr>
        <w:t>(</w:t>
      </w:r>
      <w:r w:rsidR="00A843E4" w:rsidRPr="00E44923">
        <w:rPr>
          <w:rStyle w:val="StrongEmphasis"/>
          <w:rFonts w:ascii="Arial" w:hAnsi="Arial" w:cs="Arial"/>
          <w:b w:val="0"/>
          <w:bCs w:val="0"/>
          <w:color w:val="0D0D0D" w:themeColor="text1" w:themeTint="F2"/>
          <w:szCs w:val="22"/>
        </w:rPr>
        <w:t xml:space="preserve">Borah </w:t>
      </w:r>
      <w:r w:rsidR="00D72703" w:rsidRPr="00E44923">
        <w:rPr>
          <w:rStyle w:val="StrongEmphasis"/>
          <w:rFonts w:ascii="Arial" w:hAnsi="Arial" w:cs="Arial"/>
          <w:b w:val="0"/>
          <w:bCs w:val="0"/>
          <w:i/>
          <w:iCs/>
          <w:color w:val="0D0D0D" w:themeColor="text1" w:themeTint="F2"/>
          <w:szCs w:val="22"/>
        </w:rPr>
        <w:t>et al.,</w:t>
      </w:r>
      <w:r w:rsidR="00A843E4" w:rsidRPr="00E44923">
        <w:rPr>
          <w:rStyle w:val="StrongEmphasis"/>
          <w:rFonts w:ascii="Arial" w:hAnsi="Arial" w:cs="Arial"/>
          <w:b w:val="0"/>
          <w:bCs w:val="0"/>
          <w:color w:val="0D0D0D" w:themeColor="text1" w:themeTint="F2"/>
          <w:szCs w:val="22"/>
        </w:rPr>
        <w:t xml:space="preserve"> 2015).</w:t>
      </w:r>
    </w:p>
    <w:p w14:paraId="182970DF" w14:textId="77777777" w:rsidR="007F3AF6" w:rsidRPr="00E44923" w:rsidRDefault="004F6124" w:rsidP="00A53B65">
      <w:pPr>
        <w:spacing w:beforeAutospacing="1" w:afterAutospacing="1" w:line="360" w:lineRule="auto"/>
        <w:jc w:val="both"/>
        <w:outlineLvl w:val="2"/>
        <w:rPr>
          <w:rFonts w:ascii="Arial" w:hAnsi="Arial" w:cs="Arial"/>
          <w:b/>
          <w:bCs/>
          <w:color w:val="0D0D0D" w:themeColor="text1" w:themeTint="F2"/>
          <w:szCs w:val="22"/>
        </w:rPr>
      </w:pPr>
      <w:r w:rsidRPr="00E44923">
        <w:rPr>
          <w:rFonts w:ascii="Arial" w:hAnsi="Arial" w:cs="Arial"/>
          <w:b/>
          <w:bCs/>
          <w:color w:val="0D0D0D" w:themeColor="text1" w:themeTint="F2"/>
          <w:szCs w:val="22"/>
        </w:rPr>
        <w:t>Extreme events</w:t>
      </w:r>
    </w:p>
    <w:p w14:paraId="06E22F45" w14:textId="251E582D" w:rsidR="0094267A" w:rsidRPr="00E44923" w:rsidRDefault="004F6124" w:rsidP="00A53B65">
      <w:pPr>
        <w:spacing w:beforeAutospacing="1" w:afterAutospacing="1" w:line="360" w:lineRule="auto"/>
        <w:jc w:val="both"/>
        <w:outlineLvl w:val="2"/>
        <w:rPr>
          <w:rFonts w:ascii="Arial" w:hAnsi="Arial" w:cs="Arial"/>
          <w:b/>
          <w:bCs/>
          <w:color w:val="0D0D0D" w:themeColor="text1" w:themeTint="F2"/>
          <w:szCs w:val="22"/>
        </w:rPr>
      </w:pP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can predict extreme events, including cyclones (Gray (199</w:t>
      </w:r>
      <w:r w:rsidR="00603FEB" w:rsidRPr="00E44923">
        <w:rPr>
          <w:rFonts w:ascii="Arial" w:hAnsi="Arial" w:cs="Arial"/>
          <w:color w:val="0D0D0D" w:themeColor="text1" w:themeTint="F2"/>
          <w:szCs w:val="22"/>
        </w:rPr>
        <w:t>3</w:t>
      </w:r>
      <w:r w:rsidRPr="00E44923">
        <w:rPr>
          <w:rFonts w:ascii="Arial" w:hAnsi="Arial" w:cs="Arial"/>
          <w:color w:val="0D0D0D" w:themeColor="text1" w:themeTint="F2"/>
          <w:szCs w:val="22"/>
        </w:rPr>
        <w:t xml:space="preserve">); Elsner and </w:t>
      </w:r>
      <w:proofErr w:type="spellStart"/>
      <w:r w:rsidRPr="00E44923">
        <w:rPr>
          <w:rFonts w:ascii="Arial" w:hAnsi="Arial" w:cs="Arial"/>
          <w:color w:val="0D0D0D" w:themeColor="text1" w:themeTint="F2"/>
          <w:szCs w:val="22"/>
        </w:rPr>
        <w:t>Schmertmann</w:t>
      </w:r>
      <w:proofErr w:type="spellEnd"/>
      <w:r w:rsidRPr="00E44923">
        <w:rPr>
          <w:rFonts w:ascii="Arial" w:hAnsi="Arial" w:cs="Arial"/>
          <w:color w:val="0D0D0D" w:themeColor="text1" w:themeTint="F2"/>
          <w:szCs w:val="22"/>
        </w:rPr>
        <w:t xml:space="preserve"> (1993); </w:t>
      </w:r>
      <w:proofErr w:type="spellStart"/>
      <w:r w:rsidRPr="00E44923">
        <w:rPr>
          <w:rFonts w:ascii="Arial" w:hAnsi="Arial" w:cs="Arial"/>
          <w:color w:val="0D0D0D" w:themeColor="text1" w:themeTint="F2"/>
          <w:szCs w:val="22"/>
        </w:rPr>
        <w:t>Klotzbach</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(2006; 2012); Elsberry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(2014); </w:t>
      </w:r>
      <w:proofErr w:type="spellStart"/>
      <w:r w:rsidRPr="00E44923">
        <w:rPr>
          <w:rFonts w:ascii="Arial" w:hAnsi="Arial" w:cs="Arial"/>
          <w:color w:val="0D0D0D" w:themeColor="text1" w:themeTint="F2"/>
          <w:szCs w:val="22"/>
        </w:rPr>
        <w:t>Baumhefner</w:t>
      </w:r>
      <w:proofErr w:type="spellEnd"/>
      <w:r w:rsidRPr="00E44923">
        <w:rPr>
          <w:rFonts w:ascii="Arial" w:hAnsi="Arial" w:cs="Arial"/>
          <w:color w:val="0D0D0D" w:themeColor="text1" w:themeTint="F2"/>
          <w:szCs w:val="22"/>
        </w:rPr>
        <w:t xml:space="preserve"> (2013)). </w:t>
      </w:r>
      <w:r w:rsidRPr="00E44923">
        <w:rPr>
          <w:rFonts w:ascii="Arial" w:eastAsia="Calibri" w:hAnsi="Arial" w:cs="Arial"/>
          <w:color w:val="0D0D0D" w:themeColor="text1" w:themeTint="F2"/>
          <w:szCs w:val="22"/>
        </w:rPr>
        <w:t>The key</w:t>
      </w:r>
      <w:r w:rsidRPr="00E44923">
        <w:rPr>
          <w:rFonts w:ascii="Arial" w:hAnsi="Arial" w:cs="Arial"/>
          <w:color w:val="0D0D0D" w:themeColor="text1" w:themeTint="F2"/>
          <w:szCs w:val="22"/>
        </w:rPr>
        <w:t xml:space="preserve"> findings are summarized in a table</w:t>
      </w:r>
      <w:r w:rsidR="002439A9" w:rsidRPr="00E44923">
        <w:rPr>
          <w:rFonts w:ascii="Arial" w:hAnsi="Arial" w:cs="Arial"/>
          <w:color w:val="0D0D0D" w:themeColor="text1" w:themeTint="F2"/>
          <w:szCs w:val="22"/>
        </w:rPr>
        <w:t>.</w:t>
      </w:r>
    </w:p>
    <w:p w14:paraId="2E3C2D47" w14:textId="77777777" w:rsidR="00373310" w:rsidRPr="00E44923" w:rsidRDefault="00A843E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Application of </w:t>
      </w:r>
      <w:r w:rsidR="004F6124" w:rsidRPr="00E44923">
        <w:rPr>
          <w:rStyle w:val="StrongEmphasis"/>
          <w:rFonts w:ascii="Arial" w:eastAsia="Calibri" w:hAnsi="Arial" w:cs="Arial"/>
          <w:color w:val="0D0D0D" w:themeColor="text1" w:themeTint="F2"/>
          <w:szCs w:val="22"/>
        </w:rPr>
        <w:t>tools</w:t>
      </w:r>
      <w:r w:rsidRPr="00E44923">
        <w:rPr>
          <w:rStyle w:val="StrongEmphasis"/>
          <w:rFonts w:ascii="Arial" w:hAnsi="Arial" w:cs="Arial"/>
          <w:color w:val="0D0D0D" w:themeColor="text1" w:themeTint="F2"/>
          <w:szCs w:val="22"/>
        </w:rPr>
        <w:t xml:space="preserve"> of </w:t>
      </w:r>
      <w:r w:rsidR="004F6124" w:rsidRPr="00E44923">
        <w:rPr>
          <w:rStyle w:val="StrongEmphasis"/>
          <w:rFonts w:ascii="Arial" w:eastAsia="Calibri" w:hAnsi="Arial" w:cs="Arial"/>
          <w:color w:val="0D0D0D" w:themeColor="text1" w:themeTint="F2"/>
          <w:szCs w:val="22"/>
        </w:rPr>
        <w:t>precision</w:t>
      </w:r>
      <w:r w:rsidRPr="00E44923">
        <w:rPr>
          <w:rStyle w:val="StrongEmphasis"/>
          <w:rFonts w:ascii="Arial" w:hAnsi="Arial" w:cs="Arial"/>
          <w:color w:val="0D0D0D" w:themeColor="text1" w:themeTint="F2"/>
          <w:szCs w:val="22"/>
        </w:rPr>
        <w:t xml:space="preserve">: Numerical </w:t>
      </w:r>
      <w:r w:rsidR="004F6124" w:rsidRPr="00E44923">
        <w:rPr>
          <w:rStyle w:val="StrongEmphasis"/>
          <w:rFonts w:ascii="Arial" w:eastAsia="Calibri" w:hAnsi="Arial" w:cs="Arial"/>
          <w:color w:val="0D0D0D" w:themeColor="text1" w:themeTint="F2"/>
          <w:szCs w:val="22"/>
        </w:rPr>
        <w:t>weather prediction</w:t>
      </w:r>
      <w:r w:rsidRPr="00E44923">
        <w:rPr>
          <w:rStyle w:val="StrongEmphasis"/>
          <w:rFonts w:ascii="Arial" w:hAnsi="Arial" w:cs="Arial"/>
          <w:color w:val="0D0D0D" w:themeColor="text1" w:themeTint="F2"/>
          <w:szCs w:val="22"/>
        </w:rPr>
        <w:t xml:space="preserve"> (NWP) </w:t>
      </w:r>
      <w:r w:rsidR="004F6124" w:rsidRPr="00E44923">
        <w:rPr>
          <w:rStyle w:val="StrongEmphasis"/>
          <w:rFonts w:ascii="Arial" w:eastAsia="Calibri" w:hAnsi="Arial" w:cs="Arial"/>
          <w:color w:val="0D0D0D" w:themeColor="text1" w:themeTint="F2"/>
          <w:szCs w:val="22"/>
        </w:rPr>
        <w:t>models</w:t>
      </w:r>
      <w:r w:rsidRPr="00E44923">
        <w:rPr>
          <w:rStyle w:val="StrongEmphasis"/>
          <w:rFonts w:ascii="Arial" w:hAnsi="Arial" w:cs="Arial"/>
          <w:color w:val="0D0D0D" w:themeColor="text1" w:themeTint="F2"/>
          <w:szCs w:val="22"/>
        </w:rPr>
        <w:t xml:space="preserve"> in </w:t>
      </w:r>
      <w:r w:rsidR="004F6124"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w:t>
      </w:r>
    </w:p>
    <w:p w14:paraId="55A1D402" w14:textId="6A50E381" w:rsidR="00B30174" w:rsidRPr="00E44923" w:rsidRDefault="004F6124" w:rsidP="00A53B65">
      <w:pPr>
        <w:spacing w:line="360" w:lineRule="auto"/>
        <w:jc w:val="both"/>
        <w:rPr>
          <w:rFonts w:ascii="Arial" w:hAnsi="Arial" w:cs="Arial"/>
          <w:b/>
          <w:bCs/>
          <w:color w:val="0D0D0D" w:themeColor="text1" w:themeTint="F2"/>
          <w:szCs w:val="22"/>
        </w:rPr>
      </w:pPr>
      <w:r w:rsidRPr="00E44923">
        <w:rPr>
          <w:rFonts w:ascii="Arial" w:hAnsi="Arial" w:cs="Arial"/>
          <w:color w:val="0D0D0D" w:themeColor="text1" w:themeTint="F2"/>
          <w:szCs w:val="22"/>
        </w:rPr>
        <w:t xml:space="preserve">High-performance computing systems have substantially </w:t>
      </w:r>
      <w:r w:rsidRPr="00E44923">
        <w:rPr>
          <w:rFonts w:ascii="Arial" w:eastAsia="Calibri" w:hAnsi="Arial" w:cs="Arial"/>
          <w:color w:val="0D0D0D" w:themeColor="text1" w:themeTint="F2"/>
          <w:szCs w:val="22"/>
        </w:rPr>
        <w:t>accelerated</w:t>
      </w:r>
      <w:r w:rsidRPr="00E44923">
        <w:rPr>
          <w:rFonts w:ascii="Arial" w:hAnsi="Arial" w:cs="Arial"/>
          <w:color w:val="0D0D0D" w:themeColor="text1" w:themeTint="F2"/>
          <w:szCs w:val="22"/>
        </w:rPr>
        <w:t xml:space="preserve"> NWP method research in the last ten years </w:t>
      </w:r>
      <w:r w:rsidR="00A843E4" w:rsidRPr="00E44923">
        <w:rPr>
          <w:rFonts w:ascii="Arial" w:hAnsi="Arial" w:cs="Arial"/>
          <w:color w:val="0D0D0D" w:themeColor="text1" w:themeTint="F2"/>
          <w:szCs w:val="22"/>
        </w:rPr>
        <w:t xml:space="preserve">(Bauer </w:t>
      </w:r>
      <w:r w:rsidR="00D72703" w:rsidRPr="00E44923">
        <w:rPr>
          <w:rFonts w:ascii="Arial" w:hAnsi="Arial" w:cs="Arial"/>
          <w:i/>
          <w:iCs/>
          <w:color w:val="0D0D0D" w:themeColor="text1" w:themeTint="F2"/>
          <w:szCs w:val="22"/>
        </w:rPr>
        <w:t>et al.,</w:t>
      </w:r>
      <w:r w:rsidR="00A843E4" w:rsidRPr="00E44923">
        <w:rPr>
          <w:rFonts w:ascii="Arial" w:hAnsi="Arial" w:cs="Arial"/>
          <w:color w:val="0D0D0D" w:themeColor="text1" w:themeTint="F2"/>
          <w:szCs w:val="22"/>
        </w:rPr>
        <w:t xml:space="preserve"> 2015). The NWP approach (Krishnamurti and Bounoua, 2018; Brotzge </w:t>
      </w:r>
      <w:r w:rsidR="00D72703" w:rsidRPr="00E44923">
        <w:rPr>
          <w:rFonts w:ascii="Arial" w:hAnsi="Arial" w:cs="Arial"/>
          <w:i/>
          <w:iCs/>
          <w:color w:val="0D0D0D" w:themeColor="text1" w:themeTint="F2"/>
          <w:szCs w:val="22"/>
        </w:rPr>
        <w:t>et al.,</w:t>
      </w:r>
      <w:r w:rsidR="00A843E4" w:rsidRPr="00E44923">
        <w:rPr>
          <w:rFonts w:ascii="Arial" w:hAnsi="Arial" w:cs="Arial"/>
          <w:color w:val="0D0D0D" w:themeColor="text1" w:themeTint="F2"/>
          <w:szCs w:val="22"/>
        </w:rPr>
        <w:t xml:space="preserve"> 2023), which depicts atmospheric states as </w:t>
      </w:r>
      <w:r w:rsidRPr="00E44923">
        <w:rPr>
          <w:rFonts w:ascii="Arial" w:eastAsia="Calibri" w:hAnsi="Arial" w:cs="Arial"/>
          <w:color w:val="0D0D0D" w:themeColor="text1" w:themeTint="F2"/>
          <w:szCs w:val="22"/>
        </w:rPr>
        <w:t>discretized</w:t>
      </w:r>
      <w:r w:rsidR="00A843E4" w:rsidRPr="00E44923">
        <w:rPr>
          <w:rFonts w:ascii="Arial" w:hAnsi="Arial" w:cs="Arial"/>
          <w:color w:val="0D0D0D" w:themeColor="text1" w:themeTint="F2"/>
          <w:szCs w:val="22"/>
        </w:rPr>
        <w:t xml:space="preserve"> grids and numerically solves partial differential equations that explain the transition between those states, is currently the most accurate forecast system (Bauer </w:t>
      </w:r>
      <w:r w:rsidR="00D72703" w:rsidRPr="00E44923">
        <w:rPr>
          <w:rFonts w:ascii="Arial" w:hAnsi="Arial" w:cs="Arial"/>
          <w:i/>
          <w:iCs/>
          <w:color w:val="0D0D0D" w:themeColor="text1" w:themeTint="F2"/>
          <w:szCs w:val="22"/>
        </w:rPr>
        <w:t>et al.,</w:t>
      </w:r>
      <w:r w:rsidR="00A843E4" w:rsidRPr="00E44923">
        <w:rPr>
          <w:rFonts w:ascii="Arial" w:hAnsi="Arial" w:cs="Arial"/>
          <w:i/>
          <w:iCs/>
          <w:color w:val="0D0D0D" w:themeColor="text1" w:themeTint="F2"/>
          <w:szCs w:val="22"/>
        </w:rPr>
        <w:t xml:space="preserve"> </w:t>
      </w:r>
      <w:r w:rsidR="00A843E4" w:rsidRPr="00E44923">
        <w:rPr>
          <w:rFonts w:ascii="Arial" w:hAnsi="Arial" w:cs="Arial"/>
          <w:color w:val="0D0D0D" w:themeColor="text1" w:themeTint="F2"/>
          <w:szCs w:val="22"/>
        </w:rPr>
        <w:t xml:space="preserve">2015). In working with the IITM, Pune, and National Center for </w:t>
      </w:r>
      <w:r w:rsidRPr="00E44923">
        <w:rPr>
          <w:rFonts w:ascii="Arial" w:eastAsia="Calibri" w:hAnsi="Arial" w:cs="Arial"/>
          <w:color w:val="0D0D0D" w:themeColor="text1" w:themeTint="F2"/>
          <w:szCs w:val="22"/>
        </w:rPr>
        <w:t>Medium-</w:t>
      </w:r>
      <w:r w:rsidR="00A843E4" w:rsidRPr="00E44923">
        <w:rPr>
          <w:rFonts w:ascii="Arial" w:hAnsi="Arial" w:cs="Arial"/>
          <w:color w:val="0D0D0D" w:themeColor="text1" w:themeTint="F2"/>
          <w:szCs w:val="22"/>
        </w:rPr>
        <w:t xml:space="preserve">range </w:t>
      </w:r>
      <w:r w:rsidRPr="00E44923">
        <w:rPr>
          <w:rFonts w:ascii="Arial" w:eastAsia="Calibri" w:hAnsi="Arial" w:cs="Arial"/>
          <w:color w:val="0D0D0D" w:themeColor="text1" w:themeTint="F2"/>
          <w:szCs w:val="22"/>
        </w:rPr>
        <w:t>Weather</w:t>
      </w:r>
      <w:r w:rsidR="00A843E4" w:rsidRPr="00E44923">
        <w:rPr>
          <w:rFonts w:ascii="Arial" w:hAnsi="Arial" w:cs="Arial"/>
          <w:color w:val="0D0D0D" w:themeColor="text1" w:themeTint="F2"/>
          <w:szCs w:val="22"/>
        </w:rPr>
        <w:t xml:space="preserve"> Forecast NCMRWF, Noida,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IMD </w:t>
      </w:r>
      <w:r w:rsidRPr="00E44923">
        <w:rPr>
          <w:rFonts w:ascii="Arial" w:eastAsia="Calibri" w:hAnsi="Arial" w:cs="Arial"/>
          <w:color w:val="0D0D0D" w:themeColor="text1" w:themeTint="F2"/>
          <w:szCs w:val="22"/>
        </w:rPr>
        <w:t>runs</w:t>
      </w:r>
      <w:r w:rsidR="00A843E4" w:rsidRPr="00E44923">
        <w:rPr>
          <w:rFonts w:ascii="Arial" w:hAnsi="Arial" w:cs="Arial"/>
          <w:color w:val="0D0D0D" w:themeColor="text1" w:themeTint="F2"/>
          <w:szCs w:val="22"/>
        </w:rPr>
        <w:t xml:space="preserve"> high-resolution mesoscale, global, and coupled models to generate various NWP products. These models are used in weather and climate services that cover the time scale from </w:t>
      </w:r>
      <w:r w:rsidRPr="00E44923">
        <w:rPr>
          <w:rFonts w:ascii="Arial" w:eastAsia="Calibri" w:hAnsi="Arial" w:cs="Arial"/>
          <w:color w:val="0D0D0D" w:themeColor="text1" w:themeTint="F2"/>
          <w:szCs w:val="22"/>
        </w:rPr>
        <w:t>nowcasting</w:t>
      </w:r>
      <w:r w:rsidR="00A843E4" w:rsidRPr="00E44923">
        <w:rPr>
          <w:rFonts w:ascii="Arial" w:hAnsi="Arial" w:cs="Arial"/>
          <w:color w:val="0D0D0D" w:themeColor="text1" w:themeTint="F2"/>
          <w:szCs w:val="22"/>
        </w:rPr>
        <w:t xml:space="preserve"> to extended range forecasting. The MoES has made high-power computing systems available to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IMD </w:t>
      </w:r>
      <w:r w:rsidRPr="00E44923">
        <w:rPr>
          <w:rFonts w:ascii="Arial" w:hAnsi="Arial" w:cs="Arial"/>
          <w:color w:val="0D0D0D" w:themeColor="text1" w:themeTint="F2"/>
          <w:szCs w:val="22"/>
        </w:rPr>
        <w:t xml:space="preserve">(NWP-IMD, 2022). </w:t>
      </w:r>
      <w:r w:rsidR="00B25F0B" w:rsidRPr="00E44923">
        <w:rPr>
          <w:rFonts w:ascii="Arial" w:hAnsi="Arial" w:cs="Arial"/>
          <w:color w:val="0D0D0D" w:themeColor="text1" w:themeTint="F2"/>
          <w:szCs w:val="22"/>
        </w:rPr>
        <w:t>Some of the GCM products available for ERWF predictions are </w:t>
      </w:r>
      <w:r w:rsidR="009C3AE3" w:rsidRPr="00E44923">
        <w:rPr>
          <w:rFonts w:ascii="Arial" w:hAnsi="Arial" w:cs="Arial"/>
          <w:color w:val="0D0D0D" w:themeColor="text1" w:themeTint="F2"/>
          <w:szCs w:val="22"/>
        </w:rPr>
        <w:t>NCEP Climate Forecast System Version 2 (CFSv2) - 16-</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45 days, European Centre for Medium-Range Weather Forecasts (ECMWF) - 15</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46 days, Japan Meteorological Agency (JMA) Ensemble Prediction System (EPS) - 1</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90 days, UK Met Office Global Seasonal Forecasting System (</w:t>
      </w:r>
      <w:proofErr w:type="spellStart"/>
      <w:r w:rsidR="009C3AE3" w:rsidRPr="00E44923">
        <w:rPr>
          <w:rFonts w:ascii="Arial" w:hAnsi="Arial" w:cs="Arial"/>
          <w:color w:val="0D0D0D" w:themeColor="text1" w:themeTint="F2"/>
          <w:szCs w:val="22"/>
        </w:rPr>
        <w:t>GloSea</w:t>
      </w:r>
      <w:proofErr w:type="spellEnd"/>
      <w:r w:rsidR="009C3AE3" w:rsidRPr="00E44923">
        <w:rPr>
          <w:rFonts w:ascii="Arial" w:hAnsi="Arial" w:cs="Arial"/>
          <w:color w:val="0D0D0D" w:themeColor="text1" w:themeTint="F2"/>
          <w:szCs w:val="22"/>
        </w:rPr>
        <w:t>) - 10</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 xml:space="preserve">30 days, </w:t>
      </w:r>
      <w:proofErr w:type="spellStart"/>
      <w:r w:rsidR="009C3AE3" w:rsidRPr="00E44923">
        <w:rPr>
          <w:rFonts w:ascii="Arial" w:hAnsi="Arial" w:cs="Arial"/>
          <w:color w:val="0D0D0D" w:themeColor="text1" w:themeTint="F2"/>
          <w:szCs w:val="22"/>
        </w:rPr>
        <w:t>Subseasonal</w:t>
      </w:r>
      <w:proofErr w:type="spellEnd"/>
      <w:r w:rsidR="009C3AE3" w:rsidRPr="00E44923">
        <w:rPr>
          <w:rFonts w:ascii="Arial" w:hAnsi="Arial" w:cs="Arial"/>
          <w:color w:val="0D0D0D" w:themeColor="text1" w:themeTint="F2"/>
          <w:szCs w:val="22"/>
        </w:rPr>
        <w:t xml:space="preserve"> to Seasonal Prediction Project (S2S) - 10</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60 days (</w:t>
      </w:r>
      <w:proofErr w:type="spellStart"/>
      <w:r w:rsidRPr="00E44923">
        <w:rPr>
          <w:rFonts w:ascii="Arial" w:eastAsia="Calibri" w:hAnsi="Arial" w:cs="Arial"/>
          <w:color w:val="0D0D0D" w:themeColor="text1" w:themeTint="F2"/>
          <w:szCs w:val="22"/>
        </w:rPr>
        <w:t>Subseasonal</w:t>
      </w:r>
      <w:proofErr w:type="spellEnd"/>
      <w:r w:rsidR="009C3AE3" w:rsidRPr="00E44923">
        <w:rPr>
          <w:rFonts w:ascii="Arial" w:hAnsi="Arial" w:cs="Arial"/>
          <w:color w:val="0D0D0D" w:themeColor="text1" w:themeTint="F2"/>
          <w:szCs w:val="22"/>
        </w:rPr>
        <w:t>), BoM ACCESS-S1 - 1</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 xml:space="preserve">30 days, </w:t>
      </w:r>
      <w:proofErr w:type="spellStart"/>
      <w:r w:rsidR="009C3AE3" w:rsidRPr="00E44923">
        <w:rPr>
          <w:rFonts w:ascii="Arial" w:hAnsi="Arial" w:cs="Arial"/>
          <w:color w:val="0D0D0D" w:themeColor="text1" w:themeTint="F2"/>
          <w:szCs w:val="22"/>
        </w:rPr>
        <w:t>Météo</w:t>
      </w:r>
      <w:proofErr w:type="spellEnd"/>
      <w:r w:rsidR="009C3AE3" w:rsidRPr="00E44923">
        <w:rPr>
          <w:rFonts w:ascii="Arial" w:hAnsi="Arial" w:cs="Arial"/>
          <w:color w:val="0D0D0D" w:themeColor="text1" w:themeTint="F2"/>
          <w:szCs w:val="22"/>
        </w:rPr>
        <w:t xml:space="preserve">-France </w:t>
      </w:r>
      <w:proofErr w:type="spellStart"/>
      <w:r w:rsidR="009C3AE3" w:rsidRPr="00E44923">
        <w:rPr>
          <w:rFonts w:ascii="Arial" w:hAnsi="Arial" w:cs="Arial"/>
          <w:color w:val="0D0D0D" w:themeColor="text1" w:themeTint="F2"/>
          <w:szCs w:val="22"/>
        </w:rPr>
        <w:t>Arpege</w:t>
      </w:r>
      <w:proofErr w:type="spellEnd"/>
      <w:r w:rsidR="009C3AE3" w:rsidRPr="00E44923">
        <w:rPr>
          <w:rFonts w:ascii="Arial" w:hAnsi="Arial" w:cs="Arial"/>
          <w:color w:val="0D0D0D" w:themeColor="text1" w:themeTint="F2"/>
          <w:szCs w:val="22"/>
        </w:rPr>
        <w:t xml:space="preserve"> - 1</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30 days, Meteorological Service of Canada (MSC) GEM Model Extended Range Forecast (Up to 16 days, Korean Meteorological Administration (KMA) Global Seasonal Forecast System (GloSea5) – 3</w:t>
      </w:r>
      <w:r w:rsidRPr="00E44923">
        <w:rPr>
          <w:rFonts w:ascii="Arial" w:eastAsia="Calibri" w:hAnsi="Arial" w:cs="Arial"/>
          <w:color w:val="0D0D0D" w:themeColor="text1" w:themeTint="F2"/>
          <w:szCs w:val="22"/>
        </w:rPr>
        <w:t>--</w:t>
      </w:r>
      <w:r w:rsidR="009C3AE3" w:rsidRPr="00E44923">
        <w:rPr>
          <w:rFonts w:ascii="Arial" w:hAnsi="Arial" w:cs="Arial"/>
          <w:color w:val="0D0D0D" w:themeColor="text1" w:themeTint="F2"/>
          <w:szCs w:val="22"/>
        </w:rPr>
        <w:t>4 weeks.</w:t>
      </w:r>
    </w:p>
    <w:p w14:paraId="3C4F3B0D" w14:textId="77777777" w:rsidR="00373310" w:rsidRPr="00E44923" w:rsidRDefault="004F612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Leveraging Artificial Intelligence and Machine Learning (ML) for Enhanced ERWF</w:t>
      </w:r>
    </w:p>
    <w:p w14:paraId="469931E5" w14:textId="0E2B661B" w:rsidR="0039103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ML and deep learning (DL) techniques excel at identifying patterns and have proven effective in enhancing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forecasts by combining dynamical models with modern ML approaches (Cohen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DL and ML models have shown great potential in replicating complex climate dynamics, with AI integration offering significant benefits (Anaka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However, </w:t>
      </w:r>
      <w:r w:rsidRPr="00E44923">
        <w:rPr>
          <w:rFonts w:ascii="Arial" w:eastAsia="Calibri" w:hAnsi="Arial" w:cs="Arial"/>
          <w:color w:val="0D0D0D" w:themeColor="text1" w:themeTint="F2"/>
          <w:szCs w:val="22"/>
        </w:rPr>
        <w:t>the</w:t>
      </w:r>
      <w:r w:rsidRPr="00E44923">
        <w:rPr>
          <w:rFonts w:ascii="Arial" w:hAnsi="Arial" w:cs="Arial"/>
          <w:color w:val="0D0D0D" w:themeColor="text1" w:themeTint="F2"/>
          <w:szCs w:val="22"/>
        </w:rPr>
        <w:t xml:space="preserve"> use </w:t>
      </w:r>
      <w:r w:rsidRPr="00E44923">
        <w:rPr>
          <w:rFonts w:ascii="Arial" w:eastAsia="Calibri" w:hAnsi="Arial" w:cs="Arial"/>
          <w:color w:val="0D0D0D" w:themeColor="text1" w:themeTint="F2"/>
          <w:szCs w:val="22"/>
        </w:rPr>
        <w:t xml:space="preserve">of ML </w:t>
      </w:r>
      <w:r w:rsidRPr="00E44923">
        <w:rPr>
          <w:rFonts w:ascii="Arial" w:hAnsi="Arial" w:cs="Arial"/>
          <w:color w:val="0D0D0D" w:themeColor="text1" w:themeTint="F2"/>
          <w:szCs w:val="22"/>
        </w:rPr>
        <w:t>in medium-</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to</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long-term climate forecasting remains limited due to data constraints and complex variables (Chen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He et al. (2021) </w:t>
      </w:r>
      <w:r w:rsidRPr="00E44923">
        <w:rPr>
          <w:rFonts w:ascii="Arial" w:eastAsia="Calibri" w:hAnsi="Arial" w:cs="Arial"/>
          <w:color w:val="0D0D0D" w:themeColor="text1" w:themeTint="F2"/>
          <w:szCs w:val="22"/>
        </w:rPr>
        <w:t>reported</w:t>
      </w:r>
      <w:r w:rsidRPr="00E44923">
        <w:rPr>
          <w:rFonts w:ascii="Arial" w:hAnsi="Arial" w:cs="Arial"/>
          <w:color w:val="0D0D0D" w:themeColor="text1" w:themeTint="F2"/>
          <w:szCs w:val="22"/>
        </w:rPr>
        <w:t xml:space="preserve"> that models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XGBoost</w:t>
      </w:r>
      <w:proofErr w:type="spellEnd"/>
      <w:r w:rsidRPr="00E44923">
        <w:rPr>
          <w:rFonts w:ascii="Arial" w:hAnsi="Arial" w:cs="Arial"/>
          <w:color w:val="0D0D0D" w:themeColor="text1" w:themeTint="F2"/>
          <w:szCs w:val="22"/>
        </w:rPr>
        <w:t xml:space="preserve"> can capture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predictability, sometimes outperforming climatological baselines. CNNs in ensemble forecasts (</w:t>
      </w:r>
      <w:proofErr w:type="spellStart"/>
      <w:r w:rsidRPr="00E44923">
        <w:rPr>
          <w:rFonts w:ascii="Arial" w:hAnsi="Arial" w:cs="Arial"/>
          <w:color w:val="0D0D0D" w:themeColor="text1" w:themeTint="F2"/>
          <w:szCs w:val="22"/>
        </w:rPr>
        <w:t>Weyn</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r w:rsidR="005D3474" w:rsidRPr="00E44923">
        <w:rPr>
          <w:rFonts w:ascii="Arial" w:hAnsi="Arial" w:cs="Arial"/>
          <w:color w:val="0D0D0D" w:themeColor="text1" w:themeTint="F2"/>
          <w:szCs w:val="22"/>
        </w:rPr>
        <w:t xml:space="preserve"> generate six-week global forecasts efficiently, </w:t>
      </w:r>
      <w:r w:rsidRPr="00E44923">
        <w:rPr>
          <w:rFonts w:ascii="Arial" w:eastAsia="Calibri" w:hAnsi="Arial" w:cs="Arial"/>
          <w:color w:val="0D0D0D" w:themeColor="text1" w:themeTint="F2"/>
          <w:szCs w:val="22"/>
        </w:rPr>
        <w:t>although</w:t>
      </w:r>
      <w:r w:rsidR="005D3474" w:rsidRPr="00E44923">
        <w:rPr>
          <w:rFonts w:ascii="Arial" w:hAnsi="Arial" w:cs="Arial"/>
          <w:color w:val="0D0D0D" w:themeColor="text1" w:themeTint="F2"/>
          <w:szCs w:val="22"/>
        </w:rPr>
        <w:t xml:space="preserve"> their performance lags </w:t>
      </w:r>
      <w:r w:rsidRPr="00E44923">
        <w:rPr>
          <w:rFonts w:ascii="Arial" w:eastAsia="Calibri" w:hAnsi="Arial" w:cs="Arial"/>
          <w:color w:val="0D0D0D" w:themeColor="text1" w:themeTint="F2"/>
          <w:szCs w:val="22"/>
        </w:rPr>
        <w:t xml:space="preserve">that of </w:t>
      </w:r>
      <w:r w:rsidR="005D3474" w:rsidRPr="00E44923">
        <w:rPr>
          <w:rFonts w:ascii="Arial" w:hAnsi="Arial" w:cs="Arial"/>
          <w:color w:val="0D0D0D" w:themeColor="text1" w:themeTint="F2"/>
          <w:szCs w:val="22"/>
        </w:rPr>
        <w:t xml:space="preserve">ECMWF models at shorter lead times. Wu et al. (2023) demonstrated good prediction accuracy of </w:t>
      </w:r>
      <w:r w:rsidRPr="00E44923">
        <w:rPr>
          <w:rFonts w:ascii="Arial" w:eastAsia="Calibri" w:hAnsi="Arial" w:cs="Arial"/>
          <w:color w:val="0D0D0D" w:themeColor="text1" w:themeTint="F2"/>
          <w:szCs w:val="22"/>
        </w:rPr>
        <w:t>ERPs</w:t>
      </w:r>
      <w:r w:rsidR="005D3474" w:rsidRPr="00E44923">
        <w:rPr>
          <w:rFonts w:ascii="Arial" w:hAnsi="Arial" w:cs="Arial"/>
          <w:color w:val="0D0D0D" w:themeColor="text1" w:themeTint="F2"/>
          <w:szCs w:val="22"/>
        </w:rPr>
        <w:t xml:space="preserve"> for regional persistent extreme cold events with low-frequency oscillations.</w:t>
      </w:r>
    </w:p>
    <w:p w14:paraId="7E1C05AA" w14:textId="77777777" w:rsidR="00373310" w:rsidRPr="00E44923" w:rsidRDefault="00C83CD3"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Challenges, Opportunities, and Future Directions in </w:t>
      </w:r>
      <w:r w:rsidR="004F6124" w:rsidRPr="00E44923">
        <w:rPr>
          <w:rStyle w:val="StrongEmphasis"/>
          <w:rFonts w:ascii="Arial" w:eastAsia="Calibri" w:hAnsi="Arial" w:cs="Arial"/>
          <w:color w:val="0D0D0D" w:themeColor="text1" w:themeTint="F2"/>
          <w:szCs w:val="22"/>
        </w:rPr>
        <w:t>ERWFs</w:t>
      </w:r>
    </w:p>
    <w:p w14:paraId="1412450B" w14:textId="641B1C39" w:rsidR="00007BE2"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A major challenge in atmospheric science is generating ERWFs for the tropics, covering one week to </w:t>
      </w:r>
      <w:r w:rsidRPr="00E44923">
        <w:rPr>
          <w:rFonts w:ascii="Arial" w:eastAsia="Calibri" w:hAnsi="Arial" w:cs="Arial"/>
          <w:color w:val="0D0D0D" w:themeColor="text1" w:themeTint="F2"/>
          <w:szCs w:val="22"/>
        </w:rPr>
        <w:t>one</w:t>
      </w:r>
      <w:r w:rsidRPr="00E44923">
        <w:rPr>
          <w:rFonts w:ascii="Arial" w:hAnsi="Arial" w:cs="Arial"/>
          <w:color w:val="0D0D0D" w:themeColor="text1" w:themeTint="F2"/>
          <w:szCs w:val="22"/>
        </w:rPr>
        <w:t xml:space="preserve"> month. This timeframe bridges seasonal and MRWF but often </w:t>
      </w:r>
      <w:r w:rsidRPr="00E44923">
        <w:rPr>
          <w:rFonts w:ascii="Arial" w:eastAsia="Calibri" w:hAnsi="Arial" w:cs="Arial"/>
          <w:color w:val="0D0D0D" w:themeColor="text1" w:themeTint="F2"/>
          <w:szCs w:val="22"/>
        </w:rPr>
        <w:t>involves</w:t>
      </w:r>
      <w:r w:rsidRPr="00E44923">
        <w:rPr>
          <w:rFonts w:ascii="Arial" w:hAnsi="Arial" w:cs="Arial"/>
          <w:color w:val="0D0D0D" w:themeColor="text1" w:themeTint="F2"/>
          <w:szCs w:val="22"/>
        </w:rPr>
        <w:t xml:space="preserve"> uncertainties in initial atmospheric conditions and model physics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The ensemble technique is commonly used to </w:t>
      </w:r>
      <w:r w:rsidRPr="00E44923">
        <w:rPr>
          <w:rFonts w:ascii="Arial" w:eastAsia="Calibri" w:hAnsi="Arial" w:cs="Arial"/>
          <w:color w:val="0D0D0D" w:themeColor="text1" w:themeTint="F2"/>
          <w:szCs w:val="22"/>
        </w:rPr>
        <w:t xml:space="preserve">address </w:t>
      </w:r>
      <w:r w:rsidRPr="00E44923">
        <w:rPr>
          <w:rFonts w:ascii="Arial" w:hAnsi="Arial" w:cs="Arial"/>
          <w:color w:val="0D0D0D" w:themeColor="text1" w:themeTint="F2"/>
          <w:szCs w:val="22"/>
        </w:rPr>
        <w:t xml:space="preserve">sample errors (Palmer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1993), but evolving atmospheric dynamics limit reliability. Monitoring the ISV of monsoon rainfall in this range is crucial for providing actionable advice, </w:t>
      </w:r>
      <w:r w:rsidR="00AE0D95" w:rsidRPr="00E44923">
        <w:rPr>
          <w:rFonts w:ascii="Arial" w:hAnsi="Arial" w:cs="Arial"/>
          <w:color w:val="0D0D0D" w:themeColor="text1" w:themeTint="F2"/>
          <w:szCs w:val="22"/>
        </w:rPr>
        <w:t>like</w:t>
      </w:r>
      <w:r w:rsidRPr="00E44923">
        <w:rPr>
          <w:rFonts w:ascii="Arial" w:hAnsi="Arial" w:cs="Arial"/>
          <w:color w:val="0D0D0D" w:themeColor="text1" w:themeTint="F2"/>
          <w:szCs w:val="22"/>
        </w:rPr>
        <w:t xml:space="preserve"> agrometeorological services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is complex </w:t>
      </w:r>
      <w:r w:rsidRPr="00E44923">
        <w:rPr>
          <w:rFonts w:ascii="Arial" w:eastAsia="Calibri" w:hAnsi="Arial" w:cs="Arial"/>
          <w:color w:val="0D0D0D" w:themeColor="text1" w:themeTint="F2"/>
          <w:szCs w:val="22"/>
        </w:rPr>
        <w:t>because of</w:t>
      </w:r>
      <w:r w:rsidRPr="00E44923">
        <w:rPr>
          <w:rFonts w:ascii="Arial" w:hAnsi="Arial" w:cs="Arial"/>
          <w:color w:val="0D0D0D" w:themeColor="text1" w:themeTint="F2"/>
          <w:szCs w:val="22"/>
        </w:rPr>
        <w:t xml:space="preserve"> the chaotic nature of atmospheric systems, making predictions beyond three to five days </w:t>
      </w:r>
      <w:r w:rsidRPr="00E44923">
        <w:rPr>
          <w:rFonts w:ascii="Arial" w:eastAsia="Calibri" w:hAnsi="Arial" w:cs="Arial"/>
          <w:color w:val="0D0D0D" w:themeColor="text1" w:themeTint="F2"/>
          <w:szCs w:val="22"/>
        </w:rPr>
        <w:t>nondeterministic</w:t>
      </w:r>
      <w:r w:rsidRPr="00E44923">
        <w:rPr>
          <w:rFonts w:ascii="Arial" w:hAnsi="Arial" w:cs="Arial"/>
          <w:color w:val="0D0D0D" w:themeColor="text1" w:themeTint="F2"/>
          <w:szCs w:val="22"/>
        </w:rPr>
        <w:t xml:space="preserve"> (Lorenz, 1965). However, research has shown that error growth saturates over longer timescales, allowing for seasonal predictability (Charney and Shukla, 1981). MJO and MISO offer hope for improving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(Waliser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2003; Goswami and Xavier, 2003). Recent studies highlight the importance of boundary conditions, </w:t>
      </w:r>
      <w:r w:rsidRPr="00E44923">
        <w:rPr>
          <w:rFonts w:ascii="Arial" w:eastAsia="Calibri" w:hAnsi="Arial" w:cs="Arial"/>
          <w:color w:val="0D0D0D" w:themeColor="text1" w:themeTint="F2"/>
          <w:szCs w:val="22"/>
        </w:rPr>
        <w:t>such as air‒sea</w:t>
      </w:r>
      <w:r w:rsidRPr="00E44923">
        <w:rPr>
          <w:rFonts w:ascii="Arial" w:hAnsi="Arial" w:cs="Arial"/>
          <w:color w:val="0D0D0D" w:themeColor="text1" w:themeTint="F2"/>
          <w:szCs w:val="22"/>
        </w:rPr>
        <w:t xml:space="preserve"> interactions and </w:t>
      </w:r>
      <w:r w:rsidRPr="00E44923">
        <w:rPr>
          <w:rFonts w:ascii="Arial" w:eastAsia="Calibri" w:hAnsi="Arial" w:cs="Arial"/>
          <w:color w:val="0D0D0D" w:themeColor="text1" w:themeTint="F2"/>
          <w:szCs w:val="22"/>
        </w:rPr>
        <w:t>SSTs</w:t>
      </w:r>
      <w:r w:rsidRPr="00E44923">
        <w:rPr>
          <w:rFonts w:ascii="Arial" w:hAnsi="Arial" w:cs="Arial"/>
          <w:color w:val="0D0D0D" w:themeColor="text1" w:themeTint="F2"/>
          <w:szCs w:val="22"/>
        </w:rPr>
        <w:t xml:space="preserve">, for enhancing ERWF accuracy, especially in an MME framework (Abhilash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Despite advancements, challenges remain in forecasting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particularly for complex terrain areas. China's National Meteorological Center developed a 5-km grid ERWF system </w:t>
      </w:r>
      <w:r w:rsidRPr="00E44923">
        <w:rPr>
          <w:rFonts w:ascii="Arial" w:eastAsia="Calibri" w:hAnsi="Arial" w:cs="Arial"/>
          <w:color w:val="0D0D0D" w:themeColor="text1" w:themeTint="F2"/>
          <w:szCs w:val="22"/>
        </w:rPr>
        <w:t>via</w:t>
      </w:r>
      <w:r w:rsidRPr="00E44923">
        <w:rPr>
          <w:rFonts w:ascii="Arial" w:hAnsi="Arial" w:cs="Arial"/>
          <w:color w:val="0D0D0D" w:themeColor="text1" w:themeTint="F2"/>
          <w:szCs w:val="22"/>
        </w:rPr>
        <w:t xml:space="preserve"> techniques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BP-SM, which significantly improved daily 2-m temperature forecasts (Xiong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p w14:paraId="1BEF7B42" w14:textId="77777777" w:rsidR="00530597" w:rsidRPr="00E44923" w:rsidRDefault="004F6124" w:rsidP="00A53B65">
      <w:pPr>
        <w:spacing w:line="360" w:lineRule="auto"/>
        <w:ind w:firstLine="720"/>
        <w:jc w:val="both"/>
        <w:rPr>
          <w:rFonts w:ascii="Arial" w:hAnsi="Arial" w:cs="Arial"/>
          <w:color w:val="0D0D0D" w:themeColor="text1" w:themeTint="F2"/>
          <w:szCs w:val="22"/>
        </w:rPr>
      </w:pPr>
      <w:r w:rsidRPr="00E44923">
        <w:rPr>
          <w:rFonts w:ascii="Arial" w:hAnsi="Arial" w:cs="Arial"/>
          <w:noProof/>
          <w:color w:val="0D0D0D" w:themeColor="text1" w:themeTint="F2"/>
          <w:szCs w:val="22"/>
        </w:rPr>
        <w:lastRenderedPageBreak/>
        <w:drawing>
          <wp:inline distT="0" distB="0" distL="0" distR="0" wp14:anchorId="75173BB9" wp14:editId="540308A2">
            <wp:extent cx="5030198" cy="210821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41187" cy="2112823"/>
                    </a:xfrm>
                    <a:prstGeom prst="rect">
                      <a:avLst/>
                    </a:prstGeom>
                    <a:noFill/>
                  </pic:spPr>
                </pic:pic>
              </a:graphicData>
            </a:graphic>
          </wp:inline>
        </w:drawing>
      </w:r>
    </w:p>
    <w:p w14:paraId="4D114DC6" w14:textId="08DBC92C" w:rsidR="00CE3AB8" w:rsidRPr="00E44923" w:rsidRDefault="00CE3AB8" w:rsidP="00A53B65">
      <w:pPr>
        <w:pStyle w:val="NormalWeb"/>
        <w:spacing w:before="280" w:after="280" w:line="360" w:lineRule="auto"/>
        <w:ind w:firstLine="720"/>
        <w:jc w:val="center"/>
        <w:rPr>
          <w:rFonts w:ascii="Arial" w:hAnsi="Arial" w:cs="Arial"/>
          <w:b/>
          <w:bCs/>
          <w:sz w:val="22"/>
          <w:szCs w:val="22"/>
        </w:rPr>
      </w:pPr>
      <w:r w:rsidRPr="00E44923">
        <w:rPr>
          <w:rFonts w:ascii="Arial" w:hAnsi="Arial" w:cs="Arial"/>
          <w:b/>
          <w:bCs/>
          <w:sz w:val="22"/>
          <w:szCs w:val="22"/>
        </w:rPr>
        <w:t>Figure 9: ERP products generated by the IMD</w:t>
      </w:r>
    </w:p>
    <w:p w14:paraId="4D5858A9" w14:textId="4AEEFA9E"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b/>
          <w:bCs/>
          <w:color w:val="0D0D0D" w:themeColor="text1" w:themeTint="F2"/>
          <w:szCs w:val="22"/>
        </w:rPr>
        <w:t xml:space="preserve">Summary and </w:t>
      </w:r>
      <w:r w:rsidRPr="00E44923">
        <w:rPr>
          <w:rFonts w:ascii="Arial" w:eastAsia="Calibri" w:hAnsi="Arial" w:cs="Arial"/>
          <w:b/>
          <w:bCs/>
          <w:color w:val="0D0D0D" w:themeColor="text1" w:themeTint="F2"/>
          <w:szCs w:val="22"/>
        </w:rPr>
        <w:t>conclusions</w:t>
      </w:r>
      <w:r w:rsidRPr="00E44923">
        <w:rPr>
          <w:rFonts w:ascii="Arial" w:hAnsi="Arial" w:cs="Arial"/>
          <w:b/>
          <w:bCs/>
          <w:color w:val="0D0D0D" w:themeColor="text1" w:themeTint="F2"/>
          <w:szCs w:val="22"/>
        </w:rPr>
        <w:t>:</w:t>
      </w:r>
    </w:p>
    <w:p w14:paraId="514E2263" w14:textId="3109F9E8" w:rsidR="008E669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Forecasting in science involves estimating a variable's value at a future time. IMD predicts variables such as temperature, wind, humidity, and rainfall over specific periods, such as daily rainfall forecasts. Extended range forecasts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bridge the gap between medium</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and long-range predictions, typically starting </w:t>
      </w:r>
      <w:r w:rsidRPr="00E44923">
        <w:rPr>
          <w:rFonts w:ascii="Arial" w:eastAsia="Calibri" w:hAnsi="Arial" w:cs="Arial"/>
          <w:color w:val="0D0D0D" w:themeColor="text1" w:themeTint="F2"/>
          <w:szCs w:val="22"/>
        </w:rPr>
        <w:t>at approximately</w:t>
      </w:r>
      <w:r w:rsidRPr="00E44923">
        <w:rPr>
          <w:rFonts w:ascii="Arial" w:hAnsi="Arial" w:cs="Arial"/>
          <w:color w:val="0D0D0D" w:themeColor="text1" w:themeTint="F2"/>
          <w:szCs w:val="22"/>
        </w:rPr>
        <w:t xml:space="preserve"> day 10 and lasting up to </w:t>
      </w:r>
      <w:r w:rsidRPr="00E44923">
        <w:rPr>
          <w:rFonts w:ascii="Arial" w:eastAsia="Calibri" w:hAnsi="Arial" w:cs="Arial"/>
          <w:color w:val="0D0D0D" w:themeColor="text1" w:themeTint="F2"/>
          <w:szCs w:val="22"/>
        </w:rPr>
        <w:t>one</w:t>
      </w:r>
      <w:r w:rsidRPr="00E44923">
        <w:rPr>
          <w:rFonts w:ascii="Arial" w:hAnsi="Arial" w:cs="Arial"/>
          <w:color w:val="0D0D0D" w:themeColor="text1" w:themeTint="F2"/>
          <w:szCs w:val="22"/>
        </w:rPr>
        <w:t xml:space="preserve"> month.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can predict extreme weather events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heat waves, droughts, and floods up to four weeks in advance. ERWFs are essential for improving disaster preparedness, optimizing agricultural practices, and managing water resources effectively. They enhance decision-making across various sectors, fostering resilience against climate-related challenges and promoting societal well-being.</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However, there is a known gap in numerical forecast systems for the ERWF. This gap highlights the need for improved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especially under changing climate conditions. This research provides a comprehensive examination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offering a current assessment and a roadmap for future multidisciplinary studies in this emerging field, despite its limitations in scope.</w:t>
      </w:r>
    </w:p>
    <w:p w14:paraId="40D9BBDC" w14:textId="77777777" w:rsidR="00CE3AB8" w:rsidRPr="00E44923" w:rsidRDefault="00CE3AB8" w:rsidP="00A53B65">
      <w:pPr>
        <w:spacing w:line="360" w:lineRule="auto"/>
        <w:jc w:val="both"/>
        <w:rPr>
          <w:rFonts w:ascii="Arial" w:hAnsi="Arial" w:cs="Arial"/>
          <w:szCs w:val="22"/>
        </w:rPr>
      </w:pPr>
      <w:bookmarkStart w:id="1" w:name="_GoBack"/>
      <w:bookmarkEnd w:id="1"/>
    </w:p>
    <w:p w14:paraId="66C5064E" w14:textId="77777777" w:rsidR="00CE3AB8" w:rsidRPr="00E44923" w:rsidRDefault="00CE3AB8" w:rsidP="00A53B65">
      <w:pPr>
        <w:spacing w:line="360" w:lineRule="auto"/>
        <w:jc w:val="both"/>
        <w:rPr>
          <w:rFonts w:ascii="Arial" w:hAnsi="Arial" w:cs="Arial"/>
          <w:color w:val="0D0D0D" w:themeColor="text1" w:themeTint="F2"/>
          <w:szCs w:val="22"/>
        </w:rPr>
      </w:pPr>
    </w:p>
    <w:p w14:paraId="3D8A0562"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72FD5D23"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7CEAEE10"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5BBBE0CF"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51AC4EEC"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5A5C98E3"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2D621E8C" w14:textId="77777777" w:rsidR="001F773A" w:rsidRPr="00E44923" w:rsidRDefault="001F773A" w:rsidP="00A53B65">
      <w:pPr>
        <w:spacing w:line="360" w:lineRule="auto"/>
        <w:jc w:val="both"/>
        <w:rPr>
          <w:rFonts w:ascii="Arial" w:hAnsi="Arial" w:cs="Arial"/>
          <w:color w:val="0D0D0D" w:themeColor="text1" w:themeTint="F2"/>
          <w:szCs w:val="22"/>
        </w:rPr>
        <w:sectPr w:rsidR="001F773A" w:rsidRPr="00E44923" w:rsidSect="00E64F09">
          <w:headerReference w:type="even" r:id="rId16"/>
          <w:headerReference w:type="default" r:id="rId17"/>
          <w:footerReference w:type="even" r:id="rId18"/>
          <w:footerReference w:type="default" r:id="rId19"/>
          <w:headerReference w:type="first" r:id="rId20"/>
          <w:footerReference w:type="first" r:id="rId21"/>
          <w:type w:val="nextPage"/>
          <w:pgSz w:w="11906" w:h="16838"/>
          <w:pgMar w:top="1440" w:right="1440" w:bottom="1440" w:left="1440" w:header="0" w:footer="0" w:gutter="0"/>
          <w:cols w:space="720"/>
          <w:formProt w:val="0"/>
          <w:docGrid w:linePitch="360" w:charSpace="8192"/>
        </w:sectPr>
      </w:pPr>
    </w:p>
    <w:tbl>
      <w:tblPr>
        <w:tblStyle w:val="TableGrid1"/>
        <w:tblpPr w:leftFromText="180" w:rightFromText="180" w:vertAnchor="text" w:horzAnchor="margin" w:tblpY="484"/>
        <w:tblW w:w="0" w:type="auto"/>
        <w:tblLook w:val="04A0" w:firstRow="1" w:lastRow="0" w:firstColumn="1" w:lastColumn="0" w:noHBand="0" w:noVBand="1"/>
      </w:tblPr>
      <w:tblGrid>
        <w:gridCol w:w="1441"/>
        <w:gridCol w:w="1413"/>
        <w:gridCol w:w="2673"/>
        <w:gridCol w:w="4400"/>
        <w:gridCol w:w="4021"/>
      </w:tblGrid>
      <w:tr w:rsidR="007E0B7F" w:rsidRPr="00E44923" w14:paraId="4A83FAA2" w14:textId="77777777" w:rsidTr="001F773A">
        <w:tc>
          <w:tcPr>
            <w:tcW w:w="0" w:type="auto"/>
          </w:tcPr>
          <w:p w14:paraId="283AB1C9" w14:textId="77777777" w:rsidR="008E6699" w:rsidRPr="00E44923" w:rsidRDefault="004F6124" w:rsidP="00A53B65">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lastRenderedPageBreak/>
              <w:t>Authors References</w:t>
            </w:r>
          </w:p>
        </w:tc>
        <w:tc>
          <w:tcPr>
            <w:tcW w:w="0" w:type="auto"/>
          </w:tcPr>
          <w:p w14:paraId="6EC32616" w14:textId="77777777" w:rsidR="008E6699" w:rsidRPr="00E44923" w:rsidRDefault="004F6124" w:rsidP="00A53B65">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Objective of the study</w:t>
            </w:r>
          </w:p>
        </w:tc>
        <w:tc>
          <w:tcPr>
            <w:tcW w:w="0" w:type="auto"/>
          </w:tcPr>
          <w:p w14:paraId="4F99116D" w14:textId="77777777" w:rsidR="008E6699" w:rsidRPr="00E44923" w:rsidRDefault="004F6124" w:rsidP="00A53B65">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Study period and study area</w:t>
            </w:r>
          </w:p>
        </w:tc>
        <w:tc>
          <w:tcPr>
            <w:tcW w:w="0" w:type="auto"/>
          </w:tcPr>
          <w:p w14:paraId="3E3E711E" w14:textId="77777777" w:rsidR="008E6699" w:rsidRPr="00E44923" w:rsidRDefault="004F6124" w:rsidP="00A53B65">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Technique &amp; Dataset used</w:t>
            </w:r>
          </w:p>
        </w:tc>
        <w:tc>
          <w:tcPr>
            <w:tcW w:w="0" w:type="auto"/>
          </w:tcPr>
          <w:p w14:paraId="7C8662A9" w14:textId="77777777" w:rsidR="008E6699" w:rsidRPr="00E44923" w:rsidRDefault="004F6124" w:rsidP="00A53B65">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Findings</w:t>
            </w:r>
          </w:p>
        </w:tc>
      </w:tr>
      <w:tr w:rsidR="007E0B7F" w:rsidRPr="00E44923" w14:paraId="5F05D3DC" w14:textId="77777777" w:rsidTr="001F773A">
        <w:tc>
          <w:tcPr>
            <w:tcW w:w="0" w:type="auto"/>
          </w:tcPr>
          <w:p w14:paraId="443301D3" w14:textId="23B08E9F"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Pattanaik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(2013)</w:t>
            </w:r>
          </w:p>
        </w:tc>
        <w:tc>
          <w:tcPr>
            <w:tcW w:w="0" w:type="auto"/>
          </w:tcPr>
          <w:p w14:paraId="73D9E7D9"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Cyclonic storms "Giri" and "Jal"</w:t>
            </w:r>
          </w:p>
        </w:tc>
        <w:tc>
          <w:tcPr>
            <w:tcW w:w="0" w:type="auto"/>
          </w:tcPr>
          <w:p w14:paraId="09A054C4" w14:textId="77777777" w:rsidR="008E6699" w:rsidRPr="00E44923" w:rsidRDefault="004F6124" w:rsidP="00A53B65">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rPr>
              <w:t>Postmonsoon</w:t>
            </w:r>
            <w:proofErr w:type="spellEnd"/>
            <w:r w:rsidRPr="00E44923">
              <w:rPr>
                <w:rFonts w:ascii="Arial" w:hAnsi="Arial" w:cs="Arial"/>
                <w:color w:val="0D0D0D" w:themeColor="text1" w:themeTint="F2"/>
              </w:rPr>
              <w:t xml:space="preserve"> season of 2010; Bay of Bengal, Tamil Nadu, and Andhra Pradesh coasts.</w:t>
            </w:r>
          </w:p>
        </w:tc>
        <w:tc>
          <w:tcPr>
            <w:tcW w:w="0" w:type="auto"/>
          </w:tcPr>
          <w:p w14:paraId="66E08A17" w14:textId="77777777" w:rsidR="0041143B" w:rsidRPr="00E44923" w:rsidRDefault="004F6124" w:rsidP="00A53B65">
            <w:pPr>
              <w:numPr>
                <w:ilvl w:val="0"/>
                <w:numId w:val="11"/>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Forecasts using coupled model outputs from ECMWF, NCEP, and a two-model average</w:t>
            </w:r>
          </w:p>
        </w:tc>
        <w:tc>
          <w:tcPr>
            <w:tcW w:w="0" w:type="auto"/>
          </w:tcPr>
          <w:p w14:paraId="4F1E789C"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The operational forecast indicated cyclonic circulation associated with cyclone "Giri" and successfully captured the genesis of cyclone "Jal."</w:t>
            </w:r>
          </w:p>
        </w:tc>
      </w:tr>
      <w:tr w:rsidR="007E0B7F" w:rsidRPr="00E44923" w14:paraId="25CC1C15" w14:textId="77777777" w:rsidTr="001F773A">
        <w:tc>
          <w:tcPr>
            <w:tcW w:w="0" w:type="auto"/>
          </w:tcPr>
          <w:p w14:paraId="7D9D7AEE"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Lea and Sauders, (2015)</w:t>
            </w:r>
          </w:p>
        </w:tc>
        <w:tc>
          <w:tcPr>
            <w:tcW w:w="0" w:type="auto"/>
          </w:tcPr>
          <w:p w14:paraId="1D81FEC3"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Typhoon activity</w:t>
            </w:r>
          </w:p>
        </w:tc>
        <w:tc>
          <w:tcPr>
            <w:tcW w:w="0" w:type="auto"/>
          </w:tcPr>
          <w:p w14:paraId="1F1753E3"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Jan 1 to Dec 31, 2021.</w:t>
            </w:r>
          </w:p>
          <w:p w14:paraId="5CF9E528"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Northwest Pacific region.</w:t>
            </w:r>
          </w:p>
        </w:tc>
        <w:tc>
          <w:tcPr>
            <w:tcW w:w="0" w:type="auto"/>
          </w:tcPr>
          <w:p w14:paraId="79D92A7C" w14:textId="77777777" w:rsidR="0041143B" w:rsidRPr="00E44923" w:rsidRDefault="004F6124" w:rsidP="00A53B65">
            <w:pPr>
              <w:numPr>
                <w:ilvl w:val="0"/>
                <w:numId w:val="10"/>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Deterministic and probabilistic forecasting methods; statistical methods for ENSO predictions.</w:t>
            </w:r>
          </w:p>
          <w:p w14:paraId="1B3FDA06" w14:textId="77777777" w:rsidR="0041143B" w:rsidRPr="00E44923" w:rsidRDefault="004F6124" w:rsidP="00A53B65">
            <w:pPr>
              <w:numPr>
                <w:ilvl w:val="0"/>
                <w:numId w:val="10"/>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ENSO data.</w:t>
            </w:r>
          </w:p>
        </w:tc>
        <w:tc>
          <w:tcPr>
            <w:tcW w:w="0" w:type="auto"/>
          </w:tcPr>
          <w:p w14:paraId="7B9BDF22"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The precision of early forecasts is low due to uncertainties in ASO ENSO predictions</w:t>
            </w:r>
          </w:p>
        </w:tc>
      </w:tr>
      <w:tr w:rsidR="007E0B7F" w:rsidRPr="00E44923" w14:paraId="71AF8B28" w14:textId="77777777" w:rsidTr="001F773A">
        <w:tc>
          <w:tcPr>
            <w:tcW w:w="0" w:type="auto"/>
          </w:tcPr>
          <w:p w14:paraId="225E0781" w14:textId="38C58630"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Pattanaik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(2015)</w:t>
            </w:r>
          </w:p>
        </w:tc>
        <w:tc>
          <w:tcPr>
            <w:tcW w:w="0" w:type="auto"/>
          </w:tcPr>
          <w:p w14:paraId="0C52AA58"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Flood management</w:t>
            </w:r>
          </w:p>
        </w:tc>
        <w:tc>
          <w:tcPr>
            <w:tcW w:w="0" w:type="auto"/>
          </w:tcPr>
          <w:p w14:paraId="5A5DBA93"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August-September 2011, Mahanadi River basin, Odisha, India.</w:t>
            </w:r>
          </w:p>
        </w:tc>
        <w:tc>
          <w:tcPr>
            <w:tcW w:w="0" w:type="auto"/>
          </w:tcPr>
          <w:p w14:paraId="58CB739D" w14:textId="77777777" w:rsidR="0041143B" w:rsidRPr="00E44923" w:rsidRDefault="004F6124" w:rsidP="00A53B65">
            <w:pPr>
              <w:numPr>
                <w:ilvl w:val="0"/>
                <w:numId w:val="7"/>
              </w:numPr>
              <w:spacing w:after="0" w:line="360" w:lineRule="auto"/>
              <w:contextualSpacing/>
              <w:rPr>
                <w:rFonts w:ascii="Arial" w:hAnsi="Arial" w:cs="Arial"/>
                <w:color w:val="0D0D0D" w:themeColor="text1" w:themeTint="F2"/>
              </w:rPr>
            </w:pPr>
            <w:proofErr w:type="spellStart"/>
            <w:r w:rsidRPr="00E44923">
              <w:rPr>
                <w:rFonts w:ascii="Arial" w:hAnsi="Arial" w:cs="Arial"/>
                <w:color w:val="0D0D0D" w:themeColor="text1" w:themeTint="F2"/>
              </w:rPr>
              <w:t>Bimodel</w:t>
            </w:r>
            <w:proofErr w:type="spellEnd"/>
            <w:r w:rsidRPr="00E44923">
              <w:rPr>
                <w:rFonts w:ascii="Arial" w:hAnsi="Arial" w:cs="Arial"/>
                <w:color w:val="0D0D0D" w:themeColor="text1" w:themeTint="F2"/>
              </w:rPr>
              <w:t xml:space="preserve"> average (BMA) of ECMWF and NCEP CFS models (rainfall data),</w:t>
            </w:r>
          </w:p>
          <w:p w14:paraId="101F428D" w14:textId="77777777" w:rsidR="0041143B" w:rsidRPr="00E44923" w:rsidRDefault="004F6124" w:rsidP="00A53B65">
            <w:pPr>
              <w:numPr>
                <w:ilvl w:val="0"/>
                <w:numId w:val="7"/>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synoptic analysis of low-pressure systems.</w:t>
            </w:r>
          </w:p>
          <w:p w14:paraId="1A48E002" w14:textId="77777777" w:rsidR="008E6699" w:rsidRPr="00E44923" w:rsidRDefault="008E6699" w:rsidP="00A53B65">
            <w:pPr>
              <w:numPr>
                <w:ilvl w:val="0"/>
                <w:numId w:val="10"/>
              </w:numPr>
              <w:spacing w:after="0" w:line="360" w:lineRule="auto"/>
              <w:contextualSpacing/>
              <w:rPr>
                <w:rFonts w:ascii="Arial" w:hAnsi="Arial" w:cs="Arial"/>
                <w:color w:val="0D0D0D" w:themeColor="text1" w:themeTint="F2"/>
              </w:rPr>
            </w:pPr>
          </w:p>
        </w:tc>
        <w:tc>
          <w:tcPr>
            <w:tcW w:w="0" w:type="auto"/>
          </w:tcPr>
          <w:p w14:paraId="78C67CD2"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The ECMWF model performed better in predicting the heavy rainfall event compared to NCEP CFS, though both underpredicted the actual rainfall.</w:t>
            </w:r>
          </w:p>
        </w:tc>
      </w:tr>
      <w:tr w:rsidR="007E0B7F" w:rsidRPr="00E44923" w14:paraId="1964EF38" w14:textId="77777777" w:rsidTr="001F773A">
        <w:tc>
          <w:tcPr>
            <w:tcW w:w="0" w:type="auto"/>
          </w:tcPr>
          <w:p w14:paraId="767A7BEF" w14:textId="1C4A145B"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Zhu </w:t>
            </w:r>
            <w:r w:rsidR="00E417E0" w:rsidRPr="00E44923">
              <w:rPr>
                <w:rFonts w:ascii="Arial" w:hAnsi="Arial" w:cs="Arial"/>
                <w:color w:val="0D0D0D" w:themeColor="text1" w:themeTint="F2"/>
              </w:rPr>
              <w:t>and Li</w:t>
            </w:r>
            <w:r w:rsidRPr="00E44923">
              <w:rPr>
                <w:rFonts w:ascii="Arial" w:hAnsi="Arial" w:cs="Arial"/>
                <w:color w:val="0D0D0D" w:themeColor="text1" w:themeTint="F2"/>
              </w:rPr>
              <w:t>., (2017)</w:t>
            </w:r>
          </w:p>
        </w:tc>
        <w:tc>
          <w:tcPr>
            <w:tcW w:w="0" w:type="auto"/>
          </w:tcPr>
          <w:p w14:paraId="53F16A26"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Clustering tropical cyclogenesis</w:t>
            </w:r>
          </w:p>
        </w:tc>
        <w:tc>
          <w:tcPr>
            <w:tcW w:w="0" w:type="auto"/>
          </w:tcPr>
          <w:p w14:paraId="6F82040D"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2003–2014, western North Pacific (WNP).</w:t>
            </w:r>
          </w:p>
        </w:tc>
        <w:tc>
          <w:tcPr>
            <w:tcW w:w="0" w:type="auto"/>
          </w:tcPr>
          <w:p w14:paraId="69E2552A" w14:textId="77777777" w:rsidR="008E6699" w:rsidRPr="00E44923" w:rsidRDefault="004F6124" w:rsidP="00A53B65">
            <w:pPr>
              <w:numPr>
                <w:ilvl w:val="0"/>
                <w:numId w:val="8"/>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 xml:space="preserve"> STPM based on 10–30 and 30–80-day ISV modes.</w:t>
            </w:r>
          </w:p>
          <w:p w14:paraId="2AEA2292" w14:textId="77777777" w:rsidR="008E6699" w:rsidRPr="00E44923" w:rsidRDefault="004F6124" w:rsidP="00A53B65">
            <w:pPr>
              <w:numPr>
                <w:ilvl w:val="0"/>
                <w:numId w:val="8"/>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 xml:space="preserve">Outgoing Longwave Radiation (OLR), atmospheric fields </w:t>
            </w:r>
            <w:r w:rsidRPr="00E44923">
              <w:rPr>
                <w:rFonts w:ascii="Arial" w:hAnsi="Arial" w:cs="Arial"/>
                <w:color w:val="0D0D0D" w:themeColor="text1" w:themeTint="F2"/>
              </w:rPr>
              <w:lastRenderedPageBreak/>
              <w:t>(geopotential height, zonal wind, vorticity, humidity).</w:t>
            </w:r>
          </w:p>
        </w:tc>
        <w:tc>
          <w:tcPr>
            <w:tcW w:w="0" w:type="auto"/>
          </w:tcPr>
          <w:p w14:paraId="733D0D9B" w14:textId="77777777" w:rsidR="008E6699" w:rsidRPr="00E44923" w:rsidRDefault="004F6124" w:rsidP="00A53B65">
            <w:p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lastRenderedPageBreak/>
              <w:t>80% of CTC events with a 10-day lead time</w:t>
            </w:r>
          </w:p>
          <w:p w14:paraId="083FF9F5" w14:textId="77777777" w:rsidR="008E6699" w:rsidRPr="00E44923" w:rsidRDefault="004F6124" w:rsidP="00A53B65">
            <w:p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69% with a 20-day lead time</w:t>
            </w:r>
          </w:p>
        </w:tc>
      </w:tr>
      <w:tr w:rsidR="007E0B7F" w:rsidRPr="00E44923" w14:paraId="6B2DA175" w14:textId="77777777" w:rsidTr="001F773A">
        <w:tc>
          <w:tcPr>
            <w:tcW w:w="0" w:type="auto"/>
          </w:tcPr>
          <w:p w14:paraId="5039E832" w14:textId="4BA9AE9A" w:rsidR="008E6699" w:rsidRPr="00E44923" w:rsidRDefault="004F6124" w:rsidP="00A53B65">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shd w:val="clear" w:color="auto" w:fill="FFFFFF"/>
              </w:rPr>
              <w:t>Gensini</w:t>
            </w:r>
            <w:proofErr w:type="spellEnd"/>
            <w:r w:rsidRPr="00E44923">
              <w:rPr>
                <w:rFonts w:ascii="Arial" w:hAnsi="Arial" w:cs="Arial"/>
                <w:color w:val="0D0D0D" w:themeColor="text1" w:themeTint="F2"/>
                <w:shd w:val="clear" w:color="auto" w:fill="FFFFFF"/>
              </w:rPr>
              <w:t xml:space="preserve"> </w:t>
            </w:r>
            <w:r w:rsidR="00D72703" w:rsidRPr="00E44923">
              <w:rPr>
                <w:rFonts w:ascii="Arial" w:hAnsi="Arial" w:cs="Arial"/>
                <w:i/>
                <w:iCs/>
                <w:color w:val="0D0D0D" w:themeColor="text1" w:themeTint="F2"/>
                <w:shd w:val="clear" w:color="auto" w:fill="FFFFFF"/>
              </w:rPr>
              <w:t>et al.,</w:t>
            </w:r>
            <w:r w:rsidRPr="00E44923">
              <w:rPr>
                <w:rFonts w:ascii="Arial" w:hAnsi="Arial" w:cs="Arial"/>
                <w:color w:val="0D0D0D" w:themeColor="text1" w:themeTint="F2"/>
                <w:shd w:val="clear" w:color="auto" w:fill="FFFFFF"/>
              </w:rPr>
              <w:t xml:space="preserve"> (2019)</w:t>
            </w:r>
          </w:p>
          <w:p w14:paraId="588DB07C" w14:textId="77777777" w:rsidR="008E6699" w:rsidRPr="00E44923" w:rsidRDefault="008E6699" w:rsidP="00A53B65">
            <w:pPr>
              <w:spacing w:after="0" w:line="360" w:lineRule="auto"/>
              <w:rPr>
                <w:rFonts w:ascii="Arial" w:hAnsi="Arial" w:cs="Arial"/>
                <w:color w:val="0D0D0D" w:themeColor="text1" w:themeTint="F2"/>
              </w:rPr>
            </w:pPr>
          </w:p>
        </w:tc>
        <w:tc>
          <w:tcPr>
            <w:tcW w:w="0" w:type="auto"/>
          </w:tcPr>
          <w:p w14:paraId="4EB87B95"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eastAsia="Times New Roman" w:hAnsi="Arial" w:cs="Arial"/>
                <w:color w:val="0D0D0D" w:themeColor="text1" w:themeTint="F2"/>
              </w:rPr>
              <w:t>Tornado</w:t>
            </w:r>
          </w:p>
        </w:tc>
        <w:tc>
          <w:tcPr>
            <w:tcW w:w="0" w:type="auto"/>
          </w:tcPr>
          <w:p w14:paraId="1669EA9C" w14:textId="77777777" w:rsidR="008E6699" w:rsidRPr="00E44923" w:rsidRDefault="004F6124" w:rsidP="00A53B65">
            <w:pPr>
              <w:spacing w:after="0" w:line="360" w:lineRule="auto"/>
              <w:rPr>
                <w:rFonts w:ascii="Arial" w:eastAsia="Times New Roman" w:hAnsi="Arial" w:cs="Arial"/>
                <w:color w:val="0D0D0D" w:themeColor="text1" w:themeTint="F2"/>
              </w:rPr>
            </w:pPr>
            <w:r w:rsidRPr="00E44923">
              <w:rPr>
                <w:rFonts w:ascii="Arial" w:eastAsia="Times New Roman" w:hAnsi="Arial" w:cs="Arial"/>
                <w:color w:val="0D0D0D" w:themeColor="text1" w:themeTint="F2"/>
              </w:rPr>
              <w:t>May 2019, U.S. Great Plains, Midwest, lower Great Lakes</w:t>
            </w:r>
          </w:p>
          <w:p w14:paraId="785A103A" w14:textId="77777777" w:rsidR="008E6699" w:rsidRPr="00E44923" w:rsidRDefault="008E6699" w:rsidP="00A53B65">
            <w:pPr>
              <w:spacing w:after="0" w:line="360" w:lineRule="auto"/>
              <w:rPr>
                <w:rFonts w:ascii="Arial" w:hAnsi="Arial" w:cs="Arial"/>
                <w:color w:val="0D0D0D" w:themeColor="text1" w:themeTint="F2"/>
              </w:rPr>
            </w:pPr>
          </w:p>
        </w:tc>
        <w:tc>
          <w:tcPr>
            <w:tcW w:w="0" w:type="auto"/>
          </w:tcPr>
          <w:p w14:paraId="322D6BB2" w14:textId="77777777" w:rsidR="0041143B" w:rsidRPr="00E44923" w:rsidRDefault="008E6699" w:rsidP="00A53B65">
            <w:pPr>
              <w:numPr>
                <w:ilvl w:val="0"/>
                <w:numId w:val="6"/>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Extended range tornado activity forecast (ERTAF)</w:t>
            </w:r>
          </w:p>
          <w:p w14:paraId="1389516D" w14:textId="77777777" w:rsidR="0041143B" w:rsidRPr="00E44923" w:rsidRDefault="004F6124" w:rsidP="00A53B65">
            <w:pPr>
              <w:numPr>
                <w:ilvl w:val="0"/>
                <w:numId w:val="6"/>
              </w:numPr>
              <w:spacing w:after="0" w:line="360" w:lineRule="auto"/>
              <w:contextualSpacing/>
              <w:rPr>
                <w:rFonts w:ascii="Arial" w:hAnsi="Arial" w:cs="Arial"/>
                <w:color w:val="0D0D0D" w:themeColor="text1" w:themeTint="F2"/>
              </w:rPr>
            </w:pPr>
            <w:r w:rsidRPr="00E44923">
              <w:rPr>
                <w:rFonts w:ascii="Arial" w:eastAsia="Times New Roman" w:hAnsi="Arial" w:cs="Arial"/>
                <w:color w:val="0D0D0D" w:themeColor="text1" w:themeTint="F2"/>
              </w:rPr>
              <w:t>Tropical convective forcing, Atmospheric angular momentum</w:t>
            </w:r>
          </w:p>
        </w:tc>
        <w:tc>
          <w:tcPr>
            <w:tcW w:w="0" w:type="auto"/>
          </w:tcPr>
          <w:p w14:paraId="16057A33" w14:textId="77777777" w:rsidR="008E6699" w:rsidRPr="00E44923" w:rsidRDefault="004F6124" w:rsidP="00A53B65">
            <w:pPr>
              <w:spacing w:after="0" w:line="360" w:lineRule="auto"/>
              <w:rPr>
                <w:rFonts w:ascii="Arial" w:hAnsi="Arial" w:cs="Arial"/>
                <w:color w:val="0D0D0D" w:themeColor="text1" w:themeTint="F2"/>
              </w:rPr>
            </w:pPr>
            <w:r w:rsidRPr="00E44923">
              <w:rPr>
                <w:rFonts w:ascii="Arial" w:eastAsia="Times New Roman" w:hAnsi="Arial" w:cs="Arial"/>
                <w:color w:val="0D0D0D" w:themeColor="text1" w:themeTint="F2"/>
              </w:rPr>
              <w:t>Tornadoes predicted 3 - 4 weeks in advance</w:t>
            </w:r>
          </w:p>
        </w:tc>
      </w:tr>
      <w:tr w:rsidR="007E0B7F" w:rsidRPr="00E44923" w14:paraId="4A6FE0D7" w14:textId="77777777" w:rsidTr="001F773A">
        <w:tc>
          <w:tcPr>
            <w:tcW w:w="0" w:type="auto"/>
          </w:tcPr>
          <w:p w14:paraId="509808C7" w14:textId="4E884B7F" w:rsidR="008E6699" w:rsidRPr="00E44923" w:rsidRDefault="004F6124" w:rsidP="00A53B65">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shd w:val="clear" w:color="auto" w:fill="FFFFFF"/>
              </w:rPr>
              <w:t>Gensini</w:t>
            </w:r>
            <w:proofErr w:type="spellEnd"/>
            <w:r w:rsidRPr="00E44923">
              <w:rPr>
                <w:rFonts w:ascii="Arial" w:hAnsi="Arial" w:cs="Arial"/>
                <w:color w:val="0D0D0D" w:themeColor="text1" w:themeTint="F2"/>
                <w:shd w:val="clear" w:color="auto" w:fill="FFFFFF"/>
              </w:rPr>
              <w:t xml:space="preserve"> </w:t>
            </w:r>
            <w:r w:rsidR="00D72703" w:rsidRPr="00E44923">
              <w:rPr>
                <w:rFonts w:ascii="Arial" w:hAnsi="Arial" w:cs="Arial"/>
                <w:i/>
                <w:iCs/>
                <w:color w:val="0D0D0D" w:themeColor="text1" w:themeTint="F2"/>
                <w:shd w:val="clear" w:color="auto" w:fill="FFFFFF"/>
              </w:rPr>
              <w:t>et al.,</w:t>
            </w:r>
            <w:r w:rsidRPr="00E44923">
              <w:rPr>
                <w:rFonts w:ascii="Arial" w:hAnsi="Arial" w:cs="Arial"/>
                <w:color w:val="0D0D0D" w:themeColor="text1" w:themeTint="F2"/>
                <w:shd w:val="clear" w:color="auto" w:fill="FFFFFF"/>
              </w:rPr>
              <w:t xml:space="preserve"> (2020)</w:t>
            </w:r>
          </w:p>
          <w:p w14:paraId="73959D1F" w14:textId="77777777" w:rsidR="008E6699" w:rsidRPr="00E44923" w:rsidRDefault="008E6699" w:rsidP="00A53B65">
            <w:pPr>
              <w:spacing w:after="0" w:line="360" w:lineRule="auto"/>
              <w:rPr>
                <w:rFonts w:ascii="Arial" w:hAnsi="Arial" w:cs="Arial"/>
                <w:color w:val="0D0D0D" w:themeColor="text1" w:themeTint="F2"/>
                <w:shd w:val="clear" w:color="auto" w:fill="FFFFFF"/>
              </w:rPr>
            </w:pPr>
          </w:p>
        </w:tc>
        <w:tc>
          <w:tcPr>
            <w:tcW w:w="0" w:type="auto"/>
          </w:tcPr>
          <w:p w14:paraId="4DB99E81" w14:textId="77777777" w:rsidR="008E6699" w:rsidRPr="00E44923" w:rsidRDefault="004F6124" w:rsidP="00A53B65">
            <w:pPr>
              <w:spacing w:after="0" w:line="360" w:lineRule="auto"/>
              <w:rPr>
                <w:rFonts w:ascii="Arial" w:hAnsi="Arial" w:cs="Arial"/>
                <w:b/>
                <w:bCs/>
                <w:color w:val="0D0D0D" w:themeColor="text1" w:themeTint="F2"/>
              </w:rPr>
            </w:pPr>
            <w:r w:rsidRPr="00E44923">
              <w:rPr>
                <w:rFonts w:ascii="Arial" w:eastAsia="Times New Roman" w:hAnsi="Arial" w:cs="Arial"/>
                <w:color w:val="0D0D0D" w:themeColor="text1" w:themeTint="F2"/>
              </w:rPr>
              <w:t>Tornado</w:t>
            </w:r>
          </w:p>
        </w:tc>
        <w:tc>
          <w:tcPr>
            <w:tcW w:w="0" w:type="auto"/>
          </w:tcPr>
          <w:p w14:paraId="65029899" w14:textId="77777777" w:rsidR="008E6699" w:rsidRPr="00E44923" w:rsidRDefault="004F6124" w:rsidP="00A53B65">
            <w:pPr>
              <w:spacing w:after="0" w:line="360" w:lineRule="auto"/>
              <w:rPr>
                <w:rFonts w:ascii="Arial" w:hAnsi="Arial" w:cs="Arial"/>
                <w:b/>
                <w:bCs/>
                <w:color w:val="0D0D0D" w:themeColor="text1" w:themeTint="F2"/>
              </w:rPr>
            </w:pPr>
            <w:r w:rsidRPr="00E44923">
              <w:rPr>
                <w:rFonts w:ascii="Arial" w:eastAsia="Times New Roman" w:hAnsi="Arial" w:cs="Arial"/>
                <w:color w:val="0D0D0D" w:themeColor="text1" w:themeTint="F2"/>
              </w:rPr>
              <w:t>March 2015 onward, U.S. tornado activity</w:t>
            </w:r>
          </w:p>
        </w:tc>
        <w:tc>
          <w:tcPr>
            <w:tcW w:w="0" w:type="auto"/>
          </w:tcPr>
          <w:p w14:paraId="2FA50857" w14:textId="77777777" w:rsidR="008E6699" w:rsidRPr="00E44923" w:rsidRDefault="004F6124" w:rsidP="00A53B65">
            <w:pPr>
              <w:numPr>
                <w:ilvl w:val="0"/>
                <w:numId w:val="6"/>
              </w:numPr>
              <w:spacing w:after="0" w:line="360" w:lineRule="auto"/>
              <w:contextualSpacing/>
              <w:rPr>
                <w:rFonts w:ascii="Arial" w:hAnsi="Arial" w:cs="Arial"/>
                <w:b/>
                <w:bCs/>
                <w:color w:val="0D0D0D" w:themeColor="text1" w:themeTint="F2"/>
              </w:rPr>
            </w:pPr>
            <w:r w:rsidRPr="00E44923">
              <w:rPr>
                <w:rFonts w:ascii="Arial" w:hAnsi="Arial" w:cs="Arial"/>
                <w:color w:val="0D0D0D" w:themeColor="text1" w:themeTint="F2"/>
              </w:rPr>
              <w:t>ERTAF</w:t>
            </w:r>
          </w:p>
          <w:p w14:paraId="693DB484" w14:textId="77777777" w:rsidR="0041143B" w:rsidRPr="00E44923" w:rsidRDefault="004F6124" w:rsidP="00A53B65">
            <w:pPr>
              <w:numPr>
                <w:ilvl w:val="0"/>
                <w:numId w:val="6"/>
              </w:numPr>
              <w:spacing w:after="0" w:line="360" w:lineRule="auto"/>
              <w:contextualSpacing/>
              <w:rPr>
                <w:rFonts w:ascii="Arial" w:hAnsi="Arial" w:cs="Arial"/>
                <w:b/>
                <w:bCs/>
                <w:color w:val="0D0D0D" w:themeColor="text1" w:themeTint="F2"/>
              </w:rPr>
            </w:pPr>
            <w:r w:rsidRPr="00E44923">
              <w:rPr>
                <w:rFonts w:ascii="Arial" w:hAnsi="Arial" w:cs="Arial"/>
                <w:color w:val="0D0D0D" w:themeColor="text1" w:themeTint="F2"/>
              </w:rPr>
              <w:t>Tropical convection, SST, Atmospheric angular momentum</w:t>
            </w:r>
          </w:p>
        </w:tc>
        <w:tc>
          <w:tcPr>
            <w:tcW w:w="0" w:type="auto"/>
          </w:tcPr>
          <w:p w14:paraId="7F430DA8" w14:textId="77777777" w:rsidR="008E6699" w:rsidRPr="00E44923" w:rsidRDefault="004F6124" w:rsidP="00A53B65">
            <w:pPr>
              <w:spacing w:after="0" w:line="360" w:lineRule="auto"/>
              <w:rPr>
                <w:rFonts w:ascii="Arial" w:hAnsi="Arial" w:cs="Arial"/>
                <w:b/>
                <w:bCs/>
                <w:color w:val="0D0D0D" w:themeColor="text1" w:themeTint="F2"/>
              </w:rPr>
            </w:pPr>
            <w:r w:rsidRPr="00E44923">
              <w:rPr>
                <w:rFonts w:ascii="Arial" w:eastAsia="Times New Roman" w:hAnsi="Arial" w:cs="Arial"/>
                <w:color w:val="0D0D0D" w:themeColor="text1" w:themeTint="F2"/>
              </w:rPr>
              <w:t>Successful tornado activity prediction 2 - 3 weeks in advance, with better accuracy in week 2 than in week 3.</w:t>
            </w:r>
          </w:p>
        </w:tc>
      </w:tr>
      <w:tr w:rsidR="007E0B7F" w:rsidRPr="00E44923" w14:paraId="3F64DB5F" w14:textId="77777777" w:rsidTr="001F773A">
        <w:tc>
          <w:tcPr>
            <w:tcW w:w="0" w:type="auto"/>
          </w:tcPr>
          <w:p w14:paraId="411166DB" w14:textId="71D642BA" w:rsidR="005D1E0A" w:rsidRPr="00E44923" w:rsidRDefault="004F6124" w:rsidP="00A53B65">
            <w:pPr>
              <w:spacing w:after="0" w:line="360" w:lineRule="auto"/>
              <w:rPr>
                <w:rFonts w:ascii="Arial" w:hAnsi="Arial" w:cs="Arial"/>
                <w:color w:val="0D0D0D" w:themeColor="text1" w:themeTint="F2"/>
                <w:shd w:val="clear" w:color="auto" w:fill="FFFFFF"/>
              </w:rPr>
            </w:pPr>
            <w:r w:rsidRPr="00E44923">
              <w:rPr>
                <w:rFonts w:ascii="Arial" w:hAnsi="Arial" w:cs="Arial"/>
                <w:color w:val="0D0D0D" w:themeColor="text1" w:themeTint="F2"/>
              </w:rPr>
              <w:t xml:space="preserve">Wei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(2021)</w:t>
            </w:r>
          </w:p>
        </w:tc>
        <w:tc>
          <w:tcPr>
            <w:tcW w:w="0" w:type="auto"/>
          </w:tcPr>
          <w:p w14:paraId="53A3B5BA" w14:textId="77777777" w:rsidR="005D1E0A" w:rsidRPr="00E44923" w:rsidRDefault="004F6124" w:rsidP="00A53B65">
            <w:pPr>
              <w:spacing w:after="0" w:line="360" w:lineRule="auto"/>
              <w:rPr>
                <w:rFonts w:ascii="Arial" w:eastAsia="Times New Roman" w:hAnsi="Arial" w:cs="Arial"/>
                <w:color w:val="0D0D0D" w:themeColor="text1" w:themeTint="F2"/>
              </w:rPr>
            </w:pPr>
            <w:r w:rsidRPr="00E44923">
              <w:rPr>
                <w:rFonts w:ascii="Arial" w:hAnsi="Arial" w:cs="Arial"/>
                <w:color w:val="0D0D0D" w:themeColor="text1" w:themeTint="F2"/>
              </w:rPr>
              <w:t>Tropical cyclogenesis</w:t>
            </w:r>
          </w:p>
        </w:tc>
        <w:tc>
          <w:tcPr>
            <w:tcW w:w="0" w:type="auto"/>
          </w:tcPr>
          <w:p w14:paraId="4A7F7610" w14:textId="77777777" w:rsidR="005D1E0A" w:rsidRPr="00E44923" w:rsidRDefault="004F6124" w:rsidP="00A53B65">
            <w:pPr>
              <w:spacing w:line="360" w:lineRule="auto"/>
              <w:rPr>
                <w:rFonts w:ascii="Arial" w:hAnsi="Arial" w:cs="Arial"/>
                <w:color w:val="0D0D0D" w:themeColor="text1" w:themeTint="F2"/>
              </w:rPr>
            </w:pPr>
            <w:r w:rsidRPr="00E44923">
              <w:rPr>
                <w:rFonts w:ascii="Arial" w:hAnsi="Arial" w:cs="Arial"/>
                <w:color w:val="0D0D0D" w:themeColor="text1" w:themeTint="F2"/>
              </w:rPr>
              <w:t>2009 - 2018,</w:t>
            </w:r>
          </w:p>
          <w:p w14:paraId="16E12752" w14:textId="77777777" w:rsidR="005D1E0A" w:rsidRPr="00E44923" w:rsidRDefault="004F6124" w:rsidP="00A53B65">
            <w:pPr>
              <w:spacing w:after="0" w:line="360" w:lineRule="auto"/>
              <w:rPr>
                <w:rFonts w:ascii="Arial" w:eastAsia="Times New Roman" w:hAnsi="Arial" w:cs="Arial"/>
                <w:color w:val="0D0D0D" w:themeColor="text1" w:themeTint="F2"/>
              </w:rPr>
            </w:pPr>
            <w:r w:rsidRPr="00E44923">
              <w:rPr>
                <w:rFonts w:ascii="Arial" w:hAnsi="Arial" w:cs="Arial"/>
                <w:color w:val="0D0D0D" w:themeColor="text1" w:themeTint="F2"/>
              </w:rPr>
              <w:t>South China Sea</w:t>
            </w:r>
          </w:p>
        </w:tc>
        <w:tc>
          <w:tcPr>
            <w:tcW w:w="0" w:type="auto"/>
          </w:tcPr>
          <w:p w14:paraId="56AE30A8" w14:textId="77777777" w:rsidR="005D1E0A" w:rsidRPr="00E44923" w:rsidRDefault="004F6124" w:rsidP="00A53B65">
            <w:pPr>
              <w:pStyle w:val="ListParagraph"/>
              <w:numPr>
                <w:ilvl w:val="0"/>
                <w:numId w:val="8"/>
              </w:numPr>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Spatial Temporal Projection Model (STPM) based on ISO phases (QBWO/MJO).</w:t>
            </w:r>
          </w:p>
          <w:p w14:paraId="738D7BE3" w14:textId="77777777" w:rsidR="005D1E0A" w:rsidRPr="00E44923" w:rsidRDefault="004F6124" w:rsidP="00A53B65">
            <w:pPr>
              <w:numPr>
                <w:ilvl w:val="0"/>
                <w:numId w:val="6"/>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Records, ISO phases, and Daily Genesis Rate sequences.</w:t>
            </w:r>
          </w:p>
        </w:tc>
        <w:tc>
          <w:tcPr>
            <w:tcW w:w="0" w:type="auto"/>
          </w:tcPr>
          <w:p w14:paraId="15D6B206" w14:textId="77777777" w:rsidR="005D1E0A"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80% accuracy - 10-day lead time</w:t>
            </w:r>
          </w:p>
          <w:p w14:paraId="68783BB6" w14:textId="77777777" w:rsidR="005D1E0A"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74.3%- 20-day lead time,</w:t>
            </w:r>
          </w:p>
          <w:p w14:paraId="6797A369" w14:textId="77777777" w:rsidR="005D1E0A" w:rsidRPr="00E44923" w:rsidRDefault="004F6124" w:rsidP="00A53B65">
            <w:pPr>
              <w:spacing w:after="0" w:line="360" w:lineRule="auto"/>
              <w:rPr>
                <w:rFonts w:ascii="Arial" w:eastAsia="Times New Roman" w:hAnsi="Arial" w:cs="Arial"/>
                <w:color w:val="0D0D0D" w:themeColor="text1" w:themeTint="F2"/>
              </w:rPr>
            </w:pPr>
            <w:r w:rsidRPr="00E44923">
              <w:rPr>
                <w:rFonts w:ascii="Arial" w:hAnsi="Arial" w:cs="Arial"/>
                <w:color w:val="0D0D0D" w:themeColor="text1" w:themeTint="F2"/>
              </w:rPr>
              <w:t>false alarming rates increased with longer lead times.</w:t>
            </w:r>
          </w:p>
        </w:tc>
      </w:tr>
    </w:tbl>
    <w:p w14:paraId="1B409864" w14:textId="63E905D6" w:rsidR="00DB1B44" w:rsidRPr="00E44923" w:rsidRDefault="007E0B7F"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Table 1: </w:t>
      </w:r>
      <w:r w:rsidR="004F6124" w:rsidRPr="00E44923">
        <w:rPr>
          <w:rFonts w:ascii="Arial" w:hAnsi="Arial" w:cs="Arial"/>
          <w:color w:val="0D0D0D" w:themeColor="text1" w:themeTint="F2"/>
          <w:szCs w:val="22"/>
        </w:rPr>
        <w:t xml:space="preserve">Key reference article with notified results regarding </w:t>
      </w:r>
      <w:r w:rsidR="004F6124" w:rsidRPr="00E44923">
        <w:rPr>
          <w:rFonts w:ascii="Arial" w:eastAsia="Calibri" w:hAnsi="Arial" w:cs="Arial"/>
          <w:color w:val="0D0D0D" w:themeColor="text1" w:themeTint="F2"/>
          <w:szCs w:val="22"/>
        </w:rPr>
        <w:t>extended</w:t>
      </w:r>
      <w:r w:rsidR="004F6124" w:rsidRPr="00E44923">
        <w:rPr>
          <w:rFonts w:ascii="Arial" w:hAnsi="Arial" w:cs="Arial"/>
          <w:color w:val="0D0D0D" w:themeColor="text1" w:themeTint="F2"/>
          <w:szCs w:val="22"/>
        </w:rPr>
        <w:t xml:space="preserve"> range prediction of </w:t>
      </w:r>
      <w:r w:rsidR="004F6124" w:rsidRPr="00E44923">
        <w:rPr>
          <w:rFonts w:ascii="Arial" w:eastAsia="Calibri" w:hAnsi="Arial" w:cs="Arial"/>
          <w:color w:val="0D0D0D" w:themeColor="text1" w:themeTint="F2"/>
          <w:szCs w:val="22"/>
        </w:rPr>
        <w:t>cyclones, tornadoes and floods</w:t>
      </w:r>
      <w:r w:rsidR="004F6124" w:rsidRPr="00E44923">
        <w:rPr>
          <w:rFonts w:ascii="Arial" w:hAnsi="Arial" w:cs="Arial"/>
          <w:color w:val="0D0D0D" w:themeColor="text1" w:themeTint="F2"/>
          <w:szCs w:val="22"/>
        </w:rPr>
        <w:t>:</w:t>
      </w:r>
    </w:p>
    <w:p w14:paraId="1822F5BE" w14:textId="77777777" w:rsidR="007F0587" w:rsidRPr="00E44923" w:rsidRDefault="007F0587" w:rsidP="00A53B65">
      <w:pPr>
        <w:spacing w:line="360" w:lineRule="auto"/>
        <w:ind w:firstLine="720"/>
        <w:jc w:val="both"/>
        <w:rPr>
          <w:rFonts w:ascii="Arial" w:hAnsi="Arial" w:cs="Arial"/>
          <w:color w:val="0D0D0D" w:themeColor="text1" w:themeTint="F2"/>
          <w:szCs w:val="22"/>
        </w:rPr>
      </w:pPr>
    </w:p>
    <w:p w14:paraId="103A4375" w14:textId="61762692" w:rsidR="007F0587" w:rsidRDefault="007F0587" w:rsidP="00A53B65">
      <w:pPr>
        <w:spacing w:line="360" w:lineRule="auto"/>
        <w:ind w:firstLine="720"/>
        <w:jc w:val="both"/>
        <w:rPr>
          <w:rFonts w:ascii="Arial" w:hAnsi="Arial" w:cs="Arial"/>
          <w:color w:val="0D0D0D" w:themeColor="text1" w:themeTint="F2"/>
          <w:szCs w:val="22"/>
        </w:rPr>
      </w:pPr>
    </w:p>
    <w:p w14:paraId="0CB2A91A" w14:textId="78EDB5B0" w:rsidR="00F849EE" w:rsidRDefault="00F849EE" w:rsidP="00A53B65">
      <w:pPr>
        <w:spacing w:line="360" w:lineRule="auto"/>
        <w:ind w:firstLine="720"/>
        <w:jc w:val="both"/>
        <w:rPr>
          <w:rFonts w:ascii="Arial" w:hAnsi="Arial" w:cs="Arial"/>
          <w:color w:val="0D0D0D" w:themeColor="text1" w:themeTint="F2"/>
          <w:szCs w:val="22"/>
        </w:rPr>
      </w:pPr>
    </w:p>
    <w:p w14:paraId="52600AB3" w14:textId="1ED2FA14" w:rsidR="00F849EE" w:rsidRDefault="00F849EE" w:rsidP="00A53B65">
      <w:pPr>
        <w:spacing w:line="360" w:lineRule="auto"/>
        <w:ind w:firstLine="720"/>
        <w:jc w:val="both"/>
        <w:rPr>
          <w:rFonts w:ascii="Arial" w:hAnsi="Arial" w:cs="Arial"/>
          <w:color w:val="0D0D0D" w:themeColor="text1" w:themeTint="F2"/>
          <w:szCs w:val="22"/>
        </w:rPr>
      </w:pPr>
    </w:p>
    <w:p w14:paraId="1ED09DC5" w14:textId="77777777" w:rsidR="00F849EE" w:rsidRPr="00E44923" w:rsidRDefault="00F849EE" w:rsidP="00A53B65">
      <w:pPr>
        <w:spacing w:line="360" w:lineRule="auto"/>
        <w:ind w:firstLine="720"/>
        <w:jc w:val="both"/>
        <w:rPr>
          <w:rFonts w:ascii="Arial" w:hAnsi="Arial" w:cs="Arial"/>
          <w:color w:val="0D0D0D" w:themeColor="text1" w:themeTint="F2"/>
          <w:szCs w:val="22"/>
        </w:rPr>
      </w:pPr>
    </w:p>
    <w:p w14:paraId="263A9348" w14:textId="77777777" w:rsidR="007F0587" w:rsidRPr="00E44923" w:rsidRDefault="007F0587" w:rsidP="00A53B65">
      <w:pPr>
        <w:spacing w:line="360" w:lineRule="auto"/>
        <w:ind w:firstLine="720"/>
        <w:jc w:val="both"/>
        <w:rPr>
          <w:rFonts w:ascii="Arial" w:hAnsi="Arial" w:cs="Arial"/>
          <w:color w:val="0D0D0D" w:themeColor="text1" w:themeTint="F2"/>
          <w:szCs w:val="22"/>
        </w:rPr>
      </w:pPr>
    </w:p>
    <w:p w14:paraId="3030F857" w14:textId="2F2BB843" w:rsidR="007F0587" w:rsidRPr="00E44923" w:rsidRDefault="007E0B7F"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Table 2: </w:t>
      </w:r>
      <w:r w:rsidR="004F6124" w:rsidRPr="00E44923">
        <w:rPr>
          <w:rFonts w:ascii="Arial" w:hAnsi="Arial" w:cs="Arial"/>
          <w:color w:val="0D0D0D" w:themeColor="text1" w:themeTint="F2"/>
          <w:szCs w:val="22"/>
        </w:rPr>
        <w:t xml:space="preserve">Key reference article with notified results regarding </w:t>
      </w:r>
      <w:r w:rsidR="004F6124" w:rsidRPr="00E44923">
        <w:rPr>
          <w:rFonts w:ascii="Arial" w:eastAsia="Calibri" w:hAnsi="Arial" w:cs="Arial"/>
          <w:color w:val="0D0D0D" w:themeColor="text1" w:themeTint="F2"/>
          <w:szCs w:val="22"/>
        </w:rPr>
        <w:t>the extended</w:t>
      </w:r>
      <w:r w:rsidR="004F6124" w:rsidRPr="00E44923">
        <w:rPr>
          <w:rFonts w:ascii="Arial" w:hAnsi="Arial" w:cs="Arial"/>
          <w:color w:val="0D0D0D" w:themeColor="text1" w:themeTint="F2"/>
          <w:szCs w:val="22"/>
        </w:rPr>
        <w:t xml:space="preserve"> range prediction of </w:t>
      </w:r>
      <w:r w:rsidR="004F6124" w:rsidRPr="00E44923">
        <w:rPr>
          <w:rFonts w:ascii="Arial" w:eastAsia="Calibri" w:hAnsi="Arial" w:cs="Arial"/>
          <w:color w:val="0D0D0D" w:themeColor="text1" w:themeTint="F2"/>
          <w:szCs w:val="22"/>
        </w:rPr>
        <w:t>heatwaves</w:t>
      </w:r>
      <w:r w:rsidR="004F6124" w:rsidRPr="00E44923">
        <w:rPr>
          <w:rFonts w:ascii="Arial" w:hAnsi="Arial" w:cs="Arial"/>
          <w:color w:val="0D0D0D" w:themeColor="text1" w:themeTint="F2"/>
          <w:szCs w:val="22"/>
        </w:rPr>
        <w:t xml:space="preserve"> and </w:t>
      </w:r>
      <w:r w:rsidR="004F6124" w:rsidRPr="00E44923">
        <w:rPr>
          <w:rFonts w:ascii="Arial" w:eastAsia="Calibri" w:hAnsi="Arial" w:cs="Arial"/>
          <w:color w:val="0D0D0D" w:themeColor="text1" w:themeTint="F2"/>
          <w:szCs w:val="22"/>
        </w:rPr>
        <w:t>cold waves</w:t>
      </w:r>
      <w:r w:rsidR="004F6124" w:rsidRPr="00E44923">
        <w:rPr>
          <w:rFonts w:ascii="Arial" w:hAnsi="Arial" w:cs="Arial"/>
          <w:color w:val="0D0D0D" w:themeColor="text1" w:themeTint="F2"/>
          <w:szCs w:val="22"/>
        </w:rPr>
        <w:t>:</w:t>
      </w:r>
    </w:p>
    <w:tbl>
      <w:tblPr>
        <w:tblStyle w:val="TableGrid"/>
        <w:tblpPr w:leftFromText="180" w:rightFromText="180" w:vertAnchor="text" w:horzAnchor="margin" w:tblpY="84"/>
        <w:tblW w:w="0" w:type="auto"/>
        <w:tblLook w:val="04A0" w:firstRow="1" w:lastRow="0" w:firstColumn="1" w:lastColumn="0" w:noHBand="0" w:noVBand="1"/>
      </w:tblPr>
      <w:tblGrid>
        <w:gridCol w:w="1538"/>
        <w:gridCol w:w="2156"/>
        <w:gridCol w:w="3117"/>
        <w:gridCol w:w="2871"/>
        <w:gridCol w:w="4266"/>
      </w:tblGrid>
      <w:tr w:rsidR="007E0B7F" w:rsidRPr="00E44923" w14:paraId="6CD864B0" w14:textId="77777777" w:rsidTr="009446D6">
        <w:tc>
          <w:tcPr>
            <w:tcW w:w="0" w:type="auto"/>
          </w:tcPr>
          <w:p w14:paraId="61B3EA82"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Authors References</w:t>
            </w:r>
          </w:p>
        </w:tc>
        <w:tc>
          <w:tcPr>
            <w:tcW w:w="0" w:type="auto"/>
          </w:tcPr>
          <w:p w14:paraId="4E387350"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Objective of the study</w:t>
            </w:r>
          </w:p>
        </w:tc>
        <w:tc>
          <w:tcPr>
            <w:tcW w:w="3117" w:type="dxa"/>
          </w:tcPr>
          <w:p w14:paraId="66ACA817"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Study period and study area</w:t>
            </w:r>
          </w:p>
        </w:tc>
        <w:tc>
          <w:tcPr>
            <w:tcW w:w="2871" w:type="dxa"/>
          </w:tcPr>
          <w:p w14:paraId="08B96701"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Technique</w:t>
            </w:r>
            <w:r w:rsidRPr="00E44923">
              <w:rPr>
                <w:rFonts w:ascii="Arial" w:hAnsi="Arial" w:cs="Arial"/>
                <w:b/>
                <w:bCs/>
                <w:color w:val="0D0D0D" w:themeColor="text1" w:themeTint="F2"/>
                <w:szCs w:val="22"/>
              </w:rPr>
              <w:t xml:space="preserve"> &amp; </w:t>
            </w:r>
            <w:r w:rsidRPr="00E44923">
              <w:rPr>
                <w:rFonts w:ascii="Arial" w:hAnsi="Arial" w:cs="Arial"/>
                <w:b/>
                <w:bCs/>
                <w:color w:val="0D0D0D" w:themeColor="text1" w:themeTint="F2"/>
                <w:kern w:val="0"/>
                <w:szCs w:val="22"/>
                <w:lang w:bidi="ar-SA"/>
                <w14:ligatures w14:val="none"/>
              </w:rPr>
              <w:t>Dataset</w:t>
            </w:r>
            <w:r w:rsidRPr="00E44923">
              <w:rPr>
                <w:rFonts w:ascii="Arial" w:hAnsi="Arial" w:cs="Arial"/>
                <w:b/>
                <w:bCs/>
                <w:color w:val="0D0D0D" w:themeColor="text1" w:themeTint="F2"/>
                <w:szCs w:val="22"/>
              </w:rPr>
              <w:t xml:space="preserve"> </w:t>
            </w:r>
            <w:r w:rsidRPr="00E44923">
              <w:rPr>
                <w:rFonts w:ascii="Arial" w:hAnsi="Arial" w:cs="Arial"/>
                <w:b/>
                <w:bCs/>
                <w:color w:val="0D0D0D" w:themeColor="text1" w:themeTint="F2"/>
                <w:kern w:val="0"/>
                <w:szCs w:val="22"/>
                <w:lang w:bidi="ar-SA"/>
                <w14:ligatures w14:val="none"/>
              </w:rPr>
              <w:t>used</w:t>
            </w:r>
          </w:p>
        </w:tc>
        <w:tc>
          <w:tcPr>
            <w:tcW w:w="0" w:type="auto"/>
          </w:tcPr>
          <w:p w14:paraId="4BB15360"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Findings</w:t>
            </w:r>
          </w:p>
        </w:tc>
      </w:tr>
      <w:tr w:rsidR="007E0B7F" w:rsidRPr="00E44923" w14:paraId="3F6E4937" w14:textId="77777777" w:rsidTr="009446D6">
        <w:tc>
          <w:tcPr>
            <w:tcW w:w="0" w:type="auto"/>
          </w:tcPr>
          <w:p w14:paraId="449B9379" w14:textId="55E3ABC4"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 xml:space="preserve">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w:t>
            </w:r>
          </w:p>
        </w:tc>
        <w:tc>
          <w:tcPr>
            <w:tcW w:w="0" w:type="auto"/>
          </w:tcPr>
          <w:p w14:paraId="1F755337" w14:textId="77777777" w:rsidR="009446D6" w:rsidRPr="00E44923" w:rsidRDefault="004F6124" w:rsidP="00A53B65">
            <w:pPr>
              <w:spacing w:after="0" w:line="360" w:lineRule="auto"/>
              <w:rPr>
                <w:rFonts w:ascii="Arial" w:hAnsi="Arial" w:cs="Arial"/>
                <w:color w:val="0D0D0D" w:themeColor="text1" w:themeTint="F2"/>
                <w:szCs w:val="22"/>
              </w:rPr>
            </w:pPr>
            <w:proofErr w:type="spellStart"/>
            <w:r w:rsidRPr="00E44923">
              <w:rPr>
                <w:rFonts w:ascii="Arial" w:hAnsi="Arial" w:cs="Arial"/>
                <w:color w:val="0D0D0D" w:themeColor="text1" w:themeTint="F2"/>
                <w:szCs w:val="22"/>
              </w:rPr>
              <w:t>Tmax</w:t>
            </w:r>
            <w:proofErr w:type="spellEnd"/>
            <w:r w:rsidRPr="00E44923">
              <w:rPr>
                <w:rFonts w:ascii="Arial" w:hAnsi="Arial" w:cs="Arial"/>
                <w:color w:val="0D0D0D" w:themeColor="text1" w:themeTint="F2"/>
                <w:szCs w:val="22"/>
              </w:rPr>
              <w:t xml:space="preserve"> during severe heatwave conditions</w:t>
            </w:r>
          </w:p>
        </w:tc>
        <w:tc>
          <w:tcPr>
            <w:tcW w:w="3117" w:type="dxa"/>
          </w:tcPr>
          <w:p w14:paraId="730618AE"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2015, focusing on the severe heatwave period from 22 to 28 May and the subsequent week from 29 May to 4 June. Northwestern, eastern coastal states, and the Indo-Gangetic plain of India.</w:t>
            </w:r>
          </w:p>
        </w:tc>
        <w:tc>
          <w:tcPr>
            <w:tcW w:w="2871" w:type="dxa"/>
          </w:tcPr>
          <w:p w14:paraId="4BEDB1CA"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(CFSv2).</w:t>
            </w:r>
          </w:p>
          <w:p w14:paraId="78CA5F7B"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Weekly bias-corrected deterministic (ensemble mean) </w:t>
            </w:r>
            <w:proofErr w:type="spellStart"/>
            <w:r w:rsidRPr="00E44923">
              <w:rPr>
                <w:rFonts w:ascii="Arial" w:hAnsi="Arial" w:cs="Arial"/>
                <w:color w:val="0D0D0D" w:themeColor="text1" w:themeTint="F2"/>
                <w:sz w:val="22"/>
                <w:szCs w:val="22"/>
              </w:rPr>
              <w:t>Tmax</w:t>
            </w:r>
            <w:proofErr w:type="spellEnd"/>
            <w:r w:rsidRPr="00E44923">
              <w:rPr>
                <w:rFonts w:ascii="Arial" w:hAnsi="Arial" w:cs="Arial"/>
                <w:color w:val="0D0D0D" w:themeColor="text1" w:themeTint="F2"/>
                <w:sz w:val="22"/>
                <w:szCs w:val="22"/>
              </w:rPr>
              <w:t xml:space="preserve"> forecasts for 3 weeks.</w:t>
            </w:r>
          </w:p>
        </w:tc>
        <w:tc>
          <w:tcPr>
            <w:tcW w:w="0" w:type="auto"/>
          </w:tcPr>
          <w:p w14:paraId="06BDEE5E"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The coupled model's ability to provide early warnings for extreme heatwaves</w:t>
            </w:r>
          </w:p>
        </w:tc>
      </w:tr>
      <w:tr w:rsidR="007E0B7F" w:rsidRPr="00E44923" w14:paraId="0522AE2D" w14:textId="77777777" w:rsidTr="009446D6">
        <w:tc>
          <w:tcPr>
            <w:tcW w:w="0" w:type="auto"/>
          </w:tcPr>
          <w:p w14:paraId="04FB9E3F"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Zhu and Li (2018)</w:t>
            </w:r>
          </w:p>
        </w:tc>
        <w:tc>
          <w:tcPr>
            <w:tcW w:w="0" w:type="auto"/>
          </w:tcPr>
          <w:p w14:paraId="43F2938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Heatwave</w:t>
            </w:r>
          </w:p>
        </w:tc>
        <w:tc>
          <w:tcPr>
            <w:tcW w:w="3117" w:type="dxa"/>
          </w:tcPr>
          <w:p w14:paraId="4C1193AE"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Training data from 1960 to 1999; independent forecast period from 2000 to 2013.</w:t>
            </w:r>
          </w:p>
          <w:p w14:paraId="595B4F8E"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China</w:t>
            </w:r>
          </w:p>
        </w:tc>
        <w:tc>
          <w:tcPr>
            <w:tcW w:w="2871" w:type="dxa"/>
          </w:tcPr>
          <w:p w14:paraId="1F07D028"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STPM</w:t>
            </w:r>
          </w:p>
        </w:tc>
        <w:tc>
          <w:tcPr>
            <w:tcW w:w="0" w:type="auto"/>
          </w:tcPr>
          <w:p w14:paraId="09C952A5"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STPMs perform poorly in reproducing 10–30-day SAT, with a useful skill for the first two modes only within a 15-day lead time.</w:t>
            </w:r>
          </w:p>
          <w:p w14:paraId="0B743BB1"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Over a large part of China, STPMs can forecast more than 30% of heat waves within a 15-day lead time.</w:t>
            </w:r>
          </w:p>
        </w:tc>
      </w:tr>
      <w:tr w:rsidR="007E0B7F" w:rsidRPr="00E44923" w14:paraId="56C61131" w14:textId="77777777" w:rsidTr="009446D6">
        <w:tc>
          <w:tcPr>
            <w:tcW w:w="0" w:type="auto"/>
          </w:tcPr>
          <w:p w14:paraId="1E80A2A8" w14:textId="57E9CF05"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 xml:space="preserve">Mandal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w:t>
            </w:r>
          </w:p>
        </w:tc>
        <w:tc>
          <w:tcPr>
            <w:tcW w:w="0" w:type="auto"/>
          </w:tcPr>
          <w:p w14:paraId="47ECC43F"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Heatwave</w:t>
            </w:r>
          </w:p>
        </w:tc>
        <w:tc>
          <w:tcPr>
            <w:tcW w:w="3117" w:type="dxa"/>
          </w:tcPr>
          <w:p w14:paraId="61318E16"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Analysis of heat wave spells from 1981 to 2018, focusing on real-time prediction during the heat wave season (March to June).</w:t>
            </w:r>
          </w:p>
          <w:p w14:paraId="4524BCBB"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India</w:t>
            </w:r>
          </w:p>
        </w:tc>
        <w:tc>
          <w:tcPr>
            <w:tcW w:w="2871" w:type="dxa"/>
          </w:tcPr>
          <w:p w14:paraId="2D692A80"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CFSv2</w:t>
            </w:r>
          </w:p>
        </w:tc>
        <w:tc>
          <w:tcPr>
            <w:tcW w:w="0" w:type="auto"/>
          </w:tcPr>
          <w:p w14:paraId="36903ECD"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Forecast verification for heat wave spells from 2003 to 2018 shows that the system can effectively indicate the onset, duration, and demise of heat wave spells with adequate lead time, though there are some spatiotemporal errors.</w:t>
            </w:r>
          </w:p>
        </w:tc>
      </w:tr>
      <w:tr w:rsidR="007E0B7F" w:rsidRPr="00E44923" w14:paraId="3C8D157B" w14:textId="77777777" w:rsidTr="009446D6">
        <w:trPr>
          <w:trHeight w:val="456"/>
        </w:trPr>
        <w:tc>
          <w:tcPr>
            <w:tcW w:w="0" w:type="auto"/>
          </w:tcPr>
          <w:p w14:paraId="078E7306" w14:textId="0BCB1CD5"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Zhang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0" w:type="auto"/>
          </w:tcPr>
          <w:p w14:paraId="7EDF6812"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Heatwave</w:t>
            </w:r>
          </w:p>
        </w:tc>
        <w:tc>
          <w:tcPr>
            <w:tcW w:w="3117" w:type="dxa"/>
          </w:tcPr>
          <w:p w14:paraId="5BA871E6"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July, August, and September (JAS) of 1999–2010</w:t>
            </w:r>
          </w:p>
          <w:p w14:paraId="68266C07"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China</w:t>
            </w:r>
          </w:p>
        </w:tc>
        <w:tc>
          <w:tcPr>
            <w:tcW w:w="2871" w:type="dxa"/>
          </w:tcPr>
          <w:p w14:paraId="250B42D4"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Four single-model ensembles (ECMWF, CMA, UKMO, and NCEP), MME, Bayesian model averaging (BMA)</w:t>
            </w:r>
          </w:p>
          <w:p w14:paraId="3C0F8347"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Heatwave index for construction and verification.</w:t>
            </w:r>
          </w:p>
          <w:p w14:paraId="3A2C007A"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S2S database.</w:t>
            </w:r>
          </w:p>
        </w:tc>
        <w:tc>
          <w:tcPr>
            <w:tcW w:w="0" w:type="auto"/>
          </w:tcPr>
          <w:p w14:paraId="451B1F50"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BMA improves the reliability of probabilistic forecasts and is effective for extended-range HW forecasting.</w:t>
            </w:r>
          </w:p>
        </w:tc>
      </w:tr>
      <w:tr w:rsidR="007E0B7F" w:rsidRPr="00E44923" w14:paraId="54276095" w14:textId="77777777" w:rsidTr="009446D6">
        <w:tc>
          <w:tcPr>
            <w:tcW w:w="0" w:type="auto"/>
          </w:tcPr>
          <w:p w14:paraId="0B7DEC39" w14:textId="34FBD9B9" w:rsidR="009446D6" w:rsidRPr="00E44923" w:rsidRDefault="004F6124" w:rsidP="00A53B65">
            <w:pPr>
              <w:spacing w:after="0" w:line="360" w:lineRule="auto"/>
              <w:rPr>
                <w:rFonts w:ascii="Arial" w:hAnsi="Arial" w:cs="Arial"/>
                <w:color w:val="0D0D0D" w:themeColor="text1" w:themeTint="F2"/>
                <w:szCs w:val="22"/>
                <w:shd w:val="clear" w:color="auto" w:fill="FFFFFF"/>
              </w:rPr>
            </w:pPr>
            <w:r w:rsidRPr="00E44923">
              <w:rPr>
                <w:rFonts w:ascii="Arial" w:hAnsi="Arial" w:cs="Arial"/>
                <w:color w:val="0D0D0D" w:themeColor="text1" w:themeTint="F2"/>
                <w:szCs w:val="22"/>
                <w:shd w:val="clear" w:color="auto" w:fill="FFFFFF"/>
              </w:rPr>
              <w:t xml:space="preserve">Li </w:t>
            </w:r>
            <w:r w:rsidR="00D72703" w:rsidRPr="00E44923">
              <w:rPr>
                <w:rFonts w:ascii="Arial" w:hAnsi="Arial" w:cs="Arial"/>
                <w:i/>
                <w:iCs/>
                <w:color w:val="0D0D0D" w:themeColor="text1" w:themeTint="F2"/>
                <w:szCs w:val="22"/>
                <w:shd w:val="clear" w:color="auto" w:fill="FFFFFF"/>
              </w:rPr>
              <w:t>et al.,</w:t>
            </w:r>
            <w:r w:rsidRPr="00E44923">
              <w:rPr>
                <w:rFonts w:ascii="Arial" w:hAnsi="Arial" w:cs="Arial"/>
                <w:color w:val="0D0D0D" w:themeColor="text1" w:themeTint="F2"/>
                <w:szCs w:val="22"/>
                <w:shd w:val="clear" w:color="auto" w:fill="FFFFFF"/>
              </w:rPr>
              <w:t xml:space="preserve"> (2024)</w:t>
            </w:r>
          </w:p>
        </w:tc>
        <w:tc>
          <w:tcPr>
            <w:tcW w:w="0" w:type="auto"/>
          </w:tcPr>
          <w:p w14:paraId="78DC06B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Extreme heat events (EHE)</w:t>
            </w:r>
          </w:p>
        </w:tc>
        <w:tc>
          <w:tcPr>
            <w:tcW w:w="3117" w:type="dxa"/>
          </w:tcPr>
          <w:p w14:paraId="2BF9B926"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South China, with case studies including June 4 -6, 1999; August 19 - 29, 2009; and August 3 - 5, 2010.</w:t>
            </w:r>
          </w:p>
        </w:tc>
        <w:tc>
          <w:tcPr>
            <w:tcW w:w="2871" w:type="dxa"/>
          </w:tcPr>
          <w:p w14:paraId="2640C298"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Data from ECMWF, NCEP, and China Meteorological Administration (CMA) models.</w:t>
            </w:r>
          </w:p>
        </w:tc>
        <w:tc>
          <w:tcPr>
            <w:tcW w:w="0" w:type="auto"/>
          </w:tcPr>
          <w:p w14:paraId="1D76084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ECMWF has the best forecasting skill for EHEs, followed by NCEP, with CMA having the poorest skill.</w:t>
            </w:r>
          </w:p>
        </w:tc>
      </w:tr>
      <w:tr w:rsidR="007E0B7F" w:rsidRPr="00E44923" w14:paraId="7248219A" w14:textId="77777777" w:rsidTr="009446D6">
        <w:tc>
          <w:tcPr>
            <w:tcW w:w="0" w:type="auto"/>
          </w:tcPr>
          <w:p w14:paraId="05B10C19"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Zhu and Lin (2017)</w:t>
            </w:r>
          </w:p>
        </w:tc>
        <w:tc>
          <w:tcPr>
            <w:tcW w:w="0" w:type="auto"/>
          </w:tcPr>
          <w:p w14:paraId="7429D7FF"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Forecast winter surface air temperature (SAT) and extremely cold days</w:t>
            </w:r>
          </w:p>
        </w:tc>
        <w:tc>
          <w:tcPr>
            <w:tcW w:w="3117" w:type="dxa"/>
          </w:tcPr>
          <w:p w14:paraId="04504554"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Training data from 1960/1961 to 1999/2000; independent forecast period from 2000/2001 to 2012/2013; China.</w:t>
            </w:r>
          </w:p>
        </w:tc>
        <w:tc>
          <w:tcPr>
            <w:tcW w:w="2871" w:type="dxa"/>
          </w:tcPr>
          <w:p w14:paraId="16806C61" w14:textId="77777777" w:rsidR="009446D6" w:rsidRPr="00E44923" w:rsidRDefault="004F6124" w:rsidP="00A53B65">
            <w:pPr>
              <w:pStyle w:val="ListParagraph"/>
              <w:numPr>
                <w:ilvl w:val="0"/>
                <w:numId w:val="7"/>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Statistical spatial-temporal projection model (STPM).</w:t>
            </w:r>
          </w:p>
        </w:tc>
        <w:tc>
          <w:tcPr>
            <w:tcW w:w="0" w:type="auto"/>
          </w:tcPr>
          <w:p w14:paraId="57CA75F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Over 63% of total forecasts had a significant pattern correlation between forecasted and observed SAT anomalies.</w:t>
            </w:r>
          </w:p>
          <w:p w14:paraId="0D1B7AF1"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model can predict local ECDs with over 30% accuracy in most parts of China at least 15 days in advance, except for </w:t>
            </w:r>
            <w:r w:rsidRPr="00E44923">
              <w:rPr>
                <w:rFonts w:ascii="Arial" w:hAnsi="Arial" w:cs="Arial"/>
                <w:color w:val="0D0D0D" w:themeColor="text1" w:themeTint="F2"/>
                <w:szCs w:val="22"/>
              </w:rPr>
              <w:lastRenderedPageBreak/>
              <w:t>southeastern China and the Tibetan Plateau.</w:t>
            </w:r>
          </w:p>
        </w:tc>
      </w:tr>
    </w:tbl>
    <w:p w14:paraId="543DF7AC" w14:textId="77777777" w:rsidR="007F0587" w:rsidRPr="00E44923" w:rsidRDefault="007F0587" w:rsidP="00A53B65">
      <w:pPr>
        <w:spacing w:line="360" w:lineRule="auto"/>
        <w:ind w:firstLine="720"/>
        <w:jc w:val="both"/>
        <w:rPr>
          <w:rFonts w:ascii="Arial" w:hAnsi="Arial" w:cs="Arial"/>
          <w:color w:val="0D0D0D" w:themeColor="text1" w:themeTint="F2"/>
          <w:szCs w:val="22"/>
        </w:rPr>
      </w:pPr>
    </w:p>
    <w:p w14:paraId="68535C85" w14:textId="094509A2" w:rsidR="000447BD" w:rsidRPr="00E44923" w:rsidRDefault="007E0B7F" w:rsidP="00A53B65">
      <w:pPr>
        <w:spacing w:line="360" w:lineRule="auto"/>
        <w:jc w:val="both"/>
        <w:rPr>
          <w:rFonts w:ascii="Arial" w:hAnsi="Arial" w:cs="Arial"/>
          <w:color w:val="0D0D0D" w:themeColor="text1" w:themeTint="F2"/>
          <w:szCs w:val="22"/>
        </w:rPr>
      </w:pPr>
      <w:proofErr w:type="gramStart"/>
      <w:r w:rsidRPr="00E44923">
        <w:rPr>
          <w:rFonts w:ascii="Arial" w:hAnsi="Arial" w:cs="Arial"/>
          <w:color w:val="0D0D0D" w:themeColor="text1" w:themeTint="F2"/>
          <w:szCs w:val="22"/>
        </w:rPr>
        <w:t>Table  3</w:t>
      </w:r>
      <w:proofErr w:type="gramEnd"/>
      <w:r w:rsidRPr="00E44923">
        <w:rPr>
          <w:rFonts w:ascii="Arial" w:hAnsi="Arial" w:cs="Arial"/>
          <w:color w:val="0D0D0D" w:themeColor="text1" w:themeTint="F2"/>
          <w:szCs w:val="22"/>
        </w:rPr>
        <w:t xml:space="preserve">: </w:t>
      </w:r>
      <w:r w:rsidR="004F6124" w:rsidRPr="00E44923">
        <w:rPr>
          <w:rFonts w:ascii="Arial" w:hAnsi="Arial" w:cs="Arial"/>
          <w:color w:val="0D0D0D" w:themeColor="text1" w:themeTint="F2"/>
          <w:szCs w:val="22"/>
        </w:rPr>
        <w:t>Key reference article of ERP for other events:</w:t>
      </w:r>
    </w:p>
    <w:tbl>
      <w:tblPr>
        <w:tblStyle w:val="TableGrid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017"/>
      </w:tblGrid>
      <w:tr w:rsidR="007E0B7F" w:rsidRPr="00E44923" w14:paraId="5D54DF77" w14:textId="77777777" w:rsidTr="007E0B7F">
        <w:trPr>
          <w:jc w:val="center"/>
        </w:trPr>
        <w:tc>
          <w:tcPr>
            <w:tcW w:w="0" w:type="auto"/>
            <w:tcBorders>
              <w:top w:val="single" w:sz="4" w:space="0" w:color="auto"/>
              <w:bottom w:val="single" w:sz="4" w:space="0" w:color="auto"/>
            </w:tcBorders>
          </w:tcPr>
          <w:p w14:paraId="61114EC1" w14:textId="77777777" w:rsidR="000447BD" w:rsidRPr="00E44923" w:rsidRDefault="004F6124" w:rsidP="00A53B65">
            <w:pPr>
              <w:spacing w:after="0" w:line="360" w:lineRule="auto"/>
              <w:rPr>
                <w:rFonts w:ascii="Arial" w:hAnsi="Arial" w:cs="Arial"/>
                <w:b/>
                <w:bCs/>
                <w:color w:val="0D0D0D" w:themeColor="text1" w:themeTint="F2"/>
              </w:rPr>
            </w:pPr>
            <w:r w:rsidRPr="00E44923">
              <w:rPr>
                <w:rFonts w:ascii="Arial" w:hAnsi="Arial" w:cs="Arial"/>
                <w:b/>
                <w:bCs/>
                <w:color w:val="0D0D0D" w:themeColor="text1" w:themeTint="F2"/>
              </w:rPr>
              <w:t>Variable</w:t>
            </w:r>
          </w:p>
        </w:tc>
        <w:tc>
          <w:tcPr>
            <w:tcW w:w="0" w:type="auto"/>
            <w:tcBorders>
              <w:top w:val="single" w:sz="4" w:space="0" w:color="auto"/>
              <w:bottom w:val="single" w:sz="4" w:space="0" w:color="auto"/>
            </w:tcBorders>
          </w:tcPr>
          <w:p w14:paraId="7007264A" w14:textId="77777777" w:rsidR="000447BD" w:rsidRPr="00E44923" w:rsidRDefault="004F6124" w:rsidP="00A53B65">
            <w:pPr>
              <w:spacing w:after="0" w:line="360" w:lineRule="auto"/>
              <w:rPr>
                <w:rFonts w:ascii="Arial" w:hAnsi="Arial" w:cs="Arial"/>
                <w:b/>
                <w:bCs/>
                <w:color w:val="0D0D0D" w:themeColor="text1" w:themeTint="F2"/>
              </w:rPr>
            </w:pPr>
            <w:r w:rsidRPr="00E44923">
              <w:rPr>
                <w:rFonts w:ascii="Arial" w:hAnsi="Arial" w:cs="Arial"/>
                <w:b/>
                <w:bCs/>
                <w:color w:val="0D0D0D" w:themeColor="text1" w:themeTint="F2"/>
              </w:rPr>
              <w:t>Reference article</w:t>
            </w:r>
          </w:p>
        </w:tc>
      </w:tr>
      <w:tr w:rsidR="007E0B7F" w:rsidRPr="00E44923" w14:paraId="5D9565D2" w14:textId="77777777" w:rsidTr="007E0B7F">
        <w:trPr>
          <w:jc w:val="center"/>
        </w:trPr>
        <w:tc>
          <w:tcPr>
            <w:tcW w:w="0" w:type="auto"/>
            <w:tcBorders>
              <w:top w:val="single" w:sz="4" w:space="0" w:color="auto"/>
            </w:tcBorders>
          </w:tcPr>
          <w:p w14:paraId="1C0DB85E"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Arctic Oscillation</w:t>
            </w:r>
          </w:p>
        </w:tc>
        <w:tc>
          <w:tcPr>
            <w:tcW w:w="0" w:type="auto"/>
            <w:tcBorders>
              <w:top w:val="single" w:sz="4" w:space="0" w:color="auto"/>
            </w:tcBorders>
          </w:tcPr>
          <w:p w14:paraId="5566A359" w14:textId="5754C638"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shd w:val="clear" w:color="auto" w:fill="FFFFFF"/>
              </w:rPr>
              <w:t xml:space="preserve">Baldwin </w:t>
            </w:r>
            <w:r w:rsidR="00D72703" w:rsidRPr="00E44923">
              <w:rPr>
                <w:rFonts w:ascii="Arial" w:hAnsi="Arial" w:cs="Arial"/>
                <w:i/>
                <w:iCs/>
                <w:color w:val="0D0D0D" w:themeColor="text1" w:themeTint="F2"/>
                <w:shd w:val="clear" w:color="auto" w:fill="FFFFFF"/>
              </w:rPr>
              <w:t>et al.,</w:t>
            </w:r>
            <w:r w:rsidRPr="00E44923">
              <w:rPr>
                <w:rFonts w:ascii="Arial" w:hAnsi="Arial" w:cs="Arial"/>
                <w:color w:val="0D0D0D" w:themeColor="text1" w:themeTint="F2"/>
                <w:shd w:val="clear" w:color="auto" w:fill="FFFFFF"/>
              </w:rPr>
              <w:t xml:space="preserve"> (2003)</w:t>
            </w:r>
          </w:p>
        </w:tc>
      </w:tr>
      <w:tr w:rsidR="007E0B7F" w:rsidRPr="00E44923" w14:paraId="4098FBCF" w14:textId="77777777" w:rsidTr="007E0B7F">
        <w:trPr>
          <w:jc w:val="center"/>
        </w:trPr>
        <w:tc>
          <w:tcPr>
            <w:tcW w:w="0" w:type="auto"/>
          </w:tcPr>
          <w:p w14:paraId="477016FC"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Runoff &amp; Streamflow</w:t>
            </w:r>
          </w:p>
        </w:tc>
        <w:tc>
          <w:tcPr>
            <w:tcW w:w="0" w:type="auto"/>
          </w:tcPr>
          <w:p w14:paraId="322E9864" w14:textId="7EA52BBD"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Day (1985); Liu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(2019)</w:t>
            </w:r>
          </w:p>
        </w:tc>
      </w:tr>
      <w:tr w:rsidR="007E0B7F" w:rsidRPr="00E44923" w14:paraId="35A458C3" w14:textId="77777777" w:rsidTr="007E0B7F">
        <w:trPr>
          <w:jc w:val="center"/>
        </w:trPr>
        <w:tc>
          <w:tcPr>
            <w:tcW w:w="0" w:type="auto"/>
          </w:tcPr>
          <w:p w14:paraId="480118FA"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Streamflow temperature</w:t>
            </w:r>
          </w:p>
        </w:tc>
        <w:tc>
          <w:tcPr>
            <w:tcW w:w="0" w:type="auto"/>
          </w:tcPr>
          <w:p w14:paraId="6D28146C" w14:textId="0E85D729"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Padron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(2024)</w:t>
            </w:r>
          </w:p>
        </w:tc>
      </w:tr>
      <w:tr w:rsidR="007E0B7F" w:rsidRPr="00E44923" w14:paraId="1A09DEA5" w14:textId="77777777" w:rsidTr="007E0B7F">
        <w:trPr>
          <w:jc w:val="center"/>
        </w:trPr>
        <w:tc>
          <w:tcPr>
            <w:tcW w:w="0" w:type="auto"/>
          </w:tcPr>
          <w:p w14:paraId="7CEE0F79"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Arctic sea ice</w:t>
            </w:r>
          </w:p>
        </w:tc>
        <w:tc>
          <w:tcPr>
            <w:tcW w:w="0" w:type="auto"/>
          </w:tcPr>
          <w:p w14:paraId="53D47E9B" w14:textId="5C13BDD9"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Liu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(2021)</w:t>
            </w:r>
          </w:p>
        </w:tc>
      </w:tr>
      <w:tr w:rsidR="007E0B7F" w:rsidRPr="00E44923" w14:paraId="6600FA82" w14:textId="77777777" w:rsidTr="007E0B7F">
        <w:trPr>
          <w:jc w:val="center"/>
        </w:trPr>
        <w:tc>
          <w:tcPr>
            <w:tcW w:w="0" w:type="auto"/>
          </w:tcPr>
          <w:p w14:paraId="07AF2DB9"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Sudden stratospheric warmings</w:t>
            </w:r>
          </w:p>
        </w:tc>
        <w:tc>
          <w:tcPr>
            <w:tcW w:w="0" w:type="auto"/>
          </w:tcPr>
          <w:p w14:paraId="6679B426" w14:textId="77777777" w:rsidR="000447BD" w:rsidRPr="00E44923" w:rsidRDefault="004F6124" w:rsidP="00A53B65">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rPr>
              <w:t>Karpechko</w:t>
            </w:r>
            <w:proofErr w:type="spellEnd"/>
            <w:r w:rsidRPr="00E44923">
              <w:rPr>
                <w:rFonts w:ascii="Arial" w:hAnsi="Arial" w:cs="Arial"/>
                <w:color w:val="0D0D0D" w:themeColor="text1" w:themeTint="F2"/>
              </w:rPr>
              <w:t xml:space="preserve"> (2018)</w:t>
            </w:r>
          </w:p>
        </w:tc>
      </w:tr>
      <w:tr w:rsidR="007E0B7F" w:rsidRPr="00E44923" w14:paraId="2EA33F3A" w14:textId="77777777" w:rsidTr="007E0B7F">
        <w:trPr>
          <w:jc w:val="center"/>
        </w:trPr>
        <w:tc>
          <w:tcPr>
            <w:tcW w:w="0" w:type="auto"/>
          </w:tcPr>
          <w:p w14:paraId="4E972BDC"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PM2.5</w:t>
            </w:r>
          </w:p>
        </w:tc>
        <w:tc>
          <w:tcPr>
            <w:tcW w:w="0" w:type="auto"/>
          </w:tcPr>
          <w:p w14:paraId="187A8093" w14:textId="18AF36DF"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Yu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2023</w:t>
            </w:r>
          </w:p>
        </w:tc>
      </w:tr>
    </w:tbl>
    <w:p w14:paraId="47BD53E9" w14:textId="77777777" w:rsidR="000447BD" w:rsidRPr="00E44923" w:rsidRDefault="000447BD" w:rsidP="00A53B65">
      <w:pPr>
        <w:spacing w:line="360" w:lineRule="auto"/>
        <w:ind w:firstLine="720"/>
        <w:jc w:val="both"/>
        <w:rPr>
          <w:rFonts w:ascii="Arial" w:hAnsi="Arial" w:cs="Arial"/>
          <w:color w:val="0D0D0D" w:themeColor="text1" w:themeTint="F2"/>
          <w:szCs w:val="22"/>
        </w:rPr>
      </w:pPr>
    </w:p>
    <w:p w14:paraId="4548E231" w14:textId="724E0CCE" w:rsidR="00B33ECA" w:rsidRPr="00E44923" w:rsidRDefault="007E0B7F" w:rsidP="00A53B65">
      <w:pPr>
        <w:spacing w:before="240" w:line="360" w:lineRule="auto"/>
        <w:rPr>
          <w:rFonts w:ascii="Arial" w:hAnsi="Arial" w:cs="Arial"/>
          <w:b/>
          <w:bCs/>
          <w:color w:val="0D0D0D" w:themeColor="text1" w:themeTint="F2"/>
          <w:szCs w:val="22"/>
        </w:rPr>
      </w:pPr>
      <w:proofErr w:type="gramStart"/>
      <w:r w:rsidRPr="00E44923">
        <w:rPr>
          <w:rFonts w:ascii="Arial" w:hAnsi="Arial" w:cs="Arial"/>
          <w:b/>
          <w:bCs/>
          <w:color w:val="0D0D0D" w:themeColor="text1" w:themeTint="F2"/>
          <w:szCs w:val="22"/>
        </w:rPr>
        <w:t>Table  4</w:t>
      </w:r>
      <w:proofErr w:type="gramEnd"/>
      <w:r w:rsidRPr="00E44923">
        <w:rPr>
          <w:rFonts w:ascii="Arial" w:hAnsi="Arial" w:cs="Arial"/>
          <w:b/>
          <w:bCs/>
          <w:color w:val="0D0D0D" w:themeColor="text1" w:themeTint="F2"/>
          <w:szCs w:val="22"/>
        </w:rPr>
        <w:t xml:space="preserve"> :</w:t>
      </w:r>
      <w:r w:rsidR="004F6124" w:rsidRPr="00E44923">
        <w:rPr>
          <w:rFonts w:ascii="Arial" w:hAnsi="Arial" w:cs="Arial"/>
          <w:b/>
          <w:bCs/>
          <w:color w:val="0D0D0D" w:themeColor="text1" w:themeTint="F2"/>
          <w:szCs w:val="22"/>
        </w:rPr>
        <w:t xml:space="preserve">Application </w:t>
      </w:r>
      <w:r w:rsidR="004F6124" w:rsidRPr="00E44923">
        <w:rPr>
          <w:rFonts w:ascii="Arial" w:eastAsia="Calibri" w:hAnsi="Arial" w:cs="Arial"/>
          <w:b/>
          <w:bCs/>
          <w:color w:val="0D0D0D" w:themeColor="text1" w:themeTint="F2"/>
          <w:szCs w:val="22"/>
        </w:rPr>
        <w:t xml:space="preserve">of </w:t>
      </w:r>
      <w:r w:rsidR="004F6124" w:rsidRPr="00E44923">
        <w:rPr>
          <w:rFonts w:ascii="Arial" w:hAnsi="Arial" w:cs="Arial"/>
          <w:b/>
          <w:bCs/>
          <w:color w:val="0D0D0D" w:themeColor="text1" w:themeTint="F2"/>
          <w:szCs w:val="22"/>
        </w:rPr>
        <w:t xml:space="preserve">ERWF products with </w:t>
      </w:r>
      <w:r w:rsidR="004F6124" w:rsidRPr="00E44923">
        <w:rPr>
          <w:rFonts w:ascii="Arial" w:eastAsia="Calibri" w:hAnsi="Arial" w:cs="Arial"/>
          <w:b/>
          <w:bCs/>
          <w:color w:val="0D0D0D" w:themeColor="text1" w:themeTint="F2"/>
          <w:szCs w:val="22"/>
        </w:rPr>
        <w:t xml:space="preserve">the </w:t>
      </w:r>
      <w:r w:rsidR="004F6124" w:rsidRPr="00E44923">
        <w:rPr>
          <w:rFonts w:ascii="Arial" w:hAnsi="Arial" w:cs="Arial"/>
          <w:b/>
          <w:bCs/>
          <w:color w:val="0D0D0D" w:themeColor="text1" w:themeTint="F2"/>
          <w:szCs w:val="22"/>
        </w:rPr>
        <w:t xml:space="preserve">integration of </w:t>
      </w:r>
      <w:r w:rsidR="004F6124" w:rsidRPr="00E44923">
        <w:rPr>
          <w:rFonts w:ascii="Arial" w:eastAsia="Calibri" w:hAnsi="Arial" w:cs="Arial"/>
          <w:b/>
          <w:bCs/>
          <w:color w:val="0D0D0D" w:themeColor="text1" w:themeTint="F2"/>
          <w:szCs w:val="22"/>
        </w:rPr>
        <w:t>crop</w:t>
      </w:r>
      <w:r w:rsidR="004F6124" w:rsidRPr="00E44923">
        <w:rPr>
          <w:rFonts w:ascii="Arial" w:hAnsi="Arial" w:cs="Arial"/>
          <w:b/>
          <w:bCs/>
          <w:color w:val="0D0D0D" w:themeColor="text1" w:themeTint="F2"/>
          <w:szCs w:val="22"/>
        </w:rPr>
        <w:t xml:space="preserve"> simulation models: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611"/>
        <w:gridCol w:w="1414"/>
        <w:gridCol w:w="1744"/>
        <w:gridCol w:w="3118"/>
      </w:tblGrid>
      <w:tr w:rsidR="007E0B7F" w:rsidRPr="00E44923" w14:paraId="38A89413" w14:textId="77777777" w:rsidTr="00B02FFF">
        <w:trPr>
          <w:jc w:val="center"/>
        </w:trPr>
        <w:tc>
          <w:tcPr>
            <w:tcW w:w="1863" w:type="dxa"/>
            <w:tcBorders>
              <w:top w:val="single" w:sz="4" w:space="0" w:color="auto"/>
              <w:bottom w:val="single" w:sz="4" w:space="0" w:color="auto"/>
            </w:tcBorders>
          </w:tcPr>
          <w:p w14:paraId="181A55C2"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Reference article</w:t>
            </w:r>
          </w:p>
        </w:tc>
        <w:tc>
          <w:tcPr>
            <w:tcW w:w="1355" w:type="dxa"/>
            <w:tcBorders>
              <w:top w:val="single" w:sz="4" w:space="0" w:color="auto"/>
              <w:bottom w:val="single" w:sz="4" w:space="0" w:color="auto"/>
            </w:tcBorders>
          </w:tcPr>
          <w:p w14:paraId="4558B2CA"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Study area</w:t>
            </w:r>
          </w:p>
        </w:tc>
        <w:tc>
          <w:tcPr>
            <w:tcW w:w="1270" w:type="dxa"/>
            <w:tcBorders>
              <w:top w:val="single" w:sz="4" w:space="0" w:color="auto"/>
              <w:bottom w:val="single" w:sz="4" w:space="0" w:color="auto"/>
            </w:tcBorders>
          </w:tcPr>
          <w:p w14:paraId="76CFDBE0"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Application</w:t>
            </w:r>
          </w:p>
        </w:tc>
        <w:tc>
          <w:tcPr>
            <w:tcW w:w="1744" w:type="dxa"/>
            <w:tcBorders>
              <w:top w:val="single" w:sz="4" w:space="0" w:color="auto"/>
              <w:bottom w:val="single" w:sz="4" w:space="0" w:color="auto"/>
            </w:tcBorders>
          </w:tcPr>
          <w:p w14:paraId="1F33212E"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Techniques</w:t>
            </w:r>
          </w:p>
        </w:tc>
        <w:tc>
          <w:tcPr>
            <w:tcW w:w="3118" w:type="dxa"/>
            <w:tcBorders>
              <w:top w:val="single" w:sz="4" w:space="0" w:color="auto"/>
              <w:bottom w:val="single" w:sz="4" w:space="0" w:color="auto"/>
            </w:tcBorders>
          </w:tcPr>
          <w:p w14:paraId="078C9E7B"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Findings</w:t>
            </w:r>
          </w:p>
        </w:tc>
      </w:tr>
      <w:tr w:rsidR="007E0B7F" w:rsidRPr="00E44923" w14:paraId="7E19FCCE" w14:textId="77777777" w:rsidTr="00B02FFF">
        <w:trPr>
          <w:jc w:val="center"/>
        </w:trPr>
        <w:tc>
          <w:tcPr>
            <w:tcW w:w="1863" w:type="dxa"/>
            <w:tcBorders>
              <w:top w:val="single" w:sz="4" w:space="0" w:color="auto"/>
            </w:tcBorders>
          </w:tcPr>
          <w:p w14:paraId="36456A01" w14:textId="5E47651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color w:val="0D0D0D" w:themeColor="text1" w:themeTint="F2"/>
                <w:szCs w:val="22"/>
              </w:rPr>
              <w:t xml:space="preserve">Ghosh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w:t>
            </w:r>
            <w:r w:rsidR="00150540" w:rsidRPr="00E44923">
              <w:rPr>
                <w:rFonts w:ascii="Arial" w:hAnsi="Arial" w:cs="Arial"/>
                <w:color w:val="0D0D0D" w:themeColor="text1" w:themeTint="F2"/>
                <w:szCs w:val="22"/>
              </w:rPr>
              <w:t>4</w:t>
            </w:r>
            <w:r w:rsidRPr="00E44923">
              <w:rPr>
                <w:rFonts w:ascii="Arial" w:hAnsi="Arial" w:cs="Arial"/>
                <w:color w:val="0D0D0D" w:themeColor="text1" w:themeTint="F2"/>
                <w:szCs w:val="22"/>
              </w:rPr>
              <w:t>)</w:t>
            </w:r>
          </w:p>
        </w:tc>
        <w:tc>
          <w:tcPr>
            <w:tcW w:w="1355" w:type="dxa"/>
            <w:tcBorders>
              <w:top w:val="single" w:sz="4" w:space="0" w:color="auto"/>
            </w:tcBorders>
          </w:tcPr>
          <w:p w14:paraId="20007EAF"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Bhubaneswar, India.</w:t>
            </w:r>
          </w:p>
        </w:tc>
        <w:tc>
          <w:tcPr>
            <w:tcW w:w="1270" w:type="dxa"/>
            <w:tcBorders>
              <w:top w:val="single" w:sz="4" w:space="0" w:color="auto"/>
            </w:tcBorders>
          </w:tcPr>
          <w:p w14:paraId="4E08BCA4"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Improve rice grain yield prediction skill</w:t>
            </w:r>
          </w:p>
        </w:tc>
        <w:tc>
          <w:tcPr>
            <w:tcW w:w="1744" w:type="dxa"/>
            <w:tcBorders>
              <w:top w:val="single" w:sz="4" w:space="0" w:color="auto"/>
            </w:tcBorders>
          </w:tcPr>
          <w:p w14:paraId="4039BAD7"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IITM-IMD ERP integrated into the CERES-rice model in DSSAT.</w:t>
            </w:r>
          </w:p>
        </w:tc>
        <w:tc>
          <w:tcPr>
            <w:tcW w:w="3118" w:type="dxa"/>
            <w:tcBorders>
              <w:top w:val="single" w:sz="4" w:space="0" w:color="auto"/>
            </w:tcBorders>
          </w:tcPr>
          <w:p w14:paraId="01C1AD17"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Effectively capture year-to-year variability in observed rice yield</w:t>
            </w:r>
          </w:p>
        </w:tc>
      </w:tr>
      <w:tr w:rsidR="007E0B7F" w:rsidRPr="00E44923" w14:paraId="33C4FD29" w14:textId="77777777" w:rsidTr="00B02FFF">
        <w:trPr>
          <w:jc w:val="center"/>
        </w:trPr>
        <w:tc>
          <w:tcPr>
            <w:tcW w:w="1863" w:type="dxa"/>
          </w:tcPr>
          <w:p w14:paraId="4604668B" w14:textId="7687838D" w:rsidR="00B33ECA"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Akhtar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1355" w:type="dxa"/>
          </w:tcPr>
          <w:p w14:paraId="31DECF12"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Gangetic West Bengal, India.</w:t>
            </w:r>
          </w:p>
        </w:tc>
        <w:tc>
          <w:tcPr>
            <w:tcW w:w="1270" w:type="dxa"/>
          </w:tcPr>
          <w:p w14:paraId="4BBAA095"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Predicting Kharif rice yield</w:t>
            </w:r>
          </w:p>
        </w:tc>
        <w:tc>
          <w:tcPr>
            <w:tcW w:w="1744" w:type="dxa"/>
          </w:tcPr>
          <w:p w14:paraId="51AF5310"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IITM-IMD ERP integrated into the CERES-rice model in DSSAT.</w:t>
            </w:r>
          </w:p>
        </w:tc>
        <w:tc>
          <w:tcPr>
            <w:tcW w:w="3118" w:type="dxa"/>
          </w:tcPr>
          <w:p w14:paraId="4E126BF9"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The ERP-driven crop model outperforms the climatology-driven model in capturing the interannual variability of rice yield and better predicting below- and above-normal yield categories.</w:t>
            </w:r>
          </w:p>
        </w:tc>
      </w:tr>
      <w:tr w:rsidR="00A53B65" w:rsidRPr="00E44923" w14:paraId="52FBF784" w14:textId="77777777" w:rsidTr="00B02FFF">
        <w:trPr>
          <w:jc w:val="center"/>
        </w:trPr>
        <w:tc>
          <w:tcPr>
            <w:tcW w:w="1863" w:type="dxa"/>
            <w:tcBorders>
              <w:bottom w:val="single" w:sz="4" w:space="0" w:color="auto"/>
            </w:tcBorders>
          </w:tcPr>
          <w:p w14:paraId="2730CF3C" w14:textId="5EFF10EE" w:rsidR="00B33ECA" w:rsidRPr="00E44923" w:rsidRDefault="004F6124" w:rsidP="00A53B65">
            <w:pPr>
              <w:spacing w:line="360" w:lineRule="auto"/>
              <w:rPr>
                <w:rFonts w:ascii="Arial" w:hAnsi="Arial" w:cs="Arial"/>
                <w:color w:val="0D0D0D" w:themeColor="text1" w:themeTint="F2"/>
                <w:szCs w:val="22"/>
              </w:rPr>
            </w:pPr>
            <w:proofErr w:type="spellStart"/>
            <w:r w:rsidRPr="00E44923">
              <w:rPr>
                <w:rFonts w:ascii="Arial" w:hAnsi="Arial" w:cs="Arial"/>
                <w:color w:val="0D0D0D" w:themeColor="text1" w:themeTint="F2"/>
                <w:szCs w:val="22"/>
              </w:rPr>
              <w:t>Dhekale</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1355" w:type="dxa"/>
            <w:tcBorders>
              <w:bottom w:val="single" w:sz="4" w:space="0" w:color="auto"/>
            </w:tcBorders>
          </w:tcPr>
          <w:p w14:paraId="168AF343"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Kharagpur, West Bengal, India.</w:t>
            </w:r>
          </w:p>
        </w:tc>
        <w:tc>
          <w:tcPr>
            <w:tcW w:w="1270" w:type="dxa"/>
            <w:tcBorders>
              <w:bottom w:val="single" w:sz="4" w:space="0" w:color="auto"/>
            </w:tcBorders>
          </w:tcPr>
          <w:p w14:paraId="6BA3093C"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Predicting Kharif rice yield</w:t>
            </w:r>
          </w:p>
        </w:tc>
        <w:tc>
          <w:tcPr>
            <w:tcW w:w="1744" w:type="dxa"/>
            <w:tcBorders>
              <w:bottom w:val="single" w:sz="4" w:space="0" w:color="auto"/>
            </w:tcBorders>
          </w:tcPr>
          <w:p w14:paraId="68A62FF7"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ERP integrated into the CERES-Rice model in DSSATv4.5.</w:t>
            </w:r>
          </w:p>
        </w:tc>
        <w:tc>
          <w:tcPr>
            <w:tcW w:w="3118" w:type="dxa"/>
            <w:tcBorders>
              <w:bottom w:val="single" w:sz="4" w:space="0" w:color="auto"/>
            </w:tcBorders>
          </w:tcPr>
          <w:p w14:paraId="4A8B0998"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Efficiently predict year-to-year variability in Kharif rice yield Normal and above-normal yields can be predicted with skill</w:t>
            </w:r>
          </w:p>
        </w:tc>
      </w:tr>
    </w:tbl>
    <w:p w14:paraId="275360FD" w14:textId="77777777" w:rsidR="00B33ECA" w:rsidRPr="00E44923" w:rsidRDefault="00B33ECA" w:rsidP="00A53B65">
      <w:pPr>
        <w:spacing w:line="360" w:lineRule="auto"/>
        <w:ind w:firstLine="720"/>
        <w:jc w:val="both"/>
        <w:rPr>
          <w:rFonts w:ascii="Arial" w:hAnsi="Arial" w:cs="Arial"/>
          <w:color w:val="0D0D0D" w:themeColor="text1" w:themeTint="F2"/>
          <w:szCs w:val="22"/>
        </w:rPr>
      </w:pPr>
    </w:p>
    <w:p w14:paraId="44BCA22D" w14:textId="06A8C7AF" w:rsidR="002A6CF4" w:rsidRPr="00E44923" w:rsidRDefault="007E0B7F" w:rsidP="00A53B65">
      <w:pPr>
        <w:spacing w:line="360" w:lineRule="auto"/>
        <w:rPr>
          <w:rFonts w:ascii="Arial" w:hAnsi="Arial" w:cs="Arial"/>
          <w:color w:val="0D0D0D" w:themeColor="text1" w:themeTint="F2"/>
          <w:szCs w:val="22"/>
        </w:rPr>
      </w:pPr>
      <w:bookmarkStart w:id="2" w:name="_Hlk179756638"/>
      <w:r w:rsidRPr="00E44923">
        <w:rPr>
          <w:rFonts w:ascii="Arial" w:hAnsi="Arial" w:cs="Arial"/>
          <w:color w:val="0D0D0D" w:themeColor="text1" w:themeTint="F2"/>
          <w:szCs w:val="22"/>
        </w:rPr>
        <w:t xml:space="preserve">Table 5: </w:t>
      </w:r>
      <w:r w:rsidR="004F6124" w:rsidRPr="00E44923">
        <w:rPr>
          <w:rFonts w:ascii="Arial" w:hAnsi="Arial" w:cs="Arial"/>
          <w:color w:val="0D0D0D" w:themeColor="text1" w:themeTint="F2"/>
          <w:szCs w:val="22"/>
        </w:rPr>
        <w:t xml:space="preserve">Key reference article with notified results regarding </w:t>
      </w:r>
      <w:r w:rsidR="004F6124" w:rsidRPr="00E44923">
        <w:rPr>
          <w:rFonts w:ascii="Arial" w:eastAsia="Calibri" w:hAnsi="Arial" w:cs="Arial"/>
          <w:color w:val="0D0D0D" w:themeColor="text1" w:themeTint="F2"/>
          <w:szCs w:val="22"/>
        </w:rPr>
        <w:t>extended</w:t>
      </w:r>
      <w:r w:rsidR="004F6124" w:rsidRPr="00E44923">
        <w:rPr>
          <w:rFonts w:ascii="Arial" w:hAnsi="Arial" w:cs="Arial"/>
          <w:color w:val="0D0D0D" w:themeColor="text1" w:themeTint="F2"/>
          <w:szCs w:val="22"/>
        </w:rPr>
        <w:t xml:space="preserve"> range prediction of </w:t>
      </w:r>
      <w:r w:rsidR="004F6124" w:rsidRPr="00E44923">
        <w:rPr>
          <w:rFonts w:ascii="Arial" w:eastAsia="Calibri" w:hAnsi="Arial" w:cs="Arial"/>
          <w:color w:val="0D0D0D" w:themeColor="text1" w:themeTint="F2"/>
          <w:szCs w:val="22"/>
        </w:rPr>
        <w:t>the monsoon season</w:t>
      </w:r>
      <w:r w:rsidR="004F6124" w:rsidRPr="00E44923">
        <w:rPr>
          <w:rFonts w:ascii="Arial" w:hAnsi="Arial" w:cs="Arial"/>
          <w:color w:val="0D0D0D" w:themeColor="text1" w:themeTint="F2"/>
          <w:szCs w:val="22"/>
        </w:rPr>
        <w:t>:</w:t>
      </w:r>
    </w:p>
    <w:tbl>
      <w:tblPr>
        <w:tblStyle w:val="TableGrid"/>
        <w:tblpPr w:leftFromText="180" w:rightFromText="180" w:vertAnchor="text" w:horzAnchor="margin" w:tblpXSpec="center"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94"/>
        <w:gridCol w:w="3104"/>
        <w:gridCol w:w="4976"/>
      </w:tblGrid>
      <w:tr w:rsidR="007E0B7F" w:rsidRPr="00E44923" w14:paraId="0F9DACCC" w14:textId="77777777" w:rsidTr="007E0B7F">
        <w:tc>
          <w:tcPr>
            <w:tcW w:w="2122" w:type="dxa"/>
            <w:tcBorders>
              <w:top w:val="single" w:sz="4" w:space="0" w:color="auto"/>
              <w:bottom w:val="single" w:sz="4" w:space="0" w:color="auto"/>
            </w:tcBorders>
            <w:vAlign w:val="center"/>
          </w:tcPr>
          <w:p w14:paraId="13A67124"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Authors References</w:t>
            </w:r>
          </w:p>
        </w:tc>
        <w:tc>
          <w:tcPr>
            <w:tcW w:w="1006" w:type="dxa"/>
            <w:tcBorders>
              <w:top w:val="single" w:sz="4" w:space="0" w:color="auto"/>
              <w:bottom w:val="single" w:sz="4" w:space="0" w:color="auto"/>
            </w:tcBorders>
            <w:vAlign w:val="center"/>
          </w:tcPr>
          <w:p w14:paraId="734F2EEB"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Monsoon</w:t>
            </w:r>
          </w:p>
        </w:tc>
        <w:tc>
          <w:tcPr>
            <w:tcW w:w="3104" w:type="dxa"/>
            <w:tcBorders>
              <w:top w:val="single" w:sz="4" w:space="0" w:color="auto"/>
              <w:bottom w:val="single" w:sz="4" w:space="0" w:color="auto"/>
            </w:tcBorders>
            <w:vAlign w:val="center"/>
          </w:tcPr>
          <w:p w14:paraId="3FC7DA18"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Technique Used</w:t>
            </w:r>
          </w:p>
          <w:p w14:paraId="710693C5" w14:textId="77777777" w:rsidR="002A6CF4" w:rsidRPr="00E44923" w:rsidRDefault="002A6CF4" w:rsidP="00A53B65">
            <w:pPr>
              <w:spacing w:line="360" w:lineRule="auto"/>
              <w:jc w:val="center"/>
              <w:rPr>
                <w:rFonts w:ascii="Arial" w:hAnsi="Arial" w:cs="Arial"/>
                <w:b/>
                <w:bCs/>
                <w:color w:val="0D0D0D" w:themeColor="text1" w:themeTint="F2"/>
                <w:szCs w:val="22"/>
              </w:rPr>
            </w:pPr>
          </w:p>
        </w:tc>
        <w:tc>
          <w:tcPr>
            <w:tcW w:w="4976" w:type="dxa"/>
            <w:tcBorders>
              <w:top w:val="single" w:sz="4" w:space="0" w:color="auto"/>
              <w:bottom w:val="single" w:sz="4" w:space="0" w:color="auto"/>
            </w:tcBorders>
            <w:vAlign w:val="center"/>
          </w:tcPr>
          <w:p w14:paraId="245FF098"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Findings</w:t>
            </w:r>
          </w:p>
        </w:tc>
      </w:tr>
      <w:tr w:rsidR="007E0B7F" w:rsidRPr="00E44923" w14:paraId="49A857F4" w14:textId="77777777" w:rsidTr="00925F4B">
        <w:tc>
          <w:tcPr>
            <w:tcW w:w="2122" w:type="dxa"/>
            <w:tcBorders>
              <w:top w:val="single" w:sz="4" w:space="0" w:color="auto"/>
            </w:tcBorders>
          </w:tcPr>
          <w:p w14:paraId="2EFABCB7" w14:textId="08DECC0C"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(2014)</w:t>
            </w:r>
          </w:p>
        </w:tc>
        <w:tc>
          <w:tcPr>
            <w:tcW w:w="1006" w:type="dxa"/>
            <w:tcBorders>
              <w:top w:val="single" w:sz="4" w:space="0" w:color="auto"/>
            </w:tcBorders>
          </w:tcPr>
          <w:p w14:paraId="64269191"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SWM - 2012</w:t>
            </w:r>
          </w:p>
          <w:p w14:paraId="36AB66C1" w14:textId="77777777" w:rsidR="002A6CF4" w:rsidRPr="00E44923" w:rsidRDefault="002A6CF4" w:rsidP="00A53B65">
            <w:pPr>
              <w:spacing w:line="360" w:lineRule="auto"/>
              <w:jc w:val="both"/>
              <w:rPr>
                <w:rFonts w:ascii="Arial" w:hAnsi="Arial" w:cs="Arial"/>
                <w:color w:val="0D0D0D" w:themeColor="text1" w:themeTint="F2"/>
                <w:szCs w:val="22"/>
              </w:rPr>
            </w:pPr>
          </w:p>
        </w:tc>
        <w:tc>
          <w:tcPr>
            <w:tcW w:w="3104" w:type="dxa"/>
            <w:tcBorders>
              <w:top w:val="single" w:sz="4" w:space="0" w:color="auto"/>
            </w:tcBorders>
          </w:tcPr>
          <w:p w14:paraId="6891D659" w14:textId="77777777" w:rsidR="002A6CF4" w:rsidRPr="00E44923" w:rsidRDefault="004F6124" w:rsidP="00A53B65">
            <w:pPr>
              <w:pStyle w:val="ListParagraph"/>
              <w:numPr>
                <w:ilvl w:val="0"/>
                <w:numId w:val="11"/>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MME approach (ECMWF, NCEP, and JMA models)</w:t>
            </w:r>
          </w:p>
        </w:tc>
        <w:tc>
          <w:tcPr>
            <w:tcW w:w="4976" w:type="dxa"/>
            <w:tcBorders>
              <w:top w:val="single" w:sz="4" w:space="0" w:color="auto"/>
            </w:tcBorders>
          </w:tcPr>
          <w:p w14:paraId="3DD9052D"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MME-based predictions for 2–3 weeks provide skillful results</w:t>
            </w:r>
          </w:p>
        </w:tc>
      </w:tr>
      <w:tr w:rsidR="007E0B7F" w:rsidRPr="00E44923" w14:paraId="0407AA69" w14:textId="77777777" w:rsidTr="00925F4B">
        <w:tc>
          <w:tcPr>
            <w:tcW w:w="2122" w:type="dxa"/>
          </w:tcPr>
          <w:p w14:paraId="5A4305DA" w14:textId="3E92E9E1"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1006" w:type="dxa"/>
          </w:tcPr>
          <w:p w14:paraId="584470B5"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SWM - 2019</w:t>
            </w:r>
          </w:p>
          <w:p w14:paraId="54A4BAE7" w14:textId="77777777" w:rsidR="002A6CF4" w:rsidRPr="00E44923" w:rsidRDefault="002A6CF4" w:rsidP="00A53B65">
            <w:pPr>
              <w:spacing w:line="360" w:lineRule="auto"/>
              <w:jc w:val="both"/>
              <w:rPr>
                <w:rFonts w:ascii="Arial" w:hAnsi="Arial" w:cs="Arial"/>
                <w:color w:val="0D0D0D" w:themeColor="text1" w:themeTint="F2"/>
                <w:szCs w:val="22"/>
              </w:rPr>
            </w:pPr>
          </w:p>
        </w:tc>
        <w:tc>
          <w:tcPr>
            <w:tcW w:w="3104" w:type="dxa"/>
          </w:tcPr>
          <w:p w14:paraId="4EA30004" w14:textId="77777777" w:rsidR="002A6CF4" w:rsidRPr="00E44923" w:rsidRDefault="004F6124" w:rsidP="00A53B65">
            <w:pPr>
              <w:pStyle w:val="ListParagraph"/>
              <w:numPr>
                <w:ilvl w:val="0"/>
                <w:numId w:val="10"/>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Verification scores</w:t>
            </w:r>
          </w:p>
        </w:tc>
        <w:tc>
          <w:tcPr>
            <w:tcW w:w="4976" w:type="dxa"/>
          </w:tcPr>
          <w:p w14:paraId="5E4479F6"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ERF successfully captured the delayed onset, sluggish progress, and delayed withdrawal of the monsoon with a lead time of 2-3 weeks.</w:t>
            </w:r>
          </w:p>
        </w:tc>
      </w:tr>
      <w:tr w:rsidR="007E0B7F" w:rsidRPr="00E44923" w14:paraId="725D0850" w14:textId="77777777" w:rsidTr="00925F4B">
        <w:tc>
          <w:tcPr>
            <w:tcW w:w="2122" w:type="dxa"/>
          </w:tcPr>
          <w:p w14:paraId="35214208" w14:textId="525C2429"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Borah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w:t>
            </w:r>
          </w:p>
        </w:tc>
        <w:tc>
          <w:tcPr>
            <w:tcW w:w="1006" w:type="dxa"/>
          </w:tcPr>
          <w:p w14:paraId="57EEF61C"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ISM, 2013</w:t>
            </w:r>
          </w:p>
        </w:tc>
        <w:tc>
          <w:tcPr>
            <w:tcW w:w="3104" w:type="dxa"/>
          </w:tcPr>
          <w:p w14:paraId="05647BC6" w14:textId="77777777" w:rsidR="002A6CF4" w:rsidRPr="00E44923" w:rsidRDefault="004F6124" w:rsidP="00A53B65">
            <w:pPr>
              <w:pStyle w:val="ListParagraph"/>
              <w:numPr>
                <w:ilvl w:val="0"/>
                <w:numId w:val="10"/>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Ensemble forecasting using CFSv2 and GFSv2 models</w:t>
            </w:r>
          </w:p>
        </w:tc>
        <w:tc>
          <w:tcPr>
            <w:tcW w:w="4976" w:type="dxa"/>
          </w:tcPr>
          <w:p w14:paraId="7AED081C" w14:textId="77777777" w:rsidR="002A6CF4" w:rsidRPr="00E44923" w:rsidRDefault="004F6124" w:rsidP="00A53B65">
            <w:pPr>
              <w:spacing w:line="360" w:lineRule="auto"/>
              <w:jc w:val="both"/>
              <w:rPr>
                <w:rFonts w:ascii="Arial" w:hAnsi="Arial" w:cs="Arial"/>
                <w:color w:val="0D0D0D" w:themeColor="text1" w:themeTint="F2"/>
                <w:szCs w:val="22"/>
              </w:rPr>
            </w:pPr>
            <w:proofErr w:type="spellStart"/>
            <w:r w:rsidRPr="00E44923">
              <w:rPr>
                <w:rFonts w:ascii="Arial" w:hAnsi="Arial" w:cs="Arial"/>
                <w:color w:val="0D0D0D" w:themeColor="text1" w:themeTint="F2"/>
                <w:szCs w:val="22"/>
              </w:rPr>
              <w:t>GFSbc</w:t>
            </w:r>
            <w:proofErr w:type="spellEnd"/>
            <w:r w:rsidRPr="00E44923">
              <w:rPr>
                <w:rFonts w:ascii="Arial" w:hAnsi="Arial" w:cs="Arial"/>
                <w:color w:val="0D0D0D" w:themeColor="text1" w:themeTint="F2"/>
                <w:szCs w:val="22"/>
              </w:rPr>
              <w:t xml:space="preserve"> generally outperforms CFSv2.</w:t>
            </w:r>
          </w:p>
        </w:tc>
      </w:tr>
      <w:tr w:rsidR="007E0B7F" w:rsidRPr="00E44923" w14:paraId="2225C766" w14:textId="77777777" w:rsidTr="00925F4B">
        <w:tc>
          <w:tcPr>
            <w:tcW w:w="2122" w:type="dxa"/>
          </w:tcPr>
          <w:p w14:paraId="7614E5DC" w14:textId="52FCA1F2"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Raghav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w:t>
            </w:r>
          </w:p>
        </w:tc>
        <w:tc>
          <w:tcPr>
            <w:tcW w:w="1006" w:type="dxa"/>
          </w:tcPr>
          <w:p w14:paraId="1AC3326B"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ISM</w:t>
            </w:r>
          </w:p>
        </w:tc>
        <w:tc>
          <w:tcPr>
            <w:tcW w:w="3104" w:type="dxa"/>
          </w:tcPr>
          <w:p w14:paraId="4D71F256" w14:textId="77777777" w:rsidR="002A6CF4" w:rsidRPr="00E44923" w:rsidRDefault="004F6124" w:rsidP="00A53B65">
            <w:pPr>
              <w:pStyle w:val="ListParagraph"/>
              <w:numPr>
                <w:ilvl w:val="0"/>
                <w:numId w:val="8"/>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statistical downscaling  </w:t>
            </w:r>
          </w:p>
          <w:p w14:paraId="276AA150" w14:textId="77777777" w:rsidR="002A6CF4" w:rsidRPr="00E44923" w:rsidRDefault="004F6124" w:rsidP="00A53B65">
            <w:pPr>
              <w:pStyle w:val="ListParagraph"/>
              <w:numPr>
                <w:ilvl w:val="0"/>
                <w:numId w:val="8"/>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Extreme Gradient Boosting</w:t>
            </w:r>
          </w:p>
        </w:tc>
        <w:tc>
          <w:tcPr>
            <w:tcW w:w="4976" w:type="dxa"/>
          </w:tcPr>
          <w:p w14:paraId="40BB4C42"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The statistical downscaling method successfully captures active and break phases of the monsoon, boosting prediction skills for up to 4 weeks.</w:t>
            </w:r>
          </w:p>
          <w:p w14:paraId="6C6963C7" w14:textId="77777777" w:rsidR="002A6CF4" w:rsidRPr="00E44923" w:rsidRDefault="002A6CF4" w:rsidP="00A53B65">
            <w:pPr>
              <w:spacing w:after="0" w:line="360" w:lineRule="auto"/>
              <w:jc w:val="both"/>
              <w:rPr>
                <w:rFonts w:ascii="Arial" w:hAnsi="Arial" w:cs="Arial"/>
                <w:color w:val="0D0D0D" w:themeColor="text1" w:themeTint="F2"/>
                <w:szCs w:val="22"/>
              </w:rPr>
            </w:pPr>
          </w:p>
        </w:tc>
      </w:tr>
      <w:tr w:rsidR="007E0B7F" w:rsidRPr="00E44923" w14:paraId="09144992" w14:textId="77777777" w:rsidTr="00925F4B">
        <w:tc>
          <w:tcPr>
            <w:tcW w:w="2122" w:type="dxa"/>
            <w:tcBorders>
              <w:bottom w:val="single" w:sz="4" w:space="0" w:color="auto"/>
            </w:tcBorders>
          </w:tcPr>
          <w:p w14:paraId="1E5F6282" w14:textId="77777777" w:rsidR="002A6CF4" w:rsidRPr="00E44923" w:rsidRDefault="004F6124" w:rsidP="00A53B65">
            <w:pPr>
              <w:spacing w:line="360" w:lineRule="auto"/>
              <w:jc w:val="both"/>
              <w:rPr>
                <w:rFonts w:ascii="Arial" w:hAnsi="Arial" w:cs="Arial"/>
                <w:color w:val="0D0D0D" w:themeColor="text1" w:themeTint="F2"/>
                <w:szCs w:val="22"/>
              </w:rPr>
            </w:pPr>
            <w:proofErr w:type="spellStart"/>
            <w:r w:rsidRPr="00E44923">
              <w:rPr>
                <w:rFonts w:ascii="Arial" w:hAnsi="Arial" w:cs="Arial"/>
                <w:color w:val="0D0D0D" w:themeColor="text1" w:themeTint="F2"/>
                <w:szCs w:val="22"/>
              </w:rPr>
              <w:t>Pattanaik</w:t>
            </w:r>
            <w:proofErr w:type="spellEnd"/>
            <w:r w:rsidRPr="00E44923">
              <w:rPr>
                <w:rFonts w:ascii="Arial" w:hAnsi="Arial" w:cs="Arial"/>
                <w:color w:val="0D0D0D" w:themeColor="text1" w:themeTint="F2"/>
                <w:szCs w:val="22"/>
              </w:rPr>
              <w:t xml:space="preserve"> and </w:t>
            </w:r>
            <w:proofErr w:type="spellStart"/>
            <w:r w:rsidRPr="00E44923">
              <w:rPr>
                <w:rFonts w:ascii="Arial" w:hAnsi="Arial" w:cs="Arial"/>
                <w:color w:val="0D0D0D" w:themeColor="text1" w:themeTint="F2"/>
                <w:szCs w:val="22"/>
              </w:rPr>
              <w:t>Mahopatra</w:t>
            </w:r>
            <w:proofErr w:type="spellEnd"/>
            <w:r w:rsidRPr="00E44923">
              <w:rPr>
                <w:rFonts w:ascii="Arial" w:hAnsi="Arial" w:cs="Arial"/>
                <w:color w:val="0D0D0D" w:themeColor="text1" w:themeTint="F2"/>
                <w:szCs w:val="22"/>
              </w:rPr>
              <w:t xml:space="preserve"> (2017)</w:t>
            </w:r>
          </w:p>
        </w:tc>
        <w:tc>
          <w:tcPr>
            <w:tcW w:w="1006" w:type="dxa"/>
            <w:tcBorders>
              <w:bottom w:val="single" w:sz="4" w:space="0" w:color="auto"/>
            </w:tcBorders>
          </w:tcPr>
          <w:p w14:paraId="4C52CF85"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NEM, 2015</w:t>
            </w:r>
          </w:p>
        </w:tc>
        <w:tc>
          <w:tcPr>
            <w:tcW w:w="3104" w:type="dxa"/>
            <w:tcBorders>
              <w:bottom w:val="single" w:sz="4" w:space="0" w:color="auto"/>
            </w:tcBorders>
          </w:tcPr>
          <w:p w14:paraId="1FF0074C" w14:textId="77777777" w:rsidR="002A6CF4" w:rsidRPr="00E44923" w:rsidRDefault="004F6124" w:rsidP="00A53B65">
            <w:pPr>
              <w:pStyle w:val="ListParagraph"/>
              <w:numPr>
                <w:ilvl w:val="0"/>
                <w:numId w:val="8"/>
              </w:numPr>
              <w:suppressAutoHyphens w:val="0"/>
              <w:spacing w:line="360" w:lineRule="auto"/>
              <w:jc w:val="both"/>
              <w:rPr>
                <w:rFonts w:ascii="Arial" w:hAnsi="Arial" w:cs="Arial"/>
                <w:color w:val="0D0D0D" w:themeColor="text1" w:themeTint="F2"/>
                <w:sz w:val="22"/>
                <w:szCs w:val="22"/>
              </w:rPr>
            </w:pPr>
            <w:proofErr w:type="spellStart"/>
            <w:r w:rsidRPr="00E44923">
              <w:rPr>
                <w:rFonts w:ascii="Arial" w:hAnsi="Arial" w:cs="Arial"/>
                <w:color w:val="0D0D0D" w:themeColor="text1" w:themeTint="F2"/>
                <w:sz w:val="22"/>
                <w:szCs w:val="22"/>
              </w:rPr>
              <w:t>Bimodel</w:t>
            </w:r>
            <w:proofErr w:type="spellEnd"/>
            <w:r w:rsidRPr="00E44923">
              <w:rPr>
                <w:rFonts w:ascii="Arial" w:hAnsi="Arial" w:cs="Arial"/>
                <w:color w:val="0D0D0D" w:themeColor="text1" w:themeTint="F2"/>
                <w:sz w:val="22"/>
                <w:szCs w:val="22"/>
              </w:rPr>
              <w:t xml:space="preserve"> average JMA Ensemble Prediction System and NCEP's (CFSv.2) coupled model.</w:t>
            </w:r>
          </w:p>
        </w:tc>
        <w:tc>
          <w:tcPr>
            <w:tcW w:w="4976" w:type="dxa"/>
            <w:tcBorders>
              <w:bottom w:val="single" w:sz="4" w:space="0" w:color="auto"/>
            </w:tcBorders>
          </w:tcPr>
          <w:p w14:paraId="5654AA40"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Captured the delayed onset of NEM in Tamil Nadu and active phases during November and early December 2015 with 1–2 weeks lead time.</w:t>
            </w:r>
          </w:p>
        </w:tc>
      </w:tr>
      <w:bookmarkEnd w:id="2"/>
    </w:tbl>
    <w:p w14:paraId="6A57243A" w14:textId="77777777" w:rsidR="002A6CF4" w:rsidRPr="00E44923" w:rsidRDefault="002A6CF4" w:rsidP="00A53B65">
      <w:pPr>
        <w:spacing w:line="360" w:lineRule="auto"/>
        <w:rPr>
          <w:rFonts w:ascii="Arial" w:hAnsi="Arial" w:cs="Arial"/>
          <w:color w:val="0D0D0D" w:themeColor="text1" w:themeTint="F2"/>
          <w:szCs w:val="22"/>
        </w:rPr>
      </w:pPr>
    </w:p>
    <w:p w14:paraId="2C15BC22" w14:textId="77777777" w:rsidR="002A6CF4" w:rsidRPr="00E44923" w:rsidRDefault="002A6CF4" w:rsidP="00A53B65">
      <w:pPr>
        <w:spacing w:line="360" w:lineRule="auto"/>
        <w:rPr>
          <w:rFonts w:ascii="Arial" w:hAnsi="Arial" w:cs="Arial"/>
          <w:color w:val="0D0D0D" w:themeColor="text1" w:themeTint="F2"/>
          <w:szCs w:val="22"/>
        </w:rPr>
      </w:pPr>
    </w:p>
    <w:p w14:paraId="58DF2FE1" w14:textId="77777777" w:rsidR="002A6CF4" w:rsidRPr="00E44923" w:rsidRDefault="002A6CF4" w:rsidP="00A53B65">
      <w:pPr>
        <w:spacing w:line="360" w:lineRule="auto"/>
        <w:rPr>
          <w:rFonts w:ascii="Arial" w:hAnsi="Arial" w:cs="Arial"/>
          <w:color w:val="0D0D0D" w:themeColor="text1" w:themeTint="F2"/>
          <w:szCs w:val="22"/>
        </w:rPr>
      </w:pPr>
    </w:p>
    <w:p w14:paraId="053CA82E" w14:textId="77777777" w:rsidR="002A6CF4" w:rsidRPr="00E44923" w:rsidRDefault="002A6CF4" w:rsidP="00A53B65">
      <w:pPr>
        <w:spacing w:line="360" w:lineRule="auto"/>
        <w:rPr>
          <w:rFonts w:ascii="Arial" w:hAnsi="Arial" w:cs="Arial"/>
          <w:color w:val="0D0D0D" w:themeColor="text1" w:themeTint="F2"/>
          <w:szCs w:val="22"/>
        </w:rPr>
      </w:pPr>
    </w:p>
    <w:p w14:paraId="030C8D3C" w14:textId="77777777" w:rsidR="002A6CF4" w:rsidRPr="00E44923" w:rsidRDefault="002A6CF4" w:rsidP="00A53B65">
      <w:pPr>
        <w:spacing w:line="360" w:lineRule="auto"/>
        <w:rPr>
          <w:rFonts w:ascii="Arial" w:hAnsi="Arial" w:cs="Arial"/>
          <w:color w:val="0D0D0D" w:themeColor="text1" w:themeTint="F2"/>
          <w:szCs w:val="22"/>
        </w:rPr>
      </w:pPr>
    </w:p>
    <w:p w14:paraId="1392E3D5" w14:textId="77777777" w:rsidR="002A6CF4" w:rsidRPr="00E44923" w:rsidRDefault="002A6CF4" w:rsidP="00A53B65">
      <w:pPr>
        <w:spacing w:line="360" w:lineRule="auto"/>
        <w:rPr>
          <w:rFonts w:ascii="Arial" w:hAnsi="Arial" w:cs="Arial"/>
          <w:color w:val="0D0D0D" w:themeColor="text1" w:themeTint="F2"/>
          <w:szCs w:val="22"/>
        </w:rPr>
      </w:pPr>
    </w:p>
    <w:p w14:paraId="053B1C3B" w14:textId="77777777" w:rsidR="002A6CF4" w:rsidRPr="00E44923" w:rsidRDefault="002A6CF4" w:rsidP="00A53B65">
      <w:pPr>
        <w:spacing w:line="360" w:lineRule="auto"/>
        <w:rPr>
          <w:rFonts w:ascii="Arial" w:hAnsi="Arial" w:cs="Arial"/>
          <w:color w:val="0D0D0D" w:themeColor="text1" w:themeTint="F2"/>
          <w:szCs w:val="22"/>
        </w:rPr>
      </w:pPr>
    </w:p>
    <w:p w14:paraId="47B6B03E" w14:textId="77777777" w:rsidR="002A6CF4" w:rsidRPr="00E44923" w:rsidRDefault="002A6CF4" w:rsidP="00A53B65">
      <w:pPr>
        <w:spacing w:line="360" w:lineRule="auto"/>
        <w:rPr>
          <w:rFonts w:ascii="Arial" w:hAnsi="Arial" w:cs="Arial"/>
          <w:color w:val="0D0D0D" w:themeColor="text1" w:themeTint="F2"/>
          <w:szCs w:val="22"/>
        </w:rPr>
      </w:pPr>
    </w:p>
    <w:p w14:paraId="469405D4" w14:textId="77777777" w:rsidR="002A6CF4" w:rsidRPr="00E44923" w:rsidRDefault="002A6CF4" w:rsidP="00A53B65">
      <w:pPr>
        <w:spacing w:line="360" w:lineRule="auto"/>
        <w:rPr>
          <w:rFonts w:ascii="Arial" w:hAnsi="Arial" w:cs="Arial"/>
          <w:color w:val="0D0D0D" w:themeColor="text1" w:themeTint="F2"/>
          <w:szCs w:val="22"/>
        </w:rPr>
      </w:pPr>
    </w:p>
    <w:p w14:paraId="37B05E8C" w14:textId="77777777" w:rsidR="002A6CF4" w:rsidRPr="00E44923" w:rsidRDefault="002A6CF4" w:rsidP="00A53B65">
      <w:pPr>
        <w:spacing w:line="360" w:lineRule="auto"/>
        <w:rPr>
          <w:rFonts w:ascii="Arial" w:hAnsi="Arial" w:cs="Arial"/>
          <w:color w:val="0D0D0D" w:themeColor="text1" w:themeTint="F2"/>
          <w:szCs w:val="22"/>
        </w:rPr>
      </w:pPr>
    </w:p>
    <w:p w14:paraId="78D7737D" w14:textId="77777777" w:rsidR="002552A7" w:rsidRPr="00E44923" w:rsidRDefault="002552A7" w:rsidP="00A53B65">
      <w:pPr>
        <w:spacing w:line="360" w:lineRule="auto"/>
        <w:rPr>
          <w:rFonts w:ascii="Arial" w:hAnsi="Arial" w:cs="Arial"/>
          <w:color w:val="0D0D0D" w:themeColor="text1" w:themeTint="F2"/>
          <w:szCs w:val="22"/>
        </w:rPr>
      </w:pPr>
    </w:p>
    <w:p w14:paraId="258107C8" w14:textId="5D667E14" w:rsidR="00CE3AB8" w:rsidRPr="00E44923" w:rsidRDefault="00CE3AB8" w:rsidP="00A53B65">
      <w:pPr>
        <w:spacing w:line="360" w:lineRule="auto"/>
        <w:rPr>
          <w:rFonts w:ascii="Arial" w:hAnsi="Arial" w:cs="Arial"/>
          <w:color w:val="0D0D0D" w:themeColor="text1" w:themeTint="F2"/>
          <w:szCs w:val="22"/>
        </w:rPr>
        <w:sectPr w:rsidR="00CE3AB8" w:rsidRPr="00E44923" w:rsidSect="00E64F09">
          <w:type w:val="nextPage"/>
          <w:pgSz w:w="16838" w:h="11906" w:orient="landscape"/>
          <w:pgMar w:top="1440" w:right="1440" w:bottom="1440" w:left="1440" w:header="0" w:footer="0" w:gutter="0"/>
          <w:cols w:space="720"/>
          <w:formProt w:val="0"/>
          <w:docGrid w:linePitch="360" w:charSpace="8192"/>
        </w:sectPr>
      </w:pPr>
    </w:p>
    <w:p w14:paraId="19553E8D" w14:textId="3B5F4B63" w:rsidR="002552A7" w:rsidRPr="00E44923" w:rsidRDefault="00CE3AB8" w:rsidP="00A53B65">
      <w:pPr>
        <w:spacing w:line="360" w:lineRule="auto"/>
        <w:rPr>
          <w:rFonts w:ascii="Arial" w:hAnsi="Arial" w:cs="Arial"/>
          <w:b/>
          <w:bCs/>
          <w:color w:val="0D0D0D" w:themeColor="text1" w:themeTint="F2"/>
          <w:szCs w:val="22"/>
        </w:rPr>
      </w:pPr>
      <w:r w:rsidRPr="00E44923">
        <w:rPr>
          <w:rFonts w:ascii="Arial" w:hAnsi="Arial" w:cs="Arial"/>
          <w:b/>
          <w:bCs/>
          <w:color w:val="0D0D0D" w:themeColor="text1" w:themeTint="F2"/>
          <w:szCs w:val="22"/>
        </w:rPr>
        <w:lastRenderedPageBreak/>
        <w:t>References:</w:t>
      </w:r>
    </w:p>
    <w:p w14:paraId="0A3F089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Grimm, N. B., Chapin III, F. S., Bierwagen, B., Gonzalez, P., </w:t>
      </w:r>
      <w:proofErr w:type="spellStart"/>
      <w:r w:rsidRPr="00E44923">
        <w:rPr>
          <w:rFonts w:ascii="Arial" w:hAnsi="Arial" w:cs="Arial"/>
          <w:color w:val="222222"/>
          <w:sz w:val="22"/>
          <w:szCs w:val="22"/>
          <w:shd w:val="clear" w:color="auto" w:fill="FFFFFF"/>
        </w:rPr>
        <w:t>Groffman</w:t>
      </w:r>
      <w:proofErr w:type="spellEnd"/>
      <w:r w:rsidRPr="00E44923">
        <w:rPr>
          <w:rFonts w:ascii="Arial" w:hAnsi="Arial" w:cs="Arial"/>
          <w:color w:val="222222"/>
          <w:sz w:val="22"/>
          <w:szCs w:val="22"/>
          <w:shd w:val="clear" w:color="auto" w:fill="FFFFFF"/>
        </w:rPr>
        <w:t>, P. M., Luo, Y., ... &amp; Williamson, C. E. (2013). The impacts of climate change on ecosystem structure and function. </w:t>
      </w:r>
      <w:r w:rsidRPr="00E44923">
        <w:rPr>
          <w:rFonts w:ascii="Arial" w:hAnsi="Arial" w:cs="Arial"/>
          <w:i/>
          <w:iCs/>
          <w:color w:val="222222"/>
          <w:sz w:val="22"/>
          <w:szCs w:val="22"/>
          <w:shd w:val="clear" w:color="auto" w:fill="FFFFFF"/>
        </w:rPr>
        <w:t>Frontiers in Ecology and the Environment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(9), 474-482.</w:t>
      </w:r>
    </w:p>
    <w:p w14:paraId="2F393F4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Bradford, M. A., &amp; Warren, R. J. (2014). Terrestrial biodiversity and climate change. In </w:t>
      </w:r>
      <w:r w:rsidRPr="00E44923">
        <w:rPr>
          <w:rFonts w:ascii="Arial" w:hAnsi="Arial" w:cs="Arial"/>
          <w:i/>
          <w:iCs/>
          <w:color w:val="222222"/>
          <w:sz w:val="22"/>
          <w:szCs w:val="22"/>
          <w:shd w:val="clear" w:color="auto" w:fill="FFFFFF"/>
        </w:rPr>
        <w:t>Global environmental change</w:t>
      </w:r>
      <w:r w:rsidRPr="00E44923">
        <w:rPr>
          <w:rFonts w:ascii="Arial" w:hAnsi="Arial" w:cs="Arial"/>
          <w:color w:val="222222"/>
          <w:sz w:val="22"/>
          <w:szCs w:val="22"/>
          <w:shd w:val="clear" w:color="auto" w:fill="FFFFFF"/>
        </w:rPr>
        <w:t> (pp. 355-361). Springer, Dordrecht.</w:t>
      </w:r>
    </w:p>
    <w:p w14:paraId="423C758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Warren, R., Price, J., &amp; Jenkins, R. (2021). Climate change and terrestrial biodiversity. In </w:t>
      </w:r>
      <w:r w:rsidRPr="00E44923">
        <w:rPr>
          <w:rFonts w:ascii="Arial" w:hAnsi="Arial" w:cs="Arial"/>
          <w:i/>
          <w:iCs/>
          <w:color w:val="222222"/>
          <w:sz w:val="22"/>
          <w:szCs w:val="22"/>
          <w:shd w:val="clear" w:color="auto" w:fill="FFFFFF"/>
        </w:rPr>
        <w:t>The impacts of climate change</w:t>
      </w:r>
      <w:r w:rsidRPr="00E44923">
        <w:rPr>
          <w:rFonts w:ascii="Arial" w:hAnsi="Arial" w:cs="Arial"/>
          <w:color w:val="222222"/>
          <w:sz w:val="22"/>
          <w:szCs w:val="22"/>
          <w:shd w:val="clear" w:color="auto" w:fill="FFFFFF"/>
        </w:rPr>
        <w:t> (pp. 85-114). Elsevier.</w:t>
      </w:r>
    </w:p>
    <w:p w14:paraId="2474CE5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Harrison, S., Franklin, J., Hernandez, R. R., Ikegami, M., Safford, H. D., &amp; Thorne, J. H. (2024). Climate change and California’s terrestrial biodiversity. Proceedings of the National Academy of Sciences, 121(32), e2310074121.</w:t>
      </w:r>
    </w:p>
    <w:p w14:paraId="301D092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Woodward, G., Perkins, D. M., &amp; Brown, L. E. (2010). Climate change and freshwater ecosystems: impacts across multiple levels of organization. </w:t>
      </w:r>
      <w:r w:rsidRPr="00E44923">
        <w:rPr>
          <w:rFonts w:ascii="Arial" w:hAnsi="Arial" w:cs="Arial"/>
          <w:i/>
          <w:iCs/>
          <w:color w:val="222222"/>
          <w:sz w:val="22"/>
          <w:szCs w:val="22"/>
          <w:shd w:val="clear" w:color="auto" w:fill="FFFFFF"/>
        </w:rPr>
        <w:t>Philosophical Transactions of the Royal Society B: Biological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365</w:t>
      </w:r>
      <w:r w:rsidRPr="00E44923">
        <w:rPr>
          <w:rFonts w:ascii="Arial" w:hAnsi="Arial" w:cs="Arial"/>
          <w:color w:val="222222"/>
          <w:sz w:val="22"/>
          <w:szCs w:val="22"/>
          <w:shd w:val="clear" w:color="auto" w:fill="FFFFFF"/>
        </w:rPr>
        <w:t>(1549), 2093-2106.</w:t>
      </w:r>
    </w:p>
    <w:p w14:paraId="64F5927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Liu, J., Kattel, G., Arp, H. P. H., &amp; Yang, H. (2015). Towards threshold-based management of freshwater ecosystems in the context of climate change. </w:t>
      </w:r>
      <w:r w:rsidRPr="00E44923">
        <w:rPr>
          <w:rFonts w:ascii="Arial" w:hAnsi="Arial" w:cs="Arial"/>
          <w:i/>
          <w:iCs/>
          <w:color w:val="222222"/>
          <w:sz w:val="22"/>
          <w:szCs w:val="22"/>
          <w:shd w:val="clear" w:color="auto" w:fill="FFFFFF"/>
        </w:rPr>
        <w:t>Ecological Modelling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318</w:t>
      </w:r>
      <w:r w:rsidRPr="00E44923">
        <w:rPr>
          <w:rFonts w:ascii="Arial" w:hAnsi="Arial" w:cs="Arial"/>
          <w:color w:val="222222"/>
          <w:sz w:val="22"/>
          <w:szCs w:val="22"/>
          <w:shd w:val="clear" w:color="auto" w:fill="FFFFFF"/>
        </w:rPr>
        <w:t>, 265-274.</w:t>
      </w:r>
    </w:p>
    <w:p w14:paraId="3C016D0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Singh, G., Singh, A., Singh, P., &amp; Mishra, V. K. (2021). Chapter 4—Impact of Climate Change on Freshwater Ecosystem. </w:t>
      </w:r>
      <w:r w:rsidRPr="00E44923">
        <w:rPr>
          <w:rFonts w:ascii="Arial" w:hAnsi="Arial" w:cs="Arial"/>
          <w:i/>
          <w:iCs/>
          <w:color w:val="222222"/>
          <w:sz w:val="22"/>
          <w:szCs w:val="22"/>
          <w:shd w:val="clear" w:color="auto" w:fill="FFFFFF"/>
        </w:rPr>
        <w:t>Water Conservation in the Era of Global Climate Change; Thokchom, B., Qiu, P., Singh, P., Iyer, PK, Eds</w:t>
      </w:r>
      <w:r w:rsidRPr="00E44923">
        <w:rPr>
          <w:rFonts w:ascii="Arial" w:hAnsi="Arial" w:cs="Arial"/>
          <w:color w:val="222222"/>
          <w:sz w:val="22"/>
          <w:szCs w:val="22"/>
          <w:shd w:val="clear" w:color="auto" w:fill="FFFFFF"/>
        </w:rPr>
        <w:t>, 73-98.</w:t>
      </w:r>
    </w:p>
    <w:p w14:paraId="1DC1429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Orr, J. A., Bussi, G., Hughes, J. M., Whitehead, P. G., &amp; Jackson, M. C. (2024). Modelling the potential for local management practices to offset climate change impacts on freshwater macroinvertebrate communities. </w:t>
      </w:r>
      <w:r w:rsidRPr="00E44923">
        <w:rPr>
          <w:rFonts w:ascii="Arial" w:hAnsi="Arial" w:cs="Arial"/>
          <w:i/>
          <w:iCs/>
          <w:color w:val="222222"/>
          <w:sz w:val="22"/>
          <w:szCs w:val="22"/>
          <w:shd w:val="clear" w:color="auto" w:fill="FFFFFF"/>
        </w:rPr>
        <w:t>Freshwater Biology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69</w:t>
      </w:r>
      <w:r w:rsidRPr="00E44923">
        <w:rPr>
          <w:rFonts w:ascii="Arial" w:hAnsi="Arial" w:cs="Arial"/>
          <w:color w:val="222222"/>
          <w:sz w:val="22"/>
          <w:szCs w:val="22"/>
          <w:shd w:val="clear" w:color="auto" w:fill="FFFFFF"/>
        </w:rPr>
        <w:t>(3), 435-449.</w:t>
      </w:r>
    </w:p>
    <w:p w14:paraId="1A23B36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Ding, Y., Mu, C., Wu, T., Hu, G., Zou, D., Wang, D., ... &amp; Wu, X. (2021). Increasing </w:t>
      </w:r>
      <w:proofErr w:type="spellStart"/>
      <w:r w:rsidRPr="00E44923">
        <w:rPr>
          <w:rFonts w:ascii="Arial" w:hAnsi="Arial" w:cs="Arial"/>
          <w:color w:val="222222"/>
          <w:sz w:val="22"/>
          <w:szCs w:val="22"/>
          <w:shd w:val="clear" w:color="auto" w:fill="FFFFFF"/>
        </w:rPr>
        <w:t>cryospheric</w:t>
      </w:r>
      <w:proofErr w:type="spellEnd"/>
      <w:r w:rsidRPr="00E44923">
        <w:rPr>
          <w:rFonts w:ascii="Arial" w:hAnsi="Arial" w:cs="Arial"/>
          <w:color w:val="222222"/>
          <w:sz w:val="22"/>
          <w:szCs w:val="22"/>
          <w:shd w:val="clear" w:color="auto" w:fill="FFFFFF"/>
        </w:rPr>
        <w:t xml:space="preserve"> hazards in a warming climate. </w:t>
      </w:r>
      <w:r w:rsidRPr="00E44923">
        <w:rPr>
          <w:rFonts w:ascii="Arial" w:hAnsi="Arial" w:cs="Arial"/>
          <w:i/>
          <w:iCs/>
          <w:color w:val="222222"/>
          <w:sz w:val="22"/>
          <w:szCs w:val="22"/>
          <w:shd w:val="clear" w:color="auto" w:fill="FFFFFF"/>
        </w:rPr>
        <w:t>Earth-Science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213</w:t>
      </w:r>
      <w:r w:rsidRPr="00E44923">
        <w:rPr>
          <w:rFonts w:ascii="Arial" w:hAnsi="Arial" w:cs="Arial"/>
          <w:color w:val="222222"/>
          <w:sz w:val="22"/>
          <w:szCs w:val="22"/>
          <w:shd w:val="clear" w:color="auto" w:fill="FFFFFF"/>
        </w:rPr>
        <w:t>, 103500.</w:t>
      </w:r>
    </w:p>
    <w:p w14:paraId="66A56FF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Wang, S. (2024). Opportunities and threats of cryosphere change to the achievement of UN 2030 SDGs. </w:t>
      </w:r>
      <w:r w:rsidRPr="00E44923">
        <w:rPr>
          <w:rFonts w:ascii="Arial" w:hAnsi="Arial" w:cs="Arial"/>
          <w:i/>
          <w:iCs/>
          <w:color w:val="222222"/>
          <w:sz w:val="22"/>
          <w:szCs w:val="22"/>
          <w:shd w:val="clear" w:color="auto" w:fill="FFFFFF"/>
        </w:rPr>
        <w:t>Humanities and Social Sciences Communications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1-13.</w:t>
      </w:r>
    </w:p>
    <w:p w14:paraId="73C668B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Zhang, T., Liu, H., Lu, Y., Wang, Q., Loh, Y. C., &amp; Li, Z. (2024). Impact of climate change on coastal ecosystem and outdoor activities: a comparative analysis among four largest coastline covering countries. </w:t>
      </w:r>
      <w:r w:rsidRPr="00E44923">
        <w:rPr>
          <w:rFonts w:ascii="Arial" w:hAnsi="Arial" w:cs="Arial"/>
          <w:i/>
          <w:iCs/>
          <w:color w:val="222222"/>
          <w:sz w:val="22"/>
          <w:szCs w:val="22"/>
          <w:shd w:val="clear" w:color="auto" w:fill="FFFFFF"/>
        </w:rPr>
        <w:t>Environmental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250</w:t>
      </w:r>
      <w:r w:rsidRPr="00E44923">
        <w:rPr>
          <w:rFonts w:ascii="Arial" w:hAnsi="Arial" w:cs="Arial"/>
          <w:color w:val="222222"/>
          <w:sz w:val="22"/>
          <w:szCs w:val="22"/>
          <w:shd w:val="clear" w:color="auto" w:fill="FFFFFF"/>
        </w:rPr>
        <w:t>, 118405.</w:t>
      </w:r>
    </w:p>
    <w:p w14:paraId="1DAC47F1" w14:textId="77777777" w:rsidR="002552A7" w:rsidRPr="00E44923" w:rsidRDefault="00F6615F"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hyperlink r:id="rId22" w:history="1">
        <w:r w:rsidR="002552A7" w:rsidRPr="00E44923">
          <w:rPr>
            <w:rStyle w:val="Hyperlink"/>
            <w:rFonts w:ascii="Arial" w:hAnsi="Arial" w:cs="Arial"/>
            <w:sz w:val="22"/>
            <w:szCs w:val="22"/>
            <w:shd w:val="clear" w:color="auto" w:fill="FFFFFF"/>
          </w:rPr>
          <w:t>https://www.ipcc.ch/report/sixth-assessment-report-cycle/</w:t>
        </w:r>
      </w:hyperlink>
    </w:p>
    <w:p w14:paraId="7550AE0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Weiskopf, S. R., Rubenstein, M. A., Crozier, L. G., </w:t>
      </w:r>
      <w:proofErr w:type="spellStart"/>
      <w:r w:rsidRPr="00E44923">
        <w:rPr>
          <w:rFonts w:ascii="Arial" w:hAnsi="Arial" w:cs="Arial"/>
          <w:color w:val="222222"/>
          <w:sz w:val="22"/>
          <w:szCs w:val="22"/>
          <w:shd w:val="clear" w:color="auto" w:fill="FFFFFF"/>
        </w:rPr>
        <w:t>Gaichas</w:t>
      </w:r>
      <w:proofErr w:type="spellEnd"/>
      <w:r w:rsidRPr="00E44923">
        <w:rPr>
          <w:rFonts w:ascii="Arial" w:hAnsi="Arial" w:cs="Arial"/>
          <w:color w:val="222222"/>
          <w:sz w:val="22"/>
          <w:szCs w:val="22"/>
          <w:shd w:val="clear" w:color="auto" w:fill="FFFFFF"/>
        </w:rPr>
        <w:t>, S., Griffis, R., Halofsky, J. E., ... &amp; Whyte, K. P. (2020). Climate change effects on biodiversity, ecosystems, ecosystem services, and natural resource management in the United States. </w:t>
      </w:r>
      <w:r w:rsidRPr="00E44923">
        <w:rPr>
          <w:rFonts w:ascii="Arial" w:hAnsi="Arial" w:cs="Arial"/>
          <w:i/>
          <w:iCs/>
          <w:color w:val="222222"/>
          <w:sz w:val="22"/>
          <w:szCs w:val="22"/>
          <w:shd w:val="clear" w:color="auto" w:fill="FFFFFF"/>
        </w:rPr>
        <w:t>Science of the Total Environment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733</w:t>
      </w:r>
      <w:r w:rsidRPr="00E44923">
        <w:rPr>
          <w:rFonts w:ascii="Arial" w:hAnsi="Arial" w:cs="Arial"/>
          <w:color w:val="222222"/>
          <w:sz w:val="22"/>
          <w:szCs w:val="22"/>
          <w:shd w:val="clear" w:color="auto" w:fill="FFFFFF"/>
        </w:rPr>
        <w:t>, 137782.</w:t>
      </w:r>
    </w:p>
    <w:p w14:paraId="33306B2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Brunet, G., Parsons, D. B., Ivanov, D., Lee, B., Bauer, P., Bernier, N. B., ... &amp; Yu, R. (2023). Advancing weather and climate forecasting for our changing world.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104</w:t>
      </w:r>
      <w:r w:rsidRPr="00E44923">
        <w:rPr>
          <w:rFonts w:ascii="Arial" w:hAnsi="Arial" w:cs="Arial"/>
          <w:color w:val="222222"/>
          <w:sz w:val="22"/>
          <w:szCs w:val="22"/>
          <w:shd w:val="clear" w:color="auto" w:fill="FFFFFF"/>
        </w:rPr>
        <w:t>(4), E909-E927.</w:t>
      </w:r>
    </w:p>
    <w:p w14:paraId="638C7F4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Tada, M., Yoshimura, K., &amp; Toride, K. (2021). Improving weather forecasting by assimilation of water vapor isotopes.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18067.</w:t>
      </w:r>
    </w:p>
    <w:p w14:paraId="1FFBB02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Stott, P. (2016). How climate change affects extreme weather events. </w:t>
      </w:r>
      <w:r w:rsidRPr="00E44923">
        <w:rPr>
          <w:rFonts w:ascii="Arial" w:hAnsi="Arial" w:cs="Arial"/>
          <w:i/>
          <w:iCs/>
          <w:color w:val="222222"/>
          <w:sz w:val="22"/>
          <w:szCs w:val="22"/>
          <w:shd w:val="clear" w:color="auto" w:fill="FFFFFF"/>
        </w:rPr>
        <w:t>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352</w:t>
      </w:r>
      <w:r w:rsidRPr="00E44923">
        <w:rPr>
          <w:rFonts w:ascii="Arial" w:hAnsi="Arial" w:cs="Arial"/>
          <w:color w:val="222222"/>
          <w:sz w:val="22"/>
          <w:szCs w:val="22"/>
          <w:shd w:val="clear" w:color="auto" w:fill="FFFFFF"/>
        </w:rPr>
        <w:t>(6293), 1517-1518.</w:t>
      </w:r>
    </w:p>
    <w:p w14:paraId="15A13DC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Ai, X., Han, Z., &amp; Zhang, Q. (2024). Extreme weather experience and climate change risk perceptions: The roles of partisanship and climate change cause attribution. </w:t>
      </w:r>
      <w:r w:rsidRPr="00E44923">
        <w:rPr>
          <w:rFonts w:ascii="Arial" w:hAnsi="Arial" w:cs="Arial"/>
          <w:i/>
          <w:iCs/>
          <w:color w:val="222222"/>
          <w:sz w:val="22"/>
          <w:szCs w:val="22"/>
          <w:shd w:val="clear" w:color="auto" w:fill="FFFFFF"/>
        </w:rPr>
        <w:t>International Journal of Disaster Risk Reduction</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108</w:t>
      </w:r>
      <w:r w:rsidRPr="00E44923">
        <w:rPr>
          <w:rFonts w:ascii="Arial" w:hAnsi="Arial" w:cs="Arial"/>
          <w:color w:val="222222"/>
          <w:sz w:val="22"/>
          <w:szCs w:val="22"/>
          <w:shd w:val="clear" w:color="auto" w:fill="FFFFFF"/>
        </w:rPr>
        <w:t>, 104511.</w:t>
      </w:r>
    </w:p>
    <w:p w14:paraId="65CAE56F" w14:textId="77777777" w:rsidR="002552A7" w:rsidRPr="00E44923" w:rsidRDefault="00F6615F" w:rsidP="00A53B65">
      <w:pPr>
        <w:pStyle w:val="ListParagraph"/>
        <w:numPr>
          <w:ilvl w:val="0"/>
          <w:numId w:val="13"/>
        </w:numPr>
        <w:suppressAutoHyphens w:val="0"/>
        <w:spacing w:line="360" w:lineRule="auto"/>
        <w:jc w:val="both"/>
        <w:rPr>
          <w:rStyle w:val="Hyperlink"/>
          <w:rFonts w:ascii="Arial" w:hAnsi="Arial" w:cs="Arial"/>
          <w:sz w:val="22"/>
          <w:szCs w:val="22"/>
        </w:rPr>
      </w:pPr>
      <w:hyperlink r:id="rId23" w:history="1">
        <w:r w:rsidR="002552A7" w:rsidRPr="00E44923">
          <w:rPr>
            <w:rStyle w:val="Hyperlink"/>
            <w:rFonts w:ascii="Arial" w:hAnsi="Arial" w:cs="Arial"/>
            <w:sz w:val="22"/>
            <w:szCs w:val="22"/>
          </w:rPr>
          <w:t>https://data.worldbank.org/</w:t>
        </w:r>
      </w:hyperlink>
    </w:p>
    <w:p w14:paraId="33D0C8BD"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Didal, V. K., </w:t>
      </w:r>
      <w:proofErr w:type="spellStart"/>
      <w:r w:rsidRPr="00E44923">
        <w:rPr>
          <w:rFonts w:ascii="Arial" w:hAnsi="Arial" w:cs="Arial"/>
          <w:color w:val="222222"/>
          <w:sz w:val="22"/>
          <w:szCs w:val="22"/>
          <w:shd w:val="clear" w:color="auto" w:fill="FFFFFF"/>
        </w:rPr>
        <w:t>Brijbhooshan</w:t>
      </w:r>
      <w:proofErr w:type="spellEnd"/>
      <w:r w:rsidRPr="00E44923">
        <w:rPr>
          <w:rFonts w:ascii="Arial" w:hAnsi="Arial" w:cs="Arial"/>
          <w:color w:val="222222"/>
          <w:sz w:val="22"/>
          <w:szCs w:val="22"/>
          <w:shd w:val="clear" w:color="auto" w:fill="FFFFFF"/>
        </w:rPr>
        <w:t>, A. T., &amp; Choudhary, K. (2017). Weather forecasting in India: A review. </w:t>
      </w:r>
      <w:r w:rsidRPr="00E44923">
        <w:rPr>
          <w:rFonts w:ascii="Arial" w:hAnsi="Arial" w:cs="Arial"/>
          <w:i/>
          <w:iCs/>
          <w:color w:val="222222"/>
          <w:sz w:val="22"/>
          <w:szCs w:val="22"/>
          <w:shd w:val="clear" w:color="auto" w:fill="FFFFFF"/>
        </w:rPr>
        <w:t>Int. J. Curr. Microbiol. App. Sci</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w:t>
      </w:r>
      <w:r w:rsidRPr="00E44923">
        <w:rPr>
          <w:rFonts w:ascii="Arial" w:hAnsi="Arial" w:cs="Arial"/>
          <w:color w:val="222222"/>
          <w:sz w:val="22"/>
          <w:szCs w:val="22"/>
          <w:shd w:val="clear" w:color="auto" w:fill="FFFFFF"/>
        </w:rPr>
        <w:t>(11), 577-590.</w:t>
      </w:r>
    </w:p>
    <w:p w14:paraId="6BB1C656"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Khajure</w:t>
      </w:r>
      <w:proofErr w:type="spellEnd"/>
      <w:r w:rsidRPr="00E44923">
        <w:rPr>
          <w:rFonts w:ascii="Arial" w:hAnsi="Arial" w:cs="Arial"/>
          <w:color w:val="222222"/>
          <w:sz w:val="22"/>
          <w:szCs w:val="22"/>
          <w:shd w:val="clear" w:color="auto" w:fill="FFFFFF"/>
        </w:rPr>
        <w:t xml:space="preserve">, S., &amp; </w:t>
      </w:r>
      <w:proofErr w:type="spellStart"/>
      <w:r w:rsidRPr="00E44923">
        <w:rPr>
          <w:rFonts w:ascii="Arial" w:hAnsi="Arial" w:cs="Arial"/>
          <w:color w:val="222222"/>
          <w:sz w:val="22"/>
          <w:szCs w:val="22"/>
          <w:shd w:val="clear" w:color="auto" w:fill="FFFFFF"/>
        </w:rPr>
        <w:t>Mohod</w:t>
      </w:r>
      <w:proofErr w:type="spellEnd"/>
      <w:r w:rsidRPr="00E44923">
        <w:rPr>
          <w:rFonts w:ascii="Arial" w:hAnsi="Arial" w:cs="Arial"/>
          <w:color w:val="222222"/>
          <w:sz w:val="22"/>
          <w:szCs w:val="22"/>
          <w:shd w:val="clear" w:color="auto" w:fill="FFFFFF"/>
        </w:rPr>
        <w:t>, S. W. (2016). Future weather forecasting using soft computing techniques. </w:t>
      </w:r>
      <w:r w:rsidRPr="00E44923">
        <w:rPr>
          <w:rFonts w:ascii="Arial" w:hAnsi="Arial" w:cs="Arial"/>
          <w:i/>
          <w:iCs/>
          <w:color w:val="222222"/>
          <w:sz w:val="22"/>
          <w:szCs w:val="22"/>
          <w:shd w:val="clear" w:color="auto" w:fill="FFFFFF"/>
        </w:rPr>
        <w:t>Procedia Computer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78</w:t>
      </w:r>
      <w:r w:rsidRPr="00E44923">
        <w:rPr>
          <w:rFonts w:ascii="Arial" w:hAnsi="Arial" w:cs="Arial"/>
          <w:color w:val="222222"/>
          <w:sz w:val="22"/>
          <w:szCs w:val="22"/>
          <w:shd w:val="clear" w:color="auto" w:fill="FFFFFF"/>
        </w:rPr>
        <w:t>, 402-407.</w:t>
      </w:r>
    </w:p>
    <w:p w14:paraId="1E12BC9E" w14:textId="77777777" w:rsidR="002552A7" w:rsidRPr="00E44923" w:rsidRDefault="002552A7" w:rsidP="00A53B65">
      <w:pPr>
        <w:pStyle w:val="ListParagraph"/>
        <w:numPr>
          <w:ilvl w:val="0"/>
          <w:numId w:val="13"/>
        </w:numPr>
        <w:suppressAutoHyphens w:val="0"/>
        <w:spacing w:line="360" w:lineRule="auto"/>
        <w:jc w:val="both"/>
        <w:rPr>
          <w:rFonts w:ascii="Arial" w:hAnsi="Arial" w:cs="Arial"/>
          <w:sz w:val="22"/>
          <w:szCs w:val="22"/>
        </w:rPr>
      </w:pPr>
      <w:r w:rsidRPr="00E44923">
        <w:rPr>
          <w:rFonts w:ascii="Arial" w:hAnsi="Arial" w:cs="Arial"/>
          <w:color w:val="222222"/>
          <w:sz w:val="22"/>
          <w:szCs w:val="22"/>
          <w:shd w:val="clear" w:color="auto" w:fill="FFFFFF"/>
        </w:rPr>
        <w:t xml:space="preserve">Jaseena, K. U., &amp; </w:t>
      </w:r>
      <w:proofErr w:type="spellStart"/>
      <w:r w:rsidRPr="00E44923">
        <w:rPr>
          <w:rFonts w:ascii="Arial" w:hAnsi="Arial" w:cs="Arial"/>
          <w:color w:val="222222"/>
          <w:sz w:val="22"/>
          <w:szCs w:val="22"/>
          <w:shd w:val="clear" w:color="auto" w:fill="FFFFFF"/>
        </w:rPr>
        <w:t>Kovoor</w:t>
      </w:r>
      <w:proofErr w:type="spellEnd"/>
      <w:r w:rsidRPr="00E44923">
        <w:rPr>
          <w:rFonts w:ascii="Arial" w:hAnsi="Arial" w:cs="Arial"/>
          <w:color w:val="222222"/>
          <w:sz w:val="22"/>
          <w:szCs w:val="22"/>
          <w:shd w:val="clear" w:color="auto" w:fill="FFFFFF"/>
        </w:rPr>
        <w:t>, B. C. (2022). Deterministic weather forecasting models based on intelligent predictors: A survey. </w:t>
      </w:r>
      <w:r w:rsidRPr="00E44923">
        <w:rPr>
          <w:rFonts w:ascii="Arial" w:hAnsi="Arial" w:cs="Arial"/>
          <w:i/>
          <w:iCs/>
          <w:color w:val="222222"/>
          <w:sz w:val="22"/>
          <w:szCs w:val="22"/>
          <w:shd w:val="clear" w:color="auto" w:fill="FFFFFF"/>
        </w:rPr>
        <w:t xml:space="preserve">Journal of king </w:t>
      </w:r>
      <w:proofErr w:type="spellStart"/>
      <w:r w:rsidRPr="00E44923">
        <w:rPr>
          <w:rFonts w:ascii="Arial" w:hAnsi="Arial" w:cs="Arial"/>
          <w:i/>
          <w:iCs/>
          <w:color w:val="222222"/>
          <w:sz w:val="22"/>
          <w:szCs w:val="22"/>
          <w:shd w:val="clear" w:color="auto" w:fill="FFFFFF"/>
        </w:rPr>
        <w:t>saud</w:t>
      </w:r>
      <w:proofErr w:type="spellEnd"/>
      <w:r w:rsidRPr="00E44923">
        <w:rPr>
          <w:rFonts w:ascii="Arial" w:hAnsi="Arial" w:cs="Arial"/>
          <w:i/>
          <w:iCs/>
          <w:color w:val="222222"/>
          <w:sz w:val="22"/>
          <w:szCs w:val="22"/>
          <w:shd w:val="clear" w:color="auto" w:fill="FFFFFF"/>
        </w:rPr>
        <w:t xml:space="preserve"> university-computer and information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(6), 3393-3412.</w:t>
      </w:r>
    </w:p>
    <w:p w14:paraId="4FDAB81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Bańbura</w:t>
      </w:r>
      <w:proofErr w:type="spellEnd"/>
      <w:r w:rsidRPr="00E44923">
        <w:rPr>
          <w:rFonts w:ascii="Arial" w:hAnsi="Arial" w:cs="Arial"/>
          <w:color w:val="222222"/>
          <w:sz w:val="22"/>
          <w:szCs w:val="22"/>
          <w:shd w:val="clear" w:color="auto" w:fill="FFFFFF"/>
        </w:rPr>
        <w:t>, M., Giannone, D., Modugno, M., &amp; Reichlin, L. (2013). Now-casting and the real-time data flow. In </w:t>
      </w:r>
      <w:r w:rsidRPr="00E44923">
        <w:rPr>
          <w:rFonts w:ascii="Arial" w:hAnsi="Arial" w:cs="Arial"/>
          <w:i/>
          <w:iCs/>
          <w:color w:val="222222"/>
          <w:sz w:val="22"/>
          <w:szCs w:val="22"/>
          <w:shd w:val="clear" w:color="auto" w:fill="FFFFFF"/>
        </w:rPr>
        <w:t>Handbook of economic forecasting</w:t>
      </w:r>
      <w:r w:rsidRPr="00E44923">
        <w:rPr>
          <w:rFonts w:ascii="Arial" w:hAnsi="Arial" w:cs="Arial"/>
          <w:color w:val="222222"/>
          <w:sz w:val="22"/>
          <w:szCs w:val="22"/>
          <w:shd w:val="clear" w:color="auto" w:fill="FFFFFF"/>
        </w:rPr>
        <w:t> (Vol. 2, pp. 195-237). Elsevier.</w:t>
      </w:r>
    </w:p>
    <w:p w14:paraId="14D60BA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Ravuri, S., </w:t>
      </w:r>
      <w:proofErr w:type="spellStart"/>
      <w:r w:rsidRPr="00E44923">
        <w:rPr>
          <w:rFonts w:ascii="Arial" w:hAnsi="Arial" w:cs="Arial"/>
          <w:color w:val="222222"/>
          <w:sz w:val="22"/>
          <w:szCs w:val="22"/>
          <w:shd w:val="clear" w:color="auto" w:fill="FFFFFF"/>
        </w:rPr>
        <w:t>Lenc</w:t>
      </w:r>
      <w:proofErr w:type="spellEnd"/>
      <w:r w:rsidRPr="00E44923">
        <w:rPr>
          <w:rFonts w:ascii="Arial" w:hAnsi="Arial" w:cs="Arial"/>
          <w:color w:val="222222"/>
          <w:sz w:val="22"/>
          <w:szCs w:val="22"/>
          <w:shd w:val="clear" w:color="auto" w:fill="FFFFFF"/>
        </w:rPr>
        <w:t xml:space="preserve">, K., Willson, M., </w:t>
      </w:r>
      <w:proofErr w:type="spellStart"/>
      <w:r w:rsidRPr="00E44923">
        <w:rPr>
          <w:rFonts w:ascii="Arial" w:hAnsi="Arial" w:cs="Arial"/>
          <w:color w:val="222222"/>
          <w:sz w:val="22"/>
          <w:szCs w:val="22"/>
          <w:shd w:val="clear" w:color="auto" w:fill="FFFFFF"/>
        </w:rPr>
        <w:t>Kangin</w:t>
      </w:r>
      <w:proofErr w:type="spellEnd"/>
      <w:r w:rsidRPr="00E44923">
        <w:rPr>
          <w:rFonts w:ascii="Arial" w:hAnsi="Arial" w:cs="Arial"/>
          <w:color w:val="222222"/>
          <w:sz w:val="22"/>
          <w:szCs w:val="22"/>
          <w:shd w:val="clear" w:color="auto" w:fill="FFFFFF"/>
        </w:rPr>
        <w:t xml:space="preserve">, D., Lam, R., Mirowski, P., ... &amp; Mohamed, S. (2021). </w:t>
      </w:r>
      <w:proofErr w:type="spellStart"/>
      <w:r w:rsidRPr="00E44923">
        <w:rPr>
          <w:rFonts w:ascii="Arial" w:hAnsi="Arial" w:cs="Arial"/>
          <w:color w:val="222222"/>
          <w:sz w:val="22"/>
          <w:szCs w:val="22"/>
          <w:shd w:val="clear" w:color="auto" w:fill="FFFFFF"/>
        </w:rPr>
        <w:t>Skilful</w:t>
      </w:r>
      <w:proofErr w:type="spellEnd"/>
      <w:r w:rsidRPr="00E44923">
        <w:rPr>
          <w:rFonts w:ascii="Arial" w:hAnsi="Arial" w:cs="Arial"/>
          <w:color w:val="222222"/>
          <w:sz w:val="22"/>
          <w:szCs w:val="22"/>
          <w:shd w:val="clear" w:color="auto" w:fill="FFFFFF"/>
        </w:rPr>
        <w:t xml:space="preserve"> precipitation nowcasting using deep generative models of radar. </w:t>
      </w:r>
      <w:r w:rsidRPr="00E44923">
        <w:rPr>
          <w:rFonts w:ascii="Arial" w:hAnsi="Arial" w:cs="Arial"/>
          <w:i/>
          <w:iCs/>
          <w:color w:val="222222"/>
          <w:sz w:val="22"/>
          <w:szCs w:val="22"/>
          <w:shd w:val="clear" w:color="auto" w:fill="FFFFFF"/>
        </w:rPr>
        <w:t>Nature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597</w:t>
      </w:r>
      <w:r w:rsidRPr="00E44923">
        <w:rPr>
          <w:rFonts w:ascii="Arial" w:hAnsi="Arial" w:cs="Arial"/>
          <w:color w:val="222222"/>
          <w:sz w:val="22"/>
          <w:szCs w:val="22"/>
          <w:shd w:val="clear" w:color="auto" w:fill="FFFFFF"/>
        </w:rPr>
        <w:t>(7878), 672-677.</w:t>
      </w:r>
    </w:p>
    <w:p w14:paraId="7289B45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Sarma, H. H., &amp; Kakoti, M. (2024). Significance of weather forecasting in crop production with respect to Indian scenario. </w:t>
      </w:r>
      <w:r w:rsidRPr="00E44923">
        <w:rPr>
          <w:rFonts w:ascii="Arial" w:hAnsi="Arial" w:cs="Arial"/>
          <w:i/>
          <w:iCs/>
          <w:color w:val="222222"/>
          <w:sz w:val="22"/>
          <w:szCs w:val="22"/>
          <w:shd w:val="clear" w:color="auto" w:fill="FFFFFF"/>
        </w:rPr>
        <w:t>Vigyan Varta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w:t>
      </w:r>
      <w:r w:rsidRPr="00E44923">
        <w:rPr>
          <w:rFonts w:ascii="Arial" w:hAnsi="Arial" w:cs="Arial"/>
          <w:color w:val="222222"/>
          <w:sz w:val="22"/>
          <w:szCs w:val="22"/>
          <w:shd w:val="clear" w:color="auto" w:fill="FFFFFF"/>
        </w:rPr>
        <w:t>(7), 95-102.</w:t>
      </w:r>
    </w:p>
    <w:p w14:paraId="27D89A6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Mamgain, A., Prasad, S. K., Sarkar, A., Shanker, G., Dube, A., &amp; Mitra, A. K. (2024). Evaluating short-range forecasts of a 12 km global ensemble prediction system and a 4 km convection-permitting regional ensemble prediction system.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181</w:t>
      </w:r>
      <w:r w:rsidRPr="00E44923">
        <w:rPr>
          <w:rFonts w:ascii="Arial" w:hAnsi="Arial" w:cs="Arial"/>
          <w:color w:val="222222"/>
          <w:sz w:val="22"/>
          <w:szCs w:val="22"/>
          <w:shd w:val="clear" w:color="auto" w:fill="FFFFFF"/>
        </w:rPr>
        <w:t>(7), 2217-2241.</w:t>
      </w:r>
    </w:p>
    <w:p w14:paraId="3BA7C31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Kumar, A., Maini, P., Rathore, L. S., &amp; Singh, S. V. (2000). An operational medium range local weather forecasting system developed in India. </w:t>
      </w:r>
      <w:r w:rsidRPr="00E44923">
        <w:rPr>
          <w:rFonts w:ascii="Arial" w:hAnsi="Arial" w:cs="Arial"/>
          <w:i/>
          <w:iCs/>
          <w:color w:val="222222"/>
          <w:sz w:val="22"/>
          <w:szCs w:val="22"/>
          <w:shd w:val="clear" w:color="auto" w:fill="FFFFFF"/>
        </w:rPr>
        <w:t>International Journal of Climatology: A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w:t>
      </w:r>
      <w:r w:rsidRPr="00E44923">
        <w:rPr>
          <w:rFonts w:ascii="Arial" w:hAnsi="Arial" w:cs="Arial"/>
          <w:color w:val="222222"/>
          <w:sz w:val="22"/>
          <w:szCs w:val="22"/>
          <w:shd w:val="clear" w:color="auto" w:fill="FFFFFF"/>
        </w:rPr>
        <w:t>(1), 73-87.</w:t>
      </w:r>
    </w:p>
    <w:p w14:paraId="2DF3741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Prasad, N., Quamar, M. F., Maneesha, M. E. T., Tiwari, P., Thakur, B., Sharma, A., ... &amp; Javed, M. (2024). Late Holocene vegetation history and monsoonal climate change from the Core Monsoon Zone of India. </w:t>
      </w:r>
      <w:r w:rsidRPr="00E44923">
        <w:rPr>
          <w:rFonts w:ascii="Arial" w:hAnsi="Arial" w:cs="Arial"/>
          <w:i/>
          <w:iCs/>
          <w:color w:val="222222"/>
          <w:sz w:val="22"/>
          <w:szCs w:val="22"/>
          <w:shd w:val="clear" w:color="auto" w:fill="FFFFFF"/>
        </w:rPr>
        <w:t>Catena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246</w:t>
      </w:r>
      <w:r w:rsidRPr="00E44923">
        <w:rPr>
          <w:rFonts w:ascii="Arial" w:hAnsi="Arial" w:cs="Arial"/>
          <w:color w:val="222222"/>
          <w:sz w:val="22"/>
          <w:szCs w:val="22"/>
          <w:shd w:val="clear" w:color="auto" w:fill="FFFFFF"/>
        </w:rPr>
        <w:t>, 108394.</w:t>
      </w:r>
    </w:p>
    <w:p w14:paraId="6FB9551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Zheng, Z., Huang, J., Feng, G., &amp; Chou, J. (2013). Forecast scheme and strategy for extended-range predictable components. </w:t>
      </w:r>
      <w:r w:rsidRPr="00E44923">
        <w:rPr>
          <w:rFonts w:ascii="Arial" w:hAnsi="Arial" w:cs="Arial"/>
          <w:i/>
          <w:iCs/>
          <w:color w:val="222222"/>
          <w:sz w:val="22"/>
          <w:szCs w:val="22"/>
          <w:shd w:val="clear" w:color="auto" w:fill="FFFFFF"/>
        </w:rPr>
        <w:t>Science China Earth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56</w:t>
      </w:r>
      <w:r w:rsidRPr="00E44923">
        <w:rPr>
          <w:rFonts w:ascii="Arial" w:hAnsi="Arial" w:cs="Arial"/>
          <w:color w:val="222222"/>
          <w:sz w:val="22"/>
          <w:szCs w:val="22"/>
          <w:shd w:val="clear" w:color="auto" w:fill="FFFFFF"/>
        </w:rPr>
        <w:t>(5), 878-889.</w:t>
      </w:r>
    </w:p>
    <w:p w14:paraId="34016EA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&amp; Li, T. (2018). Extended-range forecasting of Chinese summer surface air temperature and heat waves.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50</w:t>
      </w:r>
      <w:r w:rsidRPr="00E44923">
        <w:rPr>
          <w:rFonts w:ascii="Arial" w:hAnsi="Arial" w:cs="Arial"/>
          <w:color w:val="222222"/>
          <w:sz w:val="22"/>
          <w:szCs w:val="22"/>
          <w:shd w:val="clear" w:color="auto" w:fill="FFFFFF"/>
        </w:rPr>
        <w:t>(5), 2007-2021.</w:t>
      </w:r>
    </w:p>
    <w:p w14:paraId="35FED1B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Mohapatra, M., Srivastava, A. K., &amp; Kumar, A. (2017). Heat wave over India during summer 2015: an assessment of real time extended range forecast.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129</w:t>
      </w:r>
      <w:r w:rsidRPr="00E44923">
        <w:rPr>
          <w:rFonts w:ascii="Arial" w:hAnsi="Arial" w:cs="Arial"/>
          <w:color w:val="222222"/>
          <w:sz w:val="22"/>
          <w:szCs w:val="22"/>
          <w:shd w:val="clear" w:color="auto" w:fill="FFFFFF"/>
        </w:rPr>
        <w:t>(4), 375-393.</w:t>
      </w:r>
    </w:p>
    <w:p w14:paraId="0BC0132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Pattanaik, D. R., Sahai, A. K., Mandal, R., Muralikrishna, R. P., Dey, A., Chattopadhyay, R., ... &amp; Mishra, V. (2019). Evolution of operational extended range forecast system of IMD: Prospects of its applications in different sectors. Mausam, 70(2), 233-264.</w:t>
      </w:r>
    </w:p>
    <w:p w14:paraId="62AC79F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Kumar, P., Pattanaik, D. R., &amp; Alone, A. (2022). Bias-corrected extended-range forecast over India for hydrological applications during monsoon 2020.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179</w:t>
      </w:r>
      <w:r w:rsidRPr="00E44923">
        <w:rPr>
          <w:rFonts w:ascii="Arial" w:hAnsi="Arial" w:cs="Arial"/>
          <w:color w:val="222222"/>
          <w:sz w:val="22"/>
          <w:szCs w:val="22"/>
          <w:shd w:val="clear" w:color="auto" w:fill="FFFFFF"/>
        </w:rPr>
        <w:t>(5), 1995-2009.</w:t>
      </w:r>
    </w:p>
    <w:p w14:paraId="0DCEEF2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Gouda, K. C., Nahak, S., &amp; Goswami, P. (2018). Evaluation of a GCM in seasonal forecasting of extreme rainfall events over continental India. </w:t>
      </w:r>
      <w:r w:rsidRPr="00E44923">
        <w:rPr>
          <w:rFonts w:ascii="Arial" w:hAnsi="Arial" w:cs="Arial"/>
          <w:i/>
          <w:iCs/>
          <w:color w:val="222222"/>
          <w:sz w:val="22"/>
          <w:szCs w:val="22"/>
          <w:shd w:val="clear" w:color="auto" w:fill="FFFFFF"/>
        </w:rPr>
        <w:t>Weather and climate extremes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21</w:t>
      </w:r>
      <w:r w:rsidRPr="00E44923">
        <w:rPr>
          <w:rFonts w:ascii="Arial" w:hAnsi="Arial" w:cs="Arial"/>
          <w:color w:val="222222"/>
          <w:sz w:val="22"/>
          <w:szCs w:val="22"/>
          <w:shd w:val="clear" w:color="auto" w:fill="FFFFFF"/>
        </w:rPr>
        <w:t>, 10-16.</w:t>
      </w:r>
    </w:p>
    <w:p w14:paraId="56B9E53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Mohanty, U. C., Sinha, P., Mohanty, M. R., Maurya, R. K. S., &amp; Rao, M. N. (2019). A review on the monthly and seasonal forecast of the Indian summer monsoon.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70</w:t>
      </w:r>
      <w:r w:rsidRPr="00E44923">
        <w:rPr>
          <w:rFonts w:ascii="Arial" w:hAnsi="Arial" w:cs="Arial"/>
          <w:color w:val="222222"/>
          <w:sz w:val="22"/>
          <w:szCs w:val="22"/>
          <w:shd w:val="clear" w:color="auto" w:fill="FFFFFF"/>
        </w:rPr>
        <w:t>(3), 425-442.</w:t>
      </w:r>
    </w:p>
    <w:p w14:paraId="349B495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Madolli, M. J., Himanshu, S. K., Patro, E. R., &amp; De Michele, C. (2022). Past, present and future perspectives of seasonal prediction of Indian summer monsoon rainfall: A review. </w:t>
      </w:r>
      <w:r w:rsidRPr="00E44923">
        <w:rPr>
          <w:rFonts w:ascii="Arial" w:hAnsi="Arial" w:cs="Arial"/>
          <w:i/>
          <w:iCs/>
          <w:color w:val="222222"/>
          <w:sz w:val="22"/>
          <w:szCs w:val="22"/>
          <w:shd w:val="clear" w:color="auto" w:fill="FFFFFF"/>
        </w:rPr>
        <w:t>Asia-Pacific Journal of Atmospheric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58</w:t>
      </w:r>
      <w:r w:rsidRPr="00E44923">
        <w:rPr>
          <w:rFonts w:ascii="Arial" w:hAnsi="Arial" w:cs="Arial"/>
          <w:color w:val="222222"/>
          <w:sz w:val="22"/>
          <w:szCs w:val="22"/>
          <w:shd w:val="clear" w:color="auto" w:fill="FFFFFF"/>
        </w:rPr>
        <w:t>(4), 591-615.</w:t>
      </w:r>
    </w:p>
    <w:p w14:paraId="4459910E" w14:textId="77777777" w:rsidR="002552A7" w:rsidRPr="00E44923" w:rsidRDefault="00F6615F" w:rsidP="00A53B65">
      <w:pPr>
        <w:pStyle w:val="ListParagraph"/>
        <w:numPr>
          <w:ilvl w:val="0"/>
          <w:numId w:val="13"/>
        </w:numPr>
        <w:suppressAutoHyphens w:val="0"/>
        <w:spacing w:after="160" w:line="360" w:lineRule="auto"/>
        <w:jc w:val="both"/>
        <w:rPr>
          <w:rFonts w:ascii="Arial" w:hAnsi="Arial" w:cs="Arial"/>
          <w:sz w:val="22"/>
          <w:szCs w:val="22"/>
        </w:rPr>
      </w:pPr>
      <w:hyperlink r:id="rId24" w:history="1">
        <w:r w:rsidR="002552A7" w:rsidRPr="00E44923">
          <w:rPr>
            <w:rStyle w:val="Hyperlink"/>
            <w:rFonts w:ascii="Arial" w:hAnsi="Arial" w:cs="Arial"/>
            <w:sz w:val="22"/>
            <w:szCs w:val="22"/>
          </w:rPr>
          <w:t>https://mausam.imd.gov.in/imd_latest/contents/pdf/forecasting_sop.pdf</w:t>
        </w:r>
      </w:hyperlink>
    </w:p>
    <w:p w14:paraId="3B1EA8F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Vitart</w:t>
      </w:r>
      <w:proofErr w:type="spellEnd"/>
      <w:r w:rsidRPr="00E44923">
        <w:rPr>
          <w:rFonts w:ascii="Arial" w:hAnsi="Arial" w:cs="Arial"/>
          <w:color w:val="222222"/>
          <w:sz w:val="22"/>
          <w:szCs w:val="22"/>
          <w:shd w:val="clear" w:color="auto" w:fill="FFFFFF"/>
        </w:rPr>
        <w:t xml:space="preserve">, F., Robertson, A. W., &amp; Anderson, D. L. (2012).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to seasonal prediction project: Bridging the gap between weather and climate. </w:t>
      </w:r>
      <w:r w:rsidRPr="00E44923">
        <w:rPr>
          <w:rFonts w:ascii="Arial" w:hAnsi="Arial" w:cs="Arial"/>
          <w:i/>
          <w:iCs/>
          <w:color w:val="222222"/>
          <w:sz w:val="22"/>
          <w:szCs w:val="22"/>
          <w:shd w:val="clear" w:color="auto" w:fill="FFFFFF"/>
        </w:rPr>
        <w:t>Bulletin of the World Meteorological Organization</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61</w:t>
      </w:r>
      <w:r w:rsidRPr="00E44923">
        <w:rPr>
          <w:rFonts w:ascii="Arial" w:hAnsi="Arial" w:cs="Arial"/>
          <w:color w:val="222222"/>
          <w:sz w:val="22"/>
          <w:szCs w:val="22"/>
          <w:shd w:val="clear" w:color="auto" w:fill="FFFFFF"/>
        </w:rPr>
        <w:t>(2), 23.</w:t>
      </w:r>
    </w:p>
    <w:p w14:paraId="2245E92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 xml:space="preserve">Robertson AW, </w:t>
      </w:r>
      <w:proofErr w:type="spellStart"/>
      <w:r w:rsidRPr="00E44923">
        <w:rPr>
          <w:rFonts w:ascii="Arial" w:hAnsi="Arial" w:cs="Arial"/>
          <w:sz w:val="22"/>
          <w:szCs w:val="22"/>
        </w:rPr>
        <w:t>Vitart</w:t>
      </w:r>
      <w:proofErr w:type="spellEnd"/>
      <w:r w:rsidRPr="00E44923">
        <w:rPr>
          <w:rFonts w:ascii="Arial" w:hAnsi="Arial" w:cs="Arial"/>
          <w:sz w:val="22"/>
          <w:szCs w:val="22"/>
        </w:rPr>
        <w:t xml:space="preserve"> F, Camargo SJ. </w:t>
      </w:r>
      <w:proofErr w:type="spellStart"/>
      <w:r w:rsidRPr="00E44923">
        <w:rPr>
          <w:rFonts w:ascii="Arial" w:hAnsi="Arial" w:cs="Arial"/>
          <w:sz w:val="22"/>
          <w:szCs w:val="22"/>
        </w:rPr>
        <w:t>Subseasonal</w:t>
      </w:r>
      <w:proofErr w:type="spellEnd"/>
      <w:r w:rsidRPr="00E44923">
        <w:rPr>
          <w:rFonts w:ascii="Arial" w:hAnsi="Arial" w:cs="Arial"/>
          <w:sz w:val="22"/>
          <w:szCs w:val="22"/>
        </w:rPr>
        <w:t xml:space="preserve"> to seasonal prediction of weather to climate with application to tropical cyclones. Journal of Geophysical Research: Atmospheres. 2020 Mar 27;125(6</w:t>
      </w:r>
      <w:proofErr w:type="gramStart"/>
      <w:r w:rsidRPr="00E44923">
        <w:rPr>
          <w:rFonts w:ascii="Arial" w:hAnsi="Arial" w:cs="Arial"/>
          <w:sz w:val="22"/>
          <w:szCs w:val="22"/>
        </w:rPr>
        <w:t>):e</w:t>
      </w:r>
      <w:proofErr w:type="gramEnd"/>
      <w:r w:rsidRPr="00E44923">
        <w:rPr>
          <w:rFonts w:ascii="Arial" w:hAnsi="Arial" w:cs="Arial"/>
          <w:sz w:val="22"/>
          <w:szCs w:val="22"/>
        </w:rPr>
        <w:t>2018JD029375.</w:t>
      </w:r>
    </w:p>
    <w:p w14:paraId="6F0D23B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White, C. J., Carlsen, H., Robertson, A. W., Klein, R. J., Lazo, J. K., Kumar, A., ... &amp; </w:t>
      </w:r>
      <w:proofErr w:type="spellStart"/>
      <w:r w:rsidRPr="00E44923">
        <w:rPr>
          <w:rFonts w:ascii="Arial" w:hAnsi="Arial" w:cs="Arial"/>
          <w:color w:val="222222"/>
          <w:sz w:val="22"/>
          <w:szCs w:val="22"/>
          <w:shd w:val="clear" w:color="auto" w:fill="FFFFFF"/>
        </w:rPr>
        <w:t>Zebiak</w:t>
      </w:r>
      <w:proofErr w:type="spellEnd"/>
      <w:r w:rsidRPr="00E44923">
        <w:rPr>
          <w:rFonts w:ascii="Arial" w:hAnsi="Arial" w:cs="Arial"/>
          <w:color w:val="222222"/>
          <w:sz w:val="22"/>
          <w:szCs w:val="22"/>
          <w:shd w:val="clear" w:color="auto" w:fill="FFFFFF"/>
        </w:rPr>
        <w:t xml:space="preserve">, S. E. (2017). Potential applications of </w:t>
      </w:r>
      <w:proofErr w:type="spellStart"/>
      <w:r w:rsidRPr="00E44923">
        <w:rPr>
          <w:rFonts w:ascii="Arial" w:hAnsi="Arial" w:cs="Arial"/>
          <w:color w:val="222222"/>
          <w:sz w:val="22"/>
          <w:szCs w:val="22"/>
          <w:shd w:val="clear" w:color="auto" w:fill="FFFFFF"/>
        </w:rPr>
        <w:t>subseasonal</w:t>
      </w:r>
      <w:proofErr w:type="spellEnd"/>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to</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seasonal (S2S) predictions.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w:t>
      </w:r>
      <w:r w:rsidRPr="00E44923">
        <w:rPr>
          <w:rFonts w:ascii="Arial" w:hAnsi="Arial" w:cs="Arial"/>
          <w:color w:val="222222"/>
          <w:sz w:val="22"/>
          <w:szCs w:val="22"/>
          <w:shd w:val="clear" w:color="auto" w:fill="FFFFFF"/>
        </w:rPr>
        <w:t>(3), 315-325.</w:t>
      </w:r>
    </w:p>
    <w:p w14:paraId="66206BC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White, C. J., </w:t>
      </w:r>
      <w:proofErr w:type="spellStart"/>
      <w:r w:rsidRPr="00E44923">
        <w:rPr>
          <w:rFonts w:ascii="Arial" w:hAnsi="Arial" w:cs="Arial"/>
          <w:color w:val="222222"/>
          <w:sz w:val="22"/>
          <w:szCs w:val="22"/>
          <w:shd w:val="clear" w:color="auto" w:fill="FFFFFF"/>
        </w:rPr>
        <w:t>Domeisen</w:t>
      </w:r>
      <w:proofErr w:type="spellEnd"/>
      <w:r w:rsidRPr="00E44923">
        <w:rPr>
          <w:rFonts w:ascii="Arial" w:hAnsi="Arial" w:cs="Arial"/>
          <w:color w:val="222222"/>
          <w:sz w:val="22"/>
          <w:szCs w:val="22"/>
          <w:shd w:val="clear" w:color="auto" w:fill="FFFFFF"/>
        </w:rPr>
        <w:t xml:space="preserve">, D. I., Acharya, N., </w:t>
      </w:r>
      <w:proofErr w:type="spellStart"/>
      <w:r w:rsidRPr="00E44923">
        <w:rPr>
          <w:rFonts w:ascii="Arial" w:hAnsi="Arial" w:cs="Arial"/>
          <w:color w:val="222222"/>
          <w:sz w:val="22"/>
          <w:szCs w:val="22"/>
          <w:shd w:val="clear" w:color="auto" w:fill="FFFFFF"/>
        </w:rPr>
        <w:t>Adefisan</w:t>
      </w:r>
      <w:proofErr w:type="spellEnd"/>
      <w:r w:rsidRPr="00E44923">
        <w:rPr>
          <w:rFonts w:ascii="Arial" w:hAnsi="Arial" w:cs="Arial"/>
          <w:color w:val="222222"/>
          <w:sz w:val="22"/>
          <w:szCs w:val="22"/>
          <w:shd w:val="clear" w:color="auto" w:fill="FFFFFF"/>
        </w:rPr>
        <w:t xml:space="preserve">, E. A., Anderson, M. L., Aura, S., ... &amp; Wilson, R. G. (2022). Advances in the application and utility of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-to-seasonal predictions.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103</w:t>
      </w:r>
      <w:r w:rsidRPr="00E44923">
        <w:rPr>
          <w:rFonts w:ascii="Arial" w:hAnsi="Arial" w:cs="Arial"/>
          <w:color w:val="222222"/>
          <w:sz w:val="22"/>
          <w:szCs w:val="22"/>
          <w:shd w:val="clear" w:color="auto" w:fill="FFFFFF"/>
        </w:rPr>
        <w:t>(6), E1448-E1472.</w:t>
      </w:r>
    </w:p>
    <w:p w14:paraId="04D305E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Fu, X., &amp; Hsu, P. C. (2011). Extended</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ensemble forecasting of tropical cyclogenesis in the northern Indian Ocean: Modulation of Madden</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Julian Oscillation.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38</w:t>
      </w:r>
      <w:r w:rsidRPr="00E44923">
        <w:rPr>
          <w:rFonts w:ascii="Arial" w:hAnsi="Arial" w:cs="Arial"/>
          <w:color w:val="222222"/>
          <w:sz w:val="22"/>
          <w:szCs w:val="22"/>
          <w:shd w:val="clear" w:color="auto" w:fill="FFFFFF"/>
        </w:rPr>
        <w:t>(15).</w:t>
      </w:r>
    </w:p>
    <w:p w14:paraId="2E968EF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Lorenc, A. C. (1986). Analysis methods for numerical weather prediction. </w:t>
      </w:r>
      <w:r w:rsidRPr="00E44923">
        <w:rPr>
          <w:rFonts w:ascii="Arial" w:hAnsi="Arial" w:cs="Arial"/>
          <w:i/>
          <w:iCs/>
          <w:color w:val="222222"/>
          <w:sz w:val="22"/>
          <w:szCs w:val="22"/>
          <w:shd w:val="clear" w:color="auto" w:fill="FFFFFF"/>
        </w:rPr>
        <w:t>Quarterly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112</w:t>
      </w:r>
      <w:r w:rsidRPr="00E44923">
        <w:rPr>
          <w:rFonts w:ascii="Arial" w:hAnsi="Arial" w:cs="Arial"/>
          <w:color w:val="222222"/>
          <w:sz w:val="22"/>
          <w:szCs w:val="22"/>
          <w:shd w:val="clear" w:color="auto" w:fill="FFFFFF"/>
        </w:rPr>
        <w:t>(474), 1177-1194.</w:t>
      </w:r>
    </w:p>
    <w:p w14:paraId="60F772F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Kimura, R. (2002). Numerical weather prediction. </w:t>
      </w:r>
      <w:r w:rsidRPr="00E44923">
        <w:rPr>
          <w:rFonts w:ascii="Arial" w:hAnsi="Arial" w:cs="Arial"/>
          <w:i/>
          <w:iCs/>
          <w:color w:val="222222"/>
          <w:sz w:val="22"/>
          <w:szCs w:val="22"/>
          <w:shd w:val="clear" w:color="auto" w:fill="FFFFFF"/>
        </w:rPr>
        <w:t>Journal of Wind Engineering and Industrial Aerodynamics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90</w:t>
      </w:r>
      <w:r w:rsidRPr="00E44923">
        <w:rPr>
          <w:rFonts w:ascii="Arial" w:hAnsi="Arial" w:cs="Arial"/>
          <w:color w:val="222222"/>
          <w:sz w:val="22"/>
          <w:szCs w:val="22"/>
          <w:shd w:val="clear" w:color="auto" w:fill="FFFFFF"/>
        </w:rPr>
        <w:t>(12-15), 1403-1414.</w:t>
      </w:r>
    </w:p>
    <w:p w14:paraId="10027AC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Brotzge, J. A., </w:t>
      </w:r>
      <w:proofErr w:type="spellStart"/>
      <w:r w:rsidRPr="00E44923">
        <w:rPr>
          <w:rFonts w:ascii="Arial" w:hAnsi="Arial" w:cs="Arial"/>
          <w:color w:val="222222"/>
          <w:sz w:val="22"/>
          <w:szCs w:val="22"/>
          <w:shd w:val="clear" w:color="auto" w:fill="FFFFFF"/>
        </w:rPr>
        <w:t>Berchoff</w:t>
      </w:r>
      <w:proofErr w:type="spellEnd"/>
      <w:r w:rsidRPr="00E44923">
        <w:rPr>
          <w:rFonts w:ascii="Arial" w:hAnsi="Arial" w:cs="Arial"/>
          <w:color w:val="222222"/>
          <w:sz w:val="22"/>
          <w:szCs w:val="22"/>
          <w:shd w:val="clear" w:color="auto" w:fill="FFFFFF"/>
        </w:rPr>
        <w:t>, D., Carlis, D. L., Carr, F. H., Carr, R. H., Gerth, J. J., ... &amp; Wang, X. (2023). Challenges and opportunities in numerical weather prediction.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104</w:t>
      </w:r>
      <w:r w:rsidRPr="00E44923">
        <w:rPr>
          <w:rFonts w:ascii="Arial" w:hAnsi="Arial" w:cs="Arial"/>
          <w:color w:val="222222"/>
          <w:sz w:val="22"/>
          <w:szCs w:val="22"/>
          <w:shd w:val="clear" w:color="auto" w:fill="FFFFFF"/>
        </w:rPr>
        <w:t>(3), E698-E705.</w:t>
      </w:r>
    </w:p>
    <w:p w14:paraId="4A2BC56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Kumar, T. V., &amp; Krishnamurti, T. N. (2006). High resolution numerical weather prediction over the Indian subcontinent. </w:t>
      </w:r>
      <w:r w:rsidRPr="00E44923">
        <w:rPr>
          <w:rFonts w:ascii="Arial" w:hAnsi="Arial" w:cs="Arial"/>
          <w:i/>
          <w:iCs/>
          <w:color w:val="222222"/>
          <w:sz w:val="22"/>
          <w:szCs w:val="22"/>
          <w:shd w:val="clear" w:color="auto" w:fill="FFFFFF"/>
        </w:rPr>
        <w:t>Journal of earth system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115</w:t>
      </w:r>
      <w:r w:rsidRPr="00E44923">
        <w:rPr>
          <w:rFonts w:ascii="Arial" w:hAnsi="Arial" w:cs="Arial"/>
          <w:color w:val="222222"/>
          <w:sz w:val="22"/>
          <w:szCs w:val="22"/>
          <w:shd w:val="clear" w:color="auto" w:fill="FFFFFF"/>
        </w:rPr>
        <w:t>(5), 529-555.</w:t>
      </w:r>
    </w:p>
    <w:p w14:paraId="0C400BD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Mengaldo, G., </w:t>
      </w:r>
      <w:proofErr w:type="spellStart"/>
      <w:r w:rsidRPr="00E44923">
        <w:rPr>
          <w:rFonts w:ascii="Arial" w:hAnsi="Arial" w:cs="Arial"/>
          <w:color w:val="222222"/>
          <w:sz w:val="22"/>
          <w:szCs w:val="22"/>
          <w:shd w:val="clear" w:color="auto" w:fill="FFFFFF"/>
        </w:rPr>
        <w:t>Wyszogrodzki</w:t>
      </w:r>
      <w:proofErr w:type="spellEnd"/>
      <w:r w:rsidRPr="00E44923">
        <w:rPr>
          <w:rFonts w:ascii="Arial" w:hAnsi="Arial" w:cs="Arial"/>
          <w:color w:val="222222"/>
          <w:sz w:val="22"/>
          <w:szCs w:val="22"/>
          <w:shd w:val="clear" w:color="auto" w:fill="FFFFFF"/>
        </w:rPr>
        <w:t xml:space="preserve">, A., </w:t>
      </w:r>
      <w:proofErr w:type="spellStart"/>
      <w:r w:rsidRPr="00E44923">
        <w:rPr>
          <w:rFonts w:ascii="Arial" w:hAnsi="Arial" w:cs="Arial"/>
          <w:color w:val="222222"/>
          <w:sz w:val="22"/>
          <w:szCs w:val="22"/>
          <w:shd w:val="clear" w:color="auto" w:fill="FFFFFF"/>
        </w:rPr>
        <w:t>Diamantakis</w:t>
      </w:r>
      <w:proofErr w:type="spellEnd"/>
      <w:r w:rsidRPr="00E44923">
        <w:rPr>
          <w:rFonts w:ascii="Arial" w:hAnsi="Arial" w:cs="Arial"/>
          <w:color w:val="222222"/>
          <w:sz w:val="22"/>
          <w:szCs w:val="22"/>
          <w:shd w:val="clear" w:color="auto" w:fill="FFFFFF"/>
        </w:rPr>
        <w:t>, M., Lock, S. J., Giraldo, F. X., &amp; Wedi, N. P. (2019). Current and emerging time-integration strategies in global numerical weather and climate prediction. </w:t>
      </w:r>
      <w:r w:rsidRPr="00E44923">
        <w:rPr>
          <w:rFonts w:ascii="Arial" w:hAnsi="Arial" w:cs="Arial"/>
          <w:i/>
          <w:iCs/>
          <w:color w:val="222222"/>
          <w:sz w:val="22"/>
          <w:szCs w:val="22"/>
          <w:shd w:val="clear" w:color="auto" w:fill="FFFFFF"/>
        </w:rPr>
        <w:t>Archives of Computational Methods in Engineering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26</w:t>
      </w:r>
      <w:r w:rsidRPr="00E44923">
        <w:rPr>
          <w:rFonts w:ascii="Arial" w:hAnsi="Arial" w:cs="Arial"/>
          <w:color w:val="222222"/>
          <w:sz w:val="22"/>
          <w:szCs w:val="22"/>
          <w:shd w:val="clear" w:color="auto" w:fill="FFFFFF"/>
        </w:rPr>
        <w:t>(3), 663-684.</w:t>
      </w:r>
    </w:p>
    <w:p w14:paraId="1012ABF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Pu, Z., &amp; </w:t>
      </w:r>
      <w:proofErr w:type="spellStart"/>
      <w:r w:rsidRPr="00E44923">
        <w:rPr>
          <w:rFonts w:ascii="Arial" w:hAnsi="Arial" w:cs="Arial"/>
          <w:color w:val="222222"/>
          <w:sz w:val="22"/>
          <w:szCs w:val="22"/>
          <w:shd w:val="clear" w:color="auto" w:fill="FFFFFF"/>
        </w:rPr>
        <w:t>Kalnay</w:t>
      </w:r>
      <w:proofErr w:type="spellEnd"/>
      <w:r w:rsidRPr="00E44923">
        <w:rPr>
          <w:rFonts w:ascii="Arial" w:hAnsi="Arial" w:cs="Arial"/>
          <w:color w:val="222222"/>
          <w:sz w:val="22"/>
          <w:szCs w:val="22"/>
          <w:shd w:val="clear" w:color="auto" w:fill="FFFFFF"/>
        </w:rPr>
        <w:t>, E. (2018). Numerical weather prediction basics: Models, numerical methods, and data assimilation. In </w:t>
      </w:r>
      <w:r w:rsidRPr="00E44923">
        <w:rPr>
          <w:rFonts w:ascii="Arial" w:hAnsi="Arial" w:cs="Arial"/>
          <w:i/>
          <w:iCs/>
          <w:color w:val="222222"/>
          <w:sz w:val="22"/>
          <w:szCs w:val="22"/>
          <w:shd w:val="clear" w:color="auto" w:fill="FFFFFF"/>
        </w:rPr>
        <w:t>Handbook of hydrometeorological ensemble forecasting</w:t>
      </w:r>
      <w:r w:rsidRPr="00E44923">
        <w:rPr>
          <w:rFonts w:ascii="Arial" w:hAnsi="Arial" w:cs="Arial"/>
          <w:color w:val="222222"/>
          <w:sz w:val="22"/>
          <w:szCs w:val="22"/>
          <w:shd w:val="clear" w:color="auto" w:fill="FFFFFF"/>
        </w:rPr>
        <w:t> (pp. 1-31). Springer, Berlin, Heidelberg.</w:t>
      </w:r>
    </w:p>
    <w:p w14:paraId="375B13E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 xml:space="preserve">Pathak, J., Subramanian, S., Harrington, P., Raja, S., Chattopadhyay, A., Mardani, M., ... &amp; Anandkumar, A. (2022). </w:t>
      </w:r>
      <w:proofErr w:type="spellStart"/>
      <w:r w:rsidRPr="00E44923">
        <w:rPr>
          <w:rFonts w:ascii="Arial" w:hAnsi="Arial" w:cs="Arial"/>
          <w:sz w:val="22"/>
          <w:szCs w:val="22"/>
        </w:rPr>
        <w:t>Fourcastnet</w:t>
      </w:r>
      <w:proofErr w:type="spellEnd"/>
      <w:r w:rsidRPr="00E44923">
        <w:rPr>
          <w:rFonts w:ascii="Arial" w:hAnsi="Arial" w:cs="Arial"/>
          <w:sz w:val="22"/>
          <w:szCs w:val="22"/>
        </w:rPr>
        <w:t xml:space="preserve">: A global data-driven high-resolution weather model using adaptive </w:t>
      </w:r>
      <w:proofErr w:type="spellStart"/>
      <w:r w:rsidRPr="00E44923">
        <w:rPr>
          <w:rFonts w:ascii="Arial" w:hAnsi="Arial" w:cs="Arial"/>
          <w:sz w:val="22"/>
          <w:szCs w:val="22"/>
        </w:rPr>
        <w:t>fourier</w:t>
      </w:r>
      <w:proofErr w:type="spellEnd"/>
      <w:r w:rsidRPr="00E44923">
        <w:rPr>
          <w:rFonts w:ascii="Arial" w:hAnsi="Arial" w:cs="Arial"/>
          <w:sz w:val="22"/>
          <w:szCs w:val="22"/>
        </w:rPr>
        <w:t xml:space="preserve"> neural operators. </w:t>
      </w:r>
      <w:proofErr w:type="spellStart"/>
      <w:r w:rsidRPr="00E44923">
        <w:rPr>
          <w:rFonts w:ascii="Arial" w:hAnsi="Arial" w:cs="Arial"/>
          <w:sz w:val="22"/>
          <w:szCs w:val="22"/>
        </w:rPr>
        <w:t>arXiv</w:t>
      </w:r>
      <w:proofErr w:type="spellEnd"/>
      <w:r w:rsidRPr="00E44923">
        <w:rPr>
          <w:rFonts w:ascii="Arial" w:hAnsi="Arial" w:cs="Arial"/>
          <w:sz w:val="22"/>
          <w:szCs w:val="22"/>
        </w:rPr>
        <w:t xml:space="preserve"> preprint arXiv:2202.11214.</w:t>
      </w:r>
    </w:p>
    <w:p w14:paraId="3C17F04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Bauer P, Thorpe A, Brunet G. The quiet revolution of numerical weather prediction. Nature. 2015 Sep 3;525(7567):47-55.</w:t>
      </w:r>
    </w:p>
    <w:p w14:paraId="7D694EFF" w14:textId="77777777" w:rsidR="002552A7" w:rsidRPr="00E44923" w:rsidRDefault="00F6615F" w:rsidP="00A53B65">
      <w:pPr>
        <w:pStyle w:val="ListParagraph"/>
        <w:numPr>
          <w:ilvl w:val="0"/>
          <w:numId w:val="13"/>
        </w:numPr>
        <w:suppressAutoHyphens w:val="0"/>
        <w:spacing w:after="160" w:line="360" w:lineRule="auto"/>
        <w:jc w:val="both"/>
        <w:rPr>
          <w:rFonts w:ascii="Arial" w:hAnsi="Arial" w:cs="Arial"/>
          <w:sz w:val="22"/>
          <w:szCs w:val="22"/>
        </w:rPr>
      </w:pPr>
      <w:hyperlink r:id="rId25" w:history="1">
        <w:r w:rsidR="002552A7" w:rsidRPr="00E44923">
          <w:rPr>
            <w:rStyle w:val="Hyperlink"/>
            <w:rFonts w:ascii="Arial" w:hAnsi="Arial" w:cs="Arial"/>
            <w:sz w:val="22"/>
            <w:szCs w:val="22"/>
          </w:rPr>
          <w:t>https://www.noaa.gov/</w:t>
        </w:r>
      </w:hyperlink>
    </w:p>
    <w:p w14:paraId="4C0874D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Amin, A., &amp; </w:t>
      </w:r>
      <w:proofErr w:type="spellStart"/>
      <w:r w:rsidRPr="00E44923">
        <w:rPr>
          <w:rFonts w:ascii="Arial" w:hAnsi="Arial" w:cs="Arial"/>
          <w:color w:val="222222"/>
          <w:sz w:val="22"/>
          <w:szCs w:val="22"/>
          <w:shd w:val="clear" w:color="auto" w:fill="FFFFFF"/>
        </w:rPr>
        <w:t>Mourshed</w:t>
      </w:r>
      <w:proofErr w:type="spellEnd"/>
      <w:r w:rsidRPr="00E44923">
        <w:rPr>
          <w:rFonts w:ascii="Arial" w:hAnsi="Arial" w:cs="Arial"/>
          <w:color w:val="222222"/>
          <w:sz w:val="22"/>
          <w:szCs w:val="22"/>
          <w:shd w:val="clear" w:color="auto" w:fill="FFFFFF"/>
        </w:rPr>
        <w:t>, M. (2024). Weather and climate data for energy applications. </w:t>
      </w:r>
      <w:r w:rsidRPr="00E44923">
        <w:rPr>
          <w:rFonts w:ascii="Arial" w:hAnsi="Arial" w:cs="Arial"/>
          <w:i/>
          <w:iCs/>
          <w:color w:val="222222"/>
          <w:sz w:val="22"/>
          <w:szCs w:val="22"/>
          <w:shd w:val="clear" w:color="auto" w:fill="FFFFFF"/>
        </w:rPr>
        <w:t>Renewable and Sustainable Energy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192</w:t>
      </w:r>
      <w:r w:rsidRPr="00E44923">
        <w:rPr>
          <w:rFonts w:ascii="Arial" w:hAnsi="Arial" w:cs="Arial"/>
          <w:color w:val="222222"/>
          <w:sz w:val="22"/>
          <w:szCs w:val="22"/>
          <w:shd w:val="clear" w:color="auto" w:fill="FFFFFF"/>
        </w:rPr>
        <w:t>, 114247.</w:t>
      </w:r>
    </w:p>
    <w:p w14:paraId="7B780F3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Lynch, P. (2008). The origins of computer weather prediction and climate modeling. </w:t>
      </w:r>
      <w:r w:rsidRPr="00E44923">
        <w:rPr>
          <w:rFonts w:ascii="Arial" w:hAnsi="Arial" w:cs="Arial"/>
          <w:i/>
          <w:iCs/>
          <w:color w:val="222222"/>
          <w:sz w:val="22"/>
          <w:szCs w:val="22"/>
          <w:shd w:val="clear" w:color="auto" w:fill="FFFFFF"/>
        </w:rPr>
        <w:t>Journal of computational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227</w:t>
      </w:r>
      <w:r w:rsidRPr="00E44923">
        <w:rPr>
          <w:rFonts w:ascii="Arial" w:hAnsi="Arial" w:cs="Arial"/>
          <w:color w:val="222222"/>
          <w:sz w:val="22"/>
          <w:szCs w:val="22"/>
          <w:shd w:val="clear" w:color="auto" w:fill="FFFFFF"/>
        </w:rPr>
        <w:t>(7), 3431-3444.</w:t>
      </w:r>
    </w:p>
    <w:p w14:paraId="47ED5F8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Bihlo</w:t>
      </w:r>
      <w:proofErr w:type="spellEnd"/>
      <w:r w:rsidRPr="00E44923">
        <w:rPr>
          <w:rFonts w:ascii="Arial" w:hAnsi="Arial" w:cs="Arial"/>
          <w:color w:val="222222"/>
          <w:sz w:val="22"/>
          <w:szCs w:val="22"/>
          <w:shd w:val="clear" w:color="auto" w:fill="FFFFFF"/>
        </w:rPr>
        <w:t>, A. (2021). A generative adversarial network approach to (ensemble) weather prediction. </w:t>
      </w:r>
      <w:r w:rsidRPr="00E44923">
        <w:rPr>
          <w:rFonts w:ascii="Arial" w:hAnsi="Arial" w:cs="Arial"/>
          <w:i/>
          <w:iCs/>
          <w:color w:val="222222"/>
          <w:sz w:val="22"/>
          <w:szCs w:val="22"/>
          <w:shd w:val="clear" w:color="auto" w:fill="FFFFFF"/>
        </w:rPr>
        <w:t>Neural Networks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139</w:t>
      </w:r>
      <w:r w:rsidRPr="00E44923">
        <w:rPr>
          <w:rFonts w:ascii="Arial" w:hAnsi="Arial" w:cs="Arial"/>
          <w:color w:val="222222"/>
          <w:sz w:val="22"/>
          <w:szCs w:val="22"/>
          <w:shd w:val="clear" w:color="auto" w:fill="FFFFFF"/>
        </w:rPr>
        <w:t>, 1-16.</w:t>
      </w:r>
    </w:p>
    <w:p w14:paraId="78771CF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Jain, G., &amp; Mallick, B. (2016). A review on weather forecasting techniques. </w:t>
      </w:r>
      <w:r w:rsidRPr="00E44923">
        <w:rPr>
          <w:rFonts w:ascii="Arial" w:hAnsi="Arial" w:cs="Arial"/>
          <w:i/>
          <w:iCs/>
          <w:color w:val="222222"/>
          <w:sz w:val="22"/>
          <w:szCs w:val="22"/>
          <w:shd w:val="clear" w:color="auto" w:fill="FFFFFF"/>
        </w:rPr>
        <w:t>IJARCCE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w:t>
      </w:r>
      <w:r w:rsidRPr="00E44923">
        <w:rPr>
          <w:rFonts w:ascii="Arial" w:hAnsi="Arial" w:cs="Arial"/>
          <w:color w:val="222222"/>
          <w:sz w:val="22"/>
          <w:szCs w:val="22"/>
          <w:shd w:val="clear" w:color="auto" w:fill="FFFFFF"/>
        </w:rPr>
        <w:t>(12), 177-180.</w:t>
      </w:r>
    </w:p>
    <w:p w14:paraId="0C9EA51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Jaseena, K. U., &amp; </w:t>
      </w:r>
      <w:proofErr w:type="spellStart"/>
      <w:r w:rsidRPr="00E44923">
        <w:rPr>
          <w:rFonts w:ascii="Arial" w:hAnsi="Arial" w:cs="Arial"/>
          <w:color w:val="222222"/>
          <w:sz w:val="22"/>
          <w:szCs w:val="22"/>
          <w:shd w:val="clear" w:color="auto" w:fill="FFFFFF"/>
        </w:rPr>
        <w:t>Kovoor</w:t>
      </w:r>
      <w:proofErr w:type="spellEnd"/>
      <w:r w:rsidRPr="00E44923">
        <w:rPr>
          <w:rFonts w:ascii="Arial" w:hAnsi="Arial" w:cs="Arial"/>
          <w:color w:val="222222"/>
          <w:sz w:val="22"/>
          <w:szCs w:val="22"/>
          <w:shd w:val="clear" w:color="auto" w:fill="FFFFFF"/>
        </w:rPr>
        <w:t>, B. C. (2022). Deterministic weather forecasting models based on intelligent predictors: A survey. </w:t>
      </w:r>
      <w:r w:rsidRPr="00E44923">
        <w:rPr>
          <w:rFonts w:ascii="Arial" w:hAnsi="Arial" w:cs="Arial"/>
          <w:i/>
          <w:iCs/>
          <w:color w:val="222222"/>
          <w:sz w:val="22"/>
          <w:szCs w:val="22"/>
          <w:shd w:val="clear" w:color="auto" w:fill="FFFFFF"/>
        </w:rPr>
        <w:t xml:space="preserve">Journal of king </w:t>
      </w:r>
      <w:proofErr w:type="spellStart"/>
      <w:r w:rsidRPr="00E44923">
        <w:rPr>
          <w:rFonts w:ascii="Arial" w:hAnsi="Arial" w:cs="Arial"/>
          <w:i/>
          <w:iCs/>
          <w:color w:val="222222"/>
          <w:sz w:val="22"/>
          <w:szCs w:val="22"/>
          <w:shd w:val="clear" w:color="auto" w:fill="FFFFFF"/>
        </w:rPr>
        <w:t>saud</w:t>
      </w:r>
      <w:proofErr w:type="spellEnd"/>
      <w:r w:rsidRPr="00E44923">
        <w:rPr>
          <w:rFonts w:ascii="Arial" w:hAnsi="Arial" w:cs="Arial"/>
          <w:i/>
          <w:iCs/>
          <w:color w:val="222222"/>
          <w:sz w:val="22"/>
          <w:szCs w:val="22"/>
          <w:shd w:val="clear" w:color="auto" w:fill="FFFFFF"/>
        </w:rPr>
        <w:t xml:space="preserve"> university-computer and information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(6), 3393-3412.</w:t>
      </w:r>
    </w:p>
    <w:p w14:paraId="3D30454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Krishnan, R., Sanjay, J., </w:t>
      </w:r>
      <w:proofErr w:type="spellStart"/>
      <w:r w:rsidRPr="00E44923">
        <w:rPr>
          <w:rFonts w:ascii="Arial" w:hAnsi="Arial" w:cs="Arial"/>
          <w:color w:val="222222"/>
          <w:sz w:val="22"/>
          <w:szCs w:val="22"/>
          <w:shd w:val="clear" w:color="auto" w:fill="FFFFFF"/>
        </w:rPr>
        <w:t>Gnanaseelan</w:t>
      </w:r>
      <w:proofErr w:type="spellEnd"/>
      <w:r w:rsidRPr="00E44923">
        <w:rPr>
          <w:rFonts w:ascii="Arial" w:hAnsi="Arial" w:cs="Arial"/>
          <w:color w:val="222222"/>
          <w:sz w:val="22"/>
          <w:szCs w:val="22"/>
          <w:shd w:val="clear" w:color="auto" w:fill="FFFFFF"/>
        </w:rPr>
        <w:t>, C., Mujumdar, M., Kulkarni, A., &amp; Chakraborty, S. (2020). </w:t>
      </w:r>
      <w:r w:rsidRPr="00E44923">
        <w:rPr>
          <w:rFonts w:ascii="Arial" w:hAnsi="Arial" w:cs="Arial"/>
          <w:i/>
          <w:iCs/>
          <w:color w:val="222222"/>
          <w:sz w:val="22"/>
          <w:szCs w:val="22"/>
          <w:shd w:val="clear" w:color="auto" w:fill="FFFFFF"/>
        </w:rPr>
        <w:t>Assessment of climate change over the Indian region: a report of the ministry of earth sciences (MOES), government of India</w:t>
      </w:r>
      <w:r w:rsidRPr="00E44923">
        <w:rPr>
          <w:rFonts w:ascii="Arial" w:hAnsi="Arial" w:cs="Arial"/>
          <w:color w:val="222222"/>
          <w:sz w:val="22"/>
          <w:szCs w:val="22"/>
          <w:shd w:val="clear" w:color="auto" w:fill="FFFFFF"/>
        </w:rPr>
        <w:t> (p. 226). Springer Nature.</w:t>
      </w:r>
    </w:p>
    <w:p w14:paraId="7FDEEADD" w14:textId="77777777" w:rsidR="002552A7" w:rsidRPr="00E44923" w:rsidRDefault="00F6615F" w:rsidP="00A53B65">
      <w:pPr>
        <w:pStyle w:val="ListParagraph"/>
        <w:numPr>
          <w:ilvl w:val="0"/>
          <w:numId w:val="13"/>
        </w:numPr>
        <w:suppressAutoHyphens w:val="0"/>
        <w:spacing w:after="160" w:line="360" w:lineRule="auto"/>
        <w:jc w:val="both"/>
        <w:rPr>
          <w:rFonts w:ascii="Arial" w:hAnsi="Arial" w:cs="Arial"/>
          <w:sz w:val="22"/>
          <w:szCs w:val="22"/>
        </w:rPr>
      </w:pPr>
      <w:hyperlink r:id="rId26" w:history="1">
        <w:r w:rsidR="002552A7" w:rsidRPr="00E44923">
          <w:rPr>
            <w:rStyle w:val="Hyperlink"/>
            <w:rFonts w:ascii="Arial" w:hAnsi="Arial" w:cs="Arial"/>
            <w:sz w:val="22"/>
            <w:szCs w:val="22"/>
          </w:rPr>
          <w:t>https://www.ipcc.ch/report/sixth-assessment-report-cycle/</w:t>
        </w:r>
      </w:hyperlink>
    </w:p>
    <w:p w14:paraId="25E52F5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L., Han, B., Wang, X., Zhao, J., Yang, W., &amp; Yang, Z. (2023). Machine learning methods in weather and climate applications: A survey. </w:t>
      </w:r>
      <w:r w:rsidRPr="00E44923">
        <w:rPr>
          <w:rFonts w:ascii="Arial" w:hAnsi="Arial" w:cs="Arial"/>
          <w:i/>
          <w:iCs/>
          <w:color w:val="222222"/>
          <w:sz w:val="22"/>
          <w:szCs w:val="22"/>
          <w:shd w:val="clear" w:color="auto" w:fill="FFFFFF"/>
        </w:rPr>
        <w:t>Applied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w:t>
      </w:r>
      <w:r w:rsidRPr="00E44923">
        <w:rPr>
          <w:rFonts w:ascii="Arial" w:hAnsi="Arial" w:cs="Arial"/>
          <w:color w:val="222222"/>
          <w:sz w:val="22"/>
          <w:szCs w:val="22"/>
          <w:shd w:val="clear" w:color="auto" w:fill="FFFFFF"/>
        </w:rPr>
        <w:t>(21), 12019.</w:t>
      </w:r>
    </w:p>
    <w:p w14:paraId="6455538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Pujahari</w:t>
      </w:r>
      <w:proofErr w:type="spellEnd"/>
      <w:r w:rsidRPr="00E44923">
        <w:rPr>
          <w:rFonts w:ascii="Arial" w:hAnsi="Arial" w:cs="Arial"/>
          <w:color w:val="222222"/>
          <w:sz w:val="22"/>
          <w:szCs w:val="22"/>
          <w:shd w:val="clear" w:color="auto" w:fill="FFFFFF"/>
        </w:rPr>
        <w:t>, R. M., Yadav, S. P., &amp; Khan, R. (2022). Intelligent farming system through weather forecast support and crop production. In </w:t>
      </w:r>
      <w:r w:rsidRPr="00E44923">
        <w:rPr>
          <w:rFonts w:ascii="Arial" w:hAnsi="Arial" w:cs="Arial"/>
          <w:i/>
          <w:iCs/>
          <w:color w:val="222222"/>
          <w:sz w:val="22"/>
          <w:szCs w:val="22"/>
          <w:shd w:val="clear" w:color="auto" w:fill="FFFFFF"/>
        </w:rPr>
        <w:t>Application of Machine Learning in Agriculture</w:t>
      </w:r>
      <w:r w:rsidRPr="00E44923">
        <w:rPr>
          <w:rFonts w:ascii="Arial" w:hAnsi="Arial" w:cs="Arial"/>
          <w:color w:val="222222"/>
          <w:sz w:val="22"/>
          <w:szCs w:val="22"/>
          <w:shd w:val="clear" w:color="auto" w:fill="FFFFFF"/>
        </w:rPr>
        <w:t> (pp. 113-130). Academic Press.</w:t>
      </w:r>
    </w:p>
    <w:p w14:paraId="38731E3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Rao, P. S., </w:t>
      </w:r>
      <w:proofErr w:type="spellStart"/>
      <w:r w:rsidRPr="00E44923">
        <w:rPr>
          <w:rFonts w:ascii="Arial" w:hAnsi="Arial" w:cs="Arial"/>
          <w:color w:val="222222"/>
          <w:sz w:val="22"/>
          <w:szCs w:val="22"/>
          <w:shd w:val="clear" w:color="auto" w:fill="FFFFFF"/>
        </w:rPr>
        <w:t>Saseendran</w:t>
      </w:r>
      <w:proofErr w:type="spellEnd"/>
      <w:r w:rsidRPr="00E44923">
        <w:rPr>
          <w:rFonts w:ascii="Arial" w:hAnsi="Arial" w:cs="Arial"/>
          <w:color w:val="222222"/>
          <w:sz w:val="22"/>
          <w:szCs w:val="22"/>
          <w:shd w:val="clear" w:color="auto" w:fill="FFFFFF"/>
        </w:rPr>
        <w:t>, S. A., Rathore, L. S., &amp; Bahadur, J. (1996). Medium range weather forecasts in India during Monsoon 1994.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w:t>
      </w:r>
      <w:r w:rsidRPr="00E44923">
        <w:rPr>
          <w:rFonts w:ascii="Arial" w:hAnsi="Arial" w:cs="Arial"/>
          <w:color w:val="222222"/>
          <w:sz w:val="22"/>
          <w:szCs w:val="22"/>
          <w:shd w:val="clear" w:color="auto" w:fill="FFFFFF"/>
        </w:rPr>
        <w:t>(4), 317-324.</w:t>
      </w:r>
    </w:p>
    <w:p w14:paraId="335BF81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Kumar, A., Maini, P., Rathore, L. S., &amp; Singh, S. V. (2000). An operational medium range local weather forecasting system developed in India. </w:t>
      </w:r>
      <w:r w:rsidRPr="00E44923">
        <w:rPr>
          <w:rFonts w:ascii="Arial" w:hAnsi="Arial" w:cs="Arial"/>
          <w:i/>
          <w:iCs/>
          <w:color w:val="222222"/>
          <w:sz w:val="22"/>
          <w:szCs w:val="22"/>
          <w:shd w:val="clear" w:color="auto" w:fill="FFFFFF"/>
        </w:rPr>
        <w:t>International Journal of Climatology: A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w:t>
      </w:r>
      <w:r w:rsidRPr="00E44923">
        <w:rPr>
          <w:rFonts w:ascii="Arial" w:hAnsi="Arial" w:cs="Arial"/>
          <w:color w:val="222222"/>
          <w:sz w:val="22"/>
          <w:szCs w:val="22"/>
          <w:shd w:val="clear" w:color="auto" w:fill="FFFFFF"/>
        </w:rPr>
        <w:t>(1), 73-87.</w:t>
      </w:r>
    </w:p>
    <w:p w14:paraId="6A49030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Rathore, L. S., Gupta, A., &amp; Singh, K. K. (2001). Medium range weather forecasting and agricultural production. </w:t>
      </w:r>
      <w:r w:rsidRPr="00E44923">
        <w:rPr>
          <w:rFonts w:ascii="Arial" w:hAnsi="Arial" w:cs="Arial"/>
          <w:i/>
          <w:iCs/>
          <w:color w:val="222222"/>
          <w:sz w:val="22"/>
          <w:szCs w:val="22"/>
          <w:shd w:val="clear" w:color="auto" w:fill="FFFFFF"/>
        </w:rPr>
        <w:t>Journal of Agric.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w:t>
      </w:r>
      <w:r w:rsidRPr="00E44923">
        <w:rPr>
          <w:rFonts w:ascii="Arial" w:hAnsi="Arial" w:cs="Arial"/>
          <w:color w:val="222222"/>
          <w:sz w:val="22"/>
          <w:szCs w:val="22"/>
          <w:shd w:val="clear" w:color="auto" w:fill="FFFFFF"/>
        </w:rPr>
        <w:t>(1), 43.</w:t>
      </w:r>
    </w:p>
    <w:p w14:paraId="0E056B9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Chauhan, V. S., Chaudhari, G. B., &amp; Pandey, V. Y. A. S. (2008). Medium range weather forecast verification for middle Gujarat region. </w:t>
      </w:r>
      <w:r w:rsidRPr="00E44923">
        <w:rPr>
          <w:rFonts w:ascii="Arial" w:hAnsi="Arial" w:cs="Arial"/>
          <w:i/>
          <w:iCs/>
          <w:color w:val="222222"/>
          <w:sz w:val="22"/>
          <w:szCs w:val="22"/>
          <w:shd w:val="clear" w:color="auto" w:fill="FFFFFF"/>
        </w:rPr>
        <w:t xml:space="preserve">J. </w:t>
      </w:r>
      <w:proofErr w:type="spellStart"/>
      <w:r w:rsidRPr="00E44923">
        <w:rPr>
          <w:rFonts w:ascii="Arial" w:hAnsi="Arial" w:cs="Arial"/>
          <w:i/>
          <w:iCs/>
          <w:color w:val="222222"/>
          <w:sz w:val="22"/>
          <w:szCs w:val="22"/>
          <w:shd w:val="clear" w:color="auto" w:fill="FFFFFF"/>
        </w:rPr>
        <w:t>Agrometeorol</w:t>
      </w:r>
      <w:proofErr w:type="spellEnd"/>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 90-93.</w:t>
      </w:r>
    </w:p>
    <w:p w14:paraId="00FCA5F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Sikka, D. R. (2009). </w:t>
      </w:r>
      <w:r w:rsidRPr="00E44923">
        <w:rPr>
          <w:rFonts w:ascii="Arial" w:hAnsi="Arial" w:cs="Arial"/>
          <w:i/>
          <w:iCs/>
          <w:color w:val="222222"/>
          <w:sz w:val="22"/>
          <w:szCs w:val="22"/>
          <w:shd w:val="clear" w:color="auto" w:fill="FFFFFF"/>
        </w:rPr>
        <w:t>Two decades of medium-range weather forecasting in India: National Centre for Medium-Range Weather Forecasting</w:t>
      </w:r>
      <w:r w:rsidRPr="00E44923">
        <w:rPr>
          <w:rFonts w:ascii="Arial" w:hAnsi="Arial" w:cs="Arial"/>
          <w:color w:val="222222"/>
          <w:sz w:val="22"/>
          <w:szCs w:val="22"/>
          <w:shd w:val="clear" w:color="auto" w:fill="FFFFFF"/>
        </w:rPr>
        <w:t> (p. 100). Fairfax, VA, USA: Center of Ocean-Land-Atmosphere Studies.</w:t>
      </w:r>
    </w:p>
    <w:p w14:paraId="7776E99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Rana, R. S., Sood, R., ADITYA, A., &amp; Shekhar, J. (2013). Validation of medium range weather forecasts in sub-temperate and sub-humid climate of western Himalayas. The Indian Journal of Agricultural Sciences, 83(12).</w:t>
      </w:r>
    </w:p>
    <w:p w14:paraId="27EC13E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Prasad, V. S., Mohandas, S., Dutta, S. K., Gupta, M. D., Iyengar, G. R., Rajagopal, E. N., &amp; Basu, S. (2014). Improvements in medium range weather forecasting system of India. </w:t>
      </w:r>
      <w:r w:rsidRPr="00E44923">
        <w:rPr>
          <w:rFonts w:ascii="Arial" w:hAnsi="Arial" w:cs="Arial"/>
          <w:i/>
          <w:iCs/>
          <w:color w:val="222222"/>
          <w:sz w:val="22"/>
          <w:szCs w:val="22"/>
          <w:shd w:val="clear" w:color="auto" w:fill="FFFFFF"/>
        </w:rPr>
        <w:t>Journal of earth system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123</w:t>
      </w:r>
      <w:r w:rsidRPr="00E44923">
        <w:rPr>
          <w:rFonts w:ascii="Arial" w:hAnsi="Arial" w:cs="Arial"/>
          <w:color w:val="222222"/>
          <w:sz w:val="22"/>
          <w:szCs w:val="22"/>
          <w:shd w:val="clear" w:color="auto" w:fill="FFFFFF"/>
        </w:rPr>
        <w:t>(2), 247-258.</w:t>
      </w:r>
    </w:p>
    <w:p w14:paraId="26C5812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Chattopadhyay, N., Ghosh, K., Malathi, K., BHOWMIK, S. R., &amp; Singh, K. K. (2016). Verification of district level weather forecast.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67</w:t>
      </w:r>
      <w:r w:rsidRPr="00E44923">
        <w:rPr>
          <w:rFonts w:ascii="Arial" w:hAnsi="Arial" w:cs="Arial"/>
          <w:color w:val="222222"/>
          <w:sz w:val="22"/>
          <w:szCs w:val="22"/>
          <w:shd w:val="clear" w:color="auto" w:fill="FFFFFF"/>
        </w:rPr>
        <w:t>(4), 829-840.</w:t>
      </w:r>
    </w:p>
    <w:p w14:paraId="01F994E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Neal, R., Guentchev, G., Arulalan, T., Robbins, J., Crocker, R., Mitra, A., &amp; Jayakumar, A. (2022). The application of predefined weather patterns over India within probabilistic medium</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forecasting tools for high</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impact weather.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w:t>
      </w:r>
      <w:r w:rsidRPr="00E44923">
        <w:rPr>
          <w:rFonts w:ascii="Arial" w:hAnsi="Arial" w:cs="Arial"/>
          <w:color w:val="222222"/>
          <w:sz w:val="22"/>
          <w:szCs w:val="22"/>
          <w:shd w:val="clear" w:color="auto" w:fill="FFFFFF"/>
        </w:rPr>
        <w:t>(3), e2083.</w:t>
      </w:r>
    </w:p>
    <w:p w14:paraId="5ED16D6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Mohapatra, M., Kumar, N., Sharma, M., Devi, S. S., </w:t>
      </w:r>
      <w:proofErr w:type="spellStart"/>
      <w:r w:rsidRPr="00E44923">
        <w:rPr>
          <w:rFonts w:ascii="Arial" w:hAnsi="Arial" w:cs="Arial"/>
          <w:color w:val="222222"/>
          <w:sz w:val="22"/>
          <w:szCs w:val="22"/>
          <w:shd w:val="clear" w:color="auto" w:fill="FFFFFF"/>
        </w:rPr>
        <w:t>Senroy</w:t>
      </w:r>
      <w:proofErr w:type="spellEnd"/>
      <w:r w:rsidRPr="00E44923">
        <w:rPr>
          <w:rFonts w:ascii="Arial" w:hAnsi="Arial" w:cs="Arial"/>
          <w:color w:val="222222"/>
          <w:sz w:val="22"/>
          <w:szCs w:val="22"/>
          <w:shd w:val="clear" w:color="auto" w:fill="FFFFFF"/>
        </w:rPr>
        <w:t>, S., Devi, K. S., &amp; Singh, K. K. (2022). Short to medium range weather forewarning system in India. In </w:t>
      </w:r>
      <w:r w:rsidRPr="00E44923">
        <w:rPr>
          <w:rFonts w:ascii="Arial" w:hAnsi="Arial" w:cs="Arial"/>
          <w:i/>
          <w:iCs/>
          <w:color w:val="222222"/>
          <w:sz w:val="22"/>
          <w:szCs w:val="22"/>
          <w:shd w:val="clear" w:color="auto" w:fill="FFFFFF"/>
        </w:rPr>
        <w:t xml:space="preserve">Social </w:t>
      </w:r>
      <w:r w:rsidRPr="00E44923">
        <w:rPr>
          <w:rFonts w:ascii="Arial" w:hAnsi="Arial" w:cs="Arial"/>
          <w:i/>
          <w:iCs/>
          <w:color w:val="222222"/>
          <w:sz w:val="22"/>
          <w:szCs w:val="22"/>
          <w:shd w:val="clear" w:color="auto" w:fill="FFFFFF"/>
        </w:rPr>
        <w:lastRenderedPageBreak/>
        <w:t>and Economic Impact of Earth Sciences</w:t>
      </w:r>
      <w:r w:rsidRPr="00E44923">
        <w:rPr>
          <w:rFonts w:ascii="Arial" w:hAnsi="Arial" w:cs="Arial"/>
          <w:color w:val="222222"/>
          <w:sz w:val="22"/>
          <w:szCs w:val="22"/>
          <w:shd w:val="clear" w:color="auto" w:fill="FFFFFF"/>
        </w:rPr>
        <w:t> (pp. 1-29). Singapore: Springer Nature Singapore.</w:t>
      </w:r>
    </w:p>
    <w:p w14:paraId="235EF75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Abhilash, S., Sahai, A. K., </w:t>
      </w:r>
      <w:proofErr w:type="spellStart"/>
      <w:r w:rsidRPr="00E44923">
        <w:rPr>
          <w:rFonts w:ascii="Arial" w:hAnsi="Arial" w:cs="Arial"/>
          <w:color w:val="222222"/>
          <w:sz w:val="22"/>
          <w:szCs w:val="22"/>
          <w:shd w:val="clear" w:color="auto" w:fill="FFFFFF"/>
        </w:rPr>
        <w:t>Pattnaik</w:t>
      </w:r>
      <w:proofErr w:type="spellEnd"/>
      <w:r w:rsidRPr="00E44923">
        <w:rPr>
          <w:rFonts w:ascii="Arial" w:hAnsi="Arial" w:cs="Arial"/>
          <w:color w:val="222222"/>
          <w:sz w:val="22"/>
          <w:szCs w:val="22"/>
          <w:shd w:val="clear" w:color="auto" w:fill="FFFFFF"/>
        </w:rPr>
        <w:t>, S., Goswami, B. N., &amp; Kumar, A. (2014). Extended range prediction of active-break spells of Indian summer monsoon rainfall using an ensemble prediction system in NCEP Climate Forecast System. International Journal of Climatology, 34(1).</w:t>
      </w:r>
    </w:p>
    <w:p w14:paraId="0D42A25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Waliser, D. E., Lau, K. M., Stern, W., &amp; Jones, C. (2003). Potential predictability of the Madden–Julian oscillation.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84</w:t>
      </w:r>
      <w:r w:rsidRPr="00E44923">
        <w:rPr>
          <w:rFonts w:ascii="Arial" w:hAnsi="Arial" w:cs="Arial"/>
          <w:color w:val="222222"/>
          <w:sz w:val="22"/>
          <w:szCs w:val="22"/>
          <w:shd w:val="clear" w:color="auto" w:fill="FFFFFF"/>
        </w:rPr>
        <w:t>(1), 33-50.</w:t>
      </w:r>
    </w:p>
    <w:p w14:paraId="5059A04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Abhilash, S., Chattopadhyay, R., Joseph, S., Sharmila, S., &amp; Kumar, A. (2015). An assessment of real-time extended range forecast of 2013 Indian summer monsoon.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(10).</w:t>
      </w:r>
    </w:p>
    <w:p w14:paraId="19663C4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Sharmila, S., Abhilash, S., Chattopadhyay, R., Borah, N., Krishna, R. P. M., ... &amp; Pillai, P. A. (2013). Simulation and extended range prediction of monsoon intraseasonal oscillations in NCEP CFS/GFS version 2 framework. </w:t>
      </w:r>
      <w:r w:rsidRPr="00E44923">
        <w:rPr>
          <w:rFonts w:ascii="Arial" w:hAnsi="Arial" w:cs="Arial"/>
          <w:i/>
          <w:iCs/>
          <w:color w:val="222222"/>
          <w:sz w:val="22"/>
          <w:szCs w:val="22"/>
          <w:shd w:val="clear" w:color="auto" w:fill="FFFFFF"/>
        </w:rPr>
        <w:t>Current Science</w:t>
      </w:r>
      <w:r w:rsidRPr="00E44923">
        <w:rPr>
          <w:rFonts w:ascii="Arial" w:hAnsi="Arial" w:cs="Arial"/>
          <w:color w:val="222222"/>
          <w:sz w:val="22"/>
          <w:szCs w:val="22"/>
          <w:shd w:val="clear" w:color="auto" w:fill="FFFFFF"/>
        </w:rPr>
        <w:t>, 1394-1408.</w:t>
      </w:r>
    </w:p>
    <w:p w14:paraId="0224298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Mandal, R., Dey, A., Abhilash, S., ... &amp; Borah, N. (2015). Real-time performance of a multi-model ensemble-based extended range forecast system in predicting the 2014 monsoon season based on NCEP-CFSv2. </w:t>
      </w:r>
      <w:r w:rsidRPr="00E44923">
        <w:rPr>
          <w:rFonts w:ascii="Arial" w:hAnsi="Arial" w:cs="Arial"/>
          <w:i/>
          <w:iCs/>
          <w:color w:val="222222"/>
          <w:sz w:val="22"/>
          <w:szCs w:val="22"/>
          <w:shd w:val="clear" w:color="auto" w:fill="FFFFFF"/>
        </w:rPr>
        <w:t>Current Science</w:t>
      </w:r>
      <w:r w:rsidRPr="00E44923">
        <w:rPr>
          <w:rFonts w:ascii="Arial" w:hAnsi="Arial" w:cs="Arial"/>
          <w:color w:val="222222"/>
          <w:sz w:val="22"/>
          <w:szCs w:val="22"/>
          <w:shd w:val="clear" w:color="auto" w:fill="FFFFFF"/>
        </w:rPr>
        <w:t>, 1802-1813.</w:t>
      </w:r>
    </w:p>
    <w:p w14:paraId="40599B1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Sarma, H. H., &amp; Kakoti, M. (2024). Significance of weather forecasting in crop production with respect to Indian scenario. </w:t>
      </w:r>
      <w:r w:rsidRPr="00E44923">
        <w:rPr>
          <w:rFonts w:ascii="Arial" w:hAnsi="Arial" w:cs="Arial"/>
          <w:i/>
          <w:iCs/>
          <w:color w:val="222222"/>
          <w:sz w:val="22"/>
          <w:szCs w:val="22"/>
          <w:shd w:val="clear" w:color="auto" w:fill="FFFFFF"/>
        </w:rPr>
        <w:t>Vigyan Varta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w:t>
      </w:r>
      <w:r w:rsidRPr="00E44923">
        <w:rPr>
          <w:rFonts w:ascii="Arial" w:hAnsi="Arial" w:cs="Arial"/>
          <w:color w:val="222222"/>
          <w:sz w:val="22"/>
          <w:szCs w:val="22"/>
          <w:shd w:val="clear" w:color="auto" w:fill="FFFFFF"/>
        </w:rPr>
        <w:t>(7), 95-102.</w:t>
      </w:r>
    </w:p>
    <w:p w14:paraId="489FE85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Phani, R., &amp; Abhilash, S. (2016). Extended range prediction system and its application. Vayu Mandal, 42(2), 75-96.</w:t>
      </w:r>
    </w:p>
    <w:p w14:paraId="39A270A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Chattopadhyay, N., Rao, K. V., Sahai, A. K., Balasubramanian, R., Pai, D. S., Pattanaik, D. R., ... &amp; </w:t>
      </w:r>
      <w:proofErr w:type="spellStart"/>
      <w:r w:rsidRPr="00E44923">
        <w:rPr>
          <w:rFonts w:ascii="Arial" w:hAnsi="Arial" w:cs="Arial"/>
          <w:color w:val="222222"/>
          <w:sz w:val="22"/>
          <w:szCs w:val="22"/>
          <w:shd w:val="clear" w:color="auto" w:fill="FFFFFF"/>
        </w:rPr>
        <w:t>Khedikar</w:t>
      </w:r>
      <w:proofErr w:type="spellEnd"/>
      <w:r w:rsidRPr="00E44923">
        <w:rPr>
          <w:rFonts w:ascii="Arial" w:hAnsi="Arial" w:cs="Arial"/>
          <w:color w:val="222222"/>
          <w:sz w:val="22"/>
          <w:szCs w:val="22"/>
          <w:shd w:val="clear" w:color="auto" w:fill="FFFFFF"/>
        </w:rPr>
        <w:t>, S. (2018). Usability of extended range and seasonal weather forecast in Indian agriculture.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69</w:t>
      </w:r>
      <w:r w:rsidRPr="00E44923">
        <w:rPr>
          <w:rFonts w:ascii="Arial" w:hAnsi="Arial" w:cs="Arial"/>
          <w:color w:val="222222"/>
          <w:sz w:val="22"/>
          <w:szCs w:val="22"/>
          <w:shd w:val="clear" w:color="auto" w:fill="FFFFFF"/>
        </w:rPr>
        <w:t>(1), 29-44.</w:t>
      </w:r>
    </w:p>
    <w:p w14:paraId="27C7D4D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&amp; Das, A. K. (2015). Prospect of application of extended range forecast in water resource management: a case study over the Mahanadi River basin. </w:t>
      </w:r>
      <w:r w:rsidRPr="00E44923">
        <w:rPr>
          <w:rFonts w:ascii="Arial" w:hAnsi="Arial" w:cs="Arial"/>
          <w:i/>
          <w:iCs/>
          <w:color w:val="222222"/>
          <w:sz w:val="22"/>
          <w:szCs w:val="22"/>
          <w:shd w:val="clear" w:color="auto" w:fill="FFFFFF"/>
        </w:rPr>
        <w:t>Natural Hazards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77</w:t>
      </w:r>
      <w:r w:rsidRPr="00E44923">
        <w:rPr>
          <w:rFonts w:ascii="Arial" w:hAnsi="Arial" w:cs="Arial"/>
          <w:color w:val="222222"/>
          <w:sz w:val="22"/>
          <w:szCs w:val="22"/>
          <w:shd w:val="clear" w:color="auto" w:fill="FFFFFF"/>
        </w:rPr>
        <w:t>(2), 575-595.</w:t>
      </w:r>
    </w:p>
    <w:p w14:paraId="383C00D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Chattopadhyay, N., Rao, K. V., Sahai, A. K., Balasubramanian, R., Pai, D. S., Pattanaik, D. R., ... &amp; </w:t>
      </w:r>
      <w:proofErr w:type="spellStart"/>
      <w:r w:rsidRPr="00E44923">
        <w:rPr>
          <w:rFonts w:ascii="Arial" w:hAnsi="Arial" w:cs="Arial"/>
          <w:color w:val="222222"/>
          <w:sz w:val="22"/>
          <w:szCs w:val="22"/>
          <w:shd w:val="clear" w:color="auto" w:fill="FFFFFF"/>
        </w:rPr>
        <w:t>Khedikar</w:t>
      </w:r>
      <w:proofErr w:type="spellEnd"/>
      <w:r w:rsidRPr="00E44923">
        <w:rPr>
          <w:rFonts w:ascii="Arial" w:hAnsi="Arial" w:cs="Arial"/>
          <w:color w:val="222222"/>
          <w:sz w:val="22"/>
          <w:szCs w:val="22"/>
          <w:shd w:val="clear" w:color="auto" w:fill="FFFFFF"/>
        </w:rPr>
        <w:t>, S. (2018). Usability of extended range and seasonal weather forecast in Indian agriculture.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69</w:t>
      </w:r>
      <w:r w:rsidRPr="00E44923">
        <w:rPr>
          <w:rFonts w:ascii="Arial" w:hAnsi="Arial" w:cs="Arial"/>
          <w:color w:val="222222"/>
          <w:sz w:val="22"/>
          <w:szCs w:val="22"/>
          <w:shd w:val="clear" w:color="auto" w:fill="FFFFFF"/>
        </w:rPr>
        <w:t>(1), 29-44.</w:t>
      </w:r>
    </w:p>
    <w:p w14:paraId="70F9D4D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Ervasti, T., </w:t>
      </w:r>
      <w:proofErr w:type="spellStart"/>
      <w:r w:rsidRPr="00E44923">
        <w:rPr>
          <w:rFonts w:ascii="Arial" w:hAnsi="Arial" w:cs="Arial"/>
          <w:color w:val="222222"/>
          <w:sz w:val="22"/>
          <w:szCs w:val="22"/>
          <w:shd w:val="clear" w:color="auto" w:fill="FFFFFF"/>
        </w:rPr>
        <w:t>Gregow</w:t>
      </w:r>
      <w:proofErr w:type="spellEnd"/>
      <w:r w:rsidRPr="00E44923">
        <w:rPr>
          <w:rFonts w:ascii="Arial" w:hAnsi="Arial" w:cs="Arial"/>
          <w:color w:val="222222"/>
          <w:sz w:val="22"/>
          <w:szCs w:val="22"/>
          <w:shd w:val="clear" w:color="auto" w:fill="FFFFFF"/>
        </w:rPr>
        <w:t>, H., Vajda, A., Laurila, T. K., &amp; Mäkelä, A. (2018). Mapping users' expectations regarding extended-range forecasts. </w:t>
      </w:r>
      <w:r w:rsidRPr="00E44923">
        <w:rPr>
          <w:rFonts w:ascii="Arial" w:hAnsi="Arial" w:cs="Arial"/>
          <w:i/>
          <w:iCs/>
          <w:color w:val="222222"/>
          <w:sz w:val="22"/>
          <w:szCs w:val="22"/>
          <w:shd w:val="clear" w:color="auto" w:fill="FFFFFF"/>
        </w:rPr>
        <w:t>Advances in Science and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15</w:t>
      </w:r>
      <w:r w:rsidRPr="00E44923">
        <w:rPr>
          <w:rFonts w:ascii="Arial" w:hAnsi="Arial" w:cs="Arial"/>
          <w:color w:val="222222"/>
          <w:sz w:val="22"/>
          <w:szCs w:val="22"/>
          <w:shd w:val="clear" w:color="auto" w:fill="FFFFFF"/>
        </w:rPr>
        <w:t>, 99-106.</w:t>
      </w:r>
    </w:p>
    <w:p w14:paraId="3B66D23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729B2B9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Nayak, P., </w:t>
      </w:r>
      <w:proofErr w:type="spellStart"/>
      <w:r w:rsidRPr="00E44923">
        <w:rPr>
          <w:rFonts w:ascii="Arial" w:hAnsi="Arial" w:cs="Arial"/>
          <w:color w:val="222222"/>
          <w:sz w:val="22"/>
          <w:szCs w:val="22"/>
          <w:shd w:val="clear" w:color="auto" w:fill="FFFFFF"/>
        </w:rPr>
        <w:t>Baliarsingh</w:t>
      </w:r>
      <w:proofErr w:type="spellEnd"/>
      <w:r w:rsidRPr="00E44923">
        <w:rPr>
          <w:rFonts w:ascii="Arial" w:hAnsi="Arial" w:cs="Arial"/>
          <w:color w:val="222222"/>
          <w:sz w:val="22"/>
          <w:szCs w:val="22"/>
          <w:shd w:val="clear" w:color="auto" w:fill="FFFFFF"/>
        </w:rPr>
        <w:t>, A., Swain, C. K., &amp; Rath, B. S. (2022). Validation of extended range forecasts of rainfall and temperature in Cuttack district of Odisha.</w:t>
      </w:r>
    </w:p>
    <w:p w14:paraId="45E3649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Loo, Y. Y., Billa, L., &amp; Singh, A. (2015). Effect of climate change on seasonal monsoon in Asia and its impact on the variability of monsoon rainfall in Southeast Asia. </w:t>
      </w:r>
      <w:r w:rsidRPr="00E44923">
        <w:rPr>
          <w:rFonts w:ascii="Arial" w:hAnsi="Arial" w:cs="Arial"/>
          <w:i/>
          <w:iCs/>
          <w:color w:val="222222"/>
          <w:sz w:val="22"/>
          <w:szCs w:val="22"/>
          <w:shd w:val="clear" w:color="auto" w:fill="FFFFFF"/>
        </w:rPr>
        <w:t>Geoscience Frontiers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w:t>
      </w:r>
      <w:r w:rsidRPr="00E44923">
        <w:rPr>
          <w:rFonts w:ascii="Arial" w:hAnsi="Arial" w:cs="Arial"/>
          <w:color w:val="222222"/>
          <w:sz w:val="22"/>
          <w:szCs w:val="22"/>
          <w:shd w:val="clear" w:color="auto" w:fill="FFFFFF"/>
        </w:rPr>
        <w:t>(6), 817-823.</w:t>
      </w:r>
    </w:p>
    <w:p w14:paraId="3F96EC1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Geen, R., Bordoni, S., Battisti, D. S., &amp; Hui, K. (2020). Monsoons, ITCZs, and the concept of the global monsoon. </w:t>
      </w:r>
      <w:r w:rsidRPr="00E44923">
        <w:rPr>
          <w:rFonts w:ascii="Arial" w:hAnsi="Arial" w:cs="Arial"/>
          <w:i/>
          <w:iCs/>
          <w:color w:val="222222"/>
          <w:sz w:val="22"/>
          <w:szCs w:val="22"/>
          <w:shd w:val="clear" w:color="auto" w:fill="FFFFFF"/>
        </w:rPr>
        <w:t>Reviews of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58</w:t>
      </w:r>
      <w:r w:rsidRPr="00E44923">
        <w:rPr>
          <w:rFonts w:ascii="Arial" w:hAnsi="Arial" w:cs="Arial"/>
          <w:color w:val="222222"/>
          <w:sz w:val="22"/>
          <w:szCs w:val="22"/>
          <w:shd w:val="clear" w:color="auto" w:fill="FFFFFF"/>
        </w:rPr>
        <w:t>(4), e2020RG000700.</w:t>
      </w:r>
    </w:p>
    <w:p w14:paraId="1BEB21A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Gadgil, S., Francis, P. A., Rajendran, K., Nanjundiah, R. S., &amp; Rao, S. A. (2020). Role of land-ocean contrast in the Indian summer monsoon rainfall. In </w:t>
      </w:r>
      <w:r w:rsidRPr="00E44923">
        <w:rPr>
          <w:rFonts w:ascii="Arial" w:hAnsi="Arial" w:cs="Arial"/>
          <w:i/>
          <w:iCs/>
          <w:color w:val="222222"/>
          <w:sz w:val="22"/>
          <w:szCs w:val="22"/>
          <w:shd w:val="clear" w:color="auto" w:fill="FFFFFF"/>
        </w:rPr>
        <w:t>The Multiscale Global Monsoon System</w:t>
      </w:r>
      <w:r w:rsidRPr="00E44923">
        <w:rPr>
          <w:rFonts w:ascii="Arial" w:hAnsi="Arial" w:cs="Arial"/>
          <w:color w:val="222222"/>
          <w:sz w:val="22"/>
          <w:szCs w:val="22"/>
          <w:shd w:val="clear" w:color="auto" w:fill="FFFFFF"/>
        </w:rPr>
        <w:t> (pp. 3-12).</w:t>
      </w:r>
    </w:p>
    <w:p w14:paraId="267665C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Zuo, Z., &amp; Zhang, K. (2023). Link between the land–sea thermal contrast and the Asian summer monsoon.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(1), 213-225.</w:t>
      </w:r>
    </w:p>
    <w:p w14:paraId="272B249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Ummenhofer</w:t>
      </w:r>
      <w:proofErr w:type="spellEnd"/>
      <w:r w:rsidRPr="00E44923">
        <w:rPr>
          <w:rFonts w:ascii="Arial" w:hAnsi="Arial" w:cs="Arial"/>
          <w:color w:val="222222"/>
          <w:sz w:val="22"/>
          <w:szCs w:val="22"/>
          <w:shd w:val="clear" w:color="auto" w:fill="FFFFFF"/>
        </w:rPr>
        <w:t>, C. C., Geen, R., Denniston, R. F., &amp; Rao, M. P. (2024). Past, present, and future of the South Asian monsoon. In </w:t>
      </w:r>
      <w:r w:rsidRPr="00E44923">
        <w:rPr>
          <w:rFonts w:ascii="Arial" w:hAnsi="Arial" w:cs="Arial"/>
          <w:i/>
          <w:iCs/>
          <w:color w:val="222222"/>
          <w:sz w:val="22"/>
          <w:szCs w:val="22"/>
          <w:shd w:val="clear" w:color="auto" w:fill="FFFFFF"/>
        </w:rPr>
        <w:t>The Indian Ocean and its role in the global climate system</w:t>
      </w:r>
      <w:r w:rsidRPr="00E44923">
        <w:rPr>
          <w:rFonts w:ascii="Arial" w:hAnsi="Arial" w:cs="Arial"/>
          <w:color w:val="222222"/>
          <w:sz w:val="22"/>
          <w:szCs w:val="22"/>
          <w:shd w:val="clear" w:color="auto" w:fill="FFFFFF"/>
        </w:rPr>
        <w:t> (pp. 49-78). Elsevier.</w:t>
      </w:r>
    </w:p>
    <w:p w14:paraId="3D2674A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Ao, H., Ruan, J., Martinón-Torres, M., Krapp, M., </w:t>
      </w:r>
      <w:proofErr w:type="spellStart"/>
      <w:r w:rsidRPr="00E44923">
        <w:rPr>
          <w:rFonts w:ascii="Arial" w:hAnsi="Arial" w:cs="Arial"/>
          <w:color w:val="222222"/>
          <w:sz w:val="22"/>
          <w:szCs w:val="22"/>
          <w:shd w:val="clear" w:color="auto" w:fill="FFFFFF"/>
        </w:rPr>
        <w:t>Liebrand</w:t>
      </w:r>
      <w:proofErr w:type="spellEnd"/>
      <w:r w:rsidRPr="00E44923">
        <w:rPr>
          <w:rFonts w:ascii="Arial" w:hAnsi="Arial" w:cs="Arial"/>
          <w:color w:val="222222"/>
          <w:sz w:val="22"/>
          <w:szCs w:val="22"/>
          <w:shd w:val="clear" w:color="auto" w:fill="FFFFFF"/>
        </w:rPr>
        <w:t>, D., Dekkers, M. J., ... &amp; An, Z. (2024). Concurrent Asian monsoon strengthening and early modern human dispersal to East Asia during the last interglacial. </w:t>
      </w:r>
      <w:r w:rsidRPr="00E44923">
        <w:rPr>
          <w:rFonts w:ascii="Arial" w:hAnsi="Arial" w:cs="Arial"/>
          <w:i/>
          <w:iCs/>
          <w:color w:val="222222"/>
          <w:sz w:val="22"/>
          <w:szCs w:val="22"/>
          <w:shd w:val="clear" w:color="auto" w:fill="FFFFFF"/>
        </w:rPr>
        <w:t>Proceedings of the National Academy of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121</w:t>
      </w:r>
      <w:r w:rsidRPr="00E44923">
        <w:rPr>
          <w:rFonts w:ascii="Arial" w:hAnsi="Arial" w:cs="Arial"/>
          <w:color w:val="222222"/>
          <w:sz w:val="22"/>
          <w:szCs w:val="22"/>
          <w:shd w:val="clear" w:color="auto" w:fill="FFFFFF"/>
        </w:rPr>
        <w:t>(3), e2308994121.</w:t>
      </w:r>
    </w:p>
    <w:p w14:paraId="07567B1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Lu, H., Wu, H., &amp; Meadows, M. (2024). Asian monsoon variations over the past 21 ka: An introduction. </w:t>
      </w:r>
      <w:r w:rsidRPr="00E44923">
        <w:rPr>
          <w:rFonts w:ascii="Arial" w:hAnsi="Arial" w:cs="Arial"/>
          <w:i/>
          <w:iCs/>
          <w:color w:val="222222"/>
          <w:sz w:val="22"/>
          <w:szCs w:val="22"/>
          <w:shd w:val="clear" w:color="auto" w:fill="FFFFFF"/>
        </w:rPr>
        <w:t>Global and Planetary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237</w:t>
      </w:r>
      <w:r w:rsidRPr="00E44923">
        <w:rPr>
          <w:rFonts w:ascii="Arial" w:hAnsi="Arial" w:cs="Arial"/>
          <w:color w:val="222222"/>
          <w:sz w:val="22"/>
          <w:szCs w:val="22"/>
          <w:shd w:val="clear" w:color="auto" w:fill="FFFFFF"/>
        </w:rPr>
        <w:t>, 104452.</w:t>
      </w:r>
    </w:p>
    <w:p w14:paraId="1BBE142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P. J., Wu, C. H., Chen, Y. G., &amp; Lee, S. Y. (2024). Impact of solar activity and ENSO on the early summer Asian Monsoon during the last millennium.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51</w:t>
      </w:r>
      <w:r w:rsidRPr="00E44923">
        <w:rPr>
          <w:rFonts w:ascii="Arial" w:hAnsi="Arial" w:cs="Arial"/>
          <w:color w:val="222222"/>
          <w:sz w:val="22"/>
          <w:szCs w:val="22"/>
          <w:shd w:val="clear" w:color="auto" w:fill="FFFFFF"/>
        </w:rPr>
        <w:t>(3), e2023GL105668.</w:t>
      </w:r>
    </w:p>
    <w:p w14:paraId="6618D9D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Hussain, A., Hussain, I., Rezaei, A., Ullah, W., Lu, M., Zhou, J., &amp; Guan, Y. (2024). Increasing monsoon precipitation extremes in relation to large-scale climatic patterns in Pakistan.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309</w:t>
      </w:r>
      <w:r w:rsidRPr="00E44923">
        <w:rPr>
          <w:rFonts w:ascii="Arial" w:hAnsi="Arial" w:cs="Arial"/>
          <w:color w:val="222222"/>
          <w:sz w:val="22"/>
          <w:szCs w:val="22"/>
          <w:shd w:val="clear" w:color="auto" w:fill="FFFFFF"/>
        </w:rPr>
        <w:t>, 107592.</w:t>
      </w:r>
    </w:p>
    <w:p w14:paraId="626AD31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Tada, M., Yoshimura, K., &amp; Toride, K. (2021). Improving weather forecasting by assimilation of water vapor isotopes.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18067.</w:t>
      </w:r>
    </w:p>
    <w:p w14:paraId="37320BF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Clift, P. D., Betzler, C., Clemens, S. C., Christensen, B., </w:t>
      </w:r>
      <w:proofErr w:type="spellStart"/>
      <w:r w:rsidRPr="00E44923">
        <w:rPr>
          <w:rFonts w:ascii="Arial" w:hAnsi="Arial" w:cs="Arial"/>
          <w:color w:val="222222"/>
          <w:sz w:val="22"/>
          <w:szCs w:val="22"/>
          <w:shd w:val="clear" w:color="auto" w:fill="FFFFFF"/>
        </w:rPr>
        <w:t>Eberli</w:t>
      </w:r>
      <w:proofErr w:type="spellEnd"/>
      <w:r w:rsidRPr="00E44923">
        <w:rPr>
          <w:rFonts w:ascii="Arial" w:hAnsi="Arial" w:cs="Arial"/>
          <w:color w:val="222222"/>
          <w:sz w:val="22"/>
          <w:szCs w:val="22"/>
          <w:shd w:val="clear" w:color="auto" w:fill="FFFFFF"/>
        </w:rPr>
        <w:t>, G. P., France-</w:t>
      </w:r>
      <w:proofErr w:type="spellStart"/>
      <w:r w:rsidRPr="00E44923">
        <w:rPr>
          <w:rFonts w:ascii="Arial" w:hAnsi="Arial" w:cs="Arial"/>
          <w:color w:val="222222"/>
          <w:sz w:val="22"/>
          <w:szCs w:val="22"/>
          <w:shd w:val="clear" w:color="auto" w:fill="FFFFFF"/>
        </w:rPr>
        <w:t>Lanord</w:t>
      </w:r>
      <w:proofErr w:type="spellEnd"/>
      <w:r w:rsidRPr="00E44923">
        <w:rPr>
          <w:rFonts w:ascii="Arial" w:hAnsi="Arial" w:cs="Arial"/>
          <w:color w:val="222222"/>
          <w:sz w:val="22"/>
          <w:szCs w:val="22"/>
          <w:shd w:val="clear" w:color="auto" w:fill="FFFFFF"/>
        </w:rPr>
        <w:t>, C., ... &amp; Wan, S. (2022). A synthesis of monsoon exploration in the Asian marginal seas. </w:t>
      </w:r>
      <w:r w:rsidRPr="00E44923">
        <w:rPr>
          <w:rFonts w:ascii="Arial" w:hAnsi="Arial" w:cs="Arial"/>
          <w:i/>
          <w:iCs/>
          <w:color w:val="222222"/>
          <w:sz w:val="22"/>
          <w:szCs w:val="22"/>
          <w:shd w:val="clear" w:color="auto" w:fill="FFFFFF"/>
        </w:rPr>
        <w:t>Scientific Drilling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31</w:t>
      </w:r>
      <w:r w:rsidRPr="00E44923">
        <w:rPr>
          <w:rFonts w:ascii="Arial" w:hAnsi="Arial" w:cs="Arial"/>
          <w:color w:val="222222"/>
          <w:sz w:val="22"/>
          <w:szCs w:val="22"/>
          <w:shd w:val="clear" w:color="auto" w:fill="FFFFFF"/>
        </w:rPr>
        <w:t>, 1-29.</w:t>
      </w:r>
    </w:p>
    <w:p w14:paraId="1601524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Wang, P., Clemens, S., Beaufort, L., </w:t>
      </w:r>
      <w:proofErr w:type="spellStart"/>
      <w:r w:rsidRPr="00E44923">
        <w:rPr>
          <w:rFonts w:ascii="Arial" w:hAnsi="Arial" w:cs="Arial"/>
          <w:color w:val="222222"/>
          <w:sz w:val="22"/>
          <w:szCs w:val="22"/>
          <w:shd w:val="clear" w:color="auto" w:fill="FFFFFF"/>
        </w:rPr>
        <w:t>Braconnot</w:t>
      </w:r>
      <w:proofErr w:type="spellEnd"/>
      <w:r w:rsidRPr="00E44923">
        <w:rPr>
          <w:rFonts w:ascii="Arial" w:hAnsi="Arial" w:cs="Arial"/>
          <w:color w:val="222222"/>
          <w:sz w:val="22"/>
          <w:szCs w:val="22"/>
          <w:shd w:val="clear" w:color="auto" w:fill="FFFFFF"/>
        </w:rPr>
        <w:t xml:space="preserve">, P., Ganssen, G., Jian, Z., ... &amp; </w:t>
      </w:r>
      <w:proofErr w:type="spellStart"/>
      <w:r w:rsidRPr="00E44923">
        <w:rPr>
          <w:rFonts w:ascii="Arial" w:hAnsi="Arial" w:cs="Arial"/>
          <w:color w:val="222222"/>
          <w:sz w:val="22"/>
          <w:szCs w:val="22"/>
          <w:shd w:val="clear" w:color="auto" w:fill="FFFFFF"/>
        </w:rPr>
        <w:t>Sarnthein</w:t>
      </w:r>
      <w:proofErr w:type="spellEnd"/>
      <w:r w:rsidRPr="00E44923">
        <w:rPr>
          <w:rFonts w:ascii="Arial" w:hAnsi="Arial" w:cs="Arial"/>
          <w:color w:val="222222"/>
          <w:sz w:val="22"/>
          <w:szCs w:val="22"/>
          <w:shd w:val="clear" w:color="auto" w:fill="FFFFFF"/>
        </w:rPr>
        <w:t>, M. (2005). Evolution and variability of the Asian monsoon system: state of the art and outstanding issues. </w:t>
      </w:r>
      <w:r w:rsidRPr="00E44923">
        <w:rPr>
          <w:rFonts w:ascii="Arial" w:hAnsi="Arial" w:cs="Arial"/>
          <w:i/>
          <w:iCs/>
          <w:color w:val="222222"/>
          <w:sz w:val="22"/>
          <w:szCs w:val="22"/>
          <w:shd w:val="clear" w:color="auto" w:fill="FFFFFF"/>
        </w:rPr>
        <w:t>Quaternary 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w:t>
      </w:r>
      <w:r w:rsidRPr="00E44923">
        <w:rPr>
          <w:rFonts w:ascii="Arial" w:hAnsi="Arial" w:cs="Arial"/>
          <w:color w:val="222222"/>
          <w:sz w:val="22"/>
          <w:szCs w:val="22"/>
          <w:shd w:val="clear" w:color="auto" w:fill="FFFFFF"/>
        </w:rPr>
        <w:t>(5-6), 595-629.</w:t>
      </w:r>
    </w:p>
    <w:p w14:paraId="4BBD4D7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Gupta, S. K., Sharma, M., &amp; Mukherjee, S. (2022). Buckeye rot of tomato in India: Present status, challenges, and future research perspectives. </w:t>
      </w:r>
      <w:r w:rsidRPr="00E44923">
        <w:rPr>
          <w:rFonts w:ascii="Arial" w:hAnsi="Arial" w:cs="Arial"/>
          <w:i/>
          <w:iCs/>
          <w:color w:val="222222"/>
          <w:sz w:val="22"/>
          <w:szCs w:val="22"/>
          <w:shd w:val="clear" w:color="auto" w:fill="FFFFFF"/>
        </w:rPr>
        <w:t>Plant Disease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106</w:t>
      </w:r>
      <w:r w:rsidRPr="00E44923">
        <w:rPr>
          <w:rFonts w:ascii="Arial" w:hAnsi="Arial" w:cs="Arial"/>
          <w:color w:val="222222"/>
          <w:sz w:val="22"/>
          <w:szCs w:val="22"/>
          <w:shd w:val="clear" w:color="auto" w:fill="FFFFFF"/>
        </w:rPr>
        <w:t>(4), 1085-1095.</w:t>
      </w:r>
    </w:p>
    <w:p w14:paraId="3850F35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Li, G., Yu, Z., Li, Y., Yang, C., Gu, H., Zhang, J., &amp; Huang, Y. (2024). Interaction mechanism of global multiple ocean-atmosphere coupled modes and their impacts on South and East Asian Monsoon: A review. </w:t>
      </w:r>
      <w:r w:rsidRPr="00E44923">
        <w:rPr>
          <w:rFonts w:ascii="Arial" w:hAnsi="Arial" w:cs="Arial"/>
          <w:i/>
          <w:iCs/>
          <w:color w:val="222222"/>
          <w:sz w:val="22"/>
          <w:szCs w:val="22"/>
          <w:shd w:val="clear" w:color="auto" w:fill="FFFFFF"/>
        </w:rPr>
        <w:t>Global and Planetary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237</w:t>
      </w:r>
      <w:r w:rsidRPr="00E44923">
        <w:rPr>
          <w:rFonts w:ascii="Arial" w:hAnsi="Arial" w:cs="Arial"/>
          <w:color w:val="222222"/>
          <w:sz w:val="22"/>
          <w:szCs w:val="22"/>
          <w:shd w:val="clear" w:color="auto" w:fill="FFFFFF"/>
        </w:rPr>
        <w:t>, 104438.</w:t>
      </w:r>
    </w:p>
    <w:p w14:paraId="1494442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Murty, A. (2021). Monsoons over the Indian subcontinent. </w:t>
      </w:r>
      <w:proofErr w:type="spellStart"/>
      <w:r w:rsidRPr="00E44923">
        <w:rPr>
          <w:rFonts w:ascii="Arial" w:hAnsi="Arial" w:cs="Arial"/>
          <w:i/>
          <w:iCs/>
          <w:color w:val="222222"/>
          <w:sz w:val="22"/>
          <w:szCs w:val="22"/>
          <w:shd w:val="clear" w:color="auto" w:fill="FFFFFF"/>
        </w:rPr>
        <w:t>Acad</w:t>
      </w:r>
      <w:proofErr w:type="spellEnd"/>
      <w:r w:rsidRPr="00E44923">
        <w:rPr>
          <w:rFonts w:ascii="Arial" w:hAnsi="Arial" w:cs="Arial"/>
          <w:i/>
          <w:iCs/>
          <w:color w:val="222222"/>
          <w:sz w:val="22"/>
          <w:szCs w:val="22"/>
          <w:shd w:val="clear" w:color="auto" w:fill="FFFFFF"/>
        </w:rPr>
        <w:t xml:space="preserve"> Lett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w:t>
      </w:r>
      <w:r w:rsidRPr="00E44923">
        <w:rPr>
          <w:rFonts w:ascii="Arial" w:hAnsi="Arial" w:cs="Arial"/>
          <w:color w:val="222222"/>
          <w:sz w:val="22"/>
          <w:szCs w:val="22"/>
          <w:shd w:val="clear" w:color="auto" w:fill="FFFFFF"/>
        </w:rPr>
        <w:t>, 1-29.</w:t>
      </w:r>
    </w:p>
    <w:p w14:paraId="17071CB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Prasad, N., Quamar, M. F., Maneesha, M. E. T., Tiwari, P., Thakur, B., Sharma, A., ... &amp; Javed, M. (2024). Late Holocene vegetation history and monsoonal climate change from the Core Monsoon Zone of India. </w:t>
      </w:r>
      <w:r w:rsidRPr="00E44923">
        <w:rPr>
          <w:rFonts w:ascii="Arial" w:hAnsi="Arial" w:cs="Arial"/>
          <w:i/>
          <w:iCs/>
          <w:color w:val="222222"/>
          <w:sz w:val="22"/>
          <w:szCs w:val="22"/>
          <w:shd w:val="clear" w:color="auto" w:fill="FFFFFF"/>
        </w:rPr>
        <w:t>Catena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246</w:t>
      </w:r>
      <w:r w:rsidRPr="00E44923">
        <w:rPr>
          <w:rFonts w:ascii="Arial" w:hAnsi="Arial" w:cs="Arial"/>
          <w:color w:val="222222"/>
          <w:sz w:val="22"/>
          <w:szCs w:val="22"/>
          <w:shd w:val="clear" w:color="auto" w:fill="FFFFFF"/>
        </w:rPr>
        <w:t>, 108394.</w:t>
      </w:r>
    </w:p>
    <w:p w14:paraId="06E5EAE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Ghosh, J., Chakraborty, K., Valsala, V., Bhattacharya, T., &amp; Ghoshal, P. K. (2024). A review of the Indian Ocean carbon dynamics, acidity, and productivity in a changing environment. </w:t>
      </w:r>
      <w:r w:rsidRPr="00E44923">
        <w:rPr>
          <w:rFonts w:ascii="Arial" w:hAnsi="Arial" w:cs="Arial"/>
          <w:i/>
          <w:iCs/>
          <w:color w:val="222222"/>
          <w:sz w:val="22"/>
          <w:szCs w:val="22"/>
          <w:shd w:val="clear" w:color="auto" w:fill="FFFFFF"/>
        </w:rPr>
        <w:t>Progress in Oceanography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221</w:t>
      </w:r>
      <w:r w:rsidRPr="00E44923">
        <w:rPr>
          <w:rFonts w:ascii="Arial" w:hAnsi="Arial" w:cs="Arial"/>
          <w:color w:val="222222"/>
          <w:sz w:val="22"/>
          <w:szCs w:val="22"/>
          <w:shd w:val="clear" w:color="auto" w:fill="FFFFFF"/>
        </w:rPr>
        <w:t>, 103210.</w:t>
      </w:r>
    </w:p>
    <w:p w14:paraId="3D70956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Williams, M. A., Hemanth Kumar, A., Jayachandran, V., Thakur, M. K., &amp; Kumar, T. L. (2025). Effect of wet scavenging on black carbon aerosols over a coastal urban site in India. </w:t>
      </w:r>
      <w:r w:rsidRPr="00E44923">
        <w:rPr>
          <w:rFonts w:ascii="Arial" w:hAnsi="Arial" w:cs="Arial"/>
          <w:i/>
          <w:iCs/>
          <w:color w:val="222222"/>
          <w:sz w:val="22"/>
          <w:szCs w:val="22"/>
          <w:shd w:val="clear" w:color="auto" w:fill="FFFFFF"/>
        </w:rPr>
        <w:t>Air Quality, Atmosphere &amp; Health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18</w:t>
      </w:r>
      <w:r w:rsidRPr="00E44923">
        <w:rPr>
          <w:rFonts w:ascii="Arial" w:hAnsi="Arial" w:cs="Arial"/>
          <w:color w:val="222222"/>
          <w:sz w:val="22"/>
          <w:szCs w:val="22"/>
          <w:shd w:val="clear" w:color="auto" w:fill="FFFFFF"/>
        </w:rPr>
        <w:t>(1), 15-28.</w:t>
      </w:r>
    </w:p>
    <w:p w14:paraId="231F635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Bolton, C. T., Chang, L., Clemens, S. C., Kodama, K., Ikehara, M., Medina-Elizalde, M., ... &amp; Zhao, X. (2013). A </w:t>
      </w:r>
      <w:proofErr w:type="gramStart"/>
      <w:r w:rsidRPr="00E44923">
        <w:rPr>
          <w:rFonts w:ascii="Arial" w:hAnsi="Arial" w:cs="Arial"/>
          <w:color w:val="222222"/>
          <w:sz w:val="22"/>
          <w:szCs w:val="22"/>
          <w:shd w:val="clear" w:color="auto" w:fill="FFFFFF"/>
        </w:rPr>
        <w:t>500,000 year</w:t>
      </w:r>
      <w:proofErr w:type="gramEnd"/>
      <w:r w:rsidRPr="00E44923">
        <w:rPr>
          <w:rFonts w:ascii="Arial" w:hAnsi="Arial" w:cs="Arial"/>
          <w:color w:val="222222"/>
          <w:sz w:val="22"/>
          <w:szCs w:val="22"/>
          <w:shd w:val="clear" w:color="auto" w:fill="FFFFFF"/>
        </w:rPr>
        <w:t xml:space="preserve"> record of Indian summer monsoon dynamics recorded by eastern equatorial Indian Ocean upper water-column structure. </w:t>
      </w:r>
      <w:r w:rsidRPr="00E44923">
        <w:rPr>
          <w:rFonts w:ascii="Arial" w:hAnsi="Arial" w:cs="Arial"/>
          <w:i/>
          <w:iCs/>
          <w:color w:val="222222"/>
          <w:sz w:val="22"/>
          <w:szCs w:val="22"/>
          <w:shd w:val="clear" w:color="auto" w:fill="FFFFFF"/>
        </w:rPr>
        <w:t>Quaternary 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77</w:t>
      </w:r>
      <w:r w:rsidRPr="00E44923">
        <w:rPr>
          <w:rFonts w:ascii="Arial" w:hAnsi="Arial" w:cs="Arial"/>
          <w:color w:val="222222"/>
          <w:sz w:val="22"/>
          <w:szCs w:val="22"/>
          <w:shd w:val="clear" w:color="auto" w:fill="FFFFFF"/>
        </w:rPr>
        <w:t>, 167-180.</w:t>
      </w:r>
    </w:p>
    <w:p w14:paraId="06329D7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5ECF425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Alone, A., Kumar, P., Phani, R., Mandal, R., &amp; Dey, A. (2022). Extended-range forecast of monsoon at smaller spatial domains over India for application in agriculture. Theoretical and Applied Climatology, 147(1), 451-472.</w:t>
      </w:r>
    </w:p>
    <w:p w14:paraId="5031876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Pothapakula</w:t>
      </w:r>
      <w:proofErr w:type="spellEnd"/>
      <w:r w:rsidRPr="00E44923">
        <w:rPr>
          <w:rFonts w:ascii="Arial" w:hAnsi="Arial" w:cs="Arial"/>
          <w:color w:val="222222"/>
          <w:sz w:val="22"/>
          <w:szCs w:val="22"/>
          <w:shd w:val="clear" w:color="auto" w:fill="FFFFFF"/>
        </w:rPr>
        <w:t>, P. K., Primo, C., Sørland, S., &amp; Ahrens, B. (2020). The synergistic impact of ENSO and IOD on the Indian Summer Monsoon Rainfall in observations and climate simulations-an information theory perspective. </w:t>
      </w:r>
      <w:r w:rsidRPr="00E44923">
        <w:rPr>
          <w:rFonts w:ascii="Arial" w:hAnsi="Arial" w:cs="Arial"/>
          <w:i/>
          <w:iCs/>
          <w:color w:val="222222"/>
          <w:sz w:val="22"/>
          <w:szCs w:val="22"/>
          <w:shd w:val="clear" w:color="auto" w:fill="FFFFFF"/>
        </w:rPr>
        <w:t>Earth System Dynamics Discussions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2020</w:t>
      </w:r>
      <w:r w:rsidRPr="00E44923">
        <w:rPr>
          <w:rFonts w:ascii="Arial" w:hAnsi="Arial" w:cs="Arial"/>
          <w:color w:val="222222"/>
          <w:sz w:val="22"/>
          <w:szCs w:val="22"/>
          <w:shd w:val="clear" w:color="auto" w:fill="FFFFFF"/>
        </w:rPr>
        <w:t>, 1-30.</w:t>
      </w:r>
    </w:p>
    <w:p w14:paraId="17238AC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H. C., Tseng, Y. H., Hu, Z. Z., &amp; Ding, R. (2020). Enhancing the ENSO predictability beyond the spring barrier.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(1), 984.</w:t>
      </w:r>
    </w:p>
    <w:p w14:paraId="498FB56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He, S., Gao, Y., Li, F., Wang, H., &amp; He, Y. (2017). Impact of Arctic Oscillation on the East Asian climate: A review. </w:t>
      </w:r>
      <w:r w:rsidRPr="00E44923">
        <w:rPr>
          <w:rFonts w:ascii="Arial" w:hAnsi="Arial" w:cs="Arial"/>
          <w:i/>
          <w:iCs/>
          <w:color w:val="222222"/>
          <w:sz w:val="22"/>
          <w:szCs w:val="22"/>
          <w:shd w:val="clear" w:color="auto" w:fill="FFFFFF"/>
        </w:rPr>
        <w:t>Earth-Science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164</w:t>
      </w:r>
      <w:r w:rsidRPr="00E44923">
        <w:rPr>
          <w:rFonts w:ascii="Arial" w:hAnsi="Arial" w:cs="Arial"/>
          <w:color w:val="222222"/>
          <w:sz w:val="22"/>
          <w:szCs w:val="22"/>
          <w:shd w:val="clear" w:color="auto" w:fill="FFFFFF"/>
        </w:rPr>
        <w:t>, 48-62.</w:t>
      </w:r>
    </w:p>
    <w:p w14:paraId="292F2AB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Polonsky, A., &amp; Torbinsky, A. (2021). The IOD–ENSO interaction: The role of the Indian Ocean current’s system. </w:t>
      </w:r>
      <w:r w:rsidRPr="00E44923">
        <w:rPr>
          <w:rFonts w:ascii="Arial" w:hAnsi="Arial" w:cs="Arial"/>
          <w:i/>
          <w:iCs/>
          <w:color w:val="222222"/>
          <w:sz w:val="22"/>
          <w:szCs w:val="22"/>
          <w:shd w:val="clear" w:color="auto" w:fill="FFFFFF"/>
        </w:rPr>
        <w:t>Atmosphere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w:t>
      </w:r>
      <w:r w:rsidRPr="00E44923">
        <w:rPr>
          <w:rFonts w:ascii="Arial" w:hAnsi="Arial" w:cs="Arial"/>
          <w:color w:val="222222"/>
          <w:sz w:val="22"/>
          <w:szCs w:val="22"/>
          <w:shd w:val="clear" w:color="auto" w:fill="FFFFFF"/>
        </w:rPr>
        <w:t>(12), 1662.</w:t>
      </w:r>
    </w:p>
    <w:p w14:paraId="1185FFA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Lumbangaol</w:t>
      </w:r>
      <w:proofErr w:type="spellEnd"/>
      <w:r w:rsidRPr="00E44923">
        <w:rPr>
          <w:rFonts w:ascii="Arial" w:hAnsi="Arial" w:cs="Arial"/>
          <w:color w:val="222222"/>
          <w:sz w:val="22"/>
          <w:szCs w:val="22"/>
          <w:shd w:val="clear" w:color="auto" w:fill="FFFFFF"/>
        </w:rPr>
        <w:t xml:space="preserve">, A., Radjawane, I. M., &amp; </w:t>
      </w:r>
      <w:proofErr w:type="spellStart"/>
      <w:r w:rsidRPr="00E44923">
        <w:rPr>
          <w:rFonts w:ascii="Arial" w:hAnsi="Arial" w:cs="Arial"/>
          <w:color w:val="222222"/>
          <w:sz w:val="22"/>
          <w:szCs w:val="22"/>
          <w:shd w:val="clear" w:color="auto" w:fill="FFFFFF"/>
        </w:rPr>
        <w:t>Furqon</w:t>
      </w:r>
      <w:proofErr w:type="spellEnd"/>
      <w:r w:rsidRPr="00E44923">
        <w:rPr>
          <w:rFonts w:ascii="Arial" w:hAnsi="Arial" w:cs="Arial"/>
          <w:color w:val="222222"/>
          <w:sz w:val="22"/>
          <w:szCs w:val="22"/>
          <w:shd w:val="clear" w:color="auto" w:fill="FFFFFF"/>
        </w:rPr>
        <w:t>, A. (2021, November). Linkages of Active and Weakening MJO events to Seasonal Variations over the Maritime Continent. In </w:t>
      </w:r>
      <w:r w:rsidRPr="00E44923">
        <w:rPr>
          <w:rFonts w:ascii="Arial" w:hAnsi="Arial" w:cs="Arial"/>
          <w:i/>
          <w:iCs/>
          <w:color w:val="222222"/>
          <w:sz w:val="22"/>
          <w:szCs w:val="22"/>
          <w:shd w:val="clear" w:color="auto" w:fill="FFFFFF"/>
        </w:rPr>
        <w:t>IOP Conference Series: Earth and Environmental Science</w:t>
      </w:r>
      <w:r w:rsidRPr="00E44923">
        <w:rPr>
          <w:rFonts w:ascii="Arial" w:hAnsi="Arial" w:cs="Arial"/>
          <w:color w:val="222222"/>
          <w:sz w:val="22"/>
          <w:szCs w:val="22"/>
          <w:shd w:val="clear" w:color="auto" w:fill="FFFFFF"/>
        </w:rPr>
        <w:t> (Vol. 925, No. 1, p. 012004). IOP Publishing.</w:t>
      </w:r>
    </w:p>
    <w:p w14:paraId="5CAD6F5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Pai, D. S., Bhate, J., Sreejith, O. P., &amp; </w:t>
      </w:r>
      <w:proofErr w:type="spellStart"/>
      <w:r w:rsidRPr="00E44923">
        <w:rPr>
          <w:rFonts w:ascii="Arial" w:hAnsi="Arial" w:cs="Arial"/>
          <w:color w:val="222222"/>
          <w:sz w:val="22"/>
          <w:szCs w:val="22"/>
          <w:shd w:val="clear" w:color="auto" w:fill="FFFFFF"/>
        </w:rPr>
        <w:t>Hatwar</w:t>
      </w:r>
      <w:proofErr w:type="spellEnd"/>
      <w:r w:rsidRPr="00E44923">
        <w:rPr>
          <w:rFonts w:ascii="Arial" w:hAnsi="Arial" w:cs="Arial"/>
          <w:color w:val="222222"/>
          <w:sz w:val="22"/>
          <w:szCs w:val="22"/>
          <w:shd w:val="clear" w:color="auto" w:fill="FFFFFF"/>
        </w:rPr>
        <w:t>, H. R. (2011). Impact of MJO on the intraseasonal variation of summer monsoon rainfall over India.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(1), 41-55.</w:t>
      </w:r>
    </w:p>
    <w:p w14:paraId="0495A6B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Abhilash, S., Sahai, A. K., </w:t>
      </w:r>
      <w:proofErr w:type="spellStart"/>
      <w:r w:rsidRPr="00E44923">
        <w:rPr>
          <w:rFonts w:ascii="Arial" w:hAnsi="Arial" w:cs="Arial"/>
          <w:color w:val="222222"/>
          <w:sz w:val="22"/>
          <w:szCs w:val="22"/>
          <w:shd w:val="clear" w:color="auto" w:fill="FFFFFF"/>
        </w:rPr>
        <w:t>Pattnaik</w:t>
      </w:r>
      <w:proofErr w:type="spellEnd"/>
      <w:r w:rsidRPr="00E44923">
        <w:rPr>
          <w:rFonts w:ascii="Arial" w:hAnsi="Arial" w:cs="Arial"/>
          <w:color w:val="222222"/>
          <w:sz w:val="22"/>
          <w:szCs w:val="22"/>
          <w:shd w:val="clear" w:color="auto" w:fill="FFFFFF"/>
        </w:rPr>
        <w:t>, S., Goswami, B. N., &amp; Kumar, A. (2014). Extended range prediction of active-break spells of Indian summer monsoon rainfall using an ensemble prediction system in NCEP Climate Forecast System.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w:t>
      </w:r>
    </w:p>
    <w:p w14:paraId="7C28835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Parthasarathy, B., Kumar, K. R., &amp; </w:t>
      </w:r>
      <w:proofErr w:type="spellStart"/>
      <w:r w:rsidRPr="00E44923">
        <w:rPr>
          <w:rFonts w:ascii="Arial" w:hAnsi="Arial" w:cs="Arial"/>
          <w:color w:val="222222"/>
          <w:sz w:val="22"/>
          <w:szCs w:val="22"/>
          <w:shd w:val="clear" w:color="auto" w:fill="FFFFFF"/>
        </w:rPr>
        <w:t>Munot</w:t>
      </w:r>
      <w:proofErr w:type="spellEnd"/>
      <w:r w:rsidRPr="00E44923">
        <w:rPr>
          <w:rFonts w:ascii="Arial" w:hAnsi="Arial" w:cs="Arial"/>
          <w:color w:val="222222"/>
          <w:sz w:val="22"/>
          <w:szCs w:val="22"/>
          <w:shd w:val="clear" w:color="auto" w:fill="FFFFFF"/>
        </w:rPr>
        <w:t>, A. A. (1991). Evidence of secular variations in Indian monsoon rainfall–circulation relationships.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w:t>
      </w:r>
      <w:r w:rsidRPr="00E44923">
        <w:rPr>
          <w:rFonts w:ascii="Arial" w:hAnsi="Arial" w:cs="Arial"/>
          <w:color w:val="222222"/>
          <w:sz w:val="22"/>
          <w:szCs w:val="22"/>
          <w:shd w:val="clear" w:color="auto" w:fill="FFFFFF"/>
        </w:rPr>
        <w:t>(9), 927-938.</w:t>
      </w:r>
    </w:p>
    <w:p w14:paraId="3944169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Ratna, S. B., </w:t>
      </w:r>
      <w:proofErr w:type="spellStart"/>
      <w:r w:rsidRPr="00E44923">
        <w:rPr>
          <w:rFonts w:ascii="Arial" w:hAnsi="Arial" w:cs="Arial"/>
          <w:color w:val="222222"/>
          <w:sz w:val="22"/>
          <w:szCs w:val="22"/>
          <w:shd w:val="clear" w:color="auto" w:fill="FFFFFF"/>
        </w:rPr>
        <w:t>Sabeerali</w:t>
      </w:r>
      <w:proofErr w:type="spellEnd"/>
      <w:r w:rsidRPr="00E44923">
        <w:rPr>
          <w:rFonts w:ascii="Arial" w:hAnsi="Arial" w:cs="Arial"/>
          <w:color w:val="222222"/>
          <w:sz w:val="22"/>
          <w:szCs w:val="22"/>
          <w:shd w:val="clear" w:color="auto" w:fill="FFFFFF"/>
        </w:rPr>
        <w:t>, C. T., Sharma, T., Pai, D. S., &amp; Mohapatra, M. (2024). Combined influence of El Niño, IOD and MJO on the Indian Summer Monsoon Rainfall: Case Study for the years 1997 and 2015.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299</w:t>
      </w:r>
      <w:r w:rsidRPr="00E44923">
        <w:rPr>
          <w:rFonts w:ascii="Arial" w:hAnsi="Arial" w:cs="Arial"/>
          <w:color w:val="222222"/>
          <w:sz w:val="22"/>
          <w:szCs w:val="22"/>
          <w:shd w:val="clear" w:color="auto" w:fill="FFFFFF"/>
        </w:rPr>
        <w:t>, 107214.</w:t>
      </w:r>
    </w:p>
    <w:p w14:paraId="0423ABA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Alone, A., Kumar, P., Phani, R., Mandal, R., &amp; Dey, A. (2022). Extended-range forecast of monsoon at smaller spatial domains over India for application in agriculture.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147</w:t>
      </w:r>
      <w:r w:rsidRPr="00E44923">
        <w:rPr>
          <w:rFonts w:ascii="Arial" w:hAnsi="Arial" w:cs="Arial"/>
          <w:color w:val="222222"/>
          <w:sz w:val="22"/>
          <w:szCs w:val="22"/>
          <w:shd w:val="clear" w:color="auto" w:fill="FFFFFF"/>
        </w:rPr>
        <w:t>(1), 451-472.</w:t>
      </w:r>
    </w:p>
    <w:p w14:paraId="677CBE6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Mohanty, U. C., Sinha, P., Mohanty, M. R., Maurya, R. K. S., &amp; Rao, M. N. (2019). A review on the monthly and seasonal forecast of the Indian summer monsoon.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70</w:t>
      </w:r>
      <w:r w:rsidRPr="00E44923">
        <w:rPr>
          <w:rFonts w:ascii="Arial" w:hAnsi="Arial" w:cs="Arial"/>
          <w:color w:val="222222"/>
          <w:sz w:val="22"/>
          <w:szCs w:val="22"/>
          <w:shd w:val="clear" w:color="auto" w:fill="FFFFFF"/>
        </w:rPr>
        <w:t>(3), 425-442.</w:t>
      </w:r>
    </w:p>
    <w:p w14:paraId="37A1004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Yadav, R. K. (2025). The recent trends in the Indian summer monsoon rainfall. </w:t>
      </w:r>
      <w:r w:rsidRPr="00E44923">
        <w:rPr>
          <w:rFonts w:ascii="Arial" w:hAnsi="Arial" w:cs="Arial"/>
          <w:i/>
          <w:iCs/>
          <w:color w:val="222222"/>
          <w:sz w:val="22"/>
          <w:szCs w:val="22"/>
          <w:shd w:val="clear" w:color="auto" w:fill="FFFFFF"/>
        </w:rPr>
        <w:t>Environment, Development and Sustainability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27</w:t>
      </w:r>
      <w:r w:rsidRPr="00E44923">
        <w:rPr>
          <w:rFonts w:ascii="Arial" w:hAnsi="Arial" w:cs="Arial"/>
          <w:color w:val="222222"/>
          <w:sz w:val="22"/>
          <w:szCs w:val="22"/>
          <w:shd w:val="clear" w:color="auto" w:fill="FFFFFF"/>
        </w:rPr>
        <w:t>(6), 13565-13579.</w:t>
      </w:r>
    </w:p>
    <w:p w14:paraId="3694B0F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Seo, K. H., Schemm, J. K., Jones, C., &amp; Moorthi, S. (2005). Forecast skill of the tropical intraseasonal oscillation in the NCEP GFS dynamical extended range forecasts.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25</w:t>
      </w:r>
      <w:r w:rsidRPr="00E44923">
        <w:rPr>
          <w:rFonts w:ascii="Arial" w:hAnsi="Arial" w:cs="Arial"/>
          <w:color w:val="222222"/>
          <w:sz w:val="22"/>
          <w:szCs w:val="22"/>
          <w:shd w:val="clear" w:color="auto" w:fill="FFFFFF"/>
        </w:rPr>
        <w:t>(2), 265-284.</w:t>
      </w:r>
    </w:p>
    <w:p w14:paraId="015588F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Klotzbach, P. J., Gray, W. M., &amp; Thorson, W. (2006). Extended range forecast of Atlantic seasonal hurricane activity and US landfall strike probability for 2007. </w:t>
      </w:r>
      <w:r w:rsidRPr="00E44923">
        <w:rPr>
          <w:rFonts w:ascii="Arial" w:hAnsi="Arial" w:cs="Arial"/>
          <w:i/>
          <w:iCs/>
          <w:color w:val="222222"/>
          <w:sz w:val="22"/>
          <w:szCs w:val="22"/>
          <w:shd w:val="clear" w:color="auto" w:fill="FFFFFF"/>
        </w:rPr>
        <w:t xml:space="preserve">Keith Elder, Sudha Xirasagar, Nancy Miller, Shelly Ann Bowen, Saundra Glover, and Crystal </w:t>
      </w:r>
      <w:proofErr w:type="spellStart"/>
      <w:proofErr w:type="gramStart"/>
      <w:r w:rsidRPr="00E44923">
        <w:rPr>
          <w:rFonts w:ascii="Arial" w:hAnsi="Arial" w:cs="Arial"/>
          <w:i/>
          <w:iCs/>
          <w:color w:val="222222"/>
          <w:sz w:val="22"/>
          <w:szCs w:val="22"/>
          <w:shd w:val="clear" w:color="auto" w:fill="FFFFFF"/>
        </w:rPr>
        <w:t>Piper.“</w:t>
      </w:r>
      <w:proofErr w:type="gramEnd"/>
      <w:r w:rsidRPr="00E44923">
        <w:rPr>
          <w:rFonts w:ascii="Arial" w:hAnsi="Arial" w:cs="Arial"/>
          <w:i/>
          <w:iCs/>
          <w:color w:val="222222"/>
          <w:sz w:val="22"/>
          <w:szCs w:val="22"/>
          <w:shd w:val="clear" w:color="auto" w:fill="FFFFFF"/>
        </w:rPr>
        <w:t>African</w:t>
      </w:r>
      <w:proofErr w:type="spellEnd"/>
      <w:r w:rsidRPr="00E44923">
        <w:rPr>
          <w:rFonts w:ascii="Arial" w:hAnsi="Arial" w:cs="Arial"/>
          <w:i/>
          <w:iCs/>
          <w:color w:val="222222"/>
          <w:sz w:val="22"/>
          <w:szCs w:val="22"/>
          <w:shd w:val="clear" w:color="auto" w:fill="FFFFFF"/>
        </w:rPr>
        <w:t xml:space="preserve">-Americans’ Decisions Not to Evacuate New Orleans Before </w:t>
      </w:r>
      <w:proofErr w:type="spellStart"/>
      <w:r w:rsidRPr="00E44923">
        <w:rPr>
          <w:rFonts w:ascii="Arial" w:hAnsi="Arial" w:cs="Arial"/>
          <w:i/>
          <w:iCs/>
          <w:color w:val="222222"/>
          <w:sz w:val="22"/>
          <w:szCs w:val="22"/>
          <w:shd w:val="clear" w:color="auto" w:fill="FFFFFF"/>
        </w:rPr>
        <w:t>Huricane</w:t>
      </w:r>
      <w:proofErr w:type="spellEnd"/>
      <w:r w:rsidRPr="00E44923">
        <w:rPr>
          <w:rFonts w:ascii="Arial" w:hAnsi="Arial" w:cs="Arial"/>
          <w:i/>
          <w:iCs/>
          <w:color w:val="222222"/>
          <w:sz w:val="22"/>
          <w:szCs w:val="22"/>
          <w:shd w:val="clear" w:color="auto" w:fill="FFFFFF"/>
        </w:rPr>
        <w:t xml:space="preserve"> Katrina: A Qualitative Study.” American Journal of Public Health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97</w:t>
      </w:r>
      <w:r w:rsidRPr="00E44923">
        <w:rPr>
          <w:rFonts w:ascii="Arial" w:hAnsi="Arial" w:cs="Arial"/>
          <w:color w:val="222222"/>
          <w:sz w:val="22"/>
          <w:szCs w:val="22"/>
          <w:shd w:val="clear" w:color="auto" w:fill="FFFFFF"/>
        </w:rPr>
        <w:t>, 1-8.</w:t>
      </w:r>
    </w:p>
    <w:p w14:paraId="4973222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Fu, X., &amp; Hsu, P. C. (2011). Extended</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ensemble forecasting of tropical cyclogenesis in the northern Indian Ocean: Modulation of Madden</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Julian Oscillation.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38</w:t>
      </w:r>
      <w:r w:rsidRPr="00E44923">
        <w:rPr>
          <w:rFonts w:ascii="Arial" w:hAnsi="Arial" w:cs="Arial"/>
          <w:color w:val="222222"/>
          <w:sz w:val="22"/>
          <w:szCs w:val="22"/>
          <w:shd w:val="clear" w:color="auto" w:fill="FFFFFF"/>
        </w:rPr>
        <w:t>(15).</w:t>
      </w:r>
    </w:p>
    <w:p w14:paraId="60F2DAA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Agudelo, P. A., Hoyos, C. D., Webster, P. J., &amp; Curry, J. A. (2009). Application of a serial extended forecast experiment using the ECMWF model to interpret the predictive skill of tropical intraseasonal variability.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32</w:t>
      </w:r>
      <w:r w:rsidRPr="00E44923">
        <w:rPr>
          <w:rFonts w:ascii="Arial" w:hAnsi="Arial" w:cs="Arial"/>
          <w:color w:val="222222"/>
          <w:sz w:val="22"/>
          <w:szCs w:val="22"/>
          <w:shd w:val="clear" w:color="auto" w:fill="FFFFFF"/>
        </w:rPr>
        <w:t>(6), 855-872.</w:t>
      </w:r>
    </w:p>
    <w:p w14:paraId="5FBB612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Sharmila, S., Abhilash, S., Chattopadhyay, R., Borah, N., Krishna, R. P. M., ... &amp; Pillai, P. A. (2013). Simulation and extended range prediction of monsoon intraseasonal oscillations in NCEP CFS/GFS version 2 framework. </w:t>
      </w:r>
      <w:r w:rsidRPr="00E44923">
        <w:rPr>
          <w:rFonts w:ascii="Arial" w:hAnsi="Arial" w:cs="Arial"/>
          <w:i/>
          <w:iCs/>
          <w:color w:val="222222"/>
          <w:sz w:val="22"/>
          <w:szCs w:val="22"/>
          <w:shd w:val="clear" w:color="auto" w:fill="FFFFFF"/>
        </w:rPr>
        <w:t>Current Science</w:t>
      </w:r>
      <w:r w:rsidRPr="00E44923">
        <w:rPr>
          <w:rFonts w:ascii="Arial" w:hAnsi="Arial" w:cs="Arial"/>
          <w:color w:val="222222"/>
          <w:sz w:val="22"/>
          <w:szCs w:val="22"/>
          <w:shd w:val="clear" w:color="auto" w:fill="FFFFFF"/>
        </w:rPr>
        <w:t>, 1394-1408.</w:t>
      </w:r>
    </w:p>
    <w:p w14:paraId="328C0F1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Krishna, P. M., Pattanaik, D. R., &amp; Abhilash, S. (2019). Seamless prediction of monsoon onset and active/break phases. In </w:t>
      </w:r>
      <w:r w:rsidRPr="00E44923">
        <w:rPr>
          <w:rFonts w:ascii="Arial" w:hAnsi="Arial" w:cs="Arial"/>
          <w:i/>
          <w:iCs/>
          <w:color w:val="222222"/>
          <w:sz w:val="22"/>
          <w:szCs w:val="22"/>
          <w:shd w:val="clear" w:color="auto" w:fill="FFFFFF"/>
        </w:rPr>
        <w:t>Sub-seasonal to seasonal prediction</w:t>
      </w:r>
      <w:r w:rsidRPr="00E44923">
        <w:rPr>
          <w:rFonts w:ascii="Arial" w:hAnsi="Arial" w:cs="Arial"/>
          <w:color w:val="222222"/>
          <w:sz w:val="22"/>
          <w:szCs w:val="22"/>
          <w:shd w:val="clear" w:color="auto" w:fill="FFFFFF"/>
        </w:rPr>
        <w:t> (pp. 421-438). Elsevier.</w:t>
      </w:r>
    </w:p>
    <w:p w14:paraId="422C602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Wu, J., &amp; Huang, H. (2024). The influence of 10–30-day boreal summer intraseasonal oscillation on the extended-range forecast skill of extreme rainfall over southern China.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62</w:t>
      </w:r>
      <w:r w:rsidRPr="00E44923">
        <w:rPr>
          <w:rFonts w:ascii="Arial" w:hAnsi="Arial" w:cs="Arial"/>
          <w:color w:val="222222"/>
          <w:sz w:val="22"/>
          <w:szCs w:val="22"/>
          <w:shd w:val="clear" w:color="auto" w:fill="FFFFFF"/>
        </w:rPr>
        <w:t>(1), 69-86.</w:t>
      </w:r>
    </w:p>
    <w:p w14:paraId="3B711D0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Rajan, D., &amp; </w:t>
      </w:r>
      <w:proofErr w:type="spellStart"/>
      <w:r w:rsidRPr="00E44923">
        <w:rPr>
          <w:rFonts w:ascii="Arial" w:hAnsi="Arial" w:cs="Arial"/>
          <w:color w:val="222222"/>
          <w:sz w:val="22"/>
          <w:szCs w:val="22"/>
          <w:shd w:val="clear" w:color="auto" w:fill="FFFFFF"/>
        </w:rPr>
        <w:t>Desamsetti</w:t>
      </w:r>
      <w:proofErr w:type="spellEnd"/>
      <w:r w:rsidRPr="00E44923">
        <w:rPr>
          <w:rFonts w:ascii="Arial" w:hAnsi="Arial" w:cs="Arial"/>
          <w:color w:val="222222"/>
          <w:sz w:val="22"/>
          <w:szCs w:val="22"/>
          <w:shd w:val="clear" w:color="auto" w:fill="FFFFFF"/>
        </w:rPr>
        <w:t>, S. (2021). Prediction of Indian summer monsoon onset with high resolution model: a case study. </w:t>
      </w:r>
      <w:r w:rsidRPr="00E44923">
        <w:rPr>
          <w:rFonts w:ascii="Arial" w:hAnsi="Arial" w:cs="Arial"/>
          <w:i/>
          <w:iCs/>
          <w:color w:val="222222"/>
          <w:sz w:val="22"/>
          <w:szCs w:val="22"/>
          <w:shd w:val="clear" w:color="auto" w:fill="FFFFFF"/>
        </w:rPr>
        <w:t>SN Applied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w:t>
      </w:r>
      <w:r w:rsidRPr="00E44923">
        <w:rPr>
          <w:rFonts w:ascii="Arial" w:hAnsi="Arial" w:cs="Arial"/>
          <w:color w:val="222222"/>
          <w:sz w:val="22"/>
          <w:szCs w:val="22"/>
          <w:shd w:val="clear" w:color="auto" w:fill="FFFFFF"/>
        </w:rPr>
        <w:t>(6), 645.</w:t>
      </w:r>
    </w:p>
    <w:p w14:paraId="7D74124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Pradhan, M., Rao, A. S., Srivastava, A., </w:t>
      </w:r>
      <w:proofErr w:type="spellStart"/>
      <w:r w:rsidRPr="00E44923">
        <w:rPr>
          <w:rFonts w:ascii="Arial" w:hAnsi="Arial" w:cs="Arial"/>
          <w:color w:val="222222"/>
          <w:sz w:val="22"/>
          <w:szCs w:val="22"/>
          <w:shd w:val="clear" w:color="auto" w:fill="FFFFFF"/>
        </w:rPr>
        <w:t>Dakate</w:t>
      </w:r>
      <w:proofErr w:type="spellEnd"/>
      <w:r w:rsidRPr="00E44923">
        <w:rPr>
          <w:rFonts w:ascii="Arial" w:hAnsi="Arial" w:cs="Arial"/>
          <w:color w:val="222222"/>
          <w:sz w:val="22"/>
          <w:szCs w:val="22"/>
          <w:shd w:val="clear" w:color="auto" w:fill="FFFFFF"/>
        </w:rPr>
        <w:t>, A., Salunke, K., &amp; Shameera, K. S. (2017). Prediction of Indian summer-monsoon onset variability: A season in advance.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w:t>
      </w:r>
      <w:r w:rsidRPr="00E44923">
        <w:rPr>
          <w:rFonts w:ascii="Arial" w:hAnsi="Arial" w:cs="Arial"/>
          <w:color w:val="222222"/>
          <w:sz w:val="22"/>
          <w:szCs w:val="22"/>
          <w:shd w:val="clear" w:color="auto" w:fill="FFFFFF"/>
        </w:rPr>
        <w:t>(1), 14229.</w:t>
      </w:r>
    </w:p>
    <w:p w14:paraId="68EDFB1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Aijaz, R. (2013). Monsoon variability and agricultural drought management in India.</w:t>
      </w:r>
    </w:p>
    <w:p w14:paraId="0CC7992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Flatau, M. K., Flatau, P. J., &amp; Rudnick, D. (2001). The dynamics of double monsoon onsets.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w:t>
      </w:r>
      <w:r w:rsidRPr="00E44923">
        <w:rPr>
          <w:rFonts w:ascii="Arial" w:hAnsi="Arial" w:cs="Arial"/>
          <w:color w:val="222222"/>
          <w:sz w:val="22"/>
          <w:szCs w:val="22"/>
          <w:shd w:val="clear" w:color="auto" w:fill="FFFFFF"/>
        </w:rPr>
        <w:t>(21), 4130-4146.</w:t>
      </w:r>
    </w:p>
    <w:p w14:paraId="604A115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Abhilash, S., Sahai, A. K., </w:t>
      </w:r>
      <w:proofErr w:type="spellStart"/>
      <w:r w:rsidRPr="00E44923">
        <w:rPr>
          <w:rFonts w:ascii="Arial" w:hAnsi="Arial" w:cs="Arial"/>
          <w:color w:val="222222"/>
          <w:sz w:val="22"/>
          <w:szCs w:val="22"/>
          <w:shd w:val="clear" w:color="auto" w:fill="FFFFFF"/>
        </w:rPr>
        <w:t>Pattnaik</w:t>
      </w:r>
      <w:proofErr w:type="spellEnd"/>
      <w:r w:rsidRPr="00E44923">
        <w:rPr>
          <w:rFonts w:ascii="Arial" w:hAnsi="Arial" w:cs="Arial"/>
          <w:color w:val="222222"/>
          <w:sz w:val="22"/>
          <w:szCs w:val="22"/>
          <w:shd w:val="clear" w:color="auto" w:fill="FFFFFF"/>
        </w:rPr>
        <w:t>, S., Goswami, B. N., &amp; Kumar, A. (2014). Extended range prediction of active-break spells of Indian summer monsoon rainfall using an ensemble prediction system in NCEP Climate Forecast System.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w:t>
      </w:r>
    </w:p>
    <w:p w14:paraId="14879FE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Goel, M., &amp; Srivastava, H. N. (1990). Monsoon trough boundary layer experiment (MONTBLEX).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71</w:t>
      </w:r>
      <w:r w:rsidRPr="00E44923">
        <w:rPr>
          <w:rFonts w:ascii="Arial" w:hAnsi="Arial" w:cs="Arial"/>
          <w:color w:val="222222"/>
          <w:sz w:val="22"/>
          <w:szCs w:val="22"/>
          <w:shd w:val="clear" w:color="auto" w:fill="FFFFFF"/>
        </w:rPr>
        <w:t>(11), 1594-1600.</w:t>
      </w:r>
    </w:p>
    <w:p w14:paraId="320E395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Feng, T., Yang, X. Q., Sun, X., Yang, D., &amp; Chu, C. (2020). Reexamination of the climatology and variability of the northwest Pacific monsoon trough using a daily index.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33</w:t>
      </w:r>
      <w:r w:rsidRPr="00E44923">
        <w:rPr>
          <w:rFonts w:ascii="Arial" w:hAnsi="Arial" w:cs="Arial"/>
          <w:color w:val="222222"/>
          <w:sz w:val="22"/>
          <w:szCs w:val="22"/>
          <w:shd w:val="clear" w:color="auto" w:fill="FFFFFF"/>
        </w:rPr>
        <w:t>(14), 5919-5938.</w:t>
      </w:r>
    </w:p>
    <w:p w14:paraId="66BA589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Sahai, A. K., Chattopadhyay, R., Joseph, S., Krishna, P. M., Pattanaik, D. R., &amp; Abhilash, S. (2019). Seamless prediction of monsoon onset and active/break phases. In </w:t>
      </w:r>
      <w:r w:rsidRPr="00E44923">
        <w:rPr>
          <w:rFonts w:ascii="Arial" w:hAnsi="Arial" w:cs="Arial"/>
          <w:i/>
          <w:iCs/>
          <w:color w:val="222222"/>
          <w:sz w:val="22"/>
          <w:szCs w:val="22"/>
          <w:shd w:val="clear" w:color="auto" w:fill="FFFFFF"/>
        </w:rPr>
        <w:t>Sub-seasonal to seasonal prediction</w:t>
      </w:r>
      <w:r w:rsidRPr="00E44923">
        <w:rPr>
          <w:rFonts w:ascii="Arial" w:hAnsi="Arial" w:cs="Arial"/>
          <w:color w:val="222222"/>
          <w:sz w:val="22"/>
          <w:szCs w:val="22"/>
          <w:shd w:val="clear" w:color="auto" w:fill="FFFFFF"/>
        </w:rPr>
        <w:t> (pp. 421-438). Elsevier.</w:t>
      </w:r>
    </w:p>
    <w:p w14:paraId="15E60D4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Kulkarni, A., Kripalani, R., </w:t>
      </w:r>
      <w:proofErr w:type="spellStart"/>
      <w:r w:rsidRPr="00E44923">
        <w:rPr>
          <w:rFonts w:ascii="Arial" w:hAnsi="Arial" w:cs="Arial"/>
          <w:color w:val="222222"/>
          <w:sz w:val="22"/>
          <w:szCs w:val="22"/>
          <w:shd w:val="clear" w:color="auto" w:fill="FFFFFF"/>
        </w:rPr>
        <w:t>Sabade</w:t>
      </w:r>
      <w:proofErr w:type="spellEnd"/>
      <w:r w:rsidRPr="00E44923">
        <w:rPr>
          <w:rFonts w:ascii="Arial" w:hAnsi="Arial" w:cs="Arial"/>
          <w:color w:val="222222"/>
          <w:sz w:val="22"/>
          <w:szCs w:val="22"/>
          <w:shd w:val="clear" w:color="auto" w:fill="FFFFFF"/>
        </w:rPr>
        <w:t>, S., &amp; Rajeevan, M. (2011). Role of intra-seasonal oscillations in modulating Indian summer monsoon rainfall.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(5), 1005-1021.</w:t>
      </w:r>
    </w:p>
    <w:p w14:paraId="3597FD8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Goswami, B. N., &amp; Xavier, P. K. (2003). Potential predictability and extended range prediction of Indian summer monsoon breaks. Geophysical Research Letters, 30(18).</w:t>
      </w:r>
    </w:p>
    <w:p w14:paraId="22E6591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Chattopadhyay, R., Joseph, S., Abhilash, S., &amp; Goswami, B. N. (2013). A self</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organizing map–based ensemble forecast system for extended range prediction of active/break cycles of Indian summer monsoon. </w:t>
      </w:r>
      <w:r w:rsidRPr="00E44923">
        <w:rPr>
          <w:rFonts w:ascii="Arial" w:hAnsi="Arial" w:cs="Arial"/>
          <w:i/>
          <w:iCs/>
          <w:color w:val="222222"/>
          <w:sz w:val="22"/>
          <w:szCs w:val="22"/>
          <w:shd w:val="clear" w:color="auto" w:fill="FFFFFF"/>
        </w:rPr>
        <w:t>Journal of Geophysical Research: Atmospheres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118</w:t>
      </w:r>
      <w:r w:rsidRPr="00E44923">
        <w:rPr>
          <w:rFonts w:ascii="Arial" w:hAnsi="Arial" w:cs="Arial"/>
          <w:color w:val="222222"/>
          <w:sz w:val="22"/>
          <w:szCs w:val="22"/>
          <w:shd w:val="clear" w:color="auto" w:fill="FFFFFF"/>
        </w:rPr>
        <w:t>(16), 9022-9034.</w:t>
      </w:r>
    </w:p>
    <w:p w14:paraId="79F3DB6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Prajwal, K., </w:t>
      </w:r>
      <w:proofErr w:type="spellStart"/>
      <w:r w:rsidRPr="00E44923">
        <w:rPr>
          <w:rFonts w:ascii="Arial" w:hAnsi="Arial" w:cs="Arial"/>
          <w:color w:val="222222"/>
          <w:sz w:val="22"/>
          <w:szCs w:val="22"/>
          <w:shd w:val="clear" w:color="auto" w:fill="FFFFFF"/>
        </w:rPr>
        <w:t>Kottayil</w:t>
      </w:r>
      <w:proofErr w:type="spellEnd"/>
      <w:r w:rsidRPr="00E44923">
        <w:rPr>
          <w:rFonts w:ascii="Arial" w:hAnsi="Arial" w:cs="Arial"/>
          <w:color w:val="222222"/>
          <w:sz w:val="22"/>
          <w:szCs w:val="22"/>
          <w:shd w:val="clear" w:color="auto" w:fill="FFFFFF"/>
        </w:rPr>
        <w:t>, A., &amp; Xavier, P. (2022). Impact of Madden Julian Oscillation on the diurnal cycle of precipitation over the west coast of India.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278</w:t>
      </w:r>
      <w:r w:rsidRPr="00E44923">
        <w:rPr>
          <w:rFonts w:ascii="Arial" w:hAnsi="Arial" w:cs="Arial"/>
          <w:color w:val="222222"/>
          <w:sz w:val="22"/>
          <w:szCs w:val="22"/>
          <w:shd w:val="clear" w:color="auto" w:fill="FFFFFF"/>
        </w:rPr>
        <w:t>, 106343.</w:t>
      </w:r>
    </w:p>
    <w:p w14:paraId="1B34224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Waliser, D. E. (2005). Intraseasonal variability. </w:t>
      </w:r>
      <w:r w:rsidRPr="00E44923">
        <w:rPr>
          <w:rFonts w:ascii="Arial" w:hAnsi="Arial" w:cs="Arial"/>
          <w:i/>
          <w:iCs/>
          <w:color w:val="222222"/>
          <w:sz w:val="22"/>
          <w:szCs w:val="22"/>
          <w:shd w:val="clear" w:color="auto" w:fill="FFFFFF"/>
        </w:rPr>
        <w:t>The Asian Monsoon</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844</w:t>
      </w:r>
      <w:r w:rsidRPr="00E44923">
        <w:rPr>
          <w:rFonts w:ascii="Arial" w:hAnsi="Arial" w:cs="Arial"/>
          <w:color w:val="222222"/>
          <w:sz w:val="22"/>
          <w:szCs w:val="22"/>
          <w:shd w:val="clear" w:color="auto" w:fill="FFFFFF"/>
        </w:rPr>
        <w:t>.</w:t>
      </w:r>
    </w:p>
    <w:p w14:paraId="3A1307E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Tao, L., Song, Y., &amp; Lu, W. S. (2010). 20 TO 30-DAY AND 30 TO 60-DAY OSCILLATIONS IN ASSIMILATED GLOBAL DATASETS USING TRMM RAINFALL OBSERVATIONS. </w:t>
      </w:r>
      <w:r w:rsidRPr="00E44923">
        <w:rPr>
          <w:rFonts w:ascii="Arial" w:hAnsi="Arial" w:cs="Arial"/>
          <w:i/>
          <w:iCs/>
          <w:color w:val="222222"/>
          <w:sz w:val="22"/>
          <w:szCs w:val="22"/>
          <w:shd w:val="clear" w:color="auto" w:fill="FFFFFF"/>
        </w:rPr>
        <w:t>Journal of Tropical Meteorology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16</w:t>
      </w:r>
      <w:r w:rsidRPr="00E44923">
        <w:rPr>
          <w:rFonts w:ascii="Arial" w:hAnsi="Arial" w:cs="Arial"/>
          <w:color w:val="222222"/>
          <w:sz w:val="22"/>
          <w:szCs w:val="22"/>
          <w:shd w:val="clear" w:color="auto" w:fill="FFFFFF"/>
        </w:rPr>
        <w:t>(3), 210.</w:t>
      </w:r>
    </w:p>
    <w:p w14:paraId="07241A0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Madden, R. A., &amp; Julian, P. R. (1971). Detection of a 40–</w:t>
      </w:r>
      <w:proofErr w:type="gramStart"/>
      <w:r w:rsidRPr="00E44923">
        <w:rPr>
          <w:rFonts w:ascii="Arial" w:hAnsi="Arial" w:cs="Arial"/>
          <w:color w:val="222222"/>
          <w:sz w:val="22"/>
          <w:szCs w:val="22"/>
          <w:shd w:val="clear" w:color="auto" w:fill="FFFFFF"/>
        </w:rPr>
        <w:t>50 day</w:t>
      </w:r>
      <w:proofErr w:type="gramEnd"/>
      <w:r w:rsidRPr="00E44923">
        <w:rPr>
          <w:rFonts w:ascii="Arial" w:hAnsi="Arial" w:cs="Arial"/>
          <w:color w:val="222222"/>
          <w:sz w:val="22"/>
          <w:szCs w:val="22"/>
          <w:shd w:val="clear" w:color="auto" w:fill="FFFFFF"/>
        </w:rPr>
        <w:t xml:space="preserve"> oscillation in the zonal wind in the tropical Pacific. </w:t>
      </w:r>
      <w:r w:rsidRPr="00E44923">
        <w:rPr>
          <w:rFonts w:ascii="Arial" w:hAnsi="Arial" w:cs="Arial"/>
          <w:i/>
          <w:iCs/>
          <w:color w:val="222222"/>
          <w:sz w:val="22"/>
          <w:szCs w:val="22"/>
          <w:shd w:val="clear" w:color="auto" w:fill="FFFFFF"/>
        </w:rPr>
        <w:t>Journal of Atmospheric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28</w:t>
      </w:r>
      <w:r w:rsidRPr="00E44923">
        <w:rPr>
          <w:rFonts w:ascii="Arial" w:hAnsi="Arial" w:cs="Arial"/>
          <w:color w:val="222222"/>
          <w:sz w:val="22"/>
          <w:szCs w:val="22"/>
          <w:shd w:val="clear" w:color="auto" w:fill="FFFFFF"/>
        </w:rPr>
        <w:t>(5), 702-708.</w:t>
      </w:r>
    </w:p>
    <w:p w14:paraId="0F06DC2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Madden, R. A., &amp; Julian, P. R. (1972). Description of global-scale circulation cells in the tropics with a 40–</w:t>
      </w:r>
      <w:proofErr w:type="gramStart"/>
      <w:r w:rsidRPr="00E44923">
        <w:rPr>
          <w:rFonts w:ascii="Arial" w:hAnsi="Arial" w:cs="Arial"/>
          <w:color w:val="222222"/>
          <w:sz w:val="22"/>
          <w:szCs w:val="22"/>
          <w:shd w:val="clear" w:color="auto" w:fill="FFFFFF"/>
        </w:rPr>
        <w:t>50 day</w:t>
      </w:r>
      <w:proofErr w:type="gramEnd"/>
      <w:r w:rsidRPr="00E44923">
        <w:rPr>
          <w:rFonts w:ascii="Arial" w:hAnsi="Arial" w:cs="Arial"/>
          <w:color w:val="222222"/>
          <w:sz w:val="22"/>
          <w:szCs w:val="22"/>
          <w:shd w:val="clear" w:color="auto" w:fill="FFFFFF"/>
        </w:rPr>
        <w:t xml:space="preserve"> period. </w:t>
      </w:r>
      <w:r w:rsidRPr="00E44923">
        <w:rPr>
          <w:rFonts w:ascii="Arial" w:hAnsi="Arial" w:cs="Arial"/>
          <w:i/>
          <w:iCs/>
          <w:color w:val="222222"/>
          <w:sz w:val="22"/>
          <w:szCs w:val="22"/>
          <w:shd w:val="clear" w:color="auto" w:fill="FFFFFF"/>
        </w:rPr>
        <w:t>Journal of Atmospheric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w:t>
      </w:r>
      <w:r w:rsidRPr="00E44923">
        <w:rPr>
          <w:rFonts w:ascii="Arial" w:hAnsi="Arial" w:cs="Arial"/>
          <w:color w:val="222222"/>
          <w:sz w:val="22"/>
          <w:szCs w:val="22"/>
          <w:shd w:val="clear" w:color="auto" w:fill="FFFFFF"/>
        </w:rPr>
        <w:t>(6), 1109-1123.</w:t>
      </w:r>
    </w:p>
    <w:p w14:paraId="15388FB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Singh, S. V., Kripalani, R. H., &amp; Sikka, D. R. (1992). Interannual variability of the Madden–Julian oscillations in Indian summer monsoon rainfall.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973-978.</w:t>
      </w:r>
    </w:p>
    <w:p w14:paraId="35ED7D1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Vernekar, A. D., Thapliyal, V., Kripalani, R. H., Singh, S. V., &amp; Kirtman, B. (1993). Global structure of the Madden-Julian oscillations during two recent contrasting summer monsoon seasons over India.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52</w:t>
      </w:r>
      <w:r w:rsidRPr="00E44923">
        <w:rPr>
          <w:rFonts w:ascii="Arial" w:hAnsi="Arial" w:cs="Arial"/>
          <w:color w:val="222222"/>
          <w:sz w:val="22"/>
          <w:szCs w:val="22"/>
          <w:shd w:val="clear" w:color="auto" w:fill="FFFFFF"/>
        </w:rPr>
        <w:t>(1), 37-47.</w:t>
      </w:r>
    </w:p>
    <w:p w14:paraId="72E5155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Jones, C. (2015). The Madden–Julian oscillation and the monsoons. </w:t>
      </w:r>
      <w:r w:rsidRPr="00E44923">
        <w:rPr>
          <w:rFonts w:ascii="Arial" w:hAnsi="Arial" w:cs="Arial"/>
          <w:i/>
          <w:iCs/>
          <w:color w:val="222222"/>
          <w:sz w:val="22"/>
          <w:szCs w:val="22"/>
          <w:shd w:val="clear" w:color="auto" w:fill="FFFFFF"/>
        </w:rPr>
        <w:t>The monsoons and climate change: observations and modeling</w:t>
      </w:r>
      <w:r w:rsidRPr="00E44923">
        <w:rPr>
          <w:rFonts w:ascii="Arial" w:hAnsi="Arial" w:cs="Arial"/>
          <w:color w:val="222222"/>
          <w:sz w:val="22"/>
          <w:szCs w:val="22"/>
          <w:shd w:val="clear" w:color="auto" w:fill="FFFFFF"/>
        </w:rPr>
        <w:t>, 207-224.</w:t>
      </w:r>
    </w:p>
    <w:p w14:paraId="59700AE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Mishra, S. K., </w:t>
      </w:r>
      <w:proofErr w:type="spellStart"/>
      <w:r w:rsidRPr="00E44923">
        <w:rPr>
          <w:rFonts w:ascii="Arial" w:hAnsi="Arial" w:cs="Arial"/>
          <w:color w:val="222222"/>
          <w:sz w:val="22"/>
          <w:szCs w:val="22"/>
          <w:shd w:val="clear" w:color="auto" w:fill="FFFFFF"/>
        </w:rPr>
        <w:t>Sahany</w:t>
      </w:r>
      <w:proofErr w:type="spellEnd"/>
      <w:r w:rsidRPr="00E44923">
        <w:rPr>
          <w:rFonts w:ascii="Arial" w:hAnsi="Arial" w:cs="Arial"/>
          <w:color w:val="222222"/>
          <w:sz w:val="22"/>
          <w:szCs w:val="22"/>
          <w:shd w:val="clear" w:color="auto" w:fill="FFFFFF"/>
        </w:rPr>
        <w:t>, S., &amp; Salunke, P. (2017). Linkages between MJO and summer monsoon rainfall over India and surrounding region.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129</w:t>
      </w:r>
      <w:r w:rsidRPr="00E44923">
        <w:rPr>
          <w:rFonts w:ascii="Arial" w:hAnsi="Arial" w:cs="Arial"/>
          <w:color w:val="222222"/>
          <w:sz w:val="22"/>
          <w:szCs w:val="22"/>
          <w:shd w:val="clear" w:color="auto" w:fill="FFFFFF"/>
        </w:rPr>
        <w:t>(3), 283-296.</w:t>
      </w:r>
    </w:p>
    <w:p w14:paraId="3A5F6CE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Singh M, </w:t>
      </w:r>
      <w:proofErr w:type="spellStart"/>
      <w:r w:rsidRPr="00E44923">
        <w:rPr>
          <w:rFonts w:ascii="Arial" w:hAnsi="Arial" w:cs="Arial"/>
          <w:color w:val="222222"/>
          <w:sz w:val="22"/>
          <w:szCs w:val="22"/>
          <w:shd w:val="clear" w:color="auto" w:fill="FFFFFF"/>
        </w:rPr>
        <w:t>Bhatla</w:t>
      </w:r>
      <w:proofErr w:type="spellEnd"/>
      <w:r w:rsidRPr="00E44923">
        <w:rPr>
          <w:rFonts w:ascii="Arial" w:hAnsi="Arial" w:cs="Arial"/>
          <w:color w:val="222222"/>
          <w:sz w:val="22"/>
          <w:szCs w:val="22"/>
          <w:shd w:val="clear" w:color="auto" w:fill="FFFFFF"/>
        </w:rPr>
        <w:t xml:space="preserve"> R. Modulation of active-break spell of Indian summer monsoon by Madden Julian Oscillation. Journal of Earth System Science. 2019 </w:t>
      </w:r>
      <w:proofErr w:type="gramStart"/>
      <w:r w:rsidRPr="00E44923">
        <w:rPr>
          <w:rFonts w:ascii="Arial" w:hAnsi="Arial" w:cs="Arial"/>
          <w:color w:val="222222"/>
          <w:sz w:val="22"/>
          <w:szCs w:val="22"/>
          <w:shd w:val="clear" w:color="auto" w:fill="FFFFFF"/>
        </w:rPr>
        <w:t>Apr;128:1</w:t>
      </w:r>
      <w:proofErr w:type="gramEnd"/>
      <w:r w:rsidRPr="00E44923">
        <w:rPr>
          <w:rFonts w:ascii="Arial" w:hAnsi="Arial" w:cs="Arial"/>
          <w:color w:val="222222"/>
          <w:sz w:val="22"/>
          <w:szCs w:val="22"/>
          <w:shd w:val="clear" w:color="auto" w:fill="FFFFFF"/>
        </w:rPr>
        <w:t>-5.</w:t>
      </w:r>
    </w:p>
    <w:p w14:paraId="79E2A99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Dey, A., Chattopadhyay, R., Joseph, S., Kaur, M., Mandal, R., Phani, R., ... &amp; Pattanaik, D. R. (2022). The intraseasonal fluctuation of Indian summer monsoon rainfall and its relation with monsoon intraseasonal oscillation (MISO) and Madden Julian oscillation (MJO).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148</w:t>
      </w:r>
      <w:r w:rsidRPr="00E44923">
        <w:rPr>
          <w:rFonts w:ascii="Arial" w:hAnsi="Arial" w:cs="Arial"/>
          <w:color w:val="222222"/>
          <w:sz w:val="22"/>
          <w:szCs w:val="22"/>
          <w:shd w:val="clear" w:color="auto" w:fill="FFFFFF"/>
        </w:rPr>
        <w:t>(1), 819-831.</w:t>
      </w:r>
    </w:p>
    <w:p w14:paraId="079122D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Seetharam, K. (2008). Impact of Madden-Julian oscillations on the Indian summer monsoon sub-divisional rainfalls.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59</w:t>
      </w:r>
      <w:r w:rsidRPr="00E44923">
        <w:rPr>
          <w:rFonts w:ascii="Arial" w:hAnsi="Arial" w:cs="Arial"/>
          <w:color w:val="222222"/>
          <w:sz w:val="22"/>
          <w:szCs w:val="22"/>
          <w:shd w:val="clear" w:color="auto" w:fill="FFFFFF"/>
        </w:rPr>
        <w:t>(2), 195-210.</w:t>
      </w:r>
    </w:p>
    <w:p w14:paraId="65F20D8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Pai, D. S., Bhate, J., Sreejith, O. P., &amp; </w:t>
      </w:r>
      <w:proofErr w:type="spellStart"/>
      <w:r w:rsidRPr="00E44923">
        <w:rPr>
          <w:rFonts w:ascii="Arial" w:hAnsi="Arial" w:cs="Arial"/>
          <w:color w:val="222222"/>
          <w:sz w:val="22"/>
          <w:szCs w:val="22"/>
          <w:shd w:val="clear" w:color="auto" w:fill="FFFFFF"/>
        </w:rPr>
        <w:t>Hatwar</w:t>
      </w:r>
      <w:proofErr w:type="spellEnd"/>
      <w:r w:rsidRPr="00E44923">
        <w:rPr>
          <w:rFonts w:ascii="Arial" w:hAnsi="Arial" w:cs="Arial"/>
          <w:color w:val="222222"/>
          <w:sz w:val="22"/>
          <w:szCs w:val="22"/>
          <w:shd w:val="clear" w:color="auto" w:fill="FFFFFF"/>
        </w:rPr>
        <w:t>, H. R. (2011). Impact of MJO on the intraseasonal variation of summer monsoon rainfall over India.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(1), 41-55.</w:t>
      </w:r>
    </w:p>
    <w:p w14:paraId="11FE178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Anandh, P. C., &amp; Vissa, N. K. (2020). On the linkage between extreme rainfall and the Madden–Julian Oscillation over the Indian region.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27</w:t>
      </w:r>
      <w:r w:rsidRPr="00E44923">
        <w:rPr>
          <w:rFonts w:ascii="Arial" w:hAnsi="Arial" w:cs="Arial"/>
          <w:color w:val="222222"/>
          <w:sz w:val="22"/>
          <w:szCs w:val="22"/>
          <w:shd w:val="clear" w:color="auto" w:fill="FFFFFF"/>
        </w:rPr>
        <w:t>(2), e1901.</w:t>
      </w:r>
    </w:p>
    <w:p w14:paraId="5BD9C9A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Singh, M., &amp; </w:t>
      </w:r>
      <w:proofErr w:type="spellStart"/>
      <w:r w:rsidRPr="00E44923">
        <w:rPr>
          <w:rFonts w:ascii="Arial" w:hAnsi="Arial" w:cs="Arial"/>
          <w:color w:val="222222"/>
          <w:sz w:val="22"/>
          <w:szCs w:val="22"/>
          <w:shd w:val="clear" w:color="auto" w:fill="FFFFFF"/>
        </w:rPr>
        <w:t>Bhatla</w:t>
      </w:r>
      <w:proofErr w:type="spellEnd"/>
      <w:r w:rsidRPr="00E44923">
        <w:rPr>
          <w:rFonts w:ascii="Arial" w:hAnsi="Arial" w:cs="Arial"/>
          <w:color w:val="222222"/>
          <w:sz w:val="22"/>
          <w:szCs w:val="22"/>
          <w:shd w:val="clear" w:color="auto" w:fill="FFFFFF"/>
        </w:rPr>
        <w:t>, R. (2018). Role of Madden–Julian oscillation in modulating monsoon retreat.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175</w:t>
      </w:r>
      <w:r w:rsidRPr="00E44923">
        <w:rPr>
          <w:rFonts w:ascii="Arial" w:hAnsi="Arial" w:cs="Arial"/>
          <w:color w:val="222222"/>
          <w:sz w:val="22"/>
          <w:szCs w:val="22"/>
          <w:shd w:val="clear" w:color="auto" w:fill="FFFFFF"/>
        </w:rPr>
        <w:t>(6), 2341-2350.</w:t>
      </w:r>
    </w:p>
    <w:p w14:paraId="4D19A7D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Saith, N., &amp; Slingo, J. (2006). The role of the Madden–Julian Oscillation in the El Nino and Indian drought of 2002. </w:t>
      </w:r>
      <w:r w:rsidRPr="00E44923">
        <w:rPr>
          <w:rFonts w:ascii="Arial" w:hAnsi="Arial" w:cs="Arial"/>
          <w:i/>
          <w:iCs/>
          <w:color w:val="222222"/>
          <w:sz w:val="22"/>
          <w:szCs w:val="22"/>
          <w:shd w:val="clear" w:color="auto" w:fill="FFFFFF"/>
        </w:rPr>
        <w:t>International Journal of Climatology: A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26</w:t>
      </w:r>
      <w:r w:rsidRPr="00E44923">
        <w:rPr>
          <w:rFonts w:ascii="Arial" w:hAnsi="Arial" w:cs="Arial"/>
          <w:color w:val="222222"/>
          <w:sz w:val="22"/>
          <w:szCs w:val="22"/>
          <w:shd w:val="clear" w:color="auto" w:fill="FFFFFF"/>
        </w:rPr>
        <w:t>(10), 1361-1378.</w:t>
      </w:r>
    </w:p>
    <w:p w14:paraId="6C48C85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Wang, B., Chen, G., &amp; Liu, F. (2019). Diversity of the Madden-Julian oscillation. </w:t>
      </w:r>
      <w:r w:rsidRPr="00E44923">
        <w:rPr>
          <w:rFonts w:ascii="Arial" w:hAnsi="Arial" w:cs="Arial"/>
          <w:i/>
          <w:iCs/>
          <w:color w:val="222222"/>
          <w:sz w:val="22"/>
          <w:szCs w:val="22"/>
          <w:shd w:val="clear" w:color="auto" w:fill="FFFFFF"/>
        </w:rPr>
        <w:t>Science Advances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w:t>
      </w:r>
      <w:r w:rsidRPr="00E44923">
        <w:rPr>
          <w:rFonts w:ascii="Arial" w:hAnsi="Arial" w:cs="Arial"/>
          <w:color w:val="222222"/>
          <w:sz w:val="22"/>
          <w:szCs w:val="22"/>
          <w:shd w:val="clear" w:color="auto" w:fill="FFFFFF"/>
        </w:rPr>
        <w:t>(7), eaax0220.</w:t>
      </w:r>
    </w:p>
    <w:p w14:paraId="3F3A4DE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Zhang, C. (2013). Madden–Julian oscillation: Bridging weather and climate.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94</w:t>
      </w:r>
      <w:r w:rsidRPr="00E44923">
        <w:rPr>
          <w:rFonts w:ascii="Arial" w:hAnsi="Arial" w:cs="Arial"/>
          <w:color w:val="222222"/>
          <w:sz w:val="22"/>
          <w:szCs w:val="22"/>
          <w:shd w:val="clear" w:color="auto" w:fill="FFFFFF"/>
        </w:rPr>
        <w:t>(12), 1849-1870.</w:t>
      </w:r>
    </w:p>
    <w:p w14:paraId="3ACC706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Pai, D. S., Bhate, J., Sreejith, O. P., &amp; </w:t>
      </w:r>
      <w:proofErr w:type="spellStart"/>
      <w:r w:rsidRPr="00E44923">
        <w:rPr>
          <w:rFonts w:ascii="Arial" w:hAnsi="Arial" w:cs="Arial"/>
          <w:color w:val="222222"/>
          <w:sz w:val="22"/>
          <w:szCs w:val="22"/>
          <w:shd w:val="clear" w:color="auto" w:fill="FFFFFF"/>
        </w:rPr>
        <w:t>Hatwar</w:t>
      </w:r>
      <w:proofErr w:type="spellEnd"/>
      <w:r w:rsidRPr="00E44923">
        <w:rPr>
          <w:rFonts w:ascii="Arial" w:hAnsi="Arial" w:cs="Arial"/>
          <w:color w:val="222222"/>
          <w:sz w:val="22"/>
          <w:szCs w:val="22"/>
          <w:shd w:val="clear" w:color="auto" w:fill="FFFFFF"/>
        </w:rPr>
        <w:t>, H. R. (2011). Impact of MJO on the intraseasonal variation of summer monsoon rainfall over India.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(1), 41-55.</w:t>
      </w:r>
    </w:p>
    <w:p w14:paraId="50015AE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Hoffmann, C. G., &amp; von Savigny, C. (2019). Indications for a potential synchronization between the phase evolution of the Madden–Julian oscillation and the solar 27-day cycle. </w:t>
      </w:r>
      <w:r w:rsidRPr="00E44923">
        <w:rPr>
          <w:rFonts w:ascii="Arial" w:hAnsi="Arial" w:cs="Arial"/>
          <w:i/>
          <w:iCs/>
          <w:color w:val="222222"/>
          <w:sz w:val="22"/>
          <w:szCs w:val="22"/>
          <w:shd w:val="clear" w:color="auto" w:fill="FFFFFF"/>
        </w:rPr>
        <w:t>Atmospheric Chemistry and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19</w:t>
      </w:r>
      <w:r w:rsidRPr="00E44923">
        <w:rPr>
          <w:rFonts w:ascii="Arial" w:hAnsi="Arial" w:cs="Arial"/>
          <w:color w:val="222222"/>
          <w:sz w:val="22"/>
          <w:szCs w:val="22"/>
          <w:shd w:val="clear" w:color="auto" w:fill="FFFFFF"/>
        </w:rPr>
        <w:t>(7), 4235-4256.</w:t>
      </w:r>
    </w:p>
    <w:p w14:paraId="5F08A22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Feng, T., Li, L., Wang, L., &amp; Cai, Z. (2023). Influence of Phase Variations of Madden-Julian Oscillation on Wintertime Large-Scale Cold Events in China. </w:t>
      </w:r>
      <w:r w:rsidRPr="00E44923">
        <w:rPr>
          <w:rFonts w:ascii="Arial" w:hAnsi="Arial" w:cs="Arial"/>
          <w:i/>
          <w:iCs/>
          <w:color w:val="222222"/>
          <w:sz w:val="22"/>
          <w:szCs w:val="22"/>
          <w:shd w:val="clear" w:color="auto" w:fill="FFFFFF"/>
        </w:rPr>
        <w:t>Tellus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75</w:t>
      </w:r>
      <w:r w:rsidRPr="00E44923">
        <w:rPr>
          <w:rFonts w:ascii="Arial" w:hAnsi="Arial" w:cs="Arial"/>
          <w:color w:val="222222"/>
          <w:sz w:val="22"/>
          <w:szCs w:val="22"/>
          <w:shd w:val="clear" w:color="auto" w:fill="FFFFFF"/>
        </w:rPr>
        <w:t>(1).</w:t>
      </w:r>
    </w:p>
    <w:p w14:paraId="6940F33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Waliser, D. E., Jones, C., Schemm, J. K. E., &amp; Graham, N. E. (1999). A statistical extended-range tropical forecast model based on the slow evolution of the Madden–Julian oscillation.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w:t>
      </w:r>
      <w:r w:rsidRPr="00E44923">
        <w:rPr>
          <w:rFonts w:ascii="Arial" w:hAnsi="Arial" w:cs="Arial"/>
          <w:color w:val="222222"/>
          <w:sz w:val="22"/>
          <w:szCs w:val="22"/>
          <w:shd w:val="clear" w:color="auto" w:fill="FFFFFF"/>
        </w:rPr>
        <w:t>(7), 1918-1939.</w:t>
      </w:r>
    </w:p>
    <w:p w14:paraId="7BBFE21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Lo, F., &amp; Hendon, H. H. (2000). Empirical extended-range prediction of the Madden–Julian oscillation. </w:t>
      </w:r>
      <w:r w:rsidRPr="00E44923">
        <w:rPr>
          <w:rFonts w:ascii="Arial" w:hAnsi="Arial" w:cs="Arial"/>
          <w:i/>
          <w:iCs/>
          <w:color w:val="222222"/>
          <w:sz w:val="22"/>
          <w:szCs w:val="22"/>
          <w:shd w:val="clear" w:color="auto" w:fill="FFFFFF"/>
        </w:rPr>
        <w:t>Monthly Weather Review</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128</w:t>
      </w:r>
      <w:r w:rsidRPr="00E44923">
        <w:rPr>
          <w:rFonts w:ascii="Arial" w:hAnsi="Arial" w:cs="Arial"/>
          <w:color w:val="222222"/>
          <w:sz w:val="22"/>
          <w:szCs w:val="22"/>
          <w:shd w:val="clear" w:color="auto" w:fill="FFFFFF"/>
        </w:rPr>
        <w:t>(7), 2528-2543.</w:t>
      </w:r>
    </w:p>
    <w:p w14:paraId="0B518D6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Jones, C., Waliser, D. E., Schemm, J. K., &amp; Lau, W. K. M. (2000). Prediction skill of the Madden and Julian Oscillation in dynamical extended range forecasts.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16</w:t>
      </w:r>
      <w:r w:rsidRPr="00E44923">
        <w:rPr>
          <w:rFonts w:ascii="Arial" w:hAnsi="Arial" w:cs="Arial"/>
          <w:color w:val="222222"/>
          <w:sz w:val="22"/>
          <w:szCs w:val="22"/>
          <w:shd w:val="clear" w:color="auto" w:fill="FFFFFF"/>
        </w:rPr>
        <w:t>(4), 273-289.</w:t>
      </w:r>
    </w:p>
    <w:p w14:paraId="52A9BA5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Li, W., Hsu, P. C., He, J., Zhu, Z., &amp; Zhang, W. (2016). Extended-range forecast of spring rainfall in southern China based on the Madden–Julian Oscillation.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128</w:t>
      </w:r>
      <w:r w:rsidRPr="00E44923">
        <w:rPr>
          <w:rFonts w:ascii="Arial" w:hAnsi="Arial" w:cs="Arial"/>
          <w:color w:val="222222"/>
          <w:sz w:val="22"/>
          <w:szCs w:val="22"/>
          <w:shd w:val="clear" w:color="auto" w:fill="FFFFFF"/>
        </w:rPr>
        <w:t>(3), 331-345.</w:t>
      </w:r>
    </w:p>
    <w:p w14:paraId="545EC8B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Shuangli</w:t>
      </w:r>
      <w:proofErr w:type="spellEnd"/>
      <w:r w:rsidRPr="00E44923">
        <w:rPr>
          <w:rFonts w:ascii="Arial" w:hAnsi="Arial" w:cs="Arial"/>
          <w:color w:val="222222"/>
          <w:sz w:val="22"/>
          <w:szCs w:val="22"/>
          <w:shd w:val="clear" w:color="auto" w:fill="FFFFFF"/>
        </w:rPr>
        <w:t>, M., Yong, L., &amp; Jie, M. (2020). Review of the Application of MJO in the Extended Range Forecast. </w:t>
      </w:r>
      <w:r w:rsidRPr="00E44923">
        <w:rPr>
          <w:rFonts w:ascii="Arial" w:hAnsi="Arial" w:cs="Arial"/>
          <w:i/>
          <w:iCs/>
          <w:color w:val="222222"/>
          <w:sz w:val="22"/>
          <w:szCs w:val="22"/>
          <w:shd w:val="clear" w:color="auto" w:fill="FFFFFF"/>
        </w:rPr>
        <w:t>Advances in Earth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(12), 1222.</w:t>
      </w:r>
    </w:p>
    <w:p w14:paraId="5345F86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Liu, Y., Bao, Q., He, B., Wu, X., Yang, J., Liu, Y., ... &amp; Wu, T. (2024). Dynamical Madden–Julian Oscillation forecasts using an ensemble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-to-seasonal forecast system of the IAP-CAS model. </w:t>
      </w:r>
      <w:r w:rsidRPr="00E44923">
        <w:rPr>
          <w:rFonts w:ascii="Arial" w:hAnsi="Arial" w:cs="Arial"/>
          <w:i/>
          <w:iCs/>
          <w:color w:val="222222"/>
          <w:sz w:val="22"/>
          <w:szCs w:val="22"/>
          <w:shd w:val="clear" w:color="auto" w:fill="FFFFFF"/>
        </w:rPr>
        <w:t>Geoscientific Model Development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17</w:t>
      </w:r>
      <w:r w:rsidRPr="00E44923">
        <w:rPr>
          <w:rFonts w:ascii="Arial" w:hAnsi="Arial" w:cs="Arial"/>
          <w:color w:val="222222"/>
          <w:sz w:val="22"/>
          <w:szCs w:val="22"/>
          <w:shd w:val="clear" w:color="auto" w:fill="FFFFFF"/>
        </w:rPr>
        <w:t>(16), 6249-6275.</w:t>
      </w:r>
    </w:p>
    <w:p w14:paraId="3E5779E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Neena, J. M., Lee, J. Y., Waliser, D., Wang, B., &amp; Jiang, X. (2014). Predictability of the Madden–Julian oscillation in the intraseasonal variability hindcast experiment (ISVHE).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27</w:t>
      </w:r>
      <w:r w:rsidRPr="00E44923">
        <w:rPr>
          <w:rFonts w:ascii="Arial" w:hAnsi="Arial" w:cs="Arial"/>
          <w:color w:val="222222"/>
          <w:sz w:val="22"/>
          <w:szCs w:val="22"/>
          <w:shd w:val="clear" w:color="auto" w:fill="FFFFFF"/>
        </w:rPr>
        <w:t>(12), 4531-4543.</w:t>
      </w:r>
    </w:p>
    <w:p w14:paraId="3CECA81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Lee, S. S., Wang, B., Waliser, D. E., Neena, J. M., &amp; Lee, J. Y. (2015). Predictability and prediction skill of the boreal summer intraseasonal oscillation in the Intraseasonal Variability Hindcast Experiment.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45</w:t>
      </w:r>
      <w:r w:rsidRPr="00E44923">
        <w:rPr>
          <w:rFonts w:ascii="Arial" w:hAnsi="Arial" w:cs="Arial"/>
          <w:color w:val="222222"/>
          <w:sz w:val="22"/>
          <w:szCs w:val="22"/>
          <w:shd w:val="clear" w:color="auto" w:fill="FFFFFF"/>
        </w:rPr>
        <w:t>(7), 2123-2135.</w:t>
      </w:r>
    </w:p>
    <w:p w14:paraId="5DF9B9B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Meehl, G. A., Richter, J. H., Teng, H., </w:t>
      </w:r>
      <w:proofErr w:type="spellStart"/>
      <w:r w:rsidRPr="00E44923">
        <w:rPr>
          <w:rFonts w:ascii="Arial" w:hAnsi="Arial" w:cs="Arial"/>
          <w:color w:val="222222"/>
          <w:sz w:val="22"/>
          <w:szCs w:val="22"/>
          <w:shd w:val="clear" w:color="auto" w:fill="FFFFFF"/>
        </w:rPr>
        <w:t>Capotondi</w:t>
      </w:r>
      <w:proofErr w:type="spellEnd"/>
      <w:r w:rsidRPr="00E44923">
        <w:rPr>
          <w:rFonts w:ascii="Arial" w:hAnsi="Arial" w:cs="Arial"/>
          <w:color w:val="222222"/>
          <w:sz w:val="22"/>
          <w:szCs w:val="22"/>
          <w:shd w:val="clear" w:color="auto" w:fill="FFFFFF"/>
        </w:rPr>
        <w:t xml:space="preserve">, A., Cobb, K., </w:t>
      </w:r>
      <w:proofErr w:type="spellStart"/>
      <w:r w:rsidRPr="00E44923">
        <w:rPr>
          <w:rFonts w:ascii="Arial" w:hAnsi="Arial" w:cs="Arial"/>
          <w:color w:val="222222"/>
          <w:sz w:val="22"/>
          <w:szCs w:val="22"/>
          <w:shd w:val="clear" w:color="auto" w:fill="FFFFFF"/>
        </w:rPr>
        <w:t>Doblas</w:t>
      </w:r>
      <w:proofErr w:type="spellEnd"/>
      <w:r w:rsidRPr="00E44923">
        <w:rPr>
          <w:rFonts w:ascii="Arial" w:hAnsi="Arial" w:cs="Arial"/>
          <w:color w:val="222222"/>
          <w:sz w:val="22"/>
          <w:szCs w:val="22"/>
          <w:shd w:val="clear" w:color="auto" w:fill="FFFFFF"/>
        </w:rPr>
        <w:t xml:space="preserve">-Reyes, F., ... &amp; Xie, S. P. (2021). Initialized Earth System prediction from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to decadal timescales. </w:t>
      </w:r>
      <w:r w:rsidRPr="00E44923">
        <w:rPr>
          <w:rFonts w:ascii="Arial" w:hAnsi="Arial" w:cs="Arial"/>
          <w:i/>
          <w:iCs/>
          <w:color w:val="222222"/>
          <w:sz w:val="22"/>
          <w:szCs w:val="22"/>
          <w:shd w:val="clear" w:color="auto" w:fill="FFFFFF"/>
        </w:rPr>
        <w:t>Nature Reviews Earth &amp; Environment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w:t>
      </w:r>
      <w:r w:rsidRPr="00E44923">
        <w:rPr>
          <w:rFonts w:ascii="Arial" w:hAnsi="Arial" w:cs="Arial"/>
          <w:color w:val="222222"/>
          <w:sz w:val="22"/>
          <w:szCs w:val="22"/>
          <w:shd w:val="clear" w:color="auto" w:fill="FFFFFF"/>
        </w:rPr>
        <w:t>(5), 340-357.</w:t>
      </w:r>
    </w:p>
    <w:p w14:paraId="5056C49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Dey, A., Chattopadhyay, R., Joseph, S., Kaur, M., Mandal, R., Phani, R., ... &amp; Pattanaik, D. R. (2022). The intraseasonal fluctuation of Indian summer monsoon rainfall and its relation with monsoon intraseasonal oscillation (MISO) and Madden Julian oscillation (MJO).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148</w:t>
      </w:r>
      <w:r w:rsidRPr="00E44923">
        <w:rPr>
          <w:rFonts w:ascii="Arial" w:hAnsi="Arial" w:cs="Arial"/>
          <w:color w:val="222222"/>
          <w:sz w:val="22"/>
          <w:szCs w:val="22"/>
          <w:shd w:val="clear" w:color="auto" w:fill="FFFFFF"/>
        </w:rPr>
        <w:t>(1), 819-831.</w:t>
      </w:r>
    </w:p>
    <w:p w14:paraId="2BC10BF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L., Guan, Y., Zhou, L., Yin, Z., &amp; Jiang, Z. (2022). Variability of Indian monsoon and its forcing mechanisms since late quaternary. </w:t>
      </w:r>
      <w:r w:rsidRPr="00E44923">
        <w:rPr>
          <w:rFonts w:ascii="Arial" w:hAnsi="Arial" w:cs="Arial"/>
          <w:i/>
          <w:iCs/>
          <w:color w:val="222222"/>
          <w:sz w:val="22"/>
          <w:szCs w:val="22"/>
          <w:shd w:val="clear" w:color="auto" w:fill="FFFFFF"/>
        </w:rPr>
        <w:t>Frontiers in Earth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 977250.</w:t>
      </w:r>
    </w:p>
    <w:p w14:paraId="27F5735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Webster, P. J., &amp; Hoyos, C. (2004). Prediction of monsoon rainfall and river discharge on 15–30-day time scales.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85</w:t>
      </w:r>
      <w:r w:rsidRPr="00E44923">
        <w:rPr>
          <w:rFonts w:ascii="Arial" w:hAnsi="Arial" w:cs="Arial"/>
          <w:color w:val="222222"/>
          <w:sz w:val="22"/>
          <w:szCs w:val="22"/>
          <w:shd w:val="clear" w:color="auto" w:fill="FFFFFF"/>
        </w:rPr>
        <w:t>(11), 1745-1766.</w:t>
      </w:r>
    </w:p>
    <w:p w14:paraId="0E561A8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Vitart</w:t>
      </w:r>
      <w:proofErr w:type="spellEnd"/>
      <w:r w:rsidRPr="00E44923">
        <w:rPr>
          <w:rFonts w:ascii="Arial" w:hAnsi="Arial" w:cs="Arial"/>
          <w:color w:val="222222"/>
          <w:sz w:val="22"/>
          <w:szCs w:val="22"/>
          <w:shd w:val="clear" w:color="auto" w:fill="FFFFFF"/>
        </w:rPr>
        <w:t xml:space="preserve">, F., </w:t>
      </w:r>
      <w:proofErr w:type="spellStart"/>
      <w:r w:rsidRPr="00E44923">
        <w:rPr>
          <w:rFonts w:ascii="Arial" w:hAnsi="Arial" w:cs="Arial"/>
          <w:color w:val="222222"/>
          <w:sz w:val="22"/>
          <w:szCs w:val="22"/>
          <w:shd w:val="clear" w:color="auto" w:fill="FFFFFF"/>
        </w:rPr>
        <w:t>Ardilouze</w:t>
      </w:r>
      <w:proofErr w:type="spellEnd"/>
      <w:r w:rsidRPr="00E44923">
        <w:rPr>
          <w:rFonts w:ascii="Arial" w:hAnsi="Arial" w:cs="Arial"/>
          <w:color w:val="222222"/>
          <w:sz w:val="22"/>
          <w:szCs w:val="22"/>
          <w:shd w:val="clear" w:color="auto" w:fill="FFFFFF"/>
        </w:rPr>
        <w:t xml:space="preserve">, C., Bonet, A., Brookshaw, A., Chen, M., </w:t>
      </w:r>
      <w:proofErr w:type="spellStart"/>
      <w:r w:rsidRPr="00E44923">
        <w:rPr>
          <w:rFonts w:ascii="Arial" w:hAnsi="Arial" w:cs="Arial"/>
          <w:color w:val="222222"/>
          <w:sz w:val="22"/>
          <w:szCs w:val="22"/>
          <w:shd w:val="clear" w:color="auto" w:fill="FFFFFF"/>
        </w:rPr>
        <w:t>Codorean</w:t>
      </w:r>
      <w:proofErr w:type="spellEnd"/>
      <w:r w:rsidRPr="00E44923">
        <w:rPr>
          <w:rFonts w:ascii="Arial" w:hAnsi="Arial" w:cs="Arial"/>
          <w:color w:val="222222"/>
          <w:sz w:val="22"/>
          <w:szCs w:val="22"/>
          <w:shd w:val="clear" w:color="auto" w:fill="FFFFFF"/>
        </w:rPr>
        <w:t xml:space="preserve">, C., ... &amp; Zhang, L. (2017). The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to seasonal (S2S) prediction project database.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98</w:t>
      </w:r>
      <w:r w:rsidRPr="00E44923">
        <w:rPr>
          <w:rFonts w:ascii="Arial" w:hAnsi="Arial" w:cs="Arial"/>
          <w:color w:val="222222"/>
          <w:sz w:val="22"/>
          <w:szCs w:val="22"/>
          <w:shd w:val="clear" w:color="auto" w:fill="FFFFFF"/>
        </w:rPr>
        <w:t>(1), 163-173.</w:t>
      </w:r>
    </w:p>
    <w:p w14:paraId="1843C18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Joseph, S., Sahai, A. K., Phani, R., Mandal, R., Dey, A., Chattopadhyay, R., &amp; Abhilash, S. (2019). Skill evaluation of extended-range forecasts of rainfall and </w:t>
      </w:r>
      <w:r w:rsidRPr="00E44923">
        <w:rPr>
          <w:rFonts w:ascii="Arial" w:hAnsi="Arial" w:cs="Arial"/>
          <w:color w:val="222222"/>
          <w:sz w:val="22"/>
          <w:szCs w:val="22"/>
          <w:shd w:val="clear" w:color="auto" w:fill="FFFFFF"/>
        </w:rPr>
        <w:lastRenderedPageBreak/>
        <w:t>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7A63F26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Pegion</w:t>
      </w:r>
      <w:proofErr w:type="spellEnd"/>
      <w:r w:rsidRPr="00E44923">
        <w:rPr>
          <w:rFonts w:ascii="Arial" w:hAnsi="Arial" w:cs="Arial"/>
          <w:color w:val="222222"/>
          <w:sz w:val="22"/>
          <w:szCs w:val="22"/>
          <w:shd w:val="clear" w:color="auto" w:fill="FFFFFF"/>
        </w:rPr>
        <w:t xml:space="preserve">, K., Kirtman, B. P., Becker, E., Collins, D. C., LaJoie, E., Burgman, R., ... &amp; Kim, H. (2019). The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Experiment (</w:t>
      </w:r>
      <w:proofErr w:type="spellStart"/>
      <w:r w:rsidRPr="00E44923">
        <w:rPr>
          <w:rFonts w:ascii="Arial" w:hAnsi="Arial" w:cs="Arial"/>
          <w:color w:val="222222"/>
          <w:sz w:val="22"/>
          <w:szCs w:val="22"/>
          <w:shd w:val="clear" w:color="auto" w:fill="FFFFFF"/>
        </w:rPr>
        <w:t>SubX</w:t>
      </w:r>
      <w:proofErr w:type="spellEnd"/>
      <w:r w:rsidRPr="00E44923">
        <w:rPr>
          <w:rFonts w:ascii="Arial" w:hAnsi="Arial" w:cs="Arial"/>
          <w:color w:val="222222"/>
          <w:sz w:val="22"/>
          <w:szCs w:val="22"/>
          <w:shd w:val="clear" w:color="auto" w:fill="FFFFFF"/>
        </w:rPr>
        <w:t xml:space="preserve">): A </w:t>
      </w:r>
      <w:proofErr w:type="spellStart"/>
      <w:r w:rsidRPr="00E44923">
        <w:rPr>
          <w:rFonts w:ascii="Arial" w:hAnsi="Arial" w:cs="Arial"/>
          <w:color w:val="222222"/>
          <w:sz w:val="22"/>
          <w:szCs w:val="22"/>
          <w:shd w:val="clear" w:color="auto" w:fill="FFFFFF"/>
        </w:rPr>
        <w:t>multimodel</w:t>
      </w:r>
      <w:proofErr w:type="spellEnd"/>
      <w:r w:rsidRPr="00E44923">
        <w:rPr>
          <w:rFonts w:ascii="Arial" w:hAnsi="Arial" w:cs="Arial"/>
          <w:color w:val="222222"/>
          <w:sz w:val="22"/>
          <w:szCs w:val="22"/>
          <w:shd w:val="clear" w:color="auto" w:fill="FFFFFF"/>
        </w:rPr>
        <w:t xml:space="preserv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prediction experiment.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100</w:t>
      </w:r>
      <w:r w:rsidRPr="00E44923">
        <w:rPr>
          <w:rFonts w:ascii="Arial" w:hAnsi="Arial" w:cs="Arial"/>
          <w:color w:val="222222"/>
          <w:sz w:val="22"/>
          <w:szCs w:val="22"/>
          <w:shd w:val="clear" w:color="auto" w:fill="FFFFFF"/>
        </w:rPr>
        <w:t>(10), 2043-2060.</w:t>
      </w:r>
    </w:p>
    <w:p w14:paraId="6757CA4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Ünal, A., </w:t>
      </w:r>
      <w:proofErr w:type="spellStart"/>
      <w:r w:rsidRPr="00E44923">
        <w:rPr>
          <w:rFonts w:ascii="Arial" w:hAnsi="Arial" w:cs="Arial"/>
          <w:color w:val="222222"/>
          <w:sz w:val="22"/>
          <w:szCs w:val="22"/>
          <w:shd w:val="clear" w:color="auto" w:fill="FFFFFF"/>
        </w:rPr>
        <w:t>Ilıcak</w:t>
      </w:r>
      <w:proofErr w:type="spellEnd"/>
      <w:r w:rsidRPr="00E44923">
        <w:rPr>
          <w:rFonts w:ascii="Arial" w:hAnsi="Arial" w:cs="Arial"/>
          <w:color w:val="222222"/>
          <w:sz w:val="22"/>
          <w:szCs w:val="22"/>
          <w:shd w:val="clear" w:color="auto" w:fill="FFFFFF"/>
        </w:rPr>
        <w:t>, M., Asan, B., &amp; Unal, G. (2023). </w:t>
      </w:r>
      <w:r w:rsidRPr="00E44923">
        <w:rPr>
          <w:rFonts w:ascii="Arial" w:hAnsi="Arial" w:cs="Arial"/>
          <w:i/>
          <w:iCs/>
          <w:color w:val="222222"/>
          <w:sz w:val="22"/>
          <w:szCs w:val="22"/>
          <w:shd w:val="clear" w:color="auto" w:fill="FFFFFF"/>
        </w:rPr>
        <w:t>Seasonal Forecasting using Machine Learning Algorithms for the continental Europe</w:t>
      </w:r>
      <w:r w:rsidRPr="00E44923">
        <w:rPr>
          <w:rFonts w:ascii="Arial" w:hAnsi="Arial" w:cs="Arial"/>
          <w:color w:val="222222"/>
          <w:sz w:val="22"/>
          <w:szCs w:val="22"/>
          <w:shd w:val="clear" w:color="auto" w:fill="FFFFFF"/>
        </w:rPr>
        <w:t> (No. EGU23-16281). Copernicus Meetings.</w:t>
      </w:r>
    </w:p>
    <w:p w14:paraId="2DF9380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Ravindra, K., Bhardwaj, S., Ram, C., Goyal, A., Singh, V., Venkataraman, C., ... &amp; Mor, S. (2024). Temperature projections and heatwave attribution scenarios over India: A systematic review. </w:t>
      </w:r>
      <w:proofErr w:type="spellStart"/>
      <w:r w:rsidRPr="00E44923">
        <w:rPr>
          <w:rFonts w:ascii="Arial" w:hAnsi="Arial" w:cs="Arial"/>
          <w:color w:val="222222"/>
          <w:sz w:val="22"/>
          <w:szCs w:val="22"/>
          <w:shd w:val="clear" w:color="auto" w:fill="FFFFFF"/>
        </w:rPr>
        <w:t>Heliyon</w:t>
      </w:r>
      <w:proofErr w:type="spellEnd"/>
      <w:r w:rsidRPr="00E44923">
        <w:rPr>
          <w:rFonts w:ascii="Arial" w:hAnsi="Arial" w:cs="Arial"/>
          <w:color w:val="222222"/>
          <w:sz w:val="22"/>
          <w:szCs w:val="22"/>
          <w:shd w:val="clear" w:color="auto" w:fill="FFFFFF"/>
        </w:rPr>
        <w:t>, 10(4).</w:t>
      </w:r>
    </w:p>
    <w:p w14:paraId="4CE6492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Nageswararao</w:t>
      </w:r>
      <w:proofErr w:type="spellEnd"/>
      <w:r w:rsidRPr="00E44923">
        <w:rPr>
          <w:rFonts w:ascii="Arial" w:hAnsi="Arial" w:cs="Arial"/>
          <w:color w:val="222222"/>
          <w:sz w:val="22"/>
          <w:szCs w:val="22"/>
          <w:shd w:val="clear" w:color="auto" w:fill="FFFFFF"/>
        </w:rPr>
        <w:t>, M. M., Sinha, P., Mohanty, U. C., &amp; Mishra, S. (2020). Occurrence of more heat waves over the central east coast of India in the recent warming era.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177</w:t>
      </w:r>
      <w:r w:rsidRPr="00E44923">
        <w:rPr>
          <w:rFonts w:ascii="Arial" w:hAnsi="Arial" w:cs="Arial"/>
          <w:color w:val="222222"/>
          <w:sz w:val="22"/>
          <w:szCs w:val="22"/>
          <w:shd w:val="clear" w:color="auto" w:fill="FFFFFF"/>
        </w:rPr>
        <w:t>(2), 1143-1155.</w:t>
      </w:r>
    </w:p>
    <w:p w14:paraId="3990CE8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Pai, D. S., Nair, S., &amp; Ramanathan, A. N. (2013). Long term climatology and trends of heat waves over India during the recent 50 years (1961-2010).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64</w:t>
      </w:r>
      <w:r w:rsidRPr="00E44923">
        <w:rPr>
          <w:rFonts w:ascii="Arial" w:hAnsi="Arial" w:cs="Arial"/>
          <w:color w:val="222222"/>
          <w:sz w:val="22"/>
          <w:szCs w:val="22"/>
          <w:shd w:val="clear" w:color="auto" w:fill="FFFFFF"/>
        </w:rPr>
        <w:t>(4), 585-604.</w:t>
      </w:r>
    </w:p>
    <w:p w14:paraId="03510DA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Singh, S., Mall, R. K., Dadich, J., Verma, S., Singh, J. V., &amp; Gupta, A. (2021). Evaluation of CORDEX-South Asia regional climate models for heat wave simulations over India.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248</w:t>
      </w:r>
      <w:r w:rsidRPr="00E44923">
        <w:rPr>
          <w:rFonts w:ascii="Arial" w:hAnsi="Arial" w:cs="Arial"/>
          <w:color w:val="222222"/>
          <w:sz w:val="22"/>
          <w:szCs w:val="22"/>
          <w:shd w:val="clear" w:color="auto" w:fill="FFFFFF"/>
        </w:rPr>
        <w:t>, 105228.</w:t>
      </w:r>
    </w:p>
    <w:p w14:paraId="57869BD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Mukherjee, S., &amp; Mishra, V. (2018). A sixfold rise in concurrent day and night-time heatwaves in India under 2 C warming.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w:t>
      </w:r>
      <w:r w:rsidRPr="00E44923">
        <w:rPr>
          <w:rFonts w:ascii="Arial" w:hAnsi="Arial" w:cs="Arial"/>
          <w:color w:val="222222"/>
          <w:sz w:val="22"/>
          <w:szCs w:val="22"/>
          <w:shd w:val="clear" w:color="auto" w:fill="FFFFFF"/>
        </w:rPr>
        <w:t>(1), 16922.</w:t>
      </w:r>
    </w:p>
    <w:p w14:paraId="621623F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Murari, K. K., Ghosh, S., Patwardhan, A., Daly, E., &amp; Salvi, K. (2015). Intensification of future severe heat waves in India and their effect on heat stress and mortality. </w:t>
      </w:r>
      <w:r w:rsidRPr="00E44923">
        <w:rPr>
          <w:rFonts w:ascii="Arial" w:hAnsi="Arial" w:cs="Arial"/>
          <w:i/>
          <w:iCs/>
          <w:color w:val="222222"/>
          <w:sz w:val="22"/>
          <w:szCs w:val="22"/>
          <w:shd w:val="clear" w:color="auto" w:fill="FFFFFF"/>
        </w:rPr>
        <w:t>Regional Environmental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15</w:t>
      </w:r>
      <w:r w:rsidRPr="00E44923">
        <w:rPr>
          <w:rFonts w:ascii="Arial" w:hAnsi="Arial" w:cs="Arial"/>
          <w:color w:val="222222"/>
          <w:sz w:val="22"/>
          <w:szCs w:val="22"/>
          <w:shd w:val="clear" w:color="auto" w:fill="FFFFFF"/>
        </w:rPr>
        <w:t>(4), 569-579.</w:t>
      </w:r>
    </w:p>
    <w:p w14:paraId="066F5BF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Koteswara</w:t>
      </w:r>
      <w:proofErr w:type="spellEnd"/>
      <w:r w:rsidRPr="00E44923">
        <w:rPr>
          <w:rFonts w:ascii="Arial" w:hAnsi="Arial" w:cs="Arial"/>
          <w:color w:val="222222"/>
          <w:sz w:val="22"/>
          <w:szCs w:val="22"/>
          <w:shd w:val="clear" w:color="auto" w:fill="FFFFFF"/>
        </w:rPr>
        <w:t xml:space="preserve"> Rao, K., Lakshmi Kumar, T. V., Kulkarni, A., Ho, C. H., </w:t>
      </w:r>
      <w:proofErr w:type="spellStart"/>
      <w:r w:rsidRPr="00E44923">
        <w:rPr>
          <w:rFonts w:ascii="Arial" w:hAnsi="Arial" w:cs="Arial"/>
          <w:color w:val="222222"/>
          <w:sz w:val="22"/>
          <w:szCs w:val="22"/>
          <w:shd w:val="clear" w:color="auto" w:fill="FFFFFF"/>
        </w:rPr>
        <w:t>Mahendranath</w:t>
      </w:r>
      <w:proofErr w:type="spellEnd"/>
      <w:r w:rsidRPr="00E44923">
        <w:rPr>
          <w:rFonts w:ascii="Arial" w:hAnsi="Arial" w:cs="Arial"/>
          <w:color w:val="222222"/>
          <w:sz w:val="22"/>
          <w:szCs w:val="22"/>
          <w:shd w:val="clear" w:color="auto" w:fill="FFFFFF"/>
        </w:rPr>
        <w:t xml:space="preserve">, B., </w:t>
      </w:r>
      <w:proofErr w:type="spellStart"/>
      <w:r w:rsidRPr="00E44923">
        <w:rPr>
          <w:rFonts w:ascii="Arial" w:hAnsi="Arial" w:cs="Arial"/>
          <w:color w:val="222222"/>
          <w:sz w:val="22"/>
          <w:szCs w:val="22"/>
          <w:shd w:val="clear" w:color="auto" w:fill="FFFFFF"/>
        </w:rPr>
        <w:t>Desamsetti</w:t>
      </w:r>
      <w:proofErr w:type="spellEnd"/>
      <w:r w:rsidRPr="00E44923">
        <w:rPr>
          <w:rFonts w:ascii="Arial" w:hAnsi="Arial" w:cs="Arial"/>
          <w:color w:val="222222"/>
          <w:sz w:val="22"/>
          <w:szCs w:val="22"/>
          <w:shd w:val="clear" w:color="auto" w:fill="FFFFFF"/>
        </w:rPr>
        <w:t xml:space="preserve">, S., ... &amp; </w:t>
      </w:r>
      <w:proofErr w:type="spellStart"/>
      <w:r w:rsidRPr="00E44923">
        <w:rPr>
          <w:rFonts w:ascii="Arial" w:hAnsi="Arial" w:cs="Arial"/>
          <w:color w:val="222222"/>
          <w:sz w:val="22"/>
          <w:szCs w:val="22"/>
          <w:shd w:val="clear" w:color="auto" w:fill="FFFFFF"/>
        </w:rPr>
        <w:t>Sabade</w:t>
      </w:r>
      <w:proofErr w:type="spellEnd"/>
      <w:r w:rsidRPr="00E44923">
        <w:rPr>
          <w:rFonts w:ascii="Arial" w:hAnsi="Arial" w:cs="Arial"/>
          <w:color w:val="222222"/>
          <w:sz w:val="22"/>
          <w:szCs w:val="22"/>
          <w:shd w:val="clear" w:color="auto" w:fill="FFFFFF"/>
        </w:rPr>
        <w:t>, S. (2020). Projections of heat stress and associated work performance over India in response to global warming.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(1), 16675.</w:t>
      </w:r>
    </w:p>
    <w:p w14:paraId="79277E92"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Perkins-Kirkpatrick, S. E., &amp; Lewis, S. C. (2020). Increasing trends in regional heatwaves. </w:t>
      </w:r>
      <w:r w:rsidRPr="00E44923">
        <w:rPr>
          <w:rFonts w:ascii="Arial" w:hAnsi="Arial" w:cs="Arial"/>
          <w:i/>
          <w:iCs/>
          <w:color w:val="222222"/>
          <w:sz w:val="22"/>
          <w:szCs w:val="22"/>
          <w:shd w:val="clear" w:color="auto" w:fill="FFFFFF"/>
        </w:rPr>
        <w:t>Nature communications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3357.</w:t>
      </w:r>
    </w:p>
    <w:p w14:paraId="7B2FAC8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Dubey, A. K., Lal, P., Kumar, P., Kumar, A., &amp; Dvornikov, A. Y. (2021). Present and future projections of heatwave hazard-risk over India: A regional earth system model assessment. </w:t>
      </w:r>
      <w:r w:rsidRPr="00E44923">
        <w:rPr>
          <w:rFonts w:ascii="Arial" w:hAnsi="Arial" w:cs="Arial"/>
          <w:i/>
          <w:iCs/>
          <w:color w:val="222222"/>
          <w:sz w:val="22"/>
          <w:szCs w:val="22"/>
          <w:shd w:val="clear" w:color="auto" w:fill="FFFFFF"/>
        </w:rPr>
        <w:t>Environmental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201</w:t>
      </w:r>
      <w:r w:rsidRPr="00E44923">
        <w:rPr>
          <w:rFonts w:ascii="Arial" w:hAnsi="Arial" w:cs="Arial"/>
          <w:color w:val="222222"/>
          <w:sz w:val="22"/>
          <w:szCs w:val="22"/>
          <w:shd w:val="clear" w:color="auto" w:fill="FFFFFF"/>
        </w:rPr>
        <w:t>, 111573.</w:t>
      </w:r>
    </w:p>
    <w:p w14:paraId="6EFBDE2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Das, J., &amp; </w:t>
      </w:r>
      <w:proofErr w:type="spellStart"/>
      <w:r w:rsidRPr="00E44923">
        <w:rPr>
          <w:rFonts w:ascii="Arial" w:hAnsi="Arial" w:cs="Arial"/>
          <w:color w:val="222222"/>
          <w:sz w:val="22"/>
          <w:szCs w:val="22"/>
          <w:shd w:val="clear" w:color="auto" w:fill="FFFFFF"/>
        </w:rPr>
        <w:t>Umamahesh</w:t>
      </w:r>
      <w:proofErr w:type="spellEnd"/>
      <w:r w:rsidRPr="00E44923">
        <w:rPr>
          <w:rFonts w:ascii="Arial" w:hAnsi="Arial" w:cs="Arial"/>
          <w:color w:val="222222"/>
          <w:sz w:val="22"/>
          <w:szCs w:val="22"/>
          <w:shd w:val="clear" w:color="auto" w:fill="FFFFFF"/>
        </w:rPr>
        <w:t>, N. V. (2022). Heat wave magnitude over India under changing climate: Projections from CMIP5 and CMIP6 experiments.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42</w:t>
      </w:r>
      <w:r w:rsidRPr="00E44923">
        <w:rPr>
          <w:rFonts w:ascii="Arial" w:hAnsi="Arial" w:cs="Arial"/>
          <w:color w:val="222222"/>
          <w:sz w:val="22"/>
          <w:szCs w:val="22"/>
          <w:shd w:val="clear" w:color="auto" w:fill="FFFFFF"/>
        </w:rPr>
        <w:t>(1), 331-351.</w:t>
      </w:r>
    </w:p>
    <w:p w14:paraId="4F86C09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Wang, K., Feng, G. L., Zeng, Y. X., &amp; Wang, X. J. (2013). Analysis of stable components in the extended-range forecast for the coming 10–30 days in winter 2010 and 2011. </w:t>
      </w:r>
      <w:r w:rsidRPr="00E44923">
        <w:rPr>
          <w:rFonts w:ascii="Arial" w:hAnsi="Arial" w:cs="Arial"/>
          <w:i/>
          <w:iCs/>
          <w:color w:val="222222"/>
          <w:sz w:val="22"/>
          <w:szCs w:val="22"/>
          <w:shd w:val="clear" w:color="auto" w:fill="FFFFFF"/>
        </w:rPr>
        <w:t>Chinese Physics B</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w:t>
      </w:r>
      <w:r w:rsidRPr="00E44923">
        <w:rPr>
          <w:rFonts w:ascii="Arial" w:hAnsi="Arial" w:cs="Arial"/>
          <w:color w:val="222222"/>
          <w:sz w:val="22"/>
          <w:szCs w:val="22"/>
          <w:shd w:val="clear" w:color="auto" w:fill="FFFFFF"/>
        </w:rPr>
        <w:t>(12), 129202.</w:t>
      </w:r>
    </w:p>
    <w:p w14:paraId="7F97E1E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Qiuming</w:t>
      </w:r>
      <w:proofErr w:type="spellEnd"/>
      <w:r w:rsidRPr="00E44923">
        <w:rPr>
          <w:rFonts w:ascii="Arial" w:hAnsi="Arial" w:cs="Arial"/>
          <w:color w:val="222222"/>
          <w:sz w:val="22"/>
          <w:szCs w:val="22"/>
          <w:shd w:val="clear" w:color="auto" w:fill="FFFFFF"/>
        </w:rPr>
        <w:t>, Y. (2018). A study of the extended-range forecast for the low frequency temperature and high temperature weather over the lower reaches of Yangtze River Valley in summer. </w:t>
      </w:r>
      <w:r w:rsidRPr="00E44923">
        <w:rPr>
          <w:rFonts w:ascii="Arial" w:hAnsi="Arial" w:cs="Arial"/>
          <w:i/>
          <w:iCs/>
          <w:color w:val="222222"/>
          <w:sz w:val="22"/>
          <w:szCs w:val="22"/>
          <w:shd w:val="clear" w:color="auto" w:fill="FFFFFF"/>
        </w:rPr>
        <w:t>Advances in Earth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33</w:t>
      </w:r>
      <w:r w:rsidRPr="00E44923">
        <w:rPr>
          <w:rFonts w:ascii="Arial" w:hAnsi="Arial" w:cs="Arial"/>
          <w:color w:val="222222"/>
          <w:sz w:val="22"/>
          <w:szCs w:val="22"/>
          <w:shd w:val="clear" w:color="auto" w:fill="FFFFFF"/>
        </w:rPr>
        <w:t>(4), 385.</w:t>
      </w:r>
    </w:p>
    <w:p w14:paraId="00C36FAF"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64A048B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Peng, T., Zhi, X., Ji, Y., Ji, L., &amp; Tian, Y. (2020). Prediction skill of extended range 2-m maximum air temperature probabilistic forecasts using machine learning post-processing methods. </w:t>
      </w:r>
      <w:r w:rsidRPr="00E44923">
        <w:rPr>
          <w:rFonts w:ascii="Arial" w:hAnsi="Arial" w:cs="Arial"/>
          <w:i/>
          <w:iCs/>
          <w:color w:val="222222"/>
          <w:sz w:val="22"/>
          <w:szCs w:val="22"/>
          <w:shd w:val="clear" w:color="auto" w:fill="FFFFFF"/>
        </w:rPr>
        <w:t>Atmosphere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(8), 823.</w:t>
      </w:r>
    </w:p>
    <w:p w14:paraId="74137564"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Kueh, M. T., &amp; Lin, C. Y. (2020). The 2018 summer heatwaves over northwestern Europe and its extended-range prediction.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(1), 19283.</w:t>
      </w:r>
    </w:p>
    <w:p w14:paraId="298B76D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Hudson, D., Marshall, A. G., Alves, O., Young, G., Jones, D., &amp; Watkins, A. (2016). Forewarned is forearmed: Extended-range forecast guidance of recent extreme heat events in Australia.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31</w:t>
      </w:r>
      <w:r w:rsidRPr="00E44923">
        <w:rPr>
          <w:rFonts w:ascii="Arial" w:hAnsi="Arial" w:cs="Arial"/>
          <w:color w:val="222222"/>
          <w:sz w:val="22"/>
          <w:szCs w:val="22"/>
          <w:shd w:val="clear" w:color="auto" w:fill="FFFFFF"/>
        </w:rPr>
        <w:t>(3), 697-711.</w:t>
      </w:r>
    </w:p>
    <w:p w14:paraId="665BC7B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DAI, J., HUANG, Y., &amp; QIAN, Y. (2024). A possible approach for the extended-range forecast of winter minimum temperature over Southern China. </w:t>
      </w:r>
      <w:r w:rsidRPr="00E44923">
        <w:rPr>
          <w:rFonts w:ascii="Arial" w:hAnsi="Arial" w:cs="Arial"/>
          <w:i/>
          <w:iCs/>
          <w:color w:val="222222"/>
          <w:sz w:val="22"/>
          <w:szCs w:val="22"/>
          <w:shd w:val="clear" w:color="auto" w:fill="FFFFFF"/>
        </w:rPr>
        <w:t>Chinese Journal of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67</w:t>
      </w:r>
      <w:r w:rsidRPr="00E44923">
        <w:rPr>
          <w:rFonts w:ascii="Arial" w:hAnsi="Arial" w:cs="Arial"/>
          <w:color w:val="222222"/>
          <w:sz w:val="22"/>
          <w:szCs w:val="22"/>
          <w:shd w:val="clear" w:color="auto" w:fill="FFFFFF"/>
        </w:rPr>
        <w:t>(6), 2096-2109.</w:t>
      </w:r>
    </w:p>
    <w:p w14:paraId="6A0A7420"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Korhonen, N., Hyvärinen, O., Kämäräinen, M., Richardson, D. S., Järvinen, H., &amp; </w:t>
      </w:r>
      <w:proofErr w:type="spellStart"/>
      <w:r w:rsidRPr="00E44923">
        <w:rPr>
          <w:rFonts w:ascii="Arial" w:hAnsi="Arial" w:cs="Arial"/>
          <w:color w:val="222222"/>
          <w:sz w:val="22"/>
          <w:szCs w:val="22"/>
          <w:shd w:val="clear" w:color="auto" w:fill="FFFFFF"/>
        </w:rPr>
        <w:t>Gregow</w:t>
      </w:r>
      <w:proofErr w:type="spellEnd"/>
      <w:r w:rsidRPr="00E44923">
        <w:rPr>
          <w:rFonts w:ascii="Arial" w:hAnsi="Arial" w:cs="Arial"/>
          <w:color w:val="222222"/>
          <w:sz w:val="22"/>
          <w:szCs w:val="22"/>
          <w:shd w:val="clear" w:color="auto" w:fill="FFFFFF"/>
        </w:rPr>
        <w:t>, H. (2020). Adding value to extended-range forecasts in northern Europe by statistical post-processing using stratospheric observations. </w:t>
      </w:r>
      <w:r w:rsidRPr="00E44923">
        <w:rPr>
          <w:rFonts w:ascii="Arial" w:hAnsi="Arial" w:cs="Arial"/>
          <w:i/>
          <w:iCs/>
          <w:color w:val="222222"/>
          <w:sz w:val="22"/>
          <w:szCs w:val="22"/>
          <w:shd w:val="clear" w:color="auto" w:fill="FFFFFF"/>
        </w:rPr>
        <w:t>Atmospheric Chemistry and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w:t>
      </w:r>
      <w:r w:rsidRPr="00E44923">
        <w:rPr>
          <w:rFonts w:ascii="Arial" w:hAnsi="Arial" w:cs="Arial"/>
          <w:color w:val="222222"/>
          <w:sz w:val="22"/>
          <w:szCs w:val="22"/>
          <w:shd w:val="clear" w:color="auto" w:fill="FFFFFF"/>
        </w:rPr>
        <w:t>(14), 8441-8451.</w:t>
      </w:r>
    </w:p>
    <w:p w14:paraId="2E15E0F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Abhilash, S., Chattopadhyay, R., Joseph, S., Sharmila, S., &amp; Kumar, A. (2015). An assessment of real-time extended range forecast of 2013 Indian summer monsoon.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(10).</w:t>
      </w:r>
    </w:p>
    <w:p w14:paraId="1865434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GRAY, W. (1992). Extended range forecast of Atlantic seasonal hurricane activity for 1993.</w:t>
      </w:r>
    </w:p>
    <w:p w14:paraId="7FD377F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Elsner, J. B., &amp; </w:t>
      </w:r>
      <w:proofErr w:type="spellStart"/>
      <w:r w:rsidRPr="00E44923">
        <w:rPr>
          <w:rFonts w:ascii="Arial" w:hAnsi="Arial" w:cs="Arial"/>
          <w:color w:val="222222"/>
          <w:sz w:val="22"/>
          <w:szCs w:val="22"/>
          <w:shd w:val="clear" w:color="auto" w:fill="FFFFFF"/>
        </w:rPr>
        <w:t>Schmertmann</w:t>
      </w:r>
      <w:proofErr w:type="spellEnd"/>
      <w:r w:rsidRPr="00E44923">
        <w:rPr>
          <w:rFonts w:ascii="Arial" w:hAnsi="Arial" w:cs="Arial"/>
          <w:color w:val="222222"/>
          <w:sz w:val="22"/>
          <w:szCs w:val="22"/>
          <w:shd w:val="clear" w:color="auto" w:fill="FFFFFF"/>
        </w:rPr>
        <w:t>, C. P. (1993). Improving extended-range seasonal predictions of intense Atlantic hurricane activity.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w:t>
      </w:r>
      <w:r w:rsidRPr="00E44923">
        <w:rPr>
          <w:rFonts w:ascii="Arial" w:hAnsi="Arial" w:cs="Arial"/>
          <w:color w:val="222222"/>
          <w:sz w:val="22"/>
          <w:szCs w:val="22"/>
          <w:shd w:val="clear" w:color="auto" w:fill="FFFFFF"/>
        </w:rPr>
        <w:t>(3), 345-351.</w:t>
      </w:r>
    </w:p>
    <w:p w14:paraId="6EAE829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Klotzbach, P. J., Gray, W. M., &amp; Thorson, W. (2006). Extended range forecast of Atlantic seasonal hurricane activity and US landfall strike probability for 2007. </w:t>
      </w:r>
      <w:r w:rsidRPr="00E44923">
        <w:rPr>
          <w:rFonts w:ascii="Arial" w:hAnsi="Arial" w:cs="Arial"/>
          <w:i/>
          <w:iCs/>
          <w:color w:val="222222"/>
          <w:sz w:val="22"/>
          <w:szCs w:val="22"/>
          <w:shd w:val="clear" w:color="auto" w:fill="FFFFFF"/>
        </w:rPr>
        <w:t xml:space="preserve">Keith Elder, Sudha Xirasagar, Nancy Miller, Shelly Ann Bowen, Saundra Glover, and Crystal </w:t>
      </w:r>
      <w:proofErr w:type="spellStart"/>
      <w:proofErr w:type="gramStart"/>
      <w:r w:rsidRPr="00E44923">
        <w:rPr>
          <w:rFonts w:ascii="Arial" w:hAnsi="Arial" w:cs="Arial"/>
          <w:i/>
          <w:iCs/>
          <w:color w:val="222222"/>
          <w:sz w:val="22"/>
          <w:szCs w:val="22"/>
          <w:shd w:val="clear" w:color="auto" w:fill="FFFFFF"/>
        </w:rPr>
        <w:t>Piper.“</w:t>
      </w:r>
      <w:proofErr w:type="gramEnd"/>
      <w:r w:rsidRPr="00E44923">
        <w:rPr>
          <w:rFonts w:ascii="Arial" w:hAnsi="Arial" w:cs="Arial"/>
          <w:i/>
          <w:iCs/>
          <w:color w:val="222222"/>
          <w:sz w:val="22"/>
          <w:szCs w:val="22"/>
          <w:shd w:val="clear" w:color="auto" w:fill="FFFFFF"/>
        </w:rPr>
        <w:t>African</w:t>
      </w:r>
      <w:proofErr w:type="spellEnd"/>
      <w:r w:rsidRPr="00E44923">
        <w:rPr>
          <w:rFonts w:ascii="Arial" w:hAnsi="Arial" w:cs="Arial"/>
          <w:i/>
          <w:iCs/>
          <w:color w:val="222222"/>
          <w:sz w:val="22"/>
          <w:szCs w:val="22"/>
          <w:shd w:val="clear" w:color="auto" w:fill="FFFFFF"/>
        </w:rPr>
        <w:t xml:space="preserve">-Americans’ Decisions Not to Evacuate New Orleans Before </w:t>
      </w:r>
      <w:proofErr w:type="spellStart"/>
      <w:r w:rsidRPr="00E44923">
        <w:rPr>
          <w:rFonts w:ascii="Arial" w:hAnsi="Arial" w:cs="Arial"/>
          <w:i/>
          <w:iCs/>
          <w:color w:val="222222"/>
          <w:sz w:val="22"/>
          <w:szCs w:val="22"/>
          <w:shd w:val="clear" w:color="auto" w:fill="FFFFFF"/>
        </w:rPr>
        <w:t>Huricane</w:t>
      </w:r>
      <w:proofErr w:type="spellEnd"/>
      <w:r w:rsidRPr="00E44923">
        <w:rPr>
          <w:rFonts w:ascii="Arial" w:hAnsi="Arial" w:cs="Arial"/>
          <w:i/>
          <w:iCs/>
          <w:color w:val="222222"/>
          <w:sz w:val="22"/>
          <w:szCs w:val="22"/>
          <w:shd w:val="clear" w:color="auto" w:fill="FFFFFF"/>
        </w:rPr>
        <w:t xml:space="preserve"> Katrina: A Qualitative Study.” American Journal of Public Health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97</w:t>
      </w:r>
      <w:r w:rsidRPr="00E44923">
        <w:rPr>
          <w:rFonts w:ascii="Arial" w:hAnsi="Arial" w:cs="Arial"/>
          <w:color w:val="222222"/>
          <w:sz w:val="22"/>
          <w:szCs w:val="22"/>
          <w:shd w:val="clear" w:color="auto" w:fill="FFFFFF"/>
        </w:rPr>
        <w:t>, 1-8.</w:t>
      </w:r>
    </w:p>
    <w:p w14:paraId="37D4D3D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Klotzbach, P. J., Gray, W. M., Wilmsen, E., &amp; Collins, F. (2012). Extended range forecast of Atlantic seasonal hurricane activity and landfall strike probability for 2012. </w:t>
      </w:r>
      <w:r w:rsidRPr="00E44923">
        <w:rPr>
          <w:rFonts w:ascii="Arial" w:hAnsi="Arial" w:cs="Arial"/>
          <w:i/>
          <w:iCs/>
          <w:color w:val="222222"/>
          <w:sz w:val="22"/>
          <w:szCs w:val="22"/>
          <w:shd w:val="clear" w:color="auto" w:fill="FFFFFF"/>
        </w:rPr>
        <w:t>Department of Atmospheric Science. Colorado State University</w:t>
      </w:r>
      <w:r w:rsidRPr="00E44923">
        <w:rPr>
          <w:rFonts w:ascii="Arial" w:hAnsi="Arial" w:cs="Arial"/>
          <w:color w:val="222222"/>
          <w:sz w:val="22"/>
          <w:szCs w:val="22"/>
          <w:shd w:val="clear" w:color="auto" w:fill="FFFFFF"/>
        </w:rPr>
        <w:t>.</w:t>
      </w:r>
    </w:p>
    <w:p w14:paraId="7AD0AC9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Elsberry, R. L., Tsai, H. C., &amp; Jordan, M. S. (2014). Extended-range forecasts of Atlantic tropical cyclone events during 2012 using the ECMWF 32-day ensemble predictions.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w:t>
      </w:r>
      <w:r w:rsidRPr="00E44923">
        <w:rPr>
          <w:rFonts w:ascii="Arial" w:hAnsi="Arial" w:cs="Arial"/>
          <w:color w:val="222222"/>
          <w:sz w:val="22"/>
          <w:szCs w:val="22"/>
          <w:shd w:val="clear" w:color="auto" w:fill="FFFFFF"/>
        </w:rPr>
        <w:t>(2), 271-288.</w:t>
      </w:r>
    </w:p>
    <w:p w14:paraId="327AC90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Baumhefner</w:t>
      </w:r>
      <w:proofErr w:type="spellEnd"/>
      <w:r w:rsidRPr="00E44923">
        <w:rPr>
          <w:rFonts w:ascii="Arial" w:hAnsi="Arial" w:cs="Arial"/>
          <w:color w:val="222222"/>
          <w:sz w:val="22"/>
          <w:szCs w:val="22"/>
          <w:shd w:val="clear" w:color="auto" w:fill="FFFFFF"/>
        </w:rPr>
        <w:t xml:space="preserve"> DP. Numerical extended-range prediction: Forecast skill using a low-resolution climate model. Monthly weather review. 1996 Sep;124(9):1965-80.</w:t>
      </w:r>
    </w:p>
    <w:p w14:paraId="2B7E917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Bauer, P., Thorpe, A., &amp; Brunet, G. (2015). The quiet revolution of numerical weather prediction. </w:t>
      </w:r>
      <w:r w:rsidRPr="00E44923">
        <w:rPr>
          <w:rFonts w:ascii="Arial" w:hAnsi="Arial" w:cs="Arial"/>
          <w:i/>
          <w:iCs/>
          <w:color w:val="222222"/>
          <w:sz w:val="22"/>
          <w:szCs w:val="22"/>
          <w:shd w:val="clear" w:color="auto" w:fill="FFFFFF"/>
        </w:rPr>
        <w:t>Nature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525</w:t>
      </w:r>
      <w:r w:rsidRPr="00E44923">
        <w:rPr>
          <w:rFonts w:ascii="Arial" w:hAnsi="Arial" w:cs="Arial"/>
          <w:color w:val="222222"/>
          <w:sz w:val="22"/>
          <w:szCs w:val="22"/>
          <w:shd w:val="clear" w:color="auto" w:fill="FFFFFF"/>
        </w:rPr>
        <w:t>(7567), 47-55.</w:t>
      </w:r>
    </w:p>
    <w:p w14:paraId="319F7B7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Krishnamurti, T. N., &amp; Bounoua, L. (2018). An introduction to numerical weather prediction techniques.</w:t>
      </w:r>
    </w:p>
    <w:p w14:paraId="4E505A0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Brotzge, J. A., </w:t>
      </w:r>
      <w:proofErr w:type="spellStart"/>
      <w:r w:rsidRPr="00E44923">
        <w:rPr>
          <w:rFonts w:ascii="Arial" w:hAnsi="Arial" w:cs="Arial"/>
          <w:color w:val="222222"/>
          <w:sz w:val="22"/>
          <w:szCs w:val="22"/>
          <w:shd w:val="clear" w:color="auto" w:fill="FFFFFF"/>
        </w:rPr>
        <w:t>Berchoff</w:t>
      </w:r>
      <w:proofErr w:type="spellEnd"/>
      <w:r w:rsidRPr="00E44923">
        <w:rPr>
          <w:rFonts w:ascii="Arial" w:hAnsi="Arial" w:cs="Arial"/>
          <w:color w:val="222222"/>
          <w:sz w:val="22"/>
          <w:szCs w:val="22"/>
          <w:shd w:val="clear" w:color="auto" w:fill="FFFFFF"/>
        </w:rPr>
        <w:t>, D., Carlis, D. L., Carr, F. H., Carr, R. H., Gerth, J. J., ... &amp; Wang, X. (2023). Challenges and opportunities in numerical weather prediction.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104</w:t>
      </w:r>
      <w:r w:rsidRPr="00E44923">
        <w:rPr>
          <w:rFonts w:ascii="Arial" w:hAnsi="Arial" w:cs="Arial"/>
          <w:color w:val="222222"/>
          <w:sz w:val="22"/>
          <w:szCs w:val="22"/>
          <w:shd w:val="clear" w:color="auto" w:fill="FFFFFF"/>
        </w:rPr>
        <w:t>(3), E698-E705.</w:t>
      </w:r>
    </w:p>
    <w:p w14:paraId="7B9A7131"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Bauer, P., Thorpe, A., &amp; Brunet, G. (2015). The quiet revolution of numerical weather prediction. </w:t>
      </w:r>
      <w:r w:rsidRPr="00E44923">
        <w:rPr>
          <w:rFonts w:ascii="Arial" w:hAnsi="Arial" w:cs="Arial"/>
          <w:i/>
          <w:iCs/>
          <w:color w:val="222222"/>
          <w:sz w:val="22"/>
          <w:szCs w:val="22"/>
          <w:shd w:val="clear" w:color="auto" w:fill="FFFFFF"/>
        </w:rPr>
        <w:t>Nature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525</w:t>
      </w:r>
      <w:r w:rsidRPr="00E44923">
        <w:rPr>
          <w:rFonts w:ascii="Arial" w:hAnsi="Arial" w:cs="Arial"/>
          <w:color w:val="222222"/>
          <w:sz w:val="22"/>
          <w:szCs w:val="22"/>
          <w:shd w:val="clear" w:color="auto" w:fill="FFFFFF"/>
        </w:rPr>
        <w:t>(7567), 47-55.</w:t>
      </w:r>
    </w:p>
    <w:p w14:paraId="6EF55CE9" w14:textId="77777777" w:rsidR="002552A7" w:rsidRPr="00E44923" w:rsidRDefault="002552A7" w:rsidP="00A53B65">
      <w:pPr>
        <w:pStyle w:val="ListParagraph"/>
        <w:spacing w:line="360" w:lineRule="auto"/>
        <w:jc w:val="both"/>
        <w:rPr>
          <w:rFonts w:ascii="Arial" w:hAnsi="Arial" w:cs="Arial"/>
          <w:color w:val="222222"/>
          <w:sz w:val="22"/>
          <w:szCs w:val="22"/>
          <w:shd w:val="clear" w:color="auto" w:fill="FFFFFF"/>
        </w:rPr>
      </w:pPr>
    </w:p>
    <w:p w14:paraId="55FA3714" w14:textId="77777777" w:rsidR="002552A7" w:rsidRPr="00E44923" w:rsidRDefault="00F6615F"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hyperlink r:id="rId27" w:history="1">
        <w:r w:rsidR="002552A7" w:rsidRPr="00E44923">
          <w:rPr>
            <w:rStyle w:val="Hyperlink"/>
            <w:rFonts w:ascii="Arial" w:hAnsi="Arial" w:cs="Arial"/>
            <w:sz w:val="22"/>
            <w:szCs w:val="22"/>
            <w:shd w:val="clear" w:color="auto" w:fill="FFFFFF"/>
          </w:rPr>
          <w:t>https://r.search.yahoo.com/_ylt=AwrjW6w4CrRn63AVO05XNyoA;_ylu=Y29sbwNncTEEcG9zAzEEdnRpZAMEc2VjA3Ny/RV=2/RE=1741061944/RO=10/RU=https%3a%2f%2fnwp.imd.gov.in%2f/RK=2/RS=mteWas4rhOd2NiR47xKt6t6NtYA-</w:t>
        </w:r>
      </w:hyperlink>
    </w:p>
    <w:p w14:paraId="7B1FCB6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Cohen, J., </w:t>
      </w:r>
      <w:proofErr w:type="spellStart"/>
      <w:r w:rsidRPr="00E44923">
        <w:rPr>
          <w:rFonts w:ascii="Arial" w:hAnsi="Arial" w:cs="Arial"/>
          <w:color w:val="222222"/>
          <w:sz w:val="22"/>
          <w:szCs w:val="22"/>
          <w:shd w:val="clear" w:color="auto" w:fill="FFFFFF"/>
        </w:rPr>
        <w:t>Coumou</w:t>
      </w:r>
      <w:proofErr w:type="spellEnd"/>
      <w:r w:rsidRPr="00E44923">
        <w:rPr>
          <w:rFonts w:ascii="Arial" w:hAnsi="Arial" w:cs="Arial"/>
          <w:color w:val="222222"/>
          <w:sz w:val="22"/>
          <w:szCs w:val="22"/>
          <w:shd w:val="clear" w:color="auto" w:fill="FFFFFF"/>
        </w:rPr>
        <w:t xml:space="preserve">, D., Hwang, J., Mackey, L., Orenstein, P., Totz, S., &amp; </w:t>
      </w:r>
      <w:proofErr w:type="spellStart"/>
      <w:r w:rsidRPr="00E44923">
        <w:rPr>
          <w:rFonts w:ascii="Arial" w:hAnsi="Arial" w:cs="Arial"/>
          <w:color w:val="222222"/>
          <w:sz w:val="22"/>
          <w:szCs w:val="22"/>
          <w:shd w:val="clear" w:color="auto" w:fill="FFFFFF"/>
        </w:rPr>
        <w:t>Tziperman</w:t>
      </w:r>
      <w:proofErr w:type="spellEnd"/>
      <w:r w:rsidRPr="00E44923">
        <w:rPr>
          <w:rFonts w:ascii="Arial" w:hAnsi="Arial" w:cs="Arial"/>
          <w:color w:val="222222"/>
          <w:sz w:val="22"/>
          <w:szCs w:val="22"/>
          <w:shd w:val="clear" w:color="auto" w:fill="FFFFFF"/>
        </w:rPr>
        <w:t xml:space="preserve">, E. (2019). S2S reboot: An argument for greater inclusion of machine learning in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to seasonal forecasts. </w:t>
      </w:r>
      <w:r w:rsidRPr="00E44923">
        <w:rPr>
          <w:rFonts w:ascii="Arial" w:hAnsi="Arial" w:cs="Arial"/>
          <w:i/>
          <w:iCs/>
          <w:color w:val="222222"/>
          <w:sz w:val="22"/>
          <w:szCs w:val="22"/>
          <w:shd w:val="clear" w:color="auto" w:fill="FFFFFF"/>
        </w:rPr>
        <w:t>Wiley Interdisciplinary Reviews: Climate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(2), e00567.</w:t>
      </w:r>
    </w:p>
    <w:p w14:paraId="0DCB707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Anaka, R. E. (2023). Review of AI-enhanced weather forecasting application for communication networks. </w:t>
      </w:r>
      <w:r w:rsidRPr="00E44923">
        <w:rPr>
          <w:rFonts w:ascii="Arial" w:hAnsi="Arial" w:cs="Arial"/>
          <w:i/>
          <w:iCs/>
          <w:color w:val="222222"/>
          <w:sz w:val="22"/>
          <w:szCs w:val="22"/>
          <w:shd w:val="clear" w:color="auto" w:fill="FFFFFF"/>
        </w:rPr>
        <w:t>ResearchGate</w:t>
      </w:r>
      <w:r w:rsidRPr="00E44923">
        <w:rPr>
          <w:rFonts w:ascii="Arial" w:hAnsi="Arial" w:cs="Arial"/>
          <w:color w:val="222222"/>
          <w:sz w:val="22"/>
          <w:szCs w:val="22"/>
          <w:shd w:val="clear" w:color="auto" w:fill="FFFFFF"/>
        </w:rPr>
        <w:t>.</w:t>
      </w:r>
    </w:p>
    <w:p w14:paraId="50A709E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L., Han, B., Wang, X., Zhao, J., Yang, W., &amp; Yang, Z. (2023). Machine learning methods in weather and climate applications: A survey. </w:t>
      </w:r>
      <w:r w:rsidRPr="00E44923">
        <w:rPr>
          <w:rFonts w:ascii="Arial" w:hAnsi="Arial" w:cs="Arial"/>
          <w:i/>
          <w:iCs/>
          <w:color w:val="222222"/>
          <w:sz w:val="22"/>
          <w:szCs w:val="22"/>
          <w:shd w:val="clear" w:color="auto" w:fill="FFFFFF"/>
        </w:rPr>
        <w:t>Applied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w:t>
      </w:r>
      <w:r w:rsidRPr="00E44923">
        <w:rPr>
          <w:rFonts w:ascii="Arial" w:hAnsi="Arial" w:cs="Arial"/>
          <w:color w:val="222222"/>
          <w:sz w:val="22"/>
          <w:szCs w:val="22"/>
          <w:shd w:val="clear" w:color="auto" w:fill="FFFFFF"/>
        </w:rPr>
        <w:t>(21), 12019.</w:t>
      </w:r>
    </w:p>
    <w:p w14:paraId="3333E059"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He, S., Li, X., DelSole, T., Ravikumar, P., &amp; Banerjee, A. (2021, May). Sub-seasonal climate forecasting via machine learning: Challenges, analysis, and advances. In </w:t>
      </w:r>
      <w:r w:rsidRPr="00E44923">
        <w:rPr>
          <w:rFonts w:ascii="Arial" w:hAnsi="Arial" w:cs="Arial"/>
          <w:i/>
          <w:iCs/>
          <w:color w:val="222222"/>
          <w:sz w:val="22"/>
          <w:szCs w:val="22"/>
          <w:shd w:val="clear" w:color="auto" w:fill="FFFFFF"/>
        </w:rPr>
        <w:t>Proceedings of the AAAI conference on artificial intelligence</w:t>
      </w:r>
      <w:r w:rsidRPr="00E44923">
        <w:rPr>
          <w:rFonts w:ascii="Arial" w:hAnsi="Arial" w:cs="Arial"/>
          <w:color w:val="222222"/>
          <w:sz w:val="22"/>
          <w:szCs w:val="22"/>
          <w:shd w:val="clear" w:color="auto" w:fill="FFFFFF"/>
        </w:rPr>
        <w:t> (Vol. 35, No. 1, pp. 169-177).</w:t>
      </w:r>
    </w:p>
    <w:p w14:paraId="683292B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Weyn</w:t>
      </w:r>
      <w:proofErr w:type="spellEnd"/>
      <w:r w:rsidRPr="00E44923">
        <w:rPr>
          <w:rFonts w:ascii="Arial" w:hAnsi="Arial" w:cs="Arial"/>
          <w:color w:val="222222"/>
          <w:sz w:val="22"/>
          <w:szCs w:val="22"/>
          <w:shd w:val="clear" w:color="auto" w:fill="FFFFFF"/>
        </w:rPr>
        <w:t xml:space="preserve"> JA, </w:t>
      </w:r>
      <w:proofErr w:type="spellStart"/>
      <w:r w:rsidRPr="00E44923">
        <w:rPr>
          <w:rFonts w:ascii="Arial" w:hAnsi="Arial" w:cs="Arial"/>
          <w:color w:val="222222"/>
          <w:sz w:val="22"/>
          <w:szCs w:val="22"/>
          <w:shd w:val="clear" w:color="auto" w:fill="FFFFFF"/>
        </w:rPr>
        <w:t>Durran</w:t>
      </w:r>
      <w:proofErr w:type="spellEnd"/>
      <w:r w:rsidRPr="00E44923">
        <w:rPr>
          <w:rFonts w:ascii="Arial" w:hAnsi="Arial" w:cs="Arial"/>
          <w:color w:val="222222"/>
          <w:sz w:val="22"/>
          <w:szCs w:val="22"/>
          <w:shd w:val="clear" w:color="auto" w:fill="FFFFFF"/>
        </w:rPr>
        <w:t xml:space="preserve"> DR, Caruana R, Cresswell</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Clay N. Sub</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seasonal forecasting with a large ensemble of deep</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learning weather prediction models. Journal of Advances in Modeling Earth Systems. 2021 Jul;13(7</w:t>
      </w:r>
      <w:proofErr w:type="gramStart"/>
      <w:r w:rsidRPr="00E44923">
        <w:rPr>
          <w:rFonts w:ascii="Arial" w:hAnsi="Arial" w:cs="Arial"/>
          <w:color w:val="222222"/>
          <w:sz w:val="22"/>
          <w:szCs w:val="22"/>
          <w:shd w:val="clear" w:color="auto" w:fill="FFFFFF"/>
        </w:rPr>
        <w:t>):e</w:t>
      </w:r>
      <w:proofErr w:type="gramEnd"/>
      <w:r w:rsidRPr="00E44923">
        <w:rPr>
          <w:rFonts w:ascii="Arial" w:hAnsi="Arial" w:cs="Arial"/>
          <w:color w:val="222222"/>
          <w:sz w:val="22"/>
          <w:szCs w:val="22"/>
          <w:shd w:val="clear" w:color="auto" w:fill="FFFFFF"/>
        </w:rPr>
        <w:t>2021MS002502.</w:t>
      </w:r>
    </w:p>
    <w:p w14:paraId="77337542"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Wu W, Wang Y, Wei F, Liu B, You X. Extended-Range Forecast of Regional Persistent Extreme Cold Events Based on Deep Learning. Atmosphere. 2023 Oct 17;14(10):1572.</w:t>
      </w:r>
    </w:p>
    <w:p w14:paraId="0C264BB5"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Sahai, A. K., Mandal, R., Muralikrishna, R. P., Dey, A., Chattopadhyay, R., ... &amp; Mishra, V. (2019). Evolution of operational extended range forecast system of IMD: Prospects of its applications in different sectors.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70</w:t>
      </w:r>
      <w:r w:rsidRPr="00E44923">
        <w:rPr>
          <w:rFonts w:ascii="Arial" w:hAnsi="Arial" w:cs="Arial"/>
          <w:color w:val="222222"/>
          <w:sz w:val="22"/>
          <w:szCs w:val="22"/>
          <w:shd w:val="clear" w:color="auto" w:fill="FFFFFF"/>
        </w:rPr>
        <w:t>(2), 233-264.</w:t>
      </w:r>
    </w:p>
    <w:p w14:paraId="3433136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Palmer, T. N., &amp; Anderson, D. L. (1994). The prospects for seasonal forecasting—A review paper. </w:t>
      </w:r>
      <w:r w:rsidRPr="00E44923">
        <w:rPr>
          <w:rFonts w:ascii="Arial" w:hAnsi="Arial" w:cs="Arial"/>
          <w:i/>
          <w:iCs/>
          <w:color w:val="222222"/>
          <w:sz w:val="22"/>
          <w:szCs w:val="22"/>
          <w:shd w:val="clear" w:color="auto" w:fill="FFFFFF"/>
        </w:rPr>
        <w:t>Quarterly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120</w:t>
      </w:r>
      <w:r w:rsidRPr="00E44923">
        <w:rPr>
          <w:rFonts w:ascii="Arial" w:hAnsi="Arial" w:cs="Arial"/>
          <w:color w:val="222222"/>
          <w:sz w:val="22"/>
          <w:szCs w:val="22"/>
          <w:shd w:val="clear" w:color="auto" w:fill="FFFFFF"/>
        </w:rPr>
        <w:t>(518), 755-793.</w:t>
      </w:r>
    </w:p>
    <w:p w14:paraId="267D310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Alone, A., Kumar, P., Phani, R., Mandal, R., &amp; Dey, A. (2022). Extended-range forecast of monsoon at smaller spatial domains over India for application in agriculture.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147</w:t>
      </w:r>
      <w:r w:rsidRPr="00E44923">
        <w:rPr>
          <w:rFonts w:ascii="Arial" w:hAnsi="Arial" w:cs="Arial"/>
          <w:color w:val="222222"/>
          <w:sz w:val="22"/>
          <w:szCs w:val="22"/>
          <w:shd w:val="clear" w:color="auto" w:fill="FFFFFF"/>
        </w:rPr>
        <w:t>(1), 451-472.</w:t>
      </w:r>
    </w:p>
    <w:p w14:paraId="2BCF0A73"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Lorenz EN. The predictability of a flow which possesses many scales of motion. Tellus. 1969 Jan 1;21(3):289-307.</w:t>
      </w:r>
    </w:p>
    <w:p w14:paraId="40D0B1FF"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Charney JG, Shukla J. Predictability of monsoons. Monsoon dynamics. 1981 Mar 19:99-110.</w:t>
      </w:r>
    </w:p>
    <w:p w14:paraId="214963C6"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Waliser, D. E., Lau, K. M., Stern, W., &amp; Jones, C. (2003). Potential predictability of the Madden–Julian oscillation.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84</w:t>
      </w:r>
      <w:r w:rsidRPr="00E44923">
        <w:rPr>
          <w:rFonts w:ascii="Arial" w:hAnsi="Arial" w:cs="Arial"/>
          <w:color w:val="222222"/>
          <w:sz w:val="22"/>
          <w:szCs w:val="22"/>
          <w:shd w:val="clear" w:color="auto" w:fill="FFFFFF"/>
        </w:rPr>
        <w:t>(1), 33-50.</w:t>
      </w:r>
    </w:p>
    <w:p w14:paraId="17855822"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Goswami, B. N., &amp; Xavier, P. K. (2003). Potential predictability and extended range prediction of Indian summer monsoon breaks.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30</w:t>
      </w:r>
      <w:r w:rsidRPr="00E44923">
        <w:rPr>
          <w:rFonts w:ascii="Arial" w:hAnsi="Arial" w:cs="Arial"/>
          <w:color w:val="222222"/>
          <w:sz w:val="22"/>
          <w:szCs w:val="22"/>
          <w:shd w:val="clear" w:color="auto" w:fill="FFFFFF"/>
        </w:rPr>
        <w:t>(18).</w:t>
      </w:r>
    </w:p>
    <w:p w14:paraId="7192C27A"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Abhilash, S., Sahai, A. K., Borah, N., Joseph, S., Chattopadhyay, R., Sharmila, S., ... &amp; Kumar, A. (2015). Improved spread–error relationship and probabilistic prediction from the CFS-based grand ensemble prediction system. </w:t>
      </w:r>
      <w:r w:rsidRPr="00E44923">
        <w:rPr>
          <w:rFonts w:ascii="Arial" w:hAnsi="Arial" w:cs="Arial"/>
          <w:i/>
          <w:iCs/>
          <w:color w:val="222222"/>
          <w:sz w:val="22"/>
          <w:szCs w:val="22"/>
          <w:shd w:val="clear" w:color="auto" w:fill="FFFFFF"/>
        </w:rPr>
        <w:t>Journal of Applied Meteorology and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54</w:t>
      </w:r>
      <w:r w:rsidRPr="00E44923">
        <w:rPr>
          <w:rFonts w:ascii="Arial" w:hAnsi="Arial" w:cs="Arial"/>
          <w:color w:val="222222"/>
          <w:sz w:val="22"/>
          <w:szCs w:val="22"/>
          <w:shd w:val="clear" w:color="auto" w:fill="FFFFFF"/>
        </w:rPr>
        <w:t>(7), 1569-1578.</w:t>
      </w:r>
    </w:p>
    <w:p w14:paraId="263BB004"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Xiong, D., Ling, X., Huang, J., &amp; Peng, S. (2017). Meta-analysis and dose-response analysis of high temperature effects on rice yield and quality. </w:t>
      </w:r>
      <w:r w:rsidRPr="00E44923">
        <w:rPr>
          <w:rFonts w:ascii="Arial" w:hAnsi="Arial" w:cs="Arial"/>
          <w:i/>
          <w:iCs/>
          <w:color w:val="222222"/>
          <w:sz w:val="22"/>
          <w:szCs w:val="22"/>
          <w:shd w:val="clear" w:color="auto" w:fill="FFFFFF"/>
        </w:rPr>
        <w:t>Environmental and Experimental Botany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141</w:t>
      </w:r>
      <w:r w:rsidRPr="00E44923">
        <w:rPr>
          <w:rFonts w:ascii="Arial" w:hAnsi="Arial" w:cs="Arial"/>
          <w:color w:val="222222"/>
          <w:sz w:val="22"/>
          <w:szCs w:val="22"/>
          <w:shd w:val="clear" w:color="auto" w:fill="FFFFFF"/>
        </w:rPr>
        <w:t>, 1-9.</w:t>
      </w:r>
    </w:p>
    <w:p w14:paraId="5ADC604B"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Pattanaik, D. R., Mohapatra, M., Mukhopadhyay, B., &amp; Tyagi, A. (2013). A preliminary study about the prospects of extended range forecast of tropical cyclogenesis over the North Indian Ocean during 2010 post-monsoon season.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64</w:t>
      </w:r>
      <w:r w:rsidRPr="00E44923">
        <w:rPr>
          <w:rFonts w:ascii="Arial" w:hAnsi="Arial" w:cs="Arial"/>
          <w:color w:val="222222"/>
          <w:sz w:val="22"/>
          <w:szCs w:val="22"/>
          <w:shd w:val="clear" w:color="auto" w:fill="FFFFFF"/>
        </w:rPr>
        <w:t>(1), 171-188.</w:t>
      </w:r>
    </w:p>
    <w:p w14:paraId="53670B17"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Lea, A., &amp; Saunders, M. (2015). Extended range forecast for northwest Pacific typhoon activity in 2015. </w:t>
      </w:r>
      <w:r w:rsidRPr="00E44923">
        <w:rPr>
          <w:rFonts w:ascii="Arial" w:hAnsi="Arial" w:cs="Arial"/>
          <w:i/>
          <w:iCs/>
          <w:color w:val="222222"/>
          <w:sz w:val="22"/>
          <w:szCs w:val="22"/>
          <w:shd w:val="clear" w:color="auto" w:fill="FFFFFF"/>
        </w:rPr>
        <w:t>Tropical Storm Risk</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w:t>
      </w:r>
      <w:r w:rsidRPr="00E44923">
        <w:rPr>
          <w:rFonts w:ascii="Arial" w:hAnsi="Arial" w:cs="Arial"/>
          <w:color w:val="222222"/>
          <w:sz w:val="22"/>
          <w:szCs w:val="22"/>
          <w:shd w:val="clear" w:color="auto" w:fill="FFFFFF"/>
        </w:rPr>
        <w:t>.</w:t>
      </w:r>
    </w:p>
    <w:p w14:paraId="33215623"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&amp; Das, A. K. (2015). Prospect of application of extended range forecast in water resource management: a case study over the Mahanadi River basin. </w:t>
      </w:r>
      <w:r w:rsidRPr="00E44923">
        <w:rPr>
          <w:rFonts w:ascii="Arial" w:hAnsi="Arial" w:cs="Arial"/>
          <w:i/>
          <w:iCs/>
          <w:color w:val="222222"/>
          <w:sz w:val="22"/>
          <w:szCs w:val="22"/>
          <w:shd w:val="clear" w:color="auto" w:fill="FFFFFF"/>
        </w:rPr>
        <w:t>Natural Hazards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77</w:t>
      </w:r>
      <w:r w:rsidRPr="00E44923">
        <w:rPr>
          <w:rFonts w:ascii="Arial" w:hAnsi="Arial" w:cs="Arial"/>
          <w:color w:val="222222"/>
          <w:sz w:val="22"/>
          <w:szCs w:val="22"/>
          <w:shd w:val="clear" w:color="auto" w:fill="FFFFFF"/>
        </w:rPr>
        <w:t>(2), 575-595.</w:t>
      </w:r>
    </w:p>
    <w:p w14:paraId="20F23BF5"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&amp; Li, T. (2017). The statistical extended-range (10–30-day) forecast of summer rainfall anomalies over the entire China.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48</w:t>
      </w:r>
      <w:r w:rsidRPr="00E44923">
        <w:rPr>
          <w:rFonts w:ascii="Arial" w:hAnsi="Arial" w:cs="Arial"/>
          <w:color w:val="222222"/>
          <w:sz w:val="22"/>
          <w:szCs w:val="22"/>
          <w:shd w:val="clear" w:color="auto" w:fill="FFFFFF"/>
        </w:rPr>
        <w:t>(1), 209-224.</w:t>
      </w:r>
    </w:p>
    <w:p w14:paraId="07F2E52C"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Gensini</w:t>
      </w:r>
      <w:proofErr w:type="spellEnd"/>
      <w:r w:rsidRPr="00E44923">
        <w:rPr>
          <w:rFonts w:ascii="Arial" w:hAnsi="Arial" w:cs="Arial"/>
          <w:color w:val="222222"/>
          <w:sz w:val="22"/>
          <w:szCs w:val="22"/>
          <w:shd w:val="clear" w:color="auto" w:fill="FFFFFF"/>
        </w:rPr>
        <w:t>, V. A., Gold, D., Allen, J. T., &amp; Barrett, B. S. (2019). Extended US tornado outbreak during late May 2019: A forecast of opportunity.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46</w:t>
      </w:r>
      <w:r w:rsidRPr="00E44923">
        <w:rPr>
          <w:rFonts w:ascii="Arial" w:hAnsi="Arial" w:cs="Arial"/>
          <w:color w:val="222222"/>
          <w:sz w:val="22"/>
          <w:szCs w:val="22"/>
          <w:shd w:val="clear" w:color="auto" w:fill="FFFFFF"/>
        </w:rPr>
        <w:t>(16), 10150-10158.</w:t>
      </w:r>
    </w:p>
    <w:p w14:paraId="0C4E812F"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Gensini</w:t>
      </w:r>
      <w:proofErr w:type="spellEnd"/>
      <w:r w:rsidRPr="00E44923">
        <w:rPr>
          <w:rFonts w:ascii="Arial" w:hAnsi="Arial" w:cs="Arial"/>
          <w:color w:val="222222"/>
          <w:sz w:val="22"/>
          <w:szCs w:val="22"/>
          <w:shd w:val="clear" w:color="auto" w:fill="FFFFFF"/>
        </w:rPr>
        <w:t xml:space="preserve"> VA, Barrett BS, Allen JT, Gold D, </w:t>
      </w:r>
      <w:proofErr w:type="spellStart"/>
      <w:r w:rsidRPr="00E44923">
        <w:rPr>
          <w:rFonts w:ascii="Arial" w:hAnsi="Arial" w:cs="Arial"/>
          <w:color w:val="222222"/>
          <w:sz w:val="22"/>
          <w:szCs w:val="22"/>
          <w:shd w:val="clear" w:color="auto" w:fill="FFFFFF"/>
        </w:rPr>
        <w:t>Sirvatka</w:t>
      </w:r>
      <w:proofErr w:type="spellEnd"/>
      <w:r w:rsidRPr="00E44923">
        <w:rPr>
          <w:rFonts w:ascii="Arial" w:hAnsi="Arial" w:cs="Arial"/>
          <w:color w:val="222222"/>
          <w:sz w:val="22"/>
          <w:szCs w:val="22"/>
          <w:shd w:val="clear" w:color="auto" w:fill="FFFFFF"/>
        </w:rPr>
        <w:t xml:space="preserve"> P. The extended-range tornado activity forecast (ERTAF) project. Bulletin of the American Meteorological Society. 2020 Jun;101(6</w:t>
      </w:r>
      <w:proofErr w:type="gramStart"/>
      <w:r w:rsidRPr="00E44923">
        <w:rPr>
          <w:rFonts w:ascii="Arial" w:hAnsi="Arial" w:cs="Arial"/>
          <w:color w:val="222222"/>
          <w:sz w:val="22"/>
          <w:szCs w:val="22"/>
          <w:shd w:val="clear" w:color="auto" w:fill="FFFFFF"/>
        </w:rPr>
        <w:t>):E</w:t>
      </w:r>
      <w:proofErr w:type="gramEnd"/>
      <w:r w:rsidRPr="00E44923">
        <w:rPr>
          <w:rFonts w:ascii="Arial" w:hAnsi="Arial" w:cs="Arial"/>
          <w:color w:val="222222"/>
          <w:sz w:val="22"/>
          <w:szCs w:val="22"/>
          <w:shd w:val="clear" w:color="auto" w:fill="FFFFFF"/>
        </w:rPr>
        <w:t>700-9.</w:t>
      </w:r>
    </w:p>
    <w:p w14:paraId="3ABEA464"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Wei, X., Yang, Y., &amp; Chen, L. (2021). The extended-range forecast of tropical cyclogenesis over the South China Sea based on the intraseasonal oscillation.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133</w:t>
      </w:r>
      <w:r w:rsidRPr="00E44923">
        <w:rPr>
          <w:rFonts w:ascii="Arial" w:hAnsi="Arial" w:cs="Arial"/>
          <w:color w:val="222222"/>
          <w:sz w:val="22"/>
          <w:szCs w:val="22"/>
          <w:shd w:val="clear" w:color="auto" w:fill="FFFFFF"/>
        </w:rPr>
        <w:t>(5), 1577-1589.</w:t>
      </w:r>
    </w:p>
    <w:p w14:paraId="3EB572A2"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Mohapatra, M., Srivastava, A. K., &amp; Kumar, A. (2017). Heat wave over India during summer 2015: an assessment of real time extended range forecast. Meteorology and Atmospheric Physics, 129(4), 375-393.</w:t>
      </w:r>
    </w:p>
    <w:p w14:paraId="51FB96AE"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&amp; Li, T. (2018). Extended-range forecasting of Chinese summer surface air temperature and heat waves. Climate Dynamics, 50(5), 2007-2021.</w:t>
      </w:r>
    </w:p>
    <w:p w14:paraId="3BD06548"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Mandal, R., Joseph, S., Sahai, A. K., Phani, R., Dey, A., Chattopadhyay, R., &amp; Pattanaik, D. R. (2019). Real time extended range prediction of heat waves over India.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w:t>
      </w:r>
      <w:r w:rsidRPr="00E44923">
        <w:rPr>
          <w:rFonts w:ascii="Arial" w:hAnsi="Arial" w:cs="Arial"/>
          <w:color w:val="222222"/>
          <w:sz w:val="22"/>
          <w:szCs w:val="22"/>
          <w:shd w:val="clear" w:color="auto" w:fill="FFFFFF"/>
        </w:rPr>
        <w:t>(1), 9008.</w:t>
      </w:r>
    </w:p>
    <w:p w14:paraId="44CA4D5A"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Zhang, W., Gao, J., Lai, Q., Chi, Y., &amp; Su, T. (2022). Probabilistic Forecast of the Extended Range Heatwave Over Eastern China. </w:t>
      </w:r>
      <w:r w:rsidRPr="00E44923">
        <w:rPr>
          <w:rFonts w:ascii="Arial" w:hAnsi="Arial" w:cs="Arial"/>
          <w:i/>
          <w:iCs/>
          <w:color w:val="222222"/>
          <w:sz w:val="22"/>
          <w:szCs w:val="22"/>
          <w:shd w:val="clear" w:color="auto" w:fill="FFFFFF"/>
        </w:rPr>
        <w:t>Frontiers in Earth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w:t>
      </w:r>
      <w:r w:rsidRPr="00E44923">
        <w:rPr>
          <w:rFonts w:ascii="Arial" w:hAnsi="Arial" w:cs="Arial"/>
          <w:color w:val="222222"/>
          <w:sz w:val="22"/>
          <w:szCs w:val="22"/>
          <w:shd w:val="clear" w:color="auto" w:fill="FFFFFF"/>
        </w:rPr>
        <w:t>, 810579.</w:t>
      </w:r>
    </w:p>
    <w:p w14:paraId="20065981"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Li, X., Chen, R., &amp; Qiao, Y. (2024). Assessing the extended</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forecast skills of the extreme heat events over South China based on three S2S models. </w:t>
      </w:r>
      <w:r w:rsidRPr="00E44923">
        <w:rPr>
          <w:rFonts w:ascii="Arial" w:hAnsi="Arial" w:cs="Arial"/>
          <w:i/>
          <w:iCs/>
          <w:color w:val="222222"/>
          <w:sz w:val="22"/>
          <w:szCs w:val="22"/>
          <w:shd w:val="clear" w:color="auto" w:fill="FFFFFF"/>
        </w:rPr>
        <w:t>Atmospheric Science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25</w:t>
      </w:r>
      <w:r w:rsidRPr="00E44923">
        <w:rPr>
          <w:rFonts w:ascii="Arial" w:hAnsi="Arial" w:cs="Arial"/>
          <w:color w:val="222222"/>
          <w:sz w:val="22"/>
          <w:szCs w:val="22"/>
          <w:shd w:val="clear" w:color="auto" w:fill="FFFFFF"/>
        </w:rPr>
        <w:t>(9), e1253.</w:t>
      </w:r>
    </w:p>
    <w:p w14:paraId="2EA45B3E"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Li T. Statistical extended</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forecast of winter surface air temperature and extremely cold days over China. Quarterly Journal of the Royal Meteorological Society. 2017 Apr;143(704):1528-38.</w:t>
      </w:r>
    </w:p>
    <w:p w14:paraId="724D27E5" w14:textId="77777777" w:rsidR="002552A7" w:rsidRPr="00E44923" w:rsidRDefault="002552A7" w:rsidP="00A53B65">
      <w:pPr>
        <w:pStyle w:val="ListParagraph"/>
        <w:spacing w:line="360" w:lineRule="auto"/>
        <w:jc w:val="both"/>
        <w:rPr>
          <w:rFonts w:ascii="Arial" w:hAnsi="Arial" w:cs="Arial"/>
          <w:color w:val="222222"/>
          <w:sz w:val="22"/>
          <w:szCs w:val="22"/>
          <w:shd w:val="clear" w:color="auto" w:fill="FFFFFF"/>
        </w:rPr>
      </w:pPr>
    </w:p>
    <w:p w14:paraId="15007C3F"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Baldwin MP, Stephenson DB, Thompson DW, Dunkerton TJ, Charlton AJ, O'Neill A. Stratospheric memory and skill of extended-range weather forecasts. Science. 2003 Aug 1;301(5633):636-40.</w:t>
      </w:r>
    </w:p>
    <w:p w14:paraId="4EAB40B2" w14:textId="77777777" w:rsidR="002552A7" w:rsidRPr="00E44923" w:rsidRDefault="002552A7" w:rsidP="00A53B65">
      <w:pPr>
        <w:pStyle w:val="ListParagraph"/>
        <w:spacing w:line="360" w:lineRule="auto"/>
        <w:jc w:val="both"/>
        <w:rPr>
          <w:rFonts w:ascii="Arial" w:hAnsi="Arial" w:cs="Arial"/>
          <w:color w:val="222222"/>
          <w:sz w:val="22"/>
          <w:szCs w:val="22"/>
          <w:shd w:val="clear" w:color="auto" w:fill="FFFFFF"/>
        </w:rPr>
      </w:pPr>
    </w:p>
    <w:p w14:paraId="1ADDD544"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Day GN. Extended streamflow forecasting using NWSRFS. Journal of Water Resources Planning and Management. 1985 Apr;111(2):157-70.</w:t>
      </w:r>
    </w:p>
    <w:p w14:paraId="4B4B5B0F" w14:textId="77777777" w:rsidR="002552A7" w:rsidRPr="00E44923" w:rsidRDefault="002552A7" w:rsidP="00A53B65">
      <w:pPr>
        <w:pStyle w:val="ListParagraph"/>
        <w:spacing w:line="360" w:lineRule="auto"/>
        <w:jc w:val="both"/>
        <w:rPr>
          <w:rFonts w:ascii="Arial" w:hAnsi="Arial" w:cs="Arial"/>
          <w:color w:val="222222"/>
          <w:sz w:val="22"/>
          <w:szCs w:val="22"/>
          <w:shd w:val="clear" w:color="auto" w:fill="FFFFFF"/>
        </w:rPr>
      </w:pPr>
    </w:p>
    <w:p w14:paraId="24F1219F"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Liu L, Ma Y, </w:t>
      </w:r>
      <w:proofErr w:type="spellStart"/>
      <w:r w:rsidRPr="00E44923">
        <w:rPr>
          <w:rFonts w:ascii="Arial" w:hAnsi="Arial" w:cs="Arial"/>
          <w:color w:val="222222"/>
          <w:sz w:val="22"/>
          <w:szCs w:val="22"/>
          <w:shd w:val="clear" w:color="auto" w:fill="FFFFFF"/>
        </w:rPr>
        <w:t>Menenti</w:t>
      </w:r>
      <w:proofErr w:type="spellEnd"/>
      <w:r w:rsidRPr="00E44923">
        <w:rPr>
          <w:rFonts w:ascii="Arial" w:hAnsi="Arial" w:cs="Arial"/>
          <w:color w:val="222222"/>
          <w:sz w:val="22"/>
          <w:szCs w:val="22"/>
          <w:shd w:val="clear" w:color="auto" w:fill="FFFFFF"/>
        </w:rPr>
        <w:t xml:space="preserve"> M, Zhang X, Ma W. Evaluation of WRF modeling in relation to different land surface schemes and initial and boundary conditions: A snow event simulation over the Tibetan Plateau. Journal of Geophysical Research: Atmospheres. 2019 Jan 16;124(1):209-26.</w:t>
      </w:r>
    </w:p>
    <w:p w14:paraId="51A39C10" w14:textId="77777777" w:rsidR="002552A7" w:rsidRPr="00E44923" w:rsidRDefault="002552A7" w:rsidP="00A53B65">
      <w:pPr>
        <w:pStyle w:val="ListParagraph"/>
        <w:spacing w:line="360" w:lineRule="auto"/>
        <w:jc w:val="both"/>
        <w:rPr>
          <w:rFonts w:ascii="Arial" w:hAnsi="Arial" w:cs="Arial"/>
          <w:color w:val="222222"/>
          <w:sz w:val="22"/>
          <w:szCs w:val="22"/>
          <w:shd w:val="clear" w:color="auto" w:fill="FFFFFF"/>
        </w:rPr>
      </w:pPr>
    </w:p>
    <w:p w14:paraId="0CA700B6"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Padrón, R. S., Zappa, M., Bernhard, L., &amp; Bogner, K. (2024). Extended range forecasting of stream water temperature with deep learning models. </w:t>
      </w:r>
      <w:proofErr w:type="spellStart"/>
      <w:r w:rsidRPr="00E44923">
        <w:rPr>
          <w:rFonts w:ascii="Arial" w:hAnsi="Arial" w:cs="Arial"/>
          <w:i/>
          <w:iCs/>
          <w:color w:val="222222"/>
          <w:sz w:val="22"/>
          <w:szCs w:val="22"/>
          <w:shd w:val="clear" w:color="auto" w:fill="FFFFFF"/>
        </w:rPr>
        <w:t>EGUsphere</w:t>
      </w:r>
      <w:proofErr w:type="spellEnd"/>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2024</w:t>
      </w:r>
      <w:r w:rsidRPr="00E44923">
        <w:rPr>
          <w:rFonts w:ascii="Arial" w:hAnsi="Arial" w:cs="Arial"/>
          <w:color w:val="222222"/>
          <w:sz w:val="22"/>
          <w:szCs w:val="22"/>
          <w:shd w:val="clear" w:color="auto" w:fill="FFFFFF"/>
        </w:rPr>
        <w:t>, 1-27.</w:t>
      </w:r>
    </w:p>
    <w:p w14:paraId="7DD2F2FF"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Liu Y, </w:t>
      </w:r>
      <w:proofErr w:type="spellStart"/>
      <w:r w:rsidRPr="00E44923">
        <w:rPr>
          <w:rFonts w:ascii="Arial" w:hAnsi="Arial" w:cs="Arial"/>
          <w:color w:val="222222"/>
          <w:sz w:val="22"/>
          <w:szCs w:val="22"/>
          <w:shd w:val="clear" w:color="auto" w:fill="FFFFFF"/>
        </w:rPr>
        <w:t>Bogaardt</w:t>
      </w:r>
      <w:proofErr w:type="spellEnd"/>
      <w:r w:rsidRPr="00E44923">
        <w:rPr>
          <w:rFonts w:ascii="Arial" w:hAnsi="Arial" w:cs="Arial"/>
          <w:color w:val="222222"/>
          <w:sz w:val="22"/>
          <w:szCs w:val="22"/>
          <w:shd w:val="clear" w:color="auto" w:fill="FFFFFF"/>
        </w:rPr>
        <w:t xml:space="preserve"> L, </w:t>
      </w:r>
      <w:proofErr w:type="spellStart"/>
      <w:r w:rsidRPr="00E44923">
        <w:rPr>
          <w:rFonts w:ascii="Arial" w:hAnsi="Arial" w:cs="Arial"/>
          <w:color w:val="222222"/>
          <w:sz w:val="22"/>
          <w:szCs w:val="22"/>
          <w:shd w:val="clear" w:color="auto" w:fill="FFFFFF"/>
        </w:rPr>
        <w:t>Attema</w:t>
      </w:r>
      <w:proofErr w:type="spellEnd"/>
      <w:r w:rsidRPr="00E44923">
        <w:rPr>
          <w:rFonts w:ascii="Arial" w:hAnsi="Arial" w:cs="Arial"/>
          <w:color w:val="222222"/>
          <w:sz w:val="22"/>
          <w:szCs w:val="22"/>
          <w:shd w:val="clear" w:color="auto" w:fill="FFFFFF"/>
        </w:rPr>
        <w:t xml:space="preserve"> J, </w:t>
      </w:r>
      <w:proofErr w:type="spellStart"/>
      <w:r w:rsidRPr="00E44923">
        <w:rPr>
          <w:rFonts w:ascii="Arial" w:hAnsi="Arial" w:cs="Arial"/>
          <w:color w:val="222222"/>
          <w:sz w:val="22"/>
          <w:szCs w:val="22"/>
          <w:shd w:val="clear" w:color="auto" w:fill="FFFFFF"/>
        </w:rPr>
        <w:t>Hazeleger</w:t>
      </w:r>
      <w:proofErr w:type="spellEnd"/>
      <w:r w:rsidRPr="00E44923">
        <w:rPr>
          <w:rFonts w:ascii="Arial" w:hAnsi="Arial" w:cs="Arial"/>
          <w:color w:val="222222"/>
          <w:sz w:val="22"/>
          <w:szCs w:val="22"/>
          <w:shd w:val="clear" w:color="auto" w:fill="FFFFFF"/>
        </w:rPr>
        <w:t xml:space="preserve"> W. Extended-range arctic sea ice forecast with convolutional long short-term memory networks. Monthly Weather Review. 2021 Jun;149(6):1673-93.</w:t>
      </w:r>
    </w:p>
    <w:p w14:paraId="20C11946"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Karpechko</w:t>
      </w:r>
      <w:proofErr w:type="spellEnd"/>
      <w:r w:rsidRPr="00E44923">
        <w:rPr>
          <w:rFonts w:ascii="Arial" w:hAnsi="Arial" w:cs="Arial"/>
          <w:color w:val="222222"/>
          <w:sz w:val="22"/>
          <w:szCs w:val="22"/>
          <w:shd w:val="clear" w:color="auto" w:fill="FFFFFF"/>
        </w:rPr>
        <w:t xml:space="preserve"> AY. Predictability of sudden stratospheric warmings in the ECMWF extended-range forecast system. Monthly Weather Review. 2018 Apr;146(4):1063-75.</w:t>
      </w:r>
    </w:p>
    <w:p w14:paraId="2AF356FE" w14:textId="77777777" w:rsidR="002552A7" w:rsidRPr="00E44923" w:rsidRDefault="002552A7" w:rsidP="00A53B65">
      <w:pPr>
        <w:pStyle w:val="ListParagraph"/>
        <w:spacing w:line="360" w:lineRule="auto"/>
        <w:jc w:val="both"/>
        <w:rPr>
          <w:rFonts w:ascii="Arial" w:hAnsi="Arial" w:cs="Arial"/>
          <w:color w:val="222222"/>
          <w:sz w:val="22"/>
          <w:szCs w:val="22"/>
          <w:shd w:val="clear" w:color="auto" w:fill="FFFFFF"/>
        </w:rPr>
      </w:pPr>
    </w:p>
    <w:p w14:paraId="545D097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Yu, Z., Ma, J., Qu, Y., Pan, L., &amp; Wan, S. (2023). PM2. 5 extended-range </w:t>
      </w:r>
      <w:proofErr w:type="gramStart"/>
      <w:r w:rsidRPr="00E44923">
        <w:rPr>
          <w:rFonts w:ascii="Arial" w:hAnsi="Arial" w:cs="Arial"/>
          <w:color w:val="222222"/>
          <w:sz w:val="22"/>
          <w:szCs w:val="22"/>
          <w:shd w:val="clear" w:color="auto" w:fill="FFFFFF"/>
        </w:rPr>
        <w:t>forecast</w:t>
      </w:r>
      <w:proofErr w:type="gramEnd"/>
      <w:r w:rsidRPr="00E44923">
        <w:rPr>
          <w:rFonts w:ascii="Arial" w:hAnsi="Arial" w:cs="Arial"/>
          <w:color w:val="222222"/>
          <w:sz w:val="22"/>
          <w:szCs w:val="22"/>
          <w:shd w:val="clear" w:color="auto" w:fill="FFFFFF"/>
        </w:rPr>
        <w:t xml:space="preserve"> based on MJO and S2S using </w:t>
      </w:r>
      <w:proofErr w:type="spellStart"/>
      <w:r w:rsidRPr="00E44923">
        <w:rPr>
          <w:rFonts w:ascii="Arial" w:hAnsi="Arial" w:cs="Arial"/>
          <w:color w:val="222222"/>
          <w:sz w:val="22"/>
          <w:szCs w:val="22"/>
          <w:shd w:val="clear" w:color="auto" w:fill="FFFFFF"/>
        </w:rPr>
        <w:t>LightGBM</w:t>
      </w:r>
      <w:proofErr w:type="spellEnd"/>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Science of The Total Environment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880</w:t>
      </w:r>
      <w:r w:rsidRPr="00E44923">
        <w:rPr>
          <w:rFonts w:ascii="Arial" w:hAnsi="Arial" w:cs="Arial"/>
          <w:color w:val="222222"/>
          <w:sz w:val="22"/>
          <w:szCs w:val="22"/>
          <w:shd w:val="clear" w:color="auto" w:fill="FFFFFF"/>
        </w:rPr>
        <w:t>, 163358.</w:t>
      </w:r>
    </w:p>
    <w:p w14:paraId="1041071B"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Ghosh, K., Singh, A., Mohanty, U. C., Acharya, N., Pal, R. K., Singh, K. K., &amp; </w:t>
      </w:r>
      <w:proofErr w:type="spellStart"/>
      <w:r w:rsidRPr="00E44923">
        <w:rPr>
          <w:rFonts w:ascii="Arial" w:hAnsi="Arial" w:cs="Arial"/>
          <w:color w:val="222222"/>
          <w:sz w:val="22"/>
          <w:szCs w:val="22"/>
          <w:shd w:val="clear" w:color="auto" w:fill="FFFFFF"/>
        </w:rPr>
        <w:t>Pasupalak</w:t>
      </w:r>
      <w:proofErr w:type="spellEnd"/>
      <w:r w:rsidRPr="00E44923">
        <w:rPr>
          <w:rFonts w:ascii="Arial" w:hAnsi="Arial" w:cs="Arial"/>
          <w:color w:val="222222"/>
          <w:sz w:val="22"/>
          <w:szCs w:val="22"/>
          <w:shd w:val="clear" w:color="auto" w:fill="FFFFFF"/>
        </w:rPr>
        <w:t>, S. (2015). Development of a rice yield prediction system over Bhubaneswar, India: combination of extended range forecast and CERES</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rice model.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w:t>
      </w:r>
      <w:r w:rsidRPr="00E44923">
        <w:rPr>
          <w:rFonts w:ascii="Arial" w:hAnsi="Arial" w:cs="Arial"/>
          <w:color w:val="222222"/>
          <w:sz w:val="22"/>
          <w:szCs w:val="22"/>
          <w:shd w:val="clear" w:color="auto" w:fill="FFFFFF"/>
        </w:rPr>
        <w:t>(3), 525-533.</w:t>
      </w:r>
    </w:p>
    <w:p w14:paraId="29BA475D"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Akhter, J., Mandal, R., Chattopadhyay, R., Joseph, S., Dey, A., </w:t>
      </w:r>
      <w:proofErr w:type="spellStart"/>
      <w:r w:rsidRPr="00E44923">
        <w:rPr>
          <w:rFonts w:ascii="Arial" w:hAnsi="Arial" w:cs="Arial"/>
          <w:color w:val="222222"/>
          <w:sz w:val="22"/>
          <w:szCs w:val="22"/>
          <w:shd w:val="clear" w:color="auto" w:fill="FFFFFF"/>
        </w:rPr>
        <w:t>Nageswararao</w:t>
      </w:r>
      <w:proofErr w:type="spellEnd"/>
      <w:r w:rsidRPr="00E44923">
        <w:rPr>
          <w:rFonts w:ascii="Arial" w:hAnsi="Arial" w:cs="Arial"/>
          <w:color w:val="222222"/>
          <w:sz w:val="22"/>
          <w:szCs w:val="22"/>
          <w:shd w:val="clear" w:color="auto" w:fill="FFFFFF"/>
        </w:rPr>
        <w:t>, M. M., ... &amp; Sahai, A. K. (2021). Kharif rice yield prediction over Gangetic West Bengal using IITM-IMD extended range forecast products.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145</w:t>
      </w:r>
      <w:r w:rsidRPr="00E44923">
        <w:rPr>
          <w:rFonts w:ascii="Arial" w:hAnsi="Arial" w:cs="Arial"/>
          <w:color w:val="222222"/>
          <w:sz w:val="22"/>
          <w:szCs w:val="22"/>
          <w:shd w:val="clear" w:color="auto" w:fill="FFFFFF"/>
        </w:rPr>
        <w:t>(3), 1089-1100.</w:t>
      </w:r>
    </w:p>
    <w:p w14:paraId="6A50893C"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Dhekale</w:t>
      </w:r>
      <w:proofErr w:type="spellEnd"/>
      <w:r w:rsidRPr="00E44923">
        <w:rPr>
          <w:rFonts w:ascii="Arial" w:hAnsi="Arial" w:cs="Arial"/>
          <w:color w:val="222222"/>
          <w:sz w:val="22"/>
          <w:szCs w:val="22"/>
          <w:shd w:val="clear" w:color="auto" w:fill="FFFFFF"/>
        </w:rPr>
        <w:t xml:space="preserve">, B. S., </w:t>
      </w:r>
      <w:proofErr w:type="spellStart"/>
      <w:r w:rsidRPr="00E44923">
        <w:rPr>
          <w:rFonts w:ascii="Arial" w:hAnsi="Arial" w:cs="Arial"/>
          <w:color w:val="222222"/>
          <w:sz w:val="22"/>
          <w:szCs w:val="22"/>
          <w:shd w:val="clear" w:color="auto" w:fill="FFFFFF"/>
        </w:rPr>
        <w:t>Nageswararao</w:t>
      </w:r>
      <w:proofErr w:type="spellEnd"/>
      <w:r w:rsidRPr="00E44923">
        <w:rPr>
          <w:rFonts w:ascii="Arial" w:hAnsi="Arial" w:cs="Arial"/>
          <w:color w:val="222222"/>
          <w:sz w:val="22"/>
          <w:szCs w:val="22"/>
          <w:shd w:val="clear" w:color="auto" w:fill="FFFFFF"/>
        </w:rPr>
        <w:t xml:space="preserve">, M. M., Nair, A., Mohanty, U. C., Swain, D. K., Singh, K. K., &amp; </w:t>
      </w:r>
      <w:proofErr w:type="spellStart"/>
      <w:r w:rsidRPr="00E44923">
        <w:rPr>
          <w:rFonts w:ascii="Arial" w:hAnsi="Arial" w:cs="Arial"/>
          <w:color w:val="222222"/>
          <w:sz w:val="22"/>
          <w:szCs w:val="22"/>
          <w:shd w:val="clear" w:color="auto" w:fill="FFFFFF"/>
        </w:rPr>
        <w:t>Arunbabu</w:t>
      </w:r>
      <w:proofErr w:type="spellEnd"/>
      <w:r w:rsidRPr="00E44923">
        <w:rPr>
          <w:rFonts w:ascii="Arial" w:hAnsi="Arial" w:cs="Arial"/>
          <w:color w:val="222222"/>
          <w:sz w:val="22"/>
          <w:szCs w:val="22"/>
          <w:shd w:val="clear" w:color="auto" w:fill="FFFFFF"/>
        </w:rPr>
        <w:t>, T. (2018). Prediction of kharif rice yield at Kharagpur using disaggregated extended range rainfall forecasts.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133</w:t>
      </w:r>
      <w:r w:rsidRPr="00E44923">
        <w:rPr>
          <w:rFonts w:ascii="Arial" w:hAnsi="Arial" w:cs="Arial"/>
          <w:color w:val="222222"/>
          <w:sz w:val="22"/>
          <w:szCs w:val="22"/>
          <w:shd w:val="clear" w:color="auto" w:fill="FFFFFF"/>
        </w:rPr>
        <w:t>(3), 1075-1091.</w:t>
      </w:r>
    </w:p>
    <w:p w14:paraId="2EADA375"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Pattanaik DR. Meteorological subdivisional-level extended range forecast over India during southwest monsoon 2012. Meteorology and Atmospheric Physics. 2014 </w:t>
      </w:r>
      <w:proofErr w:type="gramStart"/>
      <w:r w:rsidRPr="00E44923">
        <w:rPr>
          <w:rFonts w:ascii="Arial" w:hAnsi="Arial" w:cs="Arial"/>
          <w:color w:val="222222"/>
          <w:sz w:val="22"/>
          <w:szCs w:val="22"/>
          <w:shd w:val="clear" w:color="auto" w:fill="FFFFFF"/>
        </w:rPr>
        <w:t>May;124:167</w:t>
      </w:r>
      <w:proofErr w:type="gramEnd"/>
      <w:r w:rsidRPr="00E44923">
        <w:rPr>
          <w:rFonts w:ascii="Arial" w:hAnsi="Arial" w:cs="Arial"/>
          <w:color w:val="222222"/>
          <w:sz w:val="22"/>
          <w:szCs w:val="22"/>
          <w:shd w:val="clear" w:color="auto" w:fill="FFFFFF"/>
        </w:rPr>
        <w:t>-82.</w:t>
      </w:r>
    </w:p>
    <w:p w14:paraId="56647F1E"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Mandal, R., Phani, R., Dey, A., Chattopadhyay, R., Joseph, S., ... &amp; Mohapatra, M. (2021). Large-scale features associated with excess monsoon rainfall over India during 2019 and the real-time extended range forecast.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133</w:t>
      </w:r>
      <w:r w:rsidRPr="00E44923">
        <w:rPr>
          <w:rFonts w:ascii="Arial" w:hAnsi="Arial" w:cs="Arial"/>
          <w:color w:val="222222"/>
          <w:sz w:val="22"/>
          <w:szCs w:val="22"/>
          <w:shd w:val="clear" w:color="auto" w:fill="FFFFFF"/>
        </w:rPr>
        <w:t>(4), 1275-1297.</w:t>
      </w:r>
    </w:p>
    <w:p w14:paraId="686D83E7" w14:textId="77777777" w:rsidR="002552A7" w:rsidRPr="00E44923" w:rsidRDefault="002552A7" w:rsidP="00A53B65">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Abhilash, S., Chattopadhyay, R., Joseph, S., Sharmila, S., &amp; Kumar, A. (2015). An assessment of real-time extended range forecast of 2013 Indian summer monsoon.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(10).</w:t>
      </w:r>
    </w:p>
    <w:p w14:paraId="4C6A253C"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Raghav P, Borkotoky SS, Joseph J, Chattopadhyay R, Sahai AK, Ghosh S. Revamping extended range forecast of Indian summer monsoon. Climate Dynamics. 2020 </w:t>
      </w:r>
      <w:proofErr w:type="gramStart"/>
      <w:r w:rsidRPr="00E44923">
        <w:rPr>
          <w:rFonts w:ascii="Arial" w:hAnsi="Arial" w:cs="Arial"/>
          <w:color w:val="222222"/>
          <w:sz w:val="22"/>
          <w:szCs w:val="22"/>
          <w:shd w:val="clear" w:color="auto" w:fill="FFFFFF"/>
        </w:rPr>
        <w:t>Dec;55:3397</w:t>
      </w:r>
      <w:proofErr w:type="gramEnd"/>
      <w:r w:rsidRPr="00E44923">
        <w:rPr>
          <w:rFonts w:ascii="Arial" w:hAnsi="Arial" w:cs="Arial"/>
          <w:color w:val="222222"/>
          <w:sz w:val="22"/>
          <w:szCs w:val="22"/>
          <w:shd w:val="clear" w:color="auto" w:fill="FFFFFF"/>
        </w:rPr>
        <w:t>-411.</w:t>
      </w:r>
    </w:p>
    <w:p w14:paraId="1F23535A" w14:textId="77777777" w:rsidR="002552A7" w:rsidRPr="00E44923" w:rsidRDefault="002552A7" w:rsidP="00A53B65">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DR, Mohapatra M. Active northeast monsoon over India during 2015–an assessment of real-time extended range forecast. Current Science. 2017 Jun 10:2253-62.</w:t>
      </w:r>
    </w:p>
    <w:p w14:paraId="29417465" w14:textId="77777777" w:rsidR="002552A7" w:rsidRPr="00E44923" w:rsidRDefault="002552A7" w:rsidP="00A53B65">
      <w:pPr>
        <w:spacing w:line="360" w:lineRule="auto"/>
        <w:jc w:val="both"/>
        <w:rPr>
          <w:rFonts w:ascii="Arial" w:hAnsi="Arial" w:cs="Arial"/>
          <w:color w:val="222222"/>
          <w:szCs w:val="22"/>
          <w:shd w:val="clear" w:color="auto" w:fill="FFFFFF"/>
        </w:rPr>
      </w:pPr>
    </w:p>
    <w:p w14:paraId="147FE9F5" w14:textId="77777777" w:rsidR="002552A7" w:rsidRPr="00E44923" w:rsidRDefault="002552A7" w:rsidP="00A53B65">
      <w:pPr>
        <w:spacing w:line="360" w:lineRule="auto"/>
        <w:rPr>
          <w:rFonts w:ascii="Arial" w:hAnsi="Arial" w:cs="Arial"/>
          <w:color w:val="0D0D0D" w:themeColor="text1" w:themeTint="F2"/>
          <w:szCs w:val="22"/>
        </w:rPr>
      </w:pPr>
    </w:p>
    <w:sectPr w:rsidR="002552A7" w:rsidRPr="00E44923" w:rsidSect="00E64F09">
      <w:type w:val="nextPage"/>
      <w:pgSz w:w="11906" w:h="16838"/>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D5E30" w14:textId="77777777" w:rsidR="00F6615F" w:rsidRDefault="00F6615F" w:rsidP="00E64F09">
      <w:pPr>
        <w:spacing w:after="0" w:line="240" w:lineRule="auto"/>
      </w:pPr>
      <w:r>
        <w:separator/>
      </w:r>
    </w:p>
  </w:endnote>
  <w:endnote w:type="continuationSeparator" w:id="0">
    <w:p w14:paraId="245667D3" w14:textId="77777777" w:rsidR="00F6615F" w:rsidRDefault="00F6615F" w:rsidP="00E6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OpenSymbol">
    <w:altName w:val="Cambria"/>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731BD" w14:textId="77777777" w:rsidR="00E64F09" w:rsidRDefault="00E64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391C" w14:textId="77777777" w:rsidR="00E64F09" w:rsidRDefault="00E64F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8713" w14:textId="77777777" w:rsidR="00E64F09" w:rsidRDefault="00E64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F8C6D" w14:textId="77777777" w:rsidR="00F6615F" w:rsidRDefault="00F6615F" w:rsidP="00E64F09">
      <w:pPr>
        <w:spacing w:after="0" w:line="240" w:lineRule="auto"/>
      </w:pPr>
      <w:r>
        <w:separator/>
      </w:r>
    </w:p>
  </w:footnote>
  <w:footnote w:type="continuationSeparator" w:id="0">
    <w:p w14:paraId="3E732A8B" w14:textId="77777777" w:rsidR="00F6615F" w:rsidRDefault="00F6615F" w:rsidP="00E6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D39AA" w14:textId="6430D7EE" w:rsidR="00E64F09" w:rsidRDefault="00E64F09">
    <w:pPr>
      <w:pStyle w:val="Header"/>
    </w:pPr>
    <w:r>
      <w:rPr>
        <w:noProof/>
      </w:rPr>
      <w:pict w14:anchorId="4C2C8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82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3845" w14:textId="3B979D6B" w:rsidR="00E64F09" w:rsidRDefault="00E64F09">
    <w:pPr>
      <w:pStyle w:val="Header"/>
    </w:pPr>
    <w:r>
      <w:rPr>
        <w:noProof/>
      </w:rPr>
      <w:pict w14:anchorId="4E01F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82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51719" w14:textId="2D994ECD" w:rsidR="00E64F09" w:rsidRDefault="00E64F09">
    <w:pPr>
      <w:pStyle w:val="Header"/>
    </w:pPr>
    <w:r>
      <w:rPr>
        <w:noProof/>
      </w:rPr>
      <w:pict w14:anchorId="1D85B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82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4BC"/>
    <w:multiLevelType w:val="multilevel"/>
    <w:tmpl w:val="3DD695B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023B2FEE"/>
    <w:multiLevelType w:val="hybridMultilevel"/>
    <w:tmpl w:val="0E2C22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0E67B1"/>
    <w:multiLevelType w:val="hybridMultilevel"/>
    <w:tmpl w:val="955C4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3262F"/>
    <w:multiLevelType w:val="hybridMultilevel"/>
    <w:tmpl w:val="2A8CCB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AF02AC"/>
    <w:multiLevelType w:val="hybridMultilevel"/>
    <w:tmpl w:val="818086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EE592F"/>
    <w:multiLevelType w:val="hybridMultilevel"/>
    <w:tmpl w:val="3AB81A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41820A6"/>
    <w:multiLevelType w:val="multilevel"/>
    <w:tmpl w:val="5EA2E5D6"/>
    <w:lvl w:ilvl="0">
      <w:start w:val="2"/>
      <w:numFmt w:val="decimal"/>
      <w:lvlText w:val="%1."/>
      <w:lvlJc w:val="left"/>
      <w:pPr>
        <w:tabs>
          <w:tab w:val="num" w:pos="0"/>
        </w:tabs>
        <w:ind w:left="72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15:restartNumberingAfterBreak="0">
    <w:nsid w:val="57F17D45"/>
    <w:multiLevelType w:val="hybridMultilevel"/>
    <w:tmpl w:val="04B6228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06625"/>
    <w:multiLevelType w:val="multilevel"/>
    <w:tmpl w:val="BD5887D0"/>
    <w:lvl w:ilvl="0">
      <w:start w:val="12"/>
      <w:numFmt w:val="decimal"/>
      <w:lvlText w:val="%1"/>
      <w:lvlJc w:val="left"/>
      <w:pPr>
        <w:tabs>
          <w:tab w:val="num" w:pos="0"/>
        </w:tabs>
        <w:ind w:left="600" w:hanging="600"/>
      </w:pPr>
    </w:lvl>
    <w:lvl w:ilvl="1">
      <w:start w:val="3"/>
      <w:numFmt w:val="decimal"/>
      <w:lvlText w:val="%1.%2"/>
      <w:lvlJc w:val="left"/>
      <w:pPr>
        <w:tabs>
          <w:tab w:val="num" w:pos="0"/>
        </w:tabs>
        <w:ind w:left="810" w:hanging="600"/>
      </w:pPr>
    </w:lvl>
    <w:lvl w:ilvl="2">
      <w:start w:val="1"/>
      <w:numFmt w:val="decimal"/>
      <w:lvlText w:val="%1.%2.%3"/>
      <w:lvlJc w:val="left"/>
      <w:pPr>
        <w:tabs>
          <w:tab w:val="num" w:pos="0"/>
        </w:tabs>
        <w:ind w:left="1140" w:hanging="720"/>
      </w:pPr>
    </w:lvl>
    <w:lvl w:ilvl="3">
      <w:start w:val="1"/>
      <w:numFmt w:val="decimal"/>
      <w:lvlText w:val="%1.%2.%3.%4"/>
      <w:lvlJc w:val="left"/>
      <w:pPr>
        <w:tabs>
          <w:tab w:val="num" w:pos="0"/>
        </w:tabs>
        <w:ind w:left="1350" w:hanging="720"/>
      </w:pPr>
    </w:lvl>
    <w:lvl w:ilvl="4">
      <w:start w:val="1"/>
      <w:numFmt w:val="decimal"/>
      <w:lvlText w:val="%1.%2.%3.%4.%5"/>
      <w:lvlJc w:val="left"/>
      <w:pPr>
        <w:tabs>
          <w:tab w:val="num" w:pos="0"/>
        </w:tabs>
        <w:ind w:left="1920" w:hanging="1080"/>
      </w:pPr>
    </w:lvl>
    <w:lvl w:ilvl="5">
      <w:start w:val="1"/>
      <w:numFmt w:val="decimal"/>
      <w:lvlText w:val="%1.%2.%3.%4.%5.%6"/>
      <w:lvlJc w:val="left"/>
      <w:pPr>
        <w:tabs>
          <w:tab w:val="num" w:pos="0"/>
        </w:tabs>
        <w:ind w:left="2130" w:hanging="1080"/>
      </w:pPr>
    </w:lvl>
    <w:lvl w:ilvl="6">
      <w:start w:val="1"/>
      <w:numFmt w:val="decimal"/>
      <w:lvlText w:val="%1.%2.%3.%4.%5.%6.%7"/>
      <w:lvlJc w:val="left"/>
      <w:pPr>
        <w:tabs>
          <w:tab w:val="num" w:pos="0"/>
        </w:tabs>
        <w:ind w:left="2700" w:hanging="1440"/>
      </w:pPr>
    </w:lvl>
    <w:lvl w:ilvl="7">
      <w:start w:val="1"/>
      <w:numFmt w:val="decimal"/>
      <w:lvlText w:val="%1.%2.%3.%4.%5.%6.%7.%8"/>
      <w:lvlJc w:val="left"/>
      <w:pPr>
        <w:tabs>
          <w:tab w:val="num" w:pos="0"/>
        </w:tabs>
        <w:ind w:left="2910" w:hanging="1440"/>
      </w:pPr>
    </w:lvl>
    <w:lvl w:ilvl="8">
      <w:start w:val="1"/>
      <w:numFmt w:val="decimal"/>
      <w:lvlText w:val="%1.%2.%3.%4.%5.%6.%7.%8.%9"/>
      <w:lvlJc w:val="left"/>
      <w:pPr>
        <w:tabs>
          <w:tab w:val="num" w:pos="0"/>
        </w:tabs>
        <w:ind w:left="3480" w:hanging="1800"/>
      </w:pPr>
    </w:lvl>
  </w:abstractNum>
  <w:abstractNum w:abstractNumId="9" w15:restartNumberingAfterBreak="0">
    <w:nsid w:val="6EE067E6"/>
    <w:multiLevelType w:val="multilevel"/>
    <w:tmpl w:val="613CD0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74E4C85"/>
    <w:multiLevelType w:val="multilevel"/>
    <w:tmpl w:val="A1D625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BB81EFF"/>
    <w:multiLevelType w:val="hybridMultilevel"/>
    <w:tmpl w:val="7F78AC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503FCC"/>
    <w:multiLevelType w:val="hybridMultilevel"/>
    <w:tmpl w:val="84E0EF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8"/>
  </w:num>
  <w:num w:numId="5">
    <w:abstractNumId w:val="9"/>
  </w:num>
  <w:num w:numId="6">
    <w:abstractNumId w:val="11"/>
  </w:num>
  <w:num w:numId="7">
    <w:abstractNumId w:val="12"/>
  </w:num>
  <w:num w:numId="8">
    <w:abstractNumId w:val="1"/>
  </w:num>
  <w:num w:numId="9">
    <w:abstractNumId w:val="4"/>
  </w:num>
  <w:num w:numId="10">
    <w:abstractNumId w:val="3"/>
  </w:num>
  <w:num w:numId="11">
    <w:abstractNumId w:val="5"/>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10"/>
    <w:rsid w:val="000030BA"/>
    <w:rsid w:val="0000685E"/>
    <w:rsid w:val="00007BE2"/>
    <w:rsid w:val="00024305"/>
    <w:rsid w:val="00044137"/>
    <w:rsid w:val="000447BD"/>
    <w:rsid w:val="000614A3"/>
    <w:rsid w:val="00061AA6"/>
    <w:rsid w:val="00070E1A"/>
    <w:rsid w:val="00080FDB"/>
    <w:rsid w:val="0008320F"/>
    <w:rsid w:val="00091E60"/>
    <w:rsid w:val="000A7DB6"/>
    <w:rsid w:val="000B5A9F"/>
    <w:rsid w:val="000F4F0C"/>
    <w:rsid w:val="00100E4B"/>
    <w:rsid w:val="00106D85"/>
    <w:rsid w:val="00122254"/>
    <w:rsid w:val="00150540"/>
    <w:rsid w:val="00150B57"/>
    <w:rsid w:val="00155861"/>
    <w:rsid w:val="00163D9A"/>
    <w:rsid w:val="00181E9D"/>
    <w:rsid w:val="001874C7"/>
    <w:rsid w:val="001B7DF2"/>
    <w:rsid w:val="001D7B04"/>
    <w:rsid w:val="001E3820"/>
    <w:rsid w:val="001F2E2D"/>
    <w:rsid w:val="001F773A"/>
    <w:rsid w:val="00201D6E"/>
    <w:rsid w:val="0020760B"/>
    <w:rsid w:val="002307E5"/>
    <w:rsid w:val="0023550E"/>
    <w:rsid w:val="00237507"/>
    <w:rsid w:val="002439A9"/>
    <w:rsid w:val="002456A5"/>
    <w:rsid w:val="00246CA2"/>
    <w:rsid w:val="00246FC1"/>
    <w:rsid w:val="002552A7"/>
    <w:rsid w:val="0026302F"/>
    <w:rsid w:val="00276EEB"/>
    <w:rsid w:val="002931B6"/>
    <w:rsid w:val="002946C7"/>
    <w:rsid w:val="00296EDB"/>
    <w:rsid w:val="002A5FF0"/>
    <w:rsid w:val="002A6CF4"/>
    <w:rsid w:val="002A7C57"/>
    <w:rsid w:val="002B180D"/>
    <w:rsid w:val="002B5180"/>
    <w:rsid w:val="002C79F5"/>
    <w:rsid w:val="002D07DE"/>
    <w:rsid w:val="002D14F2"/>
    <w:rsid w:val="002E304E"/>
    <w:rsid w:val="002F519B"/>
    <w:rsid w:val="002F6164"/>
    <w:rsid w:val="003076B3"/>
    <w:rsid w:val="00314C0B"/>
    <w:rsid w:val="00316A11"/>
    <w:rsid w:val="003413B5"/>
    <w:rsid w:val="00343C02"/>
    <w:rsid w:val="00353EF0"/>
    <w:rsid w:val="00356297"/>
    <w:rsid w:val="00371C7B"/>
    <w:rsid w:val="00373310"/>
    <w:rsid w:val="00376D94"/>
    <w:rsid w:val="00391039"/>
    <w:rsid w:val="003976F9"/>
    <w:rsid w:val="003A5806"/>
    <w:rsid w:val="003A5B8B"/>
    <w:rsid w:val="003B2C09"/>
    <w:rsid w:val="004066F4"/>
    <w:rsid w:val="0041143B"/>
    <w:rsid w:val="004201C8"/>
    <w:rsid w:val="00432669"/>
    <w:rsid w:val="004463A8"/>
    <w:rsid w:val="004502AF"/>
    <w:rsid w:val="00480771"/>
    <w:rsid w:val="00493DC0"/>
    <w:rsid w:val="004A2406"/>
    <w:rsid w:val="004B20F5"/>
    <w:rsid w:val="004C0127"/>
    <w:rsid w:val="004C5290"/>
    <w:rsid w:val="004F6124"/>
    <w:rsid w:val="0050101B"/>
    <w:rsid w:val="00505AB9"/>
    <w:rsid w:val="00514888"/>
    <w:rsid w:val="00520F39"/>
    <w:rsid w:val="00522ED8"/>
    <w:rsid w:val="00530597"/>
    <w:rsid w:val="00544034"/>
    <w:rsid w:val="0055487F"/>
    <w:rsid w:val="005617D1"/>
    <w:rsid w:val="005971F6"/>
    <w:rsid w:val="005B107C"/>
    <w:rsid w:val="005B133C"/>
    <w:rsid w:val="005B7FD6"/>
    <w:rsid w:val="005C4EDB"/>
    <w:rsid w:val="005D1E0A"/>
    <w:rsid w:val="005D3474"/>
    <w:rsid w:val="005E777C"/>
    <w:rsid w:val="00602101"/>
    <w:rsid w:val="00603FEB"/>
    <w:rsid w:val="006207D7"/>
    <w:rsid w:val="0063057B"/>
    <w:rsid w:val="00630724"/>
    <w:rsid w:val="00631B55"/>
    <w:rsid w:val="00633FC8"/>
    <w:rsid w:val="00646D08"/>
    <w:rsid w:val="006A000E"/>
    <w:rsid w:val="006D0FF2"/>
    <w:rsid w:val="006D1AD0"/>
    <w:rsid w:val="00713BC1"/>
    <w:rsid w:val="00714130"/>
    <w:rsid w:val="007205A4"/>
    <w:rsid w:val="00723083"/>
    <w:rsid w:val="007379C8"/>
    <w:rsid w:val="00761ED1"/>
    <w:rsid w:val="00767E3B"/>
    <w:rsid w:val="00774D0E"/>
    <w:rsid w:val="00777190"/>
    <w:rsid w:val="0079191E"/>
    <w:rsid w:val="00794E1F"/>
    <w:rsid w:val="007955F1"/>
    <w:rsid w:val="007A08C1"/>
    <w:rsid w:val="007A1C08"/>
    <w:rsid w:val="007B41F5"/>
    <w:rsid w:val="007C1EB2"/>
    <w:rsid w:val="007E0B7F"/>
    <w:rsid w:val="007E440F"/>
    <w:rsid w:val="007F0587"/>
    <w:rsid w:val="007F3AF6"/>
    <w:rsid w:val="00804B21"/>
    <w:rsid w:val="0082311E"/>
    <w:rsid w:val="00827EAE"/>
    <w:rsid w:val="00853C0E"/>
    <w:rsid w:val="00881B20"/>
    <w:rsid w:val="008828F2"/>
    <w:rsid w:val="0088570A"/>
    <w:rsid w:val="00886B90"/>
    <w:rsid w:val="0089042D"/>
    <w:rsid w:val="0089193E"/>
    <w:rsid w:val="008A0C58"/>
    <w:rsid w:val="008A1C9A"/>
    <w:rsid w:val="008A2EE5"/>
    <w:rsid w:val="008A6EF6"/>
    <w:rsid w:val="008B2164"/>
    <w:rsid w:val="008B78F0"/>
    <w:rsid w:val="008C1CA3"/>
    <w:rsid w:val="008D0500"/>
    <w:rsid w:val="008E2B8B"/>
    <w:rsid w:val="008E3A36"/>
    <w:rsid w:val="008E6699"/>
    <w:rsid w:val="008F5E19"/>
    <w:rsid w:val="0090294A"/>
    <w:rsid w:val="00903977"/>
    <w:rsid w:val="00923E65"/>
    <w:rsid w:val="00924DDC"/>
    <w:rsid w:val="00925F4B"/>
    <w:rsid w:val="00926C4F"/>
    <w:rsid w:val="00933141"/>
    <w:rsid w:val="00934487"/>
    <w:rsid w:val="00941680"/>
    <w:rsid w:val="0094267A"/>
    <w:rsid w:val="009446D6"/>
    <w:rsid w:val="009452CC"/>
    <w:rsid w:val="00980646"/>
    <w:rsid w:val="00981611"/>
    <w:rsid w:val="00983B74"/>
    <w:rsid w:val="00983D39"/>
    <w:rsid w:val="009A77AF"/>
    <w:rsid w:val="009B6BD6"/>
    <w:rsid w:val="009C002E"/>
    <w:rsid w:val="009C3AE3"/>
    <w:rsid w:val="009D65B8"/>
    <w:rsid w:val="009E55E0"/>
    <w:rsid w:val="00A140A7"/>
    <w:rsid w:val="00A2700C"/>
    <w:rsid w:val="00A53B65"/>
    <w:rsid w:val="00A572BE"/>
    <w:rsid w:val="00A723B5"/>
    <w:rsid w:val="00A745A5"/>
    <w:rsid w:val="00A843E4"/>
    <w:rsid w:val="00AB2522"/>
    <w:rsid w:val="00AD6B0D"/>
    <w:rsid w:val="00AE0D95"/>
    <w:rsid w:val="00AE2964"/>
    <w:rsid w:val="00AE7515"/>
    <w:rsid w:val="00B02FFF"/>
    <w:rsid w:val="00B069B4"/>
    <w:rsid w:val="00B25F0B"/>
    <w:rsid w:val="00B30174"/>
    <w:rsid w:val="00B31FDB"/>
    <w:rsid w:val="00B33ECA"/>
    <w:rsid w:val="00B36E91"/>
    <w:rsid w:val="00B478EE"/>
    <w:rsid w:val="00B507D8"/>
    <w:rsid w:val="00B54E2C"/>
    <w:rsid w:val="00B74EB2"/>
    <w:rsid w:val="00B75754"/>
    <w:rsid w:val="00B812D0"/>
    <w:rsid w:val="00B85801"/>
    <w:rsid w:val="00B91414"/>
    <w:rsid w:val="00B96259"/>
    <w:rsid w:val="00BA0B83"/>
    <w:rsid w:val="00BA72B1"/>
    <w:rsid w:val="00BD5F4D"/>
    <w:rsid w:val="00C03892"/>
    <w:rsid w:val="00C2223F"/>
    <w:rsid w:val="00C308D0"/>
    <w:rsid w:val="00C60DF0"/>
    <w:rsid w:val="00C61CA2"/>
    <w:rsid w:val="00C6322F"/>
    <w:rsid w:val="00C651A3"/>
    <w:rsid w:val="00C7324A"/>
    <w:rsid w:val="00C83CD3"/>
    <w:rsid w:val="00C97731"/>
    <w:rsid w:val="00CB4C05"/>
    <w:rsid w:val="00CB5792"/>
    <w:rsid w:val="00CB5B7C"/>
    <w:rsid w:val="00CC22EB"/>
    <w:rsid w:val="00CC4FE3"/>
    <w:rsid w:val="00CE01E2"/>
    <w:rsid w:val="00CE33C6"/>
    <w:rsid w:val="00CE3AB8"/>
    <w:rsid w:val="00CE73AB"/>
    <w:rsid w:val="00CF4358"/>
    <w:rsid w:val="00D04ABB"/>
    <w:rsid w:val="00D16635"/>
    <w:rsid w:val="00D30907"/>
    <w:rsid w:val="00D371F0"/>
    <w:rsid w:val="00D469AD"/>
    <w:rsid w:val="00D56379"/>
    <w:rsid w:val="00D56D23"/>
    <w:rsid w:val="00D63943"/>
    <w:rsid w:val="00D72703"/>
    <w:rsid w:val="00D82684"/>
    <w:rsid w:val="00DA1390"/>
    <w:rsid w:val="00DA15A4"/>
    <w:rsid w:val="00DA25F6"/>
    <w:rsid w:val="00DA4084"/>
    <w:rsid w:val="00DA58E6"/>
    <w:rsid w:val="00DB043D"/>
    <w:rsid w:val="00DB1B44"/>
    <w:rsid w:val="00DB7FFC"/>
    <w:rsid w:val="00DD143D"/>
    <w:rsid w:val="00DE1283"/>
    <w:rsid w:val="00DE2D45"/>
    <w:rsid w:val="00DF72A4"/>
    <w:rsid w:val="00E02395"/>
    <w:rsid w:val="00E02B87"/>
    <w:rsid w:val="00E14939"/>
    <w:rsid w:val="00E21B8B"/>
    <w:rsid w:val="00E27244"/>
    <w:rsid w:val="00E37B5A"/>
    <w:rsid w:val="00E417E0"/>
    <w:rsid w:val="00E44923"/>
    <w:rsid w:val="00E52627"/>
    <w:rsid w:val="00E52AEC"/>
    <w:rsid w:val="00E54812"/>
    <w:rsid w:val="00E64F09"/>
    <w:rsid w:val="00E801A7"/>
    <w:rsid w:val="00E81057"/>
    <w:rsid w:val="00E9100D"/>
    <w:rsid w:val="00E91074"/>
    <w:rsid w:val="00EA2971"/>
    <w:rsid w:val="00EA531E"/>
    <w:rsid w:val="00EB392B"/>
    <w:rsid w:val="00ED398D"/>
    <w:rsid w:val="00ED69A9"/>
    <w:rsid w:val="00EE11B6"/>
    <w:rsid w:val="00EE2F89"/>
    <w:rsid w:val="00EF32D3"/>
    <w:rsid w:val="00F05662"/>
    <w:rsid w:val="00F07F2F"/>
    <w:rsid w:val="00F433A0"/>
    <w:rsid w:val="00F638FA"/>
    <w:rsid w:val="00F6615F"/>
    <w:rsid w:val="00F715F0"/>
    <w:rsid w:val="00F7283E"/>
    <w:rsid w:val="00F7653E"/>
    <w:rsid w:val="00F849EE"/>
    <w:rsid w:val="00F9326C"/>
    <w:rsid w:val="00FA7611"/>
    <w:rsid w:val="00FB4A15"/>
    <w:rsid w:val="00FD3327"/>
    <w:rsid w:val="00FE113E"/>
    <w:rsid w:val="00FF0A10"/>
    <w:rsid w:val="00FF31AA"/>
    <w:rsid w:val="00FF4025"/>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CE1B8"/>
  <w15:docId w15:val="{0DEE9F0D-F708-4CD1-9945-2833568A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lang w:val="en-US"/>
    </w:rPr>
  </w:style>
  <w:style w:type="paragraph" w:styleId="Heading6">
    <w:name w:val="heading 6"/>
    <w:basedOn w:val="Normal"/>
    <w:link w:val="Heading6Char"/>
    <w:uiPriority w:val="9"/>
    <w:qFormat/>
    <w:rsid w:val="003076B3"/>
    <w:pPr>
      <w:suppressAutoHyphens w:val="0"/>
      <w:spacing w:before="100" w:beforeAutospacing="1" w:after="100" w:afterAutospacing="1" w:line="240" w:lineRule="auto"/>
      <w:outlineLvl w:val="5"/>
    </w:pPr>
    <w:rPr>
      <w:rFonts w:ascii="Times New Roman" w:eastAsia="Times New Roman" w:hAnsi="Times New Roman" w:cs="Times New Roman"/>
      <w:b/>
      <w:bCs/>
      <w:kern w:val="0"/>
      <w:sz w:val="15"/>
      <w:szCs w:val="15"/>
      <w:lang w:eastAsia="en-GB"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120"/>
    <w:rPr>
      <w:color w:val="0563C1" w:themeColor="hyperlink"/>
      <w:u w:val="single"/>
    </w:rPr>
  </w:style>
  <w:style w:type="character" w:styleId="UnresolvedMention">
    <w:name w:val="Unresolved Mention"/>
    <w:basedOn w:val="DefaultParagraphFont"/>
    <w:uiPriority w:val="99"/>
    <w:semiHidden/>
    <w:unhideWhenUsed/>
    <w:qFormat/>
    <w:rsid w:val="00395120"/>
    <w:rPr>
      <w:color w:val="605E5C"/>
      <w:shd w:val="clear" w:color="auto" w:fill="E1DFDD"/>
    </w:rPr>
  </w:style>
  <w:style w:type="character" w:styleId="Emphasis">
    <w:name w:val="Emphasis"/>
    <w:qFormat/>
    <w:rPr>
      <w:i/>
      <w:iCs/>
    </w:rPr>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880B64"/>
    <w:pPr>
      <w:spacing w:after="0" w:line="240" w:lineRule="auto"/>
      <w:ind w:left="720"/>
      <w:contextualSpacing/>
    </w:pPr>
    <w:rPr>
      <w:kern w:val="0"/>
      <w:sz w:val="24"/>
      <w:szCs w:val="24"/>
      <w:lang w:bidi="ar-SA"/>
      <w14:ligatures w14:val="none"/>
    </w:rPr>
  </w:style>
  <w:style w:type="paragraph" w:styleId="NormalWeb">
    <w:name w:val="Normal (Web)"/>
    <w:basedOn w:val="Normal"/>
    <w:uiPriority w:val="99"/>
    <w:unhideWhenUsed/>
    <w:qFormat/>
    <w:rsid w:val="002524A0"/>
    <w:pPr>
      <w:spacing w:beforeAutospacing="1" w:afterAutospacing="1" w:line="240" w:lineRule="auto"/>
    </w:pPr>
    <w:rPr>
      <w:rFonts w:ascii="Times New Roman" w:eastAsia="Times New Roman" w:hAnsi="Times New Roman" w:cs="Times New Roman"/>
      <w:kern w:val="0"/>
      <w:sz w:val="24"/>
      <w:szCs w:val="24"/>
      <w:lang w:eastAsia="en-GB" w:bidi="ar-SA"/>
      <w14:ligatures w14:val="none"/>
    </w:rPr>
  </w:style>
  <w:style w:type="table" w:styleId="TableGrid">
    <w:name w:val="Table Grid"/>
    <w:basedOn w:val="TableNormal"/>
    <w:uiPriority w:val="39"/>
    <w:rsid w:val="00D40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3076B3"/>
    <w:rPr>
      <w:rFonts w:ascii="Times New Roman" w:eastAsia="Times New Roman" w:hAnsi="Times New Roman" w:cs="Times New Roman"/>
      <w:b/>
      <w:bCs/>
      <w:kern w:val="0"/>
      <w:sz w:val="15"/>
      <w:szCs w:val="15"/>
      <w:lang w:eastAsia="en-GB" w:bidi="ar-SA"/>
      <w14:ligatures w14:val="none"/>
    </w:rPr>
  </w:style>
  <w:style w:type="table" w:customStyle="1" w:styleId="TableGrid1">
    <w:name w:val="Table Grid1"/>
    <w:basedOn w:val="TableNormal"/>
    <w:next w:val="TableGrid"/>
    <w:uiPriority w:val="39"/>
    <w:rsid w:val="0041143B"/>
    <w:pPr>
      <w:suppressAutoHyphens w:val="0"/>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7BD"/>
    <w:pPr>
      <w:suppressAutoHyphens w:val="0"/>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5"/>
    </w:rPr>
  </w:style>
  <w:style w:type="character" w:customStyle="1" w:styleId="CommentTextChar">
    <w:name w:val="Comment Text Char"/>
    <w:basedOn w:val="DefaultParagraphFont"/>
    <w:link w:val="CommentText"/>
    <w:uiPriority w:val="99"/>
    <w:semiHidden/>
    <w:rPr>
      <w:sz w:val="20"/>
      <w:szCs w:val="25"/>
      <w:lang w:val="en-US"/>
    </w:rPr>
  </w:style>
  <w:style w:type="character" w:styleId="LineNumber">
    <w:name w:val="line number"/>
    <w:basedOn w:val="DefaultParagraphFont"/>
    <w:uiPriority w:val="99"/>
    <w:semiHidden/>
    <w:unhideWhenUsed/>
    <w:rsid w:val="00E44923"/>
  </w:style>
  <w:style w:type="paragraph" w:styleId="Header">
    <w:name w:val="header"/>
    <w:basedOn w:val="Normal"/>
    <w:link w:val="HeaderChar"/>
    <w:uiPriority w:val="99"/>
    <w:unhideWhenUsed/>
    <w:rsid w:val="00E6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F09"/>
    <w:rPr>
      <w:lang w:val="en-US"/>
    </w:rPr>
  </w:style>
  <w:style w:type="paragraph" w:styleId="Footer">
    <w:name w:val="footer"/>
    <w:basedOn w:val="Normal"/>
    <w:link w:val="FooterChar"/>
    <w:uiPriority w:val="99"/>
    <w:unhideWhenUsed/>
    <w:rsid w:val="00E6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F0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www.ipcc.ch/report/sixth-assessment-report-cycle/"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www.noaa.gov/"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usam.imd.gov.in/imd_latest/contents/pdf/forecasting_sop.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ata.worldbank.org/"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pcc.ch/report/sixth-assessment-report-cycle/" TargetMode="External"/><Relationship Id="rId27" Type="http://schemas.openxmlformats.org/officeDocument/2006/relationships/hyperlink" Target="https://r.search.yahoo.com/_ylt=AwrjW6w4CrRn63AVO05XNyoA;_ylu=Y29sbwNncTEEcG9zAzEEdnRpZAMEc2VjA3Ny/RV=2/RE=1741061944/RO=10/RU=https%3a%2f%2fnwp.imd.gov.in%2f/RK=2/RS=mteWas4rhOd2NiR47xKt6t6Nt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45</Pages>
  <Words>13785</Words>
  <Characters>78577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Senbagavalli G</dc:creator>
  <cp:lastModifiedBy>SDI 1084</cp:lastModifiedBy>
  <cp:revision>35</cp:revision>
  <dcterms:created xsi:type="dcterms:W3CDTF">2025-11-22T06:47:00Z</dcterms:created>
  <dcterms:modified xsi:type="dcterms:W3CDTF">2025-11-22T12:25:00Z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c15d481512d0cc6bcfdfc7e8a2fcde8cbbcd2275a3002d2791d8c612ecc1d09a</vt:lpwstr>
  </property>
  <property fmtid="{D5CDD505-2E9C-101B-9397-08002B2CF9AE}" pid="3" name="LE1">
    <vt:filetime>2024-11-12T18:12:46Z</vt:filetime>
  </property>
</Properties>
</file>