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06014" w14:textId="1D321056" w:rsidR="00E131AE" w:rsidRPr="00A31491" w:rsidRDefault="00E131AE" w:rsidP="00A31491">
      <w:pPr>
        <w:spacing w:after="0" w:line="360" w:lineRule="auto"/>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Evaluation of the stability of a locally made fortified infant flour in Niger</w:t>
      </w:r>
    </w:p>
    <w:p w14:paraId="69EB1A81" w14:textId="77777777" w:rsidR="00E131AE" w:rsidRPr="00A31491" w:rsidRDefault="00E131AE" w:rsidP="00A31491">
      <w:pPr>
        <w:spacing w:after="0" w:line="360" w:lineRule="auto"/>
        <w:rPr>
          <w:rFonts w:ascii="Times New Roman" w:hAnsi="Times New Roman" w:cs="Times New Roman"/>
          <w:sz w:val="24"/>
          <w:szCs w:val="24"/>
          <w:lang w:val="en-US"/>
        </w:rPr>
      </w:pPr>
    </w:p>
    <w:p w14:paraId="2A47C677" w14:textId="77777777" w:rsidR="0055528E" w:rsidRPr="00A31491" w:rsidRDefault="0055528E" w:rsidP="00A31491">
      <w:pPr>
        <w:spacing w:after="0" w:line="360" w:lineRule="auto"/>
        <w:rPr>
          <w:rFonts w:ascii="Times New Roman" w:hAnsi="Times New Roman" w:cs="Times New Roman"/>
          <w:sz w:val="24"/>
          <w:szCs w:val="24"/>
          <w:lang w:val="en-US"/>
        </w:rPr>
      </w:pPr>
      <w:bookmarkStart w:id="0" w:name="_GoBack"/>
      <w:bookmarkEnd w:id="0"/>
    </w:p>
    <w:p w14:paraId="5BFC57A3" w14:textId="77777777" w:rsidR="00A87E89"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Abstract</w:t>
      </w:r>
    </w:p>
    <w:p w14:paraId="710E6745" w14:textId="06764503" w:rsidR="00A87E89" w:rsidRPr="00A31491" w:rsidRDefault="00A87E89" w:rsidP="00A31491">
      <w:pPr>
        <w:spacing w:after="0" w:line="360" w:lineRule="auto"/>
        <w:jc w:val="both"/>
        <w:rPr>
          <w:rFonts w:ascii="Times New Roman" w:hAnsi="Times New Roman" w:cs="Times New Roman"/>
          <w:sz w:val="24"/>
          <w:szCs w:val="24"/>
          <w:lang w:val="en-US"/>
        </w:rPr>
      </w:pPr>
      <w:proofErr w:type="spellStart"/>
      <w:r w:rsidRPr="00A31491">
        <w:rPr>
          <w:rFonts w:ascii="Times New Roman" w:hAnsi="Times New Roman" w:cs="Times New Roman"/>
          <w:sz w:val="24"/>
          <w:szCs w:val="24"/>
          <w:lang w:val="en-US"/>
        </w:rPr>
        <w:t>Misola</w:t>
      </w:r>
      <w:proofErr w:type="spellEnd"/>
      <w:r w:rsidR="003A24A8" w:rsidRPr="00A31491">
        <w:rPr>
          <w:rFonts w:ascii="Times New Roman" w:hAnsi="Times New Roman" w:cs="Times New Roman"/>
          <w:sz w:val="24"/>
          <w:szCs w:val="24"/>
          <w:lang w:val="en-US"/>
        </w:rPr>
        <w:t>®</w:t>
      </w:r>
      <w:r w:rsidRPr="00A31491">
        <w:rPr>
          <w:rFonts w:ascii="Times New Roman" w:hAnsi="Times New Roman" w:cs="Times New Roman"/>
          <w:sz w:val="24"/>
          <w:szCs w:val="24"/>
          <w:lang w:val="en-US"/>
        </w:rPr>
        <w:t xml:space="preserve"> </w:t>
      </w:r>
      <w:r w:rsidR="003A24A8" w:rsidRPr="00A31491">
        <w:rPr>
          <w:rFonts w:ascii="Times New Roman" w:hAnsi="Times New Roman" w:cs="Times New Roman"/>
          <w:sz w:val="24"/>
          <w:szCs w:val="24"/>
          <w:lang w:val="en-US"/>
        </w:rPr>
        <w:t xml:space="preserve">locally </w:t>
      </w:r>
      <w:r w:rsidRPr="00A31491">
        <w:rPr>
          <w:rFonts w:ascii="Times New Roman" w:hAnsi="Times New Roman" w:cs="Times New Roman"/>
          <w:sz w:val="24"/>
          <w:szCs w:val="24"/>
          <w:lang w:val="en-US"/>
        </w:rPr>
        <w:t xml:space="preserve">fortified infant flour, widely used in nutritional programs, nevertheless faces uncertainties regarding its stability under local climatic conditions. This study aims to determine </w:t>
      </w:r>
      <w:r w:rsidR="009F3BA8" w:rsidRPr="00A31491">
        <w:rPr>
          <w:rFonts w:ascii="Times New Roman" w:hAnsi="Times New Roman" w:cs="Times New Roman"/>
          <w:sz w:val="24"/>
          <w:szCs w:val="24"/>
          <w:lang w:val="en-US"/>
        </w:rPr>
        <w:t>the</w:t>
      </w:r>
      <w:r w:rsidRPr="00A31491">
        <w:rPr>
          <w:rFonts w:ascii="Times New Roman" w:hAnsi="Times New Roman" w:cs="Times New Roman"/>
          <w:sz w:val="24"/>
          <w:szCs w:val="24"/>
          <w:lang w:val="en-US"/>
        </w:rPr>
        <w:t xml:space="preserve"> physicochemical, sanitary, and sensory stability </w:t>
      </w:r>
      <w:r w:rsidR="009F3BA8" w:rsidRPr="00A31491">
        <w:rPr>
          <w:rFonts w:ascii="Times New Roman" w:hAnsi="Times New Roman" w:cs="Times New Roman"/>
          <w:sz w:val="24"/>
          <w:szCs w:val="24"/>
          <w:lang w:val="en-US"/>
        </w:rPr>
        <w:t>to</w:t>
      </w:r>
      <w:r w:rsidRPr="00A31491">
        <w:rPr>
          <w:rFonts w:ascii="Times New Roman" w:hAnsi="Times New Roman" w:cs="Times New Roman"/>
          <w:sz w:val="24"/>
          <w:szCs w:val="24"/>
          <w:lang w:val="en-US"/>
        </w:rPr>
        <w:t xml:space="preserve"> establish optimal storage conditions. The study was conducted in Niamey, and two types of food packaging (plastic and aluminum) were used to monitor stability parameters over six months. Physicochemical (water content, pH, ash, fatty acidity), microbiological (yeasts, molds, coliforms, aerobic bacteria), and sensory (taste, odor, color, acceptability) analyses were performed at different time points (T0, T2, T3, T4, T6). The data were analyzed </w:t>
      </w:r>
      <w:r w:rsidR="009F3BA8" w:rsidRPr="00A31491">
        <w:rPr>
          <w:rFonts w:ascii="Times New Roman" w:hAnsi="Times New Roman" w:cs="Times New Roman"/>
          <w:sz w:val="24"/>
          <w:szCs w:val="24"/>
          <w:lang w:val="en-US"/>
        </w:rPr>
        <w:t>using ANOVA at the 5% significance level</w:t>
      </w:r>
      <w:r w:rsidRPr="00A31491">
        <w:rPr>
          <w:rFonts w:ascii="Times New Roman" w:hAnsi="Times New Roman" w:cs="Times New Roman"/>
          <w:sz w:val="24"/>
          <w:szCs w:val="24"/>
          <w:lang w:val="en-US"/>
        </w:rPr>
        <w:t>. The results show good physicochemical stability</w:t>
      </w:r>
      <w:r w:rsidR="009F3BA8" w:rsidRPr="00A31491">
        <w:rPr>
          <w:rFonts w:ascii="Times New Roman" w:hAnsi="Times New Roman" w:cs="Times New Roman"/>
          <w:sz w:val="24"/>
          <w:szCs w:val="24"/>
          <w:lang w:val="en-US"/>
        </w:rPr>
        <w:t>, with water content, lipids, pH, and ash varying</w:t>
      </w:r>
      <w:r w:rsidRPr="00A31491">
        <w:rPr>
          <w:rFonts w:ascii="Times New Roman" w:hAnsi="Times New Roman" w:cs="Times New Roman"/>
          <w:sz w:val="24"/>
          <w:szCs w:val="24"/>
          <w:lang w:val="en-US"/>
        </w:rPr>
        <w:t xml:space="preserve"> from 3.15% to 4.7%, respectively. 13.6% to 16.3%; 5.3% to 5.15%; and 3.01% to 2.94%.</w:t>
      </w:r>
      <w:r w:rsidR="009F3BA8" w:rsidRPr="00A31491">
        <w:rPr>
          <w:rFonts w:ascii="Times New Roman" w:hAnsi="Times New Roman" w:cs="Times New Roman"/>
          <w:sz w:val="24"/>
          <w:szCs w:val="24"/>
          <w:lang w:val="en-US"/>
        </w:rPr>
        <w:t xml:space="preserve"> </w:t>
      </w:r>
      <w:r w:rsidRPr="00A31491">
        <w:rPr>
          <w:rFonts w:ascii="Times New Roman" w:hAnsi="Times New Roman" w:cs="Times New Roman"/>
          <w:sz w:val="24"/>
          <w:szCs w:val="24"/>
          <w:lang w:val="en-US"/>
        </w:rPr>
        <w:t xml:space="preserve">For microbiological and sensory parameters,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remains compliant with standards and </w:t>
      </w:r>
      <w:r w:rsidR="009F3BA8" w:rsidRPr="00A31491">
        <w:rPr>
          <w:rFonts w:ascii="Times New Roman" w:hAnsi="Times New Roman" w:cs="Times New Roman"/>
          <w:sz w:val="24"/>
          <w:szCs w:val="24"/>
          <w:lang w:val="en-US"/>
        </w:rPr>
        <w:t>shows good consumer acceptance, with no</w:t>
      </w:r>
      <w:r w:rsidRPr="00A31491">
        <w:rPr>
          <w:rFonts w:ascii="Times New Roman" w:hAnsi="Times New Roman" w:cs="Times New Roman"/>
          <w:sz w:val="24"/>
          <w:szCs w:val="24"/>
          <w:lang w:val="en-US"/>
        </w:rPr>
        <w:t xml:space="preserve"> significant alteration in taste or odor. These results confirm that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can be safely stored for </w:t>
      </w:r>
      <w:r w:rsidR="009F3BA8" w:rsidRPr="00A31491">
        <w:rPr>
          <w:rFonts w:ascii="Times New Roman" w:hAnsi="Times New Roman" w:cs="Times New Roman"/>
          <w:sz w:val="24"/>
          <w:szCs w:val="24"/>
          <w:lang w:val="en-US"/>
        </w:rPr>
        <w:t>6 months in both packaging types, thereby ensuring</w:t>
      </w:r>
      <w:r w:rsidRPr="00A31491">
        <w:rPr>
          <w:rFonts w:ascii="Times New Roman" w:hAnsi="Times New Roman" w:cs="Times New Roman"/>
          <w:sz w:val="24"/>
          <w:szCs w:val="24"/>
          <w:lang w:val="en-US"/>
        </w:rPr>
        <w:t xml:space="preserve"> its quality in nutritional programs.</w:t>
      </w:r>
    </w:p>
    <w:p w14:paraId="0F44CA11" w14:textId="509CAF16" w:rsidR="0055528E"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Keywords</w:t>
      </w:r>
      <w:r w:rsidRPr="00A31491">
        <w:rPr>
          <w:rFonts w:ascii="Times New Roman" w:hAnsi="Times New Roman" w:cs="Times New Roman"/>
          <w:sz w:val="24"/>
          <w:szCs w:val="24"/>
          <w:lang w:val="en-US"/>
        </w:rPr>
        <w:t xml:space="preserve">: Stability,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flour, packaging, storage, Niger.</w:t>
      </w:r>
    </w:p>
    <w:p w14:paraId="7491F8E4" w14:textId="77777777" w:rsidR="009F3BA8" w:rsidRPr="00A31491" w:rsidRDefault="009F3BA8" w:rsidP="00A31491">
      <w:pPr>
        <w:spacing w:after="0" w:line="360" w:lineRule="auto"/>
        <w:jc w:val="both"/>
        <w:rPr>
          <w:rFonts w:ascii="Times New Roman" w:hAnsi="Times New Roman" w:cs="Times New Roman"/>
          <w:sz w:val="24"/>
          <w:szCs w:val="24"/>
          <w:lang w:val="en-US"/>
        </w:rPr>
      </w:pPr>
    </w:p>
    <w:p w14:paraId="058FD70A" w14:textId="2ED10836"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Introduction</w:t>
      </w:r>
    </w:p>
    <w:p w14:paraId="7A395DD7" w14:textId="7C5C3554"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Child malnutrition, in its various forms, including undernutrition (such as stunting, wasting, or overweight), vitamin and mineral deficiencies, and non-communicable diseases, remains a global public health concern. According to a joint estimate by UNICEF, WHO, and the World Bank (2023), 34.7% of children under five years of age are affected by childhood malnutrition. Similarly, this prevalence was 26.42% in developing countries, where the rates of wasting, stunting, and obesity were 14.2%, 4.1%, and 27.6%, respectively. In the Sahel, as in the Alliance of Sahel States (AES), the prevalence of severe acute malnutrition and moderate acute malnutrition was 0.93% and 3.68%, respectively (</w:t>
      </w:r>
      <w:r w:rsidRPr="00D63A15">
        <w:rPr>
          <w:rFonts w:ascii="Times New Roman" w:hAnsi="Times New Roman" w:cs="Times New Roman"/>
          <w:color w:val="4472C4" w:themeColor="accent1"/>
          <w:sz w:val="24"/>
          <w:szCs w:val="24"/>
          <w:lang w:val="en-US"/>
        </w:rPr>
        <w:t>Tapsoba et al., 2025</w:t>
      </w:r>
      <w:r w:rsidRPr="00A31491">
        <w:rPr>
          <w:rFonts w:ascii="Times New Roman" w:hAnsi="Times New Roman" w:cs="Times New Roman"/>
          <w:sz w:val="24"/>
          <w:szCs w:val="24"/>
          <w:lang w:val="en-US"/>
        </w:rPr>
        <w:t xml:space="preserve">). Furthermore, </w:t>
      </w:r>
      <w:r w:rsidRPr="00D63A15">
        <w:rPr>
          <w:rFonts w:ascii="Times New Roman" w:hAnsi="Times New Roman" w:cs="Times New Roman"/>
          <w:color w:val="4472C4" w:themeColor="accent1"/>
          <w:sz w:val="24"/>
          <w:szCs w:val="24"/>
          <w:lang w:val="en-US"/>
        </w:rPr>
        <w:t>Paré et al. (2022</w:t>
      </w:r>
      <w:r w:rsidRPr="00A31491">
        <w:rPr>
          <w:rFonts w:ascii="Times New Roman" w:hAnsi="Times New Roman" w:cs="Times New Roman"/>
          <w:sz w:val="24"/>
          <w:szCs w:val="24"/>
          <w:lang w:val="en-US"/>
        </w:rPr>
        <w:t xml:space="preserve">) estimated the prevalence of wasting at 25% in the Sahel region. Moreover, </w:t>
      </w:r>
      <w:r w:rsidRPr="007011B2">
        <w:rPr>
          <w:rFonts w:ascii="Times New Roman" w:hAnsi="Times New Roman" w:cs="Times New Roman"/>
          <w:color w:val="4472C4" w:themeColor="accent1"/>
          <w:sz w:val="24"/>
          <w:szCs w:val="24"/>
          <w:lang w:val="en-US"/>
        </w:rPr>
        <w:t>Amadou</w:t>
      </w:r>
      <w:r w:rsidR="00D63A15" w:rsidRPr="007011B2">
        <w:rPr>
          <w:rFonts w:ascii="Times New Roman" w:hAnsi="Times New Roman" w:cs="Times New Roman"/>
          <w:color w:val="4472C4" w:themeColor="accent1"/>
          <w:sz w:val="24"/>
          <w:szCs w:val="24"/>
          <w:lang w:val="en-US"/>
        </w:rPr>
        <w:t xml:space="preserve"> and Lawali</w:t>
      </w:r>
      <w:r w:rsidRPr="007011B2">
        <w:rPr>
          <w:rFonts w:ascii="Times New Roman" w:hAnsi="Times New Roman" w:cs="Times New Roman"/>
          <w:color w:val="4472C4" w:themeColor="accent1"/>
          <w:sz w:val="24"/>
          <w:szCs w:val="24"/>
          <w:lang w:val="en-US"/>
        </w:rPr>
        <w:t xml:space="preserve">'s </w:t>
      </w:r>
      <w:r w:rsidR="009F3BA8" w:rsidRPr="007011B2">
        <w:rPr>
          <w:rFonts w:ascii="Times New Roman" w:hAnsi="Times New Roman" w:cs="Times New Roman"/>
          <w:color w:val="4472C4" w:themeColor="accent1"/>
          <w:sz w:val="24"/>
          <w:szCs w:val="24"/>
          <w:lang w:val="en-US"/>
        </w:rPr>
        <w:t>(202</w:t>
      </w:r>
      <w:r w:rsidR="00D63A15" w:rsidRPr="007011B2">
        <w:rPr>
          <w:rFonts w:ascii="Times New Roman" w:hAnsi="Times New Roman" w:cs="Times New Roman"/>
          <w:color w:val="4472C4" w:themeColor="accent1"/>
          <w:sz w:val="24"/>
          <w:szCs w:val="24"/>
          <w:lang w:val="en-US"/>
        </w:rPr>
        <w:t>2</w:t>
      </w:r>
      <w:r w:rsidR="009F3BA8" w:rsidRPr="007011B2">
        <w:rPr>
          <w:rFonts w:ascii="Times New Roman" w:hAnsi="Times New Roman" w:cs="Times New Roman"/>
          <w:color w:val="4472C4" w:themeColor="accent1"/>
          <w:sz w:val="24"/>
          <w:szCs w:val="24"/>
          <w:lang w:val="en-US"/>
        </w:rPr>
        <w:t>)</w:t>
      </w:r>
      <w:r w:rsidR="009F3BA8" w:rsidRPr="00A31491">
        <w:rPr>
          <w:rFonts w:ascii="Times New Roman" w:hAnsi="Times New Roman" w:cs="Times New Roman"/>
          <w:color w:val="EE0000"/>
          <w:sz w:val="24"/>
          <w:szCs w:val="24"/>
          <w:lang w:val="en-US"/>
        </w:rPr>
        <w:t xml:space="preserve"> </w:t>
      </w:r>
      <w:r w:rsidR="009F3BA8" w:rsidRPr="00A31491">
        <w:rPr>
          <w:rFonts w:ascii="Times New Roman" w:hAnsi="Times New Roman" w:cs="Times New Roman"/>
          <w:sz w:val="24"/>
          <w:szCs w:val="24"/>
          <w:lang w:val="en-US"/>
        </w:rPr>
        <w:t xml:space="preserve">work indicated that </w:t>
      </w:r>
      <w:r w:rsidR="001A46E6">
        <w:rPr>
          <w:rFonts w:ascii="Times New Roman" w:hAnsi="Times New Roman" w:cs="Times New Roman"/>
          <w:sz w:val="24"/>
          <w:szCs w:val="24"/>
          <w:lang w:val="en-US"/>
        </w:rPr>
        <w:t>the Sahel, such as Niger,</w:t>
      </w:r>
      <w:r w:rsidR="009F3BA8" w:rsidRPr="00A31491">
        <w:rPr>
          <w:rFonts w:ascii="Times New Roman" w:hAnsi="Times New Roman" w:cs="Times New Roman"/>
          <w:sz w:val="24"/>
          <w:szCs w:val="24"/>
          <w:lang w:val="en-US"/>
        </w:rPr>
        <w:t xml:space="preserve"> experiences high rates of all forms</w:t>
      </w:r>
      <w:r w:rsidRPr="00A31491">
        <w:rPr>
          <w:rFonts w:ascii="Times New Roman" w:hAnsi="Times New Roman" w:cs="Times New Roman"/>
          <w:sz w:val="24"/>
          <w:szCs w:val="24"/>
          <w:lang w:val="en-US"/>
        </w:rPr>
        <w:t xml:space="preserve"> of </w:t>
      </w:r>
      <w:r w:rsidRPr="00A31491">
        <w:rPr>
          <w:rFonts w:ascii="Times New Roman" w:hAnsi="Times New Roman" w:cs="Times New Roman"/>
          <w:sz w:val="24"/>
          <w:szCs w:val="24"/>
          <w:lang w:val="en-US"/>
        </w:rPr>
        <w:lastRenderedPageBreak/>
        <w:t xml:space="preserve">malnutrition among children aged 6 to 59 months each year. </w:t>
      </w:r>
      <w:r w:rsidR="007011B2" w:rsidRPr="007011B2">
        <w:rPr>
          <w:rFonts w:ascii="Times New Roman" w:hAnsi="Times New Roman" w:cs="Times New Roman"/>
          <w:color w:val="4472C4" w:themeColor="accent1"/>
          <w:sz w:val="24"/>
          <w:szCs w:val="24"/>
          <w:lang w:val="en-US"/>
        </w:rPr>
        <w:t xml:space="preserve">Josephine </w:t>
      </w:r>
      <w:r w:rsidRPr="007011B2">
        <w:rPr>
          <w:rFonts w:ascii="Times New Roman" w:hAnsi="Times New Roman" w:cs="Times New Roman"/>
          <w:color w:val="4472C4" w:themeColor="accent1"/>
          <w:sz w:val="24"/>
          <w:szCs w:val="24"/>
          <w:lang w:val="en-US"/>
        </w:rPr>
        <w:t>et al. (202</w:t>
      </w:r>
      <w:r w:rsidR="007011B2">
        <w:rPr>
          <w:rFonts w:ascii="Times New Roman" w:hAnsi="Times New Roman" w:cs="Times New Roman"/>
          <w:color w:val="4472C4" w:themeColor="accent1"/>
          <w:sz w:val="24"/>
          <w:szCs w:val="24"/>
          <w:lang w:val="en-US"/>
        </w:rPr>
        <w:t>2</w:t>
      </w:r>
      <w:r w:rsidRPr="007011B2">
        <w:rPr>
          <w:rFonts w:ascii="Times New Roman" w:hAnsi="Times New Roman" w:cs="Times New Roman"/>
          <w:color w:val="4472C4" w:themeColor="accent1"/>
          <w:sz w:val="24"/>
          <w:szCs w:val="24"/>
          <w:lang w:val="en-US"/>
        </w:rPr>
        <w:t xml:space="preserve">) </w:t>
      </w:r>
      <w:r w:rsidRPr="00A31491">
        <w:rPr>
          <w:rFonts w:ascii="Times New Roman" w:hAnsi="Times New Roman" w:cs="Times New Roman"/>
          <w:sz w:val="24"/>
          <w:szCs w:val="24"/>
          <w:lang w:val="en-US"/>
        </w:rPr>
        <w:t xml:space="preserve">estimated the prevalence of chronic malnutrition at 42% among children under 5 years old. In response to this situation, several initiatives have been implemented to promote fortified infant foods </w:t>
      </w:r>
      <w:r w:rsidR="009F3BA8" w:rsidRPr="00A31491">
        <w:rPr>
          <w:rFonts w:ascii="Times New Roman" w:hAnsi="Times New Roman" w:cs="Times New Roman"/>
          <w:sz w:val="24"/>
          <w:szCs w:val="24"/>
          <w:lang w:val="en-US"/>
        </w:rPr>
        <w:t xml:space="preserve">that meet the nutritional needs of young children and are </w:t>
      </w:r>
      <w:r w:rsidRPr="00A31491">
        <w:rPr>
          <w:rFonts w:ascii="Times New Roman" w:hAnsi="Times New Roman" w:cs="Times New Roman"/>
          <w:sz w:val="24"/>
          <w:szCs w:val="24"/>
          <w:lang w:val="en-US"/>
        </w:rPr>
        <w:t xml:space="preserve">accessible to vulnerable households. It is within this context that Kiboko (2005) demonstrates that promoting the consumption of soy porridge can </w:t>
      </w:r>
      <w:r w:rsidR="009F3BA8" w:rsidRPr="00A31491">
        <w:rPr>
          <w:rFonts w:ascii="Times New Roman" w:hAnsi="Times New Roman" w:cs="Times New Roman"/>
          <w:sz w:val="24"/>
          <w:szCs w:val="24"/>
          <w:lang w:val="en-US"/>
        </w:rPr>
        <w:t>improve the nutritional status of vulnerable groups and prevent</w:t>
      </w:r>
      <w:r w:rsidRPr="00A31491">
        <w:rPr>
          <w:rFonts w:ascii="Times New Roman" w:hAnsi="Times New Roman" w:cs="Times New Roman"/>
          <w:sz w:val="24"/>
          <w:szCs w:val="24"/>
          <w:lang w:val="en-US"/>
        </w:rPr>
        <w:t xml:space="preserve"> the deaths of thousands of children. According to </w:t>
      </w:r>
      <w:r w:rsidRPr="00D80C5D">
        <w:rPr>
          <w:rFonts w:ascii="Times New Roman" w:hAnsi="Times New Roman" w:cs="Times New Roman"/>
          <w:color w:val="4472C4" w:themeColor="accent1"/>
          <w:sz w:val="24"/>
          <w:szCs w:val="24"/>
          <w:lang w:val="en-US"/>
        </w:rPr>
        <w:t xml:space="preserve">Sombie et al. (2024), </w:t>
      </w:r>
      <w:r w:rsidRPr="00A31491">
        <w:rPr>
          <w:rFonts w:ascii="Times New Roman" w:hAnsi="Times New Roman" w:cs="Times New Roman"/>
          <w:sz w:val="24"/>
          <w:szCs w:val="24"/>
          <w:lang w:val="en-US"/>
        </w:rPr>
        <w:t xml:space="preserve">vegetable oils and fortified broths were used </w:t>
      </w:r>
      <w:r w:rsidR="009F3BA8" w:rsidRPr="00A31491">
        <w:rPr>
          <w:rFonts w:ascii="Times New Roman" w:hAnsi="Times New Roman" w:cs="Times New Roman"/>
          <w:sz w:val="24"/>
          <w:szCs w:val="24"/>
          <w:lang w:val="en-US"/>
        </w:rPr>
        <w:t>at</w:t>
      </w:r>
      <w:r w:rsidRPr="00A31491">
        <w:rPr>
          <w:rFonts w:ascii="Times New Roman" w:hAnsi="Times New Roman" w:cs="Times New Roman"/>
          <w:sz w:val="24"/>
          <w:szCs w:val="24"/>
          <w:lang w:val="en-US"/>
        </w:rPr>
        <w:t xml:space="preserve"> 55.2% and 31.5%, respectively, to enhance the flavor of meals.</w:t>
      </w:r>
    </w:p>
    <w:p w14:paraId="31F17587" w14:textId="2BC2ECC4"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Given the importance of fortified infant foods in the fight against malnutrition, ensuring their availability and stability</w:t>
      </w:r>
      <w:r w:rsidR="009F3BA8" w:rsidRPr="00A31491">
        <w:rPr>
          <w:rFonts w:ascii="Times New Roman" w:hAnsi="Times New Roman" w:cs="Times New Roman"/>
          <w:sz w:val="24"/>
          <w:szCs w:val="24"/>
          <w:lang w:val="en-US"/>
        </w:rPr>
        <w:t xml:space="preserve"> while preserving their quality would be an asset to</w:t>
      </w:r>
      <w:r w:rsidRPr="00A31491">
        <w:rPr>
          <w:rFonts w:ascii="Times New Roman" w:hAnsi="Times New Roman" w:cs="Times New Roman"/>
          <w:sz w:val="24"/>
          <w:szCs w:val="24"/>
          <w:lang w:val="en-US"/>
        </w:rPr>
        <w:t xml:space="preserve"> sustainable access. To this end,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fortified infant flour is a nutritious food for children aged 6 to 59 months. It is made from local cereals</w:t>
      </w:r>
      <w:r w:rsidR="00FB5B17">
        <w:rPr>
          <w:rFonts w:ascii="Times New Roman" w:hAnsi="Times New Roman" w:cs="Times New Roman"/>
          <w:sz w:val="24"/>
          <w:szCs w:val="24"/>
          <w:lang w:val="en-US"/>
        </w:rPr>
        <w:t xml:space="preserve"> and legumes, along with</w:t>
      </w:r>
      <w:r w:rsidRPr="00A31491">
        <w:rPr>
          <w:rFonts w:ascii="Times New Roman" w:hAnsi="Times New Roman" w:cs="Times New Roman"/>
          <w:sz w:val="24"/>
          <w:szCs w:val="24"/>
          <w:lang w:val="en-US"/>
        </w:rPr>
        <w:t xml:space="preserve"> a vitamin-mineral supplement. It offers a higher nutritional density than traditional porridges. Therefore, this food is the focus of the present study, despite </w:t>
      </w:r>
      <w:r w:rsidR="009F3BA8" w:rsidRPr="00A31491">
        <w:rPr>
          <w:rFonts w:ascii="Times New Roman" w:hAnsi="Times New Roman" w:cs="Times New Roman"/>
          <w:sz w:val="24"/>
          <w:szCs w:val="24"/>
          <w:lang w:val="en-US"/>
        </w:rPr>
        <w:t xml:space="preserve">its stability challenges </w:t>
      </w:r>
      <w:r w:rsidRPr="00A31491">
        <w:rPr>
          <w:rFonts w:ascii="Times New Roman" w:hAnsi="Times New Roman" w:cs="Times New Roman"/>
          <w:sz w:val="24"/>
          <w:szCs w:val="24"/>
          <w:lang w:val="en-US"/>
        </w:rPr>
        <w:t>during use. Indeed, the permeability of the packaging paper to oxygen (O2) makes vitamin A vulnerable to oxidation, which is accelerated by heat and time (</w:t>
      </w:r>
      <w:r w:rsidR="00D80C5D" w:rsidRPr="00D80C5D">
        <w:rPr>
          <w:rFonts w:ascii="Times New Roman" w:hAnsi="Times New Roman" w:cs="Times New Roman"/>
          <w:color w:val="4472C4" w:themeColor="accent1"/>
          <w:sz w:val="24"/>
          <w:szCs w:val="24"/>
          <w:lang w:val="en-US"/>
        </w:rPr>
        <w:t>Hemery et al.</w:t>
      </w:r>
      <w:r w:rsidRPr="00D80C5D">
        <w:rPr>
          <w:rFonts w:ascii="Times New Roman" w:hAnsi="Times New Roman" w:cs="Times New Roman"/>
          <w:color w:val="4472C4" w:themeColor="accent1"/>
          <w:sz w:val="24"/>
          <w:szCs w:val="24"/>
          <w:lang w:val="en-US"/>
        </w:rPr>
        <w:t>, 20</w:t>
      </w:r>
      <w:r w:rsidR="00D80C5D" w:rsidRPr="00D80C5D">
        <w:rPr>
          <w:rFonts w:ascii="Times New Roman" w:hAnsi="Times New Roman" w:cs="Times New Roman"/>
          <w:color w:val="4472C4" w:themeColor="accent1"/>
          <w:sz w:val="24"/>
          <w:szCs w:val="24"/>
          <w:lang w:val="en-US"/>
        </w:rPr>
        <w:t>20</w:t>
      </w:r>
      <w:r w:rsidRPr="00A31491">
        <w:rPr>
          <w:rFonts w:ascii="Times New Roman" w:hAnsi="Times New Roman" w:cs="Times New Roman"/>
          <w:sz w:val="24"/>
          <w:szCs w:val="24"/>
          <w:lang w:val="en-US"/>
        </w:rPr>
        <w:t>). The same author demonstrated that storage duration is the most influential factor on vitamin A loss (from 50 to 95% depending on conditions) in fortified flours (op. cit.). Furthermore, these issues are linked to uncertainty regarding the actual shelf life under local conditions, the risks of microbiological and physicochemical deterioration, and the challenges faced by producers, distributors, and nutrition programs (</w:t>
      </w:r>
      <w:proofErr w:type="spellStart"/>
      <w:r w:rsidRPr="00D80C5D">
        <w:rPr>
          <w:rFonts w:ascii="Times New Roman" w:hAnsi="Times New Roman" w:cs="Times New Roman"/>
          <w:color w:val="4472C4" w:themeColor="accent1"/>
          <w:sz w:val="24"/>
          <w:szCs w:val="24"/>
          <w:lang w:val="en-US"/>
        </w:rPr>
        <w:t>Forsido</w:t>
      </w:r>
      <w:proofErr w:type="spellEnd"/>
      <w:r w:rsidRPr="00D80C5D">
        <w:rPr>
          <w:rFonts w:ascii="Times New Roman" w:hAnsi="Times New Roman" w:cs="Times New Roman"/>
          <w:color w:val="4472C4" w:themeColor="accent1"/>
          <w:sz w:val="24"/>
          <w:szCs w:val="24"/>
          <w:lang w:val="en-US"/>
        </w:rPr>
        <w:t xml:space="preserve"> et al., 2021; Hemery et al., 2020</w:t>
      </w:r>
      <w:r w:rsidRPr="00A31491">
        <w:rPr>
          <w:rFonts w:ascii="Times New Roman" w:hAnsi="Times New Roman" w:cs="Times New Roman"/>
          <w:sz w:val="24"/>
          <w:szCs w:val="24"/>
          <w:lang w:val="en-US"/>
        </w:rPr>
        <w:t xml:space="preserve">). It appears that fluctuations in temperature and humidity, variations in locally available packaging materials, and the precise </w:t>
      </w:r>
      <w:r w:rsidR="009F3BA8" w:rsidRPr="00A31491">
        <w:rPr>
          <w:rFonts w:ascii="Times New Roman" w:hAnsi="Times New Roman" w:cs="Times New Roman"/>
          <w:sz w:val="24"/>
          <w:szCs w:val="24"/>
          <w:lang w:val="en-US"/>
        </w:rPr>
        <w:t>shelf-life limit producers, healthcare facilities, and users' ability</w:t>
      </w:r>
      <w:r w:rsidRPr="00A31491">
        <w:rPr>
          <w:rFonts w:ascii="Times New Roman" w:hAnsi="Times New Roman" w:cs="Times New Roman"/>
          <w:sz w:val="24"/>
          <w:szCs w:val="24"/>
          <w:lang w:val="en-US"/>
        </w:rPr>
        <w:t xml:space="preserve"> to determine the safety and nutritional efficacy of fortified flours. It is within this context that the present study is conducted, aiming to </w:t>
      </w:r>
      <w:r w:rsidR="009F3BA8" w:rsidRPr="00A31491">
        <w:rPr>
          <w:rFonts w:ascii="Times New Roman" w:hAnsi="Times New Roman" w:cs="Times New Roman"/>
          <w:sz w:val="24"/>
          <w:szCs w:val="24"/>
          <w:lang w:val="en-US"/>
        </w:rPr>
        <w:t>assess</w:t>
      </w:r>
      <w:r w:rsidRPr="00A31491">
        <w:rPr>
          <w:rFonts w:ascii="Times New Roman" w:hAnsi="Times New Roman" w:cs="Times New Roman"/>
          <w:sz w:val="24"/>
          <w:szCs w:val="24"/>
          <w:lang w:val="en-US"/>
        </w:rPr>
        <w:t xml:space="preserve"> the stability of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fortified infant flour and establish the optimal storage conditions.</w:t>
      </w:r>
    </w:p>
    <w:p w14:paraId="63FF6CBA"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p>
    <w:p w14:paraId="38AE7407"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Materials and Methods</w:t>
      </w:r>
    </w:p>
    <w:p w14:paraId="17A604C4"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Materials Used</w:t>
      </w:r>
    </w:p>
    <w:p w14:paraId="57118CF9" w14:textId="3DAB1B58"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For this study,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fortified infant flour was selected as the material. This flour was made from the following raw materials and ingredients: millet, peanuts, soybeans, refined sugar, iodized salt, and Premix. The proportions of each ingredient were: millet: 58.46%</w:t>
      </w:r>
      <w:r w:rsidR="009F3BA8" w:rsidRPr="00A31491">
        <w:rPr>
          <w:rFonts w:ascii="Times New Roman" w:hAnsi="Times New Roman" w:cs="Times New Roman"/>
          <w:sz w:val="24"/>
          <w:szCs w:val="24"/>
          <w:lang w:val="en-US"/>
        </w:rPr>
        <w:t xml:space="preserve">; peanuts: 9%; soybeans: </w:t>
      </w:r>
      <w:r w:rsidR="009F3BA8" w:rsidRPr="00A31491">
        <w:rPr>
          <w:rFonts w:ascii="Times New Roman" w:hAnsi="Times New Roman" w:cs="Times New Roman"/>
          <w:sz w:val="24"/>
          <w:szCs w:val="24"/>
          <w:lang w:val="en-US"/>
        </w:rPr>
        <w:lastRenderedPageBreak/>
        <w:t>18%; refined sugar: 13%; iodized salt: 0.78%;</w:t>
      </w:r>
      <w:r w:rsidRPr="00A31491">
        <w:rPr>
          <w:rFonts w:ascii="Times New Roman" w:hAnsi="Times New Roman" w:cs="Times New Roman"/>
          <w:sz w:val="24"/>
          <w:szCs w:val="24"/>
          <w:lang w:val="en-US"/>
        </w:rPr>
        <w:t xml:space="preserve"> and the fortifier (Premix): 0.76%. The flour was packaged in food-grade plastic bags (FIF-EP) and aluminum pouches (FIF-EA). After </w:t>
      </w:r>
      <w:r w:rsidR="009F3BA8" w:rsidRPr="00A31491">
        <w:rPr>
          <w:rFonts w:ascii="Times New Roman" w:hAnsi="Times New Roman" w:cs="Times New Roman"/>
          <w:sz w:val="24"/>
          <w:szCs w:val="24"/>
          <w:lang w:val="en-US"/>
        </w:rPr>
        <w:t>heat sealing</w:t>
      </w:r>
      <w:r w:rsidRPr="00A31491">
        <w:rPr>
          <w:rFonts w:ascii="Times New Roman" w:hAnsi="Times New Roman" w:cs="Times New Roman"/>
          <w:sz w:val="24"/>
          <w:szCs w:val="24"/>
          <w:lang w:val="en-US"/>
        </w:rPr>
        <w:t>, two overlapping seals were applied to ensure optimal packaging integrity. The packaged flours were then placed in plastic display cases with lids and stored for six months in the handling room of the Research Laboratory at Abdou Moumouni University in Niamey. Throughout the storage period, the temperature (°C) of the immediate environment was measured using a thermometer and recorded on a monthly monitoring sheet, ensuring rigorous control of storage conditions.</w:t>
      </w:r>
    </w:p>
    <w:p w14:paraId="575A0805"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33F2804F"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Analytical Method</w:t>
      </w:r>
    </w:p>
    <w:p w14:paraId="6C59EFBF"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the Physicochemical Parameters of the Flour</w:t>
      </w:r>
    </w:p>
    <w:p w14:paraId="514F604E" w14:textId="668870C8"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To assess the impact of storage conditions on the physicochemical quality of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several analytical parameters were measured periodically, including moisture content, pH, ash content, and </w:t>
      </w:r>
      <w:r w:rsidR="009F3BA8" w:rsidRPr="00A31491">
        <w:rPr>
          <w:rFonts w:ascii="Times New Roman" w:hAnsi="Times New Roman" w:cs="Times New Roman"/>
          <w:sz w:val="24"/>
          <w:szCs w:val="24"/>
          <w:lang w:val="en-US"/>
        </w:rPr>
        <w:t>free fatty acid content</w:t>
      </w:r>
      <w:r w:rsidRPr="00A31491">
        <w:rPr>
          <w:rFonts w:ascii="Times New Roman" w:hAnsi="Times New Roman" w:cs="Times New Roman"/>
          <w:sz w:val="24"/>
          <w:szCs w:val="24"/>
          <w:lang w:val="en-US"/>
        </w:rPr>
        <w:t>.</w:t>
      </w:r>
    </w:p>
    <w:p w14:paraId="6D2E7C2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p>
    <w:p w14:paraId="2B5DF2FC"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Moisture Content</w:t>
      </w:r>
    </w:p>
    <w:p w14:paraId="4E3F691D" w14:textId="77777777"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The moisture content of the flour was determined in accordance with the French standard NF V 03 921 (AFNOR). This method is based on measuring the mass loss of the sample after heating in an oven at 103 ± 2 °C until a constant weight is reached. The analysis uses a tared crucible in which the test portion is weighed before and after drying. The moisture content is then calculated using the formula:</w:t>
      </w:r>
    </w:p>
    <w:p w14:paraId="71B066E2" w14:textId="77777777" w:rsidR="0055528E" w:rsidRPr="00A31491" w:rsidRDefault="0055528E" w:rsidP="00A31491">
      <w:pPr>
        <w:spacing w:after="0" w:line="360" w:lineRule="auto"/>
        <w:jc w:val="both"/>
        <w:rPr>
          <w:rFonts w:ascii="Times New Roman" w:hAnsi="Times New Roman" w:cs="Times New Roman"/>
          <w:sz w:val="24"/>
          <w:szCs w:val="24"/>
          <w:lang w:val="en-US"/>
        </w:rPr>
      </w:pPr>
      <w:proofErr w:type="spellStart"/>
      <w:r w:rsidRPr="00A31491">
        <w:rPr>
          <w:rFonts w:ascii="Times New Roman" w:hAnsi="Times New Roman" w:cs="Times New Roman"/>
          <w:sz w:val="24"/>
          <w:szCs w:val="24"/>
          <w:lang w:val="en-US"/>
        </w:rPr>
        <w:t>Te</w:t>
      </w:r>
      <w:proofErr w:type="spellEnd"/>
      <w:r w:rsidRPr="00A31491">
        <w:rPr>
          <w:rFonts w:ascii="Times New Roman" w:hAnsi="Times New Roman" w:cs="Times New Roman"/>
          <w:sz w:val="24"/>
          <w:szCs w:val="24"/>
          <w:lang w:val="en-US"/>
        </w:rPr>
        <w:t xml:space="preserve"> = (M2-M0)/(M1-M</w:t>
      </w:r>
      <w:proofErr w:type="gramStart"/>
      <w:r w:rsidRPr="00A31491">
        <w:rPr>
          <w:rFonts w:ascii="Times New Roman" w:hAnsi="Times New Roman" w:cs="Times New Roman"/>
          <w:sz w:val="24"/>
          <w:szCs w:val="24"/>
          <w:lang w:val="en-US"/>
        </w:rPr>
        <w:t>0)×</w:t>
      </w:r>
      <w:proofErr w:type="gramEnd"/>
      <w:r w:rsidRPr="00A31491">
        <w:rPr>
          <w:rFonts w:ascii="Times New Roman" w:hAnsi="Times New Roman" w:cs="Times New Roman"/>
          <w:sz w:val="24"/>
          <w:szCs w:val="24"/>
          <w:lang w:val="en-US"/>
        </w:rPr>
        <w:t>100</w:t>
      </w:r>
    </w:p>
    <w:p w14:paraId="1767D4C7" w14:textId="40D7E630"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where M0 represents the weight of the empty crucible, M1 the mass of the fresh sample, and M2 the weight of the crucible containing the dry residue. From this value, the dry matter (DM) content is deduced using the formula: DM = 100 − </w:t>
      </w:r>
      <w:proofErr w:type="spellStart"/>
      <w:r w:rsidRPr="00A31491">
        <w:rPr>
          <w:rFonts w:ascii="Times New Roman" w:hAnsi="Times New Roman" w:cs="Times New Roman"/>
          <w:sz w:val="24"/>
          <w:szCs w:val="24"/>
          <w:lang w:val="en-US"/>
        </w:rPr>
        <w:t>Te</w:t>
      </w:r>
      <w:proofErr w:type="spellEnd"/>
      <w:r w:rsidRPr="00A31491">
        <w:rPr>
          <w:rFonts w:ascii="Times New Roman" w:hAnsi="Times New Roman" w:cs="Times New Roman"/>
          <w:sz w:val="24"/>
          <w:szCs w:val="24"/>
          <w:lang w:val="en-US"/>
        </w:rPr>
        <w:t xml:space="preserve">. This procedure allows </w:t>
      </w:r>
      <w:r w:rsidR="005425D3" w:rsidRPr="00A31491">
        <w:rPr>
          <w:rFonts w:ascii="Times New Roman" w:hAnsi="Times New Roman" w:cs="Times New Roman"/>
          <w:sz w:val="24"/>
          <w:szCs w:val="24"/>
          <w:lang w:val="en-US"/>
        </w:rPr>
        <w:t>for the precise evaluation of the moisture content of stored flours at different time points</w:t>
      </w:r>
      <w:r w:rsidRPr="00A31491">
        <w:rPr>
          <w:rFonts w:ascii="Times New Roman" w:hAnsi="Times New Roman" w:cs="Times New Roman"/>
          <w:sz w:val="24"/>
          <w:szCs w:val="24"/>
          <w:lang w:val="en-US"/>
        </w:rPr>
        <w:t xml:space="preserve"> (T0, T2, T4, T6).</w:t>
      </w:r>
    </w:p>
    <w:p w14:paraId="055AA6B2" w14:textId="6C9362B9"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The moisture content is determined </w:t>
      </w:r>
      <w:r w:rsidR="009F3BA8" w:rsidRPr="00A31491">
        <w:rPr>
          <w:rFonts w:ascii="Times New Roman" w:hAnsi="Times New Roman" w:cs="Times New Roman"/>
          <w:sz w:val="24"/>
          <w:szCs w:val="24"/>
          <w:lang w:val="en-US"/>
        </w:rPr>
        <w:t>in accordance with</w:t>
      </w:r>
      <w:r w:rsidRPr="00A31491">
        <w:rPr>
          <w:rFonts w:ascii="Times New Roman" w:hAnsi="Times New Roman" w:cs="Times New Roman"/>
          <w:sz w:val="24"/>
          <w:szCs w:val="24"/>
          <w:lang w:val="en-US"/>
        </w:rPr>
        <w:t xml:space="preserve"> the French standard NF V 03 921 of the French Standardization Association (AFNOR). This corresponds to the mass loss experienced by the sample after</w:t>
      </w:r>
    </w:p>
    <w:p w14:paraId="01B9AA53"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4AC7D35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pH</w:t>
      </w:r>
    </w:p>
    <w:p w14:paraId="6F03C2B7" w14:textId="7FFAC7D8"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lastRenderedPageBreak/>
        <w:t xml:space="preserve">The pH of the flour was measured according to </w:t>
      </w:r>
      <w:r w:rsidRPr="00A41375">
        <w:rPr>
          <w:rFonts w:ascii="Times New Roman" w:hAnsi="Times New Roman" w:cs="Times New Roman"/>
          <w:color w:val="4472C4" w:themeColor="accent1"/>
          <w:sz w:val="24"/>
          <w:szCs w:val="24"/>
          <w:lang w:val="en-US"/>
        </w:rPr>
        <w:t>AACC method (</w:t>
      </w:r>
      <w:r w:rsidR="00A41375" w:rsidRPr="00A41375">
        <w:rPr>
          <w:rFonts w:ascii="Times New Roman" w:hAnsi="Times New Roman" w:cs="Times New Roman"/>
          <w:color w:val="4472C4" w:themeColor="accent1"/>
          <w:sz w:val="24"/>
          <w:szCs w:val="24"/>
          <w:lang w:val="en-US"/>
        </w:rPr>
        <w:t>2024</w:t>
      </w:r>
      <w:r w:rsidRPr="00A31491">
        <w:rPr>
          <w:rFonts w:ascii="Times New Roman" w:hAnsi="Times New Roman" w:cs="Times New Roman"/>
          <w:sz w:val="24"/>
          <w:szCs w:val="24"/>
          <w:lang w:val="en-US"/>
        </w:rPr>
        <w:t xml:space="preserve">). For each analysis, 10 g of flour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weighed into an Erlenmeyer flask and then homogenized with 90 mL of distilled water to obtain a representative suspension. After stirring, the pH was measured using a previously calibrated BIOBASE electronic pH meter. This method allows </w:t>
      </w:r>
      <w:r w:rsidR="009F3BA8" w:rsidRPr="00A31491">
        <w:rPr>
          <w:rFonts w:ascii="Times New Roman" w:hAnsi="Times New Roman" w:cs="Times New Roman"/>
          <w:sz w:val="24"/>
          <w:szCs w:val="24"/>
          <w:lang w:val="en-US"/>
        </w:rPr>
        <w:t>assessment of the evolution of the sample's acidity or alkalinity over 6</w:t>
      </w:r>
      <w:r w:rsidRPr="00A31491">
        <w:rPr>
          <w:rFonts w:ascii="Times New Roman" w:hAnsi="Times New Roman" w:cs="Times New Roman"/>
          <w:sz w:val="24"/>
          <w:szCs w:val="24"/>
          <w:lang w:val="en-US"/>
        </w:rPr>
        <w:t xml:space="preserve"> months of storage.</w:t>
      </w:r>
    </w:p>
    <w:p w14:paraId="7E51DEF6"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25E38692"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mineral (ash) content</w:t>
      </w:r>
    </w:p>
    <w:p w14:paraId="24AE449D" w14:textId="114A2193"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The ash content was determined according to the method of </w:t>
      </w:r>
      <w:r w:rsidR="00A41375" w:rsidRPr="00A41375">
        <w:rPr>
          <w:rFonts w:ascii="Times New Roman" w:hAnsi="Times New Roman" w:cs="Times New Roman"/>
          <w:color w:val="4472C4" w:themeColor="accent1"/>
          <w:sz w:val="24"/>
          <w:szCs w:val="24"/>
          <w:lang w:val="en-US"/>
        </w:rPr>
        <w:t>ISO (1994</w:t>
      </w:r>
      <w:r w:rsidRPr="00A31491">
        <w:rPr>
          <w:rFonts w:ascii="Times New Roman" w:hAnsi="Times New Roman" w:cs="Times New Roman"/>
          <w:sz w:val="24"/>
          <w:szCs w:val="24"/>
          <w:lang w:val="en-US"/>
        </w:rPr>
        <w:t xml:space="preserve">). Porcelain crucibles were dried at 105°C for one hour, cooled in a desiccator, and then weighed. Approximately 5 g of sample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then introduced into each crucible before being incinerated at 550°C for 24 h in a muffle furnace. After cooling in a desiccator, the crucibles were weighed to determine the amount of residual mineral matter. The ash content (AC) was calculated as follows: AC (%) = ((P2 − P1)</w:t>
      </w:r>
      <w:proofErr w:type="gramStart"/>
      <w:r w:rsidRPr="00A31491">
        <w:rPr>
          <w:rFonts w:ascii="Times New Roman" w:hAnsi="Times New Roman" w:cs="Times New Roman"/>
          <w:sz w:val="24"/>
          <w:szCs w:val="24"/>
          <w:lang w:val="en-US"/>
        </w:rPr>
        <w:t>/(</w:t>
      </w:r>
      <w:proofErr w:type="gramEnd"/>
      <w:r w:rsidRPr="00A31491">
        <w:rPr>
          <w:rFonts w:ascii="Times New Roman" w:hAnsi="Times New Roman" w:cs="Times New Roman"/>
          <w:sz w:val="24"/>
          <w:szCs w:val="24"/>
          <w:lang w:val="en-US"/>
        </w:rPr>
        <w:t>P0 × DM)) × 100,</w:t>
      </w:r>
    </w:p>
    <w:p w14:paraId="4C8B1001"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0DF1CF75" w14:textId="77777777"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where P0 is the mass of the sample, P1 the mass of the empty crucible, P2 the mass of the crucible with ash, AC the ash content, and DM the dry matter content. This method allows for the quantification of the mineral content of the flour.</w:t>
      </w:r>
    </w:p>
    <w:p w14:paraId="10B06DDC"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5B7346CB"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Fatty Acidity</w:t>
      </w:r>
    </w:p>
    <w:p w14:paraId="706FCA96" w14:textId="60CA636C"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Fatty acidity was measured in two steps</w:t>
      </w:r>
      <w:r w:rsidR="00FC660D">
        <w:rPr>
          <w:rFonts w:ascii="Times New Roman" w:hAnsi="Times New Roman" w:cs="Times New Roman"/>
          <w:sz w:val="24"/>
          <w:szCs w:val="24"/>
          <w:lang w:val="en-US"/>
        </w:rPr>
        <w:t xml:space="preserve"> (</w:t>
      </w:r>
      <w:proofErr w:type="spellStart"/>
      <w:r w:rsidR="00FC660D" w:rsidRPr="00B81EAD">
        <w:rPr>
          <w:rFonts w:ascii="Times New Roman" w:hAnsi="Times New Roman" w:cs="Times New Roman"/>
          <w:color w:val="4472C4" w:themeColor="accent1"/>
          <w:sz w:val="24"/>
          <w:szCs w:val="24"/>
          <w:lang w:val="en-US"/>
        </w:rPr>
        <w:t>Ermosh</w:t>
      </w:r>
      <w:proofErr w:type="spellEnd"/>
      <w:r w:rsidR="00FC660D" w:rsidRPr="00B81EAD">
        <w:rPr>
          <w:rFonts w:ascii="Times New Roman" w:hAnsi="Times New Roman" w:cs="Times New Roman"/>
          <w:color w:val="4472C4" w:themeColor="accent1"/>
          <w:sz w:val="24"/>
          <w:szCs w:val="24"/>
          <w:lang w:val="en-US"/>
        </w:rPr>
        <w:t xml:space="preserve"> &amp; </w:t>
      </w:r>
      <w:proofErr w:type="spellStart"/>
      <w:r w:rsidR="00FC660D" w:rsidRPr="00B81EAD">
        <w:rPr>
          <w:rFonts w:ascii="Times New Roman" w:hAnsi="Times New Roman" w:cs="Times New Roman"/>
          <w:color w:val="4472C4" w:themeColor="accent1"/>
          <w:sz w:val="24"/>
          <w:szCs w:val="24"/>
          <w:lang w:val="en-US"/>
        </w:rPr>
        <w:t>Prisukhina</w:t>
      </w:r>
      <w:proofErr w:type="spellEnd"/>
      <w:r w:rsidR="00FC660D" w:rsidRPr="00B81EAD">
        <w:rPr>
          <w:rFonts w:ascii="Times New Roman" w:hAnsi="Times New Roman" w:cs="Times New Roman"/>
          <w:color w:val="4472C4" w:themeColor="accent1"/>
          <w:sz w:val="24"/>
          <w:szCs w:val="24"/>
          <w:lang w:val="en-US"/>
        </w:rPr>
        <w:t>, 2025</w:t>
      </w:r>
      <w:r w:rsidR="00FC660D">
        <w:rPr>
          <w:rFonts w:ascii="Times New Roman" w:hAnsi="Times New Roman" w:cs="Times New Roman"/>
          <w:sz w:val="24"/>
          <w:szCs w:val="24"/>
          <w:lang w:val="en-US"/>
        </w:rPr>
        <w:t>)</w:t>
      </w:r>
      <w:r w:rsidRPr="00A31491">
        <w:rPr>
          <w:rFonts w:ascii="Times New Roman" w:hAnsi="Times New Roman" w:cs="Times New Roman"/>
          <w:sz w:val="24"/>
          <w:szCs w:val="24"/>
          <w:lang w:val="en-US"/>
        </w:rPr>
        <w:t>. First, fatty acids were extracted by macerating 5 g of flour in 30 ml of 95% ethanol</w:t>
      </w:r>
      <w:r w:rsidR="009F3BA8" w:rsidRPr="00A31491">
        <w:rPr>
          <w:rFonts w:ascii="Times New Roman" w:hAnsi="Times New Roman" w:cs="Times New Roman"/>
          <w:sz w:val="24"/>
          <w:szCs w:val="24"/>
          <w:lang w:val="en-US"/>
        </w:rPr>
        <w:t xml:space="preserve"> at 25°C for 30 minutes, then centrifuging</w:t>
      </w:r>
      <w:r w:rsidRPr="00A31491">
        <w:rPr>
          <w:rFonts w:ascii="Times New Roman" w:hAnsi="Times New Roman" w:cs="Times New Roman"/>
          <w:sz w:val="24"/>
          <w:szCs w:val="24"/>
          <w:lang w:val="en-US"/>
        </w:rPr>
        <w:t xml:space="preserve"> to obtain a clear solution. Next, 20 ml of the supernatant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taken, and 1 ml of phenolphthalein was added. The mixture was then titrated with a NaOH (N/20) solution until a pale pink color appeared. Fatty acidity was calculated as: N × 100 / P, where N represents the amount of NaOH used and P the amount of fat solution taken. This parameter indicates the degree of lipid hydrolysis that occurred during storage.</w:t>
      </w:r>
    </w:p>
    <w:p w14:paraId="0BBBCB77"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3E79482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Microbiological Analyses</w:t>
      </w:r>
    </w:p>
    <w:p w14:paraId="30B0B748" w14:textId="4DD1FBA6"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Microbiological analyses were performed at times T0, T3, and T6 to verify the sanitary conformity of the flours during storage. The microorganisms analyzed included yeasts and molds.</w:t>
      </w:r>
    </w:p>
    <w:p w14:paraId="3C890897"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6719229E" w14:textId="77777777"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lastRenderedPageBreak/>
        <w:t xml:space="preserve">3. </w:t>
      </w:r>
      <w:r w:rsidRPr="00A31491">
        <w:rPr>
          <w:rFonts w:ascii="Times New Roman" w:hAnsi="Times New Roman" w:cs="Times New Roman"/>
          <w:b/>
          <w:bCs/>
          <w:color w:val="EE0000"/>
          <w:sz w:val="24"/>
          <w:szCs w:val="24"/>
          <w:lang w:val="en-US"/>
        </w:rPr>
        <w:t>Results</w:t>
      </w:r>
    </w:p>
    <w:p w14:paraId="4A51F9AA" w14:textId="77777777"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3.1 Physical Characteristics of Flour During Storage</w:t>
      </w:r>
    </w:p>
    <w:p w14:paraId="45E3C8AC" w14:textId="77777777"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3.1.1. Temperature Monitoring During Storage</w:t>
      </w:r>
    </w:p>
    <w:p w14:paraId="70506721" w14:textId="01658C52" w:rsidR="00A87E89" w:rsidRPr="00FC660D" w:rsidRDefault="00A87E89" w:rsidP="00A31491">
      <w:pPr>
        <w:spacing w:after="0" w:line="360" w:lineRule="auto"/>
        <w:jc w:val="both"/>
        <w:rPr>
          <w:rFonts w:ascii="Times New Roman" w:hAnsi="Times New Roman" w:cs="Times New Roman"/>
          <w:noProof/>
          <w:sz w:val="24"/>
          <w:szCs w:val="24"/>
          <w:lang w:val="en-US"/>
        </w:rPr>
      </w:pPr>
      <w:r w:rsidRPr="00A31491">
        <w:rPr>
          <w:rFonts w:ascii="Times New Roman" w:hAnsi="Times New Roman" w:cs="Times New Roman"/>
          <w:sz w:val="24"/>
          <w:szCs w:val="24"/>
          <w:lang w:val="en-US"/>
        </w:rPr>
        <w:t>Figure 1 shows the temperature variation curve of the flour storage medium</w:t>
      </w:r>
    </w:p>
    <w:p w14:paraId="2E934E95" w14:textId="345E6F31" w:rsidR="003A24A8" w:rsidRPr="00A31491" w:rsidRDefault="003A24A8"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noProof/>
          <w:lang w:val="en-US"/>
        </w:rPr>
        <w:drawing>
          <wp:inline distT="0" distB="0" distL="0" distR="0" wp14:anchorId="25DC6D7D" wp14:editId="1AA6872B">
            <wp:extent cx="4572000" cy="2165350"/>
            <wp:effectExtent l="0" t="0" r="0" b="63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07DBAF" w14:textId="77777777"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 xml:space="preserve">Figure 1: </w:t>
      </w:r>
      <w:r w:rsidRPr="00A31491">
        <w:rPr>
          <w:rFonts w:ascii="Times New Roman" w:hAnsi="Times New Roman" w:cs="Times New Roman"/>
          <w:bCs/>
          <w:sz w:val="24"/>
          <w:szCs w:val="24"/>
          <w:lang w:val="en-US"/>
        </w:rPr>
        <w:t>Temperature Variation Curve of the Flour Storage Environment</w:t>
      </w:r>
    </w:p>
    <w:p w14:paraId="16B613D1" w14:textId="3FBA4D9E"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Figure 1 shows the evolution of storage temperatures measured between October and April in two environments: the laboratory and the community environment. In both environments, the storage environment temperatures observed in October are high, around 35–36 °C. In November, they decrease significantly, to approximately 26–27 °C, indicating a marked drop at the onset of the cooler season. The similarity of the values</w:t>
      </w:r>
      <w:r w:rsidR="009F3BA8" w:rsidRPr="00A31491">
        <w:rPr>
          <w:rFonts w:ascii="Times New Roman" w:hAnsi="Times New Roman" w:cs="Times New Roman"/>
          <w:bCs/>
          <w:sz w:val="24"/>
          <w:szCs w:val="24"/>
          <w:lang w:val="en-US"/>
        </w:rPr>
        <w:t xml:space="preserve"> recorded in both environments during these two months suggests that overall thermal conditions were</w:t>
      </w:r>
      <w:r w:rsidRPr="00A31491">
        <w:rPr>
          <w:rFonts w:ascii="Times New Roman" w:hAnsi="Times New Roman" w:cs="Times New Roman"/>
          <w:bCs/>
          <w:sz w:val="24"/>
          <w:szCs w:val="24"/>
          <w:lang w:val="en-US"/>
        </w:rPr>
        <w:t xml:space="preserve"> similar at the beginning of the study period.</w:t>
      </w:r>
    </w:p>
    <w:p w14:paraId="6222F5EA" w14:textId="55FDBFB3"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From December onward, only laboratory temperatures are available. These show relative stability between December and January, with temperatures </w:t>
      </w:r>
      <w:r w:rsidR="009F3BA8" w:rsidRPr="00A31491">
        <w:rPr>
          <w:rFonts w:ascii="Times New Roman" w:hAnsi="Times New Roman" w:cs="Times New Roman"/>
          <w:bCs/>
          <w:sz w:val="24"/>
          <w:szCs w:val="24"/>
          <w:lang w:val="en-US"/>
        </w:rPr>
        <w:t>ranging from 26 to</w:t>
      </w:r>
      <w:r w:rsidRPr="00A31491">
        <w:rPr>
          <w:rFonts w:ascii="Times New Roman" w:hAnsi="Times New Roman" w:cs="Times New Roman"/>
          <w:bCs/>
          <w:sz w:val="24"/>
          <w:szCs w:val="24"/>
          <w:lang w:val="en-US"/>
        </w:rPr>
        <w:t xml:space="preserve"> 27 °C. From February onward, an upward trend begins. The temperature initially rises slightly, reaching nearly 29°C, then climbs sharply in March and April, peaking between 37 and 38°C. This trend reflects a gradual warming, likely corresponding to a transition to a warmer season.</w:t>
      </w:r>
    </w:p>
    <w:p w14:paraId="72410CAA" w14:textId="1F070E2C"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overall analysis of these results highlights a </w:t>
      </w:r>
      <w:r w:rsidR="009F3BA8" w:rsidRPr="00A31491">
        <w:rPr>
          <w:rFonts w:ascii="Times New Roman" w:hAnsi="Times New Roman" w:cs="Times New Roman"/>
          <w:bCs/>
          <w:sz w:val="24"/>
          <w:szCs w:val="24"/>
          <w:lang w:val="en-US"/>
        </w:rPr>
        <w:t>substantial</w:t>
      </w:r>
      <w:r w:rsidRPr="00A31491">
        <w:rPr>
          <w:rFonts w:ascii="Times New Roman" w:hAnsi="Times New Roman" w:cs="Times New Roman"/>
          <w:bCs/>
          <w:sz w:val="24"/>
          <w:szCs w:val="24"/>
          <w:lang w:val="en-US"/>
        </w:rPr>
        <w:t xml:space="preserve"> seasonal variability in storage temperatures. The drop observed in November is followed by a cooler, more stable period during the colder months, then by a rapid warming at the end of the season. This dynamic could have significant implications if the stored products are heat-sensitive, particularly during March and April when temperatures </w:t>
      </w:r>
      <w:r w:rsidR="009F3BA8" w:rsidRPr="00A31491">
        <w:rPr>
          <w:rFonts w:ascii="Times New Roman" w:hAnsi="Times New Roman" w:cs="Times New Roman"/>
          <w:bCs/>
          <w:sz w:val="24"/>
          <w:szCs w:val="24"/>
          <w:lang w:val="en-US"/>
        </w:rPr>
        <w:t xml:space="preserve">frequently exceed the critical thresholds </w:t>
      </w:r>
      <w:r w:rsidRPr="00A31491">
        <w:rPr>
          <w:rFonts w:ascii="Times New Roman" w:hAnsi="Times New Roman" w:cs="Times New Roman"/>
          <w:bCs/>
          <w:sz w:val="24"/>
          <w:szCs w:val="24"/>
          <w:lang w:val="en-US"/>
        </w:rPr>
        <w:t>recommended for storing many temperature-sensitive products. The data also suggest that the laboratory is not a thermally controlled environment; temperatures there follow external climatic variations.</w:t>
      </w:r>
    </w:p>
    <w:p w14:paraId="448FBCDC" w14:textId="77777777"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p>
    <w:p w14:paraId="594D1B5D" w14:textId="77777777"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3.1.2. Variation in Moisture Content During Storage</w:t>
      </w:r>
    </w:p>
    <w:p w14:paraId="1AB34A28" w14:textId="394777C3"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The evolution of the flour's moisture content during storage is shown in Figure 2.</w:t>
      </w:r>
    </w:p>
    <w:p w14:paraId="47FCF9B6" w14:textId="455C988D" w:rsidR="003A24A8" w:rsidRPr="00A31491" w:rsidRDefault="003A24A8" w:rsidP="00A31491">
      <w:pPr>
        <w:tabs>
          <w:tab w:val="left" w:pos="6306"/>
        </w:tabs>
        <w:spacing w:after="0" w:line="360" w:lineRule="auto"/>
        <w:jc w:val="both"/>
        <w:rPr>
          <w:rFonts w:ascii="Times New Roman" w:hAnsi="Times New Roman" w:cs="Times New Roman"/>
          <w:sz w:val="24"/>
          <w:szCs w:val="24"/>
          <w:lang w:val="en-US"/>
        </w:rPr>
      </w:pPr>
      <w:r w:rsidRPr="00A31491">
        <w:rPr>
          <w:rFonts w:ascii="Times New Roman" w:hAnsi="Times New Roman" w:cs="Times New Roman"/>
          <w:noProof/>
          <w:sz w:val="20"/>
          <w:szCs w:val="20"/>
          <w:lang w:val="en-US"/>
        </w:rPr>
        <w:drawing>
          <wp:inline distT="0" distB="0" distL="0" distR="0" wp14:anchorId="0C5524FB" wp14:editId="5A049636">
            <wp:extent cx="4572000" cy="2127564"/>
            <wp:effectExtent l="0" t="0" r="0" b="6350"/>
            <wp:docPr id="2" name="Image 2" descr="C:\Users\HP\Desktop\Projet Article MISOLA v\First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 Article MISOLA v\First O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9863" cy="2140530"/>
                    </a:xfrm>
                    <a:prstGeom prst="rect">
                      <a:avLst/>
                    </a:prstGeom>
                    <a:noFill/>
                    <a:ln>
                      <a:noFill/>
                    </a:ln>
                  </pic:spPr>
                </pic:pic>
              </a:graphicData>
            </a:graphic>
          </wp:inline>
        </w:drawing>
      </w:r>
    </w:p>
    <w:p w14:paraId="0D7B7A26" w14:textId="77777777"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Packaging; EP: Plastic Packaging; C: Community</w:t>
      </w:r>
    </w:p>
    <w:p w14:paraId="5509ACB7" w14:textId="77777777" w:rsidR="00A87E89"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
          <w:sz w:val="24"/>
          <w:szCs w:val="24"/>
          <w:lang w:val="en-US"/>
        </w:rPr>
        <w:t>Figure 2:</w:t>
      </w:r>
      <w:r w:rsidRPr="00A31491">
        <w:rPr>
          <w:rFonts w:ascii="Times New Roman" w:hAnsi="Times New Roman" w:cs="Times New Roman"/>
          <w:bCs/>
          <w:sz w:val="24"/>
          <w:szCs w:val="24"/>
          <w:lang w:val="en-US"/>
        </w:rPr>
        <w:t xml:space="preserve"> Variation in Moisture Content During Storage</w:t>
      </w:r>
    </w:p>
    <w:p w14:paraId="461680CE" w14:textId="77777777" w:rsidR="00A31491" w:rsidRPr="00A31491" w:rsidRDefault="00A31491" w:rsidP="00A31491">
      <w:pPr>
        <w:spacing w:after="0" w:line="360" w:lineRule="auto"/>
        <w:jc w:val="both"/>
        <w:rPr>
          <w:rFonts w:ascii="Times New Roman" w:hAnsi="Times New Roman" w:cs="Times New Roman"/>
          <w:bCs/>
          <w:sz w:val="24"/>
          <w:szCs w:val="24"/>
          <w:lang w:val="en-US"/>
        </w:rPr>
      </w:pPr>
    </w:p>
    <w:p w14:paraId="6F33C90F" w14:textId="6B376C3F"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figure illustrates the change in moisture content (%) of a product </w:t>
      </w:r>
      <w:r w:rsidR="005425D3" w:rsidRPr="00A31491">
        <w:rPr>
          <w:rFonts w:ascii="Times New Roman" w:hAnsi="Times New Roman" w:cs="Times New Roman"/>
          <w:bCs/>
          <w:sz w:val="24"/>
          <w:szCs w:val="24"/>
          <w:lang w:val="en-US"/>
        </w:rPr>
        <w:t>from the initial time (T0) to 2 months (T0+2 months), 4 months (T0+4 months), and 6</w:t>
      </w:r>
      <w:r w:rsidRPr="00A31491">
        <w:rPr>
          <w:rFonts w:ascii="Times New Roman" w:hAnsi="Times New Roman" w:cs="Times New Roman"/>
          <w:bCs/>
          <w:sz w:val="24"/>
          <w:szCs w:val="24"/>
          <w:lang w:val="en-US"/>
        </w:rPr>
        <w:t xml:space="preserve"> months (T0+6 months). At time T0, the moisture content is </w:t>
      </w:r>
      <w:r w:rsidR="005425D3" w:rsidRPr="00A31491">
        <w:rPr>
          <w:rFonts w:ascii="Times New Roman" w:hAnsi="Times New Roman" w:cs="Times New Roman"/>
          <w:bCs/>
          <w:sz w:val="24"/>
          <w:szCs w:val="24"/>
          <w:lang w:val="en-US"/>
        </w:rPr>
        <w:t>3.15%, then drops sharply to 0% for the FIF-EA-T2 sample, suggesting</w:t>
      </w:r>
      <w:r w:rsidRPr="00A31491">
        <w:rPr>
          <w:rFonts w:ascii="Times New Roman" w:hAnsi="Times New Roman" w:cs="Times New Roman"/>
          <w:bCs/>
          <w:sz w:val="24"/>
          <w:szCs w:val="24"/>
          <w:lang w:val="en-US"/>
        </w:rPr>
        <w:t xml:space="preserve"> an anomaly or </w:t>
      </w:r>
      <w:r w:rsidR="005425D3" w:rsidRPr="00A31491">
        <w:rPr>
          <w:rFonts w:ascii="Times New Roman" w:hAnsi="Times New Roman" w:cs="Times New Roman"/>
          <w:bCs/>
          <w:sz w:val="24"/>
          <w:szCs w:val="24"/>
          <w:lang w:val="en-US"/>
        </w:rPr>
        <w:t>a dehydrated</w:t>
      </w:r>
      <w:r w:rsidRPr="00A31491">
        <w:rPr>
          <w:rFonts w:ascii="Times New Roman" w:hAnsi="Times New Roman" w:cs="Times New Roman"/>
          <w:bCs/>
          <w:sz w:val="24"/>
          <w:szCs w:val="24"/>
          <w:lang w:val="en-US"/>
        </w:rPr>
        <w:t xml:space="preserve"> sample.</w:t>
      </w:r>
    </w:p>
    <w:p w14:paraId="30B549D3" w14:textId="2AAB70D2"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From T0+2 months onward, the moisture content stabilizes between 3.17% and 3.39%, depending on the sample type. This relative stability suggests that the product maintains moderate moisture during the first weeks of storage, without </w:t>
      </w:r>
      <w:r w:rsidR="005425D3" w:rsidRP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variations likely to affect its quality. At time T0+4 months, a slight increase was observed, with the content reaching 3.6% for both samples analyzed. This gradual increase continued until T0+6 months, where the values ​​reached 4.16% and then 4.7%, indicating a more pronounced increase in moisture over time.</w:t>
      </w:r>
    </w:p>
    <w:p w14:paraId="1C6A4974" w14:textId="0181593B"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show an upward trend in moisture content after two months of storage, with a more pronounced increase between four and six months. This trend suggests </w:t>
      </w:r>
      <w:r w:rsidR="005425D3" w:rsidRPr="00A31491">
        <w:rPr>
          <w:rFonts w:ascii="Times New Roman" w:hAnsi="Times New Roman" w:cs="Times New Roman"/>
          <w:bCs/>
          <w:sz w:val="24"/>
          <w:szCs w:val="24"/>
          <w:lang w:val="en-US"/>
        </w:rPr>
        <w:t>progressive moisture absorption by the product during storage, which could affect</w:t>
      </w:r>
      <w:r w:rsidRPr="00A31491">
        <w:rPr>
          <w:rFonts w:ascii="Times New Roman" w:hAnsi="Times New Roman" w:cs="Times New Roman"/>
          <w:bCs/>
          <w:sz w:val="24"/>
          <w:szCs w:val="24"/>
          <w:lang w:val="en-US"/>
        </w:rPr>
        <w:t xml:space="preserve"> its stability, preservation, or functional properties.</w:t>
      </w:r>
    </w:p>
    <w:p w14:paraId="3490A8DB" w14:textId="77777777" w:rsidR="00A87E89" w:rsidRPr="00A31491" w:rsidRDefault="00A87E89" w:rsidP="00A31491">
      <w:pPr>
        <w:spacing w:after="0" w:line="360" w:lineRule="auto"/>
        <w:jc w:val="both"/>
        <w:rPr>
          <w:rFonts w:ascii="Times New Roman" w:hAnsi="Times New Roman" w:cs="Times New Roman"/>
          <w:bCs/>
          <w:sz w:val="24"/>
          <w:szCs w:val="24"/>
          <w:lang w:val="en-US"/>
        </w:rPr>
      </w:pPr>
    </w:p>
    <w:p w14:paraId="2CAA9880" w14:textId="77777777" w:rsidR="00A87E89" w:rsidRPr="00A31491" w:rsidRDefault="00A87E89" w:rsidP="00A31491">
      <w:pPr>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3.1.3. Evolution of the lipid content of stored flours</w:t>
      </w:r>
    </w:p>
    <w:p w14:paraId="2F004F9C" w14:textId="2D25B85B" w:rsidR="00A87E89"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lastRenderedPageBreak/>
        <w:t xml:space="preserve">Table </w:t>
      </w:r>
      <w:r w:rsidR="00A57CC3" w:rsidRPr="00A31491">
        <w:rPr>
          <w:rFonts w:ascii="Times New Roman" w:hAnsi="Times New Roman" w:cs="Times New Roman"/>
          <w:b/>
          <w:sz w:val="24"/>
          <w:szCs w:val="24"/>
          <w:lang w:val="en-US"/>
        </w:rPr>
        <w:t>1.</w:t>
      </w:r>
      <w:r w:rsidRPr="00A31491">
        <w:rPr>
          <w:rFonts w:ascii="Times New Roman" w:hAnsi="Times New Roman" w:cs="Times New Roman"/>
          <w:bCs/>
          <w:sz w:val="24"/>
          <w:szCs w:val="24"/>
          <w:lang w:val="en-US"/>
        </w:rPr>
        <w:t xml:space="preserve"> Lipid content of flours during storage</w:t>
      </w:r>
    </w:p>
    <w:tbl>
      <w:tblPr>
        <w:tblStyle w:val="Tableausimple21"/>
        <w:tblpPr w:leftFromText="180" w:rightFromText="180" w:vertAnchor="text" w:horzAnchor="margin" w:tblpXSpec="center" w:tblpY="431"/>
        <w:tblW w:w="5000" w:type="pct"/>
        <w:tblLook w:val="04A0" w:firstRow="1" w:lastRow="0" w:firstColumn="1" w:lastColumn="0" w:noHBand="0" w:noVBand="1"/>
      </w:tblPr>
      <w:tblGrid>
        <w:gridCol w:w="3477"/>
        <w:gridCol w:w="1737"/>
        <w:gridCol w:w="4136"/>
      </w:tblGrid>
      <w:tr w:rsidR="00A87E89" w:rsidRPr="00A31491" w14:paraId="4DC3B64B" w14:textId="77777777" w:rsidTr="005425D3">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859" w:type="pct"/>
            <w:tcBorders>
              <w:top w:val="single" w:sz="4" w:space="0" w:color="7F7F7F" w:themeColor="text1" w:themeTint="80"/>
              <w:left w:val="single" w:sz="4" w:space="0" w:color="auto"/>
            </w:tcBorders>
          </w:tcPr>
          <w:p w14:paraId="39FADB74" w14:textId="34F439AC" w:rsidR="00A87E89" w:rsidRPr="00A31491" w:rsidRDefault="00A87E89" w:rsidP="00A31491">
            <w:pPr>
              <w:jc w:val="both"/>
              <w:rPr>
                <w:rFonts w:ascii="Times New Roman" w:hAnsi="Times New Roman" w:cs="Times New Roman"/>
                <w:b w:val="0"/>
                <w:bCs w:val="0"/>
                <w:sz w:val="24"/>
                <w:szCs w:val="24"/>
              </w:rPr>
            </w:pPr>
            <w:r w:rsidRPr="00A31491">
              <w:rPr>
                <w:rFonts w:ascii="Times New Roman" w:hAnsi="Times New Roman" w:cs="Times New Roman"/>
                <w:sz w:val="24"/>
                <w:szCs w:val="24"/>
              </w:rPr>
              <w:t>T</w:t>
            </w:r>
            <w:r w:rsidR="005425D3" w:rsidRPr="00A31491">
              <w:rPr>
                <w:rFonts w:ascii="Times New Roman" w:hAnsi="Times New Roman" w:cs="Times New Roman"/>
                <w:sz w:val="24"/>
                <w:szCs w:val="24"/>
              </w:rPr>
              <w:t>imes</w:t>
            </w:r>
          </w:p>
        </w:tc>
        <w:tc>
          <w:tcPr>
            <w:tcW w:w="929" w:type="pct"/>
            <w:tcBorders>
              <w:top w:val="single" w:sz="4" w:space="0" w:color="7F7F7F" w:themeColor="text1" w:themeTint="80"/>
            </w:tcBorders>
          </w:tcPr>
          <w:p w14:paraId="67C1CB6D" w14:textId="1B23ACF4" w:rsidR="00A87E89" w:rsidRPr="00A31491" w:rsidRDefault="00A87E89" w:rsidP="00A314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F</w:t>
            </w:r>
            <w:r w:rsidR="005425D3" w:rsidRPr="00A31491">
              <w:rPr>
                <w:rFonts w:ascii="Times New Roman" w:hAnsi="Times New Roman" w:cs="Times New Roman"/>
                <w:sz w:val="24"/>
                <w:szCs w:val="24"/>
              </w:rPr>
              <w:t>lours</w:t>
            </w:r>
          </w:p>
        </w:tc>
        <w:tc>
          <w:tcPr>
            <w:tcW w:w="2211" w:type="pct"/>
            <w:tcBorders>
              <w:top w:val="single" w:sz="4" w:space="0" w:color="7F7F7F" w:themeColor="text1" w:themeTint="80"/>
              <w:right w:val="single" w:sz="4" w:space="0" w:color="auto"/>
            </w:tcBorders>
          </w:tcPr>
          <w:p w14:paraId="10A61015" w14:textId="53509F16" w:rsidR="00A87E89" w:rsidRPr="00A31491" w:rsidRDefault="00A87E89" w:rsidP="00A314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lipid</w:t>
            </w:r>
            <w:r w:rsidR="005425D3" w:rsidRPr="00A31491">
              <w:rPr>
                <w:rFonts w:ascii="Times New Roman" w:hAnsi="Times New Roman" w:cs="Times New Roman"/>
                <w:sz w:val="24"/>
                <w:szCs w:val="24"/>
              </w:rPr>
              <w:t xml:space="preserve"> content</w:t>
            </w:r>
            <w:r w:rsidRPr="00A31491">
              <w:rPr>
                <w:rFonts w:ascii="Times New Roman" w:hAnsi="Times New Roman" w:cs="Times New Roman"/>
                <w:sz w:val="24"/>
                <w:szCs w:val="24"/>
              </w:rPr>
              <w:t xml:space="preserve"> (%)</w:t>
            </w:r>
          </w:p>
        </w:tc>
      </w:tr>
      <w:tr w:rsidR="00A87E89" w:rsidRPr="00A31491" w14:paraId="1D575689" w14:textId="77777777" w:rsidTr="005425D3">
        <w:trPr>
          <w:trHeight w:val="337"/>
        </w:trPr>
        <w:tc>
          <w:tcPr>
            <w:cnfStyle w:val="001000000000" w:firstRow="0" w:lastRow="0" w:firstColumn="1" w:lastColumn="0" w:oddVBand="0" w:evenVBand="0" w:oddHBand="0" w:evenHBand="0" w:firstRowFirstColumn="0" w:firstRowLastColumn="0" w:lastRowFirstColumn="0" w:lastRowLastColumn="0"/>
            <w:tcW w:w="1859" w:type="pct"/>
            <w:tcBorders>
              <w:top w:val="single" w:sz="4" w:space="0" w:color="7F7F7F" w:themeColor="text1" w:themeTint="80"/>
              <w:left w:val="single" w:sz="4" w:space="0" w:color="auto"/>
              <w:bottom w:val="single" w:sz="4" w:space="0" w:color="7F7F7F" w:themeColor="text1" w:themeTint="80"/>
            </w:tcBorders>
          </w:tcPr>
          <w:p w14:paraId="5ADB0ED4" w14:textId="3148C50C"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w:t>
            </w:r>
            <w:r w:rsidR="005425D3" w:rsidRPr="00A31491">
              <w:rPr>
                <w:rFonts w:ascii="Times New Roman" w:hAnsi="Times New Roman" w:cs="Times New Roman"/>
                <w:b w:val="0"/>
                <w:sz w:val="24"/>
                <w:szCs w:val="24"/>
              </w:rPr>
              <w:t>ime</w:t>
            </w:r>
            <w:r w:rsidRPr="00A31491">
              <w:rPr>
                <w:rFonts w:ascii="Times New Roman" w:hAnsi="Times New Roman" w:cs="Times New Roman"/>
                <w:b w:val="0"/>
                <w:sz w:val="24"/>
                <w:szCs w:val="24"/>
              </w:rPr>
              <w:t>-T0</w:t>
            </w:r>
          </w:p>
        </w:tc>
        <w:tc>
          <w:tcPr>
            <w:tcW w:w="929" w:type="pct"/>
            <w:tcBorders>
              <w:top w:val="single" w:sz="4" w:space="0" w:color="7F7F7F" w:themeColor="text1" w:themeTint="80"/>
              <w:bottom w:val="single" w:sz="4" w:space="0" w:color="7F7F7F" w:themeColor="text1" w:themeTint="80"/>
            </w:tcBorders>
          </w:tcPr>
          <w:p w14:paraId="20D4C4D1"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2211" w:type="pct"/>
            <w:tcBorders>
              <w:top w:val="single" w:sz="4" w:space="0" w:color="7F7F7F" w:themeColor="text1" w:themeTint="80"/>
              <w:bottom w:val="single" w:sz="4" w:space="0" w:color="7F7F7F" w:themeColor="text1" w:themeTint="80"/>
              <w:right w:val="single" w:sz="4" w:space="0" w:color="auto"/>
            </w:tcBorders>
          </w:tcPr>
          <w:p w14:paraId="1D8F4BB0" w14:textId="51FDC103"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13</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2</w:t>
            </w:r>
          </w:p>
        </w:tc>
      </w:tr>
      <w:tr w:rsidR="00A87E89" w:rsidRPr="00A31491" w14:paraId="36D77D18"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3A9F9711" w14:textId="77777777" w:rsidR="00A87E89" w:rsidRPr="00A31491" w:rsidRDefault="00A87E89" w:rsidP="00A31491">
            <w:pPr>
              <w:jc w:val="both"/>
              <w:rPr>
                <w:rFonts w:ascii="Times New Roman" w:hAnsi="Times New Roman" w:cs="Times New Roman"/>
                <w:b w:val="0"/>
                <w:sz w:val="24"/>
                <w:szCs w:val="24"/>
              </w:rPr>
            </w:pPr>
          </w:p>
          <w:p w14:paraId="17734417" w14:textId="77777777" w:rsidR="00A87E89" w:rsidRPr="00A31491" w:rsidRDefault="00A87E89" w:rsidP="00A31491">
            <w:pPr>
              <w:jc w:val="both"/>
              <w:rPr>
                <w:rFonts w:ascii="Times New Roman" w:hAnsi="Times New Roman" w:cs="Times New Roman"/>
                <w:b w:val="0"/>
                <w:sz w:val="24"/>
                <w:szCs w:val="24"/>
              </w:rPr>
            </w:pPr>
          </w:p>
          <w:p w14:paraId="3C07E2D3" w14:textId="154E0BB6"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T0+2mo</w:t>
            </w:r>
            <w:r w:rsidR="005425D3" w:rsidRPr="00A31491">
              <w:rPr>
                <w:rFonts w:ascii="Times New Roman" w:hAnsi="Times New Roman" w:cs="Times New Roman"/>
                <w:b w:val="0"/>
                <w:sz w:val="24"/>
                <w:szCs w:val="24"/>
              </w:rPr>
              <w:t>nth</w:t>
            </w:r>
            <w:r w:rsidRPr="00A31491">
              <w:rPr>
                <w:rFonts w:ascii="Times New Roman" w:hAnsi="Times New Roman" w:cs="Times New Roman"/>
                <w:b w:val="0"/>
                <w:sz w:val="24"/>
                <w:szCs w:val="24"/>
              </w:rPr>
              <w:t xml:space="preserve">s </w:t>
            </w:r>
          </w:p>
        </w:tc>
        <w:tc>
          <w:tcPr>
            <w:tcW w:w="929" w:type="pct"/>
          </w:tcPr>
          <w:p w14:paraId="15958289"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w:t>
            </w:r>
          </w:p>
        </w:tc>
        <w:tc>
          <w:tcPr>
            <w:tcW w:w="2211" w:type="pct"/>
            <w:tcBorders>
              <w:right w:val="single" w:sz="4" w:space="0" w:color="auto"/>
            </w:tcBorders>
          </w:tcPr>
          <w:p w14:paraId="23BD78FE" w14:textId="229B97E1"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6</w:t>
            </w:r>
          </w:p>
        </w:tc>
      </w:tr>
      <w:tr w:rsidR="00A87E89" w:rsidRPr="00A31491" w14:paraId="69A6D5A6"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03E6CCE0"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484E67F8"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2211" w:type="pct"/>
            <w:tcBorders>
              <w:top w:val="single" w:sz="4" w:space="0" w:color="7F7F7F" w:themeColor="text1" w:themeTint="80"/>
              <w:bottom w:val="single" w:sz="4" w:space="0" w:color="7F7F7F" w:themeColor="text1" w:themeTint="80"/>
              <w:right w:val="single" w:sz="4" w:space="0" w:color="auto"/>
            </w:tcBorders>
          </w:tcPr>
          <w:p w14:paraId="02F77096" w14:textId="169D2DEF"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4</w:t>
            </w:r>
          </w:p>
        </w:tc>
      </w:tr>
      <w:tr w:rsidR="00A87E89" w:rsidRPr="00A31491" w14:paraId="5E91E8A4"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left w:val="single" w:sz="4" w:space="0" w:color="auto"/>
            </w:tcBorders>
          </w:tcPr>
          <w:p w14:paraId="405F3320" w14:textId="77777777" w:rsidR="00A87E89" w:rsidRPr="00A31491" w:rsidRDefault="00A87E89" w:rsidP="00A31491">
            <w:pPr>
              <w:jc w:val="both"/>
              <w:rPr>
                <w:rFonts w:ascii="Times New Roman" w:hAnsi="Times New Roman" w:cs="Times New Roman"/>
                <w:b w:val="0"/>
                <w:sz w:val="24"/>
                <w:szCs w:val="24"/>
              </w:rPr>
            </w:pPr>
          </w:p>
        </w:tc>
        <w:tc>
          <w:tcPr>
            <w:tcW w:w="929" w:type="pct"/>
          </w:tcPr>
          <w:p w14:paraId="1F3919BC"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2211" w:type="pct"/>
            <w:tcBorders>
              <w:right w:val="single" w:sz="4" w:space="0" w:color="auto"/>
            </w:tcBorders>
          </w:tcPr>
          <w:p w14:paraId="6C9D033B" w14:textId="0FF42D80"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13</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6</w:t>
            </w:r>
          </w:p>
        </w:tc>
      </w:tr>
      <w:tr w:rsidR="00A87E89" w:rsidRPr="00A31491" w14:paraId="6B64B974"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1E96BF4F"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18360A7A"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2211" w:type="pct"/>
            <w:tcBorders>
              <w:top w:val="single" w:sz="4" w:space="0" w:color="7F7F7F" w:themeColor="text1" w:themeTint="80"/>
              <w:bottom w:val="single" w:sz="4" w:space="0" w:color="7F7F7F" w:themeColor="text1" w:themeTint="80"/>
              <w:right w:val="single" w:sz="4" w:space="0" w:color="auto"/>
            </w:tcBorders>
          </w:tcPr>
          <w:p w14:paraId="6C3C9673" w14:textId="0EBBCA6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5</w:t>
            </w:r>
          </w:p>
        </w:tc>
      </w:tr>
      <w:tr w:rsidR="00A87E89" w:rsidRPr="00A31491" w14:paraId="6E4AF23B"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122B84C4" w14:textId="77777777" w:rsidR="00A87E89" w:rsidRPr="00A31491" w:rsidRDefault="00A87E89" w:rsidP="00A31491">
            <w:pPr>
              <w:jc w:val="both"/>
              <w:rPr>
                <w:rFonts w:ascii="Times New Roman" w:hAnsi="Times New Roman" w:cs="Times New Roman"/>
                <w:b w:val="0"/>
                <w:sz w:val="24"/>
                <w:szCs w:val="24"/>
              </w:rPr>
            </w:pPr>
          </w:p>
          <w:p w14:paraId="2A90FCCA" w14:textId="3CD73794"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T0+4mo</w:t>
            </w:r>
            <w:r w:rsidR="005425D3" w:rsidRPr="00A31491">
              <w:rPr>
                <w:rFonts w:ascii="Times New Roman" w:hAnsi="Times New Roman" w:cs="Times New Roman"/>
                <w:b w:val="0"/>
                <w:sz w:val="24"/>
                <w:szCs w:val="24"/>
              </w:rPr>
              <w:t>nths</w:t>
            </w:r>
          </w:p>
        </w:tc>
        <w:tc>
          <w:tcPr>
            <w:tcW w:w="929" w:type="pct"/>
          </w:tcPr>
          <w:p w14:paraId="173EA3F5"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2211" w:type="pct"/>
            <w:tcBorders>
              <w:right w:val="single" w:sz="4" w:space="0" w:color="auto"/>
            </w:tcBorders>
          </w:tcPr>
          <w:p w14:paraId="5924A7EC" w14:textId="0E2F298C"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7</w:t>
            </w:r>
          </w:p>
        </w:tc>
      </w:tr>
      <w:tr w:rsidR="00A87E89" w:rsidRPr="00A31491" w14:paraId="0816ABB9" w14:textId="77777777" w:rsidTr="005425D3">
        <w:trPr>
          <w:trHeight w:val="119"/>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4C3BB80B"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2A106C84"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2211" w:type="pct"/>
            <w:tcBorders>
              <w:top w:val="single" w:sz="4" w:space="0" w:color="7F7F7F" w:themeColor="text1" w:themeTint="80"/>
              <w:bottom w:val="single" w:sz="4" w:space="0" w:color="7F7F7F" w:themeColor="text1" w:themeTint="80"/>
              <w:right w:val="single" w:sz="4" w:space="0" w:color="auto"/>
            </w:tcBorders>
          </w:tcPr>
          <w:p w14:paraId="531FDAB8" w14:textId="010600F6"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8</w:t>
            </w:r>
          </w:p>
        </w:tc>
      </w:tr>
      <w:tr w:rsidR="00A87E89" w:rsidRPr="00A31491" w14:paraId="7648DABC"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68C69ABE" w14:textId="77777777" w:rsidR="00A87E89" w:rsidRPr="00A31491" w:rsidRDefault="00A87E89" w:rsidP="00A31491">
            <w:pPr>
              <w:jc w:val="both"/>
              <w:rPr>
                <w:rFonts w:ascii="Times New Roman" w:hAnsi="Times New Roman" w:cs="Times New Roman"/>
                <w:b w:val="0"/>
                <w:sz w:val="24"/>
                <w:szCs w:val="24"/>
              </w:rPr>
            </w:pPr>
          </w:p>
          <w:p w14:paraId="262B5041" w14:textId="67789884"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T0+6mo</w:t>
            </w:r>
            <w:r w:rsidR="005425D3" w:rsidRPr="00A31491">
              <w:rPr>
                <w:rFonts w:ascii="Times New Roman" w:hAnsi="Times New Roman" w:cs="Times New Roman"/>
                <w:b w:val="0"/>
                <w:sz w:val="24"/>
                <w:szCs w:val="24"/>
              </w:rPr>
              <w:t>nths</w:t>
            </w:r>
          </w:p>
        </w:tc>
        <w:tc>
          <w:tcPr>
            <w:tcW w:w="929" w:type="pct"/>
          </w:tcPr>
          <w:p w14:paraId="66B2904C"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2211" w:type="pct"/>
            <w:tcBorders>
              <w:right w:val="single" w:sz="4" w:space="0" w:color="auto"/>
            </w:tcBorders>
          </w:tcPr>
          <w:p w14:paraId="6B56A6C6" w14:textId="144A1460"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15</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5</w:t>
            </w:r>
          </w:p>
        </w:tc>
      </w:tr>
      <w:tr w:rsidR="00A87E89" w:rsidRPr="00A31491" w14:paraId="28D21CBD"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63FC5236"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61EABB74"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2211" w:type="pct"/>
            <w:tcBorders>
              <w:top w:val="single" w:sz="4" w:space="0" w:color="7F7F7F" w:themeColor="text1" w:themeTint="80"/>
              <w:bottom w:val="single" w:sz="4" w:space="0" w:color="7F7F7F" w:themeColor="text1" w:themeTint="80"/>
              <w:right w:val="single" w:sz="4" w:space="0" w:color="auto"/>
            </w:tcBorders>
          </w:tcPr>
          <w:p w14:paraId="0526492E" w14:textId="07141E7D"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16</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3</w:t>
            </w:r>
          </w:p>
        </w:tc>
      </w:tr>
      <w:tr w:rsidR="00A87E89" w:rsidRPr="00A31491" w14:paraId="03DB6C53" w14:textId="77777777">
        <w:trPr>
          <w:trHeight w:val="40"/>
        </w:trPr>
        <w:tc>
          <w:tcPr>
            <w:cnfStyle w:val="001000000000" w:firstRow="0" w:lastRow="0" w:firstColumn="1" w:lastColumn="0" w:oddVBand="0" w:evenVBand="0" w:oddHBand="0" w:evenHBand="0" w:firstRowFirstColumn="0" w:firstRowLastColumn="0" w:lastRowFirstColumn="0" w:lastRowLastColumn="0"/>
            <w:tcW w:w="1859" w:type="pct"/>
            <w:tcBorders>
              <w:left w:val="single" w:sz="4" w:space="0" w:color="auto"/>
            </w:tcBorders>
          </w:tcPr>
          <w:p w14:paraId="1FA54CE3" w14:textId="6F487C48" w:rsidR="00A87E89" w:rsidRPr="00A31491" w:rsidRDefault="003A24A8"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 xml:space="preserve">Nigerien Standard </w:t>
            </w:r>
            <w:r w:rsidR="00A87E89" w:rsidRPr="00A31491">
              <w:rPr>
                <w:rFonts w:ascii="Times New Roman" w:hAnsi="Times New Roman" w:cs="Times New Roman"/>
                <w:b w:val="0"/>
                <w:sz w:val="24"/>
                <w:szCs w:val="24"/>
              </w:rPr>
              <w:t>NN 01-010-02</w:t>
            </w:r>
          </w:p>
        </w:tc>
        <w:tc>
          <w:tcPr>
            <w:tcW w:w="3141" w:type="pct"/>
            <w:gridSpan w:val="2"/>
            <w:tcBorders>
              <w:right w:val="single" w:sz="4" w:space="0" w:color="auto"/>
            </w:tcBorders>
          </w:tcPr>
          <w:p w14:paraId="23836C38"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 xml:space="preserve">10&lt;x&lt;25  </w:t>
            </w:r>
          </w:p>
        </w:tc>
      </w:tr>
    </w:tbl>
    <w:p w14:paraId="13D766AD" w14:textId="77777777" w:rsidR="00A87E89" w:rsidRPr="00A31491" w:rsidRDefault="00A87E89" w:rsidP="00A31491">
      <w:pPr>
        <w:spacing w:after="0" w:line="360" w:lineRule="auto"/>
        <w:ind w:left="-5"/>
        <w:jc w:val="both"/>
        <w:rPr>
          <w:rFonts w:ascii="Times New Roman" w:hAnsi="Times New Roman" w:cs="Times New Roman"/>
          <w:b/>
          <w:sz w:val="24"/>
          <w:szCs w:val="24"/>
        </w:rPr>
      </w:pPr>
    </w:p>
    <w:p w14:paraId="2EF8A50A" w14:textId="77777777"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foil packaging; EP: Plastic packaging; C: Community, % = percentage</w:t>
      </w:r>
    </w:p>
    <w:p w14:paraId="1DCF7E8E" w14:textId="45262627"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lipid content of the flours was 13.2% at T0. After </w:t>
      </w:r>
      <w:r w:rsidR="00A31491">
        <w:rPr>
          <w:rFonts w:ascii="Times New Roman" w:hAnsi="Times New Roman" w:cs="Times New Roman"/>
          <w:bCs/>
          <w:sz w:val="24"/>
          <w:szCs w:val="24"/>
          <w:lang w:val="en-US"/>
        </w:rPr>
        <w:t xml:space="preserve">2 months of storage, the analyzed variants showed a slight increase, with values </w:t>
      </w:r>
      <w:r w:rsidRPr="00A31491">
        <w:rPr>
          <w:rFonts w:ascii="Times New Roman" w:hAnsi="Times New Roman" w:cs="Times New Roman"/>
          <w:bCs/>
          <w:sz w:val="24"/>
          <w:szCs w:val="24"/>
          <w:lang w:val="en-US"/>
        </w:rPr>
        <w:t>ranging from 13.6% to 14.6%. This variability remained moderate</w:t>
      </w:r>
      <w:r w:rsidR="00A31491">
        <w:rPr>
          <w:rFonts w:ascii="Times New Roman" w:hAnsi="Times New Roman" w:cs="Times New Roman"/>
          <w:bCs/>
          <w:sz w:val="24"/>
          <w:szCs w:val="24"/>
          <w:lang w:val="en-US"/>
        </w:rPr>
        <w:t>, indicating</w:t>
      </w:r>
      <w:r w:rsidRPr="00A31491">
        <w:rPr>
          <w:rFonts w:ascii="Times New Roman" w:hAnsi="Times New Roman" w:cs="Times New Roman"/>
          <w:bCs/>
          <w:sz w:val="24"/>
          <w:szCs w:val="24"/>
          <w:lang w:val="en-US"/>
        </w:rPr>
        <w:t xml:space="preserve"> relative stability in lipid content at the beginning of storage, despite some fluctuations between samples. At T0+4 months, the lipid content continued its slight increase, reaching 14.7% and 14.8% </w:t>
      </w:r>
      <w:r w:rsidR="00A31491">
        <w:rPr>
          <w:rFonts w:ascii="Times New Roman" w:hAnsi="Times New Roman" w:cs="Times New Roman"/>
          <w:bCs/>
          <w:sz w:val="24"/>
          <w:szCs w:val="24"/>
          <w:lang w:val="en-US"/>
        </w:rPr>
        <w:t>for the two types</w:t>
      </w:r>
      <w:r w:rsidRPr="00A31491">
        <w:rPr>
          <w:rFonts w:ascii="Times New Roman" w:hAnsi="Times New Roman" w:cs="Times New Roman"/>
          <w:bCs/>
          <w:sz w:val="24"/>
          <w:szCs w:val="24"/>
          <w:lang w:val="en-US"/>
        </w:rPr>
        <w:t xml:space="preserve"> of flour. This gradual increase likely reflects a relative concentration due to moisture loss or slight analytical variations rather than true lipid enrichment. After six months of storage, the lipid content increased significantly, reaching 15.5% and 16.3%. Although a notable increase </w:t>
      </w:r>
      <w:r w:rsidR="002A25DF" w:rsidRPr="00A31491">
        <w:rPr>
          <w:rFonts w:ascii="Times New Roman" w:hAnsi="Times New Roman" w:cs="Times New Roman"/>
          <w:bCs/>
          <w:sz w:val="24"/>
          <w:szCs w:val="24"/>
          <w:lang w:val="en-US"/>
        </w:rPr>
        <w:t xml:space="preserve">from the initial value, these levels remain </w:t>
      </w:r>
      <w:r w:rsidR="00A31491">
        <w:rPr>
          <w:rFonts w:ascii="Times New Roman" w:hAnsi="Times New Roman" w:cs="Times New Roman"/>
          <w:bCs/>
          <w:sz w:val="24"/>
          <w:szCs w:val="24"/>
          <w:lang w:val="en-US"/>
        </w:rPr>
        <w:t>primarily</w:t>
      </w:r>
      <w:r w:rsidR="002A25DF" w:rsidRPr="00A31491">
        <w:rPr>
          <w:rFonts w:ascii="Times New Roman" w:hAnsi="Times New Roman" w:cs="Times New Roman"/>
          <w:bCs/>
          <w:sz w:val="24"/>
          <w:szCs w:val="24"/>
          <w:lang w:val="en-US"/>
        </w:rPr>
        <w:t xml:space="preserve"> within the limits of the Nigerian standard NN 01-010-02, which sets an acceptable range of 10% to</w:t>
      </w:r>
      <w:r w:rsidRPr="00A31491">
        <w:rPr>
          <w:rFonts w:ascii="Times New Roman" w:hAnsi="Times New Roman" w:cs="Times New Roman"/>
          <w:bCs/>
          <w:sz w:val="24"/>
          <w:szCs w:val="24"/>
          <w:lang w:val="en-US"/>
        </w:rPr>
        <w:t xml:space="preserve"> 25%.</w:t>
      </w:r>
    </w:p>
    <w:p w14:paraId="1DE699FA" w14:textId="77777777"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Overall, the results indicate a slight, progressive increase in lipid content during storage, particularly marked after six months, while remaining within the regulatory limits. This change could be linked to a gradual reduction in water content or to oxidation or redistribution of lipid fractions within the product.</w:t>
      </w:r>
    </w:p>
    <w:p w14:paraId="32ADBE06" w14:textId="77777777" w:rsidR="00F306A2" w:rsidRPr="00A31491" w:rsidRDefault="00F306A2" w:rsidP="00A31491">
      <w:pPr>
        <w:spacing w:after="0" w:line="360" w:lineRule="auto"/>
        <w:ind w:left="15" w:right="21"/>
        <w:jc w:val="both"/>
        <w:rPr>
          <w:rFonts w:ascii="Times New Roman" w:hAnsi="Times New Roman" w:cs="Times New Roman"/>
          <w:b/>
          <w:sz w:val="24"/>
          <w:szCs w:val="24"/>
          <w:lang w:val="en-US"/>
        </w:rPr>
      </w:pPr>
    </w:p>
    <w:p w14:paraId="4E5FBA7B" w14:textId="77777777" w:rsidR="00F306A2" w:rsidRPr="00A31491" w:rsidRDefault="00F306A2" w:rsidP="00A31491">
      <w:pPr>
        <w:spacing w:after="0" w:line="360" w:lineRule="auto"/>
        <w:ind w:left="15" w:right="21"/>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 xml:space="preserve">3.1.4. pH Evolution During Storage of </w:t>
      </w:r>
      <w:proofErr w:type="spellStart"/>
      <w:r w:rsidRPr="00A31491">
        <w:rPr>
          <w:rFonts w:ascii="Times New Roman" w:hAnsi="Times New Roman" w:cs="Times New Roman"/>
          <w:b/>
          <w:sz w:val="24"/>
          <w:szCs w:val="24"/>
          <w:lang w:val="en-US"/>
        </w:rPr>
        <w:t>Misola</w:t>
      </w:r>
      <w:proofErr w:type="spellEnd"/>
      <w:r w:rsidRPr="00A31491">
        <w:rPr>
          <w:rFonts w:ascii="Times New Roman" w:hAnsi="Times New Roman" w:cs="Times New Roman"/>
          <w:b/>
          <w:sz w:val="24"/>
          <w:szCs w:val="24"/>
          <w:lang w:val="en-US"/>
        </w:rPr>
        <w:t xml:space="preserve"> Flour</w:t>
      </w:r>
    </w:p>
    <w:p w14:paraId="1A5F3363" w14:textId="5C2FBCAF" w:rsidR="00A87E89" w:rsidRPr="00A31491" w:rsidRDefault="00F306A2" w:rsidP="00A31491">
      <w:pPr>
        <w:spacing w:after="0" w:line="360" w:lineRule="auto"/>
        <w:ind w:left="15" w:right="21"/>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2.</w:t>
      </w:r>
      <w:r w:rsidRPr="00A31491">
        <w:rPr>
          <w:rFonts w:ascii="Times New Roman" w:hAnsi="Times New Roman" w:cs="Times New Roman"/>
          <w:b/>
          <w:sz w:val="24"/>
          <w:szCs w:val="24"/>
          <w:lang w:val="en-US"/>
        </w:rPr>
        <w:t xml:space="preserve"> </w:t>
      </w:r>
      <w:r w:rsidRPr="00A31491">
        <w:rPr>
          <w:rFonts w:ascii="Times New Roman" w:hAnsi="Times New Roman" w:cs="Times New Roman"/>
          <w:bCs/>
          <w:sz w:val="24"/>
          <w:szCs w:val="24"/>
          <w:lang w:val="en-US"/>
        </w:rPr>
        <w:t>pH of Flours During Storage</w:t>
      </w:r>
    </w:p>
    <w:tbl>
      <w:tblPr>
        <w:tblStyle w:val="Tableausimple31"/>
        <w:tblW w:w="9484" w:type="dxa"/>
        <w:tblLook w:val="04A0" w:firstRow="1" w:lastRow="0" w:firstColumn="1" w:lastColumn="0" w:noHBand="0" w:noVBand="1"/>
      </w:tblPr>
      <w:tblGrid>
        <w:gridCol w:w="3867"/>
        <w:gridCol w:w="3983"/>
        <w:gridCol w:w="1634"/>
      </w:tblGrid>
      <w:tr w:rsidR="002A25DF" w:rsidRPr="00A31491" w14:paraId="2107E472" w14:textId="77777777" w:rsidTr="002A25DF">
        <w:trPr>
          <w:cnfStyle w:val="100000000000" w:firstRow="1" w:lastRow="0" w:firstColumn="0" w:lastColumn="0" w:oddVBand="0" w:evenVBand="0" w:oddHBand="0" w:evenHBand="0" w:firstRowFirstColumn="0" w:firstRowLastColumn="0" w:lastRowFirstColumn="0" w:lastRowLastColumn="0"/>
          <w:trHeight w:val="256"/>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bottom w:val="single" w:sz="4" w:space="0" w:color="auto"/>
            </w:tcBorders>
            <w:shd w:val="clear" w:color="auto" w:fill="E7E6E6" w:themeFill="background2"/>
          </w:tcPr>
          <w:p w14:paraId="514321AC" w14:textId="353D10AB" w:rsidR="00A87E89" w:rsidRPr="00A31491" w:rsidRDefault="00A57CC3">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Cs w:val="0"/>
                <w:caps w:val="0"/>
                <w:sz w:val="24"/>
                <w:szCs w:val="24"/>
              </w:rPr>
              <w:t>Times</w:t>
            </w:r>
          </w:p>
        </w:tc>
        <w:tc>
          <w:tcPr>
            <w:tcW w:w="0" w:type="auto"/>
            <w:tcBorders>
              <w:top w:val="single" w:sz="4" w:space="0" w:color="auto"/>
              <w:bottom w:val="single" w:sz="4" w:space="0" w:color="auto"/>
            </w:tcBorders>
            <w:shd w:val="clear" w:color="auto" w:fill="E7E6E6" w:themeFill="background2"/>
          </w:tcPr>
          <w:p w14:paraId="176FB2FB" w14:textId="2287A774" w:rsidR="00A87E89" w:rsidRPr="00A31491" w:rsidRDefault="00A57CC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aps w:val="0"/>
                <w:sz w:val="24"/>
                <w:szCs w:val="24"/>
              </w:rPr>
            </w:pPr>
            <w:r w:rsidRPr="00A31491">
              <w:rPr>
                <w:rFonts w:ascii="Times New Roman" w:hAnsi="Times New Roman" w:cs="Times New Roman"/>
                <w:bCs w:val="0"/>
                <w:caps w:val="0"/>
                <w:sz w:val="24"/>
                <w:szCs w:val="24"/>
              </w:rPr>
              <w:t>Flours</w:t>
            </w:r>
          </w:p>
        </w:tc>
        <w:tc>
          <w:tcPr>
            <w:tcW w:w="0" w:type="auto"/>
            <w:tcBorders>
              <w:top w:val="single" w:sz="4" w:space="0" w:color="auto"/>
              <w:bottom w:val="single" w:sz="4" w:space="0" w:color="auto"/>
              <w:right w:val="single" w:sz="4" w:space="0" w:color="auto"/>
            </w:tcBorders>
            <w:shd w:val="clear" w:color="auto" w:fill="E7E6E6" w:themeFill="background2"/>
          </w:tcPr>
          <w:p w14:paraId="33320573" w14:textId="53FCF38C" w:rsidR="00A87E89" w:rsidRPr="00A31491" w:rsidRDefault="00A57CC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aps w:val="0"/>
                <w:sz w:val="24"/>
                <w:szCs w:val="24"/>
              </w:rPr>
            </w:pPr>
            <w:r w:rsidRPr="00A31491">
              <w:rPr>
                <w:rFonts w:ascii="Times New Roman" w:hAnsi="Times New Roman" w:cs="Times New Roman"/>
                <w:bCs w:val="0"/>
                <w:caps w:val="0"/>
                <w:sz w:val="18"/>
                <w:szCs w:val="18"/>
              </w:rPr>
              <w:t>p</w:t>
            </w:r>
            <w:r w:rsidRPr="00A31491">
              <w:rPr>
                <w:rFonts w:ascii="Times New Roman" w:hAnsi="Times New Roman" w:cs="Times New Roman"/>
                <w:bCs w:val="0"/>
                <w:sz w:val="18"/>
                <w:szCs w:val="18"/>
              </w:rPr>
              <w:t>H</w:t>
            </w:r>
          </w:p>
        </w:tc>
      </w:tr>
      <w:tr w:rsidR="00A31491" w:rsidRPr="00A31491" w14:paraId="68D6E8FD" w14:textId="77777777" w:rsidTr="002A25DF">
        <w:trPr>
          <w:trHeight w:val="4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shd w:val="clear" w:color="auto" w:fill="F2F2F2" w:themeFill="background1" w:themeFillShade="F2"/>
          </w:tcPr>
          <w:p w14:paraId="42334619" w14:textId="3DBD964E" w:rsidR="00A87E89" w:rsidRPr="00A31491" w:rsidRDefault="00A57CC3">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caps w:val="0"/>
                <w:sz w:val="24"/>
                <w:szCs w:val="24"/>
              </w:rPr>
              <w:t>Times</w:t>
            </w:r>
            <w:r w:rsidR="00A87E89" w:rsidRPr="00A31491">
              <w:rPr>
                <w:rFonts w:ascii="Times New Roman" w:hAnsi="Times New Roman" w:cs="Times New Roman"/>
                <w:b w:val="0"/>
                <w:sz w:val="24"/>
                <w:szCs w:val="24"/>
              </w:rPr>
              <w:t>-T0</w:t>
            </w:r>
          </w:p>
        </w:tc>
        <w:tc>
          <w:tcPr>
            <w:tcW w:w="0" w:type="auto"/>
            <w:tcBorders>
              <w:top w:val="single" w:sz="4" w:space="0" w:color="auto"/>
              <w:bottom w:val="single" w:sz="4" w:space="0" w:color="auto"/>
            </w:tcBorders>
            <w:shd w:val="clear" w:color="auto" w:fill="F2F2F2" w:themeFill="background1" w:themeFillShade="F2"/>
          </w:tcPr>
          <w:p w14:paraId="441516C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7818C1F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5.3</w:t>
            </w:r>
          </w:p>
        </w:tc>
      </w:tr>
      <w:tr w:rsidR="00A87E89" w:rsidRPr="00A31491" w14:paraId="6E7BCEE4"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17B52946" w14:textId="77777777" w:rsidR="00A87E89" w:rsidRPr="00A31491" w:rsidRDefault="00A87E89">
            <w:pPr>
              <w:spacing w:line="360" w:lineRule="auto"/>
              <w:jc w:val="both"/>
              <w:rPr>
                <w:rFonts w:ascii="Times New Roman" w:hAnsi="Times New Roman" w:cs="Times New Roman"/>
                <w:bCs w:val="0"/>
                <w:caps w:val="0"/>
                <w:sz w:val="24"/>
                <w:szCs w:val="24"/>
              </w:rPr>
            </w:pPr>
          </w:p>
          <w:p w14:paraId="1BFD2378" w14:textId="77777777" w:rsidR="00A87E89" w:rsidRPr="00A31491" w:rsidRDefault="00A87E89">
            <w:pPr>
              <w:spacing w:line="360" w:lineRule="auto"/>
              <w:jc w:val="both"/>
              <w:rPr>
                <w:rFonts w:ascii="Times New Roman" w:hAnsi="Times New Roman" w:cs="Times New Roman"/>
                <w:bCs w:val="0"/>
                <w:caps w:val="0"/>
                <w:sz w:val="24"/>
                <w:szCs w:val="24"/>
              </w:rPr>
            </w:pPr>
          </w:p>
          <w:p w14:paraId="59467F8B" w14:textId="39C98154"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w:t>
            </w:r>
            <w:r w:rsidR="00A57CC3" w:rsidRPr="00A31491">
              <w:rPr>
                <w:rFonts w:ascii="Times New Roman" w:hAnsi="Times New Roman" w:cs="Times New Roman"/>
                <w:b w:val="0"/>
                <w:caps w:val="0"/>
                <w:sz w:val="24"/>
                <w:szCs w:val="24"/>
              </w:rPr>
              <w:t xml:space="preserve">2months </w:t>
            </w:r>
          </w:p>
        </w:tc>
        <w:tc>
          <w:tcPr>
            <w:tcW w:w="0" w:type="auto"/>
            <w:tcBorders>
              <w:top w:val="single" w:sz="4" w:space="0" w:color="auto"/>
              <w:bottom w:val="single" w:sz="4" w:space="0" w:color="auto"/>
            </w:tcBorders>
          </w:tcPr>
          <w:p w14:paraId="0097E63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lastRenderedPageBreak/>
              <w:t>FIF-EA-T2</w:t>
            </w:r>
          </w:p>
        </w:tc>
        <w:tc>
          <w:tcPr>
            <w:tcW w:w="0" w:type="auto"/>
            <w:tcBorders>
              <w:top w:val="single" w:sz="4" w:space="0" w:color="auto"/>
              <w:bottom w:val="single" w:sz="4" w:space="0" w:color="auto"/>
              <w:right w:val="single" w:sz="4" w:space="0" w:color="auto"/>
            </w:tcBorders>
          </w:tcPr>
          <w:p w14:paraId="5E689DD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5.28</w:t>
            </w:r>
          </w:p>
        </w:tc>
      </w:tr>
      <w:tr w:rsidR="00A31491" w:rsidRPr="00A31491" w14:paraId="7AA3B3C2"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1EBCF651"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52425412"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55A01DC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5.21</w:t>
            </w:r>
          </w:p>
        </w:tc>
      </w:tr>
      <w:tr w:rsidR="00A87E89" w:rsidRPr="00A31491" w14:paraId="110402EF"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tcPr>
          <w:p w14:paraId="75341076"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tcPr>
          <w:p w14:paraId="696869C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0" w:type="auto"/>
            <w:tcBorders>
              <w:top w:val="single" w:sz="4" w:space="0" w:color="auto"/>
              <w:bottom w:val="single" w:sz="4" w:space="0" w:color="auto"/>
              <w:right w:val="single" w:sz="4" w:space="0" w:color="auto"/>
            </w:tcBorders>
          </w:tcPr>
          <w:p w14:paraId="65AF4C03"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5.25</w:t>
            </w:r>
          </w:p>
        </w:tc>
      </w:tr>
      <w:tr w:rsidR="00A31491" w:rsidRPr="00A31491" w14:paraId="7801281E"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61F13741"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7DE1ADC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55D56E9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5.17</w:t>
            </w:r>
          </w:p>
        </w:tc>
      </w:tr>
      <w:tr w:rsidR="00A87E89" w:rsidRPr="00A31491" w14:paraId="6C012CE8"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5F6CF1BF" w14:textId="77777777" w:rsidR="00A87E89" w:rsidRPr="00A31491" w:rsidRDefault="00A87E89">
            <w:pPr>
              <w:spacing w:line="360" w:lineRule="auto"/>
              <w:jc w:val="both"/>
              <w:rPr>
                <w:rFonts w:ascii="Times New Roman" w:hAnsi="Times New Roman" w:cs="Times New Roman"/>
                <w:bCs w:val="0"/>
                <w:caps w:val="0"/>
                <w:sz w:val="24"/>
                <w:szCs w:val="24"/>
              </w:rPr>
            </w:pPr>
          </w:p>
          <w:p w14:paraId="7183071F" w14:textId="29943252"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T0+4</w:t>
            </w:r>
            <w:r w:rsidR="002A25DF" w:rsidRPr="00A31491">
              <w:rPr>
                <w:rFonts w:ascii="Times New Roman" w:hAnsi="Times New Roman" w:cs="Times New Roman"/>
                <w:b w:val="0"/>
                <w:sz w:val="24"/>
                <w:szCs w:val="24"/>
              </w:rPr>
              <w:t xml:space="preserve"> </w:t>
            </w:r>
            <w:r w:rsidR="00A57CC3" w:rsidRPr="00A31491">
              <w:rPr>
                <w:rFonts w:ascii="Times New Roman" w:hAnsi="Times New Roman" w:cs="Times New Roman"/>
                <w:b w:val="0"/>
                <w:caps w:val="0"/>
                <w:sz w:val="24"/>
                <w:szCs w:val="24"/>
              </w:rPr>
              <w:t>months</w:t>
            </w:r>
          </w:p>
        </w:tc>
        <w:tc>
          <w:tcPr>
            <w:tcW w:w="0" w:type="auto"/>
            <w:tcBorders>
              <w:top w:val="single" w:sz="4" w:space="0" w:color="auto"/>
              <w:bottom w:val="single" w:sz="4" w:space="0" w:color="auto"/>
            </w:tcBorders>
          </w:tcPr>
          <w:p w14:paraId="4AB52F3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0" w:type="auto"/>
            <w:tcBorders>
              <w:top w:val="single" w:sz="4" w:space="0" w:color="auto"/>
              <w:bottom w:val="single" w:sz="4" w:space="0" w:color="auto"/>
              <w:right w:val="single" w:sz="4" w:space="0" w:color="auto"/>
            </w:tcBorders>
          </w:tcPr>
          <w:p w14:paraId="23E0394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5.24</w:t>
            </w:r>
          </w:p>
        </w:tc>
      </w:tr>
      <w:tr w:rsidR="00A31491" w:rsidRPr="00A31491" w14:paraId="036AA0F3" w14:textId="77777777">
        <w:trPr>
          <w:trHeight w:val="25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0424A643"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0D0B141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7D0D545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5.18</w:t>
            </w:r>
          </w:p>
        </w:tc>
      </w:tr>
      <w:tr w:rsidR="00A87E89" w:rsidRPr="00A31491" w14:paraId="7D5AC975"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2CAD3510" w14:textId="77777777" w:rsidR="00A87E89" w:rsidRPr="00A31491" w:rsidRDefault="00A87E89">
            <w:pPr>
              <w:spacing w:line="360" w:lineRule="auto"/>
              <w:jc w:val="both"/>
              <w:rPr>
                <w:rFonts w:ascii="Times New Roman" w:hAnsi="Times New Roman" w:cs="Times New Roman"/>
                <w:bCs w:val="0"/>
                <w:caps w:val="0"/>
                <w:sz w:val="24"/>
                <w:szCs w:val="24"/>
              </w:rPr>
            </w:pPr>
          </w:p>
          <w:p w14:paraId="0BD975CA" w14:textId="79029E2C"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T0+6</w:t>
            </w:r>
            <w:r w:rsidR="002A25DF" w:rsidRPr="00A31491">
              <w:rPr>
                <w:rFonts w:ascii="Times New Roman" w:hAnsi="Times New Roman" w:cs="Times New Roman"/>
                <w:b w:val="0"/>
                <w:sz w:val="24"/>
                <w:szCs w:val="24"/>
              </w:rPr>
              <w:t xml:space="preserve"> </w:t>
            </w:r>
            <w:r w:rsidR="00A57CC3" w:rsidRPr="00A31491">
              <w:rPr>
                <w:rFonts w:ascii="Times New Roman" w:hAnsi="Times New Roman" w:cs="Times New Roman"/>
                <w:b w:val="0"/>
                <w:caps w:val="0"/>
                <w:sz w:val="24"/>
                <w:szCs w:val="24"/>
              </w:rPr>
              <w:t>months</w:t>
            </w:r>
          </w:p>
        </w:tc>
        <w:tc>
          <w:tcPr>
            <w:tcW w:w="0" w:type="auto"/>
            <w:tcBorders>
              <w:top w:val="single" w:sz="4" w:space="0" w:color="auto"/>
              <w:bottom w:val="single" w:sz="4" w:space="0" w:color="auto"/>
            </w:tcBorders>
          </w:tcPr>
          <w:p w14:paraId="30888B1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0" w:type="auto"/>
            <w:tcBorders>
              <w:top w:val="single" w:sz="4" w:space="0" w:color="auto"/>
              <w:bottom w:val="single" w:sz="4" w:space="0" w:color="auto"/>
              <w:right w:val="single" w:sz="4" w:space="0" w:color="auto"/>
            </w:tcBorders>
          </w:tcPr>
          <w:p w14:paraId="014CE0D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w:t>
            </w:r>
          </w:p>
        </w:tc>
      </w:tr>
      <w:tr w:rsidR="00A31491" w:rsidRPr="00A31491" w14:paraId="5676056B"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1EEF8B89"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66C8D9B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42551E3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5.15</w:t>
            </w:r>
          </w:p>
        </w:tc>
      </w:tr>
    </w:tbl>
    <w:p w14:paraId="1748E152" w14:textId="77777777" w:rsidR="00F306A2" w:rsidRPr="00A31491" w:rsidRDefault="00F306A2" w:rsidP="00F306A2">
      <w:pPr>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foil packaging; EP: Plastic packaging; C: Community, % = percentage</w:t>
      </w:r>
    </w:p>
    <w:p w14:paraId="61F8CC8C" w14:textId="084C2D6C" w:rsidR="00F306A2" w:rsidRPr="00A31491" w:rsidRDefault="00F306A2" w:rsidP="00A31491">
      <w:pPr>
        <w:spacing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pH of the flours is 5.3 at T0. After </w:t>
      </w:r>
      <w:r w:rsidR="00EB36BA" w:rsidRPr="00A31491">
        <w:rPr>
          <w:rFonts w:ascii="Times New Roman" w:hAnsi="Times New Roman" w:cs="Times New Roman"/>
          <w:bCs/>
          <w:sz w:val="24"/>
          <w:szCs w:val="24"/>
          <w:lang w:val="en-US"/>
        </w:rPr>
        <w:t xml:space="preserve">2 months of storage, the analyzed variants show a slight decrease, with values </w:t>
      </w:r>
      <w:r w:rsidRPr="00A31491">
        <w:rPr>
          <w:rFonts w:ascii="Times New Roman" w:hAnsi="Times New Roman" w:cs="Times New Roman"/>
          <w:bCs/>
          <w:sz w:val="24"/>
          <w:szCs w:val="24"/>
          <w:lang w:val="en-US"/>
        </w:rPr>
        <w:t>ranging from 5.17 to 5.28. This moderate variation indicates low acidification</w:t>
      </w:r>
      <w:r w:rsidR="00EB36BA" w:rsidRPr="00A31491">
        <w:rPr>
          <w:rFonts w:ascii="Times New Roman" w:hAnsi="Times New Roman" w:cs="Times New Roman"/>
          <w:bCs/>
          <w:sz w:val="24"/>
          <w:szCs w:val="24"/>
          <w:lang w:val="en-US"/>
        </w:rPr>
        <w:t xml:space="preserve"> and suggests</w:t>
      </w:r>
      <w:r w:rsidRPr="00A31491">
        <w:rPr>
          <w:rFonts w:ascii="Times New Roman" w:hAnsi="Times New Roman" w:cs="Times New Roman"/>
          <w:bCs/>
          <w:sz w:val="24"/>
          <w:szCs w:val="24"/>
          <w:lang w:val="en-US"/>
        </w:rPr>
        <w:t xml:space="preserve"> good overall pH stability at the beginning of storage, despite some differences between samples.</w:t>
      </w:r>
    </w:p>
    <w:p w14:paraId="20CBF4D2" w14:textId="14B1E95B" w:rsidR="00F306A2" w:rsidRPr="00A31491" w:rsidRDefault="00F306A2" w:rsidP="00A31491">
      <w:pPr>
        <w:spacing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At T0+4 months, the pH continues </w:t>
      </w:r>
      <w:r w:rsidR="00EB36BA" w:rsidRPr="00A31491">
        <w:rPr>
          <w:rFonts w:ascii="Times New Roman" w:hAnsi="Times New Roman" w:cs="Times New Roman"/>
          <w:bCs/>
          <w:sz w:val="24"/>
          <w:szCs w:val="24"/>
          <w:lang w:val="en-US"/>
        </w:rPr>
        <w:t>to decrease very slightly</w:t>
      </w:r>
      <w:r w:rsidRPr="00A31491">
        <w:rPr>
          <w:rFonts w:ascii="Times New Roman" w:hAnsi="Times New Roman" w:cs="Times New Roman"/>
          <w:bCs/>
          <w:sz w:val="24"/>
          <w:szCs w:val="24"/>
          <w:lang w:val="en-US"/>
        </w:rPr>
        <w:t xml:space="preserve">, reaching 5.24 for the EA variant and 5.18 for the EP variant. This gradual change likely reflects natural product aging or low residual biological activity, without, however, indicating significant deterioration. After </w:t>
      </w:r>
      <w:r w:rsidR="00EB36BA" w:rsidRPr="00A31491">
        <w:rPr>
          <w:rFonts w:ascii="Times New Roman" w:hAnsi="Times New Roman" w:cs="Times New Roman"/>
          <w:bCs/>
          <w:sz w:val="24"/>
          <w:szCs w:val="24"/>
          <w:lang w:val="en-US"/>
        </w:rPr>
        <w:t>6 months of storage, the pH shows a slightly greater</w:t>
      </w:r>
      <w:r w:rsidRPr="00A31491">
        <w:rPr>
          <w:rFonts w:ascii="Times New Roman" w:hAnsi="Times New Roman" w:cs="Times New Roman"/>
          <w:bCs/>
          <w:sz w:val="24"/>
          <w:szCs w:val="24"/>
          <w:lang w:val="en-US"/>
        </w:rPr>
        <w:t xml:space="preserve"> decrease, reaching 5.20 for the EA flour and 5.15 for the EP flour. Although lower than the initial value, these pH values ​​remain very close to those measured in previous periods, indicating satisfactory stability of the flours over the studied storage period.</w:t>
      </w:r>
    </w:p>
    <w:p w14:paraId="6C567067" w14:textId="1D692801" w:rsidR="00F306A2" w:rsidRPr="00A31491" w:rsidRDefault="00F306A2"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highlight a slight, progressive acidification during storage, particularly noticeable after six months, but remaining within a narrow range and without </w:t>
      </w:r>
      <w:r w:rsid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impact on product quality. This slow pH evolution could be linked to micro-physicochemical variations, such as the gradual reduction of moisture, the release of organic compounds, or interactions between the flour constituents.</w:t>
      </w:r>
    </w:p>
    <w:p w14:paraId="4B23023F" w14:textId="77777777" w:rsidR="00F306A2" w:rsidRPr="00A31491" w:rsidRDefault="00F306A2" w:rsidP="00A31491">
      <w:pPr>
        <w:spacing w:after="0" w:line="360" w:lineRule="auto"/>
        <w:rPr>
          <w:rFonts w:ascii="Times New Roman" w:hAnsi="Times New Roman" w:cs="Times New Roman"/>
          <w:b/>
          <w:sz w:val="24"/>
          <w:szCs w:val="24"/>
          <w:lang w:val="en-US"/>
        </w:rPr>
      </w:pPr>
    </w:p>
    <w:p w14:paraId="191A1B35" w14:textId="77777777" w:rsidR="00F306A2" w:rsidRPr="00A31491" w:rsidRDefault="00F306A2" w:rsidP="00A31491">
      <w:pPr>
        <w:spacing w:after="0" w:line="360" w:lineRule="auto"/>
        <w:rPr>
          <w:rFonts w:ascii="Times New Roman" w:hAnsi="Times New Roman" w:cs="Times New Roman"/>
          <w:b/>
          <w:sz w:val="24"/>
          <w:szCs w:val="24"/>
          <w:lang w:val="en-US"/>
        </w:rPr>
      </w:pPr>
      <w:r w:rsidRPr="00A31491">
        <w:rPr>
          <w:rFonts w:ascii="Times New Roman" w:hAnsi="Times New Roman" w:cs="Times New Roman"/>
          <w:b/>
          <w:sz w:val="24"/>
          <w:szCs w:val="24"/>
          <w:lang w:val="en-US"/>
        </w:rPr>
        <w:t>3.1.5. Ash Content of Flours During Storage</w:t>
      </w:r>
    </w:p>
    <w:p w14:paraId="19927E72" w14:textId="7CE154C4" w:rsidR="00F306A2" w:rsidRPr="00A31491" w:rsidRDefault="00F306A2" w:rsidP="00A31491">
      <w:pPr>
        <w:spacing w:after="0" w:line="360" w:lineRule="auto"/>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mineral content recorded in the flours during storage is presented in Table </w:t>
      </w:r>
      <w:r w:rsidR="00A57CC3" w:rsidRPr="00A31491">
        <w:rPr>
          <w:rFonts w:ascii="Times New Roman" w:hAnsi="Times New Roman" w:cs="Times New Roman"/>
          <w:bCs/>
          <w:sz w:val="24"/>
          <w:szCs w:val="24"/>
          <w:lang w:val="en-US"/>
        </w:rPr>
        <w:t>3</w:t>
      </w:r>
      <w:r w:rsidRPr="00A31491">
        <w:rPr>
          <w:rFonts w:ascii="Times New Roman" w:hAnsi="Times New Roman" w:cs="Times New Roman"/>
          <w:bCs/>
          <w:sz w:val="24"/>
          <w:szCs w:val="24"/>
          <w:lang w:val="en-US"/>
        </w:rPr>
        <w:t>.</w:t>
      </w:r>
    </w:p>
    <w:p w14:paraId="3EB24293" w14:textId="6856C22B" w:rsidR="00A87E89" w:rsidRDefault="00F306A2" w:rsidP="00A31491">
      <w:pPr>
        <w:spacing w:after="0" w:line="360" w:lineRule="auto"/>
        <w:rPr>
          <w:rFonts w:ascii="Times New Roman" w:hAnsi="Times New Roman" w:cs="Times New Roman"/>
          <w:bCs/>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3.</w:t>
      </w:r>
      <w:r w:rsidRPr="00A31491">
        <w:rPr>
          <w:rFonts w:ascii="Times New Roman" w:hAnsi="Times New Roman" w:cs="Times New Roman"/>
          <w:b/>
          <w:sz w:val="24"/>
          <w:szCs w:val="24"/>
          <w:lang w:val="en-US"/>
        </w:rPr>
        <w:t xml:space="preserve"> </w:t>
      </w:r>
      <w:r w:rsidRPr="00A31491">
        <w:rPr>
          <w:rFonts w:ascii="Times New Roman" w:hAnsi="Times New Roman" w:cs="Times New Roman"/>
          <w:bCs/>
          <w:sz w:val="24"/>
          <w:szCs w:val="24"/>
          <w:lang w:val="en-US"/>
        </w:rPr>
        <w:t>Variation in the Ash Content of Flours During Storage</w:t>
      </w:r>
    </w:p>
    <w:p w14:paraId="52D316F6" w14:textId="77777777" w:rsidR="00A31491" w:rsidRPr="00A31491" w:rsidRDefault="00A31491" w:rsidP="00A31491">
      <w:pPr>
        <w:spacing w:after="0"/>
        <w:rPr>
          <w:rFonts w:ascii="Times New Roman" w:hAnsi="Times New Roman" w:cs="Times New Roman"/>
          <w:bCs/>
          <w:lang w:val="en-US"/>
        </w:rPr>
      </w:pPr>
    </w:p>
    <w:tbl>
      <w:tblPr>
        <w:tblStyle w:val="Tableausimp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746"/>
        <w:gridCol w:w="3235"/>
      </w:tblGrid>
      <w:tr w:rsidR="00A87E89" w:rsidRPr="00A31491" w14:paraId="392C72F2" w14:textId="77777777" w:rsidTr="000A73D6">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226" w:type="dxa"/>
            <w:tcBorders>
              <w:bottom w:val="none" w:sz="0" w:space="0" w:color="auto"/>
            </w:tcBorders>
            <w:shd w:val="clear" w:color="auto" w:fill="E7E6E6" w:themeFill="background2"/>
          </w:tcPr>
          <w:p w14:paraId="57B0C92F" w14:textId="6D0D5ABA" w:rsidR="00A87E89" w:rsidRPr="00A31491" w:rsidRDefault="00A87E89">
            <w:pPr>
              <w:spacing w:line="360" w:lineRule="auto"/>
              <w:jc w:val="both"/>
              <w:rPr>
                <w:rFonts w:ascii="Times New Roman" w:hAnsi="Times New Roman" w:cs="Times New Roman"/>
                <w:b w:val="0"/>
                <w:bCs w:val="0"/>
                <w:sz w:val="24"/>
                <w:szCs w:val="24"/>
              </w:rPr>
            </w:pPr>
            <w:r w:rsidRPr="00A31491">
              <w:rPr>
                <w:rFonts w:ascii="Times New Roman" w:hAnsi="Times New Roman" w:cs="Times New Roman"/>
                <w:sz w:val="24"/>
                <w:szCs w:val="24"/>
              </w:rPr>
              <w:lastRenderedPageBreak/>
              <w:t>T</w:t>
            </w:r>
            <w:r w:rsidR="00EB36BA" w:rsidRPr="00A31491">
              <w:rPr>
                <w:rFonts w:ascii="Times New Roman" w:hAnsi="Times New Roman" w:cs="Times New Roman"/>
                <w:sz w:val="24"/>
                <w:szCs w:val="24"/>
              </w:rPr>
              <w:t>imes</w:t>
            </w:r>
          </w:p>
        </w:tc>
        <w:tc>
          <w:tcPr>
            <w:tcW w:w="2746" w:type="dxa"/>
            <w:tcBorders>
              <w:bottom w:val="none" w:sz="0" w:space="0" w:color="auto"/>
            </w:tcBorders>
            <w:shd w:val="clear" w:color="auto" w:fill="E7E6E6" w:themeFill="background2"/>
          </w:tcPr>
          <w:p w14:paraId="3422EA5D" w14:textId="2A7FA952" w:rsidR="00A87E89" w:rsidRPr="00A31491" w:rsidRDefault="00A87E8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F</w:t>
            </w:r>
            <w:r w:rsidR="00EB36BA" w:rsidRPr="00A31491">
              <w:rPr>
                <w:rFonts w:ascii="Times New Roman" w:hAnsi="Times New Roman" w:cs="Times New Roman"/>
                <w:sz w:val="24"/>
                <w:szCs w:val="24"/>
              </w:rPr>
              <w:t>lours</w:t>
            </w:r>
          </w:p>
        </w:tc>
        <w:tc>
          <w:tcPr>
            <w:tcW w:w="3235" w:type="dxa"/>
            <w:tcBorders>
              <w:bottom w:val="none" w:sz="0" w:space="0" w:color="auto"/>
            </w:tcBorders>
            <w:shd w:val="clear" w:color="auto" w:fill="E7E6E6" w:themeFill="background2"/>
          </w:tcPr>
          <w:p w14:paraId="3A85C6E8" w14:textId="0C4065B8" w:rsidR="00A87E89" w:rsidRPr="00A31491" w:rsidRDefault="00A87E8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 xml:space="preserve">             </w:t>
            </w:r>
            <w:r w:rsidR="00EB36BA" w:rsidRPr="00A31491">
              <w:rPr>
                <w:rFonts w:ascii="Times New Roman" w:hAnsi="Times New Roman" w:cs="Times New Roman"/>
                <w:sz w:val="24"/>
                <w:szCs w:val="24"/>
              </w:rPr>
              <w:t xml:space="preserve">Ash content </w:t>
            </w:r>
            <w:r w:rsidRPr="00A31491">
              <w:rPr>
                <w:rFonts w:ascii="Times New Roman" w:hAnsi="Times New Roman" w:cs="Times New Roman"/>
                <w:sz w:val="24"/>
                <w:szCs w:val="24"/>
              </w:rPr>
              <w:t xml:space="preserve">(%)  </w:t>
            </w:r>
          </w:p>
        </w:tc>
      </w:tr>
      <w:tr w:rsidR="00A87E89" w:rsidRPr="00A31491" w14:paraId="06A10B09" w14:textId="77777777">
        <w:trPr>
          <w:trHeight w:val="284"/>
        </w:trPr>
        <w:tc>
          <w:tcPr>
            <w:cnfStyle w:val="001000000000" w:firstRow="0" w:lastRow="0" w:firstColumn="1" w:lastColumn="0" w:oddVBand="0" w:evenVBand="0" w:oddHBand="0" w:evenHBand="0" w:firstRowFirstColumn="0" w:firstRowLastColumn="0" w:lastRowFirstColumn="0" w:lastRowLastColumn="0"/>
            <w:tcW w:w="2226" w:type="dxa"/>
          </w:tcPr>
          <w:p w14:paraId="06F778F4" w14:textId="4323CCD7"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w:t>
            </w:r>
            <w:r w:rsidR="00EB36BA" w:rsidRPr="00A31491">
              <w:rPr>
                <w:rFonts w:ascii="Times New Roman" w:hAnsi="Times New Roman" w:cs="Times New Roman"/>
                <w:b w:val="0"/>
                <w:sz w:val="24"/>
                <w:szCs w:val="24"/>
              </w:rPr>
              <w:t>0</w:t>
            </w:r>
          </w:p>
        </w:tc>
        <w:tc>
          <w:tcPr>
            <w:tcW w:w="2746" w:type="dxa"/>
          </w:tcPr>
          <w:p w14:paraId="5EE7EC2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3235" w:type="dxa"/>
          </w:tcPr>
          <w:p w14:paraId="025B60E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2.98</w:t>
            </w:r>
          </w:p>
        </w:tc>
      </w:tr>
      <w:tr w:rsidR="00A87E89" w:rsidRPr="00A31491" w14:paraId="6D15C9B7"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6B310394" w14:textId="77777777" w:rsidR="00A87E89" w:rsidRPr="00A31491" w:rsidRDefault="00A87E89">
            <w:pPr>
              <w:spacing w:line="360" w:lineRule="auto"/>
              <w:jc w:val="both"/>
              <w:rPr>
                <w:rFonts w:ascii="Times New Roman" w:hAnsi="Times New Roman" w:cs="Times New Roman"/>
                <w:bCs w:val="0"/>
                <w:sz w:val="24"/>
                <w:szCs w:val="24"/>
              </w:rPr>
            </w:pPr>
          </w:p>
          <w:p w14:paraId="52633526" w14:textId="77777777" w:rsidR="00A87E89" w:rsidRPr="00A31491" w:rsidRDefault="00A87E89">
            <w:pPr>
              <w:spacing w:line="360" w:lineRule="auto"/>
              <w:jc w:val="both"/>
              <w:rPr>
                <w:rFonts w:ascii="Times New Roman" w:hAnsi="Times New Roman" w:cs="Times New Roman"/>
                <w:bCs w:val="0"/>
                <w:sz w:val="24"/>
                <w:szCs w:val="24"/>
              </w:rPr>
            </w:pPr>
          </w:p>
          <w:p w14:paraId="42FACF31" w14:textId="6B82F115"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T0+2mo</w:t>
            </w:r>
            <w:r w:rsidR="00EB36BA" w:rsidRPr="00A31491">
              <w:rPr>
                <w:rFonts w:ascii="Times New Roman" w:hAnsi="Times New Roman" w:cs="Times New Roman"/>
                <w:b w:val="0"/>
                <w:sz w:val="24"/>
                <w:szCs w:val="24"/>
              </w:rPr>
              <w:t>nths</w:t>
            </w:r>
            <w:r w:rsidRPr="00A31491">
              <w:rPr>
                <w:rFonts w:ascii="Times New Roman" w:hAnsi="Times New Roman" w:cs="Times New Roman"/>
                <w:b w:val="0"/>
                <w:sz w:val="24"/>
                <w:szCs w:val="24"/>
              </w:rPr>
              <w:t xml:space="preserve"> </w:t>
            </w:r>
          </w:p>
        </w:tc>
        <w:tc>
          <w:tcPr>
            <w:tcW w:w="2746" w:type="dxa"/>
          </w:tcPr>
          <w:p w14:paraId="2AEB633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w:t>
            </w:r>
          </w:p>
        </w:tc>
        <w:tc>
          <w:tcPr>
            <w:tcW w:w="3235" w:type="dxa"/>
          </w:tcPr>
          <w:p w14:paraId="234A1BB6" w14:textId="1B1DFBC3"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99</w:t>
            </w:r>
          </w:p>
        </w:tc>
      </w:tr>
      <w:tr w:rsidR="00A87E89" w:rsidRPr="00A31491" w14:paraId="63882316"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7E85EF3"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288F78A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3235" w:type="dxa"/>
          </w:tcPr>
          <w:p w14:paraId="2314798F" w14:textId="67DDD9EF"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96</w:t>
            </w:r>
          </w:p>
        </w:tc>
      </w:tr>
      <w:tr w:rsidR="00A87E89" w:rsidRPr="00A31491" w14:paraId="3FC865CA"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8B6EF69"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1D0B88FB"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3235" w:type="dxa"/>
          </w:tcPr>
          <w:p w14:paraId="5E92C625" w14:textId="78062E48"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94</w:t>
            </w:r>
          </w:p>
        </w:tc>
      </w:tr>
      <w:tr w:rsidR="00A87E89" w:rsidRPr="00A31491" w14:paraId="7E92109E"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05F5C2E3"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4042436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3235" w:type="dxa"/>
          </w:tcPr>
          <w:p w14:paraId="49207E17" w14:textId="17DBEE92"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98</w:t>
            </w:r>
          </w:p>
        </w:tc>
      </w:tr>
      <w:tr w:rsidR="00A87E89" w:rsidRPr="00A31491" w14:paraId="72D85889"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44947C8D" w14:textId="77777777" w:rsidR="00A87E89" w:rsidRPr="00A31491" w:rsidRDefault="00A87E89">
            <w:pPr>
              <w:spacing w:line="360" w:lineRule="auto"/>
              <w:jc w:val="both"/>
              <w:rPr>
                <w:rFonts w:ascii="Times New Roman" w:hAnsi="Times New Roman" w:cs="Times New Roman"/>
                <w:bCs w:val="0"/>
                <w:sz w:val="24"/>
                <w:szCs w:val="24"/>
              </w:rPr>
            </w:pPr>
          </w:p>
          <w:p w14:paraId="0F7B1082" w14:textId="3A5126EB"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T0+4mo</w:t>
            </w:r>
            <w:r w:rsidR="00EB36BA" w:rsidRPr="00A31491">
              <w:rPr>
                <w:rFonts w:ascii="Times New Roman" w:hAnsi="Times New Roman" w:cs="Times New Roman"/>
                <w:b w:val="0"/>
                <w:sz w:val="24"/>
                <w:szCs w:val="24"/>
              </w:rPr>
              <w:t>nths</w:t>
            </w:r>
          </w:p>
        </w:tc>
        <w:tc>
          <w:tcPr>
            <w:tcW w:w="2746" w:type="dxa"/>
          </w:tcPr>
          <w:p w14:paraId="7F34F23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3235" w:type="dxa"/>
          </w:tcPr>
          <w:p w14:paraId="2D3C06A9" w14:textId="46AD08DF"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96</w:t>
            </w:r>
          </w:p>
        </w:tc>
      </w:tr>
      <w:tr w:rsidR="00A87E89" w:rsidRPr="00A31491" w14:paraId="031D5921"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0C9631F"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78EC971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3235" w:type="dxa"/>
          </w:tcPr>
          <w:p w14:paraId="276C5C4A" w14:textId="1038DD74"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98</w:t>
            </w:r>
          </w:p>
        </w:tc>
      </w:tr>
      <w:tr w:rsidR="00A87E89" w:rsidRPr="00A31491" w14:paraId="79A51932"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17F0FD17" w14:textId="77777777" w:rsidR="00A87E89" w:rsidRPr="00A31491" w:rsidRDefault="00A87E89">
            <w:pPr>
              <w:spacing w:line="360" w:lineRule="auto"/>
              <w:jc w:val="both"/>
              <w:rPr>
                <w:rFonts w:ascii="Times New Roman" w:hAnsi="Times New Roman" w:cs="Times New Roman"/>
                <w:bCs w:val="0"/>
                <w:sz w:val="24"/>
                <w:szCs w:val="24"/>
              </w:rPr>
            </w:pPr>
          </w:p>
          <w:p w14:paraId="132A1462" w14:textId="231EA2AD"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T0+6mo</w:t>
            </w:r>
            <w:r w:rsidR="00EB36BA" w:rsidRPr="00A31491">
              <w:rPr>
                <w:rFonts w:ascii="Times New Roman" w:hAnsi="Times New Roman" w:cs="Times New Roman"/>
                <w:b w:val="0"/>
                <w:sz w:val="24"/>
                <w:szCs w:val="24"/>
              </w:rPr>
              <w:t>nths</w:t>
            </w:r>
          </w:p>
        </w:tc>
        <w:tc>
          <w:tcPr>
            <w:tcW w:w="2746" w:type="dxa"/>
          </w:tcPr>
          <w:p w14:paraId="505CA07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3235" w:type="dxa"/>
          </w:tcPr>
          <w:p w14:paraId="0C858752" w14:textId="0840969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97</w:t>
            </w:r>
          </w:p>
        </w:tc>
      </w:tr>
      <w:tr w:rsidR="00A87E89" w:rsidRPr="00A31491" w14:paraId="3AE18B9B"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4DC48D26"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0867B98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3235" w:type="dxa"/>
          </w:tcPr>
          <w:p w14:paraId="0E4652C2" w14:textId="48A15B23"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3</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01</w:t>
            </w:r>
          </w:p>
        </w:tc>
      </w:tr>
    </w:tbl>
    <w:p w14:paraId="79B59CCF" w14:textId="77777777" w:rsidR="00A87E89" w:rsidRPr="00A31491" w:rsidRDefault="00A87E89" w:rsidP="00EB36BA">
      <w:pPr>
        <w:spacing w:after="0" w:line="360" w:lineRule="auto"/>
        <w:jc w:val="both"/>
        <w:rPr>
          <w:rFonts w:ascii="Times New Roman" w:hAnsi="Times New Roman" w:cs="Times New Roman"/>
          <w:b/>
          <w:sz w:val="24"/>
          <w:szCs w:val="24"/>
        </w:rPr>
      </w:pPr>
    </w:p>
    <w:p w14:paraId="5D582D55" w14:textId="77777777"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foil packaging; EP: Plastic packaging; C: Community, % = percentage</w:t>
      </w:r>
    </w:p>
    <w:p w14:paraId="1AD00407" w14:textId="77777777"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The ash content of the flours is 2.98% at T0. After two months of storage, the different variants show values ​​between 2.94% and 2.99%. These variations remain very small, reflecting the almost complete stability of the mineral fraction at the beginning of storage and indicating that the applied conditions have no significant effect on this parameter.</w:t>
      </w:r>
    </w:p>
    <w:p w14:paraId="39373478" w14:textId="277513E0"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At T0+4 months, the ash content remains stable, with values</w:t>
      </w:r>
      <w:r w:rsidR="00EB36BA" w:rsidRPr="00A31491">
        <w:rPr>
          <w:rFonts w:ascii="Times New Roman" w:hAnsi="Times New Roman" w:cs="Times New Roman"/>
          <w:bCs/>
          <w:sz w:val="24"/>
          <w:szCs w:val="24"/>
          <w:lang w:val="en-US"/>
        </w:rPr>
        <w:t xml:space="preserve"> of 2.96% and 2.98% across samples</w:t>
      </w:r>
      <w:r w:rsidRPr="00A31491">
        <w:rPr>
          <w:rFonts w:ascii="Times New Roman" w:hAnsi="Times New Roman" w:cs="Times New Roman"/>
          <w:bCs/>
          <w:sz w:val="24"/>
          <w:szCs w:val="24"/>
          <w:lang w:val="en-US"/>
        </w:rPr>
        <w:t xml:space="preserve">. This consistency </w:t>
      </w:r>
      <w:r w:rsidR="00EB36BA" w:rsidRPr="00A31491">
        <w:rPr>
          <w:rFonts w:ascii="Times New Roman" w:hAnsi="Times New Roman" w:cs="Times New Roman"/>
          <w:bCs/>
          <w:sz w:val="24"/>
          <w:szCs w:val="24"/>
          <w:lang w:val="en-US"/>
        </w:rPr>
        <w:t>indicates that the mineral composition remains unchanged</w:t>
      </w:r>
      <w:r w:rsidRPr="00A31491">
        <w:rPr>
          <w:rFonts w:ascii="Times New Roman" w:hAnsi="Times New Roman" w:cs="Times New Roman"/>
          <w:bCs/>
          <w:sz w:val="24"/>
          <w:szCs w:val="24"/>
          <w:lang w:val="en-US"/>
        </w:rPr>
        <w:t xml:space="preserve">, suggesting that the flour retains its physicochemical characteristics </w:t>
      </w:r>
      <w:r w:rsidR="000A73D6">
        <w:rPr>
          <w:rFonts w:ascii="Times New Roman" w:hAnsi="Times New Roman" w:cs="Times New Roman"/>
          <w:bCs/>
          <w:sz w:val="24"/>
          <w:szCs w:val="24"/>
          <w:lang w:val="en-US"/>
        </w:rPr>
        <w:t>even after extended storage</w:t>
      </w:r>
      <w:r w:rsidRPr="00A31491">
        <w:rPr>
          <w:rFonts w:ascii="Times New Roman" w:hAnsi="Times New Roman" w:cs="Times New Roman"/>
          <w:bCs/>
          <w:sz w:val="24"/>
          <w:szCs w:val="24"/>
          <w:lang w:val="en-US"/>
        </w:rPr>
        <w:t xml:space="preserve">. After six months of storage, the ash content fluctuates between 2.97% and 3.01%, </w:t>
      </w:r>
      <w:r w:rsidR="000A73D6">
        <w:rPr>
          <w:rFonts w:ascii="Times New Roman" w:hAnsi="Times New Roman" w:cs="Times New Roman"/>
          <w:bCs/>
          <w:sz w:val="24"/>
          <w:szCs w:val="24"/>
          <w:lang w:val="en-US"/>
        </w:rPr>
        <w:t>a minimal</w:t>
      </w:r>
      <w:r w:rsidRPr="00A31491">
        <w:rPr>
          <w:rFonts w:ascii="Times New Roman" w:hAnsi="Times New Roman" w:cs="Times New Roman"/>
          <w:bCs/>
          <w:sz w:val="24"/>
          <w:szCs w:val="24"/>
          <w:lang w:val="en-US"/>
        </w:rPr>
        <w:t xml:space="preserve"> variation compared to the previous values. Although a slight increase was observed in the EP sample, the overall results remained </w:t>
      </w:r>
      <w:r w:rsidR="000A73D6">
        <w:rPr>
          <w:rFonts w:ascii="Times New Roman" w:hAnsi="Times New Roman" w:cs="Times New Roman"/>
          <w:bCs/>
          <w:sz w:val="24"/>
          <w:szCs w:val="24"/>
          <w:lang w:val="en-US"/>
        </w:rPr>
        <w:t>within normal analytical ranges, indicating that prolonged storage did not alter the product's mineral content</w:t>
      </w:r>
      <w:r w:rsidRPr="00A31491">
        <w:rPr>
          <w:rFonts w:ascii="Times New Roman" w:hAnsi="Times New Roman" w:cs="Times New Roman"/>
          <w:bCs/>
          <w:sz w:val="24"/>
          <w:szCs w:val="24"/>
          <w:lang w:val="en-US"/>
        </w:rPr>
        <w:t>.</w:t>
      </w:r>
    </w:p>
    <w:p w14:paraId="01F59126" w14:textId="77777777"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Overall, the results show remarkable stability in ash content throughout the six months of storage. The observed variations are minimal and indicate no trend toward concentration or loss of mineral elements. This consistency demonstrates good flour preservation and the absence of phenomena likely to alter its mineral quality.</w:t>
      </w:r>
    </w:p>
    <w:p w14:paraId="55D11A13" w14:textId="77777777" w:rsidR="00A31491" w:rsidRPr="00A31491" w:rsidRDefault="00A31491" w:rsidP="000A73D6">
      <w:pPr>
        <w:spacing w:after="0" w:line="360" w:lineRule="auto"/>
        <w:jc w:val="both"/>
        <w:rPr>
          <w:rFonts w:ascii="Times New Roman" w:hAnsi="Times New Roman" w:cs="Times New Roman"/>
          <w:b/>
          <w:sz w:val="24"/>
          <w:szCs w:val="24"/>
          <w:lang w:val="en-US"/>
        </w:rPr>
      </w:pPr>
    </w:p>
    <w:p w14:paraId="2F38D5FF" w14:textId="4031E954" w:rsidR="00973BF0" w:rsidRPr="00A31491" w:rsidRDefault="00973BF0" w:rsidP="000A73D6">
      <w:pPr>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3.2. Microbiological Profile of Flours During Storage</w:t>
      </w:r>
    </w:p>
    <w:p w14:paraId="32767214" w14:textId="1CFF6155"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lastRenderedPageBreak/>
        <w:t xml:space="preserve">The various </w:t>
      </w:r>
      <w:proofErr w:type="spellStart"/>
      <w:r w:rsidRPr="00A31491">
        <w:rPr>
          <w:rFonts w:ascii="Times New Roman" w:hAnsi="Times New Roman" w:cs="Times New Roman"/>
          <w:bCs/>
          <w:sz w:val="24"/>
          <w:szCs w:val="24"/>
          <w:lang w:val="en-US"/>
        </w:rPr>
        <w:t>Misola</w:t>
      </w:r>
      <w:proofErr w:type="spellEnd"/>
      <w:r w:rsidRPr="00A31491">
        <w:rPr>
          <w:rFonts w:ascii="Times New Roman" w:hAnsi="Times New Roman" w:cs="Times New Roman"/>
          <w:bCs/>
          <w:sz w:val="24"/>
          <w:szCs w:val="24"/>
          <w:lang w:val="en-US"/>
        </w:rPr>
        <w:t xml:space="preserve"> flour samples stored exhibit the microbiological profiles shown </w:t>
      </w:r>
      <w:r w:rsidR="00A57CC3" w:rsidRPr="00A31491">
        <w:rPr>
          <w:rFonts w:ascii="Times New Roman" w:hAnsi="Times New Roman" w:cs="Times New Roman"/>
          <w:bCs/>
          <w:sz w:val="24"/>
          <w:szCs w:val="24"/>
          <w:lang w:val="en-US"/>
        </w:rPr>
        <w:t>in Table 4 below</w:t>
      </w:r>
      <w:r w:rsidRPr="00A31491">
        <w:rPr>
          <w:rFonts w:ascii="Times New Roman" w:hAnsi="Times New Roman" w:cs="Times New Roman"/>
          <w:bCs/>
          <w:sz w:val="24"/>
          <w:szCs w:val="24"/>
          <w:lang w:val="en-US"/>
        </w:rPr>
        <w:t>.</w:t>
      </w:r>
    </w:p>
    <w:p w14:paraId="228A5F83" w14:textId="4E21B37A" w:rsidR="00A87E89" w:rsidRPr="00A31491" w:rsidRDefault="00973BF0" w:rsidP="000A73D6">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4.</w:t>
      </w:r>
      <w:r w:rsidRPr="00A31491">
        <w:rPr>
          <w:rFonts w:ascii="Times New Roman" w:hAnsi="Times New Roman" w:cs="Times New Roman"/>
          <w:bCs/>
          <w:sz w:val="24"/>
          <w:szCs w:val="24"/>
          <w:lang w:val="en-US"/>
        </w:rPr>
        <w:t xml:space="preserve"> Microbiological Load of Flours During Storage</w:t>
      </w:r>
    </w:p>
    <w:tbl>
      <w:tblPr>
        <w:tblStyle w:val="Tableausimple11"/>
        <w:tblW w:w="9918" w:type="dxa"/>
        <w:tblLayout w:type="fixed"/>
        <w:tblLook w:val="04A0" w:firstRow="1" w:lastRow="0" w:firstColumn="1" w:lastColumn="0" w:noHBand="0" w:noVBand="1"/>
      </w:tblPr>
      <w:tblGrid>
        <w:gridCol w:w="1435"/>
        <w:gridCol w:w="1620"/>
        <w:gridCol w:w="1800"/>
        <w:gridCol w:w="1620"/>
        <w:gridCol w:w="1620"/>
        <w:gridCol w:w="1823"/>
      </w:tblGrid>
      <w:tr w:rsidR="00A87E89" w:rsidRPr="00A31491" w14:paraId="4666548E" w14:textId="77777777" w:rsidTr="00F325EB">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055" w:type="dxa"/>
            <w:gridSpan w:val="2"/>
            <w:shd w:val="clear" w:color="auto" w:fill="D9E2F3" w:themeFill="accent1" w:themeFillTint="33"/>
          </w:tcPr>
          <w:p w14:paraId="317EEB66" w14:textId="77777777" w:rsidR="00A87E89" w:rsidRPr="00A31491" w:rsidRDefault="00A87E89" w:rsidP="00A57CC3">
            <w:pPr>
              <w:jc w:val="both"/>
              <w:rPr>
                <w:rFonts w:ascii="Times New Roman" w:hAnsi="Times New Roman" w:cs="Times New Roman"/>
                <w:b w:val="0"/>
                <w:bCs w:val="0"/>
                <w:sz w:val="22"/>
                <w:szCs w:val="22"/>
              </w:rPr>
            </w:pPr>
          </w:p>
          <w:p w14:paraId="6D19747B" w14:textId="48313729" w:rsidR="00A87E89" w:rsidRPr="00A31491" w:rsidRDefault="00A87E89" w:rsidP="00A57CC3">
            <w:pPr>
              <w:jc w:val="both"/>
              <w:rPr>
                <w:rFonts w:ascii="Times New Roman" w:hAnsi="Times New Roman" w:cs="Times New Roman"/>
                <w:b w:val="0"/>
                <w:bCs w:val="0"/>
                <w:sz w:val="22"/>
                <w:szCs w:val="22"/>
              </w:rPr>
            </w:pPr>
            <w:r w:rsidRPr="00A31491">
              <w:rPr>
                <w:rFonts w:ascii="Times New Roman" w:hAnsi="Times New Roman" w:cs="Times New Roman"/>
                <w:sz w:val="22"/>
                <w:szCs w:val="22"/>
              </w:rPr>
              <w:t>F</w:t>
            </w:r>
            <w:r w:rsidR="00EB36BA" w:rsidRPr="00A31491">
              <w:rPr>
                <w:rFonts w:ascii="Times New Roman" w:hAnsi="Times New Roman" w:cs="Times New Roman"/>
                <w:sz w:val="22"/>
                <w:szCs w:val="22"/>
              </w:rPr>
              <w:t>lours</w:t>
            </w:r>
          </w:p>
        </w:tc>
        <w:tc>
          <w:tcPr>
            <w:tcW w:w="1800" w:type="dxa"/>
            <w:shd w:val="clear" w:color="auto" w:fill="D9E2F3" w:themeFill="accent1" w:themeFillTint="33"/>
          </w:tcPr>
          <w:p w14:paraId="628D78A6" w14:textId="45495255" w:rsidR="00A87E89"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Bacteria</w:t>
            </w:r>
            <w:r w:rsidR="00F325EB" w:rsidRPr="00A31491">
              <w:rPr>
                <w:rFonts w:ascii="Times New Roman" w:hAnsi="Times New Roman" w:cs="Times New Roman"/>
                <w:sz w:val="22"/>
                <w:szCs w:val="22"/>
              </w:rPr>
              <w:t xml:space="preserve"> </w:t>
            </w:r>
            <w:r w:rsidRPr="00A31491">
              <w:rPr>
                <w:rFonts w:ascii="Times New Roman" w:hAnsi="Times New Roman" w:cs="Times New Roman"/>
                <w:sz w:val="22"/>
                <w:szCs w:val="22"/>
              </w:rPr>
              <w:t>Aerobic</w:t>
            </w:r>
            <w:r w:rsidR="00F325EB" w:rsidRPr="00A31491">
              <w:rPr>
                <w:rFonts w:ascii="Times New Roman" w:hAnsi="Times New Roman" w:cs="Times New Roman"/>
                <w:sz w:val="22"/>
                <w:szCs w:val="22"/>
              </w:rPr>
              <w:t xml:space="preserve"> </w:t>
            </w:r>
            <w:r w:rsidRPr="00A31491">
              <w:rPr>
                <w:rFonts w:ascii="Times New Roman" w:hAnsi="Times New Roman" w:cs="Times New Roman"/>
                <w:sz w:val="22"/>
                <w:szCs w:val="22"/>
              </w:rPr>
              <w:t>Mesophilic</w:t>
            </w:r>
          </w:p>
        </w:tc>
        <w:tc>
          <w:tcPr>
            <w:tcW w:w="1620" w:type="dxa"/>
            <w:shd w:val="clear" w:color="auto" w:fill="D9E2F3" w:themeFill="accent1" w:themeFillTint="33"/>
          </w:tcPr>
          <w:p w14:paraId="6BCEE9F5" w14:textId="4A26BC36" w:rsidR="00A87E89"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Fecal coliforms</w:t>
            </w:r>
          </w:p>
        </w:tc>
        <w:tc>
          <w:tcPr>
            <w:tcW w:w="1620" w:type="dxa"/>
            <w:shd w:val="clear" w:color="auto" w:fill="D9E2F3" w:themeFill="accent1" w:themeFillTint="33"/>
          </w:tcPr>
          <w:p w14:paraId="180DD9F1" w14:textId="70550EA5" w:rsidR="00A87E89"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Escherichia coli</w:t>
            </w:r>
          </w:p>
        </w:tc>
        <w:tc>
          <w:tcPr>
            <w:tcW w:w="1823" w:type="dxa"/>
            <w:shd w:val="clear" w:color="auto" w:fill="D9E2F3" w:themeFill="accent1" w:themeFillTint="33"/>
          </w:tcPr>
          <w:p w14:paraId="5726509D" w14:textId="77777777" w:rsidR="00EB36BA"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1491">
              <w:rPr>
                <w:rFonts w:ascii="Times New Roman" w:hAnsi="Times New Roman" w:cs="Times New Roman"/>
                <w:sz w:val="22"/>
                <w:szCs w:val="22"/>
              </w:rPr>
              <w:t>Yeast and</w:t>
            </w:r>
          </w:p>
          <w:p w14:paraId="3CF2B714" w14:textId="73EF7B36" w:rsidR="00A87E89" w:rsidRPr="00A31491" w:rsidRDefault="00EB36BA" w:rsidP="00A57CC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Mold</w:t>
            </w:r>
            <w:r w:rsidR="00A87E89" w:rsidRPr="00A31491">
              <w:rPr>
                <w:rFonts w:ascii="Times New Roman" w:hAnsi="Times New Roman" w:cs="Times New Roman"/>
                <w:sz w:val="22"/>
                <w:szCs w:val="22"/>
              </w:rPr>
              <w:t xml:space="preserve"> </w:t>
            </w:r>
          </w:p>
        </w:tc>
      </w:tr>
      <w:tr w:rsidR="00A87E89" w:rsidRPr="00A31491" w14:paraId="57277629"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shd w:val="clear" w:color="auto" w:fill="F2F2F2" w:themeFill="background1" w:themeFillShade="F2"/>
          </w:tcPr>
          <w:p w14:paraId="5EC6A0B4" w14:textId="3BEDAE7F" w:rsidR="00A87E89" w:rsidRPr="00A31491" w:rsidRDefault="00A87E89">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Octobe</w:t>
            </w:r>
            <w:r w:rsidR="00EB36BA" w:rsidRPr="00A31491">
              <w:rPr>
                <w:rFonts w:ascii="Times New Roman" w:hAnsi="Times New Roman" w:cs="Times New Roman"/>
                <w:b w:val="0"/>
                <w:sz w:val="22"/>
                <w:szCs w:val="22"/>
              </w:rPr>
              <w:t>r</w:t>
            </w:r>
            <w:r w:rsidRPr="00A31491">
              <w:rPr>
                <w:rFonts w:ascii="Times New Roman" w:hAnsi="Times New Roman" w:cs="Times New Roman"/>
                <w:b w:val="0"/>
                <w:sz w:val="22"/>
                <w:szCs w:val="22"/>
              </w:rPr>
              <w:t xml:space="preserve"> </w:t>
            </w:r>
          </w:p>
        </w:tc>
        <w:tc>
          <w:tcPr>
            <w:tcW w:w="1620" w:type="dxa"/>
            <w:shd w:val="clear" w:color="auto" w:fill="F2F2F2" w:themeFill="background1" w:themeFillShade="F2"/>
          </w:tcPr>
          <w:p w14:paraId="0510006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FIF-T0</w:t>
            </w:r>
          </w:p>
        </w:tc>
        <w:tc>
          <w:tcPr>
            <w:tcW w:w="1800" w:type="dxa"/>
            <w:shd w:val="clear" w:color="auto" w:fill="F2F2F2" w:themeFill="background1" w:themeFillShade="F2"/>
          </w:tcPr>
          <w:p w14:paraId="51ECD95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xml:space="preserve">Absence </w:t>
            </w:r>
          </w:p>
        </w:tc>
        <w:tc>
          <w:tcPr>
            <w:tcW w:w="1620" w:type="dxa"/>
            <w:shd w:val="clear" w:color="auto" w:fill="F2F2F2" w:themeFill="background1" w:themeFillShade="F2"/>
          </w:tcPr>
          <w:p w14:paraId="065AE1F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679B377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shd w:val="clear" w:color="auto" w:fill="F2F2F2" w:themeFill="background1" w:themeFillShade="F2"/>
          </w:tcPr>
          <w:p w14:paraId="48AAAFC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xml:space="preserve">Absence </w:t>
            </w:r>
          </w:p>
        </w:tc>
      </w:tr>
      <w:tr w:rsidR="00A87E89" w:rsidRPr="00A31491" w14:paraId="043DE1DC"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val="restart"/>
          </w:tcPr>
          <w:p w14:paraId="1FECD432" w14:textId="77777777" w:rsidR="00A87E89" w:rsidRPr="00A31491" w:rsidRDefault="00A87E89">
            <w:pPr>
              <w:spacing w:line="360" w:lineRule="auto"/>
              <w:jc w:val="both"/>
              <w:rPr>
                <w:rFonts w:ascii="Times New Roman" w:hAnsi="Times New Roman" w:cs="Times New Roman"/>
                <w:bCs w:val="0"/>
                <w:sz w:val="22"/>
                <w:szCs w:val="22"/>
              </w:rPr>
            </w:pPr>
          </w:p>
          <w:p w14:paraId="5B9538B6" w14:textId="77777777" w:rsidR="00A87E89" w:rsidRPr="00A31491" w:rsidRDefault="00A87E89">
            <w:pPr>
              <w:spacing w:line="360" w:lineRule="auto"/>
              <w:jc w:val="both"/>
              <w:rPr>
                <w:rFonts w:ascii="Times New Roman" w:hAnsi="Times New Roman" w:cs="Times New Roman"/>
                <w:bCs w:val="0"/>
                <w:sz w:val="22"/>
                <w:szCs w:val="22"/>
              </w:rPr>
            </w:pPr>
          </w:p>
          <w:p w14:paraId="06AD80F4" w14:textId="101CC03D" w:rsidR="00A87E89" w:rsidRPr="00A31491" w:rsidRDefault="00A87E89">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Jan</w:t>
            </w:r>
            <w:r w:rsidR="00EB36BA" w:rsidRPr="00A31491">
              <w:rPr>
                <w:rFonts w:ascii="Times New Roman" w:hAnsi="Times New Roman" w:cs="Times New Roman"/>
                <w:b w:val="0"/>
                <w:sz w:val="22"/>
                <w:szCs w:val="22"/>
              </w:rPr>
              <w:t>uary</w:t>
            </w:r>
            <w:r w:rsidRPr="00A31491">
              <w:rPr>
                <w:rFonts w:ascii="Times New Roman" w:hAnsi="Times New Roman" w:cs="Times New Roman"/>
                <w:b w:val="0"/>
                <w:sz w:val="22"/>
                <w:szCs w:val="22"/>
              </w:rPr>
              <w:t xml:space="preserve"> </w:t>
            </w:r>
          </w:p>
        </w:tc>
        <w:tc>
          <w:tcPr>
            <w:tcW w:w="1620" w:type="dxa"/>
          </w:tcPr>
          <w:p w14:paraId="4938B42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FIF-EA-T3</w:t>
            </w:r>
          </w:p>
        </w:tc>
        <w:tc>
          <w:tcPr>
            <w:tcW w:w="1800" w:type="dxa"/>
          </w:tcPr>
          <w:p w14:paraId="1F64401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63FC93B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6BBBC4F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tcPr>
          <w:p w14:paraId="1D814B99"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r>
      <w:tr w:rsidR="00A87E89" w:rsidRPr="00A31491" w14:paraId="3166CFAF"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2F2F2" w:themeFill="background1" w:themeFillShade="F2"/>
          </w:tcPr>
          <w:p w14:paraId="550E6E04" w14:textId="77777777" w:rsidR="00A87E89" w:rsidRPr="00A31491" w:rsidRDefault="00A87E89">
            <w:pPr>
              <w:spacing w:line="360" w:lineRule="auto"/>
              <w:jc w:val="both"/>
              <w:rPr>
                <w:rFonts w:ascii="Times New Roman" w:hAnsi="Times New Roman" w:cs="Times New Roman"/>
                <w:bCs w:val="0"/>
                <w:sz w:val="22"/>
                <w:szCs w:val="22"/>
              </w:rPr>
            </w:pPr>
          </w:p>
        </w:tc>
        <w:tc>
          <w:tcPr>
            <w:tcW w:w="1620" w:type="dxa"/>
            <w:shd w:val="clear" w:color="auto" w:fill="F2F2F2" w:themeFill="background1" w:themeFillShade="F2"/>
          </w:tcPr>
          <w:p w14:paraId="259F790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FIF-EP-T3</w:t>
            </w:r>
          </w:p>
        </w:tc>
        <w:tc>
          <w:tcPr>
            <w:tcW w:w="1800" w:type="dxa"/>
            <w:shd w:val="clear" w:color="auto" w:fill="F2F2F2" w:themeFill="background1" w:themeFillShade="F2"/>
          </w:tcPr>
          <w:p w14:paraId="71F2D8C2"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0C7274C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1DF7ACB9"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shd w:val="clear" w:color="auto" w:fill="F2F2F2" w:themeFill="background1" w:themeFillShade="F2"/>
          </w:tcPr>
          <w:p w14:paraId="41A9FD4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r>
      <w:tr w:rsidR="00A87E89" w:rsidRPr="00A31491" w14:paraId="57DB9CE2"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tcPr>
          <w:p w14:paraId="503A3135" w14:textId="77777777" w:rsidR="00A87E89" w:rsidRPr="00A31491" w:rsidRDefault="00A87E89">
            <w:pPr>
              <w:spacing w:line="360" w:lineRule="auto"/>
              <w:jc w:val="both"/>
              <w:rPr>
                <w:rFonts w:ascii="Times New Roman" w:hAnsi="Times New Roman" w:cs="Times New Roman"/>
                <w:bCs w:val="0"/>
                <w:sz w:val="22"/>
                <w:szCs w:val="22"/>
              </w:rPr>
            </w:pPr>
          </w:p>
        </w:tc>
        <w:tc>
          <w:tcPr>
            <w:tcW w:w="1620" w:type="dxa"/>
          </w:tcPr>
          <w:p w14:paraId="637EA6C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FIF-EA-T3-C</w:t>
            </w:r>
          </w:p>
        </w:tc>
        <w:tc>
          <w:tcPr>
            <w:tcW w:w="1800" w:type="dxa"/>
          </w:tcPr>
          <w:p w14:paraId="0CD1090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4A54C24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30AE5BD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tcPr>
          <w:p w14:paraId="2C05069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5.58 .10</w:t>
            </w:r>
            <w:r w:rsidRPr="00A31491">
              <w:rPr>
                <w:rFonts w:ascii="Times New Roman" w:hAnsi="Times New Roman" w:cs="Times New Roman"/>
                <w:bCs/>
                <w:sz w:val="22"/>
                <w:szCs w:val="22"/>
                <w:vertAlign w:val="superscript"/>
              </w:rPr>
              <w:t>2</w:t>
            </w:r>
          </w:p>
        </w:tc>
      </w:tr>
      <w:tr w:rsidR="00A87E89" w:rsidRPr="00A31491" w14:paraId="77C9A69A"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2F2F2" w:themeFill="background1" w:themeFillShade="F2"/>
          </w:tcPr>
          <w:p w14:paraId="1F1E80DE" w14:textId="77777777" w:rsidR="00A87E89" w:rsidRPr="00A31491" w:rsidRDefault="00A87E89">
            <w:pPr>
              <w:spacing w:line="360" w:lineRule="auto"/>
              <w:jc w:val="both"/>
              <w:rPr>
                <w:rFonts w:ascii="Times New Roman" w:hAnsi="Times New Roman" w:cs="Times New Roman"/>
                <w:bCs w:val="0"/>
                <w:sz w:val="22"/>
                <w:szCs w:val="22"/>
              </w:rPr>
            </w:pPr>
          </w:p>
        </w:tc>
        <w:tc>
          <w:tcPr>
            <w:tcW w:w="1620" w:type="dxa"/>
            <w:shd w:val="clear" w:color="auto" w:fill="F2F2F2" w:themeFill="background1" w:themeFillShade="F2"/>
          </w:tcPr>
          <w:p w14:paraId="7042744D"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FIF-EP-T3-C</w:t>
            </w:r>
          </w:p>
        </w:tc>
        <w:tc>
          <w:tcPr>
            <w:tcW w:w="1800" w:type="dxa"/>
            <w:shd w:val="clear" w:color="auto" w:fill="F2F2F2" w:themeFill="background1" w:themeFillShade="F2"/>
          </w:tcPr>
          <w:p w14:paraId="40749BE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548D65A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10</w:t>
            </w:r>
          </w:p>
        </w:tc>
        <w:tc>
          <w:tcPr>
            <w:tcW w:w="1620" w:type="dxa"/>
            <w:shd w:val="clear" w:color="auto" w:fill="F2F2F2" w:themeFill="background1" w:themeFillShade="F2"/>
          </w:tcPr>
          <w:p w14:paraId="4F8179C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shd w:val="clear" w:color="auto" w:fill="F2F2F2" w:themeFill="background1" w:themeFillShade="F2"/>
          </w:tcPr>
          <w:p w14:paraId="3528C2E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10</w:t>
            </w:r>
          </w:p>
        </w:tc>
      </w:tr>
      <w:tr w:rsidR="00A87E89" w:rsidRPr="00A31491" w14:paraId="3998C850"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val="restart"/>
          </w:tcPr>
          <w:p w14:paraId="0E0952DE" w14:textId="77777777" w:rsidR="00A87E89" w:rsidRPr="00A31491" w:rsidRDefault="00A87E89">
            <w:pPr>
              <w:spacing w:line="360" w:lineRule="auto"/>
              <w:jc w:val="both"/>
              <w:rPr>
                <w:rFonts w:ascii="Times New Roman" w:hAnsi="Times New Roman" w:cs="Times New Roman"/>
                <w:bCs w:val="0"/>
                <w:sz w:val="22"/>
                <w:szCs w:val="22"/>
              </w:rPr>
            </w:pPr>
          </w:p>
          <w:p w14:paraId="16BCB7F0" w14:textId="77777777" w:rsidR="00A87E89" w:rsidRPr="00A31491" w:rsidRDefault="00A87E89">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 xml:space="preserve">Avril </w:t>
            </w:r>
          </w:p>
        </w:tc>
        <w:tc>
          <w:tcPr>
            <w:tcW w:w="1620" w:type="dxa"/>
          </w:tcPr>
          <w:p w14:paraId="60E928E2"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FIF-EA-T6</w:t>
            </w:r>
          </w:p>
        </w:tc>
        <w:tc>
          <w:tcPr>
            <w:tcW w:w="1800" w:type="dxa"/>
          </w:tcPr>
          <w:p w14:paraId="6BD256D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7F5B6AA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tcPr>
          <w:p w14:paraId="711740A3"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tcPr>
          <w:p w14:paraId="2417A16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r>
      <w:tr w:rsidR="00A87E89" w:rsidRPr="00A31491" w14:paraId="6B79E9BA"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2F2F2" w:themeFill="background1" w:themeFillShade="F2"/>
          </w:tcPr>
          <w:p w14:paraId="35496640" w14:textId="77777777" w:rsidR="00A87E89" w:rsidRPr="00A31491" w:rsidRDefault="00A87E89">
            <w:pPr>
              <w:spacing w:line="360" w:lineRule="auto"/>
              <w:jc w:val="both"/>
              <w:rPr>
                <w:rFonts w:ascii="Times New Roman" w:hAnsi="Times New Roman" w:cs="Times New Roman"/>
                <w:bCs w:val="0"/>
                <w:sz w:val="22"/>
                <w:szCs w:val="22"/>
              </w:rPr>
            </w:pPr>
          </w:p>
        </w:tc>
        <w:tc>
          <w:tcPr>
            <w:tcW w:w="1620" w:type="dxa"/>
            <w:shd w:val="clear" w:color="auto" w:fill="F2F2F2" w:themeFill="background1" w:themeFillShade="F2"/>
          </w:tcPr>
          <w:p w14:paraId="5BE48023"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FIF-EP-T6</w:t>
            </w:r>
          </w:p>
        </w:tc>
        <w:tc>
          <w:tcPr>
            <w:tcW w:w="1800" w:type="dxa"/>
            <w:shd w:val="clear" w:color="auto" w:fill="F2F2F2" w:themeFill="background1" w:themeFillShade="F2"/>
          </w:tcPr>
          <w:p w14:paraId="6814A53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7B131B6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620" w:type="dxa"/>
            <w:shd w:val="clear" w:color="auto" w:fill="F2F2F2" w:themeFill="background1" w:themeFillShade="F2"/>
          </w:tcPr>
          <w:p w14:paraId="270F11E4"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c>
          <w:tcPr>
            <w:tcW w:w="1823" w:type="dxa"/>
            <w:shd w:val="clear" w:color="auto" w:fill="F2F2F2" w:themeFill="background1" w:themeFillShade="F2"/>
          </w:tcPr>
          <w:p w14:paraId="082E18CB"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Absence</w:t>
            </w:r>
          </w:p>
        </w:tc>
      </w:tr>
      <w:tr w:rsidR="00A87E89" w:rsidRPr="00A31491" w14:paraId="09CD8F5D" w14:textId="77777777" w:rsidTr="00F325EB">
        <w:trPr>
          <w:trHeight w:val="231"/>
        </w:trPr>
        <w:tc>
          <w:tcPr>
            <w:cnfStyle w:val="001000000000" w:firstRow="0" w:lastRow="0" w:firstColumn="1" w:lastColumn="0" w:oddVBand="0" w:evenVBand="0" w:oddHBand="0" w:evenHBand="0" w:firstRowFirstColumn="0" w:firstRowLastColumn="0" w:lastRowFirstColumn="0" w:lastRowLastColumn="0"/>
            <w:tcW w:w="3055" w:type="dxa"/>
            <w:gridSpan w:val="2"/>
          </w:tcPr>
          <w:p w14:paraId="3F087770" w14:textId="7B99B09B" w:rsidR="00A87E89" w:rsidRPr="00A31491" w:rsidRDefault="00A87E89">
            <w:pPr>
              <w:spacing w:line="360" w:lineRule="auto"/>
              <w:jc w:val="both"/>
              <w:rPr>
                <w:rFonts w:ascii="Times New Roman" w:hAnsi="Times New Roman" w:cs="Times New Roman"/>
                <w:b w:val="0"/>
                <w:sz w:val="22"/>
                <w:szCs w:val="22"/>
              </w:rPr>
            </w:pPr>
            <w:r w:rsidRPr="00A31491">
              <w:rPr>
                <w:rFonts w:ascii="Times New Roman" w:hAnsi="Times New Roman" w:cs="Times New Roman"/>
                <w:b w:val="0"/>
                <w:sz w:val="22"/>
                <w:szCs w:val="22"/>
              </w:rPr>
              <w:t>M</w:t>
            </w:r>
            <w:r w:rsidR="00EB36BA" w:rsidRPr="00A31491">
              <w:rPr>
                <w:rFonts w:ascii="Times New Roman" w:hAnsi="Times New Roman" w:cs="Times New Roman"/>
                <w:b w:val="0"/>
                <w:sz w:val="22"/>
                <w:szCs w:val="22"/>
              </w:rPr>
              <w:t>e</w:t>
            </w:r>
            <w:r w:rsidRPr="00A31491">
              <w:rPr>
                <w:rFonts w:ascii="Times New Roman" w:hAnsi="Times New Roman" w:cs="Times New Roman"/>
                <w:b w:val="0"/>
                <w:sz w:val="22"/>
                <w:szCs w:val="22"/>
              </w:rPr>
              <w:t>thods</w:t>
            </w:r>
          </w:p>
        </w:tc>
        <w:tc>
          <w:tcPr>
            <w:tcW w:w="1800" w:type="dxa"/>
          </w:tcPr>
          <w:p w14:paraId="5E5239AA" w14:textId="45F85A08" w:rsidR="00A87E89" w:rsidRPr="00A31491" w:rsidRDefault="00A87E89" w:rsidP="00F325E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w:t>
            </w:r>
            <w:r w:rsidR="00F325EB" w:rsidRPr="00A31491">
              <w:rPr>
                <w:rFonts w:ascii="Times New Roman" w:hAnsi="Times New Roman" w:cs="Times New Roman"/>
                <w:bCs/>
                <w:sz w:val="22"/>
                <w:szCs w:val="22"/>
              </w:rPr>
              <w:t xml:space="preserve"> </w:t>
            </w:r>
            <w:r w:rsidRPr="00A31491">
              <w:rPr>
                <w:rFonts w:ascii="Times New Roman" w:hAnsi="Times New Roman" w:cs="Times New Roman"/>
                <w:bCs/>
                <w:sz w:val="22"/>
                <w:szCs w:val="22"/>
              </w:rPr>
              <w:t>48331:2013</w:t>
            </w:r>
          </w:p>
        </w:tc>
        <w:tc>
          <w:tcPr>
            <w:tcW w:w="1620" w:type="dxa"/>
          </w:tcPr>
          <w:p w14:paraId="137B294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 4831:2006</w:t>
            </w:r>
          </w:p>
        </w:tc>
        <w:tc>
          <w:tcPr>
            <w:tcW w:w="1620" w:type="dxa"/>
          </w:tcPr>
          <w:p w14:paraId="76EAEEDD"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 7251:2005</w:t>
            </w:r>
          </w:p>
        </w:tc>
        <w:tc>
          <w:tcPr>
            <w:tcW w:w="1823" w:type="dxa"/>
          </w:tcPr>
          <w:p w14:paraId="365F8712" w14:textId="0CA49957" w:rsidR="00A87E89" w:rsidRPr="00A31491" w:rsidRDefault="00A87E89" w:rsidP="00F325E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w:t>
            </w:r>
            <w:r w:rsidR="00F325EB" w:rsidRPr="00A31491">
              <w:rPr>
                <w:rFonts w:ascii="Times New Roman" w:hAnsi="Times New Roman" w:cs="Times New Roman"/>
                <w:bCs/>
                <w:sz w:val="22"/>
                <w:szCs w:val="22"/>
              </w:rPr>
              <w:t xml:space="preserve"> </w:t>
            </w:r>
            <w:r w:rsidRPr="00A31491">
              <w:rPr>
                <w:rFonts w:ascii="Times New Roman" w:hAnsi="Times New Roman" w:cs="Times New Roman"/>
                <w:bCs/>
                <w:sz w:val="22"/>
                <w:szCs w:val="22"/>
              </w:rPr>
              <w:t>21527-</w:t>
            </w:r>
            <w:r w:rsidR="00F325EB" w:rsidRPr="00A31491">
              <w:rPr>
                <w:rFonts w:ascii="Times New Roman" w:hAnsi="Times New Roman" w:cs="Times New Roman"/>
                <w:bCs/>
                <w:sz w:val="22"/>
                <w:szCs w:val="22"/>
              </w:rPr>
              <w:t xml:space="preserve"> </w:t>
            </w:r>
            <w:r w:rsidRPr="00A31491">
              <w:rPr>
                <w:rFonts w:ascii="Times New Roman" w:hAnsi="Times New Roman" w:cs="Times New Roman"/>
                <w:bCs/>
                <w:sz w:val="22"/>
                <w:szCs w:val="22"/>
              </w:rPr>
              <w:t>1:2008</w:t>
            </w:r>
          </w:p>
        </w:tc>
      </w:tr>
      <w:tr w:rsidR="00A87E89" w:rsidRPr="00A31491" w14:paraId="40F5C410" w14:textId="77777777" w:rsidTr="00F325EB">
        <w:trPr>
          <w:trHeight w:val="64"/>
        </w:trPr>
        <w:tc>
          <w:tcPr>
            <w:cnfStyle w:val="001000000000" w:firstRow="0" w:lastRow="0" w:firstColumn="1" w:lastColumn="0" w:oddVBand="0" w:evenVBand="0" w:oddHBand="0" w:evenHBand="0" w:firstRowFirstColumn="0" w:firstRowLastColumn="0" w:lastRowFirstColumn="0" w:lastRowLastColumn="0"/>
            <w:tcW w:w="3055" w:type="dxa"/>
            <w:gridSpan w:val="2"/>
            <w:shd w:val="clear" w:color="auto" w:fill="F2F2F2" w:themeFill="background1" w:themeFillShade="F2"/>
          </w:tcPr>
          <w:p w14:paraId="2E01A3C0" w14:textId="2B2D155F" w:rsidR="00A87E89" w:rsidRPr="00A31491" w:rsidRDefault="00A87E89">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R</w:t>
            </w:r>
            <w:r w:rsidR="00EB36BA" w:rsidRPr="00A31491">
              <w:rPr>
                <w:rFonts w:ascii="Times New Roman" w:hAnsi="Times New Roman" w:cs="Times New Roman"/>
                <w:b w:val="0"/>
                <w:sz w:val="22"/>
                <w:szCs w:val="22"/>
              </w:rPr>
              <w:t>e</w:t>
            </w:r>
            <w:r w:rsidRPr="00A31491">
              <w:rPr>
                <w:rFonts w:ascii="Times New Roman" w:hAnsi="Times New Roman" w:cs="Times New Roman"/>
                <w:b w:val="0"/>
                <w:sz w:val="22"/>
                <w:szCs w:val="22"/>
              </w:rPr>
              <w:t>f</w:t>
            </w:r>
            <w:r w:rsidR="00EB36BA" w:rsidRPr="00A31491">
              <w:rPr>
                <w:rFonts w:ascii="Times New Roman" w:hAnsi="Times New Roman" w:cs="Times New Roman"/>
                <w:b w:val="0"/>
                <w:sz w:val="22"/>
                <w:szCs w:val="22"/>
              </w:rPr>
              <w:t>e</w:t>
            </w:r>
            <w:r w:rsidRPr="00A31491">
              <w:rPr>
                <w:rFonts w:ascii="Times New Roman" w:hAnsi="Times New Roman" w:cs="Times New Roman"/>
                <w:b w:val="0"/>
                <w:sz w:val="22"/>
                <w:szCs w:val="22"/>
              </w:rPr>
              <w:t>rences/Nig</w:t>
            </w:r>
            <w:r w:rsidR="00EB36BA" w:rsidRPr="00A31491">
              <w:rPr>
                <w:rFonts w:ascii="Times New Roman" w:hAnsi="Times New Roman" w:cs="Times New Roman"/>
                <w:b w:val="0"/>
                <w:sz w:val="22"/>
                <w:szCs w:val="22"/>
              </w:rPr>
              <w:t>e</w:t>
            </w:r>
            <w:r w:rsidRPr="00A31491">
              <w:rPr>
                <w:rFonts w:ascii="Times New Roman" w:hAnsi="Times New Roman" w:cs="Times New Roman"/>
                <w:b w:val="0"/>
                <w:sz w:val="22"/>
                <w:szCs w:val="22"/>
              </w:rPr>
              <w:t>rien</w:t>
            </w:r>
            <w:r w:rsidR="00EB36BA" w:rsidRPr="00A31491">
              <w:rPr>
                <w:rFonts w:ascii="Times New Roman" w:hAnsi="Times New Roman" w:cs="Times New Roman"/>
                <w:b w:val="0"/>
                <w:sz w:val="22"/>
                <w:szCs w:val="22"/>
              </w:rPr>
              <w:t xml:space="preserve"> standard</w:t>
            </w:r>
            <w:r w:rsidRPr="00A31491">
              <w:rPr>
                <w:rFonts w:ascii="Times New Roman" w:hAnsi="Times New Roman" w:cs="Times New Roman"/>
                <w:b w:val="0"/>
                <w:sz w:val="22"/>
                <w:szCs w:val="22"/>
              </w:rPr>
              <w:t xml:space="preserve"> </w:t>
            </w:r>
            <w:r w:rsidRPr="00A31491">
              <w:rPr>
                <w:rFonts w:ascii="Times New Roman" w:hAnsi="Times New Roman" w:cs="Times New Roman"/>
                <w:b w:val="0"/>
                <w:bCs w:val="0"/>
                <w:sz w:val="22"/>
                <w:szCs w:val="22"/>
              </w:rPr>
              <w:t>NN 01-010-02</w:t>
            </w:r>
          </w:p>
        </w:tc>
        <w:tc>
          <w:tcPr>
            <w:tcW w:w="1800" w:type="dxa"/>
            <w:shd w:val="clear" w:color="auto" w:fill="F2F2F2" w:themeFill="background1" w:themeFillShade="F2"/>
          </w:tcPr>
          <w:p w14:paraId="0FF3C2B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vertAlign w:val="superscript"/>
              </w:rPr>
            </w:pPr>
            <w:r w:rsidRPr="00A31491">
              <w:rPr>
                <w:rFonts w:ascii="Times New Roman" w:hAnsi="Times New Roman" w:cs="Times New Roman"/>
                <w:sz w:val="22"/>
                <w:szCs w:val="22"/>
              </w:rPr>
              <w:t>˂1.10</w:t>
            </w:r>
            <w:r w:rsidRPr="00A31491">
              <w:rPr>
                <w:rFonts w:ascii="Times New Roman" w:hAnsi="Times New Roman" w:cs="Times New Roman"/>
                <w:sz w:val="22"/>
                <w:szCs w:val="22"/>
                <w:vertAlign w:val="superscript"/>
              </w:rPr>
              <w:t>5</w:t>
            </w:r>
          </w:p>
          <w:p w14:paraId="158272CD"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A31491">
              <w:rPr>
                <w:rFonts w:ascii="Times New Roman" w:hAnsi="Times New Roman" w:cs="Times New Roman"/>
                <w:sz w:val="22"/>
                <w:szCs w:val="22"/>
              </w:rPr>
              <w:t>UFC/g</w:t>
            </w:r>
          </w:p>
        </w:tc>
        <w:tc>
          <w:tcPr>
            <w:tcW w:w="1620" w:type="dxa"/>
            <w:shd w:val="clear" w:color="auto" w:fill="F2F2F2" w:themeFill="background1" w:themeFillShade="F2"/>
          </w:tcPr>
          <w:p w14:paraId="487AE76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A31491">
              <w:rPr>
                <w:rFonts w:ascii="Times New Roman" w:hAnsi="Times New Roman" w:cs="Times New Roman"/>
                <w:sz w:val="22"/>
                <w:szCs w:val="22"/>
              </w:rPr>
              <w:t>˂1.10</w:t>
            </w:r>
            <w:r w:rsidRPr="00A31491">
              <w:rPr>
                <w:rFonts w:ascii="Times New Roman" w:hAnsi="Times New Roman" w:cs="Times New Roman"/>
                <w:sz w:val="22"/>
                <w:szCs w:val="22"/>
                <w:vertAlign w:val="superscript"/>
              </w:rPr>
              <w:t xml:space="preserve">2 </w:t>
            </w:r>
            <w:r w:rsidRPr="00A31491">
              <w:rPr>
                <w:rFonts w:ascii="Times New Roman" w:hAnsi="Times New Roman" w:cs="Times New Roman"/>
                <w:sz w:val="22"/>
                <w:szCs w:val="22"/>
              </w:rPr>
              <w:t>UFC/g</w:t>
            </w:r>
          </w:p>
        </w:tc>
        <w:tc>
          <w:tcPr>
            <w:tcW w:w="1620" w:type="dxa"/>
            <w:shd w:val="clear" w:color="auto" w:fill="F2F2F2" w:themeFill="background1" w:themeFillShade="F2"/>
          </w:tcPr>
          <w:p w14:paraId="2E0C5ED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A31491">
              <w:rPr>
                <w:rFonts w:ascii="Times New Roman" w:hAnsi="Times New Roman" w:cs="Times New Roman"/>
                <w:sz w:val="22"/>
                <w:szCs w:val="22"/>
              </w:rPr>
              <w:t>˂1.10</w:t>
            </w:r>
            <w:r w:rsidRPr="00A31491">
              <w:rPr>
                <w:rFonts w:ascii="Times New Roman" w:hAnsi="Times New Roman" w:cs="Times New Roman"/>
                <w:sz w:val="22"/>
                <w:szCs w:val="22"/>
                <w:vertAlign w:val="superscript"/>
              </w:rPr>
              <w:t>1</w:t>
            </w:r>
            <w:r w:rsidRPr="00A31491">
              <w:rPr>
                <w:rFonts w:ascii="Times New Roman" w:hAnsi="Times New Roman" w:cs="Times New Roman"/>
                <w:sz w:val="22"/>
                <w:szCs w:val="22"/>
              </w:rPr>
              <w:t xml:space="preserve"> UFC/g</w:t>
            </w:r>
          </w:p>
        </w:tc>
        <w:tc>
          <w:tcPr>
            <w:tcW w:w="1823" w:type="dxa"/>
            <w:shd w:val="clear" w:color="auto" w:fill="F2F2F2" w:themeFill="background1" w:themeFillShade="F2"/>
          </w:tcPr>
          <w:p w14:paraId="2B9E503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1491">
              <w:rPr>
                <w:rFonts w:ascii="Times New Roman" w:hAnsi="Times New Roman" w:cs="Times New Roman"/>
                <w:sz w:val="22"/>
                <w:szCs w:val="22"/>
              </w:rPr>
              <w:t>˂1.10</w:t>
            </w:r>
            <w:r w:rsidRPr="00A31491">
              <w:rPr>
                <w:rFonts w:ascii="Times New Roman" w:hAnsi="Times New Roman" w:cs="Times New Roman"/>
                <w:sz w:val="22"/>
                <w:szCs w:val="22"/>
                <w:vertAlign w:val="superscript"/>
              </w:rPr>
              <w:t>3</w:t>
            </w:r>
            <w:r w:rsidRPr="00A31491">
              <w:rPr>
                <w:rFonts w:ascii="Times New Roman" w:hAnsi="Times New Roman" w:cs="Times New Roman"/>
                <w:sz w:val="22"/>
                <w:szCs w:val="22"/>
              </w:rPr>
              <w:t xml:space="preserve"> </w:t>
            </w:r>
          </w:p>
          <w:p w14:paraId="7377409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A31491">
              <w:rPr>
                <w:rFonts w:ascii="Times New Roman" w:hAnsi="Times New Roman" w:cs="Times New Roman"/>
                <w:sz w:val="22"/>
                <w:szCs w:val="22"/>
              </w:rPr>
              <w:t>UFC/g</w:t>
            </w:r>
          </w:p>
        </w:tc>
      </w:tr>
    </w:tbl>
    <w:p w14:paraId="793046E5"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Packaging; EP: Plastic Packaging; C: Community % = percentage</w:t>
      </w:r>
    </w:p>
    <w:p w14:paraId="4C1CA7A4" w14:textId="7B2F444E"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microbiological quality of the analyzed flours is generally satisfactory and complies with the requirements of the Nigerian standard NN 01-010-02. At the initial time (October), all </w:t>
      </w:r>
      <w:r w:rsidR="00F325EB" w:rsidRPr="00A31491">
        <w:rPr>
          <w:rFonts w:ascii="Times New Roman" w:hAnsi="Times New Roman" w:cs="Times New Roman"/>
          <w:bCs/>
          <w:sz w:val="24"/>
          <w:szCs w:val="24"/>
          <w:lang w:val="en-US"/>
        </w:rPr>
        <w:t>tested microorganisms, mesophilic aerobic bacteria, fecal coliforms, Escherichia coli, yeasts, and molds were absent, indicating an initially healthy product free of</w:t>
      </w:r>
      <w:r w:rsidRPr="00A31491">
        <w:rPr>
          <w:rFonts w:ascii="Times New Roman" w:hAnsi="Times New Roman" w:cs="Times New Roman"/>
          <w:bCs/>
          <w:sz w:val="24"/>
          <w:szCs w:val="24"/>
          <w:lang w:val="en-US"/>
        </w:rPr>
        <w:t xml:space="preserve"> contamination.</w:t>
      </w:r>
    </w:p>
    <w:p w14:paraId="02582083"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After three months of storage (January), the flours stored under EA and EP conditions remained free from any contamination, with a total absence of the tested bacteria and molds. However, two control samples (EA-T3-C and EP-T3-C) showed a slight presence of fungal flora: 5.58 × 10² CFU/g for EA-T3-C and values ​​&lt; 10 CFU/g for EP-T3-C. Despite this appearance of yeasts and molds, the observed levels remained well below the maximum threshold set by the standard (10³ CFU/g) and did not reveal any significant degradation. In April (T6), all samples, regardless of storage conditions, showed a complete absence of germs, including mesophilic aerobic bacteria, fecal coliforms, E. coli, yeasts, and molds. This microbiological stability confirms the effectiveness of the storage conditions and the absence of any risk of deterioration over time.</w:t>
      </w:r>
    </w:p>
    <w:p w14:paraId="09E40494"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demonstrate very good control of hygiene and microbiological stability of the flours during the storage period. The occasional fungal contamination observed in some control </w:t>
      </w:r>
      <w:r w:rsidRPr="00A31491">
        <w:rPr>
          <w:rFonts w:ascii="Times New Roman" w:hAnsi="Times New Roman" w:cs="Times New Roman"/>
          <w:bCs/>
          <w:sz w:val="24"/>
          <w:szCs w:val="24"/>
          <w:lang w:val="en-US"/>
        </w:rPr>
        <w:lastRenderedPageBreak/>
        <w:t>samples remains low and below regulatory thresholds, indicating satisfactory sanitary quality that complies with current standards.</w:t>
      </w:r>
    </w:p>
    <w:p w14:paraId="0B906415"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p>
    <w:p w14:paraId="3D5C3A95" w14:textId="77777777" w:rsidR="00973BF0" w:rsidRPr="00A31491" w:rsidRDefault="00973BF0" w:rsidP="000A73D6">
      <w:pPr>
        <w:spacing w:after="0" w:line="360" w:lineRule="auto"/>
        <w:ind w:right="21"/>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3.3. Sensory Profile of the Flours</w:t>
      </w:r>
    </w:p>
    <w:p w14:paraId="16404339"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organoleptic characteristics of </w:t>
      </w:r>
      <w:proofErr w:type="spellStart"/>
      <w:r w:rsidRPr="00A31491">
        <w:rPr>
          <w:rFonts w:ascii="Times New Roman" w:hAnsi="Times New Roman" w:cs="Times New Roman"/>
          <w:bCs/>
          <w:sz w:val="24"/>
          <w:szCs w:val="24"/>
          <w:lang w:val="en-US"/>
        </w:rPr>
        <w:t>Misola</w:t>
      </w:r>
      <w:proofErr w:type="spellEnd"/>
      <w:r w:rsidRPr="00A31491">
        <w:rPr>
          <w:rFonts w:ascii="Times New Roman" w:hAnsi="Times New Roman" w:cs="Times New Roman"/>
          <w:bCs/>
          <w:sz w:val="24"/>
          <w:szCs w:val="24"/>
          <w:lang w:val="en-US"/>
        </w:rPr>
        <w:t>® fortified infant flour are shown in Figure 3.</w:t>
      </w:r>
    </w:p>
    <w:p w14:paraId="3E922268" w14:textId="77777777" w:rsidR="002E6615" w:rsidRPr="00A31491" w:rsidRDefault="00973BF0"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bCs/>
          <w:sz w:val="24"/>
          <w:szCs w:val="24"/>
          <w:lang w:val="en-US"/>
        </w:rPr>
        <w:t>The number of tasters who noted a difference between the flours at times T0, T4 and T0, T6 is shown in Figure 3.</w:t>
      </w:r>
      <w:r w:rsidR="002E6615" w:rsidRPr="00A31491">
        <w:rPr>
          <w:rFonts w:ascii="Times New Roman" w:hAnsi="Times New Roman" w:cs="Times New Roman"/>
          <w:noProof/>
          <w:sz w:val="24"/>
          <w:szCs w:val="24"/>
          <w:lang w:val="en-US"/>
        </w:rPr>
        <w:t>T: Time; % = percentage</w:t>
      </w:r>
    </w:p>
    <w:p w14:paraId="2A24D74D" w14:textId="45A014F6" w:rsidR="00A31491" w:rsidRPr="00A31491" w:rsidRDefault="00A31491"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drawing>
          <wp:inline distT="0" distB="0" distL="0" distR="0" wp14:anchorId="521821C8" wp14:editId="6775C3EC">
            <wp:extent cx="4538345" cy="1683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8145" cy="1687580"/>
                    </a:xfrm>
                    <a:prstGeom prst="rect">
                      <a:avLst/>
                    </a:prstGeom>
                    <a:noFill/>
                  </pic:spPr>
                </pic:pic>
              </a:graphicData>
            </a:graphic>
          </wp:inline>
        </w:drawing>
      </w:r>
    </w:p>
    <w:p w14:paraId="0F64E374" w14:textId="4136264D"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b/>
          <w:bCs/>
          <w:noProof/>
          <w:sz w:val="24"/>
          <w:szCs w:val="24"/>
          <w:lang w:val="en-US"/>
        </w:rPr>
        <w:t>Figure 3</w:t>
      </w:r>
      <w:r w:rsidR="00A31491" w:rsidRPr="00A31491">
        <w:rPr>
          <w:rFonts w:ascii="Times New Roman" w:hAnsi="Times New Roman" w:cs="Times New Roman"/>
          <w:b/>
          <w:bCs/>
          <w:noProof/>
          <w:sz w:val="24"/>
          <w:szCs w:val="24"/>
          <w:lang w:val="en-US"/>
        </w:rPr>
        <w:t>.</w:t>
      </w:r>
      <w:r w:rsidRPr="00A31491">
        <w:rPr>
          <w:rFonts w:ascii="Times New Roman" w:hAnsi="Times New Roman" w:cs="Times New Roman"/>
          <w:noProof/>
          <w:sz w:val="24"/>
          <w:szCs w:val="24"/>
          <w:lang w:val="en-US"/>
        </w:rPr>
        <w:t xml:space="preserve"> Organoleptic Characteristics of Misola® Fortified Infant Flour</w:t>
      </w:r>
    </w:p>
    <w:p w14:paraId="2C7693D0" w14:textId="77777777"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Figure 3 presents the perceived evolution of three sensory characteristics of the flours: odor, color, and taste, compared between the initial time (T0) and storage times T4 and T6. The results indicate strong sensory stability over time.</w:t>
      </w:r>
    </w:p>
    <w:p w14:paraId="5C114EA7" w14:textId="24128DE8"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 xml:space="preserve">For odor, 99% of respondents perceived no change between T0 and T4, and 85% between T0 and T6. Although a slight increase in the number of people reporting a change was observed at T6 (15%), the vast majority considered the odor </w:t>
      </w:r>
      <w:r w:rsidR="00F325EB" w:rsidRPr="00A31491">
        <w:rPr>
          <w:rFonts w:ascii="Times New Roman" w:hAnsi="Times New Roman" w:cs="Times New Roman"/>
          <w:noProof/>
          <w:sz w:val="24"/>
          <w:szCs w:val="24"/>
          <w:lang w:val="en-US"/>
        </w:rPr>
        <w:t>unchanged, demonstrating good olfactory stability even after 6</w:t>
      </w:r>
      <w:r w:rsidRPr="00A31491">
        <w:rPr>
          <w:rFonts w:ascii="Times New Roman" w:hAnsi="Times New Roman" w:cs="Times New Roman"/>
          <w:noProof/>
          <w:sz w:val="24"/>
          <w:szCs w:val="24"/>
          <w:lang w:val="en-US"/>
        </w:rPr>
        <w:t xml:space="preserve"> months. Regarding color, the results show similar consistency: 97% of participants noted no change between T0 and T4, and 96% between T0 and T6. Perceived variations</w:t>
      </w:r>
      <w:r w:rsidR="00F325EB" w:rsidRPr="00A31491">
        <w:rPr>
          <w:rFonts w:ascii="Times New Roman" w:hAnsi="Times New Roman" w:cs="Times New Roman"/>
          <w:noProof/>
          <w:sz w:val="24"/>
          <w:szCs w:val="24"/>
          <w:lang w:val="en-US"/>
        </w:rPr>
        <w:t>, therefore,</w:t>
      </w:r>
      <w:r w:rsidRPr="00A31491">
        <w:rPr>
          <w:rFonts w:ascii="Times New Roman" w:hAnsi="Times New Roman" w:cs="Times New Roman"/>
          <w:noProof/>
          <w:sz w:val="24"/>
          <w:szCs w:val="24"/>
          <w:lang w:val="en-US"/>
        </w:rPr>
        <w:t xml:space="preserve"> remain very limited (3–4%), suggesting that the product's color changes very little during storage. Taste perceptions follow the same trend. Between T0 and T4, 98% of respondents reported no change, and 97% between T0 and T6. This shows that the taste remains very stable, with only 2–3% of people identifying any change.</w:t>
      </w:r>
    </w:p>
    <w:p w14:paraId="1F03506F" w14:textId="40145A2E"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 xml:space="preserve">Overall, sensory analysis reveals strong stability in the organoleptic properties of the flours </w:t>
      </w:r>
      <w:r w:rsidR="00F325EB" w:rsidRPr="00A31491">
        <w:rPr>
          <w:rFonts w:ascii="Times New Roman" w:hAnsi="Times New Roman" w:cs="Times New Roman"/>
          <w:noProof/>
          <w:sz w:val="24"/>
          <w:szCs w:val="24"/>
          <w:lang w:val="en-US"/>
        </w:rPr>
        <w:t>over the initial storage period and the first 6</w:t>
      </w:r>
      <w:r w:rsidRPr="00A31491">
        <w:rPr>
          <w:rFonts w:ascii="Times New Roman" w:hAnsi="Times New Roman" w:cs="Times New Roman"/>
          <w:noProof/>
          <w:sz w:val="24"/>
          <w:szCs w:val="24"/>
          <w:lang w:val="en-US"/>
        </w:rPr>
        <w:t xml:space="preserve"> months of storage. The small percentages of responses indicating a difference remain marginal and suggest that perceived variations are minimal, even </w:t>
      </w:r>
      <w:r w:rsidRPr="00A31491">
        <w:rPr>
          <w:rFonts w:ascii="Times New Roman" w:hAnsi="Times New Roman" w:cs="Times New Roman"/>
          <w:noProof/>
          <w:sz w:val="24"/>
          <w:szCs w:val="24"/>
          <w:lang w:val="en-US"/>
        </w:rPr>
        <w:lastRenderedPageBreak/>
        <w:t>negligible. These results reinforce the idea of ​​good product preservation, both in terms of smell, appearance, and taste.</w:t>
      </w:r>
    </w:p>
    <w:p w14:paraId="348CA778" w14:textId="77777777" w:rsidR="00A57CC3" w:rsidRPr="00A31491" w:rsidRDefault="002E6615" w:rsidP="000A73D6">
      <w:pPr>
        <w:spacing w:after="0" w:line="360" w:lineRule="auto"/>
        <w:ind w:right="21"/>
        <w:jc w:val="both"/>
        <w:rPr>
          <w:rFonts w:ascii="Times New Roman" w:hAnsi="Times New Roman" w:cs="Times New Roman"/>
          <w:b/>
          <w:bCs/>
          <w:noProof/>
          <w:sz w:val="24"/>
          <w:szCs w:val="24"/>
          <w:lang w:val="en-US"/>
        </w:rPr>
      </w:pPr>
      <w:r w:rsidRPr="00A31491">
        <w:rPr>
          <w:rFonts w:ascii="Times New Roman" w:hAnsi="Times New Roman" w:cs="Times New Roman"/>
          <w:b/>
          <w:bCs/>
          <w:noProof/>
          <w:sz w:val="24"/>
          <w:szCs w:val="24"/>
          <w:lang w:val="en-US"/>
        </w:rPr>
        <w:t>3.4. Appreciation of Flour Tastes</w:t>
      </w:r>
    </w:p>
    <w:p w14:paraId="5F19119D" w14:textId="77777777" w:rsidR="00A57CC3" w:rsidRPr="00A31491" w:rsidRDefault="00A57CC3" w:rsidP="000A73D6">
      <w:pPr>
        <w:spacing w:after="0" w:line="360" w:lineRule="auto"/>
        <w:ind w:right="21"/>
        <w:jc w:val="both"/>
        <w:rPr>
          <w:rFonts w:ascii="Times New Roman" w:hAnsi="Times New Roman" w:cs="Times New Roman"/>
          <w:noProof/>
          <w:sz w:val="24"/>
          <w:szCs w:val="24"/>
          <w:lang w:val="en-US"/>
        </w:rPr>
      </w:pPr>
    </w:p>
    <w:p w14:paraId="38281C59" w14:textId="75D44923" w:rsidR="00A57CC3" w:rsidRPr="00A31491" w:rsidRDefault="00A57CC3"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lang w:val="en-US"/>
        </w:rPr>
        <w:drawing>
          <wp:inline distT="0" distB="0" distL="0" distR="0" wp14:anchorId="6C06B681" wp14:editId="58945731">
            <wp:extent cx="5486400" cy="1921397"/>
            <wp:effectExtent l="0" t="0" r="0" b="3175"/>
            <wp:docPr id="3"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A3B349" w14:textId="144A3361" w:rsidR="002E6615" w:rsidRPr="00A31491" w:rsidRDefault="00A87E89"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 </w:t>
      </w:r>
      <w:bookmarkStart w:id="1" w:name="_Hlk214977764"/>
      <w:r w:rsidR="002E6615" w:rsidRPr="00A31491">
        <w:rPr>
          <w:rFonts w:ascii="Times New Roman" w:hAnsi="Times New Roman" w:cs="Times New Roman"/>
          <w:bCs/>
          <w:sz w:val="24"/>
          <w:szCs w:val="24"/>
          <w:lang w:val="en-US"/>
        </w:rPr>
        <w:t>T: Time; % = percentage</w:t>
      </w:r>
    </w:p>
    <w:p w14:paraId="5E21F7B8" w14:textId="1B8210C2"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
          <w:sz w:val="24"/>
          <w:szCs w:val="24"/>
          <w:lang w:val="en-US"/>
        </w:rPr>
        <w:t xml:space="preserve">Figure </w:t>
      </w:r>
      <w:r w:rsidR="00A31491" w:rsidRPr="00A31491">
        <w:rPr>
          <w:rFonts w:ascii="Times New Roman" w:hAnsi="Times New Roman" w:cs="Times New Roman"/>
          <w:b/>
          <w:sz w:val="24"/>
          <w:szCs w:val="24"/>
          <w:lang w:val="en-US"/>
        </w:rPr>
        <w:t>4</w:t>
      </w:r>
      <w:r w:rsidR="00A57CC3" w:rsidRPr="00A31491">
        <w:rPr>
          <w:rFonts w:ascii="Times New Roman" w:hAnsi="Times New Roman" w:cs="Times New Roman"/>
          <w:b/>
          <w:sz w:val="24"/>
          <w:szCs w:val="24"/>
          <w:lang w:val="en-US"/>
        </w:rPr>
        <w:t>.</w:t>
      </w:r>
      <w:r w:rsidR="00A57CC3" w:rsidRPr="00A31491">
        <w:rPr>
          <w:rFonts w:ascii="Times New Roman" w:hAnsi="Times New Roman" w:cs="Times New Roman"/>
          <w:bCs/>
          <w:sz w:val="24"/>
          <w:szCs w:val="24"/>
          <w:lang w:val="en-US"/>
        </w:rPr>
        <w:t xml:space="preserve"> </w:t>
      </w:r>
      <w:r w:rsidRPr="00A31491">
        <w:rPr>
          <w:rFonts w:ascii="Times New Roman" w:hAnsi="Times New Roman" w:cs="Times New Roman"/>
          <w:bCs/>
          <w:sz w:val="24"/>
          <w:szCs w:val="24"/>
          <w:lang w:val="en-US"/>
        </w:rPr>
        <w:t xml:space="preserve"> Overall Assessment of </w:t>
      </w:r>
      <w:proofErr w:type="spellStart"/>
      <w:r w:rsidRPr="00A31491">
        <w:rPr>
          <w:rFonts w:ascii="Times New Roman" w:hAnsi="Times New Roman" w:cs="Times New Roman"/>
          <w:bCs/>
          <w:sz w:val="24"/>
          <w:szCs w:val="24"/>
          <w:lang w:val="en-US"/>
        </w:rPr>
        <w:t>Misola</w:t>
      </w:r>
      <w:proofErr w:type="spellEnd"/>
      <w:r w:rsidRPr="00A31491">
        <w:rPr>
          <w:rFonts w:ascii="Times New Roman" w:hAnsi="Times New Roman" w:cs="Times New Roman"/>
          <w:bCs/>
          <w:sz w:val="24"/>
          <w:szCs w:val="24"/>
          <w:lang w:val="en-US"/>
        </w:rPr>
        <w:t xml:space="preserve"> Flour and Porridge</w:t>
      </w:r>
    </w:p>
    <w:p w14:paraId="582945F4" w14:textId="77777777" w:rsidR="002E6615" w:rsidRPr="00A31491" w:rsidRDefault="002E6615" w:rsidP="000A73D6">
      <w:pPr>
        <w:spacing w:after="0" w:line="360" w:lineRule="auto"/>
        <w:jc w:val="both"/>
        <w:rPr>
          <w:rFonts w:ascii="Times New Roman" w:hAnsi="Times New Roman" w:cs="Times New Roman"/>
          <w:bCs/>
          <w:sz w:val="24"/>
          <w:szCs w:val="24"/>
          <w:lang w:val="en-US"/>
        </w:rPr>
      </w:pPr>
    </w:p>
    <w:p w14:paraId="426D8200" w14:textId="73EFDBF3"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graph shows the evolution of the overall acceptability </w:t>
      </w:r>
      <w:r w:rsidR="00A57CC3" w:rsidRPr="00A31491">
        <w:rPr>
          <w:rFonts w:ascii="Times New Roman" w:hAnsi="Times New Roman" w:cs="Times New Roman"/>
          <w:bCs/>
          <w:sz w:val="24"/>
          <w:szCs w:val="24"/>
          <w:lang w:val="en-US"/>
        </w:rPr>
        <w:t>of the flour and the porridge made from it, comparing the initial time (T0) with</w:t>
      </w:r>
      <w:r w:rsidRPr="00A31491">
        <w:rPr>
          <w:rFonts w:ascii="Times New Roman" w:hAnsi="Times New Roman" w:cs="Times New Roman"/>
          <w:bCs/>
          <w:sz w:val="24"/>
          <w:szCs w:val="24"/>
          <w:lang w:val="en-US"/>
        </w:rPr>
        <w:t xml:space="preserve"> the storage periods T4 and T6. The results show high acceptability, </w:t>
      </w:r>
      <w:r w:rsidR="00A57CC3" w:rsidRPr="00A31491">
        <w:rPr>
          <w:rFonts w:ascii="Times New Roman" w:hAnsi="Times New Roman" w:cs="Times New Roman"/>
          <w:bCs/>
          <w:sz w:val="24"/>
          <w:szCs w:val="24"/>
          <w:lang w:val="en-US"/>
        </w:rPr>
        <w:t>though it has decreased slightly</w:t>
      </w:r>
      <w:r w:rsidRPr="00A31491">
        <w:rPr>
          <w:rFonts w:ascii="Times New Roman" w:hAnsi="Times New Roman" w:cs="Times New Roman"/>
          <w:bCs/>
          <w:sz w:val="24"/>
          <w:szCs w:val="24"/>
          <w:lang w:val="en-US"/>
        </w:rPr>
        <w:t xml:space="preserve"> over time. For the flour, 97% of evaluators </w:t>
      </w:r>
      <w:r w:rsidR="00A57CC3" w:rsidRPr="00A31491">
        <w:rPr>
          <w:rFonts w:ascii="Times New Roman" w:hAnsi="Times New Roman" w:cs="Times New Roman"/>
          <w:bCs/>
          <w:sz w:val="24"/>
          <w:szCs w:val="24"/>
          <w:lang w:val="en-US"/>
        </w:rPr>
        <w:t>reported no perceptible difference between T0 and T4, indicating excellent sensory and technological stability after 4</w:t>
      </w:r>
      <w:r w:rsidRPr="00A31491">
        <w:rPr>
          <w:rFonts w:ascii="Times New Roman" w:hAnsi="Times New Roman" w:cs="Times New Roman"/>
          <w:bCs/>
          <w:sz w:val="24"/>
          <w:szCs w:val="24"/>
          <w:lang w:val="en-US"/>
        </w:rPr>
        <w:t xml:space="preserve"> months. At T6, this rate remained very high (94%), indicating that the vast majority of users continued to perceive the flour as generally unchanged, despite a slight decrease in acceptability.</w:t>
      </w:r>
    </w:p>
    <w:p w14:paraId="7E21041A" w14:textId="3ACB0FCD"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Regarding the porridge, the results follow the same trend. Between T0 and T4, 95% of participants detected no significant changes, confirming good stability of organoleptic properties during culinary processing. At T6, acceptability drops to 91%, but remains predominantly positive, suggesting that any perceived changes are limited and have no </w:t>
      </w:r>
      <w:r w:rsidR="00A57CC3" w:rsidRP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impact on consumption. The results indicate satisfactory stability of the flour and porridge for up to </w:t>
      </w:r>
      <w:r w:rsidR="00A57CC3" w:rsidRPr="00A31491">
        <w:rPr>
          <w:rFonts w:ascii="Times New Roman" w:hAnsi="Times New Roman" w:cs="Times New Roman"/>
          <w:bCs/>
          <w:sz w:val="24"/>
          <w:szCs w:val="24"/>
          <w:lang w:val="en-US"/>
        </w:rPr>
        <w:t>6 months of storage, with high acceptance rates and minimal variation</w:t>
      </w:r>
      <w:r w:rsidRPr="00A31491">
        <w:rPr>
          <w:rFonts w:ascii="Times New Roman" w:hAnsi="Times New Roman" w:cs="Times New Roman"/>
          <w:bCs/>
          <w:sz w:val="24"/>
          <w:szCs w:val="24"/>
          <w:lang w:val="en-US"/>
        </w:rPr>
        <w:t>.</w:t>
      </w:r>
    </w:p>
    <w:p w14:paraId="7898CD73" w14:textId="11604F49" w:rsidR="00A87E89"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In summary, </w:t>
      </w:r>
      <w:proofErr w:type="spellStart"/>
      <w:r w:rsidRPr="00A31491">
        <w:rPr>
          <w:rFonts w:ascii="Times New Roman" w:hAnsi="Times New Roman" w:cs="Times New Roman"/>
          <w:bCs/>
          <w:sz w:val="24"/>
          <w:szCs w:val="24"/>
          <w:lang w:val="en-US"/>
        </w:rPr>
        <w:t>Misola</w:t>
      </w:r>
      <w:proofErr w:type="spellEnd"/>
      <w:r w:rsidR="00A57CC3" w:rsidRPr="00A31491">
        <w:rPr>
          <w:rFonts w:ascii="Times New Roman" w:hAnsi="Times New Roman" w:cs="Times New Roman"/>
          <w:bCs/>
          <w:sz w:val="24"/>
          <w:szCs w:val="24"/>
          <w:lang w:val="en-US"/>
        </w:rPr>
        <w:t xml:space="preserve">® </w:t>
      </w:r>
      <w:r w:rsidRPr="00A31491">
        <w:rPr>
          <w:rFonts w:ascii="Times New Roman" w:hAnsi="Times New Roman" w:cs="Times New Roman"/>
          <w:bCs/>
          <w:sz w:val="24"/>
          <w:szCs w:val="24"/>
          <w:lang w:val="en-US"/>
        </w:rPr>
        <w:t>flour exhibits satisfactory microbiological and sensory stability, as well as taste, for up to six months, without exceeding standards or any significant degradation perceived by consumers.</w:t>
      </w:r>
    </w:p>
    <w:p w14:paraId="4E927FBB" w14:textId="77777777" w:rsidR="002E6615" w:rsidRPr="00A31491" w:rsidRDefault="002E6615" w:rsidP="000A73D6">
      <w:pPr>
        <w:spacing w:after="0" w:line="360" w:lineRule="auto"/>
        <w:jc w:val="both"/>
        <w:rPr>
          <w:rFonts w:ascii="Times New Roman" w:hAnsi="Times New Roman" w:cs="Times New Roman"/>
          <w:color w:val="EE0000"/>
          <w:lang w:val="en-US"/>
        </w:rPr>
      </w:pPr>
    </w:p>
    <w:bookmarkEnd w:id="1"/>
    <w:p w14:paraId="00D1C69C" w14:textId="77777777" w:rsidR="002E6615" w:rsidRPr="00A31491" w:rsidRDefault="002E6615" w:rsidP="000A73D6">
      <w:pPr>
        <w:spacing w:after="0" w:line="360" w:lineRule="auto"/>
        <w:jc w:val="both"/>
        <w:rPr>
          <w:rFonts w:ascii="Times New Roman" w:eastAsia="Times New Roman" w:hAnsi="Times New Roman" w:cs="Times New Roman"/>
          <w:b/>
          <w:sz w:val="24"/>
          <w:szCs w:val="24"/>
          <w:lang w:val="en-US" w:eastAsia="fr-FR"/>
          <w14:ligatures w14:val="none"/>
        </w:rPr>
      </w:pPr>
      <w:r w:rsidRPr="00A31491">
        <w:rPr>
          <w:rFonts w:ascii="Times New Roman" w:eastAsia="Times New Roman" w:hAnsi="Times New Roman" w:cs="Times New Roman"/>
          <w:b/>
          <w:sz w:val="24"/>
          <w:szCs w:val="24"/>
          <w:lang w:val="en-US" w:eastAsia="fr-FR"/>
          <w14:ligatures w14:val="none"/>
        </w:rPr>
        <w:lastRenderedPageBreak/>
        <w:t>4. Discussion</w:t>
      </w:r>
    </w:p>
    <w:p w14:paraId="0ABCED19" w14:textId="0E8F960D" w:rsidR="002E6615" w:rsidRPr="00A31491"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The stability of Misola fortified infant flour is a </w:t>
      </w:r>
      <w:r w:rsidR="00A57CC3" w:rsidRPr="00A31491">
        <w:rPr>
          <w:rFonts w:ascii="Times New Roman" w:eastAsia="Times New Roman" w:hAnsi="Times New Roman" w:cs="Times New Roman"/>
          <w:bCs/>
          <w:sz w:val="24"/>
          <w:szCs w:val="24"/>
          <w:lang w:val="en-US" w:eastAsia="fr-FR"/>
          <w14:ligatures w14:val="none"/>
        </w:rPr>
        <w:t>significant</w:t>
      </w:r>
      <w:r w:rsidRPr="00A31491">
        <w:rPr>
          <w:rFonts w:ascii="Times New Roman" w:eastAsia="Times New Roman" w:hAnsi="Times New Roman" w:cs="Times New Roman"/>
          <w:bCs/>
          <w:sz w:val="24"/>
          <w:szCs w:val="24"/>
          <w:lang w:val="en-US" w:eastAsia="fr-FR"/>
          <w14:ligatures w14:val="none"/>
        </w:rPr>
        <w:t xml:space="preserve"> issue in the Nigerien context, where protein-energy malnutrition and micronutrient deficiencies affect a </w:t>
      </w:r>
      <w:r w:rsidR="00A57CC3" w:rsidRPr="00A31491">
        <w:rPr>
          <w:rFonts w:ascii="Times New Roman" w:eastAsia="Times New Roman" w:hAnsi="Times New Roman" w:cs="Times New Roman"/>
          <w:bCs/>
          <w:sz w:val="24"/>
          <w:szCs w:val="24"/>
          <w:lang w:val="en-US" w:eastAsia="fr-FR"/>
          <w14:ligatures w14:val="none"/>
        </w:rPr>
        <w:t>substantial</w:t>
      </w:r>
      <w:r w:rsidRPr="00A31491">
        <w:rPr>
          <w:rFonts w:ascii="Times New Roman" w:eastAsia="Times New Roman" w:hAnsi="Times New Roman" w:cs="Times New Roman"/>
          <w:bCs/>
          <w:sz w:val="24"/>
          <w:szCs w:val="24"/>
          <w:lang w:val="en-US" w:eastAsia="fr-FR"/>
          <w14:ligatures w14:val="none"/>
        </w:rPr>
        <w:t xml:space="preserve"> proportion of children under five. The results obtained show good physicochemical stability of the flour when optimal storage conditions are met, particularly by avoiding increased humidity, the main factor in degradation. These observations support the conclusions of </w:t>
      </w:r>
      <w:r w:rsidRPr="00FC660D">
        <w:rPr>
          <w:rFonts w:ascii="Times New Roman" w:eastAsia="Times New Roman" w:hAnsi="Times New Roman" w:cs="Times New Roman"/>
          <w:bCs/>
          <w:color w:val="0070C0"/>
          <w:sz w:val="24"/>
          <w:szCs w:val="24"/>
          <w:lang w:val="en-US" w:eastAsia="fr-FR"/>
          <w14:ligatures w14:val="none"/>
        </w:rPr>
        <w:t>Zakaria et al. (2025</w:t>
      </w:r>
      <w:r w:rsidRPr="00A31491">
        <w:rPr>
          <w:rFonts w:ascii="Times New Roman" w:eastAsia="Times New Roman" w:hAnsi="Times New Roman" w:cs="Times New Roman"/>
          <w:bCs/>
          <w:sz w:val="24"/>
          <w:szCs w:val="24"/>
          <w:lang w:val="en-US" w:eastAsia="fr-FR"/>
          <w14:ligatures w14:val="none"/>
        </w:rPr>
        <w:t xml:space="preserve">), according to which moderate temperatures (30–40 °C) promote an increase in microbial and fungal loads in infant flours, while storage at higher temperatures can, paradoxically, reduce microbial activity, probably due to a decrease in water activity and an inhibition of heat-sensitive organisms. The work of </w:t>
      </w:r>
      <w:r w:rsidRPr="00FC660D">
        <w:rPr>
          <w:rFonts w:ascii="Times New Roman" w:eastAsia="Times New Roman" w:hAnsi="Times New Roman" w:cs="Times New Roman"/>
          <w:bCs/>
          <w:color w:val="0070C0"/>
          <w:sz w:val="24"/>
          <w:szCs w:val="24"/>
          <w:lang w:val="en-US" w:eastAsia="fr-FR"/>
          <w14:ligatures w14:val="none"/>
        </w:rPr>
        <w:t xml:space="preserve">Forsido et al. (2021) </w:t>
      </w:r>
      <w:r w:rsidRPr="00A31491">
        <w:rPr>
          <w:rFonts w:ascii="Times New Roman" w:eastAsia="Times New Roman" w:hAnsi="Times New Roman" w:cs="Times New Roman"/>
          <w:bCs/>
          <w:sz w:val="24"/>
          <w:szCs w:val="24"/>
          <w:lang w:val="en-US" w:eastAsia="fr-FR"/>
          <w14:ligatures w14:val="none"/>
        </w:rPr>
        <w:t xml:space="preserve">also </w:t>
      </w:r>
      <w:r w:rsidR="00A57CC3" w:rsidRPr="00A31491">
        <w:rPr>
          <w:rFonts w:ascii="Times New Roman" w:eastAsia="Times New Roman" w:hAnsi="Times New Roman" w:cs="Times New Roman"/>
          <w:bCs/>
          <w:sz w:val="24"/>
          <w:szCs w:val="24"/>
          <w:lang w:val="en-US" w:eastAsia="fr-FR"/>
          <w14:ligatures w14:val="none"/>
        </w:rPr>
        <w:t>confirms</w:t>
      </w:r>
      <w:r w:rsidRPr="00A31491">
        <w:rPr>
          <w:rFonts w:ascii="Times New Roman" w:eastAsia="Times New Roman" w:hAnsi="Times New Roman" w:cs="Times New Roman"/>
          <w:bCs/>
          <w:sz w:val="24"/>
          <w:szCs w:val="24"/>
          <w:lang w:val="en-US" w:eastAsia="fr-FR"/>
          <w14:ligatures w14:val="none"/>
        </w:rPr>
        <w:t xml:space="preserve"> that storage temperature strongly influences the physicochemical properties of flours, with high temperatures accelerating the degradation of nutritional and functional qualities. These results reinforce the importance of temperature control in Sahelian regions where climatic conditions can compromise the preservation of infant flours. The role of packaging is equally crucial: materials </w:t>
      </w:r>
      <w:r w:rsidR="00A57CC3" w:rsidRPr="00A31491">
        <w:rPr>
          <w:rFonts w:ascii="Times New Roman" w:eastAsia="Times New Roman" w:hAnsi="Times New Roman" w:cs="Times New Roman"/>
          <w:bCs/>
          <w:sz w:val="24"/>
          <w:szCs w:val="24"/>
          <w:lang w:val="en-US" w:eastAsia="fr-FR"/>
          <w14:ligatures w14:val="none"/>
        </w:rPr>
        <w:t>that provide a sound barrier to</w:t>
      </w:r>
      <w:r w:rsidRPr="00A31491">
        <w:rPr>
          <w:rFonts w:ascii="Times New Roman" w:eastAsia="Times New Roman" w:hAnsi="Times New Roman" w:cs="Times New Roman"/>
          <w:bCs/>
          <w:sz w:val="24"/>
          <w:szCs w:val="24"/>
          <w:lang w:val="en-US" w:eastAsia="fr-FR"/>
          <w14:ligatures w14:val="none"/>
        </w:rPr>
        <w:t xml:space="preserve"> moisture and oxygen significantly improve product stability, as demonstrated by </w:t>
      </w:r>
      <w:r w:rsidRPr="00FC660D">
        <w:rPr>
          <w:rFonts w:ascii="Times New Roman" w:eastAsia="Times New Roman" w:hAnsi="Times New Roman" w:cs="Times New Roman"/>
          <w:bCs/>
          <w:color w:val="0070C0"/>
          <w:sz w:val="24"/>
          <w:szCs w:val="24"/>
          <w:lang w:val="en-US" w:eastAsia="fr-FR"/>
          <w14:ligatures w14:val="none"/>
        </w:rPr>
        <w:t>Forsido et al. (2021</w:t>
      </w:r>
      <w:r w:rsidRPr="00A31491">
        <w:rPr>
          <w:rFonts w:ascii="Times New Roman" w:eastAsia="Times New Roman" w:hAnsi="Times New Roman" w:cs="Times New Roman"/>
          <w:bCs/>
          <w:sz w:val="24"/>
          <w:szCs w:val="24"/>
          <w:lang w:val="en-US" w:eastAsia="fr-FR"/>
          <w14:ligatures w14:val="none"/>
        </w:rPr>
        <w:t>). In this context, the use of suitable airtight packaging is essential to prevent spoilage during storage.</w:t>
      </w:r>
    </w:p>
    <w:p w14:paraId="30C65B09" w14:textId="1D4B9296" w:rsidR="00A57CC3" w:rsidRPr="00A31491"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Regarding microbiological quality, the results indicate that Misola remains stable for up to </w:t>
      </w:r>
      <w:r w:rsidR="00A57CC3" w:rsidRPr="00A31491">
        <w:rPr>
          <w:rFonts w:ascii="Times New Roman" w:eastAsia="Times New Roman" w:hAnsi="Times New Roman" w:cs="Times New Roman"/>
          <w:bCs/>
          <w:sz w:val="24"/>
          <w:szCs w:val="24"/>
          <w:lang w:val="en-US" w:eastAsia="fr-FR"/>
          <w14:ligatures w14:val="none"/>
        </w:rPr>
        <w:t xml:space="preserve">6 months without exceeding standards, </w:t>
      </w:r>
      <w:r w:rsidRPr="00A31491">
        <w:rPr>
          <w:rFonts w:ascii="Times New Roman" w:eastAsia="Times New Roman" w:hAnsi="Times New Roman" w:cs="Times New Roman"/>
          <w:bCs/>
          <w:sz w:val="24"/>
          <w:szCs w:val="24"/>
          <w:lang w:val="en-US" w:eastAsia="fr-FR"/>
          <w14:ligatures w14:val="none"/>
        </w:rPr>
        <w:t xml:space="preserve">consistent with observations from other studies on fortified or composite infant flours. For example, </w:t>
      </w:r>
      <w:r w:rsidRPr="00FC660D">
        <w:rPr>
          <w:rFonts w:ascii="Times New Roman" w:eastAsia="Times New Roman" w:hAnsi="Times New Roman" w:cs="Times New Roman"/>
          <w:bCs/>
          <w:color w:val="0070C0"/>
          <w:sz w:val="24"/>
          <w:szCs w:val="24"/>
          <w:lang w:val="en-US" w:eastAsia="fr-FR"/>
          <w14:ligatures w14:val="none"/>
        </w:rPr>
        <w:t>Castenmiller et al. (2024) and Kaunda et al. (2025</w:t>
      </w:r>
      <w:r w:rsidRPr="00A31491">
        <w:rPr>
          <w:rFonts w:ascii="Times New Roman" w:eastAsia="Times New Roman" w:hAnsi="Times New Roman" w:cs="Times New Roman"/>
          <w:bCs/>
          <w:sz w:val="24"/>
          <w:szCs w:val="24"/>
          <w:lang w:val="en-US" w:eastAsia="fr-FR"/>
          <w14:ligatures w14:val="none"/>
        </w:rPr>
        <w:t xml:space="preserve">) report satisfactory microbiological profiles and shelf lives of up to 11 months for flours formulated from cereals, legumes, or fish. This convergence confirms that the technological processes (roasting, precooking, drying) used for these flours help limit microbial growth. Sensory-wise, the good acceptability of porridges prepared with Misola is consistent with the results obtained for other composite flours, which remain highly appreciated by consumers, as reported by </w:t>
      </w:r>
      <w:r w:rsidRPr="00FC660D">
        <w:rPr>
          <w:rFonts w:ascii="Times New Roman" w:eastAsia="Times New Roman" w:hAnsi="Times New Roman" w:cs="Times New Roman"/>
          <w:bCs/>
          <w:color w:val="0070C0"/>
          <w:sz w:val="24"/>
          <w:szCs w:val="24"/>
          <w:lang w:val="en-US" w:eastAsia="fr-FR"/>
          <w14:ligatures w14:val="none"/>
        </w:rPr>
        <w:t xml:space="preserve">Forsido et al. (2021). </w:t>
      </w:r>
      <w:r w:rsidRPr="00A31491">
        <w:rPr>
          <w:rFonts w:ascii="Times New Roman" w:eastAsia="Times New Roman" w:hAnsi="Times New Roman" w:cs="Times New Roman"/>
          <w:bCs/>
          <w:sz w:val="24"/>
          <w:szCs w:val="24"/>
          <w:lang w:val="en-US" w:eastAsia="fr-FR"/>
          <w14:ligatures w14:val="none"/>
        </w:rPr>
        <w:t>The absence of perceptible degradation for up to six months is an advantage for community nutrition programs, where family acceptance largely depends on the product's sensory appeal.</w:t>
      </w:r>
      <w:r w:rsidR="00A57CC3" w:rsidRPr="00A31491">
        <w:rPr>
          <w:rFonts w:ascii="Times New Roman" w:eastAsia="Times New Roman" w:hAnsi="Times New Roman" w:cs="Times New Roman"/>
          <w:bCs/>
          <w:sz w:val="24"/>
          <w:szCs w:val="24"/>
          <w:lang w:val="en-US" w:eastAsia="fr-FR"/>
          <w14:ligatures w14:val="none"/>
        </w:rPr>
        <w:t xml:space="preserve"> </w:t>
      </w:r>
    </w:p>
    <w:p w14:paraId="606A01E9" w14:textId="2B760C54" w:rsidR="00A87E89"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The results demonstrate that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Pr="00A31491">
        <w:rPr>
          <w:rFonts w:ascii="Times New Roman" w:eastAsia="Times New Roman" w:hAnsi="Times New Roman" w:cs="Times New Roman"/>
          <w:bCs/>
          <w:sz w:val="24"/>
          <w:szCs w:val="24"/>
          <w:lang w:val="en-US" w:eastAsia="fr-FR"/>
          <w14:ligatures w14:val="none"/>
        </w:rPr>
        <w:t xml:space="preserve"> flour exhibits physicochemical, microbiological, and sensory stability compatible with safe and effective use in malnutrition prevention strategies in Niger. These results are consistent with the data reported by </w:t>
      </w:r>
      <w:r w:rsidRPr="00FC660D">
        <w:rPr>
          <w:rFonts w:ascii="Times New Roman" w:eastAsia="Times New Roman" w:hAnsi="Times New Roman" w:cs="Times New Roman"/>
          <w:bCs/>
          <w:color w:val="0070C0"/>
          <w:sz w:val="24"/>
          <w:szCs w:val="24"/>
          <w:lang w:val="en-US" w:eastAsia="fr-FR"/>
          <w14:ligatures w14:val="none"/>
        </w:rPr>
        <w:t>Oumarou et al. (2012</w:t>
      </w:r>
      <w:r w:rsidRPr="00A31491">
        <w:rPr>
          <w:rFonts w:ascii="Times New Roman" w:eastAsia="Times New Roman" w:hAnsi="Times New Roman" w:cs="Times New Roman"/>
          <w:bCs/>
          <w:sz w:val="24"/>
          <w:szCs w:val="24"/>
          <w:lang w:val="en-US" w:eastAsia="fr-FR"/>
          <w14:ligatures w14:val="none"/>
        </w:rPr>
        <w:t>) concerning CSB flour in Niger.</w:t>
      </w:r>
      <w:r w:rsidR="00A57CC3" w:rsidRPr="00A31491">
        <w:rPr>
          <w:rFonts w:ascii="Times New Roman" w:eastAsia="Times New Roman" w:hAnsi="Times New Roman" w:cs="Times New Roman"/>
          <w:bCs/>
          <w:sz w:val="24"/>
          <w:szCs w:val="24"/>
          <w:lang w:val="en-US" w:eastAsia="fr-FR"/>
          <w14:ligatures w14:val="none"/>
        </w:rPr>
        <w:t xml:space="preserve"> </w:t>
      </w:r>
      <w:r w:rsidRPr="00A31491">
        <w:rPr>
          <w:rFonts w:ascii="Times New Roman" w:eastAsia="Times New Roman" w:hAnsi="Times New Roman" w:cs="Times New Roman"/>
          <w:bCs/>
          <w:sz w:val="24"/>
          <w:szCs w:val="24"/>
          <w:lang w:val="en-US" w:eastAsia="fr-FR"/>
          <w14:ligatures w14:val="none"/>
        </w:rPr>
        <w:t xml:space="preserve">However, the product's sensitivity to </w:t>
      </w:r>
      <w:r w:rsidR="00A57CC3" w:rsidRPr="00A31491">
        <w:rPr>
          <w:rFonts w:ascii="Times New Roman" w:eastAsia="Times New Roman" w:hAnsi="Times New Roman" w:cs="Times New Roman"/>
          <w:bCs/>
          <w:sz w:val="24"/>
          <w:szCs w:val="24"/>
          <w:lang w:val="en-US" w:eastAsia="fr-FR"/>
          <w14:ligatures w14:val="none"/>
        </w:rPr>
        <w:t xml:space="preserve">temperature and humidity variations </w:t>
      </w:r>
      <w:r w:rsidRPr="00A31491">
        <w:rPr>
          <w:rFonts w:ascii="Times New Roman" w:eastAsia="Times New Roman" w:hAnsi="Times New Roman" w:cs="Times New Roman"/>
          <w:bCs/>
          <w:sz w:val="24"/>
          <w:szCs w:val="24"/>
          <w:lang w:val="en-US" w:eastAsia="fr-FR"/>
          <w14:ligatures w14:val="none"/>
        </w:rPr>
        <w:t xml:space="preserve">underscores the need to strengthen storage practices, particularly in rural areas where storage infrastructure is </w:t>
      </w:r>
      <w:r w:rsidRPr="00A31491">
        <w:rPr>
          <w:rFonts w:ascii="Times New Roman" w:eastAsia="Times New Roman" w:hAnsi="Times New Roman" w:cs="Times New Roman"/>
          <w:bCs/>
          <w:sz w:val="24"/>
          <w:szCs w:val="24"/>
          <w:lang w:val="en-US" w:eastAsia="fr-FR"/>
          <w14:ligatures w14:val="none"/>
        </w:rPr>
        <w:lastRenderedPageBreak/>
        <w:t xml:space="preserve">limited. </w:t>
      </w:r>
      <w:r w:rsidR="00A57CC3" w:rsidRPr="00A31491">
        <w:rPr>
          <w:rFonts w:ascii="Times New Roman" w:eastAsia="Times New Roman" w:hAnsi="Times New Roman" w:cs="Times New Roman"/>
          <w:bCs/>
          <w:sz w:val="24"/>
          <w:szCs w:val="24"/>
          <w:lang w:val="en-US" w:eastAsia="fr-FR"/>
          <w14:ligatures w14:val="none"/>
        </w:rPr>
        <w:t xml:space="preserve">Implementing improved packaging, ventilated storage spaces, and household awareness campaigns could optimize the preservation of </w:t>
      </w:r>
      <w:proofErr w:type="spellStart"/>
      <w:r w:rsidR="00A57CC3" w:rsidRPr="00A31491">
        <w:rPr>
          <w:rFonts w:ascii="Times New Roman" w:eastAsia="Times New Roman" w:hAnsi="Times New Roman" w:cs="Times New Roman"/>
          <w:bCs/>
          <w:sz w:val="24"/>
          <w:szCs w:val="24"/>
          <w:lang w:val="en-US" w:eastAsia="fr-FR"/>
          <w14:ligatures w14:val="none"/>
        </w:rPr>
        <w:t>Misola</w:t>
      </w:r>
      <w:proofErr w:type="spellEnd"/>
      <w:r w:rsidR="00A57CC3" w:rsidRPr="00A31491">
        <w:rPr>
          <w:rFonts w:ascii="Times New Roman" w:eastAsia="Times New Roman" w:hAnsi="Times New Roman" w:cs="Times New Roman"/>
          <w:bCs/>
          <w:sz w:val="24"/>
          <w:szCs w:val="24"/>
          <w:lang w:val="en-US" w:eastAsia="fr-FR"/>
          <w14:ligatures w14:val="none"/>
        </w:rPr>
        <w:t>® and ensure</w:t>
      </w:r>
      <w:r w:rsidRPr="00A31491">
        <w:rPr>
          <w:rFonts w:ascii="Times New Roman" w:eastAsia="Times New Roman" w:hAnsi="Times New Roman" w:cs="Times New Roman"/>
          <w:bCs/>
          <w:sz w:val="24"/>
          <w:szCs w:val="24"/>
          <w:lang w:val="en-US" w:eastAsia="fr-FR"/>
          <w14:ligatures w14:val="none"/>
        </w:rPr>
        <w:t xml:space="preserve"> its quality throughout the distribution chain.</w:t>
      </w:r>
    </w:p>
    <w:p w14:paraId="3912E337" w14:textId="77777777" w:rsidR="00527FBD" w:rsidRDefault="00527FBD" w:rsidP="000A73D6">
      <w:pPr>
        <w:spacing w:after="0" w:line="360" w:lineRule="auto"/>
        <w:jc w:val="both"/>
        <w:rPr>
          <w:rFonts w:ascii="Times New Roman" w:eastAsia="Times New Roman" w:hAnsi="Times New Roman" w:cs="Times New Roman"/>
          <w:bCs/>
          <w:sz w:val="24"/>
          <w:szCs w:val="24"/>
          <w:lang w:val="en-US" w:eastAsia="fr-FR"/>
          <w14:ligatures w14:val="none"/>
        </w:rPr>
      </w:pPr>
    </w:p>
    <w:p w14:paraId="720493AD" w14:textId="77777777" w:rsidR="00527FBD" w:rsidRPr="003E2463" w:rsidRDefault="00527FBD" w:rsidP="00527FBD">
      <w:pPr>
        <w:spacing w:after="0" w:line="240" w:lineRule="auto"/>
        <w:jc w:val="both"/>
        <w:rPr>
          <w:rFonts w:ascii="Times New Roman" w:hAnsi="Times New Roman" w:cs="Times New Roman"/>
          <w:sz w:val="24"/>
          <w:szCs w:val="24"/>
          <w:lang w:val="en-US"/>
        </w:rPr>
      </w:pPr>
      <w:r w:rsidRPr="003E2463">
        <w:rPr>
          <w:rFonts w:ascii="Times New Roman" w:hAnsi="Times New Roman" w:cs="Times New Roman"/>
          <w:b/>
          <w:bCs/>
          <w:sz w:val="24"/>
          <w:szCs w:val="24"/>
          <w:lang w:val="en-US"/>
        </w:rPr>
        <w:t xml:space="preserve">References </w:t>
      </w:r>
    </w:p>
    <w:p w14:paraId="2D753051" w14:textId="77777777" w:rsidR="00F4019C" w:rsidRDefault="00F4019C" w:rsidP="00F4019C">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F4019C">
        <w:rPr>
          <w:rFonts w:ascii="Times New Roman" w:hAnsi="Times New Roman" w:cs="Times New Roman"/>
          <w:sz w:val="24"/>
          <w:szCs w:val="24"/>
          <w:lang w:val="en-US"/>
        </w:rPr>
        <w:t>Amadou</w:t>
      </w:r>
      <w:proofErr w:type="spellEnd"/>
      <w:r w:rsidRPr="00F4019C">
        <w:rPr>
          <w:rFonts w:ascii="Times New Roman" w:hAnsi="Times New Roman" w:cs="Times New Roman"/>
          <w:sz w:val="24"/>
          <w:szCs w:val="24"/>
          <w:lang w:val="en-US"/>
        </w:rPr>
        <w:t xml:space="preserve">, I., &amp; </w:t>
      </w:r>
      <w:proofErr w:type="spellStart"/>
      <w:r w:rsidRPr="00F4019C">
        <w:rPr>
          <w:rFonts w:ascii="Times New Roman" w:hAnsi="Times New Roman" w:cs="Times New Roman"/>
          <w:sz w:val="24"/>
          <w:szCs w:val="24"/>
          <w:lang w:val="en-US"/>
        </w:rPr>
        <w:t>Lawali</w:t>
      </w:r>
      <w:proofErr w:type="spellEnd"/>
      <w:r w:rsidRPr="00F4019C">
        <w:rPr>
          <w:rFonts w:ascii="Times New Roman" w:hAnsi="Times New Roman" w:cs="Times New Roman"/>
          <w:sz w:val="24"/>
          <w:szCs w:val="24"/>
          <w:lang w:val="en-US"/>
        </w:rPr>
        <w:t xml:space="preserve">, S. (2022). Smart management of malnutrition using local foods: A Sustainable Initiative for Developing Countries. Frontiers in Sustainable Food Systems </w:t>
      </w:r>
      <w:hyperlink r:id="rId11" w:history="1">
        <w:r w:rsidRPr="00AF410E">
          <w:rPr>
            <w:rStyle w:val="Hyperlink"/>
            <w:rFonts w:ascii="Times New Roman" w:hAnsi="Times New Roman" w:cs="Times New Roman"/>
            <w:sz w:val="24"/>
            <w:szCs w:val="24"/>
            <w:lang w:val="en-US"/>
          </w:rPr>
          <w:t>https://doi.org/10.3389/fsufs.2022.725536</w:t>
        </w:r>
      </w:hyperlink>
      <w:r>
        <w:rPr>
          <w:rFonts w:ascii="Times New Roman" w:hAnsi="Times New Roman" w:cs="Times New Roman"/>
          <w:sz w:val="24"/>
          <w:szCs w:val="24"/>
          <w:lang w:val="en-US"/>
        </w:rPr>
        <w:t xml:space="preserve"> </w:t>
      </w:r>
    </w:p>
    <w:p w14:paraId="52514A8A" w14:textId="7963D27F" w:rsidR="00527FBD" w:rsidRPr="00F4019C" w:rsidRDefault="005C3FAC" w:rsidP="005C3FAC">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5C3FAC">
        <w:rPr>
          <w:rFonts w:ascii="Times New Roman" w:hAnsi="Times New Roman" w:cs="Times New Roman"/>
          <w:sz w:val="24"/>
          <w:szCs w:val="24"/>
          <w:lang w:val="en-US"/>
        </w:rPr>
        <w:t>Castenmiller</w:t>
      </w:r>
      <w:proofErr w:type="spellEnd"/>
      <w:r w:rsidRPr="005C3FAC">
        <w:rPr>
          <w:rFonts w:ascii="Times New Roman" w:hAnsi="Times New Roman" w:cs="Times New Roman"/>
          <w:sz w:val="24"/>
          <w:szCs w:val="24"/>
          <w:lang w:val="en-US"/>
        </w:rPr>
        <w:t xml:space="preserve">, J., de </w:t>
      </w:r>
      <w:proofErr w:type="spellStart"/>
      <w:r w:rsidRPr="005C3FAC">
        <w:rPr>
          <w:rFonts w:ascii="Times New Roman" w:hAnsi="Times New Roman" w:cs="Times New Roman"/>
          <w:sz w:val="24"/>
          <w:szCs w:val="24"/>
          <w:lang w:val="en-US"/>
        </w:rPr>
        <w:t>Henauw</w:t>
      </w:r>
      <w:proofErr w:type="spellEnd"/>
      <w:r w:rsidRPr="005C3FAC">
        <w:rPr>
          <w:rFonts w:ascii="Times New Roman" w:hAnsi="Times New Roman" w:cs="Times New Roman"/>
          <w:sz w:val="24"/>
          <w:szCs w:val="24"/>
          <w:lang w:val="en-US"/>
        </w:rPr>
        <w:t xml:space="preserve">, S., Hirsch-Ernst, K.-I., Kearney, J., </w:t>
      </w:r>
      <w:proofErr w:type="spellStart"/>
      <w:r w:rsidRPr="005C3FAC">
        <w:rPr>
          <w:rFonts w:ascii="Times New Roman" w:hAnsi="Times New Roman" w:cs="Times New Roman"/>
          <w:sz w:val="24"/>
          <w:szCs w:val="24"/>
          <w:lang w:val="en-US"/>
        </w:rPr>
        <w:t>Knutsen</w:t>
      </w:r>
      <w:proofErr w:type="spellEnd"/>
      <w:r w:rsidRPr="005C3FAC">
        <w:rPr>
          <w:rFonts w:ascii="Times New Roman" w:hAnsi="Times New Roman" w:cs="Times New Roman"/>
          <w:sz w:val="24"/>
          <w:szCs w:val="24"/>
          <w:lang w:val="en-US"/>
        </w:rPr>
        <w:t xml:space="preserve">, H. K., </w:t>
      </w:r>
      <w:proofErr w:type="spellStart"/>
      <w:r w:rsidRPr="005C3FAC">
        <w:rPr>
          <w:rFonts w:ascii="Times New Roman" w:hAnsi="Times New Roman" w:cs="Times New Roman"/>
          <w:sz w:val="24"/>
          <w:szCs w:val="24"/>
          <w:lang w:val="en-US"/>
        </w:rPr>
        <w:t>Maciuk</w:t>
      </w:r>
      <w:proofErr w:type="spellEnd"/>
      <w:r w:rsidRPr="005C3FAC">
        <w:rPr>
          <w:rFonts w:ascii="Times New Roman" w:hAnsi="Times New Roman" w:cs="Times New Roman"/>
          <w:sz w:val="24"/>
          <w:szCs w:val="24"/>
          <w:lang w:val="en-US"/>
        </w:rPr>
        <w:t xml:space="preserve">, A., Mangelsdorf, I., McArdle, H. J., </w:t>
      </w:r>
      <w:proofErr w:type="spellStart"/>
      <w:r w:rsidRPr="005C3FAC">
        <w:rPr>
          <w:rFonts w:ascii="Times New Roman" w:hAnsi="Times New Roman" w:cs="Times New Roman"/>
          <w:sz w:val="24"/>
          <w:szCs w:val="24"/>
          <w:lang w:val="en-US"/>
        </w:rPr>
        <w:t>Naska</w:t>
      </w:r>
      <w:proofErr w:type="spellEnd"/>
      <w:r w:rsidRPr="005C3FAC">
        <w:rPr>
          <w:rFonts w:ascii="Times New Roman" w:hAnsi="Times New Roman" w:cs="Times New Roman"/>
          <w:sz w:val="24"/>
          <w:szCs w:val="24"/>
          <w:lang w:val="en-US"/>
        </w:rPr>
        <w:t xml:space="preserve">, A., </w:t>
      </w:r>
      <w:proofErr w:type="spellStart"/>
      <w:r w:rsidRPr="005C3FAC">
        <w:rPr>
          <w:rFonts w:ascii="Times New Roman" w:hAnsi="Times New Roman" w:cs="Times New Roman"/>
          <w:sz w:val="24"/>
          <w:szCs w:val="24"/>
          <w:lang w:val="en-US"/>
        </w:rPr>
        <w:t>Pelaez</w:t>
      </w:r>
      <w:proofErr w:type="spellEnd"/>
      <w:r w:rsidRPr="005C3FAC">
        <w:rPr>
          <w:rFonts w:ascii="Times New Roman" w:hAnsi="Times New Roman" w:cs="Times New Roman"/>
          <w:sz w:val="24"/>
          <w:szCs w:val="24"/>
          <w:lang w:val="en-US"/>
        </w:rPr>
        <w:t xml:space="preserve">, C., </w:t>
      </w:r>
      <w:proofErr w:type="spellStart"/>
      <w:r w:rsidRPr="005C3FAC">
        <w:rPr>
          <w:rFonts w:ascii="Times New Roman" w:hAnsi="Times New Roman" w:cs="Times New Roman"/>
          <w:sz w:val="24"/>
          <w:szCs w:val="24"/>
          <w:lang w:val="en-US"/>
        </w:rPr>
        <w:t>Pentieva</w:t>
      </w:r>
      <w:proofErr w:type="spellEnd"/>
      <w:r w:rsidRPr="005C3FAC">
        <w:rPr>
          <w:rFonts w:ascii="Times New Roman" w:hAnsi="Times New Roman" w:cs="Times New Roman"/>
          <w:sz w:val="24"/>
          <w:szCs w:val="24"/>
          <w:lang w:val="en-US"/>
        </w:rPr>
        <w:t xml:space="preserve">, K., </w:t>
      </w:r>
      <w:proofErr w:type="spellStart"/>
      <w:r w:rsidRPr="005C3FAC">
        <w:rPr>
          <w:rFonts w:ascii="Times New Roman" w:hAnsi="Times New Roman" w:cs="Times New Roman"/>
          <w:sz w:val="24"/>
          <w:szCs w:val="24"/>
          <w:lang w:val="en-US"/>
        </w:rPr>
        <w:t>Siani</w:t>
      </w:r>
      <w:proofErr w:type="spellEnd"/>
      <w:r w:rsidRPr="005C3FAC">
        <w:rPr>
          <w:rFonts w:ascii="Times New Roman" w:hAnsi="Times New Roman" w:cs="Times New Roman"/>
          <w:sz w:val="24"/>
          <w:szCs w:val="24"/>
          <w:lang w:val="en-US"/>
        </w:rPr>
        <w:t xml:space="preserve">, A., </w:t>
      </w:r>
      <w:proofErr w:type="spellStart"/>
      <w:r w:rsidRPr="005C3FAC">
        <w:rPr>
          <w:rFonts w:ascii="Times New Roman" w:hAnsi="Times New Roman" w:cs="Times New Roman"/>
          <w:sz w:val="24"/>
          <w:szCs w:val="24"/>
          <w:lang w:val="en-US"/>
        </w:rPr>
        <w:t>Thies</w:t>
      </w:r>
      <w:proofErr w:type="spellEnd"/>
      <w:r w:rsidRPr="005C3FAC">
        <w:rPr>
          <w:rFonts w:ascii="Times New Roman" w:hAnsi="Times New Roman" w:cs="Times New Roman"/>
          <w:sz w:val="24"/>
          <w:szCs w:val="24"/>
          <w:lang w:val="en-US"/>
        </w:rPr>
        <w:t xml:space="preserve">, F., </w:t>
      </w:r>
      <w:proofErr w:type="spellStart"/>
      <w:r w:rsidRPr="005C3FAC">
        <w:rPr>
          <w:rFonts w:ascii="Times New Roman" w:hAnsi="Times New Roman" w:cs="Times New Roman"/>
          <w:sz w:val="24"/>
          <w:szCs w:val="24"/>
          <w:lang w:val="en-US"/>
        </w:rPr>
        <w:t>Tsabouri</w:t>
      </w:r>
      <w:proofErr w:type="spellEnd"/>
      <w:r w:rsidRPr="005C3FAC">
        <w:rPr>
          <w:rFonts w:ascii="Times New Roman" w:hAnsi="Times New Roman" w:cs="Times New Roman"/>
          <w:sz w:val="24"/>
          <w:szCs w:val="24"/>
          <w:lang w:val="en-US"/>
        </w:rPr>
        <w:t xml:space="preserve">, S., </w:t>
      </w:r>
      <w:proofErr w:type="spellStart"/>
      <w:r w:rsidRPr="005C3FAC">
        <w:rPr>
          <w:rFonts w:ascii="Times New Roman" w:hAnsi="Times New Roman" w:cs="Times New Roman"/>
          <w:sz w:val="24"/>
          <w:szCs w:val="24"/>
          <w:lang w:val="en-US"/>
        </w:rPr>
        <w:t>Vinceti</w:t>
      </w:r>
      <w:proofErr w:type="spellEnd"/>
      <w:r w:rsidRPr="005C3FAC">
        <w:rPr>
          <w:rFonts w:ascii="Times New Roman" w:hAnsi="Times New Roman" w:cs="Times New Roman"/>
          <w:sz w:val="24"/>
          <w:szCs w:val="24"/>
          <w:lang w:val="en-US"/>
        </w:rPr>
        <w:t xml:space="preserve">, M., Bresson, J.-L., </w:t>
      </w:r>
      <w:proofErr w:type="spellStart"/>
      <w:r w:rsidRPr="005C3FAC">
        <w:rPr>
          <w:rFonts w:ascii="Times New Roman" w:hAnsi="Times New Roman" w:cs="Times New Roman"/>
          <w:sz w:val="24"/>
          <w:szCs w:val="24"/>
          <w:lang w:val="en-US"/>
        </w:rPr>
        <w:t>Fewtrell</w:t>
      </w:r>
      <w:proofErr w:type="spellEnd"/>
      <w:r w:rsidRPr="005C3FAC">
        <w:rPr>
          <w:rFonts w:ascii="Times New Roman" w:hAnsi="Times New Roman" w:cs="Times New Roman"/>
          <w:sz w:val="24"/>
          <w:szCs w:val="24"/>
          <w:lang w:val="en-US"/>
        </w:rPr>
        <w:t xml:space="preserve">, M., </w:t>
      </w:r>
      <w:proofErr w:type="spellStart"/>
      <w:r w:rsidRPr="005C3FAC">
        <w:rPr>
          <w:rFonts w:ascii="Times New Roman" w:hAnsi="Times New Roman" w:cs="Times New Roman"/>
          <w:sz w:val="24"/>
          <w:szCs w:val="24"/>
          <w:lang w:val="en-US"/>
        </w:rPr>
        <w:t>Kersting</w:t>
      </w:r>
      <w:proofErr w:type="spellEnd"/>
      <w:r w:rsidRPr="005C3FAC">
        <w:rPr>
          <w:rFonts w:ascii="Times New Roman" w:hAnsi="Times New Roman" w:cs="Times New Roman"/>
          <w:sz w:val="24"/>
          <w:szCs w:val="24"/>
          <w:lang w:val="en-US"/>
        </w:rPr>
        <w:t xml:space="preserve">, M., </w:t>
      </w:r>
      <w:proofErr w:type="spellStart"/>
      <w:r w:rsidRPr="005C3FAC">
        <w:rPr>
          <w:rFonts w:ascii="Times New Roman" w:hAnsi="Times New Roman" w:cs="Times New Roman"/>
          <w:sz w:val="24"/>
          <w:szCs w:val="24"/>
          <w:lang w:val="en-US"/>
        </w:rPr>
        <w:t>Przyrembel</w:t>
      </w:r>
      <w:proofErr w:type="spellEnd"/>
      <w:r w:rsidRPr="005C3FAC">
        <w:rPr>
          <w:rFonts w:ascii="Times New Roman" w:hAnsi="Times New Roman" w:cs="Times New Roman"/>
          <w:sz w:val="24"/>
          <w:szCs w:val="24"/>
          <w:lang w:val="en-US"/>
        </w:rPr>
        <w:t xml:space="preserve">, H., Dumas, C., </w:t>
      </w:r>
      <w:proofErr w:type="spellStart"/>
      <w:r w:rsidRPr="005C3FAC">
        <w:rPr>
          <w:rFonts w:ascii="Times New Roman" w:hAnsi="Times New Roman" w:cs="Times New Roman"/>
          <w:sz w:val="24"/>
          <w:szCs w:val="24"/>
          <w:lang w:val="en-US"/>
        </w:rPr>
        <w:t>Titz</w:t>
      </w:r>
      <w:proofErr w:type="spellEnd"/>
      <w:r w:rsidRPr="005C3FAC">
        <w:rPr>
          <w:rFonts w:ascii="Times New Roman" w:hAnsi="Times New Roman" w:cs="Times New Roman"/>
          <w:sz w:val="24"/>
          <w:szCs w:val="24"/>
          <w:lang w:val="en-US"/>
        </w:rPr>
        <w:t xml:space="preserve">, A., &amp; </w:t>
      </w:r>
      <w:proofErr w:type="spellStart"/>
      <w:r w:rsidRPr="005C3FAC">
        <w:rPr>
          <w:rFonts w:ascii="Times New Roman" w:hAnsi="Times New Roman" w:cs="Times New Roman"/>
          <w:sz w:val="24"/>
          <w:szCs w:val="24"/>
          <w:lang w:val="en-US"/>
        </w:rPr>
        <w:t>Turck</w:t>
      </w:r>
      <w:proofErr w:type="spellEnd"/>
      <w:r w:rsidRPr="005C3FAC">
        <w:rPr>
          <w:rFonts w:ascii="Times New Roman" w:hAnsi="Times New Roman" w:cs="Times New Roman"/>
          <w:sz w:val="24"/>
          <w:szCs w:val="24"/>
          <w:lang w:val="en-US"/>
        </w:rPr>
        <w:t xml:space="preserve">, D. (2019). Appropriate age range for introduction of complementary feeding into an infant’s diet. EFSA Journal, 17(9) </w:t>
      </w:r>
      <w:hyperlink r:id="rId12" w:history="1">
        <w:r w:rsidRPr="00AF410E">
          <w:rPr>
            <w:rStyle w:val="Hyperlink"/>
            <w:rFonts w:ascii="Times New Roman" w:hAnsi="Times New Roman" w:cs="Times New Roman"/>
            <w:sz w:val="24"/>
            <w:szCs w:val="24"/>
            <w:lang w:val="en-US"/>
          </w:rPr>
          <w:t>https://doi.org/10.2903/j.efsa.2019.5780</w:t>
        </w:r>
      </w:hyperlink>
      <w:r>
        <w:rPr>
          <w:rFonts w:ascii="Times New Roman" w:hAnsi="Times New Roman" w:cs="Times New Roman"/>
          <w:sz w:val="24"/>
          <w:szCs w:val="24"/>
          <w:lang w:val="en-US"/>
        </w:rPr>
        <w:t xml:space="preserve"> </w:t>
      </w:r>
    </w:p>
    <w:p w14:paraId="13A565B4" w14:textId="5426A956" w:rsidR="00527FBD" w:rsidRPr="00F4019C" w:rsidRDefault="00C22E68" w:rsidP="00C22E68">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C22E68">
        <w:rPr>
          <w:rFonts w:ascii="Times New Roman" w:hAnsi="Times New Roman" w:cs="Times New Roman"/>
          <w:sz w:val="24"/>
          <w:szCs w:val="24"/>
          <w:lang w:val="en-US"/>
        </w:rPr>
        <w:t>Ermosh</w:t>
      </w:r>
      <w:proofErr w:type="spellEnd"/>
      <w:r w:rsidRPr="00C22E68">
        <w:rPr>
          <w:rFonts w:ascii="Times New Roman" w:hAnsi="Times New Roman" w:cs="Times New Roman"/>
          <w:sz w:val="24"/>
          <w:szCs w:val="24"/>
          <w:lang w:val="en-US"/>
        </w:rPr>
        <w:t xml:space="preserve">, L. G., &amp; </w:t>
      </w:r>
      <w:proofErr w:type="spellStart"/>
      <w:r w:rsidRPr="00C22E68">
        <w:rPr>
          <w:rFonts w:ascii="Times New Roman" w:hAnsi="Times New Roman" w:cs="Times New Roman"/>
          <w:sz w:val="24"/>
          <w:szCs w:val="24"/>
          <w:lang w:val="en-US"/>
        </w:rPr>
        <w:t>Prisukhina</w:t>
      </w:r>
      <w:proofErr w:type="spellEnd"/>
      <w:r w:rsidRPr="00C22E68">
        <w:rPr>
          <w:rFonts w:ascii="Times New Roman" w:hAnsi="Times New Roman" w:cs="Times New Roman"/>
          <w:sz w:val="24"/>
          <w:szCs w:val="24"/>
          <w:lang w:val="en-US"/>
        </w:rPr>
        <w:t xml:space="preserve">, N. V. (2023). Determination and analysis of the hemp flour fatty acid composition. Bulletin of </w:t>
      </w:r>
      <w:proofErr w:type="spellStart"/>
      <w:r w:rsidRPr="00C22E68">
        <w:rPr>
          <w:rFonts w:ascii="Times New Roman" w:hAnsi="Times New Roman" w:cs="Times New Roman"/>
          <w:sz w:val="24"/>
          <w:szCs w:val="24"/>
          <w:lang w:val="en-US"/>
        </w:rPr>
        <w:t>KrasSAU</w:t>
      </w:r>
      <w:proofErr w:type="spellEnd"/>
      <w:r w:rsidRPr="00C22E68">
        <w:rPr>
          <w:rFonts w:ascii="Times New Roman" w:hAnsi="Times New Roman" w:cs="Times New Roman"/>
          <w:sz w:val="24"/>
          <w:szCs w:val="24"/>
          <w:lang w:val="en-US"/>
        </w:rPr>
        <w:t xml:space="preserve"> </w:t>
      </w:r>
      <w:hyperlink r:id="rId13" w:history="1">
        <w:r w:rsidRPr="00AF410E">
          <w:rPr>
            <w:rStyle w:val="Hyperlink"/>
            <w:rFonts w:ascii="Times New Roman" w:hAnsi="Times New Roman" w:cs="Times New Roman"/>
            <w:sz w:val="24"/>
            <w:szCs w:val="24"/>
            <w:lang w:val="en-US"/>
          </w:rPr>
          <w:t>https://doi.org/10.36718/1819-4036-2023-9-207-212</w:t>
        </w:r>
      </w:hyperlink>
      <w:r>
        <w:rPr>
          <w:rFonts w:ascii="Times New Roman" w:hAnsi="Times New Roman" w:cs="Times New Roman"/>
          <w:sz w:val="24"/>
          <w:szCs w:val="24"/>
          <w:lang w:val="en-US"/>
        </w:rPr>
        <w:t xml:space="preserve"> </w:t>
      </w:r>
    </w:p>
    <w:p w14:paraId="4B3B6E80" w14:textId="5BECABB2" w:rsidR="00527FBD" w:rsidRPr="00F4019C" w:rsidRDefault="008C64B1" w:rsidP="008C64B1">
      <w:pPr>
        <w:pStyle w:val="ListParagraph"/>
        <w:numPr>
          <w:ilvl w:val="0"/>
          <w:numId w:val="1"/>
        </w:numPr>
        <w:spacing w:after="0" w:line="360" w:lineRule="auto"/>
        <w:jc w:val="both"/>
        <w:rPr>
          <w:rFonts w:ascii="Times New Roman" w:hAnsi="Times New Roman" w:cs="Times New Roman"/>
          <w:sz w:val="24"/>
          <w:szCs w:val="24"/>
          <w:lang w:val="de-DE"/>
        </w:rPr>
      </w:pPr>
      <w:r w:rsidRPr="008C64B1">
        <w:rPr>
          <w:rFonts w:ascii="Times New Roman" w:hAnsi="Times New Roman" w:cs="Times New Roman"/>
          <w:sz w:val="24"/>
          <w:szCs w:val="24"/>
          <w:lang w:val="en-US"/>
        </w:rPr>
        <w:t xml:space="preserve">AACC International. (2011). </w:t>
      </w:r>
      <w:proofErr w:type="spellStart"/>
      <w:r w:rsidRPr="008C64B1">
        <w:rPr>
          <w:rFonts w:ascii="Times New Roman" w:hAnsi="Times New Roman" w:cs="Times New Roman"/>
          <w:sz w:val="24"/>
          <w:szCs w:val="24"/>
          <w:lang w:val="en-US"/>
        </w:rPr>
        <w:t>Extensigraph</w:t>
      </w:r>
      <w:proofErr w:type="spellEnd"/>
      <w:r w:rsidRPr="008C64B1">
        <w:rPr>
          <w:rFonts w:ascii="Times New Roman" w:hAnsi="Times New Roman" w:cs="Times New Roman"/>
          <w:sz w:val="24"/>
          <w:szCs w:val="24"/>
          <w:lang w:val="en-US"/>
        </w:rPr>
        <w:t xml:space="preserve"> Method, General. In Approved Methods of Analysis. </w:t>
      </w:r>
      <w:hyperlink r:id="rId14" w:history="1">
        <w:r w:rsidRPr="00AF410E">
          <w:rPr>
            <w:rStyle w:val="Hyperlink"/>
            <w:rFonts w:ascii="Times New Roman" w:hAnsi="Times New Roman" w:cs="Times New Roman"/>
            <w:sz w:val="24"/>
            <w:szCs w:val="24"/>
            <w:lang w:val="en-US"/>
          </w:rPr>
          <w:t>https://doi.org/10.1094/aaccintmethod-54-10.01</w:t>
        </w:r>
      </w:hyperlink>
      <w:r>
        <w:rPr>
          <w:rFonts w:ascii="Times New Roman" w:hAnsi="Times New Roman" w:cs="Times New Roman"/>
          <w:sz w:val="24"/>
          <w:szCs w:val="24"/>
          <w:lang w:val="en-US"/>
        </w:rPr>
        <w:t xml:space="preserve"> </w:t>
      </w:r>
    </w:p>
    <w:p w14:paraId="420B029C" w14:textId="6A7932C3" w:rsidR="00527FBD" w:rsidRPr="00F4019C" w:rsidRDefault="00C875F2" w:rsidP="00C875F2">
      <w:pPr>
        <w:pStyle w:val="ListParagraph"/>
        <w:numPr>
          <w:ilvl w:val="0"/>
          <w:numId w:val="1"/>
        </w:numPr>
        <w:spacing w:after="0" w:line="360" w:lineRule="auto"/>
        <w:jc w:val="both"/>
        <w:rPr>
          <w:rFonts w:ascii="Times New Roman" w:hAnsi="Times New Roman" w:cs="Times New Roman"/>
          <w:sz w:val="24"/>
          <w:szCs w:val="24"/>
        </w:rPr>
      </w:pPr>
      <w:r w:rsidRPr="00C875F2">
        <w:rPr>
          <w:rFonts w:ascii="Times New Roman" w:hAnsi="Times New Roman" w:cs="Times New Roman"/>
          <w:sz w:val="24"/>
          <w:szCs w:val="24"/>
          <w:lang w:val="de-DE"/>
        </w:rPr>
        <w:t xml:space="preserve">Forsido, S. F., Welelaw, E., Belachew, T., &amp; Hensel, O. (2021). Effects of storage temperature and packaging material on physico-chemical, microbial and sensory properties and shelf life of extruded composite baby food flour. Heliyon, 7(4) </w:t>
      </w:r>
      <w:r>
        <w:rPr>
          <w:rFonts w:ascii="Times New Roman" w:hAnsi="Times New Roman" w:cs="Times New Roman"/>
          <w:sz w:val="24"/>
          <w:szCs w:val="24"/>
          <w:lang w:val="de-DE"/>
        </w:rPr>
        <w:fldChar w:fldCharType="begin"/>
      </w:r>
      <w:r>
        <w:rPr>
          <w:rFonts w:ascii="Times New Roman" w:hAnsi="Times New Roman" w:cs="Times New Roman"/>
          <w:sz w:val="24"/>
          <w:szCs w:val="24"/>
          <w:lang w:val="de-DE"/>
        </w:rPr>
        <w:instrText xml:space="preserve"> HYPERLINK "</w:instrText>
      </w:r>
      <w:r w:rsidRPr="00C875F2">
        <w:rPr>
          <w:rFonts w:ascii="Times New Roman" w:hAnsi="Times New Roman" w:cs="Times New Roman"/>
          <w:sz w:val="24"/>
          <w:szCs w:val="24"/>
          <w:lang w:val="de-DE"/>
        </w:rPr>
        <w:instrText>https://doi.org/10.1016/j.heliyon.2021.e06821</w:instrText>
      </w:r>
      <w:r>
        <w:rPr>
          <w:rFonts w:ascii="Times New Roman" w:hAnsi="Times New Roman" w:cs="Times New Roman"/>
          <w:sz w:val="24"/>
          <w:szCs w:val="24"/>
          <w:lang w:val="de-DE"/>
        </w:rPr>
        <w:instrText xml:space="preserve">" </w:instrText>
      </w:r>
      <w:r>
        <w:rPr>
          <w:rFonts w:ascii="Times New Roman" w:hAnsi="Times New Roman" w:cs="Times New Roman"/>
          <w:sz w:val="24"/>
          <w:szCs w:val="24"/>
          <w:lang w:val="de-DE"/>
        </w:rPr>
        <w:fldChar w:fldCharType="separate"/>
      </w:r>
      <w:r w:rsidRPr="00AF410E">
        <w:rPr>
          <w:rStyle w:val="Hyperlink"/>
          <w:rFonts w:ascii="Times New Roman" w:hAnsi="Times New Roman" w:cs="Times New Roman"/>
          <w:sz w:val="24"/>
          <w:szCs w:val="24"/>
          <w:lang w:val="de-DE"/>
        </w:rPr>
        <w:t>https://doi.org/10.1016/j.heliyon.2021.e06821</w:t>
      </w:r>
      <w:r>
        <w:rPr>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p>
    <w:p w14:paraId="3B6FF9E8" w14:textId="0AD2FAF1" w:rsidR="00527FBD" w:rsidRPr="00F4019C" w:rsidRDefault="00A64DED" w:rsidP="00A64DED">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A64DED">
        <w:rPr>
          <w:rFonts w:ascii="Times New Roman" w:hAnsi="Times New Roman" w:cs="Times New Roman"/>
          <w:sz w:val="24"/>
          <w:szCs w:val="24"/>
        </w:rPr>
        <w:t>Hemery</w:t>
      </w:r>
      <w:proofErr w:type="spellEnd"/>
      <w:r w:rsidRPr="00A64DED">
        <w:rPr>
          <w:rFonts w:ascii="Times New Roman" w:hAnsi="Times New Roman" w:cs="Times New Roman"/>
          <w:sz w:val="24"/>
          <w:szCs w:val="24"/>
        </w:rPr>
        <w:t xml:space="preserve">, Y. M., Fontan, L., </w:t>
      </w:r>
      <w:proofErr w:type="spellStart"/>
      <w:r w:rsidRPr="00A64DED">
        <w:rPr>
          <w:rFonts w:ascii="Times New Roman" w:hAnsi="Times New Roman" w:cs="Times New Roman"/>
          <w:sz w:val="24"/>
          <w:szCs w:val="24"/>
        </w:rPr>
        <w:t>Laillou</w:t>
      </w:r>
      <w:proofErr w:type="spellEnd"/>
      <w:r w:rsidRPr="00A64DED">
        <w:rPr>
          <w:rFonts w:ascii="Times New Roman" w:hAnsi="Times New Roman" w:cs="Times New Roman"/>
          <w:sz w:val="24"/>
          <w:szCs w:val="24"/>
        </w:rPr>
        <w:t xml:space="preserve">, A., </w:t>
      </w:r>
      <w:proofErr w:type="spellStart"/>
      <w:r w:rsidRPr="00A64DED">
        <w:rPr>
          <w:rFonts w:ascii="Times New Roman" w:hAnsi="Times New Roman" w:cs="Times New Roman"/>
          <w:sz w:val="24"/>
          <w:szCs w:val="24"/>
        </w:rPr>
        <w:t>Jallier</w:t>
      </w:r>
      <w:proofErr w:type="spellEnd"/>
      <w:r w:rsidRPr="00A64DED">
        <w:rPr>
          <w:rFonts w:ascii="Times New Roman" w:hAnsi="Times New Roman" w:cs="Times New Roman"/>
          <w:sz w:val="24"/>
          <w:szCs w:val="24"/>
        </w:rPr>
        <w:t xml:space="preserve">, V., </w:t>
      </w:r>
      <w:proofErr w:type="spellStart"/>
      <w:r w:rsidRPr="00A64DED">
        <w:rPr>
          <w:rFonts w:ascii="Times New Roman" w:hAnsi="Times New Roman" w:cs="Times New Roman"/>
          <w:sz w:val="24"/>
          <w:szCs w:val="24"/>
        </w:rPr>
        <w:t>Moench-Pfanner</w:t>
      </w:r>
      <w:proofErr w:type="spellEnd"/>
      <w:r w:rsidRPr="00A64DED">
        <w:rPr>
          <w:rFonts w:ascii="Times New Roman" w:hAnsi="Times New Roman" w:cs="Times New Roman"/>
          <w:sz w:val="24"/>
          <w:szCs w:val="24"/>
        </w:rPr>
        <w:t xml:space="preserve">, R., </w:t>
      </w:r>
      <w:proofErr w:type="spellStart"/>
      <w:r w:rsidRPr="00A64DED">
        <w:rPr>
          <w:rFonts w:ascii="Times New Roman" w:hAnsi="Times New Roman" w:cs="Times New Roman"/>
          <w:sz w:val="24"/>
          <w:szCs w:val="24"/>
        </w:rPr>
        <w:t>Avallone</w:t>
      </w:r>
      <w:proofErr w:type="spellEnd"/>
      <w:r w:rsidRPr="00A64DED">
        <w:rPr>
          <w:rFonts w:ascii="Times New Roman" w:hAnsi="Times New Roman" w:cs="Times New Roman"/>
          <w:sz w:val="24"/>
          <w:szCs w:val="24"/>
        </w:rPr>
        <w:t xml:space="preserve">, S., &amp; Berger, J. (2020). Influence of </w:t>
      </w:r>
      <w:proofErr w:type="spellStart"/>
      <w:r w:rsidRPr="00A64DED">
        <w:rPr>
          <w:rFonts w:ascii="Times New Roman" w:hAnsi="Times New Roman" w:cs="Times New Roman"/>
          <w:sz w:val="24"/>
          <w:szCs w:val="24"/>
        </w:rPr>
        <w:t>storage</w:t>
      </w:r>
      <w:proofErr w:type="spellEnd"/>
      <w:r w:rsidRPr="00A64DED">
        <w:rPr>
          <w:rFonts w:ascii="Times New Roman" w:hAnsi="Times New Roman" w:cs="Times New Roman"/>
          <w:sz w:val="24"/>
          <w:szCs w:val="24"/>
        </w:rPr>
        <w:t xml:space="preserve"> conditions and packaging of </w:t>
      </w:r>
      <w:proofErr w:type="spellStart"/>
      <w:r w:rsidRPr="00A64DED">
        <w:rPr>
          <w:rFonts w:ascii="Times New Roman" w:hAnsi="Times New Roman" w:cs="Times New Roman"/>
          <w:sz w:val="24"/>
          <w:szCs w:val="24"/>
        </w:rPr>
        <w:t>fortified</w:t>
      </w:r>
      <w:proofErr w:type="spellEnd"/>
      <w:r w:rsidRPr="00A64DED">
        <w:rPr>
          <w:rFonts w:ascii="Times New Roman" w:hAnsi="Times New Roman" w:cs="Times New Roman"/>
          <w:sz w:val="24"/>
          <w:szCs w:val="24"/>
        </w:rPr>
        <w:t xml:space="preserve"> </w:t>
      </w:r>
      <w:proofErr w:type="spellStart"/>
      <w:r w:rsidRPr="00A64DED">
        <w:rPr>
          <w:rFonts w:ascii="Times New Roman" w:hAnsi="Times New Roman" w:cs="Times New Roman"/>
          <w:sz w:val="24"/>
          <w:szCs w:val="24"/>
        </w:rPr>
        <w:t>wheat</w:t>
      </w:r>
      <w:proofErr w:type="spellEnd"/>
      <w:r w:rsidRPr="00A64DED">
        <w:rPr>
          <w:rFonts w:ascii="Times New Roman" w:hAnsi="Times New Roman" w:cs="Times New Roman"/>
          <w:sz w:val="24"/>
          <w:szCs w:val="24"/>
        </w:rPr>
        <w:t xml:space="preserve"> </w:t>
      </w:r>
      <w:proofErr w:type="spellStart"/>
      <w:r w:rsidRPr="00A64DED">
        <w:rPr>
          <w:rFonts w:ascii="Times New Roman" w:hAnsi="Times New Roman" w:cs="Times New Roman"/>
          <w:sz w:val="24"/>
          <w:szCs w:val="24"/>
        </w:rPr>
        <w:t>flour</w:t>
      </w:r>
      <w:proofErr w:type="spellEnd"/>
      <w:r w:rsidRPr="00A64DED">
        <w:rPr>
          <w:rFonts w:ascii="Times New Roman" w:hAnsi="Times New Roman" w:cs="Times New Roman"/>
          <w:sz w:val="24"/>
          <w:szCs w:val="24"/>
        </w:rPr>
        <w:t xml:space="preserve"> on </w:t>
      </w:r>
      <w:proofErr w:type="spellStart"/>
      <w:r w:rsidRPr="00A64DED">
        <w:rPr>
          <w:rFonts w:ascii="Times New Roman" w:hAnsi="Times New Roman" w:cs="Times New Roman"/>
          <w:sz w:val="24"/>
          <w:szCs w:val="24"/>
        </w:rPr>
        <w:t>microbial</w:t>
      </w:r>
      <w:proofErr w:type="spellEnd"/>
      <w:r w:rsidRPr="00A64DED">
        <w:rPr>
          <w:rFonts w:ascii="Times New Roman" w:hAnsi="Times New Roman" w:cs="Times New Roman"/>
          <w:sz w:val="24"/>
          <w:szCs w:val="24"/>
        </w:rPr>
        <w:t xml:space="preserve"> </w:t>
      </w:r>
      <w:proofErr w:type="spellStart"/>
      <w:r w:rsidRPr="00A64DED">
        <w:rPr>
          <w:rFonts w:ascii="Times New Roman" w:hAnsi="Times New Roman" w:cs="Times New Roman"/>
          <w:sz w:val="24"/>
          <w:szCs w:val="24"/>
        </w:rPr>
        <w:t>load</w:t>
      </w:r>
      <w:proofErr w:type="spellEnd"/>
      <w:r w:rsidRPr="00A64DED">
        <w:rPr>
          <w:rFonts w:ascii="Times New Roman" w:hAnsi="Times New Roman" w:cs="Times New Roman"/>
          <w:sz w:val="24"/>
          <w:szCs w:val="24"/>
        </w:rPr>
        <w:t xml:space="preserve"> and </w:t>
      </w:r>
      <w:proofErr w:type="spellStart"/>
      <w:r w:rsidRPr="00A64DED">
        <w:rPr>
          <w:rFonts w:ascii="Times New Roman" w:hAnsi="Times New Roman" w:cs="Times New Roman"/>
          <w:sz w:val="24"/>
          <w:szCs w:val="24"/>
        </w:rPr>
        <w:t>stability</w:t>
      </w:r>
      <w:proofErr w:type="spellEnd"/>
      <w:r w:rsidRPr="00A64DED">
        <w:rPr>
          <w:rFonts w:ascii="Times New Roman" w:hAnsi="Times New Roman" w:cs="Times New Roman"/>
          <w:sz w:val="24"/>
          <w:szCs w:val="24"/>
        </w:rPr>
        <w:t xml:space="preserve"> of folate and </w:t>
      </w:r>
      <w:proofErr w:type="spellStart"/>
      <w:r w:rsidRPr="00A64DED">
        <w:rPr>
          <w:rFonts w:ascii="Times New Roman" w:hAnsi="Times New Roman" w:cs="Times New Roman"/>
          <w:sz w:val="24"/>
          <w:szCs w:val="24"/>
        </w:rPr>
        <w:t>vitamin</w:t>
      </w:r>
      <w:proofErr w:type="spellEnd"/>
      <w:r w:rsidRPr="00A64DED">
        <w:rPr>
          <w:rFonts w:ascii="Times New Roman" w:hAnsi="Times New Roman" w:cs="Times New Roman"/>
          <w:sz w:val="24"/>
          <w:szCs w:val="24"/>
        </w:rPr>
        <w:t xml:space="preserve"> B12. Food Chemistry: X, 5, 100076. </w:t>
      </w:r>
      <w:hyperlink r:id="rId15" w:history="1">
        <w:r w:rsidRPr="00AF410E">
          <w:rPr>
            <w:rStyle w:val="Hyperlink"/>
            <w:rFonts w:ascii="Times New Roman" w:hAnsi="Times New Roman" w:cs="Times New Roman"/>
            <w:sz w:val="24"/>
            <w:szCs w:val="24"/>
          </w:rPr>
          <w:t>https://doi.org/10.1016/j.fochx.2019.100076</w:t>
        </w:r>
      </w:hyperlink>
      <w:r>
        <w:rPr>
          <w:rFonts w:ascii="Times New Roman" w:hAnsi="Times New Roman" w:cs="Times New Roman"/>
          <w:sz w:val="24"/>
          <w:szCs w:val="24"/>
        </w:rPr>
        <w:t xml:space="preserve"> </w:t>
      </w:r>
    </w:p>
    <w:p w14:paraId="51D30DF3" w14:textId="53BDF010" w:rsidR="00527FBD" w:rsidRPr="00F4019C" w:rsidRDefault="00504253" w:rsidP="00504253">
      <w:pPr>
        <w:pStyle w:val="ListParagraph"/>
        <w:numPr>
          <w:ilvl w:val="0"/>
          <w:numId w:val="1"/>
        </w:numPr>
        <w:spacing w:after="0" w:line="360" w:lineRule="auto"/>
        <w:jc w:val="both"/>
        <w:rPr>
          <w:rFonts w:ascii="Times New Roman" w:hAnsi="Times New Roman" w:cs="Times New Roman"/>
          <w:sz w:val="24"/>
          <w:szCs w:val="24"/>
          <w:lang w:val="en-US"/>
        </w:rPr>
      </w:pPr>
      <w:r w:rsidRPr="00504253">
        <w:rPr>
          <w:rFonts w:ascii="Times New Roman" w:hAnsi="Times New Roman" w:cs="Times New Roman"/>
          <w:sz w:val="24"/>
          <w:szCs w:val="24"/>
          <w:lang w:val="en-US"/>
        </w:rPr>
        <w:t xml:space="preserve">International Organization for Standardization. (1994). ISO 11052:1994 – Durum wheat flour and semolina: Determination of yellow pigment content. </w:t>
      </w:r>
      <w:hyperlink r:id="rId16" w:history="1">
        <w:r w:rsidRPr="00AF410E">
          <w:rPr>
            <w:rStyle w:val="Hyperlink"/>
            <w:rFonts w:ascii="Times New Roman" w:hAnsi="Times New Roman" w:cs="Times New Roman"/>
            <w:sz w:val="24"/>
            <w:szCs w:val="24"/>
            <w:lang w:val="en-US"/>
          </w:rPr>
          <w:t>https://doi.org/10.3403/30146123u</w:t>
        </w:r>
      </w:hyperlink>
      <w:r>
        <w:rPr>
          <w:rFonts w:ascii="Times New Roman" w:hAnsi="Times New Roman" w:cs="Times New Roman"/>
          <w:sz w:val="24"/>
          <w:szCs w:val="24"/>
          <w:lang w:val="en-US"/>
        </w:rPr>
        <w:t xml:space="preserve"> </w:t>
      </w:r>
    </w:p>
    <w:p w14:paraId="28CB06DC" w14:textId="6C2E767C" w:rsidR="00527FBD" w:rsidRPr="00F4019C" w:rsidRDefault="003224F1" w:rsidP="003224F1">
      <w:pPr>
        <w:pStyle w:val="ListParagraph"/>
        <w:numPr>
          <w:ilvl w:val="0"/>
          <w:numId w:val="1"/>
        </w:numPr>
        <w:spacing w:after="0" w:line="360" w:lineRule="auto"/>
        <w:jc w:val="both"/>
        <w:rPr>
          <w:rFonts w:ascii="Times New Roman" w:hAnsi="Times New Roman" w:cs="Times New Roman"/>
          <w:sz w:val="24"/>
          <w:szCs w:val="24"/>
          <w:lang w:val="en-US"/>
        </w:rPr>
      </w:pPr>
      <w:r w:rsidRPr="003224F1">
        <w:rPr>
          <w:rFonts w:ascii="Times New Roman" w:hAnsi="Times New Roman" w:cs="Times New Roman"/>
          <w:sz w:val="24"/>
          <w:szCs w:val="24"/>
        </w:rPr>
        <w:lastRenderedPageBreak/>
        <w:t xml:space="preserve">Joséphine, T. N., </w:t>
      </w:r>
      <w:proofErr w:type="spellStart"/>
      <w:r w:rsidRPr="003224F1">
        <w:rPr>
          <w:rFonts w:ascii="Times New Roman" w:hAnsi="Times New Roman" w:cs="Times New Roman"/>
          <w:sz w:val="24"/>
          <w:szCs w:val="24"/>
        </w:rPr>
        <w:t>Nguele</w:t>
      </w:r>
      <w:proofErr w:type="spellEnd"/>
      <w:r w:rsidRPr="003224F1">
        <w:rPr>
          <w:rFonts w:ascii="Times New Roman" w:hAnsi="Times New Roman" w:cs="Times New Roman"/>
          <w:sz w:val="24"/>
          <w:szCs w:val="24"/>
        </w:rPr>
        <w:t xml:space="preserve">, S. S., </w:t>
      </w:r>
      <w:proofErr w:type="spellStart"/>
      <w:r w:rsidRPr="003224F1">
        <w:rPr>
          <w:rFonts w:ascii="Times New Roman" w:hAnsi="Times New Roman" w:cs="Times New Roman"/>
          <w:sz w:val="24"/>
          <w:szCs w:val="24"/>
        </w:rPr>
        <w:t>Hagre</w:t>
      </w:r>
      <w:proofErr w:type="spellEnd"/>
      <w:r w:rsidRPr="003224F1">
        <w:rPr>
          <w:rFonts w:ascii="Times New Roman" w:hAnsi="Times New Roman" w:cs="Times New Roman"/>
          <w:sz w:val="24"/>
          <w:szCs w:val="24"/>
        </w:rPr>
        <w:t xml:space="preserve">, D., </w:t>
      </w:r>
      <w:proofErr w:type="spellStart"/>
      <w:r w:rsidRPr="003224F1">
        <w:rPr>
          <w:rFonts w:ascii="Times New Roman" w:hAnsi="Times New Roman" w:cs="Times New Roman"/>
          <w:sz w:val="24"/>
          <w:szCs w:val="24"/>
        </w:rPr>
        <w:t>Granga</w:t>
      </w:r>
      <w:proofErr w:type="spellEnd"/>
      <w:r w:rsidRPr="003224F1">
        <w:rPr>
          <w:rFonts w:ascii="Times New Roman" w:hAnsi="Times New Roman" w:cs="Times New Roman"/>
          <w:sz w:val="24"/>
          <w:szCs w:val="24"/>
        </w:rPr>
        <w:t xml:space="preserve">, D. D., </w:t>
      </w:r>
      <w:proofErr w:type="spellStart"/>
      <w:r w:rsidRPr="003224F1">
        <w:rPr>
          <w:rFonts w:ascii="Times New Roman" w:hAnsi="Times New Roman" w:cs="Times New Roman"/>
          <w:sz w:val="24"/>
          <w:szCs w:val="24"/>
        </w:rPr>
        <w:t>Abdelsalam</w:t>
      </w:r>
      <w:proofErr w:type="spellEnd"/>
      <w:r w:rsidRPr="003224F1">
        <w:rPr>
          <w:rFonts w:ascii="Times New Roman" w:hAnsi="Times New Roman" w:cs="Times New Roman"/>
          <w:sz w:val="24"/>
          <w:szCs w:val="24"/>
        </w:rPr>
        <w:t xml:space="preserve">, T., &amp; Boy, B. O. (2022). </w:t>
      </w:r>
      <w:proofErr w:type="spellStart"/>
      <w:r w:rsidRPr="003224F1">
        <w:rPr>
          <w:rFonts w:ascii="Times New Roman" w:hAnsi="Times New Roman" w:cs="Times New Roman"/>
          <w:sz w:val="24"/>
          <w:szCs w:val="24"/>
        </w:rPr>
        <w:t>Determinants</w:t>
      </w:r>
      <w:proofErr w:type="spellEnd"/>
      <w:r w:rsidRPr="003224F1">
        <w:rPr>
          <w:rFonts w:ascii="Times New Roman" w:hAnsi="Times New Roman" w:cs="Times New Roman"/>
          <w:sz w:val="24"/>
          <w:szCs w:val="24"/>
        </w:rPr>
        <w:t xml:space="preserve"> of </w:t>
      </w:r>
      <w:proofErr w:type="spellStart"/>
      <w:r w:rsidRPr="003224F1">
        <w:rPr>
          <w:rFonts w:ascii="Times New Roman" w:hAnsi="Times New Roman" w:cs="Times New Roman"/>
          <w:sz w:val="24"/>
          <w:szCs w:val="24"/>
        </w:rPr>
        <w:t>Severe</w:t>
      </w:r>
      <w:proofErr w:type="spellEnd"/>
      <w:r w:rsidRPr="003224F1">
        <w:rPr>
          <w:rFonts w:ascii="Times New Roman" w:hAnsi="Times New Roman" w:cs="Times New Roman"/>
          <w:sz w:val="24"/>
          <w:szCs w:val="24"/>
        </w:rPr>
        <w:t xml:space="preserve"> Acute Malnutrition in </w:t>
      </w:r>
      <w:proofErr w:type="spellStart"/>
      <w:r w:rsidRPr="003224F1">
        <w:rPr>
          <w:rFonts w:ascii="Times New Roman" w:hAnsi="Times New Roman" w:cs="Times New Roman"/>
          <w:sz w:val="24"/>
          <w:szCs w:val="24"/>
        </w:rPr>
        <w:t>Children</w:t>
      </w:r>
      <w:proofErr w:type="spellEnd"/>
      <w:r w:rsidRPr="003224F1">
        <w:rPr>
          <w:rFonts w:ascii="Times New Roman" w:hAnsi="Times New Roman" w:cs="Times New Roman"/>
          <w:sz w:val="24"/>
          <w:szCs w:val="24"/>
        </w:rPr>
        <w:t xml:space="preserve"> </w:t>
      </w:r>
      <w:proofErr w:type="spellStart"/>
      <w:r w:rsidRPr="003224F1">
        <w:rPr>
          <w:rFonts w:ascii="Times New Roman" w:hAnsi="Times New Roman" w:cs="Times New Roman"/>
          <w:sz w:val="24"/>
          <w:szCs w:val="24"/>
        </w:rPr>
        <w:t>Aged</w:t>
      </w:r>
      <w:proofErr w:type="spellEnd"/>
      <w:r w:rsidRPr="003224F1">
        <w:rPr>
          <w:rFonts w:ascii="Times New Roman" w:hAnsi="Times New Roman" w:cs="Times New Roman"/>
          <w:sz w:val="24"/>
          <w:szCs w:val="24"/>
        </w:rPr>
        <w:t xml:space="preserve"> 0-59 </w:t>
      </w:r>
      <w:proofErr w:type="spellStart"/>
      <w:r w:rsidRPr="003224F1">
        <w:rPr>
          <w:rFonts w:ascii="Times New Roman" w:hAnsi="Times New Roman" w:cs="Times New Roman"/>
          <w:sz w:val="24"/>
          <w:szCs w:val="24"/>
        </w:rPr>
        <w:t>Months</w:t>
      </w:r>
      <w:proofErr w:type="spellEnd"/>
      <w:r w:rsidRPr="003224F1">
        <w:rPr>
          <w:rFonts w:ascii="Times New Roman" w:hAnsi="Times New Roman" w:cs="Times New Roman"/>
          <w:sz w:val="24"/>
          <w:szCs w:val="24"/>
        </w:rPr>
        <w:t xml:space="preserve">. </w:t>
      </w:r>
      <w:proofErr w:type="spellStart"/>
      <w:r w:rsidRPr="003224F1">
        <w:rPr>
          <w:rFonts w:ascii="Times New Roman" w:hAnsi="Times New Roman" w:cs="Times New Roman"/>
          <w:sz w:val="24"/>
          <w:szCs w:val="24"/>
        </w:rPr>
        <w:t>Medicon</w:t>
      </w:r>
      <w:proofErr w:type="spellEnd"/>
      <w:r w:rsidRPr="003224F1">
        <w:rPr>
          <w:rFonts w:ascii="Times New Roman" w:hAnsi="Times New Roman" w:cs="Times New Roman"/>
          <w:sz w:val="24"/>
          <w:szCs w:val="24"/>
        </w:rPr>
        <w:t xml:space="preserve"> </w:t>
      </w:r>
      <w:proofErr w:type="spellStart"/>
      <w:r w:rsidRPr="003224F1">
        <w:rPr>
          <w:rFonts w:ascii="Times New Roman" w:hAnsi="Times New Roman" w:cs="Times New Roman"/>
          <w:sz w:val="24"/>
          <w:szCs w:val="24"/>
        </w:rPr>
        <w:t>Medical</w:t>
      </w:r>
      <w:proofErr w:type="spellEnd"/>
      <w:r w:rsidRPr="003224F1">
        <w:rPr>
          <w:rFonts w:ascii="Times New Roman" w:hAnsi="Times New Roman" w:cs="Times New Roman"/>
          <w:sz w:val="24"/>
          <w:szCs w:val="24"/>
        </w:rPr>
        <w:t xml:space="preserve"> Sciences. </w:t>
      </w:r>
      <w:hyperlink r:id="rId17" w:history="1">
        <w:r w:rsidRPr="00AF410E">
          <w:rPr>
            <w:rStyle w:val="Hyperlink"/>
            <w:rFonts w:ascii="Times New Roman" w:hAnsi="Times New Roman" w:cs="Times New Roman"/>
            <w:sz w:val="24"/>
            <w:szCs w:val="24"/>
          </w:rPr>
          <w:t>https://doi.org/10.55162/mcms.03.069</w:t>
        </w:r>
      </w:hyperlink>
      <w:r>
        <w:rPr>
          <w:rFonts w:ascii="Times New Roman" w:hAnsi="Times New Roman" w:cs="Times New Roman"/>
          <w:sz w:val="24"/>
          <w:szCs w:val="24"/>
        </w:rPr>
        <w:t xml:space="preserve"> </w:t>
      </w:r>
    </w:p>
    <w:p w14:paraId="0FD2E8C3" w14:textId="4E5BDC00" w:rsidR="00527FBD" w:rsidRPr="00F4019C" w:rsidRDefault="007E11E9" w:rsidP="007E11E9">
      <w:pPr>
        <w:pStyle w:val="ListParagraph"/>
        <w:numPr>
          <w:ilvl w:val="0"/>
          <w:numId w:val="1"/>
        </w:numPr>
        <w:spacing w:after="0" w:line="360" w:lineRule="auto"/>
        <w:jc w:val="both"/>
        <w:rPr>
          <w:rFonts w:ascii="Times New Roman" w:hAnsi="Times New Roman" w:cs="Times New Roman"/>
          <w:sz w:val="24"/>
          <w:szCs w:val="24"/>
        </w:rPr>
      </w:pPr>
      <w:r w:rsidRPr="007E11E9">
        <w:rPr>
          <w:rFonts w:ascii="Times New Roman" w:hAnsi="Times New Roman" w:cs="Times New Roman"/>
          <w:sz w:val="24"/>
          <w:szCs w:val="24"/>
          <w:lang w:val="en-US"/>
        </w:rPr>
        <w:t xml:space="preserve">Kaunda, G., </w:t>
      </w:r>
      <w:proofErr w:type="spellStart"/>
      <w:r w:rsidRPr="007E11E9">
        <w:rPr>
          <w:rFonts w:ascii="Times New Roman" w:hAnsi="Times New Roman" w:cs="Times New Roman"/>
          <w:sz w:val="24"/>
          <w:szCs w:val="24"/>
          <w:lang w:val="en-US"/>
        </w:rPr>
        <w:t>Mwangwela</w:t>
      </w:r>
      <w:proofErr w:type="spellEnd"/>
      <w:r w:rsidRPr="007E11E9">
        <w:rPr>
          <w:rFonts w:ascii="Times New Roman" w:hAnsi="Times New Roman" w:cs="Times New Roman"/>
          <w:sz w:val="24"/>
          <w:szCs w:val="24"/>
          <w:lang w:val="en-US"/>
        </w:rPr>
        <w:t xml:space="preserve">, A., </w:t>
      </w:r>
      <w:proofErr w:type="spellStart"/>
      <w:r w:rsidRPr="007E11E9">
        <w:rPr>
          <w:rFonts w:ascii="Times New Roman" w:hAnsi="Times New Roman" w:cs="Times New Roman"/>
          <w:sz w:val="24"/>
          <w:szCs w:val="24"/>
          <w:lang w:val="en-US"/>
        </w:rPr>
        <w:t>Geresomo</w:t>
      </w:r>
      <w:proofErr w:type="spellEnd"/>
      <w:r w:rsidRPr="007E11E9">
        <w:rPr>
          <w:rFonts w:ascii="Times New Roman" w:hAnsi="Times New Roman" w:cs="Times New Roman"/>
          <w:sz w:val="24"/>
          <w:szCs w:val="24"/>
          <w:lang w:val="en-US"/>
        </w:rPr>
        <w:t xml:space="preserve">, N., Kaunda, E., &amp; </w:t>
      </w:r>
      <w:proofErr w:type="spellStart"/>
      <w:r w:rsidRPr="007E11E9">
        <w:rPr>
          <w:rFonts w:ascii="Times New Roman" w:hAnsi="Times New Roman" w:cs="Times New Roman"/>
          <w:sz w:val="24"/>
          <w:szCs w:val="24"/>
          <w:lang w:val="en-US"/>
        </w:rPr>
        <w:t>Simfukwe</w:t>
      </w:r>
      <w:proofErr w:type="spellEnd"/>
      <w:r w:rsidRPr="007E11E9">
        <w:rPr>
          <w:rFonts w:ascii="Times New Roman" w:hAnsi="Times New Roman" w:cs="Times New Roman"/>
          <w:sz w:val="24"/>
          <w:szCs w:val="24"/>
          <w:lang w:val="en-US"/>
        </w:rPr>
        <w:t xml:space="preserve">, K. (2025). Proximate composition, acceptability, and shelf life of complementary foods developed from blends of staple grains, maize, soybeans, and fish in Malawi. Cogent Food &amp; Agriculture, 11(1). </w:t>
      </w:r>
      <w:hyperlink r:id="rId18" w:history="1">
        <w:r w:rsidRPr="00AF410E">
          <w:rPr>
            <w:rStyle w:val="Hyperlink"/>
            <w:rFonts w:ascii="Times New Roman" w:hAnsi="Times New Roman" w:cs="Times New Roman"/>
            <w:sz w:val="24"/>
            <w:szCs w:val="24"/>
            <w:lang w:val="en-US"/>
          </w:rPr>
          <w:t>https://doi.org/10.1080/23311932.2025.2544957</w:t>
        </w:r>
      </w:hyperlink>
      <w:r>
        <w:rPr>
          <w:rFonts w:ascii="Times New Roman" w:hAnsi="Times New Roman" w:cs="Times New Roman"/>
          <w:sz w:val="24"/>
          <w:szCs w:val="24"/>
          <w:lang w:val="en-US"/>
        </w:rPr>
        <w:t xml:space="preserve"> </w:t>
      </w:r>
    </w:p>
    <w:p w14:paraId="29383537" w14:textId="7B4130CF" w:rsidR="00527FBD" w:rsidRPr="00F4019C" w:rsidRDefault="0085219D" w:rsidP="0085219D">
      <w:pPr>
        <w:pStyle w:val="ListParagraph"/>
        <w:numPr>
          <w:ilvl w:val="0"/>
          <w:numId w:val="1"/>
        </w:numPr>
        <w:spacing w:after="0" w:line="360" w:lineRule="auto"/>
        <w:jc w:val="both"/>
        <w:rPr>
          <w:rFonts w:ascii="Times New Roman" w:hAnsi="Times New Roman" w:cs="Times New Roman"/>
          <w:sz w:val="24"/>
          <w:szCs w:val="24"/>
          <w:lang w:val="en-US"/>
        </w:rPr>
      </w:pPr>
      <w:r w:rsidRPr="0085219D">
        <w:rPr>
          <w:rFonts w:ascii="Times New Roman" w:hAnsi="Times New Roman" w:cs="Times New Roman"/>
          <w:sz w:val="24"/>
          <w:szCs w:val="24"/>
        </w:rPr>
        <w:t xml:space="preserve">Oumarou Diadie, H., Doudou </w:t>
      </w:r>
      <w:proofErr w:type="spellStart"/>
      <w:r w:rsidRPr="0085219D">
        <w:rPr>
          <w:rFonts w:ascii="Times New Roman" w:hAnsi="Times New Roman" w:cs="Times New Roman"/>
          <w:sz w:val="24"/>
          <w:szCs w:val="24"/>
        </w:rPr>
        <w:t>Halidou</w:t>
      </w:r>
      <w:proofErr w:type="spellEnd"/>
      <w:r w:rsidRPr="0085219D">
        <w:rPr>
          <w:rFonts w:ascii="Times New Roman" w:hAnsi="Times New Roman" w:cs="Times New Roman"/>
          <w:sz w:val="24"/>
          <w:szCs w:val="24"/>
        </w:rPr>
        <w:t xml:space="preserve">, M., &amp; Balla, A. (2012). Etude de la stabilité et de l’acceptabilité du CSB ++ (Corn-Soya Blend) au Niger. International Journal of </w:t>
      </w:r>
      <w:proofErr w:type="spellStart"/>
      <w:r w:rsidRPr="0085219D">
        <w:rPr>
          <w:rFonts w:ascii="Times New Roman" w:hAnsi="Times New Roman" w:cs="Times New Roman"/>
          <w:sz w:val="24"/>
          <w:szCs w:val="24"/>
        </w:rPr>
        <w:t>Biological</w:t>
      </w:r>
      <w:proofErr w:type="spellEnd"/>
      <w:r w:rsidRPr="0085219D">
        <w:rPr>
          <w:rFonts w:ascii="Times New Roman" w:hAnsi="Times New Roman" w:cs="Times New Roman"/>
          <w:sz w:val="24"/>
          <w:szCs w:val="24"/>
        </w:rPr>
        <w:t xml:space="preserve"> and Chemical Sciences, 6(6), 4080-4093. </w:t>
      </w:r>
      <w:hyperlink r:id="rId19" w:history="1">
        <w:r w:rsidRPr="00AF410E">
          <w:rPr>
            <w:rStyle w:val="Hyperlink"/>
            <w:rFonts w:ascii="Times New Roman" w:hAnsi="Times New Roman" w:cs="Times New Roman"/>
            <w:sz w:val="24"/>
            <w:szCs w:val="24"/>
          </w:rPr>
          <w:t>https://doi.org/10.4314/ijbcs.v6i6.18</w:t>
        </w:r>
      </w:hyperlink>
      <w:r>
        <w:rPr>
          <w:rFonts w:ascii="Times New Roman" w:hAnsi="Times New Roman" w:cs="Times New Roman"/>
          <w:sz w:val="24"/>
          <w:szCs w:val="24"/>
        </w:rPr>
        <w:t xml:space="preserve"> </w:t>
      </w:r>
    </w:p>
    <w:p w14:paraId="6C5E578B" w14:textId="77777777" w:rsidR="00527FBD" w:rsidRPr="00F4019C" w:rsidRDefault="00527FBD" w:rsidP="00F4019C">
      <w:pPr>
        <w:pStyle w:val="ListParagraph"/>
        <w:numPr>
          <w:ilvl w:val="0"/>
          <w:numId w:val="1"/>
        </w:numPr>
        <w:spacing w:after="0" w:line="360" w:lineRule="auto"/>
        <w:jc w:val="both"/>
        <w:rPr>
          <w:rFonts w:ascii="Times New Roman" w:hAnsi="Times New Roman" w:cs="Times New Roman"/>
          <w:sz w:val="24"/>
          <w:szCs w:val="24"/>
        </w:rPr>
      </w:pPr>
      <w:r w:rsidRPr="00F4019C">
        <w:rPr>
          <w:rFonts w:ascii="Times New Roman" w:hAnsi="Times New Roman" w:cs="Times New Roman"/>
          <w:sz w:val="24"/>
          <w:szCs w:val="24"/>
          <w:lang w:val="en-US"/>
        </w:rPr>
        <w:t xml:space="preserve">Paré, B. C., Dahourou, D. L., Kabore, A., Sana, A., Kinda, R., Ouaro, B., </w:t>
      </w:r>
      <w:proofErr w:type="spellStart"/>
      <w:r w:rsidRPr="00F4019C">
        <w:rPr>
          <w:rFonts w:ascii="Times New Roman" w:hAnsi="Times New Roman" w:cs="Times New Roman"/>
          <w:sz w:val="24"/>
          <w:szCs w:val="24"/>
          <w:lang w:val="en-US"/>
        </w:rPr>
        <w:t>Dahany</w:t>
      </w:r>
      <w:proofErr w:type="spellEnd"/>
      <w:r w:rsidRPr="00F4019C">
        <w:rPr>
          <w:rFonts w:ascii="Times New Roman" w:hAnsi="Times New Roman" w:cs="Times New Roman"/>
          <w:sz w:val="24"/>
          <w:szCs w:val="24"/>
          <w:lang w:val="en-US"/>
        </w:rPr>
        <w:t xml:space="preserve">, M. M., Hien, H., &amp; Méda, N. (2022). </w:t>
      </w:r>
      <w:r w:rsidRPr="00F4019C">
        <w:rPr>
          <w:rFonts w:ascii="Times New Roman" w:hAnsi="Times New Roman" w:cs="Times New Roman"/>
          <w:sz w:val="24"/>
          <w:szCs w:val="24"/>
        </w:rPr>
        <w:t xml:space="preserve">Prévalence et facteurs associés à l’émaciation des nourrissons de 6 à 23 mois dans la région du Sahel du Burkina Faso. Revue d’Épidémiologie et de Santé Publique, 70, S216. </w:t>
      </w:r>
      <w:hyperlink r:id="rId20" w:history="1">
        <w:r w:rsidRPr="00F4019C">
          <w:rPr>
            <w:rStyle w:val="Hyperlink"/>
            <w:rFonts w:ascii="Times New Roman" w:hAnsi="Times New Roman" w:cs="Times New Roman"/>
            <w:sz w:val="24"/>
            <w:szCs w:val="24"/>
          </w:rPr>
          <w:t>https://doi.org/10.1016/j.respe.2022.06.034</w:t>
        </w:r>
      </w:hyperlink>
    </w:p>
    <w:p w14:paraId="7A516428" w14:textId="08EB31D2" w:rsidR="00527FBD" w:rsidRPr="00F4019C" w:rsidRDefault="005271AD" w:rsidP="005271AD">
      <w:pPr>
        <w:pStyle w:val="ListParagraph"/>
        <w:numPr>
          <w:ilvl w:val="0"/>
          <w:numId w:val="1"/>
        </w:numPr>
        <w:spacing w:after="0" w:line="360" w:lineRule="auto"/>
        <w:jc w:val="both"/>
        <w:rPr>
          <w:rFonts w:ascii="Times New Roman" w:hAnsi="Times New Roman" w:cs="Times New Roman"/>
          <w:sz w:val="24"/>
          <w:szCs w:val="24"/>
        </w:rPr>
      </w:pPr>
      <w:proofErr w:type="spellStart"/>
      <w:r w:rsidRPr="005271AD">
        <w:rPr>
          <w:rFonts w:ascii="Times New Roman" w:hAnsi="Times New Roman" w:cs="Times New Roman"/>
          <w:sz w:val="24"/>
          <w:szCs w:val="24"/>
        </w:rPr>
        <w:t>Sombie</w:t>
      </w:r>
      <w:proofErr w:type="spellEnd"/>
      <w:r w:rsidRPr="005271AD">
        <w:rPr>
          <w:rFonts w:ascii="Times New Roman" w:hAnsi="Times New Roman" w:cs="Times New Roman"/>
          <w:sz w:val="24"/>
          <w:szCs w:val="24"/>
        </w:rPr>
        <w:t xml:space="preserve">, O. O., Hien, A., Traore, S., </w:t>
      </w:r>
      <w:proofErr w:type="spellStart"/>
      <w:r w:rsidRPr="005271AD">
        <w:rPr>
          <w:rFonts w:ascii="Times New Roman" w:hAnsi="Times New Roman" w:cs="Times New Roman"/>
          <w:sz w:val="24"/>
          <w:szCs w:val="24"/>
        </w:rPr>
        <w:t>Kelle</w:t>
      </w:r>
      <w:proofErr w:type="spellEnd"/>
      <w:r w:rsidRPr="005271AD">
        <w:rPr>
          <w:rFonts w:ascii="Times New Roman" w:hAnsi="Times New Roman" w:cs="Times New Roman"/>
          <w:sz w:val="24"/>
          <w:szCs w:val="24"/>
        </w:rPr>
        <w:t xml:space="preserve">, H., </w:t>
      </w:r>
      <w:proofErr w:type="spellStart"/>
      <w:r w:rsidRPr="005271AD">
        <w:rPr>
          <w:rFonts w:ascii="Times New Roman" w:hAnsi="Times New Roman" w:cs="Times New Roman"/>
          <w:sz w:val="24"/>
          <w:szCs w:val="24"/>
        </w:rPr>
        <w:t>Garanet</w:t>
      </w:r>
      <w:proofErr w:type="spellEnd"/>
      <w:r w:rsidRPr="005271AD">
        <w:rPr>
          <w:rFonts w:ascii="Times New Roman" w:hAnsi="Times New Roman" w:cs="Times New Roman"/>
          <w:sz w:val="24"/>
          <w:szCs w:val="24"/>
        </w:rPr>
        <w:t xml:space="preserve">, F., Ky, D. A., </w:t>
      </w:r>
      <w:proofErr w:type="spellStart"/>
      <w:r w:rsidRPr="005271AD">
        <w:rPr>
          <w:rFonts w:ascii="Times New Roman" w:hAnsi="Times New Roman" w:cs="Times New Roman"/>
          <w:sz w:val="24"/>
          <w:szCs w:val="24"/>
        </w:rPr>
        <w:t>Kpoda</w:t>
      </w:r>
      <w:proofErr w:type="spellEnd"/>
      <w:r w:rsidRPr="005271AD">
        <w:rPr>
          <w:rFonts w:ascii="Times New Roman" w:hAnsi="Times New Roman" w:cs="Times New Roman"/>
          <w:sz w:val="24"/>
          <w:szCs w:val="24"/>
        </w:rPr>
        <w:t xml:space="preserve">, H., &amp; </w:t>
      </w:r>
      <w:proofErr w:type="spellStart"/>
      <w:r w:rsidRPr="005271AD">
        <w:rPr>
          <w:rFonts w:ascii="Times New Roman" w:hAnsi="Times New Roman" w:cs="Times New Roman"/>
          <w:sz w:val="24"/>
          <w:szCs w:val="24"/>
        </w:rPr>
        <w:t>Zeba</w:t>
      </w:r>
      <w:proofErr w:type="spellEnd"/>
      <w:r w:rsidRPr="005271AD">
        <w:rPr>
          <w:rFonts w:ascii="Times New Roman" w:hAnsi="Times New Roman" w:cs="Times New Roman"/>
          <w:sz w:val="24"/>
          <w:szCs w:val="24"/>
        </w:rPr>
        <w:t xml:space="preserve">, N. A. (2023). Connaissances et utilisation des aliments fortifiés en vitamine A des femmes de la ville de Bobo-Dioulasso, Burkina Faso. Sciences Naturelles et Appliquées, 42(1), 125-140. </w:t>
      </w:r>
      <w:hyperlink r:id="rId21" w:history="1">
        <w:r w:rsidRPr="00AF410E">
          <w:rPr>
            <w:rStyle w:val="Hyperlink"/>
            <w:rFonts w:ascii="Times New Roman" w:hAnsi="Times New Roman" w:cs="Times New Roman"/>
            <w:sz w:val="24"/>
            <w:szCs w:val="24"/>
          </w:rPr>
          <w:t>https://revuesciences-techniquesburkina.org/index.php/sciences_naturelles_et_appliquee/article/view/1272</w:t>
        </w:r>
      </w:hyperlink>
      <w:r>
        <w:rPr>
          <w:rFonts w:ascii="Times New Roman" w:hAnsi="Times New Roman" w:cs="Times New Roman"/>
          <w:sz w:val="24"/>
          <w:szCs w:val="24"/>
        </w:rPr>
        <w:t xml:space="preserve"> </w:t>
      </w:r>
    </w:p>
    <w:p w14:paraId="1F7C4BB1" w14:textId="25351719" w:rsidR="00527FBD" w:rsidRPr="00F4019C" w:rsidRDefault="005B2FAB" w:rsidP="005B2FAB">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5B2FAB">
        <w:rPr>
          <w:rFonts w:ascii="Times New Roman" w:hAnsi="Times New Roman" w:cs="Times New Roman"/>
          <w:sz w:val="24"/>
          <w:szCs w:val="24"/>
        </w:rPr>
        <w:t>Tapsoba</w:t>
      </w:r>
      <w:proofErr w:type="spellEnd"/>
      <w:r w:rsidRPr="005B2FAB">
        <w:rPr>
          <w:rFonts w:ascii="Times New Roman" w:hAnsi="Times New Roman" w:cs="Times New Roman"/>
          <w:sz w:val="24"/>
          <w:szCs w:val="24"/>
        </w:rPr>
        <w:t xml:space="preserve">, H., </w:t>
      </w:r>
      <w:proofErr w:type="spellStart"/>
      <w:r w:rsidRPr="005B2FAB">
        <w:rPr>
          <w:rFonts w:ascii="Times New Roman" w:hAnsi="Times New Roman" w:cs="Times New Roman"/>
          <w:sz w:val="24"/>
          <w:szCs w:val="24"/>
        </w:rPr>
        <w:t>Yameogo</w:t>
      </w:r>
      <w:proofErr w:type="spellEnd"/>
      <w:r w:rsidRPr="005B2FAB">
        <w:rPr>
          <w:rFonts w:ascii="Times New Roman" w:hAnsi="Times New Roman" w:cs="Times New Roman"/>
          <w:sz w:val="24"/>
          <w:szCs w:val="24"/>
        </w:rPr>
        <w:t xml:space="preserve">, P. S. A., </w:t>
      </w:r>
      <w:proofErr w:type="spellStart"/>
      <w:r w:rsidRPr="005B2FAB">
        <w:rPr>
          <w:rFonts w:ascii="Times New Roman" w:hAnsi="Times New Roman" w:cs="Times New Roman"/>
          <w:sz w:val="24"/>
          <w:szCs w:val="24"/>
        </w:rPr>
        <w:t>Bougoum</w:t>
      </w:r>
      <w:proofErr w:type="spellEnd"/>
      <w:r w:rsidRPr="005B2FAB">
        <w:rPr>
          <w:rFonts w:ascii="Times New Roman" w:hAnsi="Times New Roman" w:cs="Times New Roman"/>
          <w:sz w:val="24"/>
          <w:szCs w:val="24"/>
        </w:rPr>
        <w:t xml:space="preserve">, S., &amp; </w:t>
      </w:r>
      <w:proofErr w:type="spellStart"/>
      <w:r w:rsidRPr="005B2FAB">
        <w:rPr>
          <w:rFonts w:ascii="Times New Roman" w:hAnsi="Times New Roman" w:cs="Times New Roman"/>
          <w:sz w:val="24"/>
          <w:szCs w:val="24"/>
        </w:rPr>
        <w:t>Ilboudo</w:t>
      </w:r>
      <w:proofErr w:type="spellEnd"/>
      <w:r w:rsidRPr="005B2FAB">
        <w:rPr>
          <w:rFonts w:ascii="Times New Roman" w:hAnsi="Times New Roman" w:cs="Times New Roman"/>
          <w:sz w:val="24"/>
          <w:szCs w:val="24"/>
        </w:rPr>
        <w:t xml:space="preserve">, A. (2025). </w:t>
      </w:r>
      <w:proofErr w:type="spellStart"/>
      <w:r w:rsidRPr="005B2FAB">
        <w:rPr>
          <w:rFonts w:ascii="Times New Roman" w:hAnsi="Times New Roman" w:cs="Times New Roman"/>
          <w:sz w:val="24"/>
          <w:szCs w:val="24"/>
        </w:rPr>
        <w:t>Promoting</w:t>
      </w:r>
      <w:proofErr w:type="spellEnd"/>
      <w:r w:rsidRPr="005B2FAB">
        <w:rPr>
          <w:rFonts w:ascii="Times New Roman" w:hAnsi="Times New Roman" w:cs="Times New Roman"/>
          <w:sz w:val="24"/>
          <w:szCs w:val="24"/>
        </w:rPr>
        <w:t xml:space="preserve"> oral </w:t>
      </w:r>
      <w:proofErr w:type="spellStart"/>
      <w:r w:rsidRPr="005B2FAB">
        <w:rPr>
          <w:rFonts w:ascii="Times New Roman" w:hAnsi="Times New Roman" w:cs="Times New Roman"/>
          <w:sz w:val="24"/>
          <w:szCs w:val="24"/>
        </w:rPr>
        <w:t>health</w:t>
      </w:r>
      <w:proofErr w:type="spellEnd"/>
      <w:r w:rsidRPr="005B2FAB">
        <w:rPr>
          <w:rFonts w:ascii="Times New Roman" w:hAnsi="Times New Roman" w:cs="Times New Roman"/>
          <w:sz w:val="24"/>
          <w:szCs w:val="24"/>
        </w:rPr>
        <w:t xml:space="preserve"> and </w:t>
      </w:r>
      <w:proofErr w:type="spellStart"/>
      <w:r w:rsidRPr="005B2FAB">
        <w:rPr>
          <w:rFonts w:ascii="Times New Roman" w:hAnsi="Times New Roman" w:cs="Times New Roman"/>
          <w:sz w:val="24"/>
          <w:szCs w:val="24"/>
        </w:rPr>
        <w:t>fighting</w:t>
      </w:r>
      <w:proofErr w:type="spellEnd"/>
      <w:r w:rsidRPr="005B2FAB">
        <w:rPr>
          <w:rFonts w:ascii="Times New Roman" w:hAnsi="Times New Roman" w:cs="Times New Roman"/>
          <w:sz w:val="24"/>
          <w:szCs w:val="24"/>
        </w:rPr>
        <w:t xml:space="preserve"> malnutrition in the Sahel </w:t>
      </w:r>
      <w:proofErr w:type="spellStart"/>
      <w:r w:rsidRPr="005B2FAB">
        <w:rPr>
          <w:rFonts w:ascii="Times New Roman" w:hAnsi="Times New Roman" w:cs="Times New Roman"/>
          <w:sz w:val="24"/>
          <w:szCs w:val="24"/>
        </w:rPr>
        <w:t>region</w:t>
      </w:r>
      <w:proofErr w:type="spellEnd"/>
      <w:r w:rsidRPr="005B2FAB">
        <w:rPr>
          <w:rFonts w:ascii="Times New Roman" w:hAnsi="Times New Roman" w:cs="Times New Roman"/>
          <w:sz w:val="24"/>
          <w:szCs w:val="24"/>
        </w:rPr>
        <w:t xml:space="preserve"> of Burkina Faso: the </w:t>
      </w:r>
      <w:proofErr w:type="spellStart"/>
      <w:r w:rsidRPr="005B2FAB">
        <w:rPr>
          <w:rFonts w:ascii="Times New Roman" w:hAnsi="Times New Roman" w:cs="Times New Roman"/>
          <w:sz w:val="24"/>
          <w:szCs w:val="24"/>
        </w:rPr>
        <w:t>integrated</w:t>
      </w:r>
      <w:proofErr w:type="spellEnd"/>
      <w:r w:rsidRPr="005B2FAB">
        <w:rPr>
          <w:rFonts w:ascii="Times New Roman" w:hAnsi="Times New Roman" w:cs="Times New Roman"/>
          <w:sz w:val="24"/>
          <w:szCs w:val="24"/>
        </w:rPr>
        <w:t xml:space="preserve"> nutrition </w:t>
      </w:r>
      <w:proofErr w:type="spellStart"/>
      <w:r w:rsidRPr="005B2FAB">
        <w:rPr>
          <w:rFonts w:ascii="Times New Roman" w:hAnsi="Times New Roman" w:cs="Times New Roman"/>
          <w:sz w:val="24"/>
          <w:szCs w:val="24"/>
        </w:rPr>
        <w:t>strategy</w:t>
      </w:r>
      <w:proofErr w:type="spellEnd"/>
      <w:r w:rsidRPr="005B2FAB">
        <w:rPr>
          <w:rFonts w:ascii="Times New Roman" w:hAnsi="Times New Roman" w:cs="Times New Roman"/>
          <w:sz w:val="24"/>
          <w:szCs w:val="24"/>
        </w:rPr>
        <w:t xml:space="preserve"> of the ‘projet de sensibilisation et de renforcement des capacités pour La prévention du </w:t>
      </w:r>
      <w:proofErr w:type="spellStart"/>
      <w:r w:rsidRPr="005B2FAB">
        <w:rPr>
          <w:rFonts w:ascii="Times New Roman" w:hAnsi="Times New Roman" w:cs="Times New Roman"/>
          <w:sz w:val="24"/>
          <w:szCs w:val="24"/>
        </w:rPr>
        <w:t>Noma</w:t>
      </w:r>
      <w:proofErr w:type="spellEnd"/>
      <w:r w:rsidRPr="005B2FAB">
        <w:rPr>
          <w:rFonts w:ascii="Times New Roman" w:hAnsi="Times New Roman" w:cs="Times New Roman"/>
          <w:sz w:val="24"/>
          <w:szCs w:val="24"/>
        </w:rPr>
        <w:t xml:space="preserve"> Au Burkina Faso’ (PSRCPN/BF). BMC Public </w:t>
      </w:r>
      <w:proofErr w:type="spellStart"/>
      <w:r w:rsidRPr="005B2FAB">
        <w:rPr>
          <w:rFonts w:ascii="Times New Roman" w:hAnsi="Times New Roman" w:cs="Times New Roman"/>
          <w:sz w:val="24"/>
          <w:szCs w:val="24"/>
        </w:rPr>
        <w:t>Health</w:t>
      </w:r>
      <w:proofErr w:type="spellEnd"/>
      <w:r w:rsidRPr="005B2FAB">
        <w:rPr>
          <w:rFonts w:ascii="Times New Roman" w:hAnsi="Times New Roman" w:cs="Times New Roman"/>
          <w:sz w:val="24"/>
          <w:szCs w:val="24"/>
        </w:rPr>
        <w:t xml:space="preserve">, 25(1). </w:t>
      </w:r>
      <w:hyperlink r:id="rId22" w:history="1">
        <w:r w:rsidRPr="00AF410E">
          <w:rPr>
            <w:rStyle w:val="Hyperlink"/>
            <w:rFonts w:ascii="Times New Roman" w:hAnsi="Times New Roman" w:cs="Times New Roman"/>
            <w:sz w:val="24"/>
            <w:szCs w:val="24"/>
          </w:rPr>
          <w:t>https://doi.org/10.1186/s12889-025-23943-2</w:t>
        </w:r>
      </w:hyperlink>
      <w:r>
        <w:rPr>
          <w:rFonts w:ascii="Times New Roman" w:hAnsi="Times New Roman" w:cs="Times New Roman"/>
          <w:sz w:val="24"/>
          <w:szCs w:val="24"/>
        </w:rPr>
        <w:t xml:space="preserve"> </w:t>
      </w:r>
    </w:p>
    <w:p w14:paraId="67B6FC93" w14:textId="160D09D0" w:rsidR="00527FBD" w:rsidRPr="00F4019C" w:rsidRDefault="00D419D4" w:rsidP="00D419D4">
      <w:pPr>
        <w:pStyle w:val="ListParagraph"/>
        <w:numPr>
          <w:ilvl w:val="0"/>
          <w:numId w:val="1"/>
        </w:numPr>
        <w:spacing w:after="0" w:line="360" w:lineRule="auto"/>
        <w:jc w:val="both"/>
        <w:rPr>
          <w:rFonts w:ascii="Times New Roman" w:hAnsi="Times New Roman" w:cs="Times New Roman"/>
          <w:sz w:val="24"/>
          <w:szCs w:val="24"/>
          <w:lang w:val="en-US"/>
        </w:rPr>
      </w:pPr>
      <w:r w:rsidRPr="00D419D4">
        <w:rPr>
          <w:rFonts w:ascii="Times New Roman" w:hAnsi="Times New Roman" w:cs="Times New Roman"/>
          <w:sz w:val="24"/>
          <w:szCs w:val="24"/>
          <w:lang w:val="en-US"/>
        </w:rPr>
        <w:t xml:space="preserve">Zakaria, Z., </w:t>
      </w:r>
      <w:proofErr w:type="spellStart"/>
      <w:r w:rsidRPr="00D419D4">
        <w:rPr>
          <w:rFonts w:ascii="Times New Roman" w:hAnsi="Times New Roman" w:cs="Times New Roman"/>
          <w:sz w:val="24"/>
          <w:szCs w:val="24"/>
          <w:lang w:val="en-US"/>
        </w:rPr>
        <w:t>Nursalim</w:t>
      </w:r>
      <w:proofErr w:type="spellEnd"/>
      <w:r w:rsidRPr="00D419D4">
        <w:rPr>
          <w:rFonts w:ascii="Times New Roman" w:hAnsi="Times New Roman" w:cs="Times New Roman"/>
          <w:sz w:val="24"/>
          <w:szCs w:val="24"/>
          <w:lang w:val="en-US"/>
        </w:rPr>
        <w:t xml:space="preserve">, N., &amp; </w:t>
      </w:r>
      <w:proofErr w:type="spellStart"/>
      <w:r w:rsidRPr="00D419D4">
        <w:rPr>
          <w:rFonts w:ascii="Times New Roman" w:hAnsi="Times New Roman" w:cs="Times New Roman"/>
          <w:sz w:val="24"/>
          <w:szCs w:val="24"/>
          <w:lang w:val="en-US"/>
        </w:rPr>
        <w:t>Titi</w:t>
      </w:r>
      <w:proofErr w:type="spellEnd"/>
      <w:r w:rsidRPr="00D419D4">
        <w:rPr>
          <w:rFonts w:ascii="Times New Roman" w:hAnsi="Times New Roman" w:cs="Times New Roman"/>
          <w:sz w:val="24"/>
          <w:szCs w:val="24"/>
          <w:lang w:val="en-US"/>
        </w:rPr>
        <w:t xml:space="preserve"> ZA, A. T. (2025). Accelerated shelf-life assessment of moringa-fortified instant complementary food for infants aged 6-11 months based on microbial parameters. Italian Journal of Food Safety, 14(3). </w:t>
      </w:r>
      <w:hyperlink r:id="rId23" w:history="1">
        <w:r w:rsidRPr="00AF410E">
          <w:rPr>
            <w:rStyle w:val="Hyperlink"/>
            <w:rFonts w:ascii="Times New Roman" w:hAnsi="Times New Roman" w:cs="Times New Roman"/>
            <w:sz w:val="24"/>
            <w:szCs w:val="24"/>
            <w:lang w:val="en-US"/>
          </w:rPr>
          <w:t>https://doi.org/10.4081/ijfs.2025.13608</w:t>
        </w:r>
      </w:hyperlink>
      <w:r>
        <w:rPr>
          <w:rFonts w:ascii="Times New Roman" w:hAnsi="Times New Roman" w:cs="Times New Roman"/>
          <w:sz w:val="24"/>
          <w:szCs w:val="24"/>
          <w:lang w:val="en-US"/>
        </w:rPr>
        <w:t xml:space="preserve"> </w:t>
      </w:r>
    </w:p>
    <w:sectPr w:rsidR="00527FBD" w:rsidRPr="00F4019C" w:rsidSect="00604E4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06E90" w14:textId="77777777" w:rsidR="00D17952" w:rsidRDefault="00D17952" w:rsidP="00E749F6">
      <w:pPr>
        <w:spacing w:after="0" w:line="240" w:lineRule="auto"/>
      </w:pPr>
      <w:r>
        <w:separator/>
      </w:r>
    </w:p>
  </w:endnote>
  <w:endnote w:type="continuationSeparator" w:id="0">
    <w:p w14:paraId="25E0BF8A" w14:textId="77777777" w:rsidR="00D17952" w:rsidRDefault="00D17952" w:rsidP="00E7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2ADD" w14:textId="77777777" w:rsidR="00E749F6" w:rsidRDefault="00E74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D7D2" w14:textId="77777777" w:rsidR="00E749F6" w:rsidRDefault="00E7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B3C6" w14:textId="77777777" w:rsidR="00E749F6" w:rsidRDefault="00E7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A6E95" w14:textId="77777777" w:rsidR="00D17952" w:rsidRDefault="00D17952" w:rsidP="00E749F6">
      <w:pPr>
        <w:spacing w:after="0" w:line="240" w:lineRule="auto"/>
      </w:pPr>
      <w:r>
        <w:separator/>
      </w:r>
    </w:p>
  </w:footnote>
  <w:footnote w:type="continuationSeparator" w:id="0">
    <w:p w14:paraId="4885DC26" w14:textId="77777777" w:rsidR="00D17952" w:rsidRDefault="00D17952" w:rsidP="00E7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6868" w14:textId="3DC8D689" w:rsidR="00E749F6" w:rsidRDefault="00E749F6">
    <w:pPr>
      <w:pStyle w:val="Header"/>
    </w:pPr>
    <w:r>
      <w:rPr>
        <w:noProof/>
      </w:rPr>
      <w:pict w14:anchorId="7B491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9E4F" w14:textId="17EF0098" w:rsidR="00E749F6" w:rsidRDefault="00E749F6">
    <w:pPr>
      <w:pStyle w:val="Header"/>
    </w:pPr>
    <w:r>
      <w:rPr>
        <w:noProof/>
      </w:rPr>
      <w:pict w14:anchorId="5BEC6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A514" w14:textId="2A52E01F" w:rsidR="00E749F6" w:rsidRDefault="00E749F6">
    <w:pPr>
      <w:pStyle w:val="Header"/>
    </w:pPr>
    <w:r>
      <w:rPr>
        <w:noProof/>
      </w:rPr>
      <w:pict w14:anchorId="543C5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F713A"/>
    <w:multiLevelType w:val="hybridMultilevel"/>
    <w:tmpl w:val="39224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C8"/>
    <w:rsid w:val="000A73D6"/>
    <w:rsid w:val="000D6EF8"/>
    <w:rsid w:val="001A46E6"/>
    <w:rsid w:val="001D3EBA"/>
    <w:rsid w:val="002A25DF"/>
    <w:rsid w:val="002E6615"/>
    <w:rsid w:val="003224F1"/>
    <w:rsid w:val="003A24A8"/>
    <w:rsid w:val="004367EF"/>
    <w:rsid w:val="00504253"/>
    <w:rsid w:val="00504D8A"/>
    <w:rsid w:val="005271AD"/>
    <w:rsid w:val="00527FBD"/>
    <w:rsid w:val="005425D3"/>
    <w:rsid w:val="0055528E"/>
    <w:rsid w:val="00582F1E"/>
    <w:rsid w:val="005B2FAB"/>
    <w:rsid w:val="005C3FAC"/>
    <w:rsid w:val="00604E49"/>
    <w:rsid w:val="00686C1F"/>
    <w:rsid w:val="0069214D"/>
    <w:rsid w:val="006C1DD3"/>
    <w:rsid w:val="007011B2"/>
    <w:rsid w:val="00786B0D"/>
    <w:rsid w:val="007E11E9"/>
    <w:rsid w:val="0085219D"/>
    <w:rsid w:val="008C64B1"/>
    <w:rsid w:val="00930F34"/>
    <w:rsid w:val="00972F05"/>
    <w:rsid w:val="00973BF0"/>
    <w:rsid w:val="009F3BA8"/>
    <w:rsid w:val="00A31491"/>
    <w:rsid w:val="00A41375"/>
    <w:rsid w:val="00A57CC3"/>
    <w:rsid w:val="00A64DED"/>
    <w:rsid w:val="00A87E89"/>
    <w:rsid w:val="00AA31C8"/>
    <w:rsid w:val="00B67CE1"/>
    <w:rsid w:val="00C22E68"/>
    <w:rsid w:val="00C875F2"/>
    <w:rsid w:val="00CE5700"/>
    <w:rsid w:val="00D17952"/>
    <w:rsid w:val="00D419D4"/>
    <w:rsid w:val="00D4646C"/>
    <w:rsid w:val="00D63A15"/>
    <w:rsid w:val="00D80C5D"/>
    <w:rsid w:val="00E131AE"/>
    <w:rsid w:val="00E749F6"/>
    <w:rsid w:val="00EB36BA"/>
    <w:rsid w:val="00ED3D6C"/>
    <w:rsid w:val="00F16A2A"/>
    <w:rsid w:val="00F306A2"/>
    <w:rsid w:val="00F325EB"/>
    <w:rsid w:val="00F4019C"/>
    <w:rsid w:val="00F50F1D"/>
    <w:rsid w:val="00FB5B17"/>
    <w:rsid w:val="00FC6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B9638"/>
  <w15:chartTrackingRefBased/>
  <w15:docId w15:val="{5B16BA82-85DD-4C65-8115-F68FE8D2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3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A3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1C8"/>
    <w:rPr>
      <w:rFonts w:eastAsiaTheme="majorEastAsia" w:cstheme="majorBidi"/>
      <w:color w:val="272727" w:themeColor="text1" w:themeTint="D8"/>
    </w:rPr>
  </w:style>
  <w:style w:type="paragraph" w:styleId="Title">
    <w:name w:val="Title"/>
    <w:basedOn w:val="Normal"/>
    <w:next w:val="Normal"/>
    <w:link w:val="TitleChar"/>
    <w:uiPriority w:val="10"/>
    <w:qFormat/>
    <w:rsid w:val="00AA3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1C8"/>
    <w:pPr>
      <w:spacing w:before="160"/>
      <w:jc w:val="center"/>
    </w:pPr>
    <w:rPr>
      <w:i/>
      <w:iCs/>
      <w:color w:val="404040" w:themeColor="text1" w:themeTint="BF"/>
    </w:rPr>
  </w:style>
  <w:style w:type="character" w:customStyle="1" w:styleId="QuoteChar">
    <w:name w:val="Quote Char"/>
    <w:basedOn w:val="DefaultParagraphFont"/>
    <w:link w:val="Quote"/>
    <w:uiPriority w:val="29"/>
    <w:rsid w:val="00AA31C8"/>
    <w:rPr>
      <w:i/>
      <w:iCs/>
      <w:color w:val="404040" w:themeColor="text1" w:themeTint="BF"/>
    </w:rPr>
  </w:style>
  <w:style w:type="paragraph" w:styleId="ListParagraph">
    <w:name w:val="List Paragraph"/>
    <w:basedOn w:val="Normal"/>
    <w:uiPriority w:val="34"/>
    <w:qFormat/>
    <w:rsid w:val="00AA31C8"/>
    <w:pPr>
      <w:ind w:left="720"/>
      <w:contextualSpacing/>
    </w:pPr>
  </w:style>
  <w:style w:type="character" w:styleId="IntenseEmphasis">
    <w:name w:val="Intense Emphasis"/>
    <w:basedOn w:val="DefaultParagraphFont"/>
    <w:uiPriority w:val="21"/>
    <w:qFormat/>
    <w:rsid w:val="00AA31C8"/>
    <w:rPr>
      <w:i/>
      <w:iCs/>
      <w:color w:val="2F5496" w:themeColor="accent1" w:themeShade="BF"/>
    </w:rPr>
  </w:style>
  <w:style w:type="paragraph" w:styleId="IntenseQuote">
    <w:name w:val="Intense Quote"/>
    <w:basedOn w:val="Normal"/>
    <w:next w:val="Normal"/>
    <w:link w:val="IntenseQuoteChar"/>
    <w:uiPriority w:val="30"/>
    <w:qFormat/>
    <w:rsid w:val="00AA3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1C8"/>
    <w:rPr>
      <w:i/>
      <w:iCs/>
      <w:color w:val="2F5496" w:themeColor="accent1" w:themeShade="BF"/>
    </w:rPr>
  </w:style>
  <w:style w:type="character" w:styleId="IntenseReference">
    <w:name w:val="Intense Reference"/>
    <w:basedOn w:val="DefaultParagraphFont"/>
    <w:uiPriority w:val="32"/>
    <w:qFormat/>
    <w:rsid w:val="00AA31C8"/>
    <w:rPr>
      <w:b/>
      <w:bCs/>
      <w:smallCaps/>
      <w:color w:val="2F5496" w:themeColor="accent1" w:themeShade="BF"/>
      <w:spacing w:val="5"/>
    </w:rPr>
  </w:style>
  <w:style w:type="table" w:customStyle="1" w:styleId="Tableausimple21">
    <w:name w:val="Tableau simple 21"/>
    <w:basedOn w:val="TableNormal"/>
    <w:uiPriority w:val="42"/>
    <w:qFormat/>
    <w:rsid w:val="00A87E89"/>
    <w:pPr>
      <w:spacing w:after="0" w:line="240" w:lineRule="auto"/>
    </w:pPr>
    <w:rPr>
      <w:sz w:val="20"/>
      <w:szCs w:val="20"/>
      <w:lang w:val="en-US" w:eastAsia="zh-CN"/>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Normal"/>
    <w:uiPriority w:val="43"/>
    <w:qFormat/>
    <w:rsid w:val="00A87E89"/>
    <w:pPr>
      <w:spacing w:after="0" w:line="240" w:lineRule="auto"/>
    </w:pPr>
    <w:rPr>
      <w:sz w:val="20"/>
      <w:szCs w:val="20"/>
      <w:lang w:val="en-US" w:eastAsia="zh-CN"/>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11">
    <w:name w:val="Tableau simple 11"/>
    <w:basedOn w:val="TableNormal"/>
    <w:uiPriority w:val="41"/>
    <w:qFormat/>
    <w:rsid w:val="00A87E89"/>
    <w:pPr>
      <w:spacing w:after="0" w:line="240" w:lineRule="auto"/>
    </w:pPr>
    <w:rPr>
      <w:sz w:val="20"/>
      <w:szCs w:val="20"/>
      <w:lang w:val="en-US" w:eastAsia="zh-C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87E89"/>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Strong">
    <w:name w:val="Strong"/>
    <w:basedOn w:val="DefaultParagraphFont"/>
    <w:uiPriority w:val="22"/>
    <w:qFormat/>
    <w:rsid w:val="00A87E89"/>
    <w:rPr>
      <w:b/>
      <w:bCs/>
    </w:rPr>
  </w:style>
  <w:style w:type="character" w:styleId="Hyperlink">
    <w:name w:val="Hyperlink"/>
    <w:basedOn w:val="DefaultParagraphFont"/>
    <w:uiPriority w:val="99"/>
    <w:unhideWhenUsed/>
    <w:rsid w:val="00527FBD"/>
    <w:rPr>
      <w:color w:val="0563C1" w:themeColor="hyperlink"/>
      <w:u w:val="single"/>
    </w:rPr>
  </w:style>
  <w:style w:type="character" w:customStyle="1" w:styleId="UnresolvedMention1">
    <w:name w:val="Unresolved Mention1"/>
    <w:basedOn w:val="DefaultParagraphFont"/>
    <w:uiPriority w:val="99"/>
    <w:semiHidden/>
    <w:unhideWhenUsed/>
    <w:rsid w:val="00CE5700"/>
    <w:rPr>
      <w:color w:val="605E5C"/>
      <w:shd w:val="clear" w:color="auto" w:fill="E1DFDD"/>
    </w:rPr>
  </w:style>
  <w:style w:type="paragraph" w:styleId="Header">
    <w:name w:val="header"/>
    <w:basedOn w:val="Normal"/>
    <w:link w:val="HeaderChar"/>
    <w:uiPriority w:val="99"/>
    <w:unhideWhenUsed/>
    <w:rsid w:val="00E7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F6"/>
  </w:style>
  <w:style w:type="paragraph" w:styleId="Footer">
    <w:name w:val="footer"/>
    <w:basedOn w:val="Normal"/>
    <w:link w:val="FooterChar"/>
    <w:uiPriority w:val="99"/>
    <w:unhideWhenUsed/>
    <w:rsid w:val="00E74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6718/1819-4036-2023-9-207-212" TargetMode="External"/><Relationship Id="rId18" Type="http://schemas.openxmlformats.org/officeDocument/2006/relationships/hyperlink" Target="https://doi.org/10.1080/23311932.2025.254495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evuesciences-techniquesburkina.org/index.php/sciences_naturelles_et_appliquee/article/view/1272" TargetMode="External"/><Relationship Id="rId7" Type="http://schemas.openxmlformats.org/officeDocument/2006/relationships/chart" Target="charts/chart1.xml"/><Relationship Id="rId12" Type="http://schemas.openxmlformats.org/officeDocument/2006/relationships/hyperlink" Target="https://doi.org/10.2903/j.efsa.2019.5780" TargetMode="External"/><Relationship Id="rId17" Type="http://schemas.openxmlformats.org/officeDocument/2006/relationships/hyperlink" Target="https://doi.org/10.55162/mcms.03.06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403/30146123u" TargetMode="External"/><Relationship Id="rId20" Type="http://schemas.openxmlformats.org/officeDocument/2006/relationships/hyperlink" Target="https://doi.org/10.1016/j.respe.2022.06.03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sufs.2022.72553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fochx.2019.100076" TargetMode="External"/><Relationship Id="rId23" Type="http://schemas.openxmlformats.org/officeDocument/2006/relationships/hyperlink" Target="https://doi.org/10.4081/ijfs.2025.13608" TargetMode="External"/><Relationship Id="rId28"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yperlink" Target="https://doi.org/10.4314/ijbcs.v6i6.1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94/aaccintmethod-54-10.01" TargetMode="External"/><Relationship Id="rId22" Type="http://schemas.openxmlformats.org/officeDocument/2006/relationships/hyperlink" Target="https://doi.org/10.1186/s12889-025-23943-2"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rojet%20Article%20MISOLA%20v\analyse%20des%20donne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Suite%20de%20ma%20these\Article%20scientifique\Stabilit&#233;%20de%20la%20farine%20CHAP%202\Nouveau%20Feuille%20de%20calcul%20Microsoft%20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Feuil2!$B$10</c:f>
              <c:strCache>
                <c:ptCount val="1"/>
                <c:pt idx="0">
                  <c:v>Laboratory storage temperature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Feuil2!$C$9:$I$9</c:f>
              <c:strCache>
                <c:ptCount val="7"/>
                <c:pt idx="0">
                  <c:v>October</c:v>
                </c:pt>
                <c:pt idx="1">
                  <c:v>November </c:v>
                </c:pt>
                <c:pt idx="2">
                  <c:v>December</c:v>
                </c:pt>
                <c:pt idx="3">
                  <c:v>january</c:v>
                </c:pt>
                <c:pt idx="4">
                  <c:v>February</c:v>
                </c:pt>
                <c:pt idx="5">
                  <c:v>March</c:v>
                </c:pt>
                <c:pt idx="6">
                  <c:v>April</c:v>
                </c:pt>
              </c:strCache>
            </c:strRef>
          </c:cat>
          <c:val>
            <c:numRef>
              <c:f>Feuil2!$C$10:$I$10</c:f>
              <c:numCache>
                <c:formatCode>General</c:formatCode>
                <c:ptCount val="7"/>
                <c:pt idx="0">
                  <c:v>35</c:v>
                </c:pt>
                <c:pt idx="1">
                  <c:v>26.2</c:v>
                </c:pt>
                <c:pt idx="2">
                  <c:v>27</c:v>
                </c:pt>
                <c:pt idx="3">
                  <c:v>26</c:v>
                </c:pt>
                <c:pt idx="4">
                  <c:v>28.8</c:v>
                </c:pt>
                <c:pt idx="5">
                  <c:v>37</c:v>
                </c:pt>
                <c:pt idx="6">
                  <c:v>38</c:v>
                </c:pt>
              </c:numCache>
            </c:numRef>
          </c:val>
          <c:smooth val="0"/>
          <c:extLst>
            <c:ext xmlns:c16="http://schemas.microsoft.com/office/drawing/2014/chart" uri="{C3380CC4-5D6E-409C-BE32-E72D297353CC}">
              <c16:uniqueId val="{00000000-C67D-4E19-A0E2-4B3C7BE398B6}"/>
            </c:ext>
          </c:extLst>
        </c:ser>
        <c:ser>
          <c:idx val="1"/>
          <c:order val="1"/>
          <c:tx>
            <c:strRef>
              <c:f>Feuil2!$B$11</c:f>
              <c:strCache>
                <c:ptCount val="1"/>
                <c:pt idx="0">
                  <c:v>Storage temperature in the community environment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Feuil2!$C$9:$I$9</c:f>
              <c:strCache>
                <c:ptCount val="7"/>
                <c:pt idx="0">
                  <c:v>October</c:v>
                </c:pt>
                <c:pt idx="1">
                  <c:v>November </c:v>
                </c:pt>
                <c:pt idx="2">
                  <c:v>December</c:v>
                </c:pt>
                <c:pt idx="3">
                  <c:v>january</c:v>
                </c:pt>
                <c:pt idx="4">
                  <c:v>February</c:v>
                </c:pt>
                <c:pt idx="5">
                  <c:v>March</c:v>
                </c:pt>
                <c:pt idx="6">
                  <c:v>April</c:v>
                </c:pt>
              </c:strCache>
            </c:strRef>
          </c:cat>
          <c:val>
            <c:numRef>
              <c:f>Feuil2!$C$11:$I$11</c:f>
              <c:numCache>
                <c:formatCode>General</c:formatCode>
                <c:ptCount val="7"/>
                <c:pt idx="0">
                  <c:v>35.700000000000003</c:v>
                </c:pt>
                <c:pt idx="1">
                  <c:v>27.1</c:v>
                </c:pt>
              </c:numCache>
            </c:numRef>
          </c:val>
          <c:smooth val="0"/>
          <c:extLst>
            <c:ext xmlns:c16="http://schemas.microsoft.com/office/drawing/2014/chart" uri="{C3380CC4-5D6E-409C-BE32-E72D297353CC}">
              <c16:uniqueId val="{00000001-C67D-4E19-A0E2-4B3C7BE398B6}"/>
            </c:ext>
          </c:extLst>
        </c:ser>
        <c:dLbls>
          <c:showLegendKey val="0"/>
          <c:showVal val="0"/>
          <c:showCatName val="0"/>
          <c:showSerName val="0"/>
          <c:showPercent val="0"/>
          <c:showBubbleSize val="0"/>
        </c:dLbls>
        <c:marker val="1"/>
        <c:smooth val="0"/>
        <c:axId val="489768448"/>
        <c:axId val="489771072"/>
      </c:lineChart>
      <c:catAx>
        <c:axId val="4897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771072"/>
        <c:crosses val="autoZero"/>
        <c:auto val="1"/>
        <c:lblAlgn val="ctr"/>
        <c:lblOffset val="100"/>
        <c:noMultiLvlLbl val="0"/>
      </c:catAx>
      <c:valAx>
        <c:axId val="4897710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768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Feuil1!$G$46</c:f>
              <c:strCache>
                <c:ptCount val="1"/>
                <c:pt idx="0">
                  <c:v>Acceptable and very acceptable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Feuil1!$H$44:$K$45</c:f>
              <c:multiLvlStrCache>
                <c:ptCount val="4"/>
                <c:lvl>
                  <c:pt idx="0">
                    <c:v>T0/T4</c:v>
                  </c:pt>
                  <c:pt idx="1">
                    <c:v>T0/T6</c:v>
                  </c:pt>
                  <c:pt idx="2">
                    <c:v>T0/T4</c:v>
                  </c:pt>
                  <c:pt idx="3">
                    <c:v>T0/T6</c:v>
                  </c:pt>
                </c:lvl>
                <c:lvl>
                  <c:pt idx="0">
                    <c:v>Flour</c:v>
                  </c:pt>
                  <c:pt idx="2">
                    <c:v>Porridge</c:v>
                  </c:pt>
                </c:lvl>
              </c:multiLvlStrCache>
            </c:multiLvlStrRef>
          </c:cat>
          <c:val>
            <c:numRef>
              <c:f>Feuil1!$H$46:$K$46</c:f>
              <c:numCache>
                <c:formatCode>0%</c:formatCode>
                <c:ptCount val="4"/>
                <c:pt idx="0">
                  <c:v>0.97</c:v>
                </c:pt>
                <c:pt idx="1">
                  <c:v>0.94</c:v>
                </c:pt>
                <c:pt idx="2">
                  <c:v>0.95</c:v>
                </c:pt>
                <c:pt idx="3">
                  <c:v>0.91</c:v>
                </c:pt>
              </c:numCache>
            </c:numRef>
          </c:val>
          <c:extLst>
            <c:ext xmlns:c16="http://schemas.microsoft.com/office/drawing/2014/chart" uri="{C3380CC4-5D6E-409C-BE32-E72D297353CC}">
              <c16:uniqueId val="{00000000-F9F7-42C9-B0F4-533A24D10B84}"/>
            </c:ext>
          </c:extLst>
        </c:ser>
        <c:dLbls>
          <c:dLblPos val="outEnd"/>
          <c:showLegendKey val="0"/>
          <c:showVal val="1"/>
          <c:showCatName val="0"/>
          <c:showSerName val="0"/>
          <c:showPercent val="0"/>
          <c:showBubbleSize val="0"/>
        </c:dLbls>
        <c:gapWidth val="164"/>
        <c:overlap val="-22"/>
        <c:axId val="428317944"/>
        <c:axId val="428310728"/>
      </c:barChart>
      <c:catAx>
        <c:axId val="4283179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10728"/>
        <c:crosses val="autoZero"/>
        <c:auto val="1"/>
        <c:lblAlgn val="ctr"/>
        <c:lblOffset val="100"/>
        <c:noMultiLvlLbl val="0"/>
      </c:catAx>
      <c:valAx>
        <c:axId val="4283107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1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15</Pages>
  <Words>4699</Words>
  <Characters>26786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SARA_PC</dc:creator>
  <cp:keywords/>
  <dc:description/>
  <cp:lastModifiedBy>SDI 1084</cp:lastModifiedBy>
  <cp:revision>44</cp:revision>
  <dcterms:created xsi:type="dcterms:W3CDTF">2025-12-03T10:55:00Z</dcterms:created>
  <dcterms:modified xsi:type="dcterms:W3CDTF">2025-12-06T13:10:00Z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314f3a7f-6c44-49d2-8312-dfc1b842c9fe</vt:lpwstr>
  </property>
</Properties>
</file>