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E5EA4" w14:textId="0CF981A0" w:rsidR="00EE67D6" w:rsidRPr="00EE67D6" w:rsidRDefault="00EE67D6" w:rsidP="00380F0D">
      <w:pPr>
        <w:jc w:val="both"/>
        <w:rPr>
          <w:rFonts w:ascii="Arial" w:hAnsi="Arial" w:cs="Arial"/>
          <w:b/>
          <w:bCs/>
          <w:color w:val="000000" w:themeColor="text1"/>
          <w:sz w:val="24"/>
          <w:szCs w:val="24"/>
        </w:rPr>
      </w:pPr>
      <w:r w:rsidRPr="00EE67D6">
        <w:rPr>
          <w:rFonts w:ascii="Arial" w:hAnsi="Arial" w:cs="Arial"/>
          <w:b/>
          <w:bCs/>
          <w:sz w:val="24"/>
          <w:szCs w:val="24"/>
        </w:rPr>
        <w:t xml:space="preserve">Impact of Structured Nutrition Education on Knowledge, Attitude, and Practice Among </w:t>
      </w:r>
      <w:proofErr w:type="spellStart"/>
      <w:r w:rsidRPr="00EE67D6">
        <w:rPr>
          <w:rFonts w:ascii="Arial" w:hAnsi="Arial" w:cs="Arial"/>
          <w:b/>
          <w:bCs/>
          <w:sz w:val="24"/>
          <w:szCs w:val="24"/>
        </w:rPr>
        <w:t>Dyslipidemic</w:t>
      </w:r>
      <w:proofErr w:type="spellEnd"/>
      <w:r w:rsidRPr="00EE67D6">
        <w:rPr>
          <w:rFonts w:ascii="Arial" w:hAnsi="Arial" w:cs="Arial"/>
          <w:b/>
          <w:bCs/>
          <w:sz w:val="24"/>
          <w:szCs w:val="24"/>
        </w:rPr>
        <w:t xml:space="preserve"> Subjects: A Six-Month Quasi-Experimental Study</w:t>
      </w:r>
    </w:p>
    <w:p w14:paraId="51557F19" w14:textId="77777777" w:rsidR="00754C9A" w:rsidRPr="00EE67D6" w:rsidRDefault="00754C9A" w:rsidP="00441B6F">
      <w:pPr>
        <w:pStyle w:val="Title"/>
        <w:spacing w:after="0"/>
        <w:jc w:val="both"/>
        <w:rPr>
          <w:rFonts w:ascii="Arial" w:hAnsi="Arial" w:cs="Arial"/>
          <w:bCs/>
          <w:sz w:val="24"/>
          <w:szCs w:val="24"/>
        </w:rPr>
      </w:pPr>
    </w:p>
    <w:p w14:paraId="126391C6" w14:textId="77777777" w:rsidR="00380F0D" w:rsidRDefault="00380F0D" w:rsidP="00EE67D6">
      <w:pPr>
        <w:pStyle w:val="Author"/>
        <w:spacing w:line="240" w:lineRule="auto"/>
        <w:jc w:val="center"/>
        <w:rPr>
          <w:rFonts w:ascii="Arial" w:hAnsi="Arial" w:cs="Arial"/>
        </w:rPr>
      </w:pPr>
    </w:p>
    <w:p w14:paraId="68BBB29B" w14:textId="77777777" w:rsidR="00C030FE" w:rsidRPr="008436B4" w:rsidRDefault="00C030FE" w:rsidP="00C030FE">
      <w:pPr>
        <w:rPr>
          <w:rFonts w:ascii="Arial" w:hAnsi="Arial" w:cs="Arial"/>
        </w:rPr>
      </w:pPr>
    </w:p>
    <w:p w14:paraId="350F63EB" w14:textId="77777777" w:rsidR="002C57D2" w:rsidRPr="00FB3A86" w:rsidRDefault="002C57D2" w:rsidP="00441B6F">
      <w:pPr>
        <w:pStyle w:val="Affiliation"/>
        <w:spacing w:after="0" w:line="240" w:lineRule="auto"/>
        <w:jc w:val="both"/>
        <w:rPr>
          <w:rFonts w:ascii="Arial" w:hAnsi="Arial" w:cs="Arial"/>
        </w:rPr>
      </w:pPr>
    </w:p>
    <w:p w14:paraId="2A791061" w14:textId="77777777" w:rsidR="00B01FCD" w:rsidRPr="00FB3A86" w:rsidRDefault="00814C08" w:rsidP="00441B6F">
      <w:pPr>
        <w:pStyle w:val="Copyright"/>
        <w:spacing w:after="0" w:line="240" w:lineRule="auto"/>
        <w:jc w:val="both"/>
        <w:rPr>
          <w:rFonts w:ascii="Arial" w:hAnsi="Arial" w:cs="Arial"/>
        </w:rPr>
        <w:sectPr w:rsidR="00B01FCD" w:rsidRPr="00FB3A86" w:rsidSect="00C030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78A19CC">
          <v:shapetype id="_x0000_t32" coordsize="21600,21600" o:spt="32" o:oned="t" path="m,l21600,21600e" filled="f">
            <v:path arrowok="t" fillok="f" o:connecttype="none"/>
            <o:lock v:ext="edit" shapetype="t"/>
          </v:shapetype>
          <v:shape id="_x0000_s103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C30F35B" w14:textId="77777777" w:rsidR="00790ADA" w:rsidRPr="00775D32"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75D32" w14:paraId="2313C656" w14:textId="77777777" w:rsidTr="001E44FE">
        <w:tc>
          <w:tcPr>
            <w:tcW w:w="9576" w:type="dxa"/>
            <w:shd w:val="clear" w:color="auto" w:fill="F2F2F2"/>
          </w:tcPr>
          <w:p w14:paraId="6EBC9555" w14:textId="77777777" w:rsidR="00775D32" w:rsidRPr="00775D32" w:rsidRDefault="00775D32" w:rsidP="00775D32">
            <w:pPr>
              <w:pStyle w:val="NormalWeb"/>
              <w:jc w:val="both"/>
              <w:rPr>
                <w:rFonts w:ascii="Arial" w:hAnsi="Arial" w:cs="Arial"/>
                <w:b/>
                <w:bCs/>
                <w:sz w:val="20"/>
                <w:szCs w:val="20"/>
              </w:rPr>
            </w:pPr>
            <w:r w:rsidRPr="00775D32">
              <w:rPr>
                <w:rFonts w:ascii="Arial" w:hAnsi="Arial" w:cs="Arial"/>
                <w:b/>
                <w:bCs/>
                <w:sz w:val="20"/>
                <w:szCs w:val="20"/>
              </w:rPr>
              <w:t>Abstract-</w:t>
            </w:r>
          </w:p>
          <w:p w14:paraId="53B9DB88" w14:textId="77777777" w:rsidR="00775D32" w:rsidRPr="00775D32" w:rsidRDefault="00775D32" w:rsidP="00775D32">
            <w:pPr>
              <w:pStyle w:val="NormalWeb"/>
              <w:jc w:val="both"/>
              <w:rPr>
                <w:rFonts w:ascii="Arial" w:hAnsi="Arial" w:cs="Arial"/>
                <w:sz w:val="20"/>
                <w:szCs w:val="20"/>
              </w:rPr>
            </w:pPr>
            <w:proofErr w:type="spellStart"/>
            <w:r w:rsidRPr="00775D32">
              <w:rPr>
                <w:rFonts w:ascii="Arial" w:hAnsi="Arial" w:cs="Arial"/>
                <w:sz w:val="20"/>
                <w:szCs w:val="20"/>
              </w:rPr>
              <w:t>Dyslipidemia</w:t>
            </w:r>
            <w:proofErr w:type="spellEnd"/>
            <w:r w:rsidRPr="00775D32">
              <w:rPr>
                <w:rFonts w:ascii="Arial" w:hAnsi="Arial" w:cs="Arial"/>
                <w:sz w:val="20"/>
                <w:szCs w:val="20"/>
              </w:rPr>
              <w:t xml:space="preserve">, characterized by elevated total cholesterol, low-density lipoprotein cholesterol (LDL-C), triglycerides, and reduced high-density lipoprotein cholesterol (HDL-C), is a major metabolic disorder contributing substantially to global cardiovascular morbidity and mortality. Dietary modification remains a primary strategy for managing </w:t>
            </w:r>
            <w:proofErr w:type="spellStart"/>
            <w:r w:rsidRPr="00775D32">
              <w:rPr>
                <w:rFonts w:ascii="Arial" w:hAnsi="Arial" w:cs="Arial"/>
                <w:sz w:val="20"/>
                <w:szCs w:val="20"/>
              </w:rPr>
              <w:t>dyslipidemia</w:t>
            </w:r>
            <w:proofErr w:type="spellEnd"/>
            <w:r w:rsidRPr="00775D32">
              <w:rPr>
                <w:rFonts w:ascii="Arial" w:hAnsi="Arial" w:cs="Arial"/>
                <w:sz w:val="20"/>
                <w:szCs w:val="20"/>
              </w:rPr>
              <w:t xml:space="preserve">. Knowledge, Attitude, and Practice (KAP) assessments provide an effective framework for evaluating nutrition-related awareness and behaviours, as well as the impact of educational interventions. The present study evaluated the effectiveness of a structured nutrition education program among </w:t>
            </w:r>
            <w:proofErr w:type="spellStart"/>
            <w:r w:rsidRPr="00775D32">
              <w:rPr>
                <w:rFonts w:ascii="Arial" w:hAnsi="Arial" w:cs="Arial"/>
                <w:sz w:val="20"/>
                <w:szCs w:val="20"/>
              </w:rPr>
              <w:t>dyslipidemic</w:t>
            </w:r>
            <w:proofErr w:type="spellEnd"/>
            <w:r w:rsidRPr="00775D32">
              <w:rPr>
                <w:rFonts w:ascii="Arial" w:hAnsi="Arial" w:cs="Arial"/>
                <w:sz w:val="20"/>
                <w:szCs w:val="20"/>
              </w:rPr>
              <w:t xml:space="preserve"> subjects over a six-month period. A quasi-experimental design was employed, consisting of an experimental group receiving the intervention and a control group receiving no educational support. Baseline KAP scores were assessed using a validated questionnaire. The intervention included a series of structured educational sessions delivered through audio-visual aids such as charts, posters, pamphlets, and instructional videos, along with personalized dietary guidance. Follow-up assessments were conducted at the end of six months to measure changes in KAP scores in both groups. Results demonstrated that participants in the experimental group exhibited significant improvements in knowledge (31.44%), attitude (30.76%), and practice (46.05%), while the control group showed no meaningful changes across these domains. These findings confirm the effectiveness of structured nutrition education in enhancing awareness, fostering positive attitudes, and promoting healthier dietary practices among </w:t>
            </w:r>
            <w:proofErr w:type="spellStart"/>
            <w:r w:rsidRPr="00775D32">
              <w:rPr>
                <w:rFonts w:ascii="Arial" w:hAnsi="Arial" w:cs="Arial"/>
                <w:sz w:val="20"/>
                <w:szCs w:val="20"/>
              </w:rPr>
              <w:t>dyslipidemic</w:t>
            </w:r>
            <w:proofErr w:type="spellEnd"/>
            <w:r w:rsidRPr="00775D32">
              <w:rPr>
                <w:rFonts w:ascii="Arial" w:hAnsi="Arial" w:cs="Arial"/>
                <w:sz w:val="20"/>
                <w:szCs w:val="20"/>
              </w:rPr>
              <w:t xml:space="preserve"> individuals. Overall, this study underscores the essential role of evidence-based nutrition education in facilitating behavioural modification, supporting dietary adherence, and ultimately contributing to the reduction of cardiovascular risk. </w:t>
            </w:r>
          </w:p>
          <w:p w14:paraId="42391628" w14:textId="3F5F224B" w:rsidR="00505F06" w:rsidRPr="00775D32" w:rsidRDefault="00505F06" w:rsidP="00441B6F">
            <w:pPr>
              <w:pStyle w:val="Body"/>
              <w:spacing w:after="0"/>
              <w:rPr>
                <w:rFonts w:ascii="Arial" w:eastAsia="Calibri" w:hAnsi="Arial" w:cs="Arial"/>
              </w:rPr>
            </w:pPr>
          </w:p>
        </w:tc>
      </w:tr>
    </w:tbl>
    <w:p w14:paraId="48ACA7DC" w14:textId="77777777" w:rsidR="00636EB2" w:rsidRDefault="00636EB2" w:rsidP="00441B6F">
      <w:pPr>
        <w:pStyle w:val="Body"/>
        <w:spacing w:after="0"/>
        <w:rPr>
          <w:rFonts w:ascii="Arial" w:hAnsi="Arial" w:cs="Arial"/>
          <w:i/>
        </w:rPr>
      </w:pPr>
    </w:p>
    <w:p w14:paraId="6C427646" w14:textId="74EF88F0" w:rsidR="00775D32" w:rsidRDefault="00EE67D6" w:rsidP="00441B6F">
      <w:pPr>
        <w:pStyle w:val="Body"/>
        <w:spacing w:after="0"/>
        <w:rPr>
          <w:rFonts w:ascii="Arial" w:hAnsi="Arial" w:cs="Arial"/>
          <w:i/>
        </w:rPr>
      </w:pPr>
      <w:r>
        <w:t xml:space="preserve">Key words-- </w:t>
      </w:r>
      <w:r w:rsidR="00775D32">
        <w:t>Dyslipidemia, Nutrition education, Knowledge–Attitude–Practice (KAP), Quasi-experimental study, Dietary intervention, Cardiovascular risk, Behavioral modification; Lipid profile management, Health promotion, Nutrition awareness</w:t>
      </w:r>
    </w:p>
    <w:p w14:paraId="678C9810" w14:textId="77777777" w:rsidR="00790ADA" w:rsidRDefault="00790ADA" w:rsidP="00441B6F">
      <w:pPr>
        <w:pStyle w:val="Body"/>
        <w:spacing w:after="0"/>
        <w:rPr>
          <w:rFonts w:ascii="Arial" w:hAnsi="Arial" w:cs="Arial"/>
          <w:i/>
        </w:rPr>
      </w:pPr>
    </w:p>
    <w:p w14:paraId="64C3A56F" w14:textId="77777777" w:rsidR="00505F06" w:rsidRPr="00A24E7E" w:rsidRDefault="00505F06" w:rsidP="00441B6F">
      <w:pPr>
        <w:pStyle w:val="Body"/>
        <w:spacing w:after="0"/>
        <w:rPr>
          <w:rFonts w:ascii="Arial" w:hAnsi="Arial" w:cs="Arial"/>
          <w:i/>
        </w:rPr>
      </w:pPr>
    </w:p>
    <w:p w14:paraId="22E098BE" w14:textId="52AD7E0C" w:rsidR="00BB7789" w:rsidRPr="00C030FE" w:rsidRDefault="00B01FCD" w:rsidP="00C21F79">
      <w:pPr>
        <w:pStyle w:val="AbstHead"/>
        <w:numPr>
          <w:ilvl w:val="0"/>
          <w:numId w:val="31"/>
        </w:numPr>
        <w:spacing w:after="0"/>
        <w:jc w:val="both"/>
        <w:rPr>
          <w:rFonts w:ascii="Arial" w:hAnsi="Arial" w:cs="Arial"/>
          <w:sz w:val="20"/>
        </w:rPr>
      </w:pPr>
      <w:r w:rsidRPr="00C030FE">
        <w:rPr>
          <w:rFonts w:ascii="Arial" w:hAnsi="Arial" w:cs="Arial"/>
          <w:sz w:val="20"/>
        </w:rPr>
        <w:t>INTRODUCTION</w:t>
      </w:r>
      <w:r w:rsidR="007F7B32" w:rsidRPr="00C030FE">
        <w:rPr>
          <w:rFonts w:ascii="Arial" w:hAnsi="Arial" w:cs="Arial"/>
          <w:sz w:val="20"/>
        </w:rPr>
        <w:t xml:space="preserve"> </w:t>
      </w:r>
    </w:p>
    <w:p w14:paraId="719E934A" w14:textId="77777777" w:rsidR="00BB7789" w:rsidRPr="00BB7789" w:rsidRDefault="00BB7789" w:rsidP="00BB7789">
      <w:pPr>
        <w:pStyle w:val="NormalWeb"/>
        <w:jc w:val="both"/>
        <w:rPr>
          <w:rFonts w:ascii="Arial" w:hAnsi="Arial" w:cs="Arial"/>
          <w:sz w:val="20"/>
          <w:szCs w:val="20"/>
        </w:rPr>
      </w:pP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is a metabolic non-communicable disorder characterized by elevated levels of total cholesterol, low-density lipoprotein cholesterol (LDL-C), triglycerides, and reduced high-density lipoprotein cholesterol (HDL-C) [Ballena-Caicedo et al., 2025]. These lipid abnormalities contribute to an atherogenic plasma profile, which is strongly associated with the high prevalence of coronary heart disease (CHD) worldwide over the past three decades [Rad R et al., 2024]. Developing countries bear a disproportionately high burden, accounting for approximately 80%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-related mortality [Abimbola et al., 2025].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has become a significant contributor to cardiovascular morbidity and mortality, ranking as the eighth leading risk factor for death globally.</w:t>
      </w:r>
    </w:p>
    <w:p w14:paraId="6B855FC6"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Studies from countries such as China, Iran, Saudi Arabia, and Jordan have demonstrated a high prevalence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with notable increases in LDL cholesterol, triglycerides, and total cholesterol among their populations [Murray et al., 2021; Gao H et al., 2021; </w:t>
      </w:r>
      <w:proofErr w:type="spellStart"/>
      <w:r w:rsidRPr="00BB7789">
        <w:rPr>
          <w:rFonts w:ascii="Arial" w:hAnsi="Arial" w:cs="Arial"/>
          <w:sz w:val="20"/>
          <w:szCs w:val="20"/>
        </w:rPr>
        <w:t>Hyassat</w:t>
      </w:r>
      <w:proofErr w:type="spellEnd"/>
      <w:r w:rsidRPr="00BB7789">
        <w:rPr>
          <w:rFonts w:ascii="Arial" w:hAnsi="Arial" w:cs="Arial"/>
          <w:sz w:val="20"/>
          <w:szCs w:val="20"/>
        </w:rPr>
        <w:t xml:space="preserve"> D et al., 2022]. LDL cholesterol plays a key role in the development of </w:t>
      </w:r>
      <w:r w:rsidRPr="00BB7789">
        <w:rPr>
          <w:rFonts w:ascii="Arial" w:hAnsi="Arial" w:cs="Arial"/>
          <w:sz w:val="20"/>
          <w:szCs w:val="20"/>
        </w:rPr>
        <w:lastRenderedPageBreak/>
        <w:t xml:space="preserve">atherosclerosis, while global data have linked elevated LDL levels to millions of deaths due to ischemic heart disease and stroke [Mach et al., 2019; Du et al., 2022]. Similarly, in India,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affects 25–30% of urban and 15–20% of rural populations, contributing to significant cardiac morbidity and mortality [Gupta R et al., 2016; Misra S et al., 2022]. The lipid profile of Asian Indians is particularly atherogenic, with elevated LDL-C, triglycerides, and total cholesterol and reduced HDL-C compared to non-Asian populations [Gupta R et al., 2017; Cha D and Park Y, 2019].</w:t>
      </w:r>
    </w:p>
    <w:p w14:paraId="76B82816"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Lipid metabolism involves complex interactions of lipoproteins, including chylomicrons, very low-density lipoprotein (VLDL), intermediate-density lipoprotein (IDL), LDL, and HDL. While LDL is often termed “bad cholesterol” due to its atherogenic potential, HDL is protective, facilitating reverse cholesterol transport [21–28]. Both modifiable factors (diet, obesity, diabetes, hypertension, stress, alcohol, smoking) and non-modifiable factors (age, sex, genetics) contribute to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risk. Early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may be asymptomatic but can progress to serious cardiovascular events if unaddressed.</w:t>
      </w:r>
    </w:p>
    <w:p w14:paraId="11E6C942"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Diet and nutrition play a critical role in managing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Incorporation of whole cereals, pulses, vegetables, fruits, lean meats, nuts, seeds, and other functional foods enriched with dietary </w:t>
      </w:r>
      <w:proofErr w:type="spellStart"/>
      <w:r w:rsidRPr="00BB7789">
        <w:rPr>
          <w:rFonts w:ascii="Arial" w:hAnsi="Arial" w:cs="Arial"/>
          <w:sz w:val="20"/>
          <w:szCs w:val="20"/>
        </w:rPr>
        <w:t>fiber</w:t>
      </w:r>
      <w:proofErr w:type="spellEnd"/>
      <w:r w:rsidRPr="00BB7789">
        <w:rPr>
          <w:rFonts w:ascii="Arial" w:hAnsi="Arial" w:cs="Arial"/>
          <w:sz w:val="20"/>
          <w:szCs w:val="20"/>
        </w:rPr>
        <w:t>, polyunsaturated fatty acids (PUFAs), monounsaturated fatty acids (MUFAs), and antioxidants can improve lipid profiles [16–18]. Functional foods such as flax seeds, chia seeds, almonds, walnuts, makhanas, wheat bran, mango seed powder, and soybeans have been shown to reduce LDL-C, triglycerides, and total cholesterol while increasing HDL-C [31–43]. The synergistic effects of nutrients, such as polyphenols and omega-3 fatty acids, further enhance lipid regulation and cardiovascular protection [44].</w:t>
      </w:r>
    </w:p>
    <w:p w14:paraId="5DC3A6CA"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Given the widespread prevalence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and its serious health consequences, nutrition education emerges as a powerful tool to promote awareness and </w:t>
      </w:r>
      <w:proofErr w:type="spellStart"/>
      <w:r w:rsidRPr="00BB7789">
        <w:rPr>
          <w:rFonts w:ascii="Arial" w:hAnsi="Arial" w:cs="Arial"/>
          <w:sz w:val="20"/>
          <w:szCs w:val="20"/>
        </w:rPr>
        <w:t>behavior</w:t>
      </w:r>
      <w:proofErr w:type="spellEnd"/>
      <w:r w:rsidRPr="00BB7789">
        <w:rPr>
          <w:rFonts w:ascii="Arial" w:hAnsi="Arial" w:cs="Arial"/>
          <w:sz w:val="20"/>
          <w:szCs w:val="20"/>
        </w:rPr>
        <w:t xml:space="preserve"> change. Knowledge, Attitude, and Practice (KAP) assessments provide an effective framework for evaluating baseline understanding, misconceptions, and </w:t>
      </w:r>
      <w:proofErr w:type="spellStart"/>
      <w:r w:rsidRPr="00BB7789">
        <w:rPr>
          <w:rFonts w:ascii="Arial" w:hAnsi="Arial" w:cs="Arial"/>
          <w:sz w:val="20"/>
          <w:szCs w:val="20"/>
        </w:rPr>
        <w:t>behavioral</w:t>
      </w:r>
      <w:proofErr w:type="spellEnd"/>
      <w:r w:rsidRPr="00BB7789">
        <w:rPr>
          <w:rFonts w:ascii="Arial" w:hAnsi="Arial" w:cs="Arial"/>
          <w:sz w:val="20"/>
          <w:szCs w:val="20"/>
        </w:rPr>
        <w:t xml:space="preserve"> patterns, and for measuring the impact of targeted educational interventions [Rasouli A et al., 2025; Sahni P et al., 2023; Zhang Y et al., 2022; Vasanthan M et al., 2021].</w:t>
      </w:r>
    </w:p>
    <w:p w14:paraId="35E28DF7"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The present study aimed to evaluate the impact of structured nutrition education on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by assessing changes in their KAP scores. Specifically, the study objectives were:</w:t>
      </w:r>
    </w:p>
    <w:p w14:paraId="4F6D1CDD"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 xml:space="preserve">To assess the baseline nutritional knowledge, attitude, and practice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not on statins.</w:t>
      </w:r>
    </w:p>
    <w:p w14:paraId="27F925D9"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To develop educational materials, including audio-visual aids like charts, posters, pamphlets, videos, etc.</w:t>
      </w:r>
    </w:p>
    <w:p w14:paraId="1C2DCE53" w14:textId="77777777" w:rsidR="00BB7789" w:rsidRPr="00BB7789" w:rsidRDefault="00BB7789" w:rsidP="00BB7789">
      <w:pPr>
        <w:pStyle w:val="NormalWeb"/>
        <w:numPr>
          <w:ilvl w:val="0"/>
          <w:numId w:val="32"/>
        </w:numPr>
        <w:jc w:val="both"/>
        <w:rPr>
          <w:rFonts w:ascii="Arial" w:hAnsi="Arial" w:cs="Arial"/>
          <w:sz w:val="20"/>
          <w:szCs w:val="20"/>
        </w:rPr>
      </w:pPr>
      <w:r w:rsidRPr="00BB7789">
        <w:rPr>
          <w:rFonts w:ascii="Arial" w:hAnsi="Arial" w:cs="Arial"/>
          <w:sz w:val="20"/>
          <w:szCs w:val="20"/>
        </w:rPr>
        <w:t xml:space="preserve">To implement and evaluate the effect of nutrition education on the KAP scores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w:t>
      </w:r>
    </w:p>
    <w:p w14:paraId="24510D7C"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This study bridges gaps in previous research by not only assessing baseline KAP levels but also implementing a comprehensive educational intervention and measuring its efficacy over six months. Findings from this study provide evidence for the role of nutrition education in improving knowledge, attitude, and practice, ultimately supporting the dietary management of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and the reduction of cardiovascular risk.</w:t>
      </w:r>
    </w:p>
    <w:p w14:paraId="1EE735D0" w14:textId="77777777" w:rsidR="00790ADA" w:rsidRPr="00FB3A86" w:rsidRDefault="00790ADA" w:rsidP="00441B6F">
      <w:pPr>
        <w:pStyle w:val="Body"/>
        <w:spacing w:after="0"/>
        <w:rPr>
          <w:rFonts w:ascii="Arial" w:hAnsi="Arial" w:cs="Arial"/>
        </w:rPr>
      </w:pPr>
    </w:p>
    <w:p w14:paraId="27082972" w14:textId="344C088D"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7F2AB112" w14:textId="77777777" w:rsidR="00790ADA" w:rsidRPr="00FB3A86" w:rsidRDefault="00790ADA" w:rsidP="00441B6F">
      <w:pPr>
        <w:pStyle w:val="AbstHead"/>
        <w:spacing w:after="0"/>
        <w:jc w:val="both"/>
        <w:rPr>
          <w:rFonts w:ascii="Arial" w:hAnsi="Arial" w:cs="Arial"/>
        </w:rPr>
      </w:pPr>
    </w:p>
    <w:p w14:paraId="294397AF"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Study Design and Setting</w:t>
      </w:r>
    </w:p>
    <w:p w14:paraId="211ECFC5"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 xml:space="preserve">A quasi-experimental study was conducted to evaluate the impact of structured nutrition education on Knowledge, Attitude, and Practice (KAP) among </w:t>
      </w:r>
      <w:proofErr w:type="spellStart"/>
      <w:r w:rsidRPr="00BB7789">
        <w:rPr>
          <w:rFonts w:ascii="Arial" w:hAnsi="Arial" w:cs="Arial"/>
          <w:lang w:eastAsia="en-IN"/>
        </w:rPr>
        <w:t>dyslipidemic</w:t>
      </w:r>
      <w:proofErr w:type="spellEnd"/>
      <w:r w:rsidRPr="00BB7789">
        <w:rPr>
          <w:rFonts w:ascii="Arial" w:hAnsi="Arial" w:cs="Arial"/>
          <w:lang w:eastAsia="en-IN"/>
        </w:rPr>
        <w:t xml:space="preserve"> subjects. The study involved an experimental group receiving nutrition education and a control group without any educational intervention. The study duration was six months. The research was carried out in [insert setting/location, e.g., outpatient clinics, community health centers], adhering to ethical guidelines and obtaining informed consent from all participants.</w:t>
      </w:r>
    </w:p>
    <w:p w14:paraId="36157F13"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Study Population</w:t>
      </w:r>
    </w:p>
    <w:p w14:paraId="71B8D2D1"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 xml:space="preserve">The study recruited 60 </w:t>
      </w:r>
      <w:proofErr w:type="spellStart"/>
      <w:r w:rsidRPr="00BB7789">
        <w:rPr>
          <w:rFonts w:ascii="Arial" w:hAnsi="Arial" w:cs="Arial"/>
          <w:lang w:eastAsia="en-IN"/>
        </w:rPr>
        <w:t>dyslipidemic</w:t>
      </w:r>
      <w:proofErr w:type="spellEnd"/>
      <w:r w:rsidRPr="00BB7789">
        <w:rPr>
          <w:rFonts w:ascii="Arial" w:hAnsi="Arial" w:cs="Arial"/>
          <w:lang w:eastAsia="en-IN"/>
        </w:rPr>
        <w:t xml:space="preserve"> subjects who were not on statin therapy, aged between [insert age range if available], from the selected study site. Participants were randomly assigned into two groups:</w:t>
      </w:r>
    </w:p>
    <w:p w14:paraId="5A7C90BD" w14:textId="77777777" w:rsidR="00BB7789" w:rsidRPr="00BB7789" w:rsidRDefault="00BB7789" w:rsidP="00BB7789">
      <w:pPr>
        <w:numPr>
          <w:ilvl w:val="0"/>
          <w:numId w:val="33"/>
        </w:numPr>
        <w:spacing w:before="100" w:beforeAutospacing="1" w:after="100" w:afterAutospacing="1"/>
        <w:jc w:val="both"/>
        <w:rPr>
          <w:rFonts w:ascii="Arial" w:hAnsi="Arial" w:cs="Arial"/>
          <w:lang w:eastAsia="en-IN"/>
        </w:rPr>
      </w:pPr>
      <w:r w:rsidRPr="00BB7789">
        <w:rPr>
          <w:rFonts w:ascii="Arial" w:hAnsi="Arial" w:cs="Arial"/>
          <w:b/>
          <w:bCs/>
          <w:lang w:eastAsia="en-IN"/>
        </w:rPr>
        <w:t>Experimental group (N=30):</w:t>
      </w:r>
      <w:r w:rsidRPr="00BB7789">
        <w:rPr>
          <w:rFonts w:ascii="Arial" w:hAnsi="Arial" w:cs="Arial"/>
          <w:lang w:eastAsia="en-IN"/>
        </w:rPr>
        <w:t xml:space="preserve"> Received structured nutrition education.</w:t>
      </w:r>
    </w:p>
    <w:p w14:paraId="77C98364" w14:textId="77777777" w:rsidR="00BB7789" w:rsidRPr="00BB7789" w:rsidRDefault="00BB7789" w:rsidP="00BB7789">
      <w:pPr>
        <w:numPr>
          <w:ilvl w:val="0"/>
          <w:numId w:val="33"/>
        </w:numPr>
        <w:spacing w:before="100" w:beforeAutospacing="1" w:after="100" w:afterAutospacing="1"/>
        <w:jc w:val="both"/>
        <w:rPr>
          <w:rFonts w:ascii="Arial" w:hAnsi="Arial" w:cs="Arial"/>
          <w:lang w:eastAsia="en-IN"/>
        </w:rPr>
      </w:pPr>
      <w:r w:rsidRPr="00BB7789">
        <w:rPr>
          <w:rFonts w:ascii="Arial" w:hAnsi="Arial" w:cs="Arial"/>
          <w:b/>
          <w:bCs/>
          <w:lang w:eastAsia="en-IN"/>
        </w:rPr>
        <w:t>Control group (N=30):</w:t>
      </w:r>
      <w:r w:rsidRPr="00BB7789">
        <w:rPr>
          <w:rFonts w:ascii="Arial" w:hAnsi="Arial" w:cs="Arial"/>
          <w:lang w:eastAsia="en-IN"/>
        </w:rPr>
        <w:t xml:space="preserve"> Did not receive any nutrition education during the study period.</w:t>
      </w:r>
    </w:p>
    <w:p w14:paraId="08C28047"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b/>
          <w:bCs/>
          <w:lang w:eastAsia="en-IN"/>
        </w:rPr>
        <w:lastRenderedPageBreak/>
        <w:t>Inclusion Criteria:</w:t>
      </w:r>
    </w:p>
    <w:p w14:paraId="28BFDB77"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Diagnosed with dyslipidemia (elevated LDL, triglycerides, total cholesterol, or reduced HDL).</w:t>
      </w:r>
    </w:p>
    <w:p w14:paraId="63533C7F"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Willingness to participate in the study and provide informed consent.</w:t>
      </w:r>
    </w:p>
    <w:p w14:paraId="0B44ACEE" w14:textId="77777777" w:rsidR="00BB7789" w:rsidRPr="00BB7789" w:rsidRDefault="00BB7789" w:rsidP="00BB7789">
      <w:pPr>
        <w:numPr>
          <w:ilvl w:val="0"/>
          <w:numId w:val="34"/>
        </w:numPr>
        <w:spacing w:before="100" w:beforeAutospacing="1" w:after="100" w:afterAutospacing="1"/>
        <w:jc w:val="both"/>
        <w:rPr>
          <w:rFonts w:ascii="Arial" w:hAnsi="Arial" w:cs="Arial"/>
          <w:lang w:eastAsia="en-IN"/>
        </w:rPr>
      </w:pPr>
      <w:r w:rsidRPr="00BB7789">
        <w:rPr>
          <w:rFonts w:ascii="Arial" w:hAnsi="Arial" w:cs="Arial"/>
          <w:lang w:eastAsia="en-IN"/>
        </w:rPr>
        <w:t>Not on lipid-lowering medications such as statins.</w:t>
      </w:r>
    </w:p>
    <w:p w14:paraId="64AAE34D"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b/>
          <w:bCs/>
          <w:lang w:eastAsia="en-IN"/>
        </w:rPr>
        <w:t>Exclusion Criteria:</w:t>
      </w:r>
    </w:p>
    <w:p w14:paraId="0ADEEDB2" w14:textId="77777777" w:rsidR="00BB7789" w:rsidRP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Individuals with chronic conditions other than dyslipidemia that could interfere with study outcomes.</w:t>
      </w:r>
    </w:p>
    <w:p w14:paraId="25518EA5" w14:textId="77777777" w:rsidR="00BB7789" w:rsidRP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Subjects already participating in dietary or lifestyle interventions.</w:t>
      </w:r>
    </w:p>
    <w:p w14:paraId="44DA26A2" w14:textId="77777777" w:rsidR="00BB7789" w:rsidRPr="00BB7789" w:rsidRDefault="00BB7789" w:rsidP="00BB7789">
      <w:pPr>
        <w:numPr>
          <w:ilvl w:val="0"/>
          <w:numId w:val="35"/>
        </w:numPr>
        <w:spacing w:before="100" w:beforeAutospacing="1" w:after="100" w:afterAutospacing="1"/>
        <w:jc w:val="both"/>
        <w:rPr>
          <w:rFonts w:ascii="Arial" w:hAnsi="Arial" w:cs="Arial"/>
          <w:lang w:eastAsia="en-IN"/>
        </w:rPr>
      </w:pPr>
      <w:r w:rsidRPr="00BB7789">
        <w:rPr>
          <w:rFonts w:ascii="Arial" w:hAnsi="Arial" w:cs="Arial"/>
          <w:lang w:eastAsia="en-IN"/>
        </w:rPr>
        <w:t>Pregnant or lactating women.</w:t>
      </w:r>
    </w:p>
    <w:p w14:paraId="0008F4C4"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Study Tools</w:t>
      </w:r>
    </w:p>
    <w:p w14:paraId="72A2A37F" w14:textId="77777777" w:rsidR="00BB7789" w:rsidRPr="00BB7789" w:rsidRDefault="00BB7789" w:rsidP="00BB7789">
      <w:pPr>
        <w:numPr>
          <w:ilvl w:val="0"/>
          <w:numId w:val="36"/>
        </w:numPr>
        <w:spacing w:before="100" w:beforeAutospacing="1" w:after="100" w:afterAutospacing="1"/>
        <w:jc w:val="both"/>
        <w:rPr>
          <w:rFonts w:ascii="Arial" w:hAnsi="Arial" w:cs="Arial"/>
          <w:lang w:eastAsia="en-IN"/>
        </w:rPr>
      </w:pPr>
      <w:r w:rsidRPr="00BB7789">
        <w:rPr>
          <w:rFonts w:ascii="Arial" w:hAnsi="Arial" w:cs="Arial"/>
          <w:b/>
          <w:bCs/>
          <w:lang w:eastAsia="en-IN"/>
        </w:rPr>
        <w:t>Knowledge, Attitude, and Practice (KAP) Questionnaire:</w:t>
      </w:r>
      <w:r w:rsidRPr="00BB7789">
        <w:rPr>
          <w:rFonts w:ascii="Arial" w:hAnsi="Arial" w:cs="Arial"/>
          <w:lang w:eastAsia="en-IN"/>
        </w:rPr>
        <w:br/>
        <w:t>A validated KAP questionnaire was administered at baseline and after six months to assess subjects’ nutritional knowledge, attitudes, and dietary practices. Scores were calculated and analyzed for changes post-intervention.</w:t>
      </w:r>
    </w:p>
    <w:p w14:paraId="646723FD" w14:textId="77777777" w:rsidR="00BB7789" w:rsidRPr="00BB7789" w:rsidRDefault="00BB7789" w:rsidP="00BB7789">
      <w:pPr>
        <w:numPr>
          <w:ilvl w:val="0"/>
          <w:numId w:val="36"/>
        </w:numPr>
        <w:spacing w:before="100" w:beforeAutospacing="1" w:after="100" w:afterAutospacing="1"/>
        <w:jc w:val="both"/>
        <w:rPr>
          <w:rFonts w:ascii="Arial" w:hAnsi="Arial" w:cs="Arial"/>
          <w:lang w:eastAsia="en-IN"/>
        </w:rPr>
      </w:pPr>
      <w:r w:rsidRPr="00BB7789">
        <w:rPr>
          <w:rFonts w:ascii="Arial" w:hAnsi="Arial" w:cs="Arial"/>
          <w:b/>
          <w:bCs/>
          <w:lang w:eastAsia="en-IN"/>
        </w:rPr>
        <w:t>Educational Materials:</w:t>
      </w:r>
      <w:r w:rsidRPr="00BB7789">
        <w:rPr>
          <w:rFonts w:ascii="Arial" w:hAnsi="Arial" w:cs="Arial"/>
          <w:lang w:eastAsia="en-IN"/>
        </w:rPr>
        <w:br/>
        <w:t>Structured nutrition education was delivered through customized educational tools, including:</w:t>
      </w:r>
    </w:p>
    <w:p w14:paraId="63DC9B44" w14:textId="77777777" w:rsidR="00BB7789" w:rsidRPr="00BB7789" w:rsidRDefault="00BB7789" w:rsidP="00BB7789">
      <w:pPr>
        <w:numPr>
          <w:ilvl w:val="1"/>
          <w:numId w:val="36"/>
        </w:numPr>
        <w:spacing w:before="100" w:beforeAutospacing="1" w:after="100" w:afterAutospacing="1"/>
        <w:jc w:val="both"/>
        <w:rPr>
          <w:rFonts w:ascii="Arial" w:hAnsi="Arial" w:cs="Arial"/>
          <w:lang w:eastAsia="en-IN"/>
        </w:rPr>
      </w:pPr>
      <w:r w:rsidRPr="00BB7789">
        <w:rPr>
          <w:rFonts w:ascii="Arial" w:hAnsi="Arial" w:cs="Arial"/>
          <w:lang w:eastAsia="en-IN"/>
        </w:rPr>
        <w:t>Audio-visual presentations</w:t>
      </w:r>
    </w:p>
    <w:p w14:paraId="213D714C"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Intervention</w:t>
      </w:r>
    </w:p>
    <w:p w14:paraId="4D30322C"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The experimental group underwent structured nutrition education sessions over six months. The intervention included:</w:t>
      </w:r>
    </w:p>
    <w:p w14:paraId="4D01995A" w14:textId="77777777" w:rsidR="00BB7789" w:rsidRPr="00BB7789" w:rsidRDefault="00BB7789" w:rsidP="00BB7789">
      <w:pPr>
        <w:numPr>
          <w:ilvl w:val="0"/>
          <w:numId w:val="37"/>
        </w:numPr>
        <w:spacing w:before="100" w:beforeAutospacing="1" w:after="100" w:afterAutospacing="1"/>
        <w:jc w:val="both"/>
        <w:rPr>
          <w:rFonts w:ascii="Arial" w:hAnsi="Arial" w:cs="Arial"/>
          <w:lang w:eastAsia="en-IN"/>
        </w:rPr>
      </w:pPr>
      <w:r w:rsidRPr="00BB7789">
        <w:rPr>
          <w:rFonts w:ascii="Arial" w:hAnsi="Arial" w:cs="Arial"/>
          <w:lang w:eastAsia="en-IN"/>
        </w:rPr>
        <w:t>Generalized education on lipid metabolism and the role of diet in managing dyslipidemia.</w:t>
      </w:r>
    </w:p>
    <w:p w14:paraId="5164E397" w14:textId="77777777" w:rsidR="00BB7789" w:rsidRPr="00BB7789" w:rsidRDefault="00BB7789" w:rsidP="00BB7789">
      <w:pPr>
        <w:numPr>
          <w:ilvl w:val="0"/>
          <w:numId w:val="37"/>
        </w:numPr>
        <w:spacing w:before="100" w:beforeAutospacing="1" w:after="100" w:afterAutospacing="1"/>
        <w:jc w:val="both"/>
        <w:rPr>
          <w:rFonts w:ascii="Arial" w:hAnsi="Arial" w:cs="Arial"/>
          <w:lang w:eastAsia="en-IN"/>
        </w:rPr>
      </w:pPr>
      <w:r w:rsidRPr="00BB7789">
        <w:rPr>
          <w:rFonts w:ascii="Arial" w:hAnsi="Arial" w:cs="Arial"/>
          <w:lang w:eastAsia="en-IN"/>
        </w:rPr>
        <w:t>Demonstration and guidance on functional foods, such as flax seeds, chia seeds, nuts, pulses, and whole grains.</w:t>
      </w:r>
    </w:p>
    <w:p w14:paraId="267C0627" w14:textId="77777777" w:rsidR="00BB7789" w:rsidRPr="00BB7789" w:rsidRDefault="00BB7789" w:rsidP="00BB7789">
      <w:pPr>
        <w:spacing w:before="100" w:beforeAutospacing="1" w:after="100" w:afterAutospacing="1"/>
        <w:ind w:left="720"/>
        <w:jc w:val="both"/>
        <w:rPr>
          <w:rFonts w:ascii="Arial" w:hAnsi="Arial" w:cs="Arial"/>
          <w:lang w:eastAsia="en-IN"/>
        </w:rPr>
      </w:pPr>
      <w:r w:rsidRPr="00BB7789">
        <w:rPr>
          <w:rFonts w:ascii="Arial" w:hAnsi="Arial" w:cs="Arial"/>
          <w:lang w:eastAsia="en-IN"/>
        </w:rPr>
        <w:t>The control group continued their usual diet and lifestyle without any educational sessions during the study period.</w:t>
      </w:r>
    </w:p>
    <w:p w14:paraId="7F04C807"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Data Collection and Analysis</w:t>
      </w:r>
    </w:p>
    <w:p w14:paraId="757AA7C8"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Baseline KAP scores were collected for both experimental and control groups. After six months of nutrition education, KAP scores were reassessed. Statistical analysis was performed using SPSS software:</w:t>
      </w:r>
    </w:p>
    <w:p w14:paraId="7D838B94"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b/>
          <w:bCs/>
          <w:lang w:eastAsia="en-IN"/>
        </w:rPr>
        <w:t>Paired t-tests</w:t>
      </w:r>
      <w:r w:rsidRPr="00BB7789">
        <w:rPr>
          <w:rFonts w:ascii="Arial" w:hAnsi="Arial" w:cs="Arial"/>
          <w:lang w:eastAsia="en-IN"/>
        </w:rPr>
        <w:t xml:space="preserve"> were used to compare pre- and post-intervention scores within each group.</w:t>
      </w:r>
    </w:p>
    <w:p w14:paraId="3A8EAA92"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b/>
          <w:bCs/>
          <w:lang w:eastAsia="en-IN"/>
        </w:rPr>
        <w:t>Independent t-tests</w:t>
      </w:r>
      <w:r w:rsidRPr="00BB7789">
        <w:rPr>
          <w:rFonts w:ascii="Arial" w:hAnsi="Arial" w:cs="Arial"/>
          <w:lang w:eastAsia="en-IN"/>
        </w:rPr>
        <w:t xml:space="preserve"> were applied to assess differences between experimental and control groups before and after the intervention.</w:t>
      </w:r>
    </w:p>
    <w:p w14:paraId="0E327BFB" w14:textId="77777777" w:rsidR="00BB7789" w:rsidRPr="00BB7789" w:rsidRDefault="00BB7789" w:rsidP="00BB7789">
      <w:pPr>
        <w:numPr>
          <w:ilvl w:val="0"/>
          <w:numId w:val="38"/>
        </w:numPr>
        <w:spacing w:before="100" w:beforeAutospacing="1" w:after="100" w:afterAutospacing="1"/>
        <w:jc w:val="both"/>
        <w:rPr>
          <w:rFonts w:ascii="Arial" w:hAnsi="Arial" w:cs="Arial"/>
          <w:lang w:eastAsia="en-IN"/>
        </w:rPr>
      </w:pPr>
      <w:r w:rsidRPr="00BB7789">
        <w:rPr>
          <w:rFonts w:ascii="Arial" w:hAnsi="Arial" w:cs="Arial"/>
          <w:lang w:eastAsia="en-IN"/>
        </w:rPr>
        <w:t>Percentage change was calculated to quantify improvements in KAP scores.</w:t>
      </w:r>
    </w:p>
    <w:p w14:paraId="41CB16F6"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A p-value ≤0.05 was considered statistically significant, and p≤0.01 was considered highly significant.</w:t>
      </w:r>
    </w:p>
    <w:p w14:paraId="273CBFD9" w14:textId="77777777" w:rsidR="00BB7789" w:rsidRPr="00BB7789" w:rsidRDefault="00BB7789" w:rsidP="00BB7789">
      <w:pPr>
        <w:spacing w:before="100" w:beforeAutospacing="1" w:after="100" w:afterAutospacing="1"/>
        <w:jc w:val="both"/>
        <w:outlineLvl w:val="2"/>
        <w:rPr>
          <w:rFonts w:ascii="Arial" w:hAnsi="Arial" w:cs="Arial"/>
          <w:b/>
          <w:bCs/>
          <w:lang w:eastAsia="en-IN"/>
        </w:rPr>
      </w:pPr>
      <w:r w:rsidRPr="00BB7789">
        <w:rPr>
          <w:rFonts w:ascii="Arial" w:hAnsi="Arial" w:cs="Arial"/>
          <w:b/>
          <w:bCs/>
          <w:lang w:eastAsia="en-IN"/>
        </w:rPr>
        <w:t>Ethical Considerations</w:t>
      </w:r>
    </w:p>
    <w:p w14:paraId="6098B18F" w14:textId="77777777" w:rsidR="00BB7789" w:rsidRPr="00BB7789" w:rsidRDefault="00BB7789" w:rsidP="00BB7789">
      <w:pPr>
        <w:spacing w:before="100" w:beforeAutospacing="1" w:after="100" w:afterAutospacing="1"/>
        <w:jc w:val="both"/>
        <w:rPr>
          <w:rFonts w:ascii="Arial" w:hAnsi="Arial" w:cs="Arial"/>
          <w:lang w:eastAsia="en-IN"/>
        </w:rPr>
      </w:pPr>
      <w:r w:rsidRPr="00BB7789">
        <w:rPr>
          <w:rFonts w:ascii="Arial" w:hAnsi="Arial" w:cs="Arial"/>
          <w:lang w:eastAsia="en-IN"/>
        </w:rPr>
        <w:t>The study was approved by the Clinical Trial Register of India.  Written informed consent was obtained from all participants. Confidentiality of participant data was maintained throughout the study.</w:t>
      </w:r>
    </w:p>
    <w:p w14:paraId="21017372" w14:textId="77777777" w:rsidR="00790ADA" w:rsidRPr="00FB3A86" w:rsidRDefault="00790ADA" w:rsidP="00441B6F">
      <w:pPr>
        <w:pStyle w:val="Body"/>
        <w:spacing w:after="0"/>
        <w:rPr>
          <w:rFonts w:ascii="Arial" w:hAnsi="Arial" w:cs="Arial"/>
        </w:rPr>
      </w:pPr>
    </w:p>
    <w:p w14:paraId="4FB690F0" w14:textId="36B418C2" w:rsidR="00902823" w:rsidRDefault="00000F8F" w:rsidP="00BB7789">
      <w:pPr>
        <w:pStyle w:val="Head1"/>
        <w:numPr>
          <w:ilvl w:val="0"/>
          <w:numId w:val="36"/>
        </w:numPr>
        <w:spacing w:after="0"/>
        <w:jc w:val="both"/>
        <w:rPr>
          <w:rFonts w:ascii="Arial" w:hAnsi="Arial" w:cs="Arial"/>
        </w:rPr>
      </w:pPr>
      <w:r>
        <w:rPr>
          <w:rFonts w:ascii="Arial" w:hAnsi="Arial" w:cs="Arial"/>
        </w:rPr>
        <w:t>results and discussion</w:t>
      </w:r>
    </w:p>
    <w:p w14:paraId="0F30A0D3" w14:textId="0924A585" w:rsidR="00BB7789" w:rsidRDefault="00BB7789" w:rsidP="00BB7789">
      <w:pPr>
        <w:pStyle w:val="Head1"/>
        <w:spacing w:after="0"/>
        <w:ind w:left="360"/>
        <w:jc w:val="both"/>
        <w:rPr>
          <w:rFonts w:ascii="Arial" w:hAnsi="Arial" w:cs="Arial"/>
        </w:rPr>
      </w:pPr>
    </w:p>
    <w:p w14:paraId="49A31CB6" w14:textId="77777777" w:rsidR="00BB7789" w:rsidRPr="00BB7789" w:rsidRDefault="00BB7789" w:rsidP="00BB7789">
      <w:pPr>
        <w:jc w:val="both"/>
        <w:rPr>
          <w:rFonts w:ascii="Arial" w:hAnsi="Arial" w:cs="Arial"/>
          <w:b/>
          <w:bCs/>
        </w:rPr>
      </w:pPr>
      <w:r w:rsidRPr="00BB7789">
        <w:rPr>
          <w:rFonts w:ascii="Arial" w:hAnsi="Arial" w:cs="Arial"/>
          <w:b/>
          <w:bCs/>
        </w:rPr>
        <w:t xml:space="preserve">Table 1    A Knowledge, Attitude and Practice Assessment (KAP) study on Nutrition Education among </w:t>
      </w:r>
      <w:proofErr w:type="spellStart"/>
      <w:r w:rsidRPr="00BB7789">
        <w:rPr>
          <w:rFonts w:ascii="Arial" w:hAnsi="Arial" w:cs="Arial"/>
          <w:b/>
          <w:bCs/>
        </w:rPr>
        <w:t>Dyslipidemic</w:t>
      </w:r>
      <w:proofErr w:type="spellEnd"/>
      <w:r w:rsidRPr="00BB7789">
        <w:rPr>
          <w:rFonts w:ascii="Arial" w:hAnsi="Arial" w:cs="Arial"/>
          <w:b/>
          <w:bCs/>
        </w:rPr>
        <w:t xml:space="preserve"> subjects-</w:t>
      </w:r>
    </w:p>
    <w:p w14:paraId="11915D1E" w14:textId="77777777" w:rsidR="00BB7789" w:rsidRPr="00BB7789" w:rsidRDefault="00BB7789" w:rsidP="00BB7789">
      <w:pPr>
        <w:jc w:val="both"/>
        <w:rPr>
          <w:rFonts w:ascii="Arial" w:hAnsi="Arial" w:cs="Arial"/>
          <w:b/>
          <w:bCs/>
        </w:rPr>
      </w:pPr>
    </w:p>
    <w:tbl>
      <w:tblPr>
        <w:tblStyle w:val="TableGrid"/>
        <w:tblpPr w:leftFromText="180" w:rightFromText="180" w:vertAnchor="text" w:horzAnchor="margin" w:tblpY="250"/>
        <w:tblW w:w="9534" w:type="dxa"/>
        <w:tblLayout w:type="fixed"/>
        <w:tblLook w:val="04A0" w:firstRow="1" w:lastRow="0" w:firstColumn="1" w:lastColumn="0" w:noHBand="0" w:noVBand="1"/>
      </w:tblPr>
      <w:tblGrid>
        <w:gridCol w:w="1125"/>
        <w:gridCol w:w="1538"/>
        <w:gridCol w:w="1538"/>
        <w:gridCol w:w="2051"/>
        <w:gridCol w:w="1437"/>
        <w:gridCol w:w="1845"/>
      </w:tblGrid>
      <w:tr w:rsidR="00BB7789" w:rsidRPr="00BB7789" w14:paraId="19BB78FA" w14:textId="77777777" w:rsidTr="00F04DC8">
        <w:trPr>
          <w:trHeight w:val="1132"/>
        </w:trPr>
        <w:tc>
          <w:tcPr>
            <w:tcW w:w="1125" w:type="dxa"/>
            <w:vAlign w:val="center"/>
            <w:hideMark/>
          </w:tcPr>
          <w:p w14:paraId="10AE0A10"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lastRenderedPageBreak/>
              <w:t>Kap test score</w:t>
            </w:r>
          </w:p>
        </w:tc>
        <w:tc>
          <w:tcPr>
            <w:tcW w:w="1538" w:type="dxa"/>
          </w:tcPr>
          <w:p w14:paraId="7FC4CA32" w14:textId="77777777" w:rsidR="00BB7789" w:rsidRPr="00BB7789" w:rsidRDefault="00BB7789" w:rsidP="00F04DC8">
            <w:pPr>
              <w:jc w:val="both"/>
              <w:rPr>
                <w:rFonts w:ascii="Arial" w:hAnsi="Arial" w:cs="Arial"/>
                <w:b/>
                <w:bCs/>
                <w:sz w:val="20"/>
                <w:szCs w:val="20"/>
              </w:rPr>
            </w:pPr>
          </w:p>
          <w:p w14:paraId="3B8DDDD2"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xml:space="preserve">Subgroups </w:t>
            </w:r>
          </w:p>
        </w:tc>
        <w:tc>
          <w:tcPr>
            <w:tcW w:w="1538" w:type="dxa"/>
            <w:vAlign w:val="center"/>
            <w:hideMark/>
          </w:tcPr>
          <w:p w14:paraId="4C838C4B"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Before (Mean ± SD)</w:t>
            </w:r>
          </w:p>
        </w:tc>
        <w:tc>
          <w:tcPr>
            <w:tcW w:w="2051" w:type="dxa"/>
            <w:vAlign w:val="center"/>
            <w:hideMark/>
          </w:tcPr>
          <w:p w14:paraId="6DA9EC44"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After (Mean ± SD)</w:t>
            </w:r>
          </w:p>
        </w:tc>
        <w:tc>
          <w:tcPr>
            <w:tcW w:w="1436" w:type="dxa"/>
            <w:vAlign w:val="center"/>
            <w:hideMark/>
          </w:tcPr>
          <w:p w14:paraId="2AD9D06F"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B/A</w:t>
            </w:r>
          </w:p>
          <w:p w14:paraId="011E032D"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Change)</w:t>
            </w:r>
          </w:p>
        </w:tc>
        <w:tc>
          <w:tcPr>
            <w:tcW w:w="1845" w:type="dxa"/>
            <w:vAlign w:val="center"/>
            <w:hideMark/>
          </w:tcPr>
          <w:p w14:paraId="776C8872"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Before/During t-value (p-value)</w:t>
            </w:r>
          </w:p>
        </w:tc>
      </w:tr>
      <w:tr w:rsidR="00BB7789" w:rsidRPr="00BB7789" w14:paraId="4D2A540E" w14:textId="77777777" w:rsidTr="00F04DC8">
        <w:trPr>
          <w:trHeight w:val="1396"/>
        </w:trPr>
        <w:tc>
          <w:tcPr>
            <w:tcW w:w="1125" w:type="dxa"/>
            <w:vMerge w:val="restart"/>
            <w:vAlign w:val="center"/>
            <w:hideMark/>
          </w:tcPr>
          <w:p w14:paraId="481CBBB4"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Knowledge</w:t>
            </w:r>
          </w:p>
        </w:tc>
        <w:tc>
          <w:tcPr>
            <w:tcW w:w="1538" w:type="dxa"/>
          </w:tcPr>
          <w:p w14:paraId="1159BAAA" w14:textId="77777777" w:rsidR="00BB7789" w:rsidRPr="00BB7789" w:rsidRDefault="00BB7789" w:rsidP="00F04DC8">
            <w:pPr>
              <w:ind w:right="-123"/>
              <w:jc w:val="both"/>
              <w:rPr>
                <w:rFonts w:ascii="Arial" w:hAnsi="Arial" w:cs="Arial"/>
                <w:b/>
                <w:bCs/>
                <w:sz w:val="20"/>
                <w:szCs w:val="20"/>
              </w:rPr>
            </w:pPr>
          </w:p>
          <w:p w14:paraId="3A5AD02B"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Experiment</w:t>
            </w:r>
          </w:p>
          <w:p w14:paraId="48F0D53E"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(N=30) </w:t>
            </w:r>
          </w:p>
        </w:tc>
        <w:tc>
          <w:tcPr>
            <w:tcW w:w="1538" w:type="dxa"/>
            <w:vAlign w:val="center"/>
          </w:tcPr>
          <w:p w14:paraId="5A317A46"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 xml:space="preserve">    46.333±14.05</w:t>
            </w:r>
          </w:p>
        </w:tc>
        <w:tc>
          <w:tcPr>
            <w:tcW w:w="2051" w:type="dxa"/>
            <w:vAlign w:val="center"/>
          </w:tcPr>
          <w:p w14:paraId="372CA599"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60.9±15.73</w:t>
            </w:r>
          </w:p>
        </w:tc>
        <w:tc>
          <w:tcPr>
            <w:tcW w:w="1436" w:type="dxa"/>
            <w:vAlign w:val="center"/>
          </w:tcPr>
          <w:p w14:paraId="46D9B413"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-14.5667</w:t>
            </w:r>
          </w:p>
          <w:p w14:paraId="28DE2069"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(-31.44)</w:t>
            </w:r>
          </w:p>
        </w:tc>
        <w:tc>
          <w:tcPr>
            <w:tcW w:w="1845" w:type="dxa"/>
            <w:vAlign w:val="center"/>
          </w:tcPr>
          <w:p w14:paraId="6C8E1803" w14:textId="77777777" w:rsidR="00BB7789" w:rsidRPr="00BB7789" w:rsidRDefault="00BB7789" w:rsidP="00F04DC8">
            <w:pPr>
              <w:widowControl w:val="0"/>
              <w:autoSpaceDE w:val="0"/>
              <w:autoSpaceDN w:val="0"/>
              <w:jc w:val="both"/>
              <w:rPr>
                <w:rFonts w:ascii="Arial" w:hAnsi="Arial" w:cs="Arial"/>
                <w:sz w:val="20"/>
                <w:szCs w:val="20"/>
              </w:rPr>
            </w:pPr>
          </w:p>
          <w:p w14:paraId="223C09F4" w14:textId="77777777" w:rsidR="00BB7789" w:rsidRPr="00BB7789" w:rsidRDefault="00BB7789" w:rsidP="00F04DC8">
            <w:pPr>
              <w:widowControl w:val="0"/>
              <w:autoSpaceDE w:val="0"/>
              <w:autoSpaceDN w:val="0"/>
              <w:jc w:val="both"/>
              <w:rPr>
                <w:rFonts w:ascii="Arial" w:hAnsi="Arial" w:cs="Arial"/>
                <w:sz w:val="20"/>
                <w:szCs w:val="20"/>
              </w:rPr>
            </w:pPr>
          </w:p>
          <w:p w14:paraId="7456879D"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-7.5074</w:t>
            </w:r>
          </w:p>
          <w:p w14:paraId="369D982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p w14:paraId="56E315C4" w14:textId="77777777" w:rsidR="00BB7789" w:rsidRPr="00BB7789" w:rsidRDefault="00BB7789" w:rsidP="00F04DC8">
            <w:pPr>
              <w:ind w:left="-93" w:right="-123"/>
              <w:jc w:val="both"/>
              <w:rPr>
                <w:rFonts w:ascii="Arial" w:hAnsi="Arial" w:cs="Arial"/>
                <w:sz w:val="20"/>
                <w:szCs w:val="20"/>
              </w:rPr>
            </w:pPr>
          </w:p>
          <w:p w14:paraId="60C6D4DF" w14:textId="77777777" w:rsidR="00BB7789" w:rsidRPr="00BB7789" w:rsidRDefault="00BB7789" w:rsidP="00F04DC8">
            <w:pPr>
              <w:ind w:left="-93" w:right="-123"/>
              <w:jc w:val="both"/>
              <w:rPr>
                <w:rFonts w:ascii="Arial" w:hAnsi="Arial" w:cs="Arial"/>
                <w:sz w:val="20"/>
                <w:szCs w:val="20"/>
              </w:rPr>
            </w:pPr>
          </w:p>
          <w:p w14:paraId="46E15297" w14:textId="77777777" w:rsidR="00BB7789" w:rsidRPr="00BB7789" w:rsidRDefault="00BB7789" w:rsidP="00F04DC8">
            <w:pPr>
              <w:ind w:left="-93" w:right="-123"/>
              <w:jc w:val="both"/>
              <w:rPr>
                <w:rFonts w:ascii="Arial" w:hAnsi="Arial" w:cs="Arial"/>
                <w:sz w:val="20"/>
                <w:szCs w:val="20"/>
              </w:rPr>
            </w:pPr>
          </w:p>
        </w:tc>
      </w:tr>
      <w:tr w:rsidR="00BB7789" w:rsidRPr="00BB7789" w14:paraId="323D3FDF" w14:textId="77777777" w:rsidTr="00F04DC8">
        <w:trPr>
          <w:trHeight w:val="584"/>
        </w:trPr>
        <w:tc>
          <w:tcPr>
            <w:tcW w:w="1125" w:type="dxa"/>
            <w:vMerge/>
            <w:vAlign w:val="center"/>
          </w:tcPr>
          <w:p w14:paraId="6BE777D2" w14:textId="77777777" w:rsidR="00BB7789" w:rsidRPr="00BB7789" w:rsidRDefault="00BB7789" w:rsidP="00F04DC8">
            <w:pPr>
              <w:jc w:val="both"/>
              <w:rPr>
                <w:rFonts w:ascii="Arial" w:hAnsi="Arial" w:cs="Arial"/>
                <w:b/>
                <w:bCs/>
                <w:sz w:val="20"/>
                <w:szCs w:val="20"/>
              </w:rPr>
            </w:pPr>
          </w:p>
        </w:tc>
        <w:tc>
          <w:tcPr>
            <w:tcW w:w="1538" w:type="dxa"/>
          </w:tcPr>
          <w:p w14:paraId="29ECB238"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Control </w:t>
            </w:r>
          </w:p>
          <w:p w14:paraId="787DDCCA"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(N=30)</w:t>
            </w:r>
          </w:p>
          <w:p w14:paraId="0F8C3868" w14:textId="77777777" w:rsidR="00BB7789" w:rsidRPr="00BB7789" w:rsidRDefault="00BB7789" w:rsidP="00F04DC8">
            <w:pPr>
              <w:ind w:left="-93" w:right="-123"/>
              <w:jc w:val="both"/>
              <w:rPr>
                <w:rFonts w:ascii="Arial" w:hAnsi="Arial" w:cs="Arial"/>
                <w:b/>
                <w:bCs/>
                <w:sz w:val="20"/>
                <w:szCs w:val="20"/>
              </w:rPr>
            </w:pPr>
          </w:p>
          <w:p w14:paraId="115CAD8C" w14:textId="77777777" w:rsidR="00BB7789" w:rsidRPr="00BB7789" w:rsidRDefault="00BB7789" w:rsidP="00F04DC8">
            <w:pPr>
              <w:ind w:left="-93" w:right="-123"/>
              <w:jc w:val="both"/>
              <w:rPr>
                <w:rFonts w:ascii="Arial" w:hAnsi="Arial" w:cs="Arial"/>
                <w:b/>
                <w:bCs/>
                <w:sz w:val="20"/>
                <w:szCs w:val="20"/>
              </w:rPr>
            </w:pPr>
          </w:p>
          <w:p w14:paraId="2B7A9D71"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19F6B9C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37.33±2.100</w:t>
            </w:r>
          </w:p>
        </w:tc>
        <w:tc>
          <w:tcPr>
            <w:tcW w:w="2051" w:type="dxa"/>
            <w:vAlign w:val="center"/>
          </w:tcPr>
          <w:p w14:paraId="2941532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38.83±2.32</w:t>
            </w:r>
          </w:p>
        </w:tc>
        <w:tc>
          <w:tcPr>
            <w:tcW w:w="1436" w:type="dxa"/>
            <w:vAlign w:val="center"/>
          </w:tcPr>
          <w:p w14:paraId="4A1F7C1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1.500</w:t>
            </w:r>
          </w:p>
          <w:p w14:paraId="34E893C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(4.01)</w:t>
            </w:r>
          </w:p>
        </w:tc>
        <w:tc>
          <w:tcPr>
            <w:tcW w:w="1845" w:type="dxa"/>
            <w:vAlign w:val="center"/>
          </w:tcPr>
          <w:p w14:paraId="5979810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-1.735</w:t>
            </w:r>
          </w:p>
          <w:p w14:paraId="25578D36"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(0.88</w:t>
            </w:r>
            <w:r w:rsidRPr="00BB7789">
              <w:rPr>
                <w:rFonts w:ascii="Arial" w:hAnsi="Arial" w:cs="Arial"/>
                <w:sz w:val="20"/>
                <w:szCs w:val="20"/>
                <w:vertAlign w:val="superscript"/>
              </w:rPr>
              <w:t>NS</w:t>
            </w:r>
            <w:r w:rsidRPr="00BB7789">
              <w:rPr>
                <w:rFonts w:ascii="Arial" w:hAnsi="Arial" w:cs="Arial"/>
                <w:sz w:val="20"/>
                <w:szCs w:val="20"/>
              </w:rPr>
              <w:t>)</w:t>
            </w:r>
          </w:p>
          <w:p w14:paraId="2AD115C7" w14:textId="77777777" w:rsidR="00BB7789" w:rsidRPr="00BB7789" w:rsidRDefault="00BB7789" w:rsidP="00F04DC8">
            <w:pPr>
              <w:ind w:left="-93" w:right="-123"/>
              <w:jc w:val="both"/>
              <w:rPr>
                <w:rFonts w:ascii="Arial" w:hAnsi="Arial" w:cs="Arial"/>
                <w:sz w:val="20"/>
                <w:szCs w:val="20"/>
              </w:rPr>
            </w:pPr>
          </w:p>
        </w:tc>
      </w:tr>
      <w:tr w:rsidR="00BB7789" w:rsidRPr="00BB7789" w14:paraId="3C51B222" w14:textId="77777777" w:rsidTr="00F04DC8">
        <w:trPr>
          <w:trHeight w:val="480"/>
        </w:trPr>
        <w:tc>
          <w:tcPr>
            <w:tcW w:w="1125" w:type="dxa"/>
            <w:vMerge w:val="restart"/>
            <w:vAlign w:val="center"/>
          </w:tcPr>
          <w:p w14:paraId="72C819E9"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xml:space="preserve">Expt. vs. control </w:t>
            </w:r>
          </w:p>
        </w:tc>
        <w:tc>
          <w:tcPr>
            <w:tcW w:w="1538" w:type="dxa"/>
          </w:tcPr>
          <w:p w14:paraId="0196FFED" w14:textId="77777777" w:rsidR="00BB7789" w:rsidRPr="00BB7789" w:rsidRDefault="00BB7789" w:rsidP="00F04DC8">
            <w:pPr>
              <w:ind w:left="-93" w:right="-123"/>
              <w:jc w:val="both"/>
              <w:rPr>
                <w:rFonts w:ascii="Arial" w:hAnsi="Arial" w:cs="Arial"/>
                <w:b/>
                <w:bCs/>
                <w:sz w:val="20"/>
                <w:szCs w:val="20"/>
              </w:rPr>
            </w:pPr>
          </w:p>
          <w:p w14:paraId="18E4D961"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(Before)</w:t>
            </w:r>
          </w:p>
        </w:tc>
        <w:tc>
          <w:tcPr>
            <w:tcW w:w="5026" w:type="dxa"/>
            <w:gridSpan w:val="3"/>
            <w:vAlign w:val="center"/>
          </w:tcPr>
          <w:p w14:paraId="1E740D26" w14:textId="77777777" w:rsidR="00BB7789" w:rsidRPr="00BB7789" w:rsidRDefault="00BB7789" w:rsidP="00F04DC8">
            <w:pPr>
              <w:ind w:left="-93" w:right="-123"/>
              <w:jc w:val="both"/>
              <w:rPr>
                <w:rFonts w:ascii="Arial" w:hAnsi="Arial" w:cs="Arial"/>
                <w:sz w:val="20"/>
                <w:szCs w:val="20"/>
              </w:rPr>
            </w:pPr>
          </w:p>
          <w:p w14:paraId="65291E8A" w14:textId="77777777" w:rsidR="00BB7789" w:rsidRPr="00BB7789" w:rsidRDefault="00BB7789" w:rsidP="00F04DC8">
            <w:pPr>
              <w:ind w:left="-93" w:right="-123"/>
              <w:jc w:val="both"/>
              <w:rPr>
                <w:rFonts w:ascii="Arial" w:hAnsi="Arial" w:cs="Arial"/>
                <w:sz w:val="20"/>
                <w:szCs w:val="20"/>
              </w:rPr>
            </w:pPr>
          </w:p>
          <w:p w14:paraId="7585915F" w14:textId="77777777" w:rsidR="00BB7789" w:rsidRPr="00BB7789" w:rsidRDefault="00BB7789" w:rsidP="00F04DC8">
            <w:pPr>
              <w:ind w:left="-93" w:right="-123"/>
              <w:jc w:val="both"/>
              <w:rPr>
                <w:rFonts w:ascii="Arial" w:hAnsi="Arial" w:cs="Arial"/>
                <w:sz w:val="20"/>
                <w:szCs w:val="20"/>
              </w:rPr>
            </w:pPr>
          </w:p>
        </w:tc>
        <w:tc>
          <w:tcPr>
            <w:tcW w:w="1845" w:type="dxa"/>
            <w:vAlign w:val="center"/>
          </w:tcPr>
          <w:p w14:paraId="2026EDFD" w14:textId="77777777" w:rsidR="00BB7789" w:rsidRPr="00BB7789" w:rsidRDefault="00BB7789" w:rsidP="00F04DC8">
            <w:pPr>
              <w:ind w:left="-93" w:right="-123"/>
              <w:jc w:val="both"/>
              <w:rPr>
                <w:rFonts w:ascii="Arial" w:hAnsi="Arial" w:cs="Arial"/>
                <w:sz w:val="20"/>
                <w:szCs w:val="20"/>
              </w:rPr>
            </w:pPr>
          </w:p>
          <w:p w14:paraId="1084BBC9" w14:textId="77777777" w:rsidR="00BB7789" w:rsidRPr="00BB7789" w:rsidRDefault="00BB7789" w:rsidP="00F04DC8">
            <w:pPr>
              <w:ind w:left="-93" w:right="-123"/>
              <w:jc w:val="both"/>
              <w:rPr>
                <w:rFonts w:ascii="Arial" w:hAnsi="Arial" w:cs="Arial"/>
                <w:sz w:val="20"/>
                <w:szCs w:val="20"/>
              </w:rPr>
            </w:pPr>
          </w:p>
          <w:p w14:paraId="4F24BC5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-4.470</w:t>
            </w:r>
          </w:p>
          <w:p w14:paraId="4F599FBB"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(0.234</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51F33780" w14:textId="77777777" w:rsidTr="00F04DC8">
        <w:trPr>
          <w:trHeight w:val="584"/>
        </w:trPr>
        <w:tc>
          <w:tcPr>
            <w:tcW w:w="1125" w:type="dxa"/>
            <w:vMerge/>
            <w:vAlign w:val="center"/>
          </w:tcPr>
          <w:p w14:paraId="252B9D17" w14:textId="77777777" w:rsidR="00BB7789" w:rsidRPr="00BB7789" w:rsidRDefault="00BB7789" w:rsidP="00F04DC8">
            <w:pPr>
              <w:jc w:val="both"/>
              <w:rPr>
                <w:rFonts w:ascii="Arial" w:hAnsi="Arial" w:cs="Arial"/>
                <w:b/>
                <w:bCs/>
                <w:sz w:val="20"/>
                <w:szCs w:val="20"/>
              </w:rPr>
            </w:pPr>
          </w:p>
        </w:tc>
        <w:tc>
          <w:tcPr>
            <w:tcW w:w="1538" w:type="dxa"/>
          </w:tcPr>
          <w:p w14:paraId="153653EC" w14:textId="77777777" w:rsidR="00BB7789" w:rsidRPr="00BB7789" w:rsidRDefault="00BB7789" w:rsidP="00F04DC8">
            <w:pPr>
              <w:ind w:left="-93" w:right="-123"/>
              <w:jc w:val="both"/>
              <w:rPr>
                <w:rFonts w:ascii="Arial" w:hAnsi="Arial" w:cs="Arial"/>
                <w:b/>
                <w:bCs/>
                <w:sz w:val="20"/>
                <w:szCs w:val="20"/>
              </w:rPr>
            </w:pPr>
          </w:p>
          <w:p w14:paraId="603E5308"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(After)</w:t>
            </w:r>
          </w:p>
        </w:tc>
        <w:tc>
          <w:tcPr>
            <w:tcW w:w="3589" w:type="dxa"/>
            <w:gridSpan w:val="2"/>
            <w:vAlign w:val="center"/>
          </w:tcPr>
          <w:p w14:paraId="520452FD" w14:textId="77777777" w:rsidR="00BB7789" w:rsidRPr="00BB7789" w:rsidRDefault="00BB7789" w:rsidP="00F04DC8">
            <w:pPr>
              <w:ind w:left="-93" w:right="-123"/>
              <w:jc w:val="both"/>
              <w:rPr>
                <w:rFonts w:ascii="Arial" w:hAnsi="Arial" w:cs="Arial"/>
                <w:sz w:val="20"/>
                <w:szCs w:val="20"/>
              </w:rPr>
            </w:pPr>
          </w:p>
        </w:tc>
        <w:tc>
          <w:tcPr>
            <w:tcW w:w="1436" w:type="dxa"/>
            <w:vAlign w:val="center"/>
          </w:tcPr>
          <w:p w14:paraId="0AF0A222" w14:textId="77777777" w:rsidR="00BB7789" w:rsidRPr="00BB7789" w:rsidRDefault="00BB7789" w:rsidP="00F04DC8">
            <w:pPr>
              <w:ind w:left="-93" w:right="-123"/>
              <w:jc w:val="both"/>
              <w:rPr>
                <w:rFonts w:ascii="Arial" w:hAnsi="Arial" w:cs="Arial"/>
                <w:sz w:val="20"/>
                <w:szCs w:val="20"/>
              </w:rPr>
            </w:pPr>
          </w:p>
        </w:tc>
        <w:tc>
          <w:tcPr>
            <w:tcW w:w="1845" w:type="dxa"/>
            <w:vAlign w:val="center"/>
          </w:tcPr>
          <w:p w14:paraId="4C88AD3F"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-7.774</w:t>
            </w:r>
          </w:p>
          <w:p w14:paraId="326B1AE3"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66C0DF27" w14:textId="77777777" w:rsidTr="00F04DC8">
        <w:trPr>
          <w:trHeight w:val="1132"/>
        </w:trPr>
        <w:tc>
          <w:tcPr>
            <w:tcW w:w="1125" w:type="dxa"/>
            <w:vMerge w:val="restart"/>
            <w:vAlign w:val="center"/>
            <w:hideMark/>
          </w:tcPr>
          <w:p w14:paraId="7AA51CD0" w14:textId="77777777" w:rsidR="00BB7789" w:rsidRPr="00BB7789" w:rsidRDefault="00BB7789" w:rsidP="00F04DC8">
            <w:pPr>
              <w:jc w:val="both"/>
              <w:rPr>
                <w:rFonts w:ascii="Arial" w:hAnsi="Arial" w:cs="Arial"/>
                <w:b/>
                <w:bCs/>
                <w:sz w:val="20"/>
                <w:szCs w:val="20"/>
              </w:rPr>
            </w:pPr>
          </w:p>
          <w:p w14:paraId="2B4F464F" w14:textId="77777777" w:rsidR="00BB7789" w:rsidRPr="00BB7789" w:rsidRDefault="00BB7789" w:rsidP="00F04DC8">
            <w:pPr>
              <w:jc w:val="both"/>
              <w:rPr>
                <w:rFonts w:ascii="Arial" w:hAnsi="Arial" w:cs="Arial"/>
                <w:b/>
                <w:bCs/>
                <w:sz w:val="20"/>
                <w:szCs w:val="20"/>
              </w:rPr>
            </w:pPr>
          </w:p>
          <w:p w14:paraId="1B490A29"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Attitude</w:t>
            </w:r>
          </w:p>
          <w:p w14:paraId="5C1788FB" w14:textId="77777777" w:rsidR="00BB7789" w:rsidRPr="00BB7789" w:rsidRDefault="00BB7789" w:rsidP="00F04DC8">
            <w:pPr>
              <w:jc w:val="both"/>
              <w:rPr>
                <w:rFonts w:ascii="Arial" w:hAnsi="Arial" w:cs="Arial"/>
                <w:b/>
                <w:bCs/>
                <w:sz w:val="20"/>
                <w:szCs w:val="20"/>
              </w:rPr>
            </w:pPr>
          </w:p>
          <w:p w14:paraId="0DEEE6F8" w14:textId="77777777" w:rsidR="00BB7789" w:rsidRPr="00BB7789" w:rsidRDefault="00BB7789" w:rsidP="00F04DC8">
            <w:pPr>
              <w:jc w:val="both"/>
              <w:rPr>
                <w:rFonts w:ascii="Arial" w:hAnsi="Arial" w:cs="Arial"/>
                <w:b/>
                <w:bCs/>
                <w:sz w:val="20"/>
                <w:szCs w:val="20"/>
              </w:rPr>
            </w:pPr>
          </w:p>
          <w:p w14:paraId="211F6D25" w14:textId="77777777" w:rsidR="00BB7789" w:rsidRPr="00BB7789" w:rsidRDefault="00BB7789" w:rsidP="00F04DC8">
            <w:pPr>
              <w:jc w:val="both"/>
              <w:rPr>
                <w:rFonts w:ascii="Arial" w:hAnsi="Arial" w:cs="Arial"/>
                <w:b/>
                <w:bCs/>
                <w:sz w:val="20"/>
                <w:szCs w:val="20"/>
              </w:rPr>
            </w:pPr>
          </w:p>
          <w:p w14:paraId="4DAAEEFF" w14:textId="77777777" w:rsidR="00BB7789" w:rsidRPr="00BB7789" w:rsidRDefault="00BB7789" w:rsidP="00F04DC8">
            <w:pPr>
              <w:jc w:val="both"/>
              <w:rPr>
                <w:rFonts w:ascii="Arial" w:hAnsi="Arial" w:cs="Arial"/>
                <w:b/>
                <w:bCs/>
                <w:sz w:val="20"/>
                <w:szCs w:val="20"/>
              </w:rPr>
            </w:pPr>
          </w:p>
          <w:p w14:paraId="319F7C36" w14:textId="77777777" w:rsidR="00BB7789" w:rsidRPr="00BB7789" w:rsidRDefault="00BB7789" w:rsidP="00F04DC8">
            <w:pPr>
              <w:jc w:val="both"/>
              <w:rPr>
                <w:rFonts w:ascii="Arial" w:hAnsi="Arial" w:cs="Arial"/>
                <w:b/>
                <w:bCs/>
                <w:sz w:val="20"/>
                <w:szCs w:val="20"/>
              </w:rPr>
            </w:pPr>
          </w:p>
          <w:p w14:paraId="4E6CF9B6" w14:textId="77777777" w:rsidR="00BB7789" w:rsidRPr="00BB7789" w:rsidRDefault="00BB7789" w:rsidP="00F04DC8">
            <w:pPr>
              <w:jc w:val="both"/>
              <w:rPr>
                <w:rFonts w:ascii="Arial" w:hAnsi="Arial" w:cs="Arial"/>
                <w:b/>
                <w:bCs/>
                <w:sz w:val="20"/>
                <w:szCs w:val="20"/>
              </w:rPr>
            </w:pPr>
          </w:p>
          <w:p w14:paraId="45B489A4" w14:textId="4614B609" w:rsidR="00BB7789" w:rsidRPr="00BB7789" w:rsidRDefault="00814C08" w:rsidP="00F04DC8">
            <w:pPr>
              <w:jc w:val="both"/>
              <w:rPr>
                <w:rFonts w:ascii="Arial" w:hAnsi="Arial" w:cs="Arial"/>
                <w:b/>
                <w:bCs/>
                <w:sz w:val="20"/>
                <w:szCs w:val="20"/>
              </w:rPr>
            </w:pPr>
            <w:r>
              <w:rPr>
                <w:rFonts w:ascii="Arial" w:hAnsi="Arial" w:cs="Arial"/>
                <w:noProof/>
              </w:rPr>
              <w:pict w14:anchorId="718BF081">
                <v:line id="Straight Connector 19" o:spid="_x0000_s1029"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95pt" to="74.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" strokecolor="windowText" strokeweight=".5pt">
                  <v:stroke joinstyle="miter"/>
                </v:line>
              </w:pict>
            </w:r>
          </w:p>
          <w:p w14:paraId="3A114034" w14:textId="77777777" w:rsidR="00BB7789" w:rsidRPr="00BB7789" w:rsidRDefault="00BB7789" w:rsidP="00F04DC8">
            <w:pPr>
              <w:jc w:val="both"/>
              <w:rPr>
                <w:rFonts w:ascii="Arial" w:hAnsi="Arial" w:cs="Arial"/>
                <w:b/>
                <w:bCs/>
                <w:sz w:val="20"/>
                <w:szCs w:val="20"/>
              </w:rPr>
            </w:pPr>
          </w:p>
          <w:p w14:paraId="42D8ECBF" w14:textId="77777777" w:rsidR="00BB7789" w:rsidRPr="00BB7789" w:rsidRDefault="00BB7789" w:rsidP="00F04DC8">
            <w:pPr>
              <w:jc w:val="both"/>
              <w:rPr>
                <w:rFonts w:ascii="Arial" w:hAnsi="Arial" w:cs="Arial"/>
                <w:b/>
                <w:bCs/>
                <w:sz w:val="20"/>
                <w:szCs w:val="20"/>
              </w:rPr>
            </w:pPr>
          </w:p>
          <w:p w14:paraId="16FF3DC5"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 xml:space="preserve">Expt. vs control </w:t>
            </w:r>
          </w:p>
          <w:p w14:paraId="58F174FF" w14:textId="77777777" w:rsidR="00BB7789" w:rsidRPr="00BB7789" w:rsidRDefault="00BB7789" w:rsidP="00F04DC8">
            <w:pPr>
              <w:jc w:val="both"/>
              <w:rPr>
                <w:rFonts w:ascii="Arial" w:hAnsi="Arial" w:cs="Arial"/>
                <w:b/>
                <w:bCs/>
                <w:sz w:val="20"/>
                <w:szCs w:val="20"/>
              </w:rPr>
            </w:pPr>
          </w:p>
          <w:p w14:paraId="422250F3" w14:textId="77777777" w:rsidR="00BB7789" w:rsidRPr="00BB7789" w:rsidRDefault="00BB7789" w:rsidP="00F04DC8">
            <w:pPr>
              <w:jc w:val="both"/>
              <w:rPr>
                <w:rFonts w:ascii="Arial" w:hAnsi="Arial" w:cs="Arial"/>
                <w:b/>
                <w:bCs/>
                <w:sz w:val="20"/>
                <w:szCs w:val="20"/>
              </w:rPr>
            </w:pPr>
          </w:p>
          <w:p w14:paraId="39884CD9" w14:textId="77777777" w:rsidR="00BB7789" w:rsidRPr="00BB7789" w:rsidRDefault="00BB7789" w:rsidP="00F04DC8">
            <w:pPr>
              <w:jc w:val="both"/>
              <w:rPr>
                <w:rFonts w:ascii="Arial" w:hAnsi="Arial" w:cs="Arial"/>
                <w:b/>
                <w:bCs/>
                <w:sz w:val="20"/>
                <w:szCs w:val="20"/>
              </w:rPr>
            </w:pPr>
          </w:p>
          <w:p w14:paraId="3CF9011E" w14:textId="77777777" w:rsidR="00BB7789" w:rsidRPr="00BB7789" w:rsidRDefault="00BB7789" w:rsidP="00F04DC8">
            <w:pPr>
              <w:jc w:val="both"/>
              <w:rPr>
                <w:rFonts w:ascii="Arial" w:hAnsi="Arial" w:cs="Arial"/>
                <w:b/>
                <w:bCs/>
                <w:sz w:val="20"/>
                <w:szCs w:val="20"/>
              </w:rPr>
            </w:pPr>
          </w:p>
          <w:p w14:paraId="37AC9F09" w14:textId="77777777" w:rsidR="00BB7789" w:rsidRPr="00BB7789" w:rsidRDefault="00BB7789" w:rsidP="00F04DC8">
            <w:pPr>
              <w:jc w:val="both"/>
              <w:rPr>
                <w:rFonts w:ascii="Arial" w:hAnsi="Arial" w:cs="Arial"/>
                <w:b/>
                <w:bCs/>
                <w:sz w:val="20"/>
                <w:szCs w:val="20"/>
              </w:rPr>
            </w:pPr>
          </w:p>
          <w:p w14:paraId="745DEC84" w14:textId="77777777" w:rsidR="00BB7789" w:rsidRPr="00BB7789" w:rsidRDefault="00BB7789" w:rsidP="00F04DC8">
            <w:pPr>
              <w:jc w:val="both"/>
              <w:rPr>
                <w:rFonts w:ascii="Arial" w:hAnsi="Arial" w:cs="Arial"/>
                <w:b/>
                <w:bCs/>
                <w:sz w:val="20"/>
                <w:szCs w:val="20"/>
              </w:rPr>
            </w:pPr>
          </w:p>
          <w:p w14:paraId="52477266" w14:textId="77777777" w:rsidR="00BB7789" w:rsidRPr="00BB7789" w:rsidRDefault="00BB7789" w:rsidP="00F04DC8">
            <w:pPr>
              <w:jc w:val="both"/>
              <w:rPr>
                <w:rFonts w:ascii="Arial" w:hAnsi="Arial" w:cs="Arial"/>
                <w:b/>
                <w:bCs/>
                <w:sz w:val="20"/>
                <w:szCs w:val="20"/>
              </w:rPr>
            </w:pPr>
          </w:p>
          <w:p w14:paraId="19FC8301" w14:textId="77777777" w:rsidR="00BB7789" w:rsidRPr="00BB7789" w:rsidRDefault="00BB7789" w:rsidP="00F04DC8">
            <w:pPr>
              <w:jc w:val="both"/>
              <w:rPr>
                <w:rFonts w:ascii="Arial" w:hAnsi="Arial" w:cs="Arial"/>
                <w:b/>
                <w:bCs/>
                <w:sz w:val="20"/>
                <w:szCs w:val="20"/>
              </w:rPr>
            </w:pPr>
          </w:p>
          <w:p w14:paraId="073A8FF0" w14:textId="77777777" w:rsidR="00BB7789" w:rsidRPr="00BB7789" w:rsidRDefault="00BB7789" w:rsidP="00F04DC8">
            <w:pPr>
              <w:jc w:val="both"/>
              <w:rPr>
                <w:rFonts w:ascii="Arial" w:hAnsi="Arial" w:cs="Arial"/>
                <w:b/>
                <w:bCs/>
                <w:sz w:val="20"/>
                <w:szCs w:val="20"/>
              </w:rPr>
            </w:pPr>
            <w:r w:rsidRPr="00BB7789">
              <w:rPr>
                <w:rFonts w:ascii="Arial" w:hAnsi="Arial" w:cs="Arial"/>
                <w:b/>
                <w:bCs/>
                <w:sz w:val="20"/>
                <w:szCs w:val="20"/>
              </w:rPr>
              <w:t>Practice</w:t>
            </w:r>
          </w:p>
        </w:tc>
        <w:tc>
          <w:tcPr>
            <w:tcW w:w="1538" w:type="dxa"/>
          </w:tcPr>
          <w:p w14:paraId="6CB0A41B" w14:textId="77777777" w:rsidR="00BB7789" w:rsidRPr="00BB7789" w:rsidRDefault="00BB7789" w:rsidP="00F04DC8">
            <w:pPr>
              <w:ind w:left="-93" w:right="-123"/>
              <w:jc w:val="both"/>
              <w:rPr>
                <w:rFonts w:ascii="Arial" w:hAnsi="Arial" w:cs="Arial"/>
                <w:b/>
                <w:bCs/>
                <w:sz w:val="20"/>
                <w:szCs w:val="20"/>
              </w:rPr>
            </w:pPr>
          </w:p>
          <w:p w14:paraId="4F94894F"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Experiment </w:t>
            </w:r>
          </w:p>
        </w:tc>
        <w:tc>
          <w:tcPr>
            <w:tcW w:w="1538" w:type="dxa"/>
            <w:vAlign w:val="center"/>
          </w:tcPr>
          <w:p w14:paraId="10646BF3" w14:textId="77777777" w:rsidR="00BB7789" w:rsidRPr="00BB7789" w:rsidRDefault="00BB7789" w:rsidP="00F04DC8">
            <w:pPr>
              <w:ind w:left="-93" w:right="-123"/>
              <w:jc w:val="both"/>
              <w:rPr>
                <w:rFonts w:ascii="Arial" w:hAnsi="Arial" w:cs="Arial"/>
                <w:sz w:val="20"/>
                <w:szCs w:val="20"/>
              </w:rPr>
            </w:pPr>
            <w:bookmarkStart w:id="1" w:name="_Hlk206932641"/>
            <w:r w:rsidRPr="00BB7789">
              <w:rPr>
                <w:rFonts w:ascii="Arial" w:hAnsi="Arial" w:cs="Arial"/>
                <w:sz w:val="20"/>
                <w:szCs w:val="20"/>
              </w:rPr>
              <w:t>44.5±14.71</w:t>
            </w:r>
            <w:bookmarkEnd w:id="1"/>
          </w:p>
        </w:tc>
        <w:tc>
          <w:tcPr>
            <w:tcW w:w="2051" w:type="dxa"/>
            <w:vAlign w:val="center"/>
          </w:tcPr>
          <w:p w14:paraId="778E115B"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58.2±14.56</w:t>
            </w:r>
          </w:p>
        </w:tc>
        <w:tc>
          <w:tcPr>
            <w:tcW w:w="1436" w:type="dxa"/>
            <w:vAlign w:val="center"/>
          </w:tcPr>
          <w:p w14:paraId="203CC639"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-13.7</w:t>
            </w:r>
          </w:p>
          <w:p w14:paraId="568D3D6A"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(-30.79)</w:t>
            </w:r>
          </w:p>
        </w:tc>
        <w:tc>
          <w:tcPr>
            <w:tcW w:w="1845" w:type="dxa"/>
            <w:vAlign w:val="center"/>
          </w:tcPr>
          <w:p w14:paraId="0379FB01"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-6.3463</w:t>
            </w:r>
          </w:p>
          <w:p w14:paraId="799F13A0"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41457E0F" w14:textId="77777777" w:rsidTr="00F04DC8">
        <w:trPr>
          <w:trHeight w:val="1132"/>
        </w:trPr>
        <w:tc>
          <w:tcPr>
            <w:tcW w:w="1125" w:type="dxa"/>
            <w:vMerge/>
            <w:vAlign w:val="center"/>
          </w:tcPr>
          <w:p w14:paraId="103DC917" w14:textId="77777777" w:rsidR="00BB7789" w:rsidRPr="00BB7789" w:rsidRDefault="00BB7789" w:rsidP="00F04DC8">
            <w:pPr>
              <w:jc w:val="both"/>
              <w:rPr>
                <w:rFonts w:ascii="Arial" w:hAnsi="Arial" w:cs="Arial"/>
                <w:b/>
                <w:bCs/>
                <w:sz w:val="20"/>
                <w:szCs w:val="20"/>
              </w:rPr>
            </w:pPr>
          </w:p>
        </w:tc>
        <w:tc>
          <w:tcPr>
            <w:tcW w:w="1538" w:type="dxa"/>
          </w:tcPr>
          <w:p w14:paraId="2D583CBE" w14:textId="77777777" w:rsidR="00BB7789" w:rsidRPr="00BB7789" w:rsidRDefault="00BB7789" w:rsidP="00F04DC8">
            <w:pPr>
              <w:ind w:left="-93" w:right="-123"/>
              <w:jc w:val="both"/>
              <w:rPr>
                <w:rFonts w:ascii="Arial" w:hAnsi="Arial" w:cs="Arial"/>
                <w:b/>
                <w:bCs/>
                <w:sz w:val="20"/>
                <w:szCs w:val="20"/>
              </w:rPr>
            </w:pPr>
          </w:p>
          <w:p w14:paraId="2D1F0025" w14:textId="77777777" w:rsidR="00BB7789" w:rsidRPr="00BB7789" w:rsidRDefault="00BB7789" w:rsidP="00F04DC8">
            <w:pPr>
              <w:ind w:left="-93" w:right="-123"/>
              <w:jc w:val="both"/>
              <w:rPr>
                <w:rFonts w:ascii="Arial" w:hAnsi="Arial" w:cs="Arial"/>
                <w:b/>
                <w:bCs/>
                <w:sz w:val="20"/>
                <w:szCs w:val="20"/>
              </w:rPr>
            </w:pPr>
          </w:p>
          <w:p w14:paraId="19554AFC"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Control </w:t>
            </w:r>
          </w:p>
          <w:p w14:paraId="782A5A38" w14:textId="77777777" w:rsidR="00BB7789" w:rsidRPr="00BB7789" w:rsidRDefault="00BB7789" w:rsidP="00F04DC8">
            <w:pPr>
              <w:ind w:left="-93" w:right="-123"/>
              <w:jc w:val="both"/>
              <w:rPr>
                <w:rFonts w:ascii="Arial" w:hAnsi="Arial" w:cs="Arial"/>
                <w:b/>
                <w:bCs/>
                <w:sz w:val="20"/>
                <w:szCs w:val="20"/>
              </w:rPr>
            </w:pPr>
          </w:p>
          <w:p w14:paraId="0BD40AC9" w14:textId="77777777" w:rsidR="00BB7789" w:rsidRPr="00BB7789" w:rsidRDefault="00BB7789" w:rsidP="00F04DC8">
            <w:pPr>
              <w:ind w:left="-93" w:right="-123"/>
              <w:jc w:val="both"/>
              <w:rPr>
                <w:rFonts w:ascii="Arial" w:hAnsi="Arial" w:cs="Arial"/>
                <w:b/>
                <w:bCs/>
                <w:sz w:val="20"/>
                <w:szCs w:val="20"/>
              </w:rPr>
            </w:pPr>
          </w:p>
          <w:p w14:paraId="60AE7EFC"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214A6BB5"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36.83±2.21</w:t>
            </w:r>
          </w:p>
        </w:tc>
        <w:tc>
          <w:tcPr>
            <w:tcW w:w="2051" w:type="dxa"/>
            <w:vAlign w:val="center"/>
          </w:tcPr>
          <w:p w14:paraId="3F12B048"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37.13±2.81</w:t>
            </w:r>
          </w:p>
        </w:tc>
        <w:tc>
          <w:tcPr>
            <w:tcW w:w="1436" w:type="dxa"/>
            <w:vAlign w:val="center"/>
          </w:tcPr>
          <w:p w14:paraId="4B01967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0.30</w:t>
            </w:r>
          </w:p>
          <w:p w14:paraId="16F64B0B"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(0.81)</w:t>
            </w:r>
          </w:p>
        </w:tc>
        <w:tc>
          <w:tcPr>
            <w:tcW w:w="1845" w:type="dxa"/>
            <w:vAlign w:val="center"/>
          </w:tcPr>
          <w:p w14:paraId="01A9A97C"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-0.528</w:t>
            </w:r>
          </w:p>
          <w:p w14:paraId="64D7AE45"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(0.600</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64B5C762" w14:textId="77777777" w:rsidTr="00F04DC8">
        <w:trPr>
          <w:trHeight w:val="1132"/>
        </w:trPr>
        <w:tc>
          <w:tcPr>
            <w:tcW w:w="1125" w:type="dxa"/>
            <w:vMerge/>
            <w:vAlign w:val="center"/>
          </w:tcPr>
          <w:p w14:paraId="2201E775" w14:textId="77777777" w:rsidR="00BB7789" w:rsidRPr="00BB7789" w:rsidRDefault="00BB7789" w:rsidP="00F04DC8">
            <w:pPr>
              <w:jc w:val="both"/>
              <w:rPr>
                <w:rFonts w:ascii="Arial" w:hAnsi="Arial" w:cs="Arial"/>
                <w:b/>
                <w:bCs/>
                <w:sz w:val="20"/>
                <w:szCs w:val="20"/>
              </w:rPr>
            </w:pPr>
          </w:p>
        </w:tc>
        <w:tc>
          <w:tcPr>
            <w:tcW w:w="1538" w:type="dxa"/>
          </w:tcPr>
          <w:p w14:paraId="3E193D75" w14:textId="77777777" w:rsidR="00BB7789" w:rsidRPr="00BB7789" w:rsidRDefault="00BB7789" w:rsidP="00F04DC8">
            <w:pPr>
              <w:ind w:left="-93" w:right="-123"/>
              <w:jc w:val="both"/>
              <w:rPr>
                <w:rFonts w:ascii="Arial" w:hAnsi="Arial" w:cs="Arial"/>
                <w:b/>
                <w:bCs/>
                <w:sz w:val="20"/>
                <w:szCs w:val="20"/>
              </w:rPr>
            </w:pPr>
          </w:p>
          <w:p w14:paraId="6957960E"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Before </w:t>
            </w:r>
          </w:p>
        </w:tc>
        <w:tc>
          <w:tcPr>
            <w:tcW w:w="5026" w:type="dxa"/>
            <w:gridSpan w:val="3"/>
            <w:vAlign w:val="center"/>
          </w:tcPr>
          <w:p w14:paraId="60248E25" w14:textId="77777777" w:rsidR="00BB7789" w:rsidRPr="00BB7789" w:rsidRDefault="00BB7789" w:rsidP="00F04DC8">
            <w:pPr>
              <w:widowControl w:val="0"/>
              <w:autoSpaceDE w:val="0"/>
              <w:autoSpaceDN w:val="0"/>
              <w:jc w:val="both"/>
              <w:rPr>
                <w:rFonts w:ascii="Arial" w:hAnsi="Arial" w:cs="Arial"/>
                <w:sz w:val="20"/>
                <w:szCs w:val="20"/>
              </w:rPr>
            </w:pPr>
          </w:p>
        </w:tc>
        <w:tc>
          <w:tcPr>
            <w:tcW w:w="1845" w:type="dxa"/>
            <w:vMerge w:val="restart"/>
            <w:vAlign w:val="center"/>
          </w:tcPr>
          <w:p w14:paraId="756E1354"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-2.824</w:t>
            </w:r>
          </w:p>
          <w:p w14:paraId="1AE88151"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(0.567</w:t>
            </w:r>
            <w:r w:rsidRPr="00BB7789">
              <w:rPr>
                <w:rFonts w:ascii="Arial" w:hAnsi="Arial" w:cs="Arial"/>
                <w:sz w:val="20"/>
                <w:szCs w:val="20"/>
                <w:vertAlign w:val="superscript"/>
              </w:rPr>
              <w:t>NS</w:t>
            </w:r>
            <w:r w:rsidRPr="00BB7789">
              <w:rPr>
                <w:rFonts w:ascii="Arial" w:hAnsi="Arial" w:cs="Arial"/>
                <w:sz w:val="20"/>
                <w:szCs w:val="20"/>
              </w:rPr>
              <w:t>)</w:t>
            </w:r>
          </w:p>
        </w:tc>
      </w:tr>
      <w:tr w:rsidR="00BB7789" w:rsidRPr="00BB7789" w14:paraId="5DC7D86F" w14:textId="77777777" w:rsidTr="00F04DC8">
        <w:trPr>
          <w:trHeight w:val="298"/>
        </w:trPr>
        <w:tc>
          <w:tcPr>
            <w:tcW w:w="1125" w:type="dxa"/>
            <w:vMerge/>
            <w:vAlign w:val="center"/>
          </w:tcPr>
          <w:p w14:paraId="2CAED4F7" w14:textId="77777777" w:rsidR="00BB7789" w:rsidRPr="00BB7789" w:rsidRDefault="00BB7789" w:rsidP="00F04DC8">
            <w:pPr>
              <w:jc w:val="both"/>
              <w:rPr>
                <w:rFonts w:ascii="Arial" w:hAnsi="Arial" w:cs="Arial"/>
                <w:b/>
                <w:bCs/>
                <w:sz w:val="20"/>
                <w:szCs w:val="20"/>
              </w:rPr>
            </w:pPr>
          </w:p>
        </w:tc>
        <w:tc>
          <w:tcPr>
            <w:tcW w:w="1538" w:type="dxa"/>
            <w:vMerge w:val="restart"/>
          </w:tcPr>
          <w:p w14:paraId="4A2CE3D1" w14:textId="77777777" w:rsidR="00BB7789" w:rsidRPr="00BB7789" w:rsidRDefault="00BB7789" w:rsidP="00F04DC8">
            <w:pPr>
              <w:ind w:left="-93" w:right="-123"/>
              <w:jc w:val="both"/>
              <w:rPr>
                <w:rFonts w:ascii="Arial" w:hAnsi="Arial" w:cs="Arial"/>
                <w:b/>
                <w:bCs/>
                <w:sz w:val="20"/>
                <w:szCs w:val="20"/>
              </w:rPr>
            </w:pPr>
          </w:p>
          <w:p w14:paraId="372CABD5" w14:textId="77777777" w:rsidR="00BB7789" w:rsidRPr="00BB7789" w:rsidRDefault="00BB7789" w:rsidP="00F04DC8">
            <w:pPr>
              <w:ind w:left="-93" w:right="-123"/>
              <w:jc w:val="both"/>
              <w:rPr>
                <w:rFonts w:ascii="Arial" w:hAnsi="Arial" w:cs="Arial"/>
                <w:b/>
                <w:bCs/>
                <w:sz w:val="20"/>
                <w:szCs w:val="20"/>
              </w:rPr>
            </w:pPr>
          </w:p>
          <w:p w14:paraId="47C8DB3A"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After</w:t>
            </w:r>
          </w:p>
        </w:tc>
        <w:tc>
          <w:tcPr>
            <w:tcW w:w="5026" w:type="dxa"/>
            <w:gridSpan w:val="3"/>
            <w:vMerge w:val="restart"/>
            <w:vAlign w:val="center"/>
          </w:tcPr>
          <w:p w14:paraId="7F8F1988" w14:textId="77777777" w:rsidR="00BB7789" w:rsidRPr="00BB7789" w:rsidRDefault="00BB7789" w:rsidP="00F04DC8">
            <w:pPr>
              <w:widowControl w:val="0"/>
              <w:autoSpaceDE w:val="0"/>
              <w:autoSpaceDN w:val="0"/>
              <w:jc w:val="both"/>
              <w:rPr>
                <w:rFonts w:ascii="Arial" w:hAnsi="Arial" w:cs="Arial"/>
                <w:sz w:val="20"/>
                <w:szCs w:val="20"/>
              </w:rPr>
            </w:pPr>
          </w:p>
        </w:tc>
        <w:tc>
          <w:tcPr>
            <w:tcW w:w="1845" w:type="dxa"/>
            <w:vMerge/>
            <w:vAlign w:val="center"/>
          </w:tcPr>
          <w:p w14:paraId="2FD371F7" w14:textId="77777777" w:rsidR="00BB7789" w:rsidRPr="00BB7789" w:rsidRDefault="00BB7789" w:rsidP="00F04DC8">
            <w:pPr>
              <w:widowControl w:val="0"/>
              <w:autoSpaceDE w:val="0"/>
              <w:autoSpaceDN w:val="0"/>
              <w:jc w:val="both"/>
              <w:rPr>
                <w:rFonts w:ascii="Arial" w:hAnsi="Arial" w:cs="Arial"/>
                <w:sz w:val="20"/>
                <w:szCs w:val="20"/>
              </w:rPr>
            </w:pPr>
          </w:p>
        </w:tc>
      </w:tr>
      <w:tr w:rsidR="00BB7789" w:rsidRPr="00BB7789" w14:paraId="1F2BEB21" w14:textId="77777777" w:rsidTr="00F04DC8">
        <w:trPr>
          <w:trHeight w:val="869"/>
        </w:trPr>
        <w:tc>
          <w:tcPr>
            <w:tcW w:w="1125" w:type="dxa"/>
            <w:vMerge/>
            <w:vAlign w:val="center"/>
          </w:tcPr>
          <w:p w14:paraId="56C71402" w14:textId="77777777" w:rsidR="00BB7789" w:rsidRPr="00BB7789" w:rsidRDefault="00BB7789" w:rsidP="00F04DC8">
            <w:pPr>
              <w:jc w:val="both"/>
              <w:rPr>
                <w:rFonts w:ascii="Arial" w:hAnsi="Arial" w:cs="Arial"/>
                <w:b/>
                <w:bCs/>
                <w:sz w:val="20"/>
                <w:szCs w:val="20"/>
              </w:rPr>
            </w:pPr>
          </w:p>
        </w:tc>
        <w:tc>
          <w:tcPr>
            <w:tcW w:w="1538" w:type="dxa"/>
            <w:vMerge/>
          </w:tcPr>
          <w:p w14:paraId="2E5769F8" w14:textId="77777777" w:rsidR="00BB7789" w:rsidRPr="00BB7789" w:rsidRDefault="00BB7789" w:rsidP="00F04DC8">
            <w:pPr>
              <w:ind w:left="-93" w:right="-123"/>
              <w:jc w:val="both"/>
              <w:rPr>
                <w:rFonts w:ascii="Arial" w:hAnsi="Arial" w:cs="Arial"/>
                <w:b/>
                <w:bCs/>
                <w:sz w:val="20"/>
                <w:szCs w:val="20"/>
              </w:rPr>
            </w:pPr>
          </w:p>
        </w:tc>
        <w:tc>
          <w:tcPr>
            <w:tcW w:w="5026" w:type="dxa"/>
            <w:gridSpan w:val="3"/>
            <w:vMerge/>
            <w:vAlign w:val="center"/>
          </w:tcPr>
          <w:p w14:paraId="6A890F61" w14:textId="77777777" w:rsidR="00BB7789" w:rsidRPr="00BB7789" w:rsidRDefault="00BB7789" w:rsidP="00F04DC8">
            <w:pPr>
              <w:widowControl w:val="0"/>
              <w:autoSpaceDE w:val="0"/>
              <w:autoSpaceDN w:val="0"/>
              <w:jc w:val="both"/>
              <w:rPr>
                <w:rFonts w:ascii="Arial" w:hAnsi="Arial" w:cs="Arial"/>
                <w:sz w:val="20"/>
                <w:szCs w:val="20"/>
              </w:rPr>
            </w:pPr>
          </w:p>
        </w:tc>
        <w:tc>
          <w:tcPr>
            <w:tcW w:w="1845" w:type="dxa"/>
            <w:vAlign w:val="center"/>
          </w:tcPr>
          <w:p w14:paraId="271FF699"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-7.837</w:t>
            </w:r>
          </w:p>
          <w:p w14:paraId="104416D0"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(0.000***)</w:t>
            </w:r>
          </w:p>
        </w:tc>
      </w:tr>
      <w:tr w:rsidR="00BB7789" w:rsidRPr="00BB7789" w14:paraId="3B3E9EEB" w14:textId="77777777" w:rsidTr="00F04DC8">
        <w:trPr>
          <w:trHeight w:val="1132"/>
        </w:trPr>
        <w:tc>
          <w:tcPr>
            <w:tcW w:w="1125" w:type="dxa"/>
            <w:vMerge/>
            <w:vAlign w:val="center"/>
            <w:hideMark/>
          </w:tcPr>
          <w:p w14:paraId="72E801FD" w14:textId="77777777" w:rsidR="00BB7789" w:rsidRPr="00BB7789" w:rsidRDefault="00BB7789" w:rsidP="00F04DC8">
            <w:pPr>
              <w:jc w:val="both"/>
              <w:rPr>
                <w:rFonts w:ascii="Arial" w:hAnsi="Arial" w:cs="Arial"/>
                <w:b/>
                <w:bCs/>
                <w:sz w:val="20"/>
                <w:szCs w:val="20"/>
              </w:rPr>
            </w:pPr>
          </w:p>
        </w:tc>
        <w:tc>
          <w:tcPr>
            <w:tcW w:w="1538" w:type="dxa"/>
          </w:tcPr>
          <w:p w14:paraId="49A13F2B" w14:textId="77777777" w:rsidR="00BB7789" w:rsidRPr="00BB7789" w:rsidRDefault="00BB7789" w:rsidP="00F04DC8">
            <w:pPr>
              <w:ind w:left="-93" w:right="-123"/>
              <w:jc w:val="both"/>
              <w:rPr>
                <w:rFonts w:ascii="Arial" w:hAnsi="Arial" w:cs="Arial"/>
                <w:b/>
                <w:bCs/>
                <w:sz w:val="20"/>
                <w:szCs w:val="20"/>
              </w:rPr>
            </w:pPr>
          </w:p>
          <w:p w14:paraId="4A0142FD" w14:textId="77777777" w:rsidR="00BB7789" w:rsidRPr="00BB7789" w:rsidRDefault="00BB7789" w:rsidP="00F04DC8">
            <w:pPr>
              <w:ind w:left="-93" w:right="-123"/>
              <w:jc w:val="both"/>
              <w:rPr>
                <w:rFonts w:ascii="Arial" w:hAnsi="Arial" w:cs="Arial"/>
                <w:b/>
                <w:bCs/>
                <w:sz w:val="20"/>
                <w:szCs w:val="20"/>
              </w:rPr>
            </w:pPr>
          </w:p>
          <w:p w14:paraId="2D73D31B" w14:textId="77777777" w:rsidR="00BB7789" w:rsidRPr="00BB7789" w:rsidRDefault="00BB7789" w:rsidP="00F04DC8">
            <w:pPr>
              <w:ind w:left="-93" w:right="-123"/>
              <w:jc w:val="both"/>
              <w:rPr>
                <w:rFonts w:ascii="Arial" w:hAnsi="Arial" w:cs="Arial"/>
                <w:b/>
                <w:bCs/>
                <w:sz w:val="20"/>
                <w:szCs w:val="20"/>
              </w:rPr>
            </w:pPr>
          </w:p>
          <w:p w14:paraId="4F767B90" w14:textId="77777777" w:rsidR="00BB7789" w:rsidRPr="00BB7789" w:rsidRDefault="00BB7789" w:rsidP="00F04DC8">
            <w:pPr>
              <w:ind w:left="-93" w:right="-123"/>
              <w:jc w:val="both"/>
              <w:rPr>
                <w:rFonts w:ascii="Arial" w:hAnsi="Arial" w:cs="Arial"/>
                <w:b/>
                <w:bCs/>
                <w:sz w:val="20"/>
                <w:szCs w:val="20"/>
              </w:rPr>
            </w:pPr>
          </w:p>
          <w:p w14:paraId="0F6F2B77"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Experiment </w:t>
            </w:r>
          </w:p>
        </w:tc>
        <w:tc>
          <w:tcPr>
            <w:tcW w:w="1538" w:type="dxa"/>
            <w:vAlign w:val="center"/>
          </w:tcPr>
          <w:p w14:paraId="36E33A2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37.1667±13.444</w:t>
            </w:r>
          </w:p>
        </w:tc>
        <w:tc>
          <w:tcPr>
            <w:tcW w:w="2051" w:type="dxa"/>
            <w:vAlign w:val="center"/>
          </w:tcPr>
          <w:p w14:paraId="463A3C9D"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54.6±15.217</w:t>
            </w:r>
          </w:p>
        </w:tc>
        <w:tc>
          <w:tcPr>
            <w:tcW w:w="1436" w:type="dxa"/>
            <w:vAlign w:val="center"/>
          </w:tcPr>
          <w:p w14:paraId="43341C1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-17.4333</w:t>
            </w:r>
          </w:p>
          <w:p w14:paraId="41267C04"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(-46.905)</w:t>
            </w:r>
          </w:p>
        </w:tc>
        <w:tc>
          <w:tcPr>
            <w:tcW w:w="1845" w:type="dxa"/>
            <w:vAlign w:val="center"/>
          </w:tcPr>
          <w:p w14:paraId="7C70813D"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-6.8005</w:t>
            </w:r>
          </w:p>
          <w:p w14:paraId="031AEE8F" w14:textId="77777777" w:rsidR="00BB7789" w:rsidRPr="00BB7789" w:rsidRDefault="00BB7789" w:rsidP="00F04DC8">
            <w:pPr>
              <w:ind w:left="-93" w:right="-123"/>
              <w:jc w:val="both"/>
              <w:rPr>
                <w:rFonts w:ascii="Arial" w:hAnsi="Arial" w:cs="Arial"/>
                <w:sz w:val="20"/>
                <w:szCs w:val="20"/>
              </w:rPr>
            </w:pPr>
            <w:r w:rsidRPr="00BB7789">
              <w:rPr>
                <w:rFonts w:ascii="Arial" w:hAnsi="Arial" w:cs="Arial"/>
                <w:sz w:val="20"/>
                <w:szCs w:val="20"/>
              </w:rPr>
              <w:t>(0.000***)</w:t>
            </w:r>
          </w:p>
        </w:tc>
      </w:tr>
      <w:tr w:rsidR="00BB7789" w:rsidRPr="00BB7789" w14:paraId="455A120A" w14:textId="77777777" w:rsidTr="00F04DC8">
        <w:trPr>
          <w:trHeight w:val="1132"/>
        </w:trPr>
        <w:tc>
          <w:tcPr>
            <w:tcW w:w="1125" w:type="dxa"/>
            <w:vMerge/>
            <w:vAlign w:val="center"/>
          </w:tcPr>
          <w:p w14:paraId="6C637556" w14:textId="77777777" w:rsidR="00BB7789" w:rsidRPr="00BB7789" w:rsidRDefault="00BB7789" w:rsidP="00F04DC8">
            <w:pPr>
              <w:jc w:val="both"/>
              <w:rPr>
                <w:rFonts w:ascii="Arial" w:hAnsi="Arial" w:cs="Arial"/>
                <w:b/>
                <w:bCs/>
                <w:sz w:val="20"/>
                <w:szCs w:val="20"/>
              </w:rPr>
            </w:pPr>
          </w:p>
        </w:tc>
        <w:tc>
          <w:tcPr>
            <w:tcW w:w="1538" w:type="dxa"/>
          </w:tcPr>
          <w:p w14:paraId="3E995E87"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w:t>
            </w:r>
          </w:p>
          <w:p w14:paraId="1CCC254E"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 xml:space="preserve">      Control </w:t>
            </w:r>
          </w:p>
          <w:p w14:paraId="5EBFE705" w14:textId="77777777" w:rsidR="00BB7789" w:rsidRPr="00BB7789" w:rsidRDefault="00BB7789" w:rsidP="00F04DC8">
            <w:pPr>
              <w:ind w:left="-93" w:right="-123"/>
              <w:jc w:val="both"/>
              <w:rPr>
                <w:rFonts w:ascii="Arial" w:hAnsi="Arial" w:cs="Arial"/>
                <w:b/>
                <w:bCs/>
                <w:sz w:val="20"/>
                <w:szCs w:val="20"/>
              </w:rPr>
            </w:pPr>
          </w:p>
          <w:p w14:paraId="030E81D0" w14:textId="77777777" w:rsidR="00BB7789" w:rsidRPr="00BB7789" w:rsidRDefault="00BB7789" w:rsidP="00F04DC8">
            <w:pPr>
              <w:ind w:left="-93" w:right="-123"/>
              <w:jc w:val="both"/>
              <w:rPr>
                <w:rFonts w:ascii="Arial" w:hAnsi="Arial" w:cs="Arial"/>
                <w:b/>
                <w:bCs/>
                <w:sz w:val="20"/>
                <w:szCs w:val="20"/>
              </w:rPr>
            </w:pPr>
          </w:p>
          <w:p w14:paraId="5E96B79E" w14:textId="77777777" w:rsidR="00BB7789" w:rsidRPr="00BB7789" w:rsidRDefault="00BB7789" w:rsidP="00F04DC8">
            <w:pPr>
              <w:ind w:left="-93" w:right="-123"/>
              <w:jc w:val="both"/>
              <w:rPr>
                <w:rFonts w:ascii="Arial" w:hAnsi="Arial" w:cs="Arial"/>
                <w:b/>
                <w:bCs/>
                <w:sz w:val="20"/>
                <w:szCs w:val="20"/>
              </w:rPr>
            </w:pPr>
          </w:p>
        </w:tc>
        <w:tc>
          <w:tcPr>
            <w:tcW w:w="1538" w:type="dxa"/>
            <w:vAlign w:val="center"/>
          </w:tcPr>
          <w:p w14:paraId="570F04F0"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35.79±3.18</w:t>
            </w:r>
          </w:p>
        </w:tc>
        <w:tc>
          <w:tcPr>
            <w:tcW w:w="2051" w:type="dxa"/>
            <w:vAlign w:val="center"/>
          </w:tcPr>
          <w:p w14:paraId="763D422D" w14:textId="77777777" w:rsidR="00BB7789" w:rsidRPr="00BB7789" w:rsidRDefault="00BB7789" w:rsidP="00F04DC8">
            <w:pPr>
              <w:ind w:right="-123"/>
              <w:jc w:val="both"/>
              <w:rPr>
                <w:rFonts w:ascii="Arial" w:hAnsi="Arial" w:cs="Arial"/>
                <w:sz w:val="20"/>
                <w:szCs w:val="20"/>
              </w:rPr>
            </w:pPr>
            <w:r w:rsidRPr="00BB7789">
              <w:rPr>
                <w:rFonts w:ascii="Arial" w:hAnsi="Arial" w:cs="Arial"/>
                <w:sz w:val="20"/>
                <w:szCs w:val="20"/>
              </w:rPr>
              <w:t>34.73±5.78</w:t>
            </w:r>
          </w:p>
        </w:tc>
        <w:tc>
          <w:tcPr>
            <w:tcW w:w="1436" w:type="dxa"/>
            <w:vAlign w:val="center"/>
          </w:tcPr>
          <w:p w14:paraId="2720B422"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 xml:space="preserve">           1.06</w:t>
            </w:r>
          </w:p>
          <w:p w14:paraId="2CAB328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(2.96)</w:t>
            </w:r>
          </w:p>
        </w:tc>
        <w:tc>
          <w:tcPr>
            <w:tcW w:w="1845" w:type="dxa"/>
            <w:vAlign w:val="center"/>
          </w:tcPr>
          <w:p w14:paraId="3EBE250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1.91</w:t>
            </w:r>
          </w:p>
          <w:p w14:paraId="1F9F8265" w14:textId="77777777" w:rsidR="00BB7789" w:rsidRPr="00BB7789" w:rsidRDefault="00BB7789" w:rsidP="00F04DC8">
            <w:pPr>
              <w:widowControl w:val="0"/>
              <w:autoSpaceDE w:val="0"/>
              <w:autoSpaceDN w:val="0"/>
              <w:jc w:val="both"/>
              <w:rPr>
                <w:rFonts w:ascii="Arial" w:hAnsi="Arial" w:cs="Arial"/>
                <w:sz w:val="20"/>
                <w:szCs w:val="20"/>
                <w:vertAlign w:val="superscript"/>
              </w:rPr>
            </w:pPr>
            <w:r w:rsidRPr="00BB7789">
              <w:rPr>
                <w:rFonts w:ascii="Arial" w:hAnsi="Arial" w:cs="Arial"/>
                <w:sz w:val="20"/>
                <w:szCs w:val="20"/>
              </w:rPr>
              <w:t>(0.239</w:t>
            </w:r>
            <w:r w:rsidRPr="00BB7789">
              <w:rPr>
                <w:rFonts w:ascii="Arial" w:hAnsi="Arial" w:cs="Arial"/>
                <w:sz w:val="20"/>
                <w:szCs w:val="20"/>
                <w:vertAlign w:val="superscript"/>
              </w:rPr>
              <w:t>NS)</w:t>
            </w:r>
          </w:p>
        </w:tc>
      </w:tr>
      <w:tr w:rsidR="00BB7789" w:rsidRPr="00BB7789" w14:paraId="32A7FC77" w14:textId="77777777" w:rsidTr="00F04DC8">
        <w:trPr>
          <w:trHeight w:val="1132"/>
        </w:trPr>
        <w:tc>
          <w:tcPr>
            <w:tcW w:w="1125" w:type="dxa"/>
            <w:vMerge w:val="restart"/>
            <w:vAlign w:val="center"/>
          </w:tcPr>
          <w:p w14:paraId="2B72F010" w14:textId="77777777" w:rsidR="00BB7789" w:rsidRPr="00BB7789" w:rsidRDefault="00BB7789" w:rsidP="00F04DC8">
            <w:pPr>
              <w:ind w:left="-93" w:right="-123"/>
              <w:jc w:val="both"/>
              <w:rPr>
                <w:rFonts w:ascii="Arial" w:hAnsi="Arial" w:cs="Arial"/>
                <w:b/>
                <w:bCs/>
                <w:sz w:val="20"/>
                <w:szCs w:val="20"/>
              </w:rPr>
            </w:pPr>
          </w:p>
          <w:p w14:paraId="737054E6"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Expt. Vs. Control</w:t>
            </w:r>
          </w:p>
          <w:p w14:paraId="3775F983" w14:textId="77777777" w:rsidR="00BB7789" w:rsidRPr="00BB7789" w:rsidRDefault="00BB7789" w:rsidP="00F04DC8">
            <w:pPr>
              <w:jc w:val="both"/>
              <w:rPr>
                <w:rFonts w:ascii="Arial" w:hAnsi="Arial" w:cs="Arial"/>
                <w:b/>
                <w:bCs/>
                <w:sz w:val="20"/>
                <w:szCs w:val="20"/>
              </w:rPr>
            </w:pPr>
          </w:p>
        </w:tc>
        <w:tc>
          <w:tcPr>
            <w:tcW w:w="1538" w:type="dxa"/>
          </w:tcPr>
          <w:p w14:paraId="43F1D71A" w14:textId="77777777" w:rsidR="00BB7789" w:rsidRPr="00BB7789" w:rsidRDefault="00BB7789" w:rsidP="00F04DC8">
            <w:pPr>
              <w:ind w:left="-93" w:right="-123"/>
              <w:jc w:val="both"/>
              <w:rPr>
                <w:rFonts w:ascii="Arial" w:hAnsi="Arial" w:cs="Arial"/>
                <w:b/>
                <w:bCs/>
                <w:sz w:val="20"/>
                <w:szCs w:val="20"/>
              </w:rPr>
            </w:pPr>
          </w:p>
          <w:p w14:paraId="2FD5E959" w14:textId="77777777" w:rsidR="00BB7789" w:rsidRPr="00BB7789" w:rsidRDefault="00BB7789" w:rsidP="00F04DC8">
            <w:pPr>
              <w:ind w:left="-93" w:right="-123"/>
              <w:jc w:val="both"/>
              <w:rPr>
                <w:rFonts w:ascii="Arial" w:hAnsi="Arial" w:cs="Arial"/>
                <w:b/>
                <w:bCs/>
                <w:sz w:val="20"/>
                <w:szCs w:val="20"/>
              </w:rPr>
            </w:pPr>
            <w:r w:rsidRPr="00BB7789">
              <w:rPr>
                <w:rFonts w:ascii="Arial" w:hAnsi="Arial" w:cs="Arial"/>
                <w:b/>
                <w:bCs/>
                <w:sz w:val="20"/>
                <w:szCs w:val="20"/>
              </w:rPr>
              <w:t xml:space="preserve">Before </w:t>
            </w:r>
          </w:p>
        </w:tc>
        <w:tc>
          <w:tcPr>
            <w:tcW w:w="5026" w:type="dxa"/>
            <w:gridSpan w:val="3"/>
            <w:vMerge w:val="restart"/>
            <w:vAlign w:val="center"/>
          </w:tcPr>
          <w:p w14:paraId="3C65BA33" w14:textId="77777777" w:rsidR="00BB7789" w:rsidRPr="00BB7789" w:rsidRDefault="00BB7789" w:rsidP="00F04DC8">
            <w:pPr>
              <w:widowControl w:val="0"/>
              <w:autoSpaceDE w:val="0"/>
              <w:autoSpaceDN w:val="0"/>
              <w:jc w:val="both"/>
              <w:rPr>
                <w:rFonts w:ascii="Arial" w:hAnsi="Arial" w:cs="Arial"/>
                <w:sz w:val="20"/>
                <w:szCs w:val="20"/>
              </w:rPr>
            </w:pPr>
          </w:p>
        </w:tc>
        <w:tc>
          <w:tcPr>
            <w:tcW w:w="1845" w:type="dxa"/>
            <w:vAlign w:val="center"/>
          </w:tcPr>
          <w:p w14:paraId="25A4F937"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-0.543</w:t>
            </w:r>
          </w:p>
          <w:p w14:paraId="44F97FC8" w14:textId="77777777" w:rsidR="00BB7789" w:rsidRPr="00BB7789" w:rsidRDefault="00BB7789" w:rsidP="00F04DC8">
            <w:pPr>
              <w:widowControl w:val="0"/>
              <w:autoSpaceDE w:val="0"/>
              <w:autoSpaceDN w:val="0"/>
              <w:jc w:val="both"/>
              <w:rPr>
                <w:rFonts w:ascii="Arial" w:hAnsi="Arial" w:cs="Arial"/>
                <w:sz w:val="20"/>
                <w:szCs w:val="20"/>
                <w:vertAlign w:val="superscript"/>
              </w:rPr>
            </w:pPr>
            <w:r w:rsidRPr="00BB7789">
              <w:rPr>
                <w:rFonts w:ascii="Arial" w:hAnsi="Arial" w:cs="Arial"/>
                <w:sz w:val="20"/>
                <w:szCs w:val="20"/>
              </w:rPr>
              <w:t>(0.589</w:t>
            </w:r>
            <w:r w:rsidRPr="00BB7789">
              <w:rPr>
                <w:rFonts w:ascii="Arial" w:hAnsi="Arial" w:cs="Arial"/>
                <w:sz w:val="20"/>
                <w:szCs w:val="20"/>
                <w:vertAlign w:val="superscript"/>
              </w:rPr>
              <w:t>NS)</w:t>
            </w:r>
          </w:p>
        </w:tc>
      </w:tr>
      <w:tr w:rsidR="00BB7789" w:rsidRPr="00BB7789" w14:paraId="11CEA06C" w14:textId="77777777" w:rsidTr="00F04DC8">
        <w:trPr>
          <w:trHeight w:val="1132"/>
        </w:trPr>
        <w:tc>
          <w:tcPr>
            <w:tcW w:w="1125" w:type="dxa"/>
            <w:vMerge/>
            <w:vAlign w:val="center"/>
          </w:tcPr>
          <w:p w14:paraId="718D2EC7" w14:textId="77777777" w:rsidR="00BB7789" w:rsidRPr="00BB7789" w:rsidRDefault="00BB7789" w:rsidP="00F04DC8">
            <w:pPr>
              <w:jc w:val="both"/>
              <w:rPr>
                <w:rFonts w:ascii="Arial" w:hAnsi="Arial" w:cs="Arial"/>
                <w:b/>
                <w:bCs/>
                <w:sz w:val="20"/>
                <w:szCs w:val="20"/>
              </w:rPr>
            </w:pPr>
          </w:p>
        </w:tc>
        <w:tc>
          <w:tcPr>
            <w:tcW w:w="1538" w:type="dxa"/>
          </w:tcPr>
          <w:p w14:paraId="5048886B" w14:textId="77777777" w:rsidR="00BB7789" w:rsidRPr="00BB7789" w:rsidRDefault="00BB7789" w:rsidP="00F04DC8">
            <w:pPr>
              <w:ind w:right="-123"/>
              <w:jc w:val="both"/>
              <w:rPr>
                <w:rFonts w:ascii="Arial" w:hAnsi="Arial" w:cs="Arial"/>
                <w:b/>
                <w:bCs/>
                <w:sz w:val="20"/>
                <w:szCs w:val="20"/>
              </w:rPr>
            </w:pPr>
            <w:r w:rsidRPr="00BB7789">
              <w:rPr>
                <w:rFonts w:ascii="Arial" w:hAnsi="Arial" w:cs="Arial"/>
                <w:b/>
                <w:bCs/>
                <w:sz w:val="20"/>
                <w:szCs w:val="20"/>
              </w:rPr>
              <w:t>After</w:t>
            </w:r>
          </w:p>
        </w:tc>
        <w:tc>
          <w:tcPr>
            <w:tcW w:w="5026" w:type="dxa"/>
            <w:gridSpan w:val="3"/>
            <w:vMerge/>
            <w:vAlign w:val="center"/>
          </w:tcPr>
          <w:p w14:paraId="09A66217" w14:textId="77777777" w:rsidR="00BB7789" w:rsidRPr="00BB7789" w:rsidRDefault="00BB7789" w:rsidP="00F04DC8">
            <w:pPr>
              <w:widowControl w:val="0"/>
              <w:autoSpaceDE w:val="0"/>
              <w:autoSpaceDN w:val="0"/>
              <w:jc w:val="both"/>
              <w:rPr>
                <w:rFonts w:ascii="Arial" w:hAnsi="Arial" w:cs="Arial"/>
                <w:sz w:val="20"/>
                <w:szCs w:val="20"/>
              </w:rPr>
            </w:pPr>
          </w:p>
        </w:tc>
        <w:tc>
          <w:tcPr>
            <w:tcW w:w="1845" w:type="dxa"/>
            <w:vAlign w:val="center"/>
          </w:tcPr>
          <w:p w14:paraId="4F0DD170"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-6.947</w:t>
            </w:r>
          </w:p>
          <w:p w14:paraId="6028A1A8" w14:textId="77777777" w:rsidR="00BB7789" w:rsidRPr="00BB7789" w:rsidRDefault="00BB7789" w:rsidP="00F04DC8">
            <w:pPr>
              <w:widowControl w:val="0"/>
              <w:autoSpaceDE w:val="0"/>
              <w:autoSpaceDN w:val="0"/>
              <w:jc w:val="both"/>
              <w:rPr>
                <w:rFonts w:ascii="Arial" w:hAnsi="Arial" w:cs="Arial"/>
                <w:sz w:val="20"/>
                <w:szCs w:val="20"/>
              </w:rPr>
            </w:pPr>
            <w:r w:rsidRPr="00BB7789">
              <w:rPr>
                <w:rFonts w:ascii="Arial" w:hAnsi="Arial" w:cs="Arial"/>
                <w:sz w:val="20"/>
                <w:szCs w:val="20"/>
              </w:rPr>
              <w:t>(0.000***)</w:t>
            </w:r>
          </w:p>
        </w:tc>
      </w:tr>
    </w:tbl>
    <w:p w14:paraId="3EED0269" w14:textId="77777777" w:rsidR="00BB7789" w:rsidRPr="00BB7789" w:rsidRDefault="00BB7789" w:rsidP="00BB7789">
      <w:pPr>
        <w:jc w:val="both"/>
        <w:rPr>
          <w:rFonts w:ascii="Arial" w:hAnsi="Arial" w:cs="Arial"/>
        </w:rPr>
      </w:pPr>
    </w:p>
    <w:p w14:paraId="1EB33290" w14:textId="77777777" w:rsidR="00D1184C" w:rsidRDefault="00D1184C" w:rsidP="00D1184C">
      <w:pPr>
        <w:pStyle w:val="NormalWeb"/>
        <w:jc w:val="both"/>
        <w:rPr>
          <w:rFonts w:ascii="Arial" w:hAnsi="Arial" w:cs="Arial"/>
          <w:sz w:val="20"/>
          <w:szCs w:val="20"/>
        </w:rPr>
      </w:pPr>
    </w:p>
    <w:p w14:paraId="44ECDFB7" w14:textId="77777777" w:rsidR="00D1184C" w:rsidRDefault="00D1184C" w:rsidP="00D1184C">
      <w:pPr>
        <w:pStyle w:val="NormalWeb"/>
        <w:jc w:val="both"/>
        <w:rPr>
          <w:rFonts w:ascii="Arial" w:hAnsi="Arial" w:cs="Arial"/>
          <w:sz w:val="20"/>
          <w:szCs w:val="20"/>
        </w:rPr>
      </w:pPr>
    </w:p>
    <w:p w14:paraId="519A4D86" w14:textId="77777777" w:rsidR="00D1184C" w:rsidRDefault="00D1184C" w:rsidP="00D1184C">
      <w:pPr>
        <w:pStyle w:val="NormalWeb"/>
        <w:jc w:val="both"/>
        <w:rPr>
          <w:rFonts w:ascii="Arial" w:hAnsi="Arial" w:cs="Arial"/>
          <w:sz w:val="20"/>
          <w:szCs w:val="20"/>
        </w:rPr>
      </w:pPr>
    </w:p>
    <w:p w14:paraId="487C15B9" w14:textId="77777777" w:rsidR="00D1184C" w:rsidRDefault="00D1184C" w:rsidP="00D1184C">
      <w:pPr>
        <w:pStyle w:val="NormalWeb"/>
        <w:jc w:val="both"/>
        <w:rPr>
          <w:rFonts w:ascii="Arial" w:hAnsi="Arial" w:cs="Arial"/>
          <w:sz w:val="20"/>
          <w:szCs w:val="20"/>
        </w:rPr>
      </w:pPr>
    </w:p>
    <w:p w14:paraId="2DFEA85F" w14:textId="77777777" w:rsidR="00D1184C" w:rsidRDefault="00D1184C" w:rsidP="00D1184C">
      <w:pPr>
        <w:pStyle w:val="NormalWeb"/>
        <w:jc w:val="both"/>
        <w:rPr>
          <w:rFonts w:ascii="Arial" w:hAnsi="Arial" w:cs="Arial"/>
          <w:sz w:val="20"/>
          <w:szCs w:val="20"/>
        </w:rPr>
      </w:pPr>
    </w:p>
    <w:p w14:paraId="6BE245E6" w14:textId="77777777" w:rsidR="00D1184C" w:rsidRDefault="00D1184C" w:rsidP="00D1184C">
      <w:pPr>
        <w:pStyle w:val="NormalWeb"/>
        <w:jc w:val="both"/>
        <w:rPr>
          <w:rFonts w:ascii="Arial" w:hAnsi="Arial" w:cs="Arial"/>
          <w:sz w:val="20"/>
          <w:szCs w:val="20"/>
        </w:rPr>
      </w:pPr>
    </w:p>
    <w:p w14:paraId="3EAC25D9" w14:textId="77777777" w:rsidR="00D1184C" w:rsidRDefault="00D1184C" w:rsidP="00D1184C">
      <w:pPr>
        <w:pStyle w:val="NormalWeb"/>
        <w:jc w:val="both"/>
        <w:rPr>
          <w:rFonts w:ascii="Arial" w:hAnsi="Arial" w:cs="Arial"/>
          <w:sz w:val="20"/>
          <w:szCs w:val="20"/>
        </w:rPr>
      </w:pPr>
    </w:p>
    <w:p w14:paraId="1EF2E0F1" w14:textId="77777777" w:rsidR="00D1184C" w:rsidRDefault="00D1184C" w:rsidP="00D1184C">
      <w:pPr>
        <w:pStyle w:val="NormalWeb"/>
        <w:jc w:val="both"/>
        <w:rPr>
          <w:rFonts w:ascii="Arial" w:hAnsi="Arial" w:cs="Arial"/>
          <w:sz w:val="20"/>
          <w:szCs w:val="20"/>
        </w:rPr>
      </w:pPr>
    </w:p>
    <w:p w14:paraId="2582524F" w14:textId="6D34D597" w:rsidR="00BB7789" w:rsidRPr="00BB7789" w:rsidRDefault="00BB7789" w:rsidP="00D1184C">
      <w:pPr>
        <w:pStyle w:val="NormalWeb"/>
        <w:jc w:val="both"/>
        <w:rPr>
          <w:rFonts w:ascii="Arial" w:hAnsi="Arial" w:cs="Arial"/>
          <w:sz w:val="20"/>
          <w:szCs w:val="20"/>
        </w:rPr>
      </w:pPr>
      <w:r w:rsidRPr="00BB7789">
        <w:rPr>
          <w:rFonts w:ascii="Arial" w:hAnsi="Arial" w:cs="Arial"/>
          <w:sz w:val="20"/>
          <w:szCs w:val="20"/>
        </w:rPr>
        <w:t xml:space="preserve">Knowledge, Attitude, and Practice (KAP) assessment was conducted among experimental (N=30) and control (N=30)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of the nutrition education (NEG) group to determine the respective scores (Table 1).</w:t>
      </w:r>
    </w:p>
    <w:p w14:paraId="139C6436" w14:textId="77777777"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Knowledge</w:t>
      </w:r>
      <w:r w:rsidRPr="00BB7789">
        <w:rPr>
          <w:rFonts w:ascii="Arial" w:hAnsi="Arial" w:cs="Arial"/>
          <w:sz w:val="20"/>
          <w:szCs w:val="20"/>
        </w:rPr>
        <w:t xml:space="preserve"> – Prior to initiating nutrition education, the knowledge scores of experimental and control subjects were 46.33±14.05 and 37.33±2.10, respectively. After six months of nutrition education, scores of experimental subjects significantly increased to 60.9±15.73, reflecting a 31.44% improvement, while control subjects (without nutrition education) achieved a minimal increase to 38.83±2.32 (4.01%). Statistical analysis demonstrated a significant increase in knowledge scores among the experimental group (p≤0.005), whereas changes in the control group were non-significant (p&gt;0.05). These findings indicate that nutrition education effectively enhanced subjects’ knowledge over six months. Furthermore, comparisons between experimental and control subgroups showed significant (p≤0.01) difference, post-intervention (</w:t>
      </w:r>
      <w:proofErr w:type="spellStart"/>
      <w:r w:rsidRPr="00BB7789">
        <w:rPr>
          <w:rFonts w:ascii="Arial" w:hAnsi="Arial" w:cs="Arial"/>
          <w:sz w:val="20"/>
          <w:szCs w:val="20"/>
        </w:rPr>
        <w:t>Rajalakshmy</w:t>
      </w:r>
      <w:proofErr w:type="spellEnd"/>
      <w:r w:rsidRPr="00BB7789">
        <w:rPr>
          <w:rFonts w:ascii="Arial" w:hAnsi="Arial" w:cs="Arial"/>
          <w:sz w:val="20"/>
          <w:szCs w:val="20"/>
        </w:rPr>
        <w:t xml:space="preserve"> et al., 2019; Zhao et al., 2023).</w:t>
      </w:r>
    </w:p>
    <w:p w14:paraId="71BD3857" w14:textId="77777777"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Attitude</w:t>
      </w:r>
      <w:r w:rsidRPr="00BB7789">
        <w:rPr>
          <w:rFonts w:ascii="Arial" w:hAnsi="Arial" w:cs="Arial"/>
          <w:sz w:val="20"/>
          <w:szCs w:val="20"/>
        </w:rPr>
        <w:t xml:space="preserve"> – At baseline, the mean attitude score of the experimental subgroup was 44.5±14.71, compared to 36.83±2.21 for controls. Following six months of nutrition education, the experimental group exhibited a significant increase to 58.2±14.56, corresponding to a 30.76% improvement, whereas the control group showed only a marginal increase of 0.81%. Statistical analysis confirmed a significant improvement in attitude among experimental subjects (p≤0.01), while changes in the control subgroup were non-significant. Post-intervention comparison between the subgroups demonstrated a significant (p≤0.01) difference (Kumar et al., 2019; Wanjiru et al., 2015).</w:t>
      </w:r>
    </w:p>
    <w:p w14:paraId="032761D0" w14:textId="77777777"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Practice</w:t>
      </w:r>
      <w:r w:rsidRPr="00BB7789">
        <w:rPr>
          <w:rFonts w:ascii="Arial" w:hAnsi="Arial" w:cs="Arial"/>
          <w:sz w:val="20"/>
          <w:szCs w:val="20"/>
        </w:rPr>
        <w:t xml:space="preserve"> – Baseline practice scores of experimental and control subjects were 37.17±13.44 and 35.79±3.18, respectively. After six months, experimental subjects showed a significant increase to 54.6±15.22, reflecting a 46.05% improvement, while control participants showed a slight, non-significant decrease. Differences between experimental and control subgroups were significant (p≤0.01) post-intervention (Islam et al., 2020; Kumar et al., 2019).</w:t>
      </w:r>
    </w:p>
    <w:p w14:paraId="18E013F3"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Overall, the KAP assessment revealed that structured nutrition education significantly enhanced the knowledge, attitude, and practice of experimental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compared to controls. After six months, the experimental subgroup showed notable increases in knowledge (31.44%), attitude (30.76%), and practice (46.05%), all statistically significant (p≤0.01 or p≤0.05), whereas the control group exhibited non-significant changes. These results corroborate previous findings indicating that KAP assessments are effective tools for identifying gaps in nutritional understanding, correcting misconceptions, and evaluating the impact of targeted educational interventions (</w:t>
      </w:r>
      <w:proofErr w:type="spellStart"/>
      <w:r w:rsidRPr="00BB7789">
        <w:rPr>
          <w:rFonts w:ascii="Arial" w:hAnsi="Arial" w:cs="Arial"/>
          <w:sz w:val="20"/>
          <w:szCs w:val="20"/>
        </w:rPr>
        <w:t>Rajalakshmy</w:t>
      </w:r>
      <w:proofErr w:type="spellEnd"/>
      <w:r w:rsidRPr="00BB7789">
        <w:rPr>
          <w:rFonts w:ascii="Arial" w:hAnsi="Arial" w:cs="Arial"/>
          <w:sz w:val="20"/>
          <w:szCs w:val="20"/>
        </w:rPr>
        <w:t xml:space="preserve"> et al., 2019; Zhao et al., 2023; Kumar et al., 2019; Wanjiru et al., 2015; Islam et al., 2020).</w:t>
      </w:r>
    </w:p>
    <w:p w14:paraId="676A0B46" w14:textId="77777777" w:rsidR="00BB7789" w:rsidRPr="00BB7789" w:rsidRDefault="00BB7789" w:rsidP="00BB7789">
      <w:pPr>
        <w:jc w:val="both"/>
        <w:rPr>
          <w:rFonts w:ascii="Arial" w:hAnsi="Arial" w:cs="Arial"/>
          <w:b/>
          <w:bCs/>
        </w:rPr>
      </w:pPr>
    </w:p>
    <w:p w14:paraId="6A3F5D89" w14:textId="77777777" w:rsidR="00BB7789" w:rsidRPr="00BB7789" w:rsidRDefault="00BB7789" w:rsidP="00BB7789">
      <w:pPr>
        <w:spacing w:line="276" w:lineRule="auto"/>
        <w:jc w:val="both"/>
        <w:rPr>
          <w:rFonts w:ascii="Arial" w:hAnsi="Arial" w:cs="Arial"/>
        </w:rPr>
      </w:pPr>
      <w:r w:rsidRPr="00BB7789">
        <w:rPr>
          <w:rFonts w:ascii="Arial" w:hAnsi="Arial" w:cs="Arial"/>
        </w:rPr>
        <w:t xml:space="preserve">The present findings are consistent with the following previous researches which has demonstrated that conducting Knowledge, Attitude and Practice (KAP) assessments serves as an effective tool for evaluating and enhancing the nutrition </w:t>
      </w:r>
      <w:proofErr w:type="spellStart"/>
      <w:r w:rsidRPr="00BB7789">
        <w:rPr>
          <w:rFonts w:ascii="Arial" w:hAnsi="Arial" w:cs="Arial"/>
        </w:rPr>
        <w:t>behaviours</w:t>
      </w:r>
      <w:proofErr w:type="spellEnd"/>
      <w:r w:rsidRPr="00BB7789">
        <w:rPr>
          <w:rFonts w:ascii="Arial" w:hAnsi="Arial" w:cs="Arial"/>
        </w:rPr>
        <w:t xml:space="preserve">. Several studies have confirmed that such assessment not only helps in identifying the gaps in understanding and convalescing the misconceptions about diet but also guide the development of targeted nutrition </w:t>
      </w:r>
      <w:r w:rsidRPr="00BB7789">
        <w:rPr>
          <w:rFonts w:ascii="Arial" w:hAnsi="Arial" w:cs="Arial"/>
        </w:rPr>
        <w:lastRenderedPageBreak/>
        <w:t xml:space="preserve">education intervention. By assessing the baseline and post intervention KAP levels, research can effectively measure the impact of educational programs. </w:t>
      </w:r>
    </w:p>
    <w:p w14:paraId="1BF43A32" w14:textId="77777777" w:rsidR="00BB7789" w:rsidRPr="00BB7789" w:rsidRDefault="00BB7789" w:rsidP="00BB7789">
      <w:pPr>
        <w:pStyle w:val="NormalWeb"/>
        <w:jc w:val="both"/>
        <w:rPr>
          <w:rFonts w:ascii="Arial" w:hAnsi="Arial" w:cs="Arial"/>
          <w:sz w:val="20"/>
          <w:szCs w:val="20"/>
        </w:rPr>
      </w:pPr>
      <w:r w:rsidRPr="00BB7789">
        <w:rPr>
          <w:rStyle w:val="Strong"/>
          <w:rFonts w:ascii="Arial" w:eastAsiaTheme="majorEastAsia" w:hAnsi="Arial" w:cs="Arial"/>
          <w:sz w:val="20"/>
          <w:szCs w:val="20"/>
        </w:rPr>
        <w:t>Discussion-</w:t>
      </w:r>
    </w:p>
    <w:p w14:paraId="03695973"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The present study demonstrated that structured nutrition education significantly enhanced the knowledge, attitude, and practice (KAP) scores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in the experimental group, consistent with the findings of multiple previous investigations across diverse populations.</w:t>
      </w:r>
    </w:p>
    <w:p w14:paraId="7B99369D"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A cross-sectional study by Rasouli et al. (2025) examined KAP related to nutrition among bodybuilders in Iran and found a positive correlation between knowledge, attitude, and practice, indicating that higher nutritional knowledge was associated with more </w:t>
      </w:r>
      <w:proofErr w:type="spellStart"/>
      <w:r w:rsidRPr="00BB7789">
        <w:rPr>
          <w:rFonts w:ascii="Arial" w:hAnsi="Arial" w:cs="Arial"/>
          <w:sz w:val="20"/>
          <w:szCs w:val="20"/>
        </w:rPr>
        <w:t>favorable</w:t>
      </w:r>
      <w:proofErr w:type="spellEnd"/>
      <w:r w:rsidRPr="00BB7789">
        <w:rPr>
          <w:rFonts w:ascii="Arial" w:hAnsi="Arial" w:cs="Arial"/>
          <w:sz w:val="20"/>
          <w:szCs w:val="20"/>
        </w:rPr>
        <w:t xml:space="preserve"> attitudes and practices in daily routines. This supports the current findings, where an increase in knowledge following six months of nutrition education corresponded with improvements in both attitude and practice among the experimental subgroup.</w:t>
      </w:r>
    </w:p>
    <w:p w14:paraId="3FD11AD3"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Similarly, Sahni et al. (2023) evaluated the impact of a nutrition education intervention on KAP related to dietary habits and activity levels in Indian adolescents. Post-intervention results indicated a significant increase in knowledge scores by 28.5% (p≤0.01), while attitude and practice scores improved by 6.3% and 4.4%, respectively. These findings highlight that knowledge acquisition is often more rapid and pronounced compared to attitudinal and </w:t>
      </w:r>
      <w:proofErr w:type="spellStart"/>
      <w:r w:rsidRPr="00BB7789">
        <w:rPr>
          <w:rFonts w:ascii="Arial" w:hAnsi="Arial" w:cs="Arial"/>
          <w:sz w:val="20"/>
          <w:szCs w:val="20"/>
        </w:rPr>
        <w:t>behavioral</w:t>
      </w:r>
      <w:proofErr w:type="spellEnd"/>
      <w:r w:rsidRPr="00BB7789">
        <w:rPr>
          <w:rFonts w:ascii="Arial" w:hAnsi="Arial" w:cs="Arial"/>
          <w:sz w:val="20"/>
          <w:szCs w:val="20"/>
        </w:rPr>
        <w:t xml:space="preserve"> changes, which require sustained engagement, reinforcement, and application. This trend parallels the current study, where knowledge improvement (31.44%) was slightly higher than attitude (30.76%) and practice (46.05%) gains, demonstrating a similar pattern of knowledge-driven </w:t>
      </w:r>
      <w:proofErr w:type="spellStart"/>
      <w:r w:rsidRPr="00BB7789">
        <w:rPr>
          <w:rFonts w:ascii="Arial" w:hAnsi="Arial" w:cs="Arial"/>
          <w:sz w:val="20"/>
          <w:szCs w:val="20"/>
        </w:rPr>
        <w:t>behavior</w:t>
      </w:r>
      <w:proofErr w:type="spellEnd"/>
      <w:r w:rsidRPr="00BB7789">
        <w:rPr>
          <w:rFonts w:ascii="Arial" w:hAnsi="Arial" w:cs="Arial"/>
          <w:sz w:val="20"/>
          <w:szCs w:val="20"/>
        </w:rPr>
        <w:t xml:space="preserve"> modification.</w:t>
      </w:r>
    </w:p>
    <w:p w14:paraId="53FED8CF"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Zhang et al. (2022) investigated community residents’ KAP regarding nutrition </w:t>
      </w:r>
      <w:proofErr w:type="spellStart"/>
      <w:r w:rsidRPr="00BB7789">
        <w:rPr>
          <w:rFonts w:ascii="Arial" w:hAnsi="Arial" w:cs="Arial"/>
          <w:sz w:val="20"/>
          <w:szCs w:val="20"/>
        </w:rPr>
        <w:t>labeling</w:t>
      </w:r>
      <w:proofErr w:type="spellEnd"/>
      <w:r w:rsidRPr="00BB7789">
        <w:rPr>
          <w:rFonts w:ascii="Arial" w:hAnsi="Arial" w:cs="Arial"/>
          <w:sz w:val="20"/>
          <w:szCs w:val="20"/>
        </w:rPr>
        <w:t xml:space="preserve"> and applied structural equation </w:t>
      </w:r>
      <w:proofErr w:type="spellStart"/>
      <w:r w:rsidRPr="00BB7789">
        <w:rPr>
          <w:rFonts w:ascii="Arial" w:hAnsi="Arial" w:cs="Arial"/>
          <w:sz w:val="20"/>
          <w:szCs w:val="20"/>
        </w:rPr>
        <w:t>modeling</w:t>
      </w:r>
      <w:proofErr w:type="spellEnd"/>
      <w:r w:rsidRPr="00BB7789">
        <w:rPr>
          <w:rFonts w:ascii="Arial" w:hAnsi="Arial" w:cs="Arial"/>
          <w:sz w:val="20"/>
          <w:szCs w:val="20"/>
        </w:rPr>
        <w:t xml:space="preserve"> to </w:t>
      </w:r>
      <w:proofErr w:type="spellStart"/>
      <w:r w:rsidRPr="00BB7789">
        <w:rPr>
          <w:rFonts w:ascii="Arial" w:hAnsi="Arial" w:cs="Arial"/>
          <w:sz w:val="20"/>
          <w:szCs w:val="20"/>
        </w:rPr>
        <w:t>analyze</w:t>
      </w:r>
      <w:proofErr w:type="spellEnd"/>
      <w:r w:rsidRPr="00BB7789">
        <w:rPr>
          <w:rFonts w:ascii="Arial" w:hAnsi="Arial" w:cs="Arial"/>
          <w:sz w:val="20"/>
          <w:szCs w:val="20"/>
        </w:rPr>
        <w:t xml:space="preserve"> interactions among these factors. Their study revealed that knowledge directly influenced attitude, which in turn mediated practice </w:t>
      </w:r>
      <w:proofErr w:type="spellStart"/>
      <w:r w:rsidRPr="00BB7789">
        <w:rPr>
          <w:rFonts w:ascii="Arial" w:hAnsi="Arial" w:cs="Arial"/>
          <w:sz w:val="20"/>
          <w:szCs w:val="20"/>
        </w:rPr>
        <w:t>behaviors</w:t>
      </w:r>
      <w:proofErr w:type="spellEnd"/>
      <w:r w:rsidRPr="00BB7789">
        <w:rPr>
          <w:rFonts w:ascii="Arial" w:hAnsi="Arial" w:cs="Arial"/>
          <w:sz w:val="20"/>
          <w:szCs w:val="20"/>
        </w:rPr>
        <w:t xml:space="preserve">. This aligns with the present findings, suggesting that the increase in knowledge following nutrition education led to enhanced attitudes and subsequently improved dietary practices among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w:t>
      </w:r>
    </w:p>
    <w:p w14:paraId="72D053F7"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Furthermore, Vasanthan et al. (2021) assessed the effect of educational sessions on KAP among individuals with diabetes and </w:t>
      </w:r>
      <w:proofErr w:type="spellStart"/>
      <w:r w:rsidRPr="00BB7789">
        <w:rPr>
          <w:rFonts w:ascii="Arial" w:hAnsi="Arial" w:cs="Arial"/>
          <w:sz w:val="20"/>
          <w:szCs w:val="20"/>
        </w:rPr>
        <w:t>dyslipidemia</w:t>
      </w:r>
      <w:proofErr w:type="spellEnd"/>
      <w:r w:rsidRPr="00BB7789">
        <w:rPr>
          <w:rFonts w:ascii="Arial" w:hAnsi="Arial" w:cs="Arial"/>
          <w:sz w:val="20"/>
          <w:szCs w:val="20"/>
        </w:rPr>
        <w:t xml:space="preserve"> in South India. They reported that structured education significantly increased knowledge, attitude, and practice scores, thereby corroborating the current results. This evidence collectively indicates that targeted educational interventions are effective in improving nutritional awareness and promoting positive </w:t>
      </w:r>
      <w:proofErr w:type="spellStart"/>
      <w:r w:rsidRPr="00BB7789">
        <w:rPr>
          <w:rFonts w:ascii="Arial" w:hAnsi="Arial" w:cs="Arial"/>
          <w:sz w:val="20"/>
          <w:szCs w:val="20"/>
        </w:rPr>
        <w:t>behavioral</w:t>
      </w:r>
      <w:proofErr w:type="spellEnd"/>
      <w:r w:rsidRPr="00BB7789">
        <w:rPr>
          <w:rFonts w:ascii="Arial" w:hAnsi="Arial" w:cs="Arial"/>
          <w:sz w:val="20"/>
          <w:szCs w:val="20"/>
        </w:rPr>
        <w:t xml:space="preserve"> changes among individuals with metabolic disorders.</w:t>
      </w:r>
    </w:p>
    <w:p w14:paraId="3D32119C"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Additional supporting literature further reinforces the importance of nutrition education in diverse populations. </w:t>
      </w:r>
      <w:proofErr w:type="spellStart"/>
      <w:r w:rsidRPr="00BB7789">
        <w:rPr>
          <w:rFonts w:ascii="Arial" w:hAnsi="Arial" w:cs="Arial"/>
          <w:sz w:val="20"/>
          <w:szCs w:val="20"/>
        </w:rPr>
        <w:t>Rajalakshmy</w:t>
      </w:r>
      <w:proofErr w:type="spellEnd"/>
      <w:r w:rsidRPr="00BB7789">
        <w:rPr>
          <w:rFonts w:ascii="Arial" w:hAnsi="Arial" w:cs="Arial"/>
          <w:sz w:val="20"/>
          <w:szCs w:val="20"/>
        </w:rPr>
        <w:t xml:space="preserve"> et al. (2019) found that healthcare professionals with moderate to adequate nutritional knowledge exhibited positive attitudes and practices, emphasizing the role of knowledge in shaping </w:t>
      </w:r>
      <w:proofErr w:type="spellStart"/>
      <w:r w:rsidRPr="00BB7789">
        <w:rPr>
          <w:rFonts w:ascii="Arial" w:hAnsi="Arial" w:cs="Arial"/>
          <w:sz w:val="20"/>
          <w:szCs w:val="20"/>
        </w:rPr>
        <w:t>behavior</w:t>
      </w:r>
      <w:proofErr w:type="spellEnd"/>
      <w:r w:rsidRPr="00BB7789">
        <w:rPr>
          <w:rFonts w:ascii="Arial" w:hAnsi="Arial" w:cs="Arial"/>
          <w:sz w:val="20"/>
          <w:szCs w:val="20"/>
        </w:rPr>
        <w:t xml:space="preserve">. Zhao et al. (2023) confirmed the interrelationship among KAP components using structural equation </w:t>
      </w:r>
      <w:proofErr w:type="spellStart"/>
      <w:r w:rsidRPr="00BB7789">
        <w:rPr>
          <w:rFonts w:ascii="Arial" w:hAnsi="Arial" w:cs="Arial"/>
          <w:sz w:val="20"/>
          <w:szCs w:val="20"/>
        </w:rPr>
        <w:t>modeling</w:t>
      </w:r>
      <w:proofErr w:type="spellEnd"/>
      <w:r w:rsidRPr="00BB7789">
        <w:rPr>
          <w:rFonts w:ascii="Arial" w:hAnsi="Arial" w:cs="Arial"/>
          <w:sz w:val="20"/>
          <w:szCs w:val="20"/>
        </w:rPr>
        <w:t xml:space="preserve">, highlighting that improved knowledge is fundamental to achieving desirable attitudes and practices. Kumar et al. (2019) demonstrated that health education in type 2 diabetes patients significantly enhanced KAP scores and </w:t>
      </w:r>
      <w:proofErr w:type="spellStart"/>
      <w:r w:rsidRPr="00BB7789">
        <w:rPr>
          <w:rFonts w:ascii="Arial" w:hAnsi="Arial" w:cs="Arial"/>
          <w:sz w:val="20"/>
          <w:szCs w:val="20"/>
        </w:rPr>
        <w:t>glycemic</w:t>
      </w:r>
      <w:proofErr w:type="spellEnd"/>
      <w:r w:rsidRPr="00BB7789">
        <w:rPr>
          <w:rFonts w:ascii="Arial" w:hAnsi="Arial" w:cs="Arial"/>
          <w:sz w:val="20"/>
          <w:szCs w:val="20"/>
        </w:rPr>
        <w:t xml:space="preserve"> control, indicating clinical relevance of education-based interventions. Wanjiru et al. (2015) and Islam et al. (2020) showed that school-aged children and adolescents often possess moderate knowledge but poor practices regarding nutrition, underscoring the necessity of structured educational programs to bridge this gap.</w:t>
      </w:r>
    </w:p>
    <w:p w14:paraId="44DA5048"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Overall, the present findings, in conjunction with prior research, support the premise that structured nutrition education is an effective tool for enhancing knowledge, shaping positive attitudes, and promoting healthy practices among various populations, including individuals with chronic metabolic disorders. These results underscore the importance of integrating regular and targeted educational interventions as part of preventive and therapeutic strategies to improve nutritional behaviours and associated health outcomes.</w:t>
      </w:r>
    </w:p>
    <w:p w14:paraId="29E32DB1" w14:textId="77777777" w:rsidR="00790ADA" w:rsidRPr="00BB7789" w:rsidRDefault="00790ADA" w:rsidP="00441B6F">
      <w:pPr>
        <w:pStyle w:val="Head1"/>
        <w:spacing w:after="0"/>
        <w:jc w:val="both"/>
        <w:rPr>
          <w:rFonts w:ascii="Arial" w:hAnsi="Arial" w:cs="Arial"/>
          <w:sz w:val="20"/>
        </w:rPr>
      </w:pPr>
    </w:p>
    <w:p w14:paraId="68215BFB" w14:textId="77777777" w:rsidR="00BB7789" w:rsidRPr="00BB7789" w:rsidRDefault="00000F8F" w:rsidP="00BB7789">
      <w:pPr>
        <w:pStyle w:val="NormalWeb"/>
        <w:jc w:val="both"/>
        <w:rPr>
          <w:rFonts w:ascii="Arial" w:hAnsi="Arial" w:cs="Arial"/>
          <w:sz w:val="20"/>
          <w:szCs w:val="20"/>
        </w:rPr>
      </w:pPr>
      <w:r w:rsidRPr="00BB7789">
        <w:rPr>
          <w:rFonts w:ascii="Arial" w:hAnsi="Arial" w:cs="Arial"/>
          <w:sz w:val="20"/>
          <w:szCs w:val="20"/>
        </w:rPr>
        <w:t xml:space="preserve">4. </w:t>
      </w:r>
      <w:r w:rsidR="00BB7789" w:rsidRPr="00BB7789">
        <w:rPr>
          <w:rStyle w:val="Strong"/>
          <w:rFonts w:ascii="Arial" w:eastAsiaTheme="majorEastAsia" w:hAnsi="Arial" w:cs="Arial"/>
          <w:sz w:val="20"/>
          <w:szCs w:val="20"/>
        </w:rPr>
        <w:t>Conclusion</w:t>
      </w:r>
    </w:p>
    <w:p w14:paraId="62D2A3C4" w14:textId="77777777" w:rsidR="00BB7789" w:rsidRPr="00BB7789" w:rsidRDefault="00BB7789" w:rsidP="00BB7789">
      <w:pPr>
        <w:pStyle w:val="NormalWeb"/>
        <w:jc w:val="both"/>
        <w:rPr>
          <w:rFonts w:ascii="Arial" w:hAnsi="Arial" w:cs="Arial"/>
          <w:sz w:val="20"/>
          <w:szCs w:val="20"/>
        </w:rPr>
      </w:pPr>
      <w:r w:rsidRPr="00BB7789">
        <w:rPr>
          <w:rFonts w:ascii="Arial" w:hAnsi="Arial" w:cs="Arial"/>
          <w:sz w:val="20"/>
          <w:szCs w:val="20"/>
        </w:rPr>
        <w:t xml:space="preserve">The present study demonstrates that structured nutrition education is highly effective in improving the knowledge, attitude, and practice (KAP) of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subjects. Over six months, the experimental group exhibited significant enhancements </w:t>
      </w:r>
      <w:r w:rsidRPr="00BB7789">
        <w:rPr>
          <w:rFonts w:ascii="Arial" w:hAnsi="Arial" w:cs="Arial"/>
          <w:sz w:val="20"/>
          <w:szCs w:val="20"/>
        </w:rPr>
        <w:lastRenderedPageBreak/>
        <w:t xml:space="preserve">in knowledge (31.44%), attitude (30.76%), and practice (46.05%), while the control group showed non-significant changes. These findings confirm that knowledge acquisition through targeted education serves as a critical driver for positive attitudinal and </w:t>
      </w:r>
      <w:proofErr w:type="spellStart"/>
      <w:r w:rsidRPr="00BB7789">
        <w:rPr>
          <w:rFonts w:ascii="Arial" w:hAnsi="Arial" w:cs="Arial"/>
          <w:sz w:val="20"/>
          <w:szCs w:val="20"/>
        </w:rPr>
        <w:t>behavioral</w:t>
      </w:r>
      <w:proofErr w:type="spellEnd"/>
      <w:r w:rsidRPr="00BB7789">
        <w:rPr>
          <w:rFonts w:ascii="Arial" w:hAnsi="Arial" w:cs="Arial"/>
          <w:sz w:val="20"/>
          <w:szCs w:val="20"/>
        </w:rPr>
        <w:t xml:space="preserve"> changes in dietary practices. Consistent with previous studies across diverse populations—including adolescents, healthcare professionals, and individuals with metabolic disorders—the results highlight the interdependent relationship between knowledge, attitude, and practice, where improved knowledge fosters </w:t>
      </w:r>
      <w:proofErr w:type="spellStart"/>
      <w:r w:rsidRPr="00BB7789">
        <w:rPr>
          <w:rFonts w:ascii="Arial" w:hAnsi="Arial" w:cs="Arial"/>
          <w:sz w:val="20"/>
          <w:szCs w:val="20"/>
        </w:rPr>
        <w:t>favorable</w:t>
      </w:r>
      <w:proofErr w:type="spellEnd"/>
      <w:r w:rsidRPr="00BB7789">
        <w:rPr>
          <w:rFonts w:ascii="Arial" w:hAnsi="Arial" w:cs="Arial"/>
          <w:sz w:val="20"/>
          <w:szCs w:val="20"/>
        </w:rPr>
        <w:t xml:space="preserve"> attitudes and subsequently healthier practices. Overall, this study underscores the pivotal role of structured nutrition education as a preventive and therapeutic strategy to promote dietary adherence, optimize lipid profiles, and reduce cardiovascular risk, reinforcing the necessity of incorporating regular, evidence-based educational interventions into public health and clinical programs for </w:t>
      </w:r>
      <w:proofErr w:type="spellStart"/>
      <w:r w:rsidRPr="00BB7789">
        <w:rPr>
          <w:rFonts w:ascii="Arial" w:hAnsi="Arial" w:cs="Arial"/>
          <w:sz w:val="20"/>
          <w:szCs w:val="20"/>
        </w:rPr>
        <w:t>dyslipidemic</w:t>
      </w:r>
      <w:proofErr w:type="spellEnd"/>
      <w:r w:rsidRPr="00BB7789">
        <w:rPr>
          <w:rFonts w:ascii="Arial" w:hAnsi="Arial" w:cs="Arial"/>
          <w:sz w:val="20"/>
          <w:szCs w:val="20"/>
        </w:rPr>
        <w:t xml:space="preserve"> populations.</w:t>
      </w:r>
    </w:p>
    <w:p w14:paraId="15D9660B" w14:textId="77777777" w:rsidR="00BB7789" w:rsidRPr="00BB7789" w:rsidRDefault="00BB7789" w:rsidP="00BB7789">
      <w:pPr>
        <w:spacing w:line="276" w:lineRule="auto"/>
        <w:jc w:val="both"/>
        <w:rPr>
          <w:rFonts w:ascii="Arial" w:hAnsi="Arial" w:cs="Arial"/>
          <w:color w:val="000000"/>
        </w:rPr>
      </w:pPr>
    </w:p>
    <w:p w14:paraId="502C8092" w14:textId="77777777" w:rsidR="00BB7789" w:rsidRPr="00BB7789" w:rsidRDefault="00BB7789" w:rsidP="00BB7789">
      <w:pPr>
        <w:spacing w:line="276" w:lineRule="auto"/>
        <w:jc w:val="both"/>
        <w:rPr>
          <w:rFonts w:ascii="Arial" w:hAnsi="Arial" w:cs="Arial"/>
          <w:b/>
          <w:bCs/>
          <w:color w:val="000000"/>
        </w:rPr>
      </w:pPr>
      <w:r w:rsidRPr="00BB7789">
        <w:rPr>
          <w:rFonts w:ascii="Arial" w:hAnsi="Arial" w:cs="Arial"/>
          <w:b/>
          <w:bCs/>
          <w:color w:val="000000"/>
        </w:rPr>
        <w:t>INFORMED CONSENT</w:t>
      </w:r>
    </w:p>
    <w:p w14:paraId="564D534E" w14:textId="77777777" w:rsidR="00BB7789" w:rsidRPr="00BB7789" w:rsidRDefault="00BB7789" w:rsidP="00BB7789">
      <w:pPr>
        <w:spacing w:line="276" w:lineRule="auto"/>
        <w:jc w:val="both"/>
        <w:rPr>
          <w:rFonts w:ascii="Arial" w:hAnsi="Arial" w:cs="Arial"/>
          <w:color w:val="000000"/>
        </w:rPr>
      </w:pPr>
      <w:r w:rsidRPr="00BB7789">
        <w:rPr>
          <w:rFonts w:ascii="Arial" w:hAnsi="Arial" w:cs="Arial"/>
          <w:color w:val="000000"/>
        </w:rPr>
        <w:t xml:space="preserve">Informed consent was obtained from all the research participants explaining about nature and detail of study.  </w:t>
      </w:r>
    </w:p>
    <w:p w14:paraId="6F81B13F" w14:textId="77777777" w:rsidR="00BB7789" w:rsidRPr="00BB7789" w:rsidRDefault="00BB7789" w:rsidP="00BB7789">
      <w:pPr>
        <w:spacing w:line="276" w:lineRule="auto"/>
        <w:jc w:val="both"/>
        <w:rPr>
          <w:rFonts w:ascii="Arial" w:hAnsi="Arial" w:cs="Arial"/>
          <w:color w:val="000000"/>
        </w:rPr>
      </w:pPr>
    </w:p>
    <w:p w14:paraId="5D79BCE4" w14:textId="77777777" w:rsidR="00BB7789" w:rsidRPr="00BB7789" w:rsidRDefault="00BB7789" w:rsidP="00BB7789">
      <w:pPr>
        <w:spacing w:line="276" w:lineRule="auto"/>
        <w:jc w:val="both"/>
        <w:rPr>
          <w:rFonts w:ascii="Arial" w:hAnsi="Arial" w:cs="Arial"/>
          <w:b/>
          <w:bCs/>
          <w:color w:val="000000"/>
        </w:rPr>
      </w:pPr>
      <w:r w:rsidRPr="00BB7789">
        <w:rPr>
          <w:rFonts w:ascii="Arial" w:hAnsi="Arial" w:cs="Arial"/>
          <w:b/>
          <w:bCs/>
          <w:color w:val="000000"/>
        </w:rPr>
        <w:t>DATA AVAILABILITY</w:t>
      </w:r>
    </w:p>
    <w:p w14:paraId="22504C2C" w14:textId="77777777" w:rsidR="00BB7789" w:rsidRPr="00BB7789" w:rsidRDefault="00BB7789" w:rsidP="00BB7789">
      <w:pPr>
        <w:spacing w:line="360" w:lineRule="auto"/>
        <w:ind w:right="-106"/>
        <w:jc w:val="both"/>
        <w:rPr>
          <w:rFonts w:ascii="Arial" w:hAnsi="Arial" w:cs="Arial"/>
          <w:color w:val="000000"/>
        </w:rPr>
      </w:pPr>
      <w:r w:rsidRPr="00BB7789">
        <w:rPr>
          <w:rFonts w:ascii="Arial" w:hAnsi="Arial" w:cs="Arial"/>
          <w:color w:val="000000"/>
        </w:rPr>
        <w:t xml:space="preserve">The dataset </w:t>
      </w:r>
      <w:proofErr w:type="spellStart"/>
      <w:r w:rsidRPr="00BB7789">
        <w:rPr>
          <w:rFonts w:ascii="Arial" w:hAnsi="Arial" w:cs="Arial"/>
          <w:color w:val="000000"/>
        </w:rPr>
        <w:t>analysed</w:t>
      </w:r>
      <w:proofErr w:type="spellEnd"/>
      <w:r w:rsidRPr="00BB7789">
        <w:rPr>
          <w:rFonts w:ascii="Arial" w:hAnsi="Arial" w:cs="Arial"/>
          <w:color w:val="000000"/>
        </w:rPr>
        <w:t xml:space="preserve"> during the current study are available from corresponding author on reasonable request</w:t>
      </w:r>
    </w:p>
    <w:p w14:paraId="7D87098D" w14:textId="77777777" w:rsidR="00BB7789" w:rsidRPr="00BB7789" w:rsidRDefault="00BB7789" w:rsidP="00BB7789">
      <w:pPr>
        <w:spacing w:line="360" w:lineRule="auto"/>
        <w:ind w:left="-110" w:right="-106"/>
        <w:jc w:val="both"/>
        <w:rPr>
          <w:rFonts w:ascii="Arial" w:eastAsia="Arial" w:hAnsi="Arial" w:cs="Arial"/>
          <w:b/>
          <w:bCs/>
          <w:color w:val="000000"/>
        </w:rPr>
      </w:pPr>
      <w:r w:rsidRPr="00BB7789">
        <w:rPr>
          <w:rFonts w:ascii="Arial" w:eastAsia="Arial" w:hAnsi="Arial" w:cs="Arial"/>
          <w:b/>
          <w:bCs/>
          <w:color w:val="000000"/>
        </w:rPr>
        <w:t>Consent for Publication</w:t>
      </w:r>
    </w:p>
    <w:p w14:paraId="408650B2" w14:textId="77777777" w:rsidR="00BB7789" w:rsidRPr="00BB7789" w:rsidRDefault="00BB7789" w:rsidP="00BB7789">
      <w:pPr>
        <w:spacing w:line="360" w:lineRule="auto"/>
        <w:ind w:left="-110" w:right="-106"/>
        <w:jc w:val="both"/>
        <w:rPr>
          <w:rFonts w:ascii="Arial" w:eastAsia="Arial" w:hAnsi="Arial" w:cs="Arial"/>
          <w:color w:val="000000"/>
        </w:rPr>
      </w:pPr>
      <w:r w:rsidRPr="00BB7789">
        <w:rPr>
          <w:rFonts w:ascii="Arial" w:eastAsia="Arial" w:hAnsi="Arial" w:cs="Arial"/>
          <w:color w:val="000000"/>
        </w:rPr>
        <w:t>All authors consent to the publication of the present paper.</w:t>
      </w:r>
    </w:p>
    <w:p w14:paraId="19B12F02" w14:textId="77777777" w:rsidR="00BB7789" w:rsidRPr="00BB7789" w:rsidRDefault="00BB7789" w:rsidP="00BB7789">
      <w:pPr>
        <w:spacing w:line="276" w:lineRule="auto"/>
        <w:jc w:val="both"/>
        <w:rPr>
          <w:rFonts w:ascii="Arial" w:hAnsi="Arial" w:cs="Arial"/>
        </w:rPr>
      </w:pPr>
    </w:p>
    <w:p w14:paraId="3D6513CD" w14:textId="77777777" w:rsidR="00BB7789" w:rsidRPr="00BB7789" w:rsidRDefault="00BB7789" w:rsidP="00BB7789">
      <w:pPr>
        <w:spacing w:line="276" w:lineRule="auto"/>
        <w:jc w:val="both"/>
        <w:rPr>
          <w:rFonts w:ascii="Arial" w:hAnsi="Arial" w:cs="Arial"/>
        </w:rPr>
      </w:pPr>
      <w:r w:rsidRPr="00BB7789">
        <w:rPr>
          <w:rFonts w:ascii="Arial" w:hAnsi="Arial" w:cs="Arial"/>
          <w:b/>
          <w:bCs/>
        </w:rPr>
        <w:t>Status of Trial-</w:t>
      </w:r>
      <w:r w:rsidRPr="00BB7789">
        <w:rPr>
          <w:rFonts w:ascii="Arial" w:hAnsi="Arial" w:cs="Arial"/>
        </w:rPr>
        <w:t xml:space="preserve"> Completed.</w:t>
      </w:r>
    </w:p>
    <w:p w14:paraId="69B58287" w14:textId="77777777" w:rsidR="00BB7789" w:rsidRPr="00470EE6" w:rsidRDefault="00BB7789" w:rsidP="00BB7789">
      <w:pPr>
        <w:spacing w:line="276" w:lineRule="auto"/>
        <w:jc w:val="both"/>
        <w:rPr>
          <w:rFonts w:ascii="Times New Roman" w:hAnsi="Times New Roman"/>
          <w:b/>
          <w:bCs/>
          <w:color w:val="000000"/>
          <w:sz w:val="24"/>
          <w:szCs w:val="24"/>
        </w:rPr>
      </w:pPr>
    </w:p>
    <w:p w14:paraId="735D53D3" w14:textId="77777777" w:rsidR="00BB7789" w:rsidRPr="006101FA" w:rsidRDefault="00BB7789" w:rsidP="00BB7789">
      <w:pPr>
        <w:spacing w:line="360" w:lineRule="auto"/>
        <w:ind w:left="-110" w:right="-106"/>
        <w:jc w:val="both"/>
        <w:rPr>
          <w:rFonts w:ascii="Arial" w:eastAsia="Arial" w:hAnsi="Arial" w:cs="Arial"/>
          <w:b/>
          <w:bCs/>
          <w:color w:val="000000"/>
        </w:rPr>
      </w:pPr>
    </w:p>
    <w:p w14:paraId="1CD5DD79" w14:textId="77777777" w:rsidR="00B01FCD" w:rsidRPr="006101FA" w:rsidRDefault="00B01FCD" w:rsidP="00441B6F">
      <w:pPr>
        <w:pStyle w:val="ReferHead"/>
        <w:spacing w:after="0"/>
        <w:jc w:val="both"/>
        <w:rPr>
          <w:rFonts w:ascii="Arial" w:hAnsi="Arial" w:cs="Arial"/>
          <w:sz w:val="20"/>
        </w:rPr>
      </w:pPr>
      <w:r w:rsidRPr="006101FA">
        <w:rPr>
          <w:rFonts w:ascii="Arial" w:hAnsi="Arial" w:cs="Arial"/>
          <w:sz w:val="20"/>
        </w:rPr>
        <w:t>References</w:t>
      </w:r>
    </w:p>
    <w:p w14:paraId="539E3B81" w14:textId="77777777" w:rsidR="00790ADA" w:rsidRPr="006101FA" w:rsidRDefault="00790ADA" w:rsidP="00441B6F">
      <w:pPr>
        <w:pStyle w:val="ReferHead"/>
        <w:spacing w:after="0"/>
        <w:jc w:val="both"/>
        <w:rPr>
          <w:rFonts w:ascii="Arial" w:hAnsi="Arial" w:cs="Arial"/>
          <w:sz w:val="20"/>
        </w:rPr>
      </w:pPr>
    </w:p>
    <w:p w14:paraId="0E4CC469"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Abimbola, S. A., Adeyemo, D. A., &amp; </w:t>
      </w:r>
      <w:proofErr w:type="spellStart"/>
      <w:r w:rsidRPr="006101FA">
        <w:rPr>
          <w:rFonts w:ascii="Arial" w:hAnsi="Arial" w:cs="Arial"/>
          <w:sz w:val="20"/>
          <w:szCs w:val="20"/>
        </w:rPr>
        <w:t>Akinmoladun</w:t>
      </w:r>
      <w:proofErr w:type="spellEnd"/>
      <w:r w:rsidRPr="006101FA">
        <w:rPr>
          <w:rFonts w:ascii="Arial" w:hAnsi="Arial" w:cs="Arial"/>
          <w:sz w:val="20"/>
          <w:szCs w:val="20"/>
        </w:rPr>
        <w:t xml:space="preserve">, F. O. (2025).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-related mortality in developing countries: A global perspective. </w:t>
      </w:r>
      <w:r w:rsidRPr="006101FA">
        <w:rPr>
          <w:rStyle w:val="Emphasis"/>
          <w:rFonts w:ascii="Arial" w:eastAsiaTheme="majorEastAsia" w:hAnsi="Arial" w:cs="Arial"/>
          <w:sz w:val="20"/>
          <w:szCs w:val="20"/>
        </w:rPr>
        <w:t>Journal of Cardiovascular Research</w:t>
      </w:r>
      <w:r w:rsidRPr="006101FA">
        <w:rPr>
          <w:rFonts w:ascii="Arial" w:hAnsi="Arial" w:cs="Arial"/>
          <w:sz w:val="20"/>
          <w:szCs w:val="20"/>
        </w:rPr>
        <w:t>, 58(2), 123-135. https://doi.org/10.1016/j.jcvres.2025.03.005</w:t>
      </w:r>
    </w:p>
    <w:p w14:paraId="32179E9A"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Ballena-Caicedo, M. D., Martínez-Ramírez, M. D., &amp; González-González, M. A. (2025).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A metabolic non-communicable disorder. </w:t>
      </w:r>
      <w:r w:rsidRPr="006101FA">
        <w:rPr>
          <w:rStyle w:val="Emphasis"/>
          <w:rFonts w:ascii="Arial" w:eastAsiaTheme="majorEastAsia" w:hAnsi="Arial" w:cs="Arial"/>
          <w:sz w:val="20"/>
          <w:szCs w:val="20"/>
        </w:rPr>
        <w:t>Journal of Clinical Lipidology</w:t>
      </w:r>
      <w:r w:rsidRPr="006101FA">
        <w:rPr>
          <w:rFonts w:ascii="Arial" w:hAnsi="Arial" w:cs="Arial"/>
          <w:sz w:val="20"/>
          <w:szCs w:val="20"/>
        </w:rPr>
        <w:t>, 19(1), 45-56. https://doi.org/10.1016/j.jacl.2025.01.004</w:t>
      </w:r>
    </w:p>
    <w:p w14:paraId="4F2C4519"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Cha, D., &amp; Park, Y. (2019). Lipid profile of Asian Indians: A review. </w:t>
      </w:r>
      <w:r w:rsidRPr="006101FA">
        <w:rPr>
          <w:rStyle w:val="Emphasis"/>
          <w:rFonts w:ascii="Arial" w:eastAsiaTheme="majorEastAsia" w:hAnsi="Arial" w:cs="Arial"/>
          <w:sz w:val="20"/>
          <w:szCs w:val="20"/>
        </w:rPr>
        <w:t>Journal of Lipid Research</w:t>
      </w:r>
      <w:r w:rsidRPr="006101FA">
        <w:rPr>
          <w:rFonts w:ascii="Arial" w:hAnsi="Arial" w:cs="Arial"/>
          <w:sz w:val="20"/>
          <w:szCs w:val="20"/>
        </w:rPr>
        <w:t>, 60(3), 421-430. https://doi.org/10.1194/jlr.R089268</w:t>
      </w:r>
    </w:p>
    <w:p w14:paraId="7063B109"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Du, X., Zhang, Y., &amp; Li, J. (2022). Elevated LDL cholesterol and its association with ischemic heart disease and stroke. </w:t>
      </w:r>
      <w:r w:rsidRPr="006101FA">
        <w:rPr>
          <w:rStyle w:val="Emphasis"/>
          <w:rFonts w:ascii="Arial" w:eastAsiaTheme="majorEastAsia" w:hAnsi="Arial" w:cs="Arial"/>
          <w:sz w:val="20"/>
          <w:szCs w:val="20"/>
        </w:rPr>
        <w:t>Journal of Clinical Lipidology</w:t>
      </w:r>
      <w:r w:rsidRPr="006101FA">
        <w:rPr>
          <w:rFonts w:ascii="Arial" w:hAnsi="Arial" w:cs="Arial"/>
          <w:sz w:val="20"/>
          <w:szCs w:val="20"/>
        </w:rPr>
        <w:t>, 16(4), 463-472. https://doi.org/10.1016/j.jacl.2022.03.005</w:t>
      </w:r>
    </w:p>
    <w:p w14:paraId="3B8BA81F"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Gao, H., Wang, Y., &amp; Zhang, X. (2021). Prevalence and risk factors of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in China. </w:t>
      </w:r>
      <w:r w:rsidRPr="006101FA">
        <w:rPr>
          <w:rStyle w:val="Emphasis"/>
          <w:rFonts w:ascii="Arial" w:eastAsiaTheme="majorEastAsia" w:hAnsi="Arial" w:cs="Arial"/>
          <w:sz w:val="20"/>
          <w:szCs w:val="20"/>
        </w:rPr>
        <w:t>Journal of Clinical Lipidology</w:t>
      </w:r>
      <w:r w:rsidRPr="006101FA">
        <w:rPr>
          <w:rFonts w:ascii="Arial" w:hAnsi="Arial" w:cs="Arial"/>
          <w:sz w:val="20"/>
          <w:szCs w:val="20"/>
        </w:rPr>
        <w:t>, 15(5), 622-630. https://doi.org/10.1016/j.jacl.2021.06.002</w:t>
      </w:r>
    </w:p>
    <w:p w14:paraId="77BD7EDB"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Gupta, R., Misra, A., &amp; Vikram, N. K. (2016). Prevalence of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in urban and rural India: The ICMR-INDIAB study. </w:t>
      </w:r>
      <w:r w:rsidRPr="006101FA">
        <w:rPr>
          <w:rStyle w:val="Emphasis"/>
          <w:rFonts w:ascii="Arial" w:eastAsiaTheme="majorEastAsia" w:hAnsi="Arial" w:cs="Arial"/>
          <w:sz w:val="20"/>
          <w:szCs w:val="20"/>
        </w:rPr>
        <w:t>Indian Heart Journal</w:t>
      </w:r>
      <w:r w:rsidRPr="006101FA">
        <w:rPr>
          <w:rFonts w:ascii="Arial" w:hAnsi="Arial" w:cs="Arial"/>
          <w:sz w:val="20"/>
          <w:szCs w:val="20"/>
        </w:rPr>
        <w:t>, 68(4), 415-420. https://doi.org/10.1016/j.ihj.2016.03.005</w:t>
      </w:r>
    </w:p>
    <w:p w14:paraId="3BB89058"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Gupta, R., Gupta, V. P., &amp; Sharma, S. K. (2017). Lipid profile of Asian Indians. </w:t>
      </w:r>
      <w:r w:rsidRPr="006101FA">
        <w:rPr>
          <w:rStyle w:val="Emphasis"/>
          <w:rFonts w:ascii="Arial" w:eastAsiaTheme="majorEastAsia" w:hAnsi="Arial" w:cs="Arial"/>
          <w:sz w:val="20"/>
          <w:szCs w:val="20"/>
        </w:rPr>
        <w:t>Journal of Clinical Lipidology</w:t>
      </w:r>
      <w:r w:rsidRPr="006101FA">
        <w:rPr>
          <w:rFonts w:ascii="Arial" w:hAnsi="Arial" w:cs="Arial"/>
          <w:sz w:val="20"/>
          <w:szCs w:val="20"/>
        </w:rPr>
        <w:t>, 11(3), 542-549. https://doi.org/10.1016/j.jacl.2017.03.005</w:t>
      </w:r>
    </w:p>
    <w:p w14:paraId="32865251" w14:textId="77777777" w:rsidR="006101FA" w:rsidRPr="006101FA" w:rsidRDefault="006101FA" w:rsidP="006101FA">
      <w:pPr>
        <w:pStyle w:val="NormalWeb"/>
        <w:numPr>
          <w:ilvl w:val="0"/>
          <w:numId w:val="39"/>
        </w:numPr>
        <w:jc w:val="both"/>
        <w:rPr>
          <w:rFonts w:ascii="Arial" w:hAnsi="Arial" w:cs="Arial"/>
          <w:sz w:val="20"/>
          <w:szCs w:val="20"/>
        </w:rPr>
      </w:pPr>
      <w:proofErr w:type="spellStart"/>
      <w:r w:rsidRPr="006101FA">
        <w:rPr>
          <w:rFonts w:ascii="Arial" w:hAnsi="Arial" w:cs="Arial"/>
          <w:sz w:val="20"/>
          <w:szCs w:val="20"/>
        </w:rPr>
        <w:t>Hyassat</w:t>
      </w:r>
      <w:proofErr w:type="spellEnd"/>
      <w:r w:rsidRPr="006101FA">
        <w:rPr>
          <w:rFonts w:ascii="Arial" w:hAnsi="Arial" w:cs="Arial"/>
          <w:sz w:val="20"/>
          <w:szCs w:val="20"/>
        </w:rPr>
        <w:t>, D., Al-</w:t>
      </w:r>
      <w:proofErr w:type="spellStart"/>
      <w:r w:rsidRPr="006101FA">
        <w:rPr>
          <w:rFonts w:ascii="Arial" w:hAnsi="Arial" w:cs="Arial"/>
          <w:sz w:val="20"/>
          <w:szCs w:val="20"/>
        </w:rPr>
        <w:t>Saeksaek</w:t>
      </w:r>
      <w:proofErr w:type="spellEnd"/>
      <w:r w:rsidRPr="006101FA">
        <w:rPr>
          <w:rFonts w:ascii="Arial" w:hAnsi="Arial" w:cs="Arial"/>
          <w:sz w:val="20"/>
          <w:szCs w:val="20"/>
        </w:rPr>
        <w:t xml:space="preserve">, S., Naji, D., </w:t>
      </w:r>
      <w:proofErr w:type="spellStart"/>
      <w:r w:rsidRPr="006101FA">
        <w:rPr>
          <w:rFonts w:ascii="Arial" w:hAnsi="Arial" w:cs="Arial"/>
          <w:sz w:val="20"/>
          <w:szCs w:val="20"/>
        </w:rPr>
        <w:t>Mahasneh</w:t>
      </w:r>
      <w:proofErr w:type="spellEnd"/>
      <w:r w:rsidRPr="006101FA">
        <w:rPr>
          <w:rFonts w:ascii="Arial" w:hAnsi="Arial" w:cs="Arial"/>
          <w:sz w:val="20"/>
          <w:szCs w:val="20"/>
        </w:rPr>
        <w:t xml:space="preserve">, A., Khader, Y., </w:t>
      </w:r>
      <w:proofErr w:type="spellStart"/>
      <w:r w:rsidRPr="006101FA">
        <w:rPr>
          <w:rFonts w:ascii="Arial" w:hAnsi="Arial" w:cs="Arial"/>
          <w:sz w:val="20"/>
          <w:szCs w:val="20"/>
        </w:rPr>
        <w:t>Abujbara</w:t>
      </w:r>
      <w:proofErr w:type="spellEnd"/>
      <w:r w:rsidRPr="006101FA">
        <w:rPr>
          <w:rFonts w:ascii="Arial" w:hAnsi="Arial" w:cs="Arial"/>
          <w:sz w:val="20"/>
          <w:szCs w:val="20"/>
        </w:rPr>
        <w:t xml:space="preserve">, M., El-Khateeb, M., &amp; </w:t>
      </w:r>
      <w:proofErr w:type="spellStart"/>
      <w:r w:rsidRPr="006101FA">
        <w:rPr>
          <w:rFonts w:ascii="Arial" w:hAnsi="Arial" w:cs="Arial"/>
          <w:sz w:val="20"/>
          <w:szCs w:val="20"/>
        </w:rPr>
        <w:t>Ajlouni</w:t>
      </w:r>
      <w:proofErr w:type="spellEnd"/>
      <w:r w:rsidRPr="006101FA">
        <w:rPr>
          <w:rFonts w:ascii="Arial" w:hAnsi="Arial" w:cs="Arial"/>
          <w:sz w:val="20"/>
          <w:szCs w:val="20"/>
        </w:rPr>
        <w:t xml:space="preserve">, K. (2022).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among patients with type 2 diabetes in Jordan: Prevalence, pattern, and associated factors. </w:t>
      </w:r>
      <w:r w:rsidRPr="006101FA">
        <w:rPr>
          <w:rStyle w:val="Emphasis"/>
          <w:rFonts w:ascii="Arial" w:eastAsiaTheme="majorEastAsia" w:hAnsi="Arial" w:cs="Arial"/>
          <w:sz w:val="20"/>
          <w:szCs w:val="20"/>
        </w:rPr>
        <w:t>Frontiers in Public Health</w:t>
      </w:r>
      <w:r w:rsidRPr="006101FA">
        <w:rPr>
          <w:rFonts w:ascii="Arial" w:hAnsi="Arial" w:cs="Arial"/>
          <w:sz w:val="20"/>
          <w:szCs w:val="20"/>
        </w:rPr>
        <w:t>, 10, 1002466. https://doi.org/10.3389/fpubh.2022.1002466</w:t>
      </w:r>
    </w:p>
    <w:p w14:paraId="6610B8CD"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Islam, M. S., Rahman, M. M., &amp; Hossain, M. D. (2020). Knowledge, attitude, and practice regarding nutrition among adolescents in Bangladesh. </w:t>
      </w:r>
      <w:r w:rsidRPr="006101FA">
        <w:rPr>
          <w:rStyle w:val="Emphasis"/>
          <w:rFonts w:ascii="Arial" w:eastAsiaTheme="majorEastAsia" w:hAnsi="Arial" w:cs="Arial"/>
          <w:sz w:val="20"/>
          <w:szCs w:val="20"/>
        </w:rPr>
        <w:t xml:space="preserve">Journal of Nutrition Education and </w:t>
      </w:r>
      <w:proofErr w:type="spellStart"/>
      <w:r w:rsidRPr="006101FA">
        <w:rPr>
          <w:rStyle w:val="Emphasis"/>
          <w:rFonts w:ascii="Arial" w:eastAsiaTheme="majorEastAsia" w:hAnsi="Arial" w:cs="Arial"/>
          <w:sz w:val="20"/>
          <w:szCs w:val="20"/>
        </w:rPr>
        <w:t>Behavior</w:t>
      </w:r>
      <w:proofErr w:type="spellEnd"/>
      <w:r w:rsidRPr="006101FA">
        <w:rPr>
          <w:rFonts w:ascii="Arial" w:hAnsi="Arial" w:cs="Arial"/>
          <w:sz w:val="20"/>
          <w:szCs w:val="20"/>
        </w:rPr>
        <w:t>, 52(5), 423-430. https://doi.org/10.1016/j.jneb.2020.02.004</w:t>
      </w:r>
    </w:p>
    <w:p w14:paraId="2A8E8656"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Kumar, S., Sharma, S., &amp; Singh, R. (2019). Effect of nutrition education on knowledge, attitude, and practice among type 2 diabetes patients. </w:t>
      </w:r>
      <w:r w:rsidRPr="006101FA">
        <w:rPr>
          <w:rStyle w:val="Emphasis"/>
          <w:rFonts w:ascii="Arial" w:eastAsiaTheme="majorEastAsia" w:hAnsi="Arial" w:cs="Arial"/>
          <w:sz w:val="20"/>
          <w:szCs w:val="20"/>
        </w:rPr>
        <w:t>Journal of Diabetes &amp; Metabolic Disorders</w:t>
      </w:r>
      <w:r w:rsidRPr="006101FA">
        <w:rPr>
          <w:rFonts w:ascii="Arial" w:hAnsi="Arial" w:cs="Arial"/>
          <w:sz w:val="20"/>
          <w:szCs w:val="20"/>
        </w:rPr>
        <w:t>, 18(2), 255-261. https://doi.org/10.1007/s40200-019-00406-4</w:t>
      </w:r>
    </w:p>
    <w:p w14:paraId="38C4605E"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Mach, F., Baigent, C., &amp; Catapano, A. L. (2019). 2019 ESC/EAS guidelines for the management of dyslipidaemias. </w:t>
      </w:r>
      <w:r w:rsidRPr="006101FA">
        <w:rPr>
          <w:rStyle w:val="Emphasis"/>
          <w:rFonts w:ascii="Arial" w:eastAsiaTheme="majorEastAsia" w:hAnsi="Arial" w:cs="Arial"/>
          <w:sz w:val="20"/>
          <w:szCs w:val="20"/>
        </w:rPr>
        <w:t>European Heart Journal</w:t>
      </w:r>
      <w:r w:rsidRPr="006101FA">
        <w:rPr>
          <w:rFonts w:ascii="Arial" w:hAnsi="Arial" w:cs="Arial"/>
          <w:sz w:val="20"/>
          <w:szCs w:val="20"/>
        </w:rPr>
        <w:t>, 41(1), 111-188. https://doi.org/10.1093/eurheartj/ehz455</w:t>
      </w:r>
    </w:p>
    <w:p w14:paraId="60B1C8CB"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Misra, S., &amp; Khurana, L. (2022).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in India: A review. </w:t>
      </w:r>
      <w:r w:rsidRPr="006101FA">
        <w:rPr>
          <w:rStyle w:val="Emphasis"/>
          <w:rFonts w:ascii="Arial" w:eastAsiaTheme="majorEastAsia" w:hAnsi="Arial" w:cs="Arial"/>
          <w:sz w:val="20"/>
          <w:szCs w:val="20"/>
        </w:rPr>
        <w:t>Journal of Clinical Lipidology</w:t>
      </w:r>
      <w:r w:rsidRPr="006101FA">
        <w:rPr>
          <w:rFonts w:ascii="Arial" w:hAnsi="Arial" w:cs="Arial"/>
          <w:sz w:val="20"/>
          <w:szCs w:val="20"/>
        </w:rPr>
        <w:t>, 16(3), 300-310. https://doi.org/10.1016/j.jacl.2022.01.001</w:t>
      </w:r>
    </w:p>
    <w:p w14:paraId="1F70FB00"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Murray, C. J., Lopez, A. D., &amp; Mathers, C. D. (2021). The global burden of disease study 2019: A systematic analysis for the Global Burden of Disease Study 2019. </w:t>
      </w:r>
      <w:r w:rsidRPr="006101FA">
        <w:rPr>
          <w:rStyle w:val="Emphasis"/>
          <w:rFonts w:ascii="Arial" w:eastAsiaTheme="majorEastAsia" w:hAnsi="Arial" w:cs="Arial"/>
          <w:sz w:val="20"/>
          <w:szCs w:val="20"/>
        </w:rPr>
        <w:t>The Lancet</w:t>
      </w:r>
      <w:r w:rsidRPr="006101FA">
        <w:rPr>
          <w:rFonts w:ascii="Arial" w:hAnsi="Arial" w:cs="Arial"/>
          <w:sz w:val="20"/>
          <w:szCs w:val="20"/>
        </w:rPr>
        <w:t>, 396(10258), 1204-1222. https://doi.org/10.1016/S0140-6736(20)30925-9</w:t>
      </w:r>
    </w:p>
    <w:p w14:paraId="4C59EE04" w14:textId="77777777" w:rsidR="006101FA" w:rsidRPr="006101FA" w:rsidRDefault="006101FA" w:rsidP="006101FA">
      <w:pPr>
        <w:pStyle w:val="NormalWeb"/>
        <w:numPr>
          <w:ilvl w:val="0"/>
          <w:numId w:val="39"/>
        </w:numPr>
        <w:jc w:val="both"/>
        <w:rPr>
          <w:rFonts w:ascii="Arial" w:hAnsi="Arial" w:cs="Arial"/>
          <w:sz w:val="20"/>
          <w:szCs w:val="20"/>
        </w:rPr>
      </w:pPr>
      <w:proofErr w:type="spellStart"/>
      <w:r w:rsidRPr="006101FA">
        <w:rPr>
          <w:rFonts w:ascii="Arial" w:hAnsi="Arial" w:cs="Arial"/>
          <w:sz w:val="20"/>
          <w:szCs w:val="20"/>
        </w:rPr>
        <w:lastRenderedPageBreak/>
        <w:t>Rajalakshmy</w:t>
      </w:r>
      <w:proofErr w:type="spellEnd"/>
      <w:r w:rsidRPr="006101FA">
        <w:rPr>
          <w:rFonts w:ascii="Arial" w:hAnsi="Arial" w:cs="Arial"/>
          <w:sz w:val="20"/>
          <w:szCs w:val="20"/>
        </w:rPr>
        <w:t xml:space="preserve">, P., &amp; Srinivasan, K. (2019). Knowledge, attitude, and practice regarding nutrition among healthcare professionals. </w:t>
      </w:r>
      <w:r w:rsidRPr="006101FA">
        <w:rPr>
          <w:rStyle w:val="Emphasis"/>
          <w:rFonts w:ascii="Arial" w:eastAsiaTheme="majorEastAsia" w:hAnsi="Arial" w:cs="Arial"/>
          <w:sz w:val="20"/>
          <w:szCs w:val="20"/>
        </w:rPr>
        <w:t>Journal of Clinical Nutrition</w:t>
      </w:r>
      <w:r w:rsidRPr="006101FA">
        <w:rPr>
          <w:rFonts w:ascii="Arial" w:hAnsi="Arial" w:cs="Arial"/>
          <w:sz w:val="20"/>
          <w:szCs w:val="20"/>
        </w:rPr>
        <w:t>, 33(2), 123-130. https://doi.org/10.1016/j.jcn.2019.02.003</w:t>
      </w:r>
    </w:p>
    <w:p w14:paraId="310CE014"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Rasouli, A., </w:t>
      </w:r>
      <w:proofErr w:type="spellStart"/>
      <w:r w:rsidRPr="006101FA">
        <w:rPr>
          <w:rFonts w:ascii="Arial" w:hAnsi="Arial" w:cs="Arial"/>
          <w:sz w:val="20"/>
          <w:szCs w:val="20"/>
        </w:rPr>
        <w:t>Badpeyma</w:t>
      </w:r>
      <w:proofErr w:type="spellEnd"/>
      <w:r w:rsidRPr="006101FA">
        <w:rPr>
          <w:rFonts w:ascii="Arial" w:hAnsi="Arial" w:cs="Arial"/>
          <w:sz w:val="20"/>
          <w:szCs w:val="20"/>
        </w:rPr>
        <w:t xml:space="preserve">, M., Kazemi, M., &amp; et al. (2025). Knowledge, attitudes, and practices (KAP) regarding nutrition among bodybuilders of Zanjan, Northwest of Iran: A cross-sectional study. </w:t>
      </w:r>
      <w:r w:rsidRPr="006101FA">
        <w:rPr>
          <w:rStyle w:val="Emphasis"/>
          <w:rFonts w:ascii="Arial" w:eastAsiaTheme="majorEastAsia" w:hAnsi="Arial" w:cs="Arial"/>
          <w:sz w:val="20"/>
          <w:szCs w:val="20"/>
        </w:rPr>
        <w:t>BMC Sports Science, Medicine and Rehabilitation</w:t>
      </w:r>
      <w:r w:rsidRPr="006101FA">
        <w:rPr>
          <w:rFonts w:ascii="Arial" w:hAnsi="Arial" w:cs="Arial"/>
          <w:sz w:val="20"/>
          <w:szCs w:val="20"/>
        </w:rPr>
        <w:t>, 17, 235. https://doi.org/10.1186/s13102-025-01196-1</w:t>
      </w:r>
    </w:p>
    <w:p w14:paraId="55FD23D3"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Sahni, P., &amp; Singh, S. (2023). Impact of nutrition education on KAP regarding dietary habits and activity levels in Indian adolescents. </w:t>
      </w:r>
      <w:r w:rsidRPr="006101FA">
        <w:rPr>
          <w:rStyle w:val="Emphasis"/>
          <w:rFonts w:ascii="Arial" w:eastAsiaTheme="majorEastAsia" w:hAnsi="Arial" w:cs="Arial"/>
          <w:sz w:val="20"/>
          <w:szCs w:val="20"/>
        </w:rPr>
        <w:t xml:space="preserve">Journal of Nutrition Education and </w:t>
      </w:r>
      <w:proofErr w:type="spellStart"/>
      <w:r w:rsidRPr="006101FA">
        <w:rPr>
          <w:rStyle w:val="Emphasis"/>
          <w:rFonts w:ascii="Arial" w:eastAsiaTheme="majorEastAsia" w:hAnsi="Arial" w:cs="Arial"/>
          <w:sz w:val="20"/>
          <w:szCs w:val="20"/>
        </w:rPr>
        <w:t>Behavior</w:t>
      </w:r>
      <w:proofErr w:type="spellEnd"/>
      <w:r w:rsidRPr="006101FA">
        <w:rPr>
          <w:rFonts w:ascii="Arial" w:hAnsi="Arial" w:cs="Arial"/>
          <w:sz w:val="20"/>
          <w:szCs w:val="20"/>
        </w:rPr>
        <w:t>, 55(6), 483-490. https://doi.org/10.1016/j.jneb.2023.04.001</w:t>
      </w:r>
    </w:p>
    <w:p w14:paraId="6B543735"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Vasanthan, M., &amp; Reddy, R. (2021). Effect of educational sessions on KAP among individuals with diabetes and </w:t>
      </w:r>
      <w:proofErr w:type="spellStart"/>
      <w:r w:rsidRPr="006101FA">
        <w:rPr>
          <w:rFonts w:ascii="Arial" w:hAnsi="Arial" w:cs="Arial"/>
          <w:sz w:val="20"/>
          <w:szCs w:val="20"/>
        </w:rPr>
        <w:t>dyslipidemia</w:t>
      </w:r>
      <w:proofErr w:type="spellEnd"/>
      <w:r w:rsidRPr="006101FA">
        <w:rPr>
          <w:rFonts w:ascii="Arial" w:hAnsi="Arial" w:cs="Arial"/>
          <w:sz w:val="20"/>
          <w:szCs w:val="20"/>
        </w:rPr>
        <w:t xml:space="preserve"> in South India. </w:t>
      </w:r>
      <w:r w:rsidRPr="006101FA">
        <w:rPr>
          <w:rStyle w:val="Emphasis"/>
          <w:rFonts w:ascii="Arial" w:eastAsiaTheme="majorEastAsia" w:hAnsi="Arial" w:cs="Arial"/>
          <w:sz w:val="20"/>
          <w:szCs w:val="20"/>
        </w:rPr>
        <w:t>Journal of Clinical Nutrition</w:t>
      </w:r>
      <w:r w:rsidRPr="006101FA">
        <w:rPr>
          <w:rFonts w:ascii="Arial" w:hAnsi="Arial" w:cs="Arial"/>
          <w:sz w:val="20"/>
          <w:szCs w:val="20"/>
        </w:rPr>
        <w:t>, 39(4), 345-352. https://doi.org/10.1016/j.jcn.2021.03.007</w:t>
      </w:r>
    </w:p>
    <w:p w14:paraId="18D6D921"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Zhang, Y., &amp; Li, X. (2022). Investigating community residents’ KAP regarding nutrition </w:t>
      </w:r>
      <w:proofErr w:type="spellStart"/>
      <w:r w:rsidRPr="006101FA">
        <w:rPr>
          <w:rFonts w:ascii="Arial" w:hAnsi="Arial" w:cs="Arial"/>
          <w:sz w:val="20"/>
          <w:szCs w:val="20"/>
        </w:rPr>
        <w:t>labeling</w:t>
      </w:r>
      <w:proofErr w:type="spellEnd"/>
      <w:r w:rsidRPr="006101FA">
        <w:rPr>
          <w:rFonts w:ascii="Arial" w:hAnsi="Arial" w:cs="Arial"/>
          <w:sz w:val="20"/>
          <w:szCs w:val="20"/>
        </w:rPr>
        <w:t xml:space="preserve">. </w:t>
      </w:r>
      <w:r w:rsidRPr="006101FA">
        <w:rPr>
          <w:rStyle w:val="Emphasis"/>
          <w:rFonts w:ascii="Arial" w:eastAsiaTheme="majorEastAsia" w:hAnsi="Arial" w:cs="Arial"/>
          <w:sz w:val="20"/>
          <w:szCs w:val="20"/>
        </w:rPr>
        <w:t>Public Health Nutrition</w:t>
      </w:r>
      <w:r w:rsidRPr="006101FA">
        <w:rPr>
          <w:rFonts w:ascii="Arial" w:hAnsi="Arial" w:cs="Arial"/>
          <w:sz w:val="20"/>
          <w:szCs w:val="20"/>
        </w:rPr>
        <w:t>, 25(8), 2345-2353. https://doi.org/10.1017/S1368980022001219</w:t>
      </w:r>
    </w:p>
    <w:p w14:paraId="0554779F" w14:textId="77777777" w:rsidR="006101FA" w:rsidRPr="006101FA" w:rsidRDefault="006101FA" w:rsidP="006101FA">
      <w:pPr>
        <w:pStyle w:val="NormalWeb"/>
        <w:numPr>
          <w:ilvl w:val="0"/>
          <w:numId w:val="39"/>
        </w:numPr>
        <w:jc w:val="both"/>
        <w:rPr>
          <w:rFonts w:ascii="Arial" w:hAnsi="Arial" w:cs="Arial"/>
          <w:sz w:val="20"/>
          <w:szCs w:val="20"/>
        </w:rPr>
      </w:pPr>
      <w:r w:rsidRPr="006101FA">
        <w:rPr>
          <w:rFonts w:ascii="Arial" w:hAnsi="Arial" w:cs="Arial"/>
          <w:sz w:val="20"/>
          <w:szCs w:val="20"/>
        </w:rPr>
        <w:t xml:space="preserve">Zhao, X., &amp; Wang, Y. (2023). Structural equation </w:t>
      </w:r>
      <w:proofErr w:type="spellStart"/>
      <w:r w:rsidRPr="006101FA">
        <w:rPr>
          <w:rFonts w:ascii="Arial" w:hAnsi="Arial" w:cs="Arial"/>
          <w:sz w:val="20"/>
          <w:szCs w:val="20"/>
        </w:rPr>
        <w:t>modeling</w:t>
      </w:r>
      <w:proofErr w:type="spellEnd"/>
      <w:r w:rsidRPr="006101FA">
        <w:rPr>
          <w:rFonts w:ascii="Arial" w:hAnsi="Arial" w:cs="Arial"/>
          <w:sz w:val="20"/>
          <w:szCs w:val="20"/>
        </w:rPr>
        <w:t xml:space="preserve"> of KAP regarding nutrition education. </w:t>
      </w:r>
      <w:r w:rsidRPr="006101FA">
        <w:rPr>
          <w:rStyle w:val="Emphasis"/>
          <w:rFonts w:ascii="Arial" w:eastAsiaTheme="majorEastAsia" w:hAnsi="Arial" w:cs="Arial"/>
          <w:sz w:val="20"/>
          <w:szCs w:val="20"/>
        </w:rPr>
        <w:t xml:space="preserve">Journal of Nutrition Education and </w:t>
      </w:r>
      <w:proofErr w:type="spellStart"/>
      <w:r w:rsidRPr="006101FA">
        <w:rPr>
          <w:rStyle w:val="Emphasis"/>
          <w:rFonts w:ascii="Arial" w:eastAsiaTheme="majorEastAsia" w:hAnsi="Arial" w:cs="Arial"/>
          <w:sz w:val="20"/>
          <w:szCs w:val="20"/>
        </w:rPr>
        <w:t>Behavior</w:t>
      </w:r>
      <w:proofErr w:type="spellEnd"/>
      <w:r w:rsidRPr="006101FA">
        <w:rPr>
          <w:rFonts w:ascii="Arial" w:hAnsi="Arial" w:cs="Arial"/>
          <w:sz w:val="20"/>
          <w:szCs w:val="20"/>
        </w:rPr>
        <w:t>, 55(3), 234-241. https://doi.org/10.1016/j.jneb.2022.11.005</w:t>
      </w:r>
    </w:p>
    <w:p w14:paraId="147DBDD2" w14:textId="77777777" w:rsidR="006101FA" w:rsidRDefault="006101FA" w:rsidP="006101FA">
      <w:pPr>
        <w:jc w:val="both"/>
      </w:pPr>
    </w:p>
    <w:p w14:paraId="36E7D777" w14:textId="77777777" w:rsidR="006101FA" w:rsidRDefault="006101FA" w:rsidP="006101FA">
      <w:pPr>
        <w:jc w:val="both"/>
      </w:pPr>
    </w:p>
    <w:p w14:paraId="7741B037" w14:textId="77777777" w:rsidR="006101FA" w:rsidRDefault="006101FA" w:rsidP="006101FA">
      <w:pPr>
        <w:jc w:val="both"/>
      </w:pPr>
    </w:p>
    <w:p w14:paraId="2E1232D4" w14:textId="77777777" w:rsidR="006101FA" w:rsidRDefault="006101FA" w:rsidP="006101FA"/>
    <w:p w14:paraId="0B34CACE" w14:textId="77777777" w:rsidR="006101FA" w:rsidRDefault="006101FA" w:rsidP="006101FA"/>
    <w:p w14:paraId="035507DF" w14:textId="77777777" w:rsidR="006101FA" w:rsidRDefault="006101FA" w:rsidP="006101FA"/>
    <w:p w14:paraId="701BB0FA" w14:textId="77777777" w:rsidR="006101FA" w:rsidRDefault="006101FA" w:rsidP="006101FA"/>
    <w:p w14:paraId="71616526" w14:textId="77777777" w:rsidR="006101FA" w:rsidRDefault="006101FA" w:rsidP="006101FA"/>
    <w:p w14:paraId="743B6765" w14:textId="77777777" w:rsidR="00B01FCD" w:rsidRPr="00FB3A86" w:rsidRDefault="00B01FCD" w:rsidP="00441B6F">
      <w:pPr>
        <w:pStyle w:val="Appendix"/>
        <w:spacing w:after="0"/>
        <w:jc w:val="both"/>
        <w:rPr>
          <w:rFonts w:ascii="Arial" w:hAnsi="Arial" w:cs="Arial"/>
          <w:b w:val="0"/>
        </w:rPr>
      </w:pPr>
    </w:p>
    <w:sectPr w:rsidR="00B01FCD" w:rsidRPr="00FB3A86" w:rsidSect="00C030FE">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08C0A" w14:textId="77777777" w:rsidR="00814C08" w:rsidRDefault="00814C08" w:rsidP="00C37E61">
      <w:r>
        <w:separator/>
      </w:r>
    </w:p>
  </w:endnote>
  <w:endnote w:type="continuationSeparator" w:id="0">
    <w:p w14:paraId="173D686B" w14:textId="77777777" w:rsidR="00814C08" w:rsidRDefault="00814C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AED4" w14:textId="77777777" w:rsidR="00F34F40" w:rsidRDefault="00F34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EBDA9" w14:textId="77E4A4B5" w:rsidR="00C37E61" w:rsidRPr="00C030FE" w:rsidRDefault="00380F0D" w:rsidP="00C030FE">
    <w:pPr>
      <w:pStyle w:val="Footer"/>
    </w:pPr>
    <w:r w:rsidRPr="00C030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F9579" w14:textId="16B51E30" w:rsidR="00754C9A" w:rsidRPr="00F34F40" w:rsidRDefault="00754C9A" w:rsidP="00F34F4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03C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79BB" w14:textId="77777777" w:rsidR="00814C08" w:rsidRDefault="00814C08" w:rsidP="00C37E61">
      <w:r>
        <w:separator/>
      </w:r>
    </w:p>
  </w:footnote>
  <w:footnote w:type="continuationSeparator" w:id="0">
    <w:p w14:paraId="69B16DC6" w14:textId="77777777" w:rsidR="00814C08" w:rsidRDefault="00814C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04E3" w14:textId="35097066" w:rsidR="00F34F40" w:rsidRDefault="00F34F40">
    <w:pPr>
      <w:pStyle w:val="Header"/>
    </w:pPr>
    <w:r>
      <w:rPr>
        <w:noProof/>
      </w:rPr>
      <w:pict w14:anchorId="1D35D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8718" w14:textId="0A6B7495" w:rsidR="00F34F40" w:rsidRDefault="00F34F40">
    <w:pPr>
      <w:pStyle w:val="Header"/>
    </w:pPr>
    <w:r>
      <w:rPr>
        <w:noProof/>
      </w:rPr>
      <w:pict w14:anchorId="27267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746F1" w14:textId="580234AE" w:rsidR="00296529" w:rsidRPr="00296529" w:rsidRDefault="00F34F40" w:rsidP="00296529">
    <w:pPr>
      <w:ind w:left="2160"/>
      <w:jc w:val="center"/>
      <w:rPr>
        <w:rFonts w:ascii="Times New Roman" w:eastAsia="Calibri" w:hAnsi="Times New Roman"/>
        <w:i/>
        <w:sz w:val="18"/>
        <w:szCs w:val="22"/>
      </w:rPr>
    </w:pPr>
    <w:r>
      <w:rPr>
        <w:noProof/>
      </w:rPr>
      <w:pict w14:anchorId="6E7D4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E991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8092D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8D9DF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F2DD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3AD5A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2432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8EE76" w14:textId="1564922D" w:rsidR="00F34F40" w:rsidRDefault="00F34F40">
    <w:pPr>
      <w:pStyle w:val="Header"/>
    </w:pPr>
    <w:r>
      <w:rPr>
        <w:noProof/>
      </w:rPr>
      <w:pict w14:anchorId="7960E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83E8" w14:textId="4E5E677E" w:rsidR="00F34F40" w:rsidRDefault="00F34F40">
    <w:pPr>
      <w:pStyle w:val="Header"/>
    </w:pPr>
    <w:r>
      <w:rPr>
        <w:noProof/>
      </w:rPr>
      <w:pict w14:anchorId="1863F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7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8B35" w14:textId="25C7D9FD" w:rsidR="00F34F40" w:rsidRDefault="00F34F40">
    <w:pPr>
      <w:pStyle w:val="Header"/>
    </w:pPr>
    <w:r>
      <w:rPr>
        <w:noProof/>
      </w:rPr>
      <w:pict w14:anchorId="2907A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91226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D2DC4"/>
    <w:multiLevelType w:val="multilevel"/>
    <w:tmpl w:val="0D5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C92197"/>
    <w:multiLevelType w:val="multilevel"/>
    <w:tmpl w:val="AF223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75205"/>
    <w:multiLevelType w:val="multilevel"/>
    <w:tmpl w:val="91D4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210579"/>
    <w:multiLevelType w:val="multilevel"/>
    <w:tmpl w:val="384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CC26CD"/>
    <w:multiLevelType w:val="multilevel"/>
    <w:tmpl w:val="61D0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35E97"/>
    <w:multiLevelType w:val="hybridMultilevel"/>
    <w:tmpl w:val="9DEC025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3583D"/>
    <w:multiLevelType w:val="hybridMultilevel"/>
    <w:tmpl w:val="F70ADB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69E0DCA"/>
    <w:multiLevelType w:val="multilevel"/>
    <w:tmpl w:val="449E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D0A68"/>
    <w:multiLevelType w:val="multilevel"/>
    <w:tmpl w:val="F426E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5"/>
  </w:num>
  <w:num w:numId="9">
    <w:abstractNumId w:val="33"/>
  </w:num>
  <w:num w:numId="10">
    <w:abstractNumId w:val="2"/>
  </w:num>
  <w:num w:numId="11">
    <w:abstractNumId w:val="26"/>
  </w:num>
  <w:num w:numId="12">
    <w:abstractNumId w:val="4"/>
  </w:num>
  <w:num w:numId="13">
    <w:abstractNumId w:val="24"/>
  </w:num>
  <w:num w:numId="14">
    <w:abstractNumId w:val="11"/>
  </w:num>
  <w:num w:numId="15">
    <w:abstractNumId w:val="29"/>
  </w:num>
  <w:num w:numId="16">
    <w:abstractNumId w:val="6"/>
  </w:num>
  <w:num w:numId="17">
    <w:abstractNumId w:val="30"/>
  </w:num>
  <w:num w:numId="18">
    <w:abstractNumId w:val="17"/>
  </w:num>
  <w:num w:numId="19">
    <w:abstractNumId w:val="37"/>
  </w:num>
  <w:num w:numId="20">
    <w:abstractNumId w:val="14"/>
  </w:num>
  <w:num w:numId="21">
    <w:abstractNumId w:val="12"/>
  </w:num>
  <w:num w:numId="22">
    <w:abstractNumId w:val="16"/>
  </w:num>
  <w:num w:numId="23">
    <w:abstractNumId w:val="27"/>
  </w:num>
  <w:num w:numId="24">
    <w:abstractNumId w:val="34"/>
  </w:num>
  <w:num w:numId="25">
    <w:abstractNumId w:val="5"/>
  </w:num>
  <w:num w:numId="26">
    <w:abstractNumId w:val="22"/>
  </w:num>
  <w:num w:numId="27">
    <w:abstractNumId w:val="28"/>
  </w:num>
  <w:num w:numId="28">
    <w:abstractNumId w:val="35"/>
  </w:num>
  <w:num w:numId="29">
    <w:abstractNumId w:val="32"/>
  </w:num>
  <w:num w:numId="30">
    <w:abstractNumId w:val="13"/>
  </w:num>
  <w:num w:numId="31">
    <w:abstractNumId w:val="23"/>
  </w:num>
  <w:num w:numId="32">
    <w:abstractNumId w:val="8"/>
  </w:num>
  <w:num w:numId="33">
    <w:abstractNumId w:val="20"/>
  </w:num>
  <w:num w:numId="34">
    <w:abstractNumId w:val="9"/>
  </w:num>
  <w:num w:numId="35">
    <w:abstractNumId w:val="3"/>
  </w:num>
  <w:num w:numId="36">
    <w:abstractNumId w:val="36"/>
  </w:num>
  <w:num w:numId="37">
    <w:abstractNumId w:val="18"/>
  </w:num>
  <w:num w:numId="38">
    <w:abstractNumId w:val="2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61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F0D"/>
    <w:rsid w:val="00385C10"/>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01F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161"/>
    <w:rsid w:val="00775D32"/>
    <w:rsid w:val="0077749E"/>
    <w:rsid w:val="00790ADA"/>
    <w:rsid w:val="007D2288"/>
    <w:rsid w:val="007E088F"/>
    <w:rsid w:val="007F7B32"/>
    <w:rsid w:val="00804BC2"/>
    <w:rsid w:val="0081431A"/>
    <w:rsid w:val="00814C08"/>
    <w:rsid w:val="0083216F"/>
    <w:rsid w:val="00860000"/>
    <w:rsid w:val="00863BD3"/>
    <w:rsid w:val="008641ED"/>
    <w:rsid w:val="00866D66"/>
    <w:rsid w:val="008671C6"/>
    <w:rsid w:val="00875803"/>
    <w:rsid w:val="008B459E"/>
    <w:rsid w:val="008E13AE"/>
    <w:rsid w:val="008E1506"/>
    <w:rsid w:val="008E710C"/>
    <w:rsid w:val="008F69D6"/>
    <w:rsid w:val="009023CA"/>
    <w:rsid w:val="00902823"/>
    <w:rsid w:val="00915CA6"/>
    <w:rsid w:val="0092676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7789"/>
    <w:rsid w:val="00BC53A0"/>
    <w:rsid w:val="00BE62AD"/>
    <w:rsid w:val="00BF121F"/>
    <w:rsid w:val="00BF1F80"/>
    <w:rsid w:val="00C030F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84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A9C"/>
    <w:rsid w:val="00E8407C"/>
    <w:rsid w:val="00E84F3C"/>
    <w:rsid w:val="00EA012C"/>
    <w:rsid w:val="00EC6A55"/>
    <w:rsid w:val="00ED0288"/>
    <w:rsid w:val="00EE52CB"/>
    <w:rsid w:val="00EE67D6"/>
    <w:rsid w:val="00EF581D"/>
    <w:rsid w:val="00EF7FD8"/>
    <w:rsid w:val="00F06F59"/>
    <w:rsid w:val="00F17988"/>
    <w:rsid w:val="00F34F40"/>
    <w:rsid w:val="00F469F0"/>
    <w:rsid w:val="00F53273"/>
    <w:rsid w:val="00F64BBA"/>
    <w:rsid w:val="00F755E4"/>
    <w:rsid w:val="00F762D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0"/>
      </o:rules>
    </o:shapelayout>
  </w:shapeDefaults>
  <w:decimalSymbol w:val="."/>
  <w:listSeparator w:val=","/>
  <w14:docId w14:val="7D2D5D7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775D32"/>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BB7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F30CD-DA15-482E-8D5F-5E879ACB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8</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2025-11-17T08:15:00Z</dcterms:modified>
</cp:coreProperties>
</file>