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76EAA" w14:textId="77777777" w:rsidR="004B5241" w:rsidRDefault="004B5241" w:rsidP="00BF16CC">
      <w:pPr>
        <w:pStyle w:val="Title"/>
        <w:rPr>
          <w:rFonts w:asciiTheme="minorBidi" w:eastAsia="Times New Roman" w:hAnsiTheme="minorBidi" w:cstheme="minorBidi"/>
          <w:i w:val="0"/>
          <w:kern w:val="28"/>
          <w:sz w:val="36"/>
          <w:szCs w:val="20"/>
        </w:rPr>
      </w:pPr>
      <w:r w:rsidRPr="0051465B">
        <w:rPr>
          <w:rFonts w:ascii="Arial" w:eastAsia="Times New Roman" w:hAnsi="Arial" w:cs="Arial"/>
          <w:color w:val="000000"/>
          <w:sz w:val="28"/>
          <w:szCs w:val="28"/>
        </w:rPr>
        <w:t>Case report</w:t>
      </w:r>
      <w:r w:rsidRPr="000136CC">
        <w:rPr>
          <w:rFonts w:asciiTheme="minorBidi" w:eastAsia="Times New Roman" w:hAnsiTheme="minorBidi" w:cstheme="minorBidi"/>
          <w:i w:val="0"/>
          <w:kern w:val="28"/>
          <w:sz w:val="36"/>
          <w:szCs w:val="20"/>
        </w:rPr>
        <w:t xml:space="preserve"> </w:t>
      </w:r>
    </w:p>
    <w:p w14:paraId="3266A0A2" w14:textId="197CFCB5" w:rsidR="00D2009F" w:rsidRPr="000136CC" w:rsidRDefault="00825909" w:rsidP="00BF16CC">
      <w:pPr>
        <w:pStyle w:val="Title"/>
        <w:rPr>
          <w:rFonts w:asciiTheme="minorBidi" w:eastAsia="Times New Roman" w:hAnsiTheme="minorBidi" w:cstheme="minorBidi"/>
          <w:i w:val="0"/>
          <w:kern w:val="28"/>
          <w:sz w:val="36"/>
          <w:szCs w:val="20"/>
        </w:rPr>
      </w:pPr>
      <w:r w:rsidRPr="000136CC">
        <w:rPr>
          <w:rFonts w:asciiTheme="minorBidi" w:eastAsia="Times New Roman" w:hAnsiTheme="minorBidi" w:cstheme="minorBidi"/>
          <w:i w:val="0"/>
          <w:kern w:val="28"/>
          <w:sz w:val="36"/>
          <w:szCs w:val="20"/>
        </w:rPr>
        <w:t>Epidemiological, clinical, etiological</w:t>
      </w:r>
      <w:r w:rsidR="002251E9" w:rsidRPr="000136CC">
        <w:rPr>
          <w:rFonts w:asciiTheme="minorBidi" w:eastAsia="Times New Roman" w:hAnsiTheme="minorBidi" w:cstheme="minorBidi"/>
          <w:i w:val="0"/>
          <w:kern w:val="28"/>
          <w:sz w:val="36"/>
          <w:szCs w:val="20"/>
        </w:rPr>
        <w:t xml:space="preserve"> and therapeutic profile of prosthesis </w:t>
      </w:r>
      <w:r w:rsidRPr="000136CC">
        <w:rPr>
          <w:rFonts w:asciiTheme="minorBidi" w:eastAsia="Times New Roman" w:hAnsiTheme="minorBidi" w:cstheme="minorBidi"/>
          <w:i w:val="0"/>
          <w:kern w:val="28"/>
          <w:sz w:val="36"/>
          <w:szCs w:val="20"/>
        </w:rPr>
        <w:t>dysfunction:</w:t>
      </w:r>
      <w:r w:rsidR="002251E9" w:rsidRPr="000136CC">
        <w:rPr>
          <w:rFonts w:asciiTheme="minorBidi" w:eastAsia="Times New Roman" w:hAnsiTheme="minorBidi" w:cstheme="minorBidi"/>
          <w:i w:val="0"/>
          <w:kern w:val="28"/>
          <w:sz w:val="36"/>
          <w:szCs w:val="20"/>
        </w:rPr>
        <w:t xml:space="preserve"> Mohammed VI University   Hospital   experience   in   Marrakech</w:t>
      </w:r>
    </w:p>
    <w:p w14:paraId="262D2711" w14:textId="77777777" w:rsidR="00D2009F" w:rsidRPr="000136CC" w:rsidRDefault="00D2009F">
      <w:pPr>
        <w:pStyle w:val="BodyText"/>
        <w:spacing w:before="169"/>
        <w:rPr>
          <w:rFonts w:asciiTheme="minorBidi" w:hAnsiTheme="minorBidi" w:cstheme="minorBidi"/>
          <w:b/>
          <w:i/>
        </w:rPr>
      </w:pPr>
    </w:p>
    <w:p w14:paraId="217372DE" w14:textId="20394A8B" w:rsidR="00825909" w:rsidRDefault="00825909">
      <w:pPr>
        <w:pStyle w:val="Affiliation"/>
        <w:spacing w:after="0" w:line="240" w:lineRule="auto"/>
        <w:rPr>
          <w:rFonts w:asciiTheme="minorBidi" w:hAnsiTheme="minorBidi" w:cstheme="minorBidi"/>
          <w:b/>
          <w:sz w:val="24"/>
        </w:rPr>
      </w:pPr>
    </w:p>
    <w:p w14:paraId="50ED87CB" w14:textId="77777777" w:rsidR="00C60B35" w:rsidRPr="000136CC" w:rsidRDefault="00C60B35">
      <w:pPr>
        <w:pStyle w:val="Affiliation"/>
        <w:spacing w:after="0" w:line="240" w:lineRule="auto"/>
        <w:rPr>
          <w:rFonts w:asciiTheme="minorBidi" w:hAnsiTheme="minorBidi" w:cstheme="minorBidi"/>
          <w:i/>
          <w:sz w:val="16"/>
        </w:rPr>
      </w:pPr>
      <w:bookmarkStart w:id="0" w:name="_GoBack"/>
      <w:bookmarkEnd w:id="0"/>
    </w:p>
    <w:p w14:paraId="650A74B4" w14:textId="77777777" w:rsidR="00D2009F" w:rsidRPr="000136CC" w:rsidRDefault="00D2009F">
      <w:pPr>
        <w:pStyle w:val="BodyText"/>
        <w:spacing w:before="169"/>
        <w:rPr>
          <w:rFonts w:asciiTheme="minorBidi" w:hAnsiTheme="minorBidi" w:cstheme="minorBidi"/>
          <w:i/>
          <w:sz w:val="16"/>
          <w:szCs w:val="22"/>
        </w:rPr>
      </w:pPr>
    </w:p>
    <w:p w14:paraId="5D2C1739" w14:textId="77777777" w:rsidR="00DE1DBE" w:rsidRDefault="00DE1DBE">
      <w:pPr>
        <w:pStyle w:val="Heading1"/>
        <w:rPr>
          <w:rFonts w:asciiTheme="minorBidi" w:hAnsiTheme="minorBidi" w:cstheme="minorBidi"/>
          <w:sz w:val="22"/>
          <w:szCs w:val="22"/>
        </w:rPr>
      </w:pPr>
      <w:bookmarkStart w:id="1" w:name="Summary"/>
      <w:bookmarkEnd w:id="1"/>
    </w:p>
    <w:p w14:paraId="7F83CCE1" w14:textId="77777777" w:rsidR="00D2009F" w:rsidRPr="00DE1DBE" w:rsidRDefault="002251E9">
      <w:pPr>
        <w:pStyle w:val="Heading1"/>
        <w:rPr>
          <w:rFonts w:asciiTheme="minorBidi" w:eastAsia="Times New Roman" w:hAnsiTheme="minorBidi" w:cstheme="minorBidi"/>
          <w:bCs w:val="0"/>
          <w:caps/>
          <w:sz w:val="24"/>
          <w:szCs w:val="22"/>
        </w:rPr>
      </w:pPr>
      <w:r w:rsidRPr="00DE1DBE">
        <w:rPr>
          <w:rFonts w:asciiTheme="minorBidi" w:hAnsiTheme="minorBidi" w:cstheme="minorBidi"/>
          <w:sz w:val="22"/>
          <w:szCs w:val="22"/>
        </w:rPr>
        <w:t xml:space="preserve">ABSTRACT </w:t>
      </w:r>
    </w:p>
    <w:p w14:paraId="7E57D882" w14:textId="77777777" w:rsidR="00D2009F" w:rsidRPr="000136CC" w:rsidRDefault="00D2009F">
      <w:pPr>
        <w:pStyle w:val="BodyText"/>
        <w:spacing w:before="4"/>
        <w:rPr>
          <w:rFonts w:asciiTheme="minorBidi" w:hAnsiTheme="minorBidi" w:cstheme="minorBidi"/>
          <w:b/>
        </w:rPr>
      </w:pPr>
    </w:p>
    <w:p w14:paraId="0B19EE56"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proofErr w:type="gramStart"/>
      <w:r w:rsidRPr="0000663F">
        <w:rPr>
          <w:rStyle w:val="Strong"/>
          <w:rFonts w:asciiTheme="minorBidi" w:hAnsiTheme="minorBidi" w:cstheme="minorBidi"/>
          <w:sz w:val="22"/>
          <w:szCs w:val="22"/>
        </w:rPr>
        <w:t>Introduction:</w:t>
      </w:r>
      <w:proofErr w:type="gramEnd"/>
      <w:r w:rsidRPr="0000663F">
        <w:rPr>
          <w:rFonts w:asciiTheme="minorBidi" w:hAnsiTheme="minorBidi" w:cstheme="minorBidi"/>
          <w:sz w:val="22"/>
          <w:szCs w:val="22"/>
        </w:rPr>
        <w:br/>
        <w:t>Prosthetic heart valves have dramatically improved the prognosis of valvular heart disease, especially in countries with a high prevalence of rheumatic fever. However, prosthetic valve replacement remains associated with significant complications, including valve dysfunction, particularly when anticoagulation is suboptimal. Understanding and properly managing prosthetic valve dysfunction is crucial to reduce morbidity and mortality.</w:t>
      </w:r>
    </w:p>
    <w:p w14:paraId="7CD91D80"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proofErr w:type="gramStart"/>
      <w:r w:rsidRPr="0000663F">
        <w:rPr>
          <w:rStyle w:val="Strong"/>
          <w:rFonts w:asciiTheme="minorBidi" w:hAnsiTheme="minorBidi" w:cstheme="minorBidi"/>
          <w:sz w:val="22"/>
          <w:szCs w:val="22"/>
        </w:rPr>
        <w:t>Aim:</w:t>
      </w:r>
      <w:proofErr w:type="gramEnd"/>
      <w:r w:rsidRPr="0000663F">
        <w:rPr>
          <w:rFonts w:asciiTheme="minorBidi" w:hAnsiTheme="minorBidi" w:cstheme="minorBidi"/>
          <w:sz w:val="22"/>
          <w:szCs w:val="22"/>
        </w:rPr>
        <w:br/>
        <w:t>To investigate the epidemiological, clinical, etiological, and therapeutic characteristics of prosthetic valve dysfunction at a tertiary cardiac center in Morocco.</w:t>
      </w:r>
    </w:p>
    <w:p w14:paraId="304DA38C"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proofErr w:type="gramStart"/>
      <w:r w:rsidRPr="0000663F">
        <w:rPr>
          <w:rStyle w:val="Strong"/>
          <w:rFonts w:asciiTheme="minorBidi" w:hAnsiTheme="minorBidi" w:cstheme="minorBidi"/>
          <w:sz w:val="22"/>
          <w:szCs w:val="22"/>
        </w:rPr>
        <w:t>Methods:</w:t>
      </w:r>
      <w:proofErr w:type="gramEnd"/>
      <w:r w:rsidRPr="0000663F">
        <w:rPr>
          <w:rFonts w:asciiTheme="minorBidi" w:hAnsiTheme="minorBidi" w:cstheme="minorBidi"/>
          <w:sz w:val="22"/>
          <w:szCs w:val="22"/>
        </w:rPr>
        <w:br/>
        <w:t>A retrospective study was conducted over four years (January 2020–January 2025) including 31 patients diagnosed with mechanical prosthetic valve dysfunction.</w:t>
      </w:r>
    </w:p>
    <w:p w14:paraId="2D880901"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proofErr w:type="gramStart"/>
      <w:r w:rsidRPr="0000663F">
        <w:rPr>
          <w:rStyle w:val="Strong"/>
          <w:rFonts w:asciiTheme="minorBidi" w:hAnsiTheme="minorBidi" w:cstheme="minorBidi"/>
          <w:sz w:val="22"/>
          <w:szCs w:val="22"/>
        </w:rPr>
        <w:t>Results:</w:t>
      </w:r>
      <w:proofErr w:type="gramEnd"/>
      <w:r w:rsidRPr="0000663F">
        <w:rPr>
          <w:rFonts w:asciiTheme="minorBidi" w:hAnsiTheme="minorBidi" w:cstheme="minorBidi"/>
          <w:sz w:val="22"/>
          <w:szCs w:val="22"/>
        </w:rPr>
        <w:br/>
        <w:t>Mean age was 45.8 ± 12.4 years, with female predominance (sex ratio = 0.55). Mean time from prosthesis implantation to dysfunction was 7.4 ± 3.2 years. Dyspnea was the most common presenting symptom (80.6%). The main etiologies were thrombosis (38.7%), pannus formation (22.6%), prosthetic detachment (16.1%), and infective endocarditis (12.9%). INR was subtherapeutic in most patients (mean 1.8 ± 0.6). Treatment was surgical in 58% of cases, medical ± fibrinolysis in 32%, and conservative in 10%. In-hospital mortality was 6.4%.</w:t>
      </w:r>
    </w:p>
    <w:p w14:paraId="56CE285B" w14:textId="77777777" w:rsidR="00264C97" w:rsidRPr="0000663F" w:rsidRDefault="00264C97" w:rsidP="0000663F">
      <w:pPr>
        <w:pStyle w:val="NormalWeb"/>
        <w:pBdr>
          <w:top w:val="single" w:sz="4" w:space="1" w:color="auto"/>
          <w:left w:val="single" w:sz="4" w:space="4" w:color="auto"/>
          <w:bottom w:val="single" w:sz="4" w:space="1" w:color="auto"/>
          <w:right w:val="single" w:sz="4" w:space="4" w:color="auto"/>
        </w:pBdr>
        <w:ind w:left="165"/>
        <w:rPr>
          <w:rFonts w:asciiTheme="minorBidi" w:hAnsiTheme="minorBidi" w:cstheme="minorBidi"/>
          <w:sz w:val="22"/>
          <w:szCs w:val="22"/>
        </w:rPr>
      </w:pPr>
      <w:proofErr w:type="gramStart"/>
      <w:r w:rsidRPr="0000663F">
        <w:rPr>
          <w:rStyle w:val="Strong"/>
          <w:rFonts w:asciiTheme="minorBidi" w:hAnsiTheme="minorBidi" w:cstheme="minorBidi"/>
          <w:sz w:val="22"/>
          <w:szCs w:val="22"/>
        </w:rPr>
        <w:t>Conclusion:</w:t>
      </w:r>
      <w:proofErr w:type="gramEnd"/>
      <w:r w:rsidRPr="0000663F">
        <w:rPr>
          <w:rFonts w:asciiTheme="minorBidi" w:hAnsiTheme="minorBidi" w:cstheme="minorBidi"/>
          <w:sz w:val="22"/>
          <w:szCs w:val="22"/>
        </w:rPr>
        <w:br/>
        <w:t>Thrombosis and pannus remain the leading causes of mechanical prosthetic dysfunction. Optimized anticoagulation, systematic follow-up, and early detection are essential to improve patient outcomes.</w:t>
      </w:r>
    </w:p>
    <w:p w14:paraId="3DEEFF5A" w14:textId="77777777" w:rsidR="00D2009F" w:rsidRPr="000136CC" w:rsidRDefault="00D2009F">
      <w:pPr>
        <w:pStyle w:val="BodyText"/>
        <w:spacing w:line="360" w:lineRule="auto"/>
        <w:rPr>
          <w:rFonts w:asciiTheme="minorBidi" w:eastAsia="Calibri" w:hAnsiTheme="minorBidi" w:cstheme="minorBidi"/>
          <w:szCs w:val="22"/>
          <w:lang w:val="fr-FR"/>
        </w:rPr>
        <w:sectPr w:rsidR="00D2009F" w:rsidRPr="000136CC" w:rsidSect="00264C97">
          <w:headerReference w:type="even" r:id="rId8"/>
          <w:headerReference w:type="default" r:id="rId9"/>
          <w:footerReference w:type="even" r:id="rId10"/>
          <w:footerReference w:type="default" r:id="rId11"/>
          <w:headerReference w:type="first" r:id="rId12"/>
          <w:footerReference w:type="first" r:id="rId13"/>
          <w:pgSz w:w="11910" w:h="16840"/>
          <w:pgMar w:top="1940" w:right="283" w:bottom="280" w:left="1275" w:header="720" w:footer="720" w:gutter="0"/>
          <w:cols w:space="720"/>
        </w:sectPr>
      </w:pPr>
    </w:p>
    <w:p w14:paraId="14C706CD" w14:textId="77777777" w:rsidR="00D2009F" w:rsidRPr="000136CC" w:rsidRDefault="00D2009F">
      <w:pPr>
        <w:pStyle w:val="BodyText"/>
        <w:spacing w:before="10"/>
        <w:rPr>
          <w:rFonts w:asciiTheme="minorBidi" w:hAnsiTheme="minorBidi" w:cstheme="minorBidi"/>
          <w:sz w:val="10"/>
        </w:rPr>
      </w:pPr>
    </w:p>
    <w:p w14:paraId="325C978D" w14:textId="77777777" w:rsidR="00D2009F" w:rsidRPr="000136CC" w:rsidRDefault="002251E9">
      <w:pPr>
        <w:pStyle w:val="Heading1"/>
        <w:spacing w:before="201"/>
        <w:rPr>
          <w:rFonts w:asciiTheme="minorBidi" w:eastAsia="Times New Roman" w:hAnsiTheme="minorBidi" w:cstheme="minorBidi"/>
          <w:bCs w:val="0"/>
          <w:caps/>
          <w:sz w:val="22"/>
        </w:rPr>
      </w:pPr>
      <w:bookmarkStart w:id="2" w:name="INTRODUCTION:"/>
      <w:bookmarkEnd w:id="2"/>
      <w:r w:rsidRPr="000136CC">
        <w:rPr>
          <w:rFonts w:asciiTheme="minorBidi" w:eastAsia="Times New Roman" w:hAnsiTheme="minorBidi" w:cstheme="minorBidi"/>
          <w:bCs w:val="0"/>
          <w:caps/>
          <w:sz w:val="22"/>
        </w:rPr>
        <w:t>INTRODUCTION:</w:t>
      </w:r>
    </w:p>
    <w:p w14:paraId="252ED517" w14:textId="77777777" w:rsidR="00D2009F" w:rsidRPr="000136CC" w:rsidRDefault="00D2009F">
      <w:pPr>
        <w:pStyle w:val="BodyText"/>
        <w:spacing w:before="2"/>
        <w:rPr>
          <w:rFonts w:asciiTheme="minorBidi" w:hAnsiTheme="minorBidi" w:cstheme="minorBidi"/>
          <w:b/>
        </w:rPr>
      </w:pPr>
    </w:p>
    <w:p w14:paraId="10B1972B" w14:textId="77777777" w:rsidR="00264C97" w:rsidRPr="00DE1DBE" w:rsidRDefault="00264C97" w:rsidP="00BB4466">
      <w:pPr>
        <w:pStyle w:val="NormalWeb"/>
        <w:ind w:left="165"/>
        <w:rPr>
          <w:rFonts w:asciiTheme="minorBidi" w:hAnsiTheme="minorBidi" w:cstheme="minorBidi"/>
          <w:sz w:val="20"/>
          <w:szCs w:val="20"/>
        </w:rPr>
      </w:pPr>
      <w:bookmarkStart w:id="3" w:name="Valvular_heart_disease_is_a_major_cause_"/>
      <w:bookmarkEnd w:id="3"/>
      <w:r w:rsidRPr="00DE1DBE">
        <w:rPr>
          <w:rFonts w:asciiTheme="minorBidi" w:hAnsiTheme="minorBidi" w:cstheme="minorBidi"/>
          <w:sz w:val="20"/>
          <w:szCs w:val="20"/>
        </w:rPr>
        <w:t xml:space="preserve">Valvular heart disease remains a major contributor to cardiovascular morbidity and mortality, particularly in low- and middle-income countries where acute rheumatic fever is still endemic </w:t>
      </w:r>
      <w:r w:rsidRPr="00DE1DBE">
        <w:rPr>
          <w:rStyle w:val="Emphasis"/>
          <w:rFonts w:asciiTheme="minorBidi" w:hAnsiTheme="minorBidi" w:cstheme="minorBidi"/>
          <w:sz w:val="20"/>
          <w:szCs w:val="20"/>
        </w:rPr>
        <w:t>(1)</w:t>
      </w:r>
      <w:r w:rsidRPr="00DE1DBE">
        <w:rPr>
          <w:rFonts w:asciiTheme="minorBidi" w:hAnsiTheme="minorBidi" w:cstheme="minorBidi"/>
          <w:sz w:val="20"/>
          <w:szCs w:val="20"/>
        </w:rPr>
        <w:t xml:space="preserve">. In Morocco, rheumatic valvular disease continues to affect predominantly younger populations, with rheumatic mitral and aortic lesions representing a significant public health burden </w:t>
      </w:r>
      <w:r w:rsidRPr="00DE1DBE">
        <w:rPr>
          <w:rStyle w:val="Emphasis"/>
          <w:rFonts w:asciiTheme="minorBidi" w:hAnsiTheme="minorBidi" w:cstheme="minorBidi"/>
          <w:sz w:val="20"/>
          <w:szCs w:val="20"/>
        </w:rPr>
        <w:t>(</w:t>
      </w:r>
      <w:proofErr w:type="gramStart"/>
      <w:r w:rsidRPr="00DE1DBE">
        <w:rPr>
          <w:rStyle w:val="Emphasis"/>
          <w:rFonts w:asciiTheme="minorBidi" w:hAnsiTheme="minorBidi" w:cstheme="minorBidi"/>
          <w:sz w:val="20"/>
          <w:szCs w:val="20"/>
        </w:rPr>
        <w:t>file:</w:t>
      </w:r>
      <w:proofErr w:type="gramEnd"/>
      <w:r w:rsidRPr="00DE1DBE">
        <w:rPr>
          <w:rStyle w:val="Emphasis"/>
          <w:rFonts w:asciiTheme="minorBidi" w:hAnsiTheme="minorBidi" w:cstheme="minorBidi"/>
          <w:sz w:val="20"/>
          <w:szCs w:val="20"/>
        </w:rPr>
        <w:t>1)</w:t>
      </w:r>
      <w:r w:rsidRPr="00DE1DBE">
        <w:rPr>
          <w:rFonts w:asciiTheme="minorBidi" w:hAnsiTheme="minorBidi" w:cstheme="minorBidi"/>
          <w:sz w:val="20"/>
          <w:szCs w:val="20"/>
        </w:rPr>
        <w:t>.</w:t>
      </w:r>
    </w:p>
    <w:p w14:paraId="08010EDD"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The introduction of mechanical and bioprosthetic valves has transformed the long-term prognosis of valvular disease patients, allowing substantial improvement in functional capacity and survival </w:t>
      </w:r>
      <w:r w:rsidRPr="00DE1DBE">
        <w:rPr>
          <w:rStyle w:val="Emphasis"/>
          <w:rFonts w:asciiTheme="minorBidi" w:hAnsiTheme="minorBidi" w:cstheme="minorBidi"/>
          <w:sz w:val="20"/>
          <w:szCs w:val="20"/>
        </w:rPr>
        <w:t>(2)</w:t>
      </w:r>
      <w:r w:rsidRPr="00DE1DBE">
        <w:rPr>
          <w:rFonts w:asciiTheme="minorBidi" w:hAnsiTheme="minorBidi" w:cstheme="minorBidi"/>
          <w:sz w:val="20"/>
          <w:szCs w:val="20"/>
        </w:rPr>
        <w:t xml:space="preserve">. Mechanical valves, although durable, require lifelong anticoagulation to prevent thromboembolic complications. Despite advances in valve design, imaging modalities, and surgical techniques, prosthetic valve dysfunction remains a serious and potentially life-threatening complication </w:t>
      </w:r>
      <w:r w:rsidRPr="00DE1DBE">
        <w:rPr>
          <w:rStyle w:val="Emphasis"/>
          <w:rFonts w:asciiTheme="minorBidi" w:hAnsiTheme="minorBidi" w:cstheme="minorBidi"/>
          <w:sz w:val="20"/>
          <w:szCs w:val="20"/>
        </w:rPr>
        <w:t>(3)</w:t>
      </w:r>
      <w:r w:rsidRPr="00DE1DBE">
        <w:rPr>
          <w:rFonts w:asciiTheme="minorBidi" w:hAnsiTheme="minorBidi" w:cstheme="minorBidi"/>
          <w:sz w:val="20"/>
          <w:szCs w:val="20"/>
        </w:rPr>
        <w:t>.</w:t>
      </w:r>
    </w:p>
    <w:p w14:paraId="2BA3D747"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Prosthetic valve dysfunction may result from several mechanisms, including thrombosis, pannus formation, structural deterioration, prosthetic detachment, and prosthetic valve endocarditis </w:t>
      </w:r>
      <w:r w:rsidRPr="00DE1DBE">
        <w:rPr>
          <w:rStyle w:val="Emphasis"/>
          <w:rFonts w:asciiTheme="minorBidi" w:hAnsiTheme="minorBidi" w:cstheme="minorBidi"/>
          <w:sz w:val="20"/>
          <w:szCs w:val="20"/>
        </w:rPr>
        <w:t>(3)</w:t>
      </w:r>
      <w:r w:rsidRPr="00DE1DBE">
        <w:rPr>
          <w:rFonts w:asciiTheme="minorBidi" w:hAnsiTheme="minorBidi" w:cstheme="minorBidi"/>
          <w:sz w:val="20"/>
          <w:szCs w:val="20"/>
        </w:rPr>
        <w:t>. In our region, thrombosis remains the most frequent cause, often related to inadequate anticoagulation adherence.</w:t>
      </w:r>
    </w:p>
    <w:p w14:paraId="478691F7"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Given the increasing number of patients living with prosthetic valves in Morocco, understanding the epidemiology and etiologies of valve dysfunction is essential for prevention and early management.</w:t>
      </w:r>
    </w:p>
    <w:p w14:paraId="109A7C09"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The aim of this study is to describe the epidemiological, clinical, etiological, echocardiographic, and therapeutic profile of patients admitted for prosthetic valve dysfunction at the Mohammed VI University Hospital of Marrakech over a four-year period.</w:t>
      </w:r>
    </w:p>
    <w:p w14:paraId="11952DCE" w14:textId="77777777" w:rsidR="00D2009F" w:rsidRPr="000136CC" w:rsidRDefault="00D2009F">
      <w:pPr>
        <w:pStyle w:val="BodyText"/>
        <w:rPr>
          <w:rFonts w:asciiTheme="minorBidi" w:eastAsia="Times New Roman" w:hAnsiTheme="minorBidi" w:cstheme="minorBidi"/>
          <w:b/>
          <w:caps/>
          <w:sz w:val="22"/>
        </w:rPr>
      </w:pPr>
    </w:p>
    <w:p w14:paraId="230AE4B8" w14:textId="77777777" w:rsidR="00D2009F" w:rsidRPr="00DE1DBE" w:rsidRDefault="002251E9">
      <w:pPr>
        <w:pStyle w:val="Heading1"/>
        <w:rPr>
          <w:rFonts w:asciiTheme="minorBidi" w:eastAsia="Times New Roman" w:hAnsiTheme="minorBidi" w:cstheme="minorBidi"/>
          <w:bCs w:val="0"/>
          <w:caps/>
          <w:sz w:val="22"/>
        </w:rPr>
      </w:pPr>
      <w:bookmarkStart w:id="4" w:name="MATÉRIELS_ET_MÉTHODES_:"/>
      <w:bookmarkEnd w:id="4"/>
      <w:r w:rsidRPr="00DE1DBE">
        <w:rPr>
          <w:rFonts w:asciiTheme="minorBidi" w:eastAsia="Times New Roman" w:hAnsiTheme="minorBidi" w:cstheme="minorBidi"/>
          <w:bCs w:val="0"/>
          <w:caps/>
          <w:sz w:val="22"/>
        </w:rPr>
        <w:t xml:space="preserve">MATÉRIELS ET </w:t>
      </w:r>
      <w:proofErr w:type="gramStart"/>
      <w:r w:rsidRPr="00DE1DBE">
        <w:rPr>
          <w:rFonts w:asciiTheme="minorBidi" w:eastAsia="Times New Roman" w:hAnsiTheme="minorBidi" w:cstheme="minorBidi"/>
          <w:bCs w:val="0"/>
          <w:caps/>
          <w:sz w:val="22"/>
        </w:rPr>
        <w:t>MÉTHODES :</w:t>
      </w:r>
      <w:proofErr w:type="gramEnd"/>
    </w:p>
    <w:p w14:paraId="73F5391D" w14:textId="77777777" w:rsidR="00D2009F" w:rsidRPr="000136CC" w:rsidRDefault="00D2009F">
      <w:pPr>
        <w:pStyle w:val="BodyText"/>
        <w:spacing w:before="1"/>
        <w:rPr>
          <w:rFonts w:asciiTheme="minorBidi" w:hAnsiTheme="minorBidi" w:cstheme="minorBidi"/>
          <w:b/>
        </w:rPr>
      </w:pPr>
    </w:p>
    <w:p w14:paraId="219CF84F"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A retrospective descriptive and analytical study was conducted in the Cardiology Department of Mohammed VI University Hospital, Marrakech, from January 1st, 2020, to January 1st, 2025.</w:t>
      </w:r>
    </w:p>
    <w:p w14:paraId="1DEEC266"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Inclusion Criteria</w:t>
      </w:r>
    </w:p>
    <w:p w14:paraId="6BA47268" w14:textId="77777777" w:rsidR="00264C97" w:rsidRPr="00DE1DBE" w:rsidRDefault="00264C97" w:rsidP="00BB4466">
      <w:pPr>
        <w:pStyle w:val="NormalWeb"/>
        <w:numPr>
          <w:ilvl w:val="0"/>
          <w:numId w:val="2"/>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Patients with mechanical prosthetic valves (mitral, aortic, or double prosthesis).</w:t>
      </w:r>
    </w:p>
    <w:p w14:paraId="1EC5F832" w14:textId="77777777" w:rsidR="00264C97" w:rsidRPr="00DE1DBE" w:rsidRDefault="00264C97" w:rsidP="00BB4466">
      <w:pPr>
        <w:pStyle w:val="NormalWeb"/>
        <w:numPr>
          <w:ilvl w:val="0"/>
          <w:numId w:val="2"/>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Suspicion or confirmation of prosthetic valve dysfunction based on clinical, biological, echocardiographic, or radiological findings.</w:t>
      </w:r>
    </w:p>
    <w:p w14:paraId="2BCF45BF"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Exclusion Criteria</w:t>
      </w:r>
    </w:p>
    <w:p w14:paraId="49B370FA"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Bioprosthetic valve dysfunction</w:t>
      </w:r>
    </w:p>
    <w:p w14:paraId="0401F054"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Incomplete medical records</w:t>
      </w:r>
    </w:p>
    <w:p w14:paraId="596D8142" w14:textId="77777777" w:rsidR="00264C97" w:rsidRPr="00DE1DBE" w:rsidRDefault="00264C97" w:rsidP="00BB4466">
      <w:pPr>
        <w:pStyle w:val="NormalWeb"/>
        <w:numPr>
          <w:ilvl w:val="0"/>
          <w:numId w:val="3"/>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Patients lost to follow-up immediately after admission</w:t>
      </w:r>
    </w:p>
    <w:p w14:paraId="5904AA66" w14:textId="77777777" w:rsidR="00264C97" w:rsidRPr="0000663F" w:rsidRDefault="00264C97" w:rsidP="00BB4466">
      <w:pPr>
        <w:pStyle w:val="Heading2"/>
        <w:numPr>
          <w:ilvl w:val="0"/>
          <w:numId w:val="5"/>
        </w:numPr>
        <w:rPr>
          <w:rFonts w:asciiTheme="minorBidi" w:eastAsia="Times New Roman" w:hAnsiTheme="minorBidi" w:cstheme="minorBidi"/>
          <w:b/>
          <w:bCs/>
          <w:color w:val="auto"/>
          <w:sz w:val="20"/>
          <w:szCs w:val="20"/>
          <w:u w:val="single"/>
          <w:lang w:val="fr-FR" w:eastAsia="fr-FR"/>
        </w:rPr>
      </w:pPr>
      <w:r w:rsidRPr="0000663F">
        <w:rPr>
          <w:rFonts w:asciiTheme="minorBidi" w:eastAsia="Times New Roman" w:hAnsiTheme="minorBidi" w:cstheme="minorBidi"/>
          <w:b/>
          <w:bCs/>
          <w:color w:val="auto"/>
          <w:sz w:val="20"/>
          <w:szCs w:val="20"/>
          <w:u w:val="single"/>
          <w:lang w:val="fr-FR" w:eastAsia="fr-FR"/>
        </w:rPr>
        <w:t>Data Collection</w:t>
      </w:r>
    </w:p>
    <w:p w14:paraId="2309FAB3"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Collected parameters </w:t>
      </w:r>
      <w:proofErr w:type="gramStart"/>
      <w:r w:rsidRPr="00DE1DBE">
        <w:rPr>
          <w:rFonts w:asciiTheme="minorBidi" w:hAnsiTheme="minorBidi" w:cstheme="minorBidi"/>
          <w:sz w:val="20"/>
          <w:szCs w:val="20"/>
        </w:rPr>
        <w:t>included:</w:t>
      </w:r>
      <w:proofErr w:type="gramEnd"/>
    </w:p>
    <w:p w14:paraId="50E3713B"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Demographics</w:t>
      </w:r>
    </w:p>
    <w:p w14:paraId="407BB3DC"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Clinical presentation</w:t>
      </w:r>
    </w:p>
    <w:p w14:paraId="64AFC713"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Anticoagulation status (INR)</w:t>
      </w:r>
    </w:p>
    <w:p w14:paraId="46752108"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Laboratory findings</w:t>
      </w:r>
    </w:p>
    <w:p w14:paraId="168116C9"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TTE and TEE parameters</w:t>
      </w:r>
    </w:p>
    <w:p w14:paraId="7153DF8E"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Radiocinéma / fluoroscopy characteristics</w:t>
      </w:r>
    </w:p>
    <w:p w14:paraId="39B42FD1"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Etiology of dysfunction</w:t>
      </w:r>
    </w:p>
    <w:p w14:paraId="509B27B0"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Therapeutic management</w:t>
      </w:r>
    </w:p>
    <w:p w14:paraId="6B4E5EB4" w14:textId="77777777" w:rsidR="00264C97" w:rsidRPr="00DE1DBE" w:rsidRDefault="00264C97" w:rsidP="00BB4466">
      <w:pPr>
        <w:pStyle w:val="NormalWeb"/>
        <w:numPr>
          <w:ilvl w:val="0"/>
          <w:numId w:val="4"/>
        </w:numPr>
        <w:tabs>
          <w:tab w:val="clear" w:pos="720"/>
          <w:tab w:val="num" w:pos="885"/>
        </w:tabs>
        <w:ind w:left="885"/>
        <w:rPr>
          <w:rFonts w:asciiTheme="minorBidi" w:hAnsiTheme="minorBidi" w:cstheme="minorBidi"/>
          <w:sz w:val="20"/>
          <w:szCs w:val="20"/>
        </w:rPr>
      </w:pPr>
      <w:r w:rsidRPr="00DE1DBE">
        <w:rPr>
          <w:rFonts w:asciiTheme="minorBidi" w:hAnsiTheme="minorBidi" w:cstheme="minorBidi"/>
          <w:sz w:val="20"/>
          <w:szCs w:val="20"/>
        </w:rPr>
        <w:t>Clinical outcomes</w:t>
      </w:r>
    </w:p>
    <w:p w14:paraId="38942271" w14:textId="77777777" w:rsidR="00264C97" w:rsidRPr="00DE1DBE" w:rsidRDefault="00264C97" w:rsidP="00BB4466">
      <w:pPr>
        <w:pStyle w:val="NormalWeb"/>
        <w:ind w:left="165"/>
        <w:rPr>
          <w:rFonts w:asciiTheme="minorBidi" w:hAnsiTheme="minorBidi" w:cstheme="minorBidi"/>
          <w:sz w:val="20"/>
          <w:szCs w:val="20"/>
        </w:rPr>
      </w:pPr>
      <w:r w:rsidRPr="00DE1DBE">
        <w:rPr>
          <w:rFonts w:asciiTheme="minorBidi" w:hAnsiTheme="minorBidi" w:cstheme="minorBidi"/>
          <w:sz w:val="20"/>
          <w:szCs w:val="20"/>
        </w:rPr>
        <w:lastRenderedPageBreak/>
        <w:t>Ethical approval was obtained from the institutional review board of our institution.</w:t>
      </w:r>
    </w:p>
    <w:p w14:paraId="25FA170E" w14:textId="77777777" w:rsidR="00264C97" w:rsidRPr="000136CC" w:rsidRDefault="00264C97">
      <w:pPr>
        <w:pStyle w:val="BodyText"/>
        <w:spacing w:before="2"/>
        <w:rPr>
          <w:rFonts w:asciiTheme="minorBidi" w:eastAsia="Times New Roman" w:hAnsiTheme="minorBidi" w:cstheme="minorBidi"/>
          <w:b/>
          <w:caps/>
          <w:sz w:val="22"/>
          <w:lang w:val="fr-FR"/>
        </w:rPr>
      </w:pPr>
    </w:p>
    <w:p w14:paraId="06532AF0" w14:textId="77777777" w:rsidR="00264C97" w:rsidRPr="000136CC" w:rsidRDefault="00264C97">
      <w:pPr>
        <w:pStyle w:val="BodyText"/>
        <w:spacing w:before="2"/>
        <w:rPr>
          <w:rFonts w:asciiTheme="minorBidi" w:eastAsia="Times New Roman" w:hAnsiTheme="minorBidi" w:cstheme="minorBidi"/>
          <w:b/>
          <w:caps/>
          <w:sz w:val="22"/>
          <w:lang w:val="fr-FR"/>
        </w:rPr>
      </w:pPr>
    </w:p>
    <w:p w14:paraId="3FA2EB2A" w14:textId="77777777" w:rsidR="00D2009F" w:rsidRDefault="002251E9">
      <w:pPr>
        <w:pStyle w:val="Heading1"/>
        <w:spacing w:before="1" w:line="226" w:lineRule="exact"/>
        <w:rPr>
          <w:rFonts w:asciiTheme="minorBidi" w:eastAsia="Times New Roman" w:hAnsiTheme="minorBidi" w:cstheme="minorBidi"/>
          <w:bCs w:val="0"/>
          <w:caps/>
          <w:sz w:val="22"/>
        </w:rPr>
      </w:pPr>
      <w:bookmarkStart w:id="5" w:name="RESULTATS:"/>
      <w:bookmarkEnd w:id="5"/>
      <w:r w:rsidRPr="00DE1DBE">
        <w:rPr>
          <w:rFonts w:asciiTheme="minorBidi" w:eastAsia="Times New Roman" w:hAnsiTheme="minorBidi" w:cstheme="minorBidi"/>
          <w:bCs w:val="0"/>
          <w:caps/>
          <w:sz w:val="22"/>
        </w:rPr>
        <w:t>RESULTATS:</w:t>
      </w:r>
    </w:p>
    <w:p w14:paraId="68248A04" w14:textId="77777777" w:rsidR="0000663F" w:rsidRPr="00DE1DBE" w:rsidRDefault="0000663F">
      <w:pPr>
        <w:pStyle w:val="Heading1"/>
        <w:spacing w:before="1" w:line="226" w:lineRule="exact"/>
        <w:rPr>
          <w:rFonts w:asciiTheme="minorBidi" w:eastAsia="Times New Roman" w:hAnsiTheme="minorBidi" w:cstheme="minorBidi"/>
          <w:bCs w:val="0"/>
          <w:caps/>
          <w:sz w:val="22"/>
        </w:rPr>
      </w:pPr>
    </w:p>
    <w:p w14:paraId="5CCF9A89" w14:textId="77777777" w:rsidR="00D80ED2" w:rsidRPr="000136CC" w:rsidRDefault="00D80ED2">
      <w:pPr>
        <w:pStyle w:val="Heading1"/>
        <w:spacing w:before="1" w:line="226" w:lineRule="exact"/>
        <w:rPr>
          <w:rFonts w:asciiTheme="minorBidi" w:eastAsia="Times New Roman" w:hAnsiTheme="minorBidi" w:cstheme="minorBidi"/>
          <w:bCs w:val="0"/>
          <w:caps/>
          <w:sz w:val="22"/>
        </w:rPr>
      </w:pPr>
    </w:p>
    <w:p w14:paraId="236866DE" w14:textId="77777777" w:rsidR="00BB4466" w:rsidRPr="00DE1DBE" w:rsidRDefault="00BB4466" w:rsidP="000136CC">
      <w:pPr>
        <w:pStyle w:val="Heading2"/>
        <w:ind w:left="165"/>
        <w:rPr>
          <w:rFonts w:asciiTheme="minorBidi" w:eastAsia="Times New Roman" w:hAnsiTheme="minorBidi" w:cstheme="minorBidi"/>
          <w:sz w:val="32"/>
          <w:szCs w:val="32"/>
          <w:u w:val="single"/>
          <w:lang w:val="fr-FR" w:eastAsia="fr-FR"/>
        </w:rPr>
      </w:pPr>
      <w:r w:rsidRPr="00DE1DBE">
        <w:rPr>
          <w:rFonts w:asciiTheme="minorBidi" w:eastAsia="Times New Roman" w:hAnsiTheme="minorBidi" w:cstheme="minorBidi"/>
          <w:b/>
          <w:bCs/>
          <w:color w:val="auto"/>
          <w:sz w:val="22"/>
          <w:szCs w:val="22"/>
          <w:u w:val="single"/>
          <w:lang w:val="fr-FR" w:eastAsia="fr-FR"/>
        </w:rPr>
        <w:t>1. Demographic Characteristics</w:t>
      </w:r>
    </w:p>
    <w:p w14:paraId="773F181B"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A total of 31 patients were included. The mean age was </w:t>
      </w:r>
      <w:r w:rsidRPr="00DE1DBE">
        <w:rPr>
          <w:rStyle w:val="Strong"/>
          <w:rFonts w:asciiTheme="minorBidi" w:hAnsiTheme="minorBidi" w:cstheme="minorBidi"/>
          <w:sz w:val="20"/>
          <w:szCs w:val="20"/>
        </w:rPr>
        <w:t>45.8 ± 12.4 years</w:t>
      </w:r>
      <w:r w:rsidRPr="00DE1DBE">
        <w:rPr>
          <w:rFonts w:asciiTheme="minorBidi" w:hAnsiTheme="minorBidi" w:cstheme="minorBidi"/>
          <w:sz w:val="20"/>
          <w:szCs w:val="20"/>
        </w:rPr>
        <w:t xml:space="preserve">, ranging from 19 to 72 years. Female patients represented </w:t>
      </w:r>
      <w:r w:rsidRPr="00DE1DBE">
        <w:rPr>
          <w:rStyle w:val="Strong"/>
          <w:rFonts w:asciiTheme="minorBidi" w:hAnsiTheme="minorBidi" w:cstheme="minorBidi"/>
          <w:sz w:val="20"/>
          <w:szCs w:val="20"/>
        </w:rPr>
        <w:t>64.5%</w:t>
      </w:r>
      <w:r w:rsidRPr="00DE1DBE">
        <w:rPr>
          <w:rFonts w:asciiTheme="minorBidi" w:hAnsiTheme="minorBidi" w:cstheme="minorBidi"/>
          <w:sz w:val="20"/>
          <w:szCs w:val="20"/>
        </w:rPr>
        <w:t xml:space="preserve"> (sex ratio = 0.55).</w:t>
      </w:r>
    </w:p>
    <w:p w14:paraId="4A8CAC42"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Most patients had a history of rheumatic heart disease requiring valve replacement in young adulthood. Only 3 patients had undergone valve replacement for degenerative aortic stenosis.</w:t>
      </w:r>
    </w:p>
    <w:p w14:paraId="11B941E9" w14:textId="77777777" w:rsidR="00BB4466" w:rsidRPr="00DE1DBE" w:rsidRDefault="00BB4466" w:rsidP="000136CC">
      <w:pPr>
        <w:pStyle w:val="NormalWeb"/>
        <w:ind w:left="165"/>
        <w:rPr>
          <w:rFonts w:asciiTheme="minorBidi" w:hAnsiTheme="minorBidi" w:cstheme="minorBidi"/>
          <w:sz w:val="20"/>
          <w:szCs w:val="20"/>
        </w:rPr>
      </w:pPr>
    </w:p>
    <w:p w14:paraId="0B224AA2" w14:textId="77777777" w:rsidR="00BB4466" w:rsidRPr="00DE1DBE" w:rsidRDefault="00BB4466" w:rsidP="000136CC">
      <w:pPr>
        <w:pStyle w:val="NormalWeb"/>
        <w:ind w:left="165"/>
        <w:rPr>
          <w:rFonts w:asciiTheme="minorBidi" w:hAnsiTheme="minorBidi" w:cstheme="minorBidi"/>
          <w:b/>
          <w:bCs/>
          <w:sz w:val="22"/>
          <w:szCs w:val="22"/>
          <w:u w:val="single"/>
        </w:rPr>
      </w:pPr>
      <w:r w:rsidRPr="00DE1DBE">
        <w:rPr>
          <w:rFonts w:asciiTheme="minorBidi" w:hAnsiTheme="minorBidi" w:cstheme="minorBidi"/>
          <w:b/>
          <w:bCs/>
          <w:sz w:val="22"/>
          <w:szCs w:val="22"/>
          <w:u w:val="single"/>
        </w:rPr>
        <w:t>2. Characteristics of Prosthetic Valves</w:t>
      </w:r>
    </w:p>
    <w:p w14:paraId="3D95EB2A"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Mean time from implantation to dysfunction was </w:t>
      </w:r>
      <w:r w:rsidRPr="00DE1DBE">
        <w:rPr>
          <w:rStyle w:val="Strong"/>
          <w:rFonts w:asciiTheme="minorBidi" w:hAnsiTheme="minorBidi" w:cstheme="minorBidi"/>
          <w:sz w:val="20"/>
          <w:szCs w:val="20"/>
        </w:rPr>
        <w:t>7.4 ± 3.2 years</w:t>
      </w:r>
      <w:r w:rsidRPr="00DE1DBE">
        <w:rPr>
          <w:rFonts w:asciiTheme="minorBidi" w:hAnsiTheme="minorBidi" w:cstheme="minorBidi"/>
          <w:sz w:val="20"/>
          <w:szCs w:val="20"/>
        </w:rPr>
        <w:t xml:space="preserve"> (range 2–15 years).</w:t>
      </w:r>
    </w:p>
    <w:p w14:paraId="3B6B7A95" w14:textId="77777777" w:rsidR="00BB4466" w:rsidRPr="00DE1DBE" w:rsidRDefault="00BB4466" w:rsidP="000136CC">
      <w:pPr>
        <w:pStyle w:val="NormalWeb"/>
        <w:ind w:left="165"/>
        <w:rPr>
          <w:rFonts w:asciiTheme="minorBidi" w:hAnsiTheme="minorBidi" w:cstheme="minorBidi"/>
          <w:sz w:val="20"/>
          <w:szCs w:val="20"/>
        </w:rPr>
      </w:pPr>
      <w:r w:rsidRPr="00DE1DBE">
        <w:rPr>
          <w:rFonts w:asciiTheme="minorBidi" w:hAnsiTheme="minorBidi" w:cstheme="minorBidi"/>
          <w:sz w:val="20"/>
          <w:szCs w:val="20"/>
        </w:rPr>
        <w:t>No cases of prosthesis–patient mismatch were identified.</w:t>
      </w:r>
    </w:p>
    <w:p w14:paraId="254A752E" w14:textId="77777777" w:rsidR="00BB4466" w:rsidRPr="000136CC" w:rsidRDefault="00BB4466" w:rsidP="00BB4466">
      <w:pPr>
        <w:pStyle w:val="NormalWeb"/>
        <w:rPr>
          <w:rStyle w:val="Strong"/>
          <w:rFonts w:asciiTheme="minorBidi" w:hAnsiTheme="minorBidi" w:cstheme="minorBidi"/>
          <w:b w:val="0"/>
          <w:bCs w:val="0"/>
          <w:spacing w:val="1"/>
          <w:bdr w:val="single" w:sz="2" w:space="0" w:color="auto" w:frame="1"/>
        </w:rPr>
      </w:pPr>
    </w:p>
    <w:p w14:paraId="347E3164" w14:textId="77777777" w:rsidR="00BB4466" w:rsidRPr="000136CC" w:rsidRDefault="00BB4466" w:rsidP="00BB4466">
      <w:pPr>
        <w:pStyle w:val="NormalWeb"/>
        <w:rPr>
          <w:rFonts w:asciiTheme="minorBidi" w:hAnsiTheme="minorBidi" w:cstheme="minorBidi"/>
        </w:rPr>
      </w:pPr>
      <w:r w:rsidRPr="000136CC">
        <w:rPr>
          <w:rFonts w:asciiTheme="minorBidi" w:hAnsiTheme="minorBidi" w:cstheme="minorBidi"/>
          <w:noProof/>
        </w:rPr>
        <w:drawing>
          <wp:inline distT="0" distB="0" distL="0" distR="0" wp14:anchorId="250ECA2B" wp14:editId="436EA3DF">
            <wp:extent cx="5237683" cy="200836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2222" cy="2010109"/>
                    </a:xfrm>
                    <a:prstGeom prst="rect">
                      <a:avLst/>
                    </a:prstGeom>
                  </pic:spPr>
                </pic:pic>
              </a:graphicData>
            </a:graphic>
          </wp:inline>
        </w:drawing>
      </w:r>
    </w:p>
    <w:p w14:paraId="68398E56" w14:textId="77777777" w:rsidR="00BB4466" w:rsidRPr="000136CC" w:rsidRDefault="00BB4466">
      <w:pPr>
        <w:pStyle w:val="BodyText"/>
        <w:ind w:left="165" w:right="42"/>
        <w:rPr>
          <w:rFonts w:asciiTheme="minorBidi" w:hAnsiTheme="minorBidi" w:cstheme="minorBidi"/>
        </w:rPr>
      </w:pPr>
      <w:r w:rsidRPr="000136CC">
        <w:rPr>
          <w:rFonts w:asciiTheme="minorBidi" w:hAnsiTheme="minorBidi" w:cstheme="minorBidi"/>
          <w:lang w:val="fr-FR" w:eastAsia="fr-FR"/>
        </w:rPr>
        <w:t xml:space="preserve">Table </w:t>
      </w:r>
      <w:proofErr w:type="gramStart"/>
      <w:r w:rsidRPr="000136CC">
        <w:rPr>
          <w:rFonts w:asciiTheme="minorBidi" w:hAnsiTheme="minorBidi" w:cstheme="minorBidi"/>
          <w:lang w:val="fr-FR" w:eastAsia="fr-FR"/>
        </w:rPr>
        <w:t>1:</w:t>
      </w:r>
      <w:proofErr w:type="gramEnd"/>
      <w:r w:rsidRPr="000136CC">
        <w:rPr>
          <w:rFonts w:asciiTheme="minorBidi" w:hAnsiTheme="minorBidi" w:cstheme="minorBidi"/>
          <w:lang w:val="fr-FR" w:eastAsia="fr-FR"/>
        </w:rPr>
        <w:t xml:space="preserve"> Patient Demographics and Prosthesis Characteristics (n=31)</w:t>
      </w:r>
    </w:p>
    <w:p w14:paraId="03165E40"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0C2A6B09"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5258EB13" w14:textId="77777777" w:rsidR="00BB4466" w:rsidRPr="000136CC" w:rsidRDefault="00BB4466">
      <w:pPr>
        <w:pStyle w:val="BodyText"/>
        <w:ind w:left="165" w:right="42"/>
        <w:rPr>
          <w:rStyle w:val="Strong"/>
          <w:rFonts w:asciiTheme="minorBidi" w:eastAsia="Times New Roman" w:hAnsiTheme="minorBidi" w:cstheme="minorBidi"/>
          <w:b w:val="0"/>
          <w:bCs w:val="0"/>
          <w:spacing w:val="1"/>
          <w:sz w:val="24"/>
          <w:szCs w:val="24"/>
          <w:bdr w:val="single" w:sz="2" w:space="0" w:color="auto" w:frame="1"/>
          <w:lang w:val="fr-FR" w:eastAsia="fr-FR"/>
        </w:rPr>
      </w:pPr>
    </w:p>
    <w:p w14:paraId="383F0838" w14:textId="77777777" w:rsidR="007C723A" w:rsidRPr="00DE1DBE" w:rsidRDefault="007C723A" w:rsidP="007C723A">
      <w:pPr>
        <w:pStyle w:val="Heading2"/>
        <w:rPr>
          <w:rFonts w:asciiTheme="minorBidi" w:eastAsia="Times New Roman" w:hAnsiTheme="minorBidi" w:cstheme="minorBidi"/>
          <w:b/>
          <w:bCs/>
          <w:color w:val="auto"/>
          <w:sz w:val="22"/>
          <w:szCs w:val="22"/>
          <w:u w:val="single"/>
          <w:lang w:val="fr-FR" w:eastAsia="fr-FR"/>
        </w:rPr>
      </w:pPr>
      <w:r w:rsidRPr="00DE1DBE">
        <w:rPr>
          <w:rFonts w:asciiTheme="minorBidi" w:eastAsia="Times New Roman" w:hAnsiTheme="minorBidi" w:cstheme="minorBidi"/>
          <w:b/>
          <w:bCs/>
          <w:color w:val="auto"/>
          <w:sz w:val="22"/>
          <w:szCs w:val="22"/>
          <w:u w:val="single"/>
          <w:lang w:val="fr-FR" w:eastAsia="fr-FR"/>
        </w:rPr>
        <w:t>3. Clinical Presentation</w:t>
      </w:r>
    </w:p>
    <w:p w14:paraId="652B0C1B" w14:textId="77777777" w:rsidR="00BB4466" w:rsidRPr="000136CC" w:rsidRDefault="00BB4466">
      <w:pPr>
        <w:pStyle w:val="BodyText"/>
        <w:ind w:left="165" w:right="42"/>
        <w:rPr>
          <w:u w:val="single"/>
        </w:rPr>
      </w:pPr>
    </w:p>
    <w:p w14:paraId="3F7C57C0" w14:textId="77777777" w:rsidR="007C723A" w:rsidRDefault="007C723A" w:rsidP="007C723A">
      <w:pPr>
        <w:pStyle w:val="NormalWeb"/>
        <w:rPr>
          <w:rFonts w:asciiTheme="minorBidi" w:hAnsiTheme="minorBidi" w:cstheme="minorBidi"/>
          <w:sz w:val="20"/>
          <w:szCs w:val="20"/>
        </w:rPr>
      </w:pPr>
      <w:r w:rsidRPr="00DE1DBE">
        <w:rPr>
          <w:rFonts w:asciiTheme="minorBidi" w:hAnsiTheme="minorBidi" w:cstheme="minorBidi"/>
          <w:sz w:val="20"/>
          <w:szCs w:val="20"/>
        </w:rPr>
        <w:t>Dyspnea was the most common mode of presentation, particularly in obstructive dysfunctions.</w:t>
      </w:r>
    </w:p>
    <w:p w14:paraId="203F48D4" w14:textId="77777777" w:rsidR="0000663F" w:rsidRPr="00DE1DBE" w:rsidRDefault="0000663F" w:rsidP="007C723A">
      <w:pPr>
        <w:pStyle w:val="NormalWeb"/>
        <w:rPr>
          <w:rFonts w:asciiTheme="minorBidi" w:hAnsiTheme="minorBidi" w:cstheme="minorBidi"/>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857"/>
        <w:gridCol w:w="1842"/>
      </w:tblGrid>
      <w:tr w:rsidR="007C723A" w:rsidRPr="00DE1DBE" w14:paraId="1645BD16" w14:textId="77777777" w:rsidTr="007C723A">
        <w:trPr>
          <w:tblHeader/>
          <w:tblCellSpacing w:w="15" w:type="dxa"/>
        </w:trPr>
        <w:tc>
          <w:tcPr>
            <w:tcW w:w="4055" w:type="dxa"/>
            <w:vAlign w:val="center"/>
            <w:hideMark/>
          </w:tcPr>
          <w:p w14:paraId="36D9ABF5"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r w:rsidRPr="007C723A">
              <w:rPr>
                <w:rFonts w:asciiTheme="minorBidi" w:eastAsia="Times New Roman" w:hAnsiTheme="minorBidi" w:cstheme="minorBidi"/>
                <w:b/>
                <w:bCs/>
                <w:sz w:val="20"/>
                <w:szCs w:val="20"/>
                <w:lang w:val="fr-FR" w:eastAsia="fr-FR"/>
              </w:rPr>
              <w:t>Clinical manifestation</w:t>
            </w:r>
          </w:p>
        </w:tc>
        <w:tc>
          <w:tcPr>
            <w:tcW w:w="827" w:type="dxa"/>
            <w:vAlign w:val="center"/>
            <w:hideMark/>
          </w:tcPr>
          <w:p w14:paraId="57A69FA8"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proofErr w:type="gramStart"/>
            <w:r w:rsidRPr="007C723A">
              <w:rPr>
                <w:rFonts w:asciiTheme="minorBidi" w:eastAsia="Times New Roman" w:hAnsiTheme="minorBidi" w:cstheme="minorBidi"/>
                <w:b/>
                <w:bCs/>
                <w:sz w:val="20"/>
                <w:szCs w:val="20"/>
                <w:lang w:val="fr-FR" w:eastAsia="fr-FR"/>
              </w:rPr>
              <w:t>n</w:t>
            </w:r>
            <w:proofErr w:type="gramEnd"/>
          </w:p>
        </w:tc>
        <w:tc>
          <w:tcPr>
            <w:tcW w:w="1797" w:type="dxa"/>
            <w:vAlign w:val="center"/>
            <w:hideMark/>
          </w:tcPr>
          <w:p w14:paraId="2E47DF14" w14:textId="77777777" w:rsidR="007C723A" w:rsidRPr="007C723A" w:rsidRDefault="007C723A" w:rsidP="007C723A">
            <w:pPr>
              <w:widowControl/>
              <w:autoSpaceDE/>
              <w:autoSpaceDN/>
              <w:jc w:val="center"/>
              <w:rPr>
                <w:rFonts w:asciiTheme="minorBidi" w:eastAsia="Times New Roman" w:hAnsiTheme="minorBidi" w:cstheme="minorBidi"/>
                <w:b/>
                <w:bCs/>
                <w:sz w:val="20"/>
                <w:szCs w:val="20"/>
                <w:lang w:val="fr-FR" w:eastAsia="fr-FR"/>
              </w:rPr>
            </w:pPr>
            <w:r w:rsidRPr="007C723A">
              <w:rPr>
                <w:rFonts w:asciiTheme="minorBidi" w:eastAsia="Times New Roman" w:hAnsiTheme="minorBidi" w:cstheme="minorBidi"/>
                <w:b/>
                <w:bCs/>
                <w:sz w:val="20"/>
                <w:szCs w:val="20"/>
                <w:lang w:val="fr-FR" w:eastAsia="fr-FR"/>
              </w:rPr>
              <w:t>%</w:t>
            </w:r>
          </w:p>
        </w:tc>
      </w:tr>
      <w:tr w:rsidR="007C723A" w:rsidRPr="00DE1DBE" w14:paraId="4BAF92FA" w14:textId="77777777" w:rsidTr="007C723A">
        <w:trPr>
          <w:tblCellSpacing w:w="15" w:type="dxa"/>
        </w:trPr>
        <w:tc>
          <w:tcPr>
            <w:tcW w:w="4055" w:type="dxa"/>
            <w:vAlign w:val="center"/>
            <w:hideMark/>
          </w:tcPr>
          <w:p w14:paraId="0C73BF0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Dyspnea (NYHA II–IV)</w:t>
            </w:r>
          </w:p>
        </w:tc>
        <w:tc>
          <w:tcPr>
            <w:tcW w:w="827" w:type="dxa"/>
            <w:vAlign w:val="center"/>
            <w:hideMark/>
          </w:tcPr>
          <w:p w14:paraId="4F740E5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25</w:t>
            </w:r>
          </w:p>
        </w:tc>
        <w:tc>
          <w:tcPr>
            <w:tcW w:w="1797" w:type="dxa"/>
            <w:vAlign w:val="center"/>
            <w:hideMark/>
          </w:tcPr>
          <w:p w14:paraId="3256EC2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80.6%</w:t>
            </w:r>
          </w:p>
        </w:tc>
      </w:tr>
      <w:tr w:rsidR="007C723A" w:rsidRPr="00DE1DBE" w14:paraId="45D85941" w14:textId="77777777" w:rsidTr="007C723A">
        <w:trPr>
          <w:tblCellSpacing w:w="15" w:type="dxa"/>
        </w:trPr>
        <w:tc>
          <w:tcPr>
            <w:tcW w:w="4055" w:type="dxa"/>
            <w:vAlign w:val="center"/>
            <w:hideMark/>
          </w:tcPr>
          <w:p w14:paraId="29A65ABC"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Palpitations</w:t>
            </w:r>
          </w:p>
        </w:tc>
        <w:tc>
          <w:tcPr>
            <w:tcW w:w="827" w:type="dxa"/>
            <w:vAlign w:val="center"/>
            <w:hideMark/>
          </w:tcPr>
          <w:p w14:paraId="6DF3B6E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12</w:t>
            </w:r>
          </w:p>
        </w:tc>
        <w:tc>
          <w:tcPr>
            <w:tcW w:w="1797" w:type="dxa"/>
            <w:vAlign w:val="center"/>
            <w:hideMark/>
          </w:tcPr>
          <w:p w14:paraId="39BDEA75"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38.7%</w:t>
            </w:r>
          </w:p>
        </w:tc>
      </w:tr>
      <w:tr w:rsidR="007C723A" w:rsidRPr="00DE1DBE" w14:paraId="58611FEE" w14:textId="77777777" w:rsidTr="007C723A">
        <w:trPr>
          <w:tblCellSpacing w:w="15" w:type="dxa"/>
        </w:trPr>
        <w:tc>
          <w:tcPr>
            <w:tcW w:w="4055" w:type="dxa"/>
            <w:vAlign w:val="center"/>
            <w:hideMark/>
          </w:tcPr>
          <w:p w14:paraId="17E4E8C9"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Chest pain</w:t>
            </w:r>
          </w:p>
        </w:tc>
        <w:tc>
          <w:tcPr>
            <w:tcW w:w="827" w:type="dxa"/>
            <w:vAlign w:val="center"/>
            <w:hideMark/>
          </w:tcPr>
          <w:p w14:paraId="43C3162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7</w:t>
            </w:r>
          </w:p>
        </w:tc>
        <w:tc>
          <w:tcPr>
            <w:tcW w:w="1797" w:type="dxa"/>
            <w:vAlign w:val="center"/>
            <w:hideMark/>
          </w:tcPr>
          <w:p w14:paraId="2E359350"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22.5%</w:t>
            </w:r>
          </w:p>
        </w:tc>
      </w:tr>
      <w:tr w:rsidR="007C723A" w:rsidRPr="00DE1DBE" w14:paraId="64AF45B0" w14:textId="77777777" w:rsidTr="007C723A">
        <w:trPr>
          <w:tblCellSpacing w:w="15" w:type="dxa"/>
        </w:trPr>
        <w:tc>
          <w:tcPr>
            <w:tcW w:w="4055" w:type="dxa"/>
            <w:vAlign w:val="center"/>
            <w:hideMark/>
          </w:tcPr>
          <w:p w14:paraId="2112CC53"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Right or left heart failure</w:t>
            </w:r>
          </w:p>
        </w:tc>
        <w:tc>
          <w:tcPr>
            <w:tcW w:w="827" w:type="dxa"/>
            <w:vAlign w:val="center"/>
            <w:hideMark/>
          </w:tcPr>
          <w:p w14:paraId="69353DFA"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13</w:t>
            </w:r>
          </w:p>
        </w:tc>
        <w:tc>
          <w:tcPr>
            <w:tcW w:w="1797" w:type="dxa"/>
            <w:vAlign w:val="center"/>
            <w:hideMark/>
          </w:tcPr>
          <w:p w14:paraId="3A979802"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41.9%</w:t>
            </w:r>
          </w:p>
        </w:tc>
      </w:tr>
      <w:tr w:rsidR="007C723A" w:rsidRPr="00DE1DBE" w14:paraId="7C958B91" w14:textId="77777777" w:rsidTr="007C723A">
        <w:trPr>
          <w:tblCellSpacing w:w="15" w:type="dxa"/>
        </w:trPr>
        <w:tc>
          <w:tcPr>
            <w:tcW w:w="4055" w:type="dxa"/>
            <w:vAlign w:val="center"/>
            <w:hideMark/>
          </w:tcPr>
          <w:p w14:paraId="33115D49"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Embolic events (peripheral/cerebral)</w:t>
            </w:r>
          </w:p>
        </w:tc>
        <w:tc>
          <w:tcPr>
            <w:tcW w:w="827" w:type="dxa"/>
            <w:vAlign w:val="center"/>
            <w:hideMark/>
          </w:tcPr>
          <w:p w14:paraId="3C348606"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3</w:t>
            </w:r>
          </w:p>
        </w:tc>
        <w:tc>
          <w:tcPr>
            <w:tcW w:w="1797" w:type="dxa"/>
            <w:vAlign w:val="center"/>
            <w:hideMark/>
          </w:tcPr>
          <w:p w14:paraId="4606591D"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9.6%</w:t>
            </w:r>
          </w:p>
        </w:tc>
      </w:tr>
      <w:tr w:rsidR="007C723A" w:rsidRPr="00DE1DBE" w14:paraId="6B9B6484" w14:textId="77777777" w:rsidTr="007C723A">
        <w:trPr>
          <w:tblCellSpacing w:w="15" w:type="dxa"/>
        </w:trPr>
        <w:tc>
          <w:tcPr>
            <w:tcW w:w="4055" w:type="dxa"/>
            <w:vAlign w:val="center"/>
            <w:hideMark/>
          </w:tcPr>
          <w:p w14:paraId="1018384F"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lastRenderedPageBreak/>
              <w:t>Fever</w:t>
            </w:r>
          </w:p>
        </w:tc>
        <w:tc>
          <w:tcPr>
            <w:tcW w:w="827" w:type="dxa"/>
            <w:vAlign w:val="center"/>
            <w:hideMark/>
          </w:tcPr>
          <w:p w14:paraId="0C34E148"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5</w:t>
            </w:r>
          </w:p>
        </w:tc>
        <w:tc>
          <w:tcPr>
            <w:tcW w:w="1797" w:type="dxa"/>
            <w:vAlign w:val="center"/>
            <w:hideMark/>
          </w:tcPr>
          <w:p w14:paraId="63B32B92" w14:textId="77777777" w:rsidR="007C723A" w:rsidRPr="007C723A" w:rsidRDefault="007C723A" w:rsidP="007C723A">
            <w:pPr>
              <w:widowControl/>
              <w:autoSpaceDE/>
              <w:autoSpaceDN/>
              <w:jc w:val="center"/>
              <w:rPr>
                <w:rFonts w:asciiTheme="minorBidi" w:eastAsia="Times New Roman" w:hAnsiTheme="minorBidi" w:cstheme="minorBidi"/>
                <w:sz w:val="20"/>
                <w:szCs w:val="20"/>
                <w:lang w:val="fr-FR" w:eastAsia="fr-FR"/>
              </w:rPr>
            </w:pPr>
            <w:r w:rsidRPr="007C723A">
              <w:rPr>
                <w:rFonts w:asciiTheme="minorBidi" w:eastAsia="Times New Roman" w:hAnsiTheme="minorBidi" w:cstheme="minorBidi"/>
                <w:sz w:val="20"/>
                <w:szCs w:val="20"/>
                <w:lang w:val="fr-FR" w:eastAsia="fr-FR"/>
              </w:rPr>
              <w:t>16.1%</w:t>
            </w:r>
          </w:p>
        </w:tc>
      </w:tr>
    </w:tbl>
    <w:p w14:paraId="436C0C0C" w14:textId="77777777" w:rsidR="007C723A" w:rsidRPr="00DE1DBE" w:rsidRDefault="007C723A">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316F803" w14:textId="77777777" w:rsidR="007C723A" w:rsidRPr="00DE1DBE" w:rsidRDefault="007C723A" w:rsidP="007C723A">
      <w:pPr>
        <w:pStyle w:val="Heading3"/>
        <w:rPr>
          <w:rFonts w:asciiTheme="minorBidi" w:eastAsia="Times New Roman" w:hAnsiTheme="minorBidi" w:cstheme="minorBidi"/>
          <w:color w:val="auto"/>
          <w:sz w:val="20"/>
          <w:szCs w:val="20"/>
          <w:lang w:val="fr-FR" w:eastAsia="fr-FR"/>
        </w:rPr>
      </w:pPr>
      <w:r w:rsidRPr="00DE1DBE">
        <w:rPr>
          <w:rFonts w:asciiTheme="minorBidi" w:hAnsiTheme="minorBidi" w:cstheme="minorBidi"/>
          <w:color w:val="auto"/>
          <w:sz w:val="20"/>
          <w:szCs w:val="20"/>
          <w:lang w:val="fr-FR" w:eastAsia="fr-FR"/>
        </w:rPr>
        <w:t xml:space="preserve">Table </w:t>
      </w:r>
      <w:proofErr w:type="gramStart"/>
      <w:r w:rsidRPr="00DE1DBE">
        <w:rPr>
          <w:rFonts w:asciiTheme="minorBidi" w:hAnsiTheme="minorBidi" w:cstheme="minorBidi"/>
          <w:color w:val="auto"/>
          <w:sz w:val="20"/>
          <w:szCs w:val="20"/>
        </w:rPr>
        <w:t>2</w:t>
      </w:r>
      <w:r w:rsidRPr="00DE1DBE">
        <w:rPr>
          <w:rFonts w:asciiTheme="minorBidi" w:hAnsiTheme="minorBidi" w:cstheme="minorBidi"/>
          <w:color w:val="auto"/>
          <w:sz w:val="20"/>
          <w:szCs w:val="20"/>
          <w:lang w:val="fr-FR" w:eastAsia="fr-FR"/>
        </w:rPr>
        <w:t>:</w:t>
      </w:r>
      <w:proofErr w:type="gramEnd"/>
      <w:r w:rsidRPr="00DE1DBE">
        <w:rPr>
          <w:rFonts w:asciiTheme="minorBidi" w:hAnsiTheme="minorBidi" w:cstheme="minorBidi"/>
          <w:color w:val="auto"/>
          <w:sz w:val="20"/>
          <w:szCs w:val="20"/>
          <w:lang w:val="fr-FR" w:eastAsia="fr-FR"/>
        </w:rPr>
        <w:t xml:space="preserve"> </w:t>
      </w:r>
      <w:r w:rsidRPr="00DE1DBE">
        <w:rPr>
          <w:rFonts w:asciiTheme="minorBidi" w:eastAsia="Times New Roman" w:hAnsiTheme="minorBidi" w:cstheme="minorBidi"/>
          <w:color w:val="auto"/>
          <w:sz w:val="20"/>
          <w:szCs w:val="20"/>
          <w:lang w:val="fr-FR" w:eastAsia="fr-FR"/>
        </w:rPr>
        <w:t>Symptoms and Signs at Admission</w:t>
      </w:r>
    </w:p>
    <w:p w14:paraId="433541CA" w14:textId="77777777" w:rsidR="007C723A" w:rsidRPr="00DE1DBE" w:rsidRDefault="007C723A" w:rsidP="007C723A">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D29ACC9"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2D68304" w14:textId="77777777" w:rsidR="00072C86" w:rsidRPr="00DE1DBE" w:rsidRDefault="00072C86" w:rsidP="00072C86">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4. Biological Findings</w:t>
      </w:r>
    </w:p>
    <w:p w14:paraId="2A6D3527"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A9CE705"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 xml:space="preserve">Mean INR at admission was </w:t>
      </w:r>
      <w:r w:rsidRPr="00DE1DBE">
        <w:rPr>
          <w:rStyle w:val="Strong"/>
          <w:rFonts w:asciiTheme="minorBidi" w:hAnsiTheme="minorBidi" w:cstheme="minorBidi"/>
          <w:sz w:val="20"/>
          <w:szCs w:val="20"/>
        </w:rPr>
        <w:t>1.8 ± 0.6</w:t>
      </w:r>
      <w:r w:rsidRPr="00DE1DBE">
        <w:rPr>
          <w:rFonts w:asciiTheme="minorBidi" w:hAnsiTheme="minorBidi" w:cstheme="minorBidi"/>
          <w:sz w:val="20"/>
          <w:szCs w:val="20"/>
        </w:rPr>
        <w:t>, significantly below therapeutic targets (2.5–3.5).</w:t>
      </w:r>
    </w:p>
    <w:p w14:paraId="30577A18"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74%</w:t>
      </w:r>
      <w:r w:rsidRPr="00DE1DBE">
        <w:rPr>
          <w:rFonts w:asciiTheme="minorBidi" w:hAnsiTheme="minorBidi" w:cstheme="minorBidi"/>
          <w:sz w:val="20"/>
          <w:szCs w:val="20"/>
        </w:rPr>
        <w:t xml:space="preserve"> of patients had INR &lt; 2.</w:t>
      </w:r>
    </w:p>
    <w:p w14:paraId="26F3A4F1"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19%</w:t>
      </w:r>
      <w:r w:rsidRPr="00DE1DBE">
        <w:rPr>
          <w:rFonts w:asciiTheme="minorBidi" w:hAnsiTheme="minorBidi" w:cstheme="minorBidi"/>
          <w:sz w:val="20"/>
          <w:szCs w:val="20"/>
        </w:rPr>
        <w:t xml:space="preserve"> had elevated CRP (&gt; 20 mg/L).</w:t>
      </w:r>
    </w:p>
    <w:p w14:paraId="6C0B6A32" w14:textId="77777777" w:rsidR="00072C86" w:rsidRPr="00DE1DBE" w:rsidRDefault="00072C86" w:rsidP="00072C86">
      <w:pPr>
        <w:pStyle w:val="NormalWeb"/>
        <w:numPr>
          <w:ilvl w:val="0"/>
          <w:numId w:val="6"/>
        </w:numPr>
        <w:rPr>
          <w:rFonts w:asciiTheme="minorBidi" w:hAnsiTheme="minorBidi" w:cstheme="minorBidi"/>
          <w:sz w:val="20"/>
          <w:szCs w:val="20"/>
        </w:rPr>
      </w:pPr>
      <w:r w:rsidRPr="00DE1DBE">
        <w:rPr>
          <w:rStyle w:val="Strong"/>
          <w:rFonts w:asciiTheme="minorBidi" w:hAnsiTheme="minorBidi" w:cstheme="minorBidi"/>
          <w:sz w:val="20"/>
          <w:szCs w:val="20"/>
        </w:rPr>
        <w:t>9.6%</w:t>
      </w:r>
      <w:r w:rsidRPr="00DE1DBE">
        <w:rPr>
          <w:rFonts w:asciiTheme="minorBidi" w:hAnsiTheme="minorBidi" w:cstheme="minorBidi"/>
          <w:sz w:val="20"/>
          <w:szCs w:val="20"/>
        </w:rPr>
        <w:t xml:space="preserve"> had positive blood cultures (all </w:t>
      </w:r>
      <w:r w:rsidRPr="00DE1DBE">
        <w:rPr>
          <w:rStyle w:val="Emphasis"/>
          <w:rFonts w:asciiTheme="minorBidi" w:hAnsiTheme="minorBidi" w:cstheme="minorBidi"/>
          <w:sz w:val="20"/>
          <w:szCs w:val="20"/>
        </w:rPr>
        <w:t>Staphylococcus aureus</w:t>
      </w:r>
      <w:r w:rsidRPr="00DE1DBE">
        <w:rPr>
          <w:rFonts w:asciiTheme="minorBidi" w:hAnsiTheme="minorBidi" w:cstheme="minorBidi"/>
          <w:sz w:val="20"/>
          <w:szCs w:val="20"/>
        </w:rPr>
        <w:t>).</w:t>
      </w:r>
    </w:p>
    <w:p w14:paraId="0CF5E64B"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Hypocoagulability was strongly associated with prosthetic thrombosis</w:t>
      </w:r>
    </w:p>
    <w:p w14:paraId="509094E6"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5AD2A99"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F4810C3" w14:textId="77777777" w:rsidR="00072C86" w:rsidRPr="00DE1DBE" w:rsidRDefault="00072C86" w:rsidP="00072C86">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5. Echocardiographic Evaluation</w:t>
      </w:r>
    </w:p>
    <w:p w14:paraId="3AB7F93C" w14:textId="77777777" w:rsidR="00072C86" w:rsidRPr="00DE1DBE" w:rsidRDefault="00072C86">
      <w:pPr>
        <w:pStyle w:val="BodyText"/>
        <w:ind w:left="165" w:right="42"/>
        <w:rPr>
          <w:rFonts w:asciiTheme="minorBidi" w:hAnsiTheme="minorBidi" w:cstheme="minorBidi"/>
          <w:u w:val="single"/>
        </w:rPr>
      </w:pPr>
    </w:p>
    <w:p w14:paraId="3EE137F5" w14:textId="77777777" w:rsidR="00072C86" w:rsidRDefault="00072C86">
      <w:pPr>
        <w:pStyle w:val="BodyText"/>
        <w:ind w:left="165" w:right="42"/>
        <w:rPr>
          <w:rFonts w:asciiTheme="minorBidi" w:eastAsia="Times New Roman" w:hAnsiTheme="minorBidi" w:cstheme="minorBidi"/>
          <w:b/>
          <w:bCs/>
          <w:i/>
          <w:iCs/>
          <w:lang w:val="fr-FR" w:eastAsia="fr-FR"/>
        </w:rPr>
      </w:pPr>
      <w:r w:rsidRPr="0000663F">
        <w:rPr>
          <w:rFonts w:asciiTheme="minorBidi" w:eastAsia="Times New Roman" w:hAnsiTheme="minorBidi" w:cstheme="minorBidi"/>
          <w:b/>
          <w:bCs/>
          <w:i/>
          <w:iCs/>
          <w:lang w:val="fr-FR" w:eastAsia="fr-FR"/>
        </w:rPr>
        <w:t>5.1 Transthoracic Echocardiography (TTE)</w:t>
      </w:r>
    </w:p>
    <w:p w14:paraId="090D8864" w14:textId="77777777" w:rsidR="001D2850" w:rsidRDefault="001D2850">
      <w:pPr>
        <w:pStyle w:val="BodyText"/>
        <w:ind w:left="165" w:right="42"/>
        <w:rPr>
          <w:rFonts w:asciiTheme="minorBidi" w:eastAsia="Times New Roman" w:hAnsiTheme="minorBidi" w:cstheme="minorBidi"/>
          <w:b/>
          <w:bCs/>
          <w:i/>
          <w:iCs/>
          <w:lang w:val="fr-FR" w:eastAsia="fr-FR"/>
        </w:rPr>
      </w:pPr>
    </w:p>
    <w:p w14:paraId="227DFD07" w14:textId="27B80B89" w:rsidR="001D2850" w:rsidRPr="008E66E8" w:rsidRDefault="001D2850">
      <w:pPr>
        <w:pStyle w:val="BodyText"/>
        <w:ind w:left="165" w:right="42"/>
        <w:rPr>
          <w:rFonts w:asciiTheme="minorBidi" w:eastAsia="Times New Roman" w:hAnsiTheme="minorBidi" w:cstheme="minorBidi"/>
          <w:lang w:val="fr-FR" w:eastAsia="fr-FR"/>
        </w:rPr>
      </w:pPr>
      <w:r w:rsidRPr="008E66E8">
        <w:rPr>
          <w:rFonts w:asciiTheme="minorBidi" w:eastAsia="Times New Roman" w:hAnsiTheme="minorBidi" w:cstheme="minorBidi"/>
          <w:lang w:val="fr-FR" w:eastAsia="fr-FR"/>
        </w:rPr>
        <w:t xml:space="preserve">TABLE 3. </w:t>
      </w:r>
      <w:r w:rsidR="008E66E8" w:rsidRPr="008E66E8">
        <w:rPr>
          <w:rFonts w:asciiTheme="minorBidi" w:eastAsia="Times New Roman" w:hAnsiTheme="minorBidi" w:cstheme="minorBidi"/>
          <w:lang w:val="fr-FR" w:eastAsia="fr-FR"/>
        </w:rPr>
        <w:t>TTE Findings of patients</w:t>
      </w:r>
    </w:p>
    <w:p w14:paraId="612C7E94" w14:textId="77777777" w:rsidR="00072C86" w:rsidRPr="00DE1DBE" w:rsidRDefault="00072C86">
      <w:pPr>
        <w:pStyle w:val="BodyText"/>
        <w:ind w:left="165" w:right="42"/>
        <w:rPr>
          <w:rFonts w:asciiTheme="minorBidi" w:hAnsiTheme="minorBidi" w:cstheme="minorBidi"/>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72C86" w:rsidRPr="00072C86" w14:paraId="73C190BB" w14:textId="77777777" w:rsidTr="001D2850">
        <w:trPr>
          <w:tblHeader/>
          <w:tblCellSpacing w:w="15" w:type="dxa"/>
          <w:jc w:val="center"/>
        </w:trPr>
        <w:tc>
          <w:tcPr>
            <w:tcW w:w="5053" w:type="dxa"/>
            <w:vAlign w:val="center"/>
            <w:hideMark/>
          </w:tcPr>
          <w:p w14:paraId="0300E609"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TTE Findings</w:t>
            </w:r>
          </w:p>
        </w:tc>
        <w:tc>
          <w:tcPr>
            <w:tcW w:w="963" w:type="dxa"/>
            <w:vAlign w:val="center"/>
            <w:hideMark/>
          </w:tcPr>
          <w:p w14:paraId="54859AD2"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proofErr w:type="gramStart"/>
            <w:r w:rsidRPr="00072C86">
              <w:rPr>
                <w:rFonts w:asciiTheme="minorBidi" w:eastAsia="Times New Roman" w:hAnsiTheme="minorBidi" w:cstheme="minorBidi"/>
                <w:b/>
                <w:bCs/>
                <w:sz w:val="20"/>
                <w:szCs w:val="20"/>
                <w:lang w:val="fr-FR" w:eastAsia="fr-FR"/>
              </w:rPr>
              <w:t>n</w:t>
            </w:r>
            <w:proofErr w:type="gramEnd"/>
          </w:p>
        </w:tc>
        <w:tc>
          <w:tcPr>
            <w:tcW w:w="1514" w:type="dxa"/>
            <w:vAlign w:val="center"/>
            <w:hideMark/>
          </w:tcPr>
          <w:p w14:paraId="249142EF"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w:t>
            </w:r>
          </w:p>
        </w:tc>
      </w:tr>
      <w:tr w:rsidR="00072C86" w:rsidRPr="00072C86" w14:paraId="01CC5B57" w14:textId="77777777" w:rsidTr="001D2850">
        <w:trPr>
          <w:tblCellSpacing w:w="15" w:type="dxa"/>
          <w:jc w:val="center"/>
        </w:trPr>
        <w:tc>
          <w:tcPr>
            <w:tcW w:w="5053" w:type="dxa"/>
            <w:vAlign w:val="center"/>
            <w:hideMark/>
          </w:tcPr>
          <w:p w14:paraId="63DA41D4"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Elevated transprosthetic gradients</w:t>
            </w:r>
          </w:p>
        </w:tc>
        <w:tc>
          <w:tcPr>
            <w:tcW w:w="963" w:type="dxa"/>
            <w:vAlign w:val="center"/>
            <w:hideMark/>
          </w:tcPr>
          <w:p w14:paraId="471C516F"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18</w:t>
            </w:r>
          </w:p>
        </w:tc>
        <w:tc>
          <w:tcPr>
            <w:tcW w:w="1514" w:type="dxa"/>
            <w:vAlign w:val="center"/>
            <w:hideMark/>
          </w:tcPr>
          <w:p w14:paraId="246CECF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58%</w:t>
            </w:r>
          </w:p>
        </w:tc>
      </w:tr>
      <w:tr w:rsidR="00072C86" w:rsidRPr="00072C86" w14:paraId="25C8757D" w14:textId="77777777" w:rsidTr="001D2850">
        <w:trPr>
          <w:tblCellSpacing w:w="15" w:type="dxa"/>
          <w:jc w:val="center"/>
        </w:trPr>
        <w:tc>
          <w:tcPr>
            <w:tcW w:w="5053" w:type="dxa"/>
            <w:vAlign w:val="center"/>
            <w:hideMark/>
          </w:tcPr>
          <w:p w14:paraId="17D8B947"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Reduced or blocked leaflet motion</w:t>
            </w:r>
          </w:p>
        </w:tc>
        <w:tc>
          <w:tcPr>
            <w:tcW w:w="963" w:type="dxa"/>
            <w:vAlign w:val="center"/>
            <w:hideMark/>
          </w:tcPr>
          <w:p w14:paraId="704893C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13</w:t>
            </w:r>
          </w:p>
        </w:tc>
        <w:tc>
          <w:tcPr>
            <w:tcW w:w="1514" w:type="dxa"/>
            <w:vAlign w:val="center"/>
            <w:hideMark/>
          </w:tcPr>
          <w:p w14:paraId="2B598ECF"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42%</w:t>
            </w:r>
          </w:p>
        </w:tc>
      </w:tr>
      <w:tr w:rsidR="00072C86" w:rsidRPr="00072C86" w14:paraId="5E17EE13" w14:textId="77777777" w:rsidTr="001D2850">
        <w:trPr>
          <w:tblCellSpacing w:w="15" w:type="dxa"/>
          <w:jc w:val="center"/>
        </w:trPr>
        <w:tc>
          <w:tcPr>
            <w:tcW w:w="5053" w:type="dxa"/>
            <w:vAlign w:val="center"/>
            <w:hideMark/>
          </w:tcPr>
          <w:p w14:paraId="1650118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Visualization of thrombus</w:t>
            </w:r>
          </w:p>
        </w:tc>
        <w:tc>
          <w:tcPr>
            <w:tcW w:w="963" w:type="dxa"/>
            <w:vAlign w:val="center"/>
            <w:hideMark/>
          </w:tcPr>
          <w:p w14:paraId="18BD4F12"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8</w:t>
            </w:r>
          </w:p>
        </w:tc>
        <w:tc>
          <w:tcPr>
            <w:tcW w:w="1514" w:type="dxa"/>
            <w:vAlign w:val="center"/>
            <w:hideMark/>
          </w:tcPr>
          <w:p w14:paraId="318F360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26%</w:t>
            </w:r>
          </w:p>
        </w:tc>
      </w:tr>
      <w:tr w:rsidR="00072C86" w:rsidRPr="00072C86" w14:paraId="4C843280" w14:textId="77777777" w:rsidTr="001D2850">
        <w:trPr>
          <w:tblCellSpacing w:w="15" w:type="dxa"/>
          <w:jc w:val="center"/>
        </w:trPr>
        <w:tc>
          <w:tcPr>
            <w:tcW w:w="5053" w:type="dxa"/>
            <w:vAlign w:val="center"/>
            <w:hideMark/>
          </w:tcPr>
          <w:p w14:paraId="571538B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Suspicion of pannus formation</w:t>
            </w:r>
          </w:p>
        </w:tc>
        <w:tc>
          <w:tcPr>
            <w:tcW w:w="963" w:type="dxa"/>
            <w:vAlign w:val="center"/>
            <w:hideMark/>
          </w:tcPr>
          <w:p w14:paraId="642D1726"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7</w:t>
            </w:r>
          </w:p>
        </w:tc>
        <w:tc>
          <w:tcPr>
            <w:tcW w:w="1514" w:type="dxa"/>
            <w:vAlign w:val="center"/>
            <w:hideMark/>
          </w:tcPr>
          <w:p w14:paraId="30DDEAC4"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22%</w:t>
            </w:r>
          </w:p>
        </w:tc>
      </w:tr>
      <w:tr w:rsidR="00072C86" w:rsidRPr="00072C86" w14:paraId="474A079D" w14:textId="77777777" w:rsidTr="001D2850">
        <w:trPr>
          <w:tblCellSpacing w:w="15" w:type="dxa"/>
          <w:jc w:val="center"/>
        </w:trPr>
        <w:tc>
          <w:tcPr>
            <w:tcW w:w="5053" w:type="dxa"/>
            <w:vAlign w:val="center"/>
            <w:hideMark/>
          </w:tcPr>
          <w:p w14:paraId="0692356A"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Significant paraprosthetic leakage</w:t>
            </w:r>
          </w:p>
        </w:tc>
        <w:tc>
          <w:tcPr>
            <w:tcW w:w="963" w:type="dxa"/>
            <w:vAlign w:val="center"/>
            <w:hideMark/>
          </w:tcPr>
          <w:p w14:paraId="3217DFFA"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6</w:t>
            </w:r>
          </w:p>
        </w:tc>
        <w:tc>
          <w:tcPr>
            <w:tcW w:w="1514" w:type="dxa"/>
            <w:vAlign w:val="center"/>
            <w:hideMark/>
          </w:tcPr>
          <w:p w14:paraId="58F843B3"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19%</w:t>
            </w:r>
          </w:p>
        </w:tc>
      </w:tr>
    </w:tbl>
    <w:p w14:paraId="7E12E6DA"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62F2AB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4A86692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17CB943" w14:textId="77777777" w:rsidR="00072C86" w:rsidRPr="0000663F" w:rsidRDefault="00072C86" w:rsidP="00072C86">
      <w:pPr>
        <w:pStyle w:val="Heading3"/>
        <w:rPr>
          <w:rFonts w:asciiTheme="minorBidi" w:eastAsia="Times New Roman" w:hAnsiTheme="minorBidi" w:cstheme="minorBidi"/>
          <w:b/>
          <w:bCs/>
          <w:i/>
          <w:iCs/>
          <w:color w:val="auto"/>
          <w:sz w:val="20"/>
          <w:szCs w:val="20"/>
          <w:lang w:val="fr-FR" w:eastAsia="fr-FR"/>
        </w:rPr>
      </w:pPr>
      <w:r w:rsidRPr="0000663F">
        <w:rPr>
          <w:rFonts w:asciiTheme="minorBidi" w:eastAsia="Times New Roman" w:hAnsiTheme="minorBidi" w:cstheme="minorBidi"/>
          <w:b/>
          <w:bCs/>
          <w:i/>
          <w:iCs/>
          <w:color w:val="auto"/>
          <w:sz w:val="20"/>
          <w:szCs w:val="20"/>
          <w:lang w:val="fr-FR" w:eastAsia="fr-FR"/>
        </w:rPr>
        <w:t>5.2 Transesophageal Echocardiography (TEE)</w:t>
      </w:r>
    </w:p>
    <w:p w14:paraId="48DC0CBE"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CE1A0DA" w14:textId="591B085D" w:rsidR="00072C86" w:rsidRPr="00DE1DBE" w:rsidRDefault="001D2850" w:rsidP="00072C86">
      <w:pPr>
        <w:pStyle w:val="NormalWeb"/>
        <w:rPr>
          <w:rFonts w:asciiTheme="minorBidi" w:hAnsiTheme="minorBidi" w:cstheme="minorBidi"/>
          <w:sz w:val="20"/>
          <w:szCs w:val="20"/>
        </w:rPr>
      </w:pPr>
      <w:r>
        <w:rPr>
          <w:rFonts w:asciiTheme="minorBidi" w:hAnsiTheme="minorBidi" w:cstheme="minorBidi"/>
          <w:sz w:val="20"/>
          <w:szCs w:val="20"/>
        </w:rPr>
        <w:t xml:space="preserve">TABLE 4. </w:t>
      </w:r>
      <w:r w:rsidR="00072C86" w:rsidRPr="00DE1DBE">
        <w:rPr>
          <w:rFonts w:asciiTheme="minorBidi" w:hAnsiTheme="minorBidi" w:cstheme="minorBidi"/>
          <w:sz w:val="20"/>
          <w:szCs w:val="20"/>
        </w:rPr>
        <w:t>TEE was performed in 27 patients.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72C86" w:rsidRPr="00072C86" w14:paraId="4C91AA32" w14:textId="77777777" w:rsidTr="00072C86">
        <w:trPr>
          <w:tblHeader/>
          <w:tblCellSpacing w:w="15" w:type="dxa"/>
        </w:trPr>
        <w:tc>
          <w:tcPr>
            <w:tcW w:w="5053" w:type="dxa"/>
            <w:vAlign w:val="center"/>
            <w:hideMark/>
          </w:tcPr>
          <w:p w14:paraId="36E49E24"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TEE Findings</w:t>
            </w:r>
          </w:p>
        </w:tc>
        <w:tc>
          <w:tcPr>
            <w:tcW w:w="963" w:type="dxa"/>
            <w:vAlign w:val="center"/>
            <w:hideMark/>
          </w:tcPr>
          <w:p w14:paraId="7B93A7D6"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proofErr w:type="gramStart"/>
            <w:r w:rsidRPr="00072C86">
              <w:rPr>
                <w:rFonts w:asciiTheme="minorBidi" w:eastAsia="Times New Roman" w:hAnsiTheme="minorBidi" w:cstheme="minorBidi"/>
                <w:b/>
                <w:bCs/>
                <w:sz w:val="20"/>
                <w:szCs w:val="20"/>
                <w:lang w:val="fr-FR" w:eastAsia="fr-FR"/>
              </w:rPr>
              <w:t>n</w:t>
            </w:r>
            <w:proofErr w:type="gramEnd"/>
          </w:p>
        </w:tc>
        <w:tc>
          <w:tcPr>
            <w:tcW w:w="1514" w:type="dxa"/>
            <w:vAlign w:val="center"/>
            <w:hideMark/>
          </w:tcPr>
          <w:p w14:paraId="6A9AB7FF" w14:textId="77777777" w:rsidR="00072C86" w:rsidRPr="00072C86" w:rsidRDefault="00072C86" w:rsidP="00072C86">
            <w:pPr>
              <w:widowControl/>
              <w:autoSpaceDE/>
              <w:autoSpaceDN/>
              <w:jc w:val="center"/>
              <w:rPr>
                <w:rFonts w:asciiTheme="minorBidi" w:eastAsia="Times New Roman" w:hAnsiTheme="minorBidi" w:cstheme="minorBidi"/>
                <w:b/>
                <w:bCs/>
                <w:sz w:val="20"/>
                <w:szCs w:val="20"/>
                <w:lang w:val="fr-FR" w:eastAsia="fr-FR"/>
              </w:rPr>
            </w:pPr>
            <w:r w:rsidRPr="00072C86">
              <w:rPr>
                <w:rFonts w:asciiTheme="minorBidi" w:eastAsia="Times New Roman" w:hAnsiTheme="minorBidi" w:cstheme="minorBidi"/>
                <w:b/>
                <w:bCs/>
                <w:sz w:val="20"/>
                <w:szCs w:val="20"/>
                <w:lang w:val="fr-FR" w:eastAsia="fr-FR"/>
              </w:rPr>
              <w:t>%</w:t>
            </w:r>
          </w:p>
        </w:tc>
      </w:tr>
      <w:tr w:rsidR="00072C86" w:rsidRPr="00072C86" w14:paraId="6C1E30BC" w14:textId="77777777" w:rsidTr="00072C86">
        <w:trPr>
          <w:tblCellSpacing w:w="15" w:type="dxa"/>
        </w:trPr>
        <w:tc>
          <w:tcPr>
            <w:tcW w:w="5053" w:type="dxa"/>
            <w:vAlign w:val="center"/>
            <w:hideMark/>
          </w:tcPr>
          <w:p w14:paraId="0B3B23F9"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Confirmed prosthetic thrombosis</w:t>
            </w:r>
          </w:p>
        </w:tc>
        <w:tc>
          <w:tcPr>
            <w:tcW w:w="963" w:type="dxa"/>
            <w:vAlign w:val="center"/>
            <w:hideMark/>
          </w:tcPr>
          <w:p w14:paraId="76DFB8D5"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12</w:t>
            </w:r>
          </w:p>
        </w:tc>
        <w:tc>
          <w:tcPr>
            <w:tcW w:w="1514" w:type="dxa"/>
            <w:vAlign w:val="center"/>
            <w:hideMark/>
          </w:tcPr>
          <w:p w14:paraId="7FC2B81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44.4%</w:t>
            </w:r>
          </w:p>
        </w:tc>
      </w:tr>
      <w:tr w:rsidR="00072C86" w:rsidRPr="00072C86" w14:paraId="2A48DE18" w14:textId="77777777" w:rsidTr="00072C86">
        <w:trPr>
          <w:tblCellSpacing w:w="15" w:type="dxa"/>
        </w:trPr>
        <w:tc>
          <w:tcPr>
            <w:tcW w:w="5053" w:type="dxa"/>
            <w:vAlign w:val="center"/>
            <w:hideMark/>
          </w:tcPr>
          <w:p w14:paraId="5D40946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Obstructive pannus</w:t>
            </w:r>
          </w:p>
        </w:tc>
        <w:tc>
          <w:tcPr>
            <w:tcW w:w="963" w:type="dxa"/>
            <w:vAlign w:val="center"/>
            <w:hideMark/>
          </w:tcPr>
          <w:p w14:paraId="118A3A3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7</w:t>
            </w:r>
          </w:p>
        </w:tc>
        <w:tc>
          <w:tcPr>
            <w:tcW w:w="1514" w:type="dxa"/>
            <w:vAlign w:val="center"/>
            <w:hideMark/>
          </w:tcPr>
          <w:p w14:paraId="7EE8210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25.9%</w:t>
            </w:r>
          </w:p>
        </w:tc>
      </w:tr>
      <w:tr w:rsidR="00072C86" w:rsidRPr="00072C86" w14:paraId="044CA0A6" w14:textId="77777777" w:rsidTr="00072C86">
        <w:trPr>
          <w:tblCellSpacing w:w="15" w:type="dxa"/>
        </w:trPr>
        <w:tc>
          <w:tcPr>
            <w:tcW w:w="5053" w:type="dxa"/>
            <w:vAlign w:val="center"/>
            <w:hideMark/>
          </w:tcPr>
          <w:p w14:paraId="487D07A0"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Prosthetic detachment</w:t>
            </w:r>
          </w:p>
        </w:tc>
        <w:tc>
          <w:tcPr>
            <w:tcW w:w="963" w:type="dxa"/>
            <w:vAlign w:val="center"/>
            <w:hideMark/>
          </w:tcPr>
          <w:p w14:paraId="7F9A54D8"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5</w:t>
            </w:r>
          </w:p>
        </w:tc>
        <w:tc>
          <w:tcPr>
            <w:tcW w:w="1514" w:type="dxa"/>
            <w:vAlign w:val="center"/>
            <w:hideMark/>
          </w:tcPr>
          <w:p w14:paraId="5EB5ECDC"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18.5%</w:t>
            </w:r>
          </w:p>
        </w:tc>
      </w:tr>
      <w:tr w:rsidR="00072C86" w:rsidRPr="00072C86" w14:paraId="581180E2" w14:textId="77777777" w:rsidTr="00072C86">
        <w:trPr>
          <w:tblCellSpacing w:w="15" w:type="dxa"/>
        </w:trPr>
        <w:tc>
          <w:tcPr>
            <w:tcW w:w="5053" w:type="dxa"/>
            <w:vAlign w:val="center"/>
            <w:hideMark/>
          </w:tcPr>
          <w:p w14:paraId="0ABBA2E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Infective endocarditis (vegetations)</w:t>
            </w:r>
          </w:p>
        </w:tc>
        <w:tc>
          <w:tcPr>
            <w:tcW w:w="963" w:type="dxa"/>
            <w:vAlign w:val="center"/>
            <w:hideMark/>
          </w:tcPr>
          <w:p w14:paraId="5B660E6D"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4</w:t>
            </w:r>
          </w:p>
        </w:tc>
        <w:tc>
          <w:tcPr>
            <w:tcW w:w="1514" w:type="dxa"/>
            <w:vAlign w:val="center"/>
            <w:hideMark/>
          </w:tcPr>
          <w:p w14:paraId="75444B81" w14:textId="77777777" w:rsidR="00072C86" w:rsidRPr="00072C86" w:rsidRDefault="00072C86" w:rsidP="00072C86">
            <w:pPr>
              <w:widowControl/>
              <w:autoSpaceDE/>
              <w:autoSpaceDN/>
              <w:jc w:val="center"/>
              <w:rPr>
                <w:rFonts w:asciiTheme="minorBidi" w:eastAsia="Times New Roman" w:hAnsiTheme="minorBidi" w:cstheme="minorBidi"/>
                <w:sz w:val="20"/>
                <w:szCs w:val="20"/>
                <w:lang w:val="fr-FR" w:eastAsia="fr-FR"/>
              </w:rPr>
            </w:pPr>
            <w:r w:rsidRPr="00072C86">
              <w:rPr>
                <w:rFonts w:asciiTheme="minorBidi" w:eastAsia="Times New Roman" w:hAnsiTheme="minorBidi" w:cstheme="minorBidi"/>
                <w:sz w:val="20"/>
                <w:szCs w:val="20"/>
                <w:lang w:val="fr-FR" w:eastAsia="fr-FR"/>
              </w:rPr>
              <w:t>14.8%</w:t>
            </w:r>
          </w:p>
        </w:tc>
      </w:tr>
    </w:tbl>
    <w:p w14:paraId="328A4308"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D3A5714" w14:textId="77777777" w:rsidR="00072C86" w:rsidRPr="00DE1DBE" w:rsidRDefault="00072C86" w:rsidP="00072C86">
      <w:pPr>
        <w:pStyle w:val="NormalWeb"/>
        <w:rPr>
          <w:rFonts w:asciiTheme="minorBidi" w:hAnsiTheme="minorBidi" w:cstheme="minorBidi"/>
          <w:sz w:val="20"/>
          <w:szCs w:val="20"/>
        </w:rPr>
      </w:pPr>
      <w:r w:rsidRPr="00DE1DBE">
        <w:rPr>
          <w:rFonts w:asciiTheme="minorBidi" w:hAnsiTheme="minorBidi" w:cstheme="minorBidi"/>
          <w:sz w:val="20"/>
          <w:szCs w:val="20"/>
        </w:rPr>
        <w:t xml:space="preserve">TEE allowed precise differentiation between thrombus and pannus in </w:t>
      </w:r>
      <w:r w:rsidRPr="00DE1DBE">
        <w:rPr>
          <w:rStyle w:val="Strong"/>
          <w:rFonts w:asciiTheme="minorBidi" w:hAnsiTheme="minorBidi" w:cstheme="minorBidi"/>
          <w:sz w:val="20"/>
          <w:szCs w:val="20"/>
        </w:rPr>
        <w:t>92%</w:t>
      </w:r>
      <w:r w:rsidRPr="00DE1DBE">
        <w:rPr>
          <w:rFonts w:asciiTheme="minorBidi" w:hAnsiTheme="minorBidi" w:cstheme="minorBidi"/>
          <w:sz w:val="20"/>
          <w:szCs w:val="20"/>
        </w:rPr>
        <w:t xml:space="preserve"> of cases.</w:t>
      </w:r>
    </w:p>
    <w:p w14:paraId="422B9DEA" w14:textId="77777777" w:rsidR="00072C86" w:rsidRPr="00DE1DBE" w:rsidRDefault="00072C8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E55F965" w14:textId="77777777" w:rsidR="000136CC" w:rsidRPr="00DE1DBE"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6. Radiocinéma / Fluoroscopy Findings</w:t>
      </w:r>
    </w:p>
    <w:p w14:paraId="634D53EF" w14:textId="4297A74A" w:rsidR="000136CC" w:rsidRPr="00DE1DBE" w:rsidRDefault="001D2850" w:rsidP="000136CC">
      <w:pPr>
        <w:pStyle w:val="NormalWeb"/>
        <w:rPr>
          <w:rFonts w:asciiTheme="minorBidi" w:hAnsiTheme="minorBidi" w:cstheme="minorBidi"/>
          <w:sz w:val="20"/>
          <w:szCs w:val="20"/>
        </w:rPr>
      </w:pPr>
      <w:r>
        <w:rPr>
          <w:rFonts w:asciiTheme="minorBidi" w:hAnsiTheme="minorBidi" w:cstheme="minorBidi"/>
          <w:sz w:val="20"/>
          <w:szCs w:val="20"/>
        </w:rPr>
        <w:t xml:space="preserve">TABLE 5. </w:t>
      </w:r>
      <w:r w:rsidR="000136CC" w:rsidRPr="00DE1DBE">
        <w:rPr>
          <w:rFonts w:asciiTheme="minorBidi" w:hAnsiTheme="minorBidi" w:cstheme="minorBidi"/>
          <w:sz w:val="20"/>
          <w:szCs w:val="20"/>
        </w:rPr>
        <w:t>Performed in 15 patients.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993"/>
        <w:gridCol w:w="1559"/>
      </w:tblGrid>
      <w:tr w:rsidR="000136CC" w:rsidRPr="000136CC" w14:paraId="560F67FA" w14:textId="77777777" w:rsidTr="001D2850">
        <w:trPr>
          <w:tblHeader/>
          <w:tblCellSpacing w:w="15" w:type="dxa"/>
          <w:jc w:val="center"/>
        </w:trPr>
        <w:tc>
          <w:tcPr>
            <w:tcW w:w="5053" w:type="dxa"/>
            <w:vAlign w:val="center"/>
            <w:hideMark/>
          </w:tcPr>
          <w:p w14:paraId="2899D32A"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lastRenderedPageBreak/>
              <w:t>Finding</w:t>
            </w:r>
          </w:p>
        </w:tc>
        <w:tc>
          <w:tcPr>
            <w:tcW w:w="963" w:type="dxa"/>
            <w:vAlign w:val="center"/>
            <w:hideMark/>
          </w:tcPr>
          <w:p w14:paraId="3046B5D8"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proofErr w:type="gramStart"/>
            <w:r w:rsidRPr="000136CC">
              <w:rPr>
                <w:rFonts w:asciiTheme="minorBidi" w:eastAsia="Times New Roman" w:hAnsiTheme="minorBidi" w:cstheme="minorBidi"/>
                <w:b/>
                <w:bCs/>
                <w:sz w:val="20"/>
                <w:szCs w:val="20"/>
                <w:lang w:val="fr-FR" w:eastAsia="fr-FR"/>
              </w:rPr>
              <w:t>n</w:t>
            </w:r>
            <w:proofErr w:type="gramEnd"/>
          </w:p>
        </w:tc>
        <w:tc>
          <w:tcPr>
            <w:tcW w:w="1514" w:type="dxa"/>
            <w:vAlign w:val="center"/>
            <w:hideMark/>
          </w:tcPr>
          <w:p w14:paraId="23BAF32A"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w:t>
            </w:r>
          </w:p>
        </w:tc>
      </w:tr>
      <w:tr w:rsidR="000136CC" w:rsidRPr="000136CC" w14:paraId="127B58D1" w14:textId="77777777" w:rsidTr="001D2850">
        <w:trPr>
          <w:trHeight w:val="159"/>
          <w:tblCellSpacing w:w="15" w:type="dxa"/>
          <w:jc w:val="center"/>
        </w:trPr>
        <w:tc>
          <w:tcPr>
            <w:tcW w:w="5053" w:type="dxa"/>
            <w:vAlign w:val="center"/>
            <w:hideMark/>
          </w:tcPr>
          <w:p w14:paraId="2814B3DE"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Abnormal leaflet mobility</w:t>
            </w:r>
          </w:p>
        </w:tc>
        <w:tc>
          <w:tcPr>
            <w:tcW w:w="963" w:type="dxa"/>
            <w:vAlign w:val="center"/>
            <w:hideMark/>
          </w:tcPr>
          <w:p w14:paraId="3D452184"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8</w:t>
            </w:r>
          </w:p>
        </w:tc>
        <w:tc>
          <w:tcPr>
            <w:tcW w:w="1514" w:type="dxa"/>
            <w:vAlign w:val="center"/>
            <w:hideMark/>
          </w:tcPr>
          <w:p w14:paraId="2023A4F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53.3%</w:t>
            </w:r>
          </w:p>
        </w:tc>
      </w:tr>
      <w:tr w:rsidR="000136CC" w:rsidRPr="000136CC" w14:paraId="70AE7944" w14:textId="77777777" w:rsidTr="001D2850">
        <w:trPr>
          <w:tblCellSpacing w:w="15" w:type="dxa"/>
          <w:jc w:val="center"/>
        </w:trPr>
        <w:tc>
          <w:tcPr>
            <w:tcW w:w="5053" w:type="dxa"/>
            <w:vAlign w:val="center"/>
            <w:hideMark/>
          </w:tcPr>
          <w:p w14:paraId="210B044C"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Complete leaflet blockage</w:t>
            </w:r>
          </w:p>
        </w:tc>
        <w:tc>
          <w:tcPr>
            <w:tcW w:w="963" w:type="dxa"/>
            <w:vAlign w:val="center"/>
            <w:hideMark/>
          </w:tcPr>
          <w:p w14:paraId="3EB09E31"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w:t>
            </w:r>
          </w:p>
        </w:tc>
        <w:tc>
          <w:tcPr>
            <w:tcW w:w="1514" w:type="dxa"/>
            <w:vAlign w:val="center"/>
            <w:hideMark/>
          </w:tcPr>
          <w:p w14:paraId="18B19BB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33.3%</w:t>
            </w:r>
          </w:p>
        </w:tc>
      </w:tr>
      <w:tr w:rsidR="000136CC" w:rsidRPr="000136CC" w14:paraId="0E752E9F" w14:textId="77777777" w:rsidTr="001D2850">
        <w:trPr>
          <w:tblCellSpacing w:w="15" w:type="dxa"/>
          <w:jc w:val="center"/>
        </w:trPr>
        <w:tc>
          <w:tcPr>
            <w:tcW w:w="5053" w:type="dxa"/>
            <w:vAlign w:val="center"/>
            <w:hideMark/>
          </w:tcPr>
          <w:p w14:paraId="706F06BC"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Reduced bilateral mobility</w:t>
            </w:r>
          </w:p>
        </w:tc>
        <w:tc>
          <w:tcPr>
            <w:tcW w:w="963" w:type="dxa"/>
            <w:vAlign w:val="center"/>
            <w:hideMark/>
          </w:tcPr>
          <w:p w14:paraId="6E623CD3"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2</w:t>
            </w:r>
          </w:p>
        </w:tc>
        <w:tc>
          <w:tcPr>
            <w:tcW w:w="1514" w:type="dxa"/>
            <w:vAlign w:val="center"/>
            <w:hideMark/>
          </w:tcPr>
          <w:p w14:paraId="49C46576"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13.3%</w:t>
            </w:r>
          </w:p>
        </w:tc>
      </w:tr>
    </w:tbl>
    <w:p w14:paraId="408A3991"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1CF452C"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Fluoroscopy was especially useful for mechanical mitral prostheses where acoustic shadowing limited echocardiographic visualization.</w:t>
      </w:r>
    </w:p>
    <w:p w14:paraId="579D6620"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4C63BBDB" w14:textId="77777777" w:rsidR="000136CC" w:rsidRPr="00DE1DBE"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7. Etiological Profile (Expanded)</w:t>
      </w:r>
    </w:p>
    <w:p w14:paraId="292A9F6B" w14:textId="77777777" w:rsidR="00BB4466" w:rsidRPr="00DE1DBE" w:rsidRDefault="00BB4466">
      <w:pPr>
        <w:pStyle w:val="BodyText"/>
        <w:ind w:left="165" w:right="42"/>
        <w:rPr>
          <w:rFonts w:asciiTheme="minorBidi" w:hAnsiTheme="minorBidi" w:cstheme="minorBidi"/>
          <w:u w:val="single"/>
        </w:rPr>
      </w:pPr>
    </w:p>
    <w:p w14:paraId="6332A40F" w14:textId="77777777" w:rsidR="000136CC" w:rsidRPr="00DE1DBE" w:rsidRDefault="000136CC" w:rsidP="000136CC">
      <w:pPr>
        <w:pStyle w:val="Heading3"/>
        <w:rPr>
          <w:rFonts w:asciiTheme="minorBidi" w:eastAsia="Times New Roman" w:hAnsiTheme="minorBidi" w:cstheme="minorBidi"/>
          <w:i/>
          <w:iCs/>
          <w:sz w:val="20"/>
          <w:szCs w:val="20"/>
          <w:lang w:val="fr-FR" w:eastAsia="fr-FR"/>
        </w:rPr>
      </w:pPr>
      <w:r w:rsidRPr="00DE1DBE">
        <w:rPr>
          <w:rStyle w:val="Strong"/>
          <w:rFonts w:asciiTheme="minorBidi" w:hAnsiTheme="minorBidi" w:cstheme="minorBidi"/>
          <w:b w:val="0"/>
          <w:bCs w:val="0"/>
          <w:i/>
          <w:iCs/>
          <w:sz w:val="20"/>
          <w:szCs w:val="20"/>
        </w:rPr>
        <w:t>7.1 Thrombosis</w:t>
      </w:r>
    </w:p>
    <w:p w14:paraId="28CCCBA3"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Associated </w:t>
      </w:r>
      <w:proofErr w:type="gramStart"/>
      <w:r w:rsidRPr="00DE1DBE">
        <w:rPr>
          <w:rFonts w:asciiTheme="minorBidi" w:hAnsiTheme="minorBidi" w:cstheme="minorBidi"/>
          <w:sz w:val="20"/>
          <w:szCs w:val="20"/>
        </w:rPr>
        <w:t>with:</w:t>
      </w:r>
      <w:proofErr w:type="gramEnd"/>
    </w:p>
    <w:p w14:paraId="53ACED2D"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 xml:space="preserve">Subtherapeutic INR in </w:t>
      </w:r>
      <w:r w:rsidRPr="00DE1DBE">
        <w:rPr>
          <w:rStyle w:val="Strong"/>
          <w:rFonts w:asciiTheme="minorBidi" w:hAnsiTheme="minorBidi" w:cstheme="minorBidi"/>
          <w:sz w:val="20"/>
          <w:szCs w:val="20"/>
        </w:rPr>
        <w:t>91%</w:t>
      </w:r>
      <w:r w:rsidRPr="00DE1DBE">
        <w:rPr>
          <w:rFonts w:asciiTheme="minorBidi" w:hAnsiTheme="minorBidi" w:cstheme="minorBidi"/>
          <w:sz w:val="20"/>
          <w:szCs w:val="20"/>
        </w:rPr>
        <w:t xml:space="preserve"> of cases</w:t>
      </w:r>
    </w:p>
    <w:p w14:paraId="2C13C3B2"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Dehydration in 3 cases</w:t>
      </w:r>
    </w:p>
    <w:p w14:paraId="0D47502B" w14:textId="77777777" w:rsidR="000136CC" w:rsidRPr="00DE1DBE" w:rsidRDefault="000136CC" w:rsidP="000136CC">
      <w:pPr>
        <w:pStyle w:val="NormalWeb"/>
        <w:numPr>
          <w:ilvl w:val="0"/>
          <w:numId w:val="7"/>
        </w:numPr>
        <w:rPr>
          <w:rFonts w:asciiTheme="minorBidi" w:hAnsiTheme="minorBidi" w:cstheme="minorBidi"/>
          <w:sz w:val="20"/>
          <w:szCs w:val="20"/>
        </w:rPr>
      </w:pPr>
      <w:r w:rsidRPr="00DE1DBE">
        <w:rPr>
          <w:rFonts w:asciiTheme="minorBidi" w:hAnsiTheme="minorBidi" w:cstheme="minorBidi"/>
          <w:sz w:val="20"/>
          <w:szCs w:val="20"/>
        </w:rPr>
        <w:t>Atrial fibrillation in 6 cases</w:t>
      </w:r>
    </w:p>
    <w:p w14:paraId="03DB468F"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7.2 Pannus Formation</w:t>
      </w:r>
    </w:p>
    <w:p w14:paraId="0E2E93A0"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Typically occurred later (mean 9.2 years post-implantation).</w:t>
      </w:r>
      <w:r w:rsidRPr="00DE1DBE">
        <w:rPr>
          <w:rFonts w:asciiTheme="minorBidi" w:hAnsiTheme="minorBidi" w:cstheme="minorBidi"/>
          <w:sz w:val="20"/>
          <w:szCs w:val="20"/>
        </w:rPr>
        <w:br/>
        <w:t>TEE showed dense, echo-bright tissue around the sewing ring.</w:t>
      </w:r>
    </w:p>
    <w:p w14:paraId="2BE21307"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7.3 Prosthetic Detachment</w:t>
      </w:r>
    </w:p>
    <w:p w14:paraId="1B00CC56"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Presented </w:t>
      </w:r>
      <w:proofErr w:type="gramStart"/>
      <w:r w:rsidRPr="00DE1DBE">
        <w:rPr>
          <w:rFonts w:asciiTheme="minorBidi" w:hAnsiTheme="minorBidi" w:cstheme="minorBidi"/>
          <w:sz w:val="20"/>
          <w:szCs w:val="20"/>
        </w:rPr>
        <w:t>with:</w:t>
      </w:r>
      <w:proofErr w:type="gramEnd"/>
    </w:p>
    <w:p w14:paraId="08ABBC16"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Severe regurgitation</w:t>
      </w:r>
    </w:p>
    <w:p w14:paraId="3F5B5E5A"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Hemodynamic instability in 2 patients</w:t>
      </w:r>
    </w:p>
    <w:p w14:paraId="2F3F6BAD" w14:textId="77777777" w:rsidR="000136CC" w:rsidRPr="00DE1DBE" w:rsidRDefault="000136CC" w:rsidP="000136CC">
      <w:pPr>
        <w:pStyle w:val="NormalWeb"/>
        <w:numPr>
          <w:ilvl w:val="0"/>
          <w:numId w:val="8"/>
        </w:numPr>
        <w:rPr>
          <w:rFonts w:asciiTheme="minorBidi" w:hAnsiTheme="minorBidi" w:cstheme="minorBidi"/>
          <w:sz w:val="20"/>
          <w:szCs w:val="20"/>
        </w:rPr>
      </w:pPr>
      <w:r w:rsidRPr="00DE1DBE">
        <w:rPr>
          <w:rFonts w:asciiTheme="minorBidi" w:hAnsiTheme="minorBidi" w:cstheme="minorBidi"/>
          <w:sz w:val="20"/>
          <w:szCs w:val="20"/>
        </w:rPr>
        <w:t>Infective endocarditis in 1 case</w:t>
      </w:r>
    </w:p>
    <w:p w14:paraId="2F12A28B"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7.4 Infective Endocarditis</w:t>
      </w:r>
    </w:p>
    <w:p w14:paraId="78F2680A" w14:textId="62BA2AD7" w:rsidR="000136CC" w:rsidRPr="00DE1DBE" w:rsidRDefault="001D2850" w:rsidP="000136CC">
      <w:pPr>
        <w:pStyle w:val="NormalWeb"/>
        <w:rPr>
          <w:rFonts w:asciiTheme="minorBidi" w:hAnsiTheme="minorBidi" w:cstheme="minorBidi"/>
          <w:sz w:val="20"/>
          <w:szCs w:val="20"/>
        </w:rPr>
      </w:pPr>
      <w:r>
        <w:rPr>
          <w:rFonts w:asciiTheme="minorBidi" w:hAnsiTheme="minorBidi" w:cstheme="minorBidi"/>
          <w:sz w:val="20"/>
          <w:szCs w:val="20"/>
        </w:rPr>
        <w:t xml:space="preserve">TABLE 6. </w:t>
      </w:r>
      <w:r w:rsidR="000136CC" w:rsidRPr="00DE1DBE">
        <w:rPr>
          <w:rFonts w:asciiTheme="minorBidi" w:hAnsiTheme="minorBidi" w:cstheme="minorBidi"/>
          <w:sz w:val="20"/>
          <w:szCs w:val="20"/>
        </w:rPr>
        <w:t xml:space="preserve">All cases were </w:t>
      </w:r>
      <w:r w:rsidR="000136CC" w:rsidRPr="00DE1DBE">
        <w:rPr>
          <w:rStyle w:val="Emphasis"/>
          <w:rFonts w:asciiTheme="minorBidi" w:hAnsiTheme="minorBidi" w:cstheme="minorBidi"/>
          <w:sz w:val="20"/>
          <w:szCs w:val="20"/>
        </w:rPr>
        <w:t>Staphylococcus aureus</w:t>
      </w:r>
      <w:r w:rsidR="000136CC" w:rsidRPr="00DE1DBE">
        <w:rPr>
          <w:rFonts w:asciiTheme="minorBidi" w:hAnsiTheme="minorBidi" w:cstheme="minorBidi"/>
          <w:sz w:val="20"/>
          <w:szCs w:val="20"/>
        </w:rPr>
        <w:t>, with large vegetations in 2 patients.</w:t>
      </w:r>
    </w:p>
    <w:p w14:paraId="068E34A8"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886CF99"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r w:rsidRPr="00DE1DBE">
        <w:rPr>
          <w:rStyle w:val="Strong"/>
          <w:rFonts w:asciiTheme="minorBidi" w:eastAsia="Times New Roman" w:hAnsiTheme="minorBidi" w:cstheme="minorBidi"/>
          <w:b w:val="0"/>
          <w:bCs w:val="0"/>
          <w:noProof/>
          <w:spacing w:val="1"/>
          <w:bdr w:val="single" w:sz="2" w:space="0" w:color="auto" w:frame="1"/>
          <w:lang w:val="fr-FR" w:eastAsia="fr-FR"/>
        </w:rPr>
        <w:drawing>
          <wp:inline distT="0" distB="0" distL="0" distR="0" wp14:anchorId="06916A19" wp14:editId="139FEA85">
            <wp:extent cx="5991149" cy="1963486"/>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5966" cy="1965065"/>
                    </a:xfrm>
                    <a:prstGeom prst="rect">
                      <a:avLst/>
                    </a:prstGeom>
                  </pic:spPr>
                </pic:pic>
              </a:graphicData>
            </a:graphic>
          </wp:inline>
        </w:drawing>
      </w:r>
    </w:p>
    <w:p w14:paraId="06D6EDC3"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E6C08C2" w14:textId="77777777" w:rsidR="0000663F" w:rsidRDefault="0000663F">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1990027" w14:textId="77777777" w:rsidR="00BB446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r w:rsidRPr="00DE1DBE">
        <w:rPr>
          <w:rFonts w:asciiTheme="minorBidi" w:hAnsiTheme="minorBidi" w:cstheme="minorBidi"/>
          <w:noProof/>
          <w:lang w:val="fr-FR" w:eastAsia="fr-FR"/>
        </w:rPr>
        <w:lastRenderedPageBreak/>
        <w:drawing>
          <wp:anchor distT="0" distB="0" distL="0" distR="0" simplePos="0" relativeHeight="251660288" behindDoc="1" locked="0" layoutInCell="1" allowOverlap="1" wp14:anchorId="78F4B4F3" wp14:editId="5ECEB6CD">
            <wp:simplePos x="0" y="0"/>
            <wp:positionH relativeFrom="margin">
              <wp:align>left</wp:align>
            </wp:positionH>
            <wp:positionV relativeFrom="paragraph">
              <wp:posOffset>272415</wp:posOffset>
            </wp:positionV>
            <wp:extent cx="2084705" cy="861060"/>
            <wp:effectExtent l="0" t="0" r="0" b="0"/>
            <wp:wrapTopAndBottom/>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470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78D71"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77EA0782"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682EEFCC" w14:textId="54365F5C" w:rsidR="00EE17A6" w:rsidRPr="00DE1DBE" w:rsidRDefault="001D2850">
      <w:pPr>
        <w:pStyle w:val="BodyText"/>
        <w:ind w:left="165" w:right="42"/>
        <w:rPr>
          <w:rFonts w:asciiTheme="minorBidi" w:eastAsia="Times New Roman" w:hAnsiTheme="minorBidi" w:cstheme="minorBidi"/>
          <w:b/>
          <w:bCs/>
        </w:rPr>
      </w:pPr>
      <w:r>
        <w:rPr>
          <w:rFonts w:asciiTheme="minorBidi" w:eastAsia="Times New Roman" w:hAnsiTheme="minorBidi" w:cstheme="minorBidi"/>
          <w:b/>
          <w:bCs/>
        </w:rPr>
        <w:t xml:space="preserve">PICTURE 1. </w:t>
      </w:r>
      <w:r w:rsidR="00EE17A6" w:rsidRPr="00DE1DBE">
        <w:rPr>
          <w:rFonts w:asciiTheme="minorBidi" w:eastAsia="Times New Roman" w:hAnsiTheme="minorBidi" w:cstheme="minorBidi"/>
          <w:b/>
          <w:bCs/>
        </w:rPr>
        <w:t>Stenotic dysfunction due to pannus (arrow) extending into a mechanical prosthesis (A</w:t>
      </w:r>
      <w:proofErr w:type="gramStart"/>
      <w:r w:rsidR="00EE17A6" w:rsidRPr="00DE1DBE">
        <w:rPr>
          <w:rFonts w:asciiTheme="minorBidi" w:eastAsia="Times New Roman" w:hAnsiTheme="minorBidi" w:cstheme="minorBidi"/>
          <w:b/>
          <w:bCs/>
        </w:rPr>
        <w:t>) ,</w:t>
      </w:r>
      <w:proofErr w:type="gramEnd"/>
      <w:r w:rsidR="00EE17A6" w:rsidRPr="00DE1DBE">
        <w:rPr>
          <w:rFonts w:asciiTheme="minorBidi" w:eastAsia="Times New Roman" w:hAnsiTheme="minorBidi" w:cstheme="minorBidi"/>
          <w:b/>
          <w:bCs/>
        </w:rPr>
        <w:t xml:space="preserve"> prosthesis thrombosis (B)</w:t>
      </w:r>
    </w:p>
    <w:p w14:paraId="6BB262C3" w14:textId="77777777" w:rsidR="00EE17A6" w:rsidRPr="00DE1DBE" w:rsidRDefault="00EE17A6">
      <w:pPr>
        <w:pStyle w:val="BodyText"/>
        <w:ind w:left="165" w:right="42"/>
        <w:rPr>
          <w:rFonts w:asciiTheme="minorBidi" w:eastAsia="Times New Roman" w:hAnsiTheme="minorBidi" w:cstheme="minorBidi"/>
          <w:b/>
          <w:bCs/>
        </w:rPr>
      </w:pPr>
    </w:p>
    <w:p w14:paraId="3583C422" w14:textId="77777777" w:rsidR="00EE17A6" w:rsidRPr="00DE1DBE" w:rsidRDefault="00EE17A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1B081868"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09D0F45" w14:textId="77777777" w:rsidR="000136CC" w:rsidRDefault="000136CC" w:rsidP="000136CC">
      <w:pPr>
        <w:pStyle w:val="Heading2"/>
        <w:rPr>
          <w:rFonts w:asciiTheme="minorBidi" w:eastAsia="Times New Roman" w:hAnsiTheme="minorBidi" w:cstheme="minorBidi"/>
          <w:b/>
          <w:bCs/>
          <w:color w:val="auto"/>
          <w:sz w:val="20"/>
          <w:szCs w:val="20"/>
          <w:u w:val="single"/>
          <w:lang w:val="fr-FR" w:eastAsia="fr-FR"/>
        </w:rPr>
      </w:pPr>
      <w:r w:rsidRPr="00DE1DBE">
        <w:rPr>
          <w:rFonts w:asciiTheme="minorBidi" w:eastAsia="Times New Roman" w:hAnsiTheme="minorBidi" w:cstheme="minorBidi"/>
          <w:b/>
          <w:bCs/>
          <w:color w:val="auto"/>
          <w:sz w:val="20"/>
          <w:szCs w:val="20"/>
          <w:u w:val="single"/>
          <w:lang w:val="fr-FR" w:eastAsia="fr-FR"/>
        </w:rPr>
        <w:t>8. Therapeutic Management</w:t>
      </w:r>
    </w:p>
    <w:p w14:paraId="5C15BA81" w14:textId="77777777" w:rsidR="00A35A20" w:rsidRDefault="00A35A20" w:rsidP="00A35A20">
      <w:pPr>
        <w:rPr>
          <w:lang w:val="fr-FR" w:eastAsia="fr-FR"/>
        </w:rPr>
      </w:pPr>
    </w:p>
    <w:p w14:paraId="5A21AA28" w14:textId="77777777" w:rsidR="00A35A20" w:rsidRDefault="00A35A20" w:rsidP="00A35A20">
      <w:pPr>
        <w:rPr>
          <w:lang w:val="fr-FR" w:eastAsia="fr-FR"/>
        </w:rPr>
      </w:pPr>
    </w:p>
    <w:p w14:paraId="334FD089" w14:textId="29D94B94" w:rsidR="00A35A20" w:rsidRPr="008E66E8" w:rsidRDefault="00A35A20" w:rsidP="00A35A20">
      <w:pPr>
        <w:rPr>
          <w:rFonts w:ascii="Arial" w:hAnsi="Arial" w:cs="Arial"/>
          <w:lang w:val="fr-FR" w:eastAsia="fr-FR"/>
        </w:rPr>
      </w:pPr>
      <w:r w:rsidRPr="008E66E8">
        <w:rPr>
          <w:rFonts w:ascii="Arial" w:hAnsi="Arial" w:cs="Arial"/>
          <w:lang w:val="fr-FR" w:eastAsia="fr-FR"/>
        </w:rPr>
        <w:t xml:space="preserve">TABLE 7. </w:t>
      </w:r>
      <w:r w:rsidR="008E66E8" w:rsidRPr="008E66E8">
        <w:rPr>
          <w:rFonts w:ascii="Arial" w:hAnsi="Arial" w:cs="Arial"/>
          <w:lang w:val="fr-FR" w:eastAsia="fr-FR"/>
        </w:rPr>
        <w:t xml:space="preserve">Treatment procedures adopted for patients </w:t>
      </w:r>
    </w:p>
    <w:p w14:paraId="445F9A77"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67"/>
        <w:gridCol w:w="1134"/>
      </w:tblGrid>
      <w:tr w:rsidR="000136CC" w:rsidRPr="000136CC" w14:paraId="5B31769C" w14:textId="77777777" w:rsidTr="000136CC">
        <w:trPr>
          <w:tblHeader/>
          <w:tblCellSpacing w:w="15" w:type="dxa"/>
        </w:trPr>
        <w:tc>
          <w:tcPr>
            <w:tcW w:w="5200" w:type="dxa"/>
            <w:vAlign w:val="center"/>
            <w:hideMark/>
          </w:tcPr>
          <w:p w14:paraId="22B59D40"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Treatment</w:t>
            </w:r>
          </w:p>
        </w:tc>
        <w:tc>
          <w:tcPr>
            <w:tcW w:w="537" w:type="dxa"/>
            <w:vAlign w:val="center"/>
            <w:hideMark/>
          </w:tcPr>
          <w:p w14:paraId="2C5E67CF"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proofErr w:type="gramStart"/>
            <w:r w:rsidRPr="000136CC">
              <w:rPr>
                <w:rFonts w:asciiTheme="minorBidi" w:eastAsia="Times New Roman" w:hAnsiTheme="minorBidi" w:cstheme="minorBidi"/>
                <w:b/>
                <w:bCs/>
                <w:sz w:val="20"/>
                <w:szCs w:val="20"/>
                <w:lang w:val="fr-FR" w:eastAsia="fr-FR"/>
              </w:rPr>
              <w:t>n</w:t>
            </w:r>
            <w:proofErr w:type="gramEnd"/>
          </w:p>
        </w:tc>
        <w:tc>
          <w:tcPr>
            <w:tcW w:w="1089" w:type="dxa"/>
            <w:vAlign w:val="center"/>
            <w:hideMark/>
          </w:tcPr>
          <w:p w14:paraId="3CC13595" w14:textId="77777777" w:rsidR="000136CC" w:rsidRPr="000136CC" w:rsidRDefault="000136CC" w:rsidP="000136CC">
            <w:pPr>
              <w:widowControl/>
              <w:autoSpaceDE/>
              <w:autoSpaceDN/>
              <w:jc w:val="center"/>
              <w:rPr>
                <w:rFonts w:asciiTheme="minorBidi" w:eastAsia="Times New Roman" w:hAnsiTheme="minorBidi" w:cstheme="minorBidi"/>
                <w:b/>
                <w:bCs/>
                <w:sz w:val="20"/>
                <w:szCs w:val="20"/>
                <w:lang w:val="fr-FR" w:eastAsia="fr-FR"/>
              </w:rPr>
            </w:pPr>
            <w:r w:rsidRPr="000136CC">
              <w:rPr>
                <w:rFonts w:asciiTheme="minorBidi" w:eastAsia="Times New Roman" w:hAnsiTheme="minorBidi" w:cstheme="minorBidi"/>
                <w:b/>
                <w:bCs/>
                <w:sz w:val="20"/>
                <w:szCs w:val="20"/>
                <w:lang w:val="fr-FR" w:eastAsia="fr-FR"/>
              </w:rPr>
              <w:t>%</w:t>
            </w:r>
          </w:p>
        </w:tc>
      </w:tr>
      <w:tr w:rsidR="000136CC" w:rsidRPr="000136CC" w14:paraId="366B7ECE" w14:textId="77777777" w:rsidTr="000136CC">
        <w:trPr>
          <w:tblCellSpacing w:w="15" w:type="dxa"/>
        </w:trPr>
        <w:tc>
          <w:tcPr>
            <w:tcW w:w="5200" w:type="dxa"/>
            <w:vAlign w:val="center"/>
            <w:hideMark/>
          </w:tcPr>
          <w:p w14:paraId="13A02494"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Surgical reoperation</w:t>
            </w:r>
          </w:p>
        </w:tc>
        <w:tc>
          <w:tcPr>
            <w:tcW w:w="537" w:type="dxa"/>
            <w:vAlign w:val="center"/>
            <w:hideMark/>
          </w:tcPr>
          <w:p w14:paraId="01A7F672"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18</w:t>
            </w:r>
          </w:p>
        </w:tc>
        <w:tc>
          <w:tcPr>
            <w:tcW w:w="1089" w:type="dxa"/>
            <w:vAlign w:val="center"/>
            <w:hideMark/>
          </w:tcPr>
          <w:p w14:paraId="23A61B21"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58%</w:t>
            </w:r>
          </w:p>
        </w:tc>
      </w:tr>
      <w:tr w:rsidR="000136CC" w:rsidRPr="000136CC" w14:paraId="521D3FF3" w14:textId="77777777" w:rsidTr="000136CC">
        <w:trPr>
          <w:tblCellSpacing w:w="15" w:type="dxa"/>
        </w:trPr>
        <w:tc>
          <w:tcPr>
            <w:tcW w:w="5200" w:type="dxa"/>
            <w:vAlign w:val="center"/>
            <w:hideMark/>
          </w:tcPr>
          <w:p w14:paraId="54EC848E"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Medical therapy ± fibrinolysis</w:t>
            </w:r>
          </w:p>
        </w:tc>
        <w:tc>
          <w:tcPr>
            <w:tcW w:w="537" w:type="dxa"/>
            <w:vAlign w:val="center"/>
            <w:hideMark/>
          </w:tcPr>
          <w:p w14:paraId="10A62A55"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10</w:t>
            </w:r>
          </w:p>
        </w:tc>
        <w:tc>
          <w:tcPr>
            <w:tcW w:w="1089" w:type="dxa"/>
            <w:vAlign w:val="center"/>
            <w:hideMark/>
          </w:tcPr>
          <w:p w14:paraId="51B2C430"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32%</w:t>
            </w:r>
          </w:p>
        </w:tc>
      </w:tr>
      <w:tr w:rsidR="000136CC" w:rsidRPr="000136CC" w14:paraId="5EB21AFB" w14:textId="77777777" w:rsidTr="000136CC">
        <w:trPr>
          <w:tblCellSpacing w:w="15" w:type="dxa"/>
        </w:trPr>
        <w:tc>
          <w:tcPr>
            <w:tcW w:w="5200" w:type="dxa"/>
            <w:vAlign w:val="center"/>
            <w:hideMark/>
          </w:tcPr>
          <w:p w14:paraId="472B374D"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Conservative management</w:t>
            </w:r>
          </w:p>
        </w:tc>
        <w:tc>
          <w:tcPr>
            <w:tcW w:w="537" w:type="dxa"/>
            <w:vAlign w:val="center"/>
            <w:hideMark/>
          </w:tcPr>
          <w:p w14:paraId="5FF55FA2"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3</w:t>
            </w:r>
          </w:p>
        </w:tc>
        <w:tc>
          <w:tcPr>
            <w:tcW w:w="1089" w:type="dxa"/>
            <w:vAlign w:val="center"/>
            <w:hideMark/>
          </w:tcPr>
          <w:p w14:paraId="6362C1CF" w14:textId="77777777" w:rsidR="000136CC" w:rsidRPr="000136CC" w:rsidRDefault="000136CC" w:rsidP="000136CC">
            <w:pPr>
              <w:widowControl/>
              <w:autoSpaceDE/>
              <w:autoSpaceDN/>
              <w:jc w:val="center"/>
              <w:rPr>
                <w:rFonts w:asciiTheme="minorBidi" w:eastAsia="Times New Roman" w:hAnsiTheme="minorBidi" w:cstheme="minorBidi"/>
                <w:sz w:val="20"/>
                <w:szCs w:val="20"/>
                <w:lang w:val="fr-FR" w:eastAsia="fr-FR"/>
              </w:rPr>
            </w:pPr>
            <w:r w:rsidRPr="000136CC">
              <w:rPr>
                <w:rFonts w:asciiTheme="minorBidi" w:eastAsia="Times New Roman" w:hAnsiTheme="minorBidi" w:cstheme="minorBidi"/>
                <w:sz w:val="20"/>
                <w:szCs w:val="20"/>
                <w:lang w:val="fr-FR" w:eastAsia="fr-FR"/>
              </w:rPr>
              <w:t>10%</w:t>
            </w:r>
          </w:p>
        </w:tc>
      </w:tr>
    </w:tbl>
    <w:p w14:paraId="71C207E4"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BB5A792" w14:textId="77777777" w:rsidR="000136CC" w:rsidRPr="00DE1DBE" w:rsidRDefault="000136CC" w:rsidP="000136CC">
      <w:pPr>
        <w:pStyle w:val="Heading3"/>
        <w:rPr>
          <w:rFonts w:asciiTheme="minorBidi" w:eastAsia="Times New Roman" w:hAnsiTheme="minorBidi" w:cstheme="minorBidi"/>
          <w:i/>
          <w:iCs/>
          <w:sz w:val="20"/>
          <w:szCs w:val="20"/>
          <w:lang w:val="fr-FR" w:eastAsia="fr-FR"/>
        </w:rPr>
      </w:pPr>
      <w:r w:rsidRPr="00DE1DBE">
        <w:rPr>
          <w:rStyle w:val="Strong"/>
          <w:rFonts w:asciiTheme="minorBidi" w:hAnsiTheme="minorBidi" w:cstheme="minorBidi"/>
          <w:b w:val="0"/>
          <w:bCs w:val="0"/>
          <w:i/>
          <w:iCs/>
          <w:sz w:val="20"/>
          <w:szCs w:val="20"/>
        </w:rPr>
        <w:t>8.1 Surgery</w:t>
      </w:r>
    </w:p>
    <w:p w14:paraId="42EA5BB0"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Performed mostly </w:t>
      </w:r>
      <w:proofErr w:type="gramStart"/>
      <w:r w:rsidRPr="00DE1DBE">
        <w:rPr>
          <w:rFonts w:asciiTheme="minorBidi" w:hAnsiTheme="minorBidi" w:cstheme="minorBidi"/>
          <w:sz w:val="20"/>
          <w:szCs w:val="20"/>
        </w:rPr>
        <w:t>in:</w:t>
      </w:r>
      <w:proofErr w:type="gramEnd"/>
    </w:p>
    <w:p w14:paraId="33CC4C00"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Obstructive pannus</w:t>
      </w:r>
    </w:p>
    <w:p w14:paraId="3F8C6667"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Prosthetic detachment</w:t>
      </w:r>
    </w:p>
    <w:p w14:paraId="0841656C"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Complicated thrombosis</w:t>
      </w:r>
    </w:p>
    <w:p w14:paraId="4FDC9835" w14:textId="77777777" w:rsidR="000136CC" w:rsidRPr="00DE1DBE" w:rsidRDefault="000136CC" w:rsidP="000136CC">
      <w:pPr>
        <w:pStyle w:val="NormalWeb"/>
        <w:numPr>
          <w:ilvl w:val="0"/>
          <w:numId w:val="9"/>
        </w:numPr>
        <w:rPr>
          <w:rFonts w:asciiTheme="minorBidi" w:hAnsiTheme="minorBidi" w:cstheme="minorBidi"/>
          <w:sz w:val="20"/>
          <w:szCs w:val="20"/>
        </w:rPr>
      </w:pPr>
      <w:r w:rsidRPr="00DE1DBE">
        <w:rPr>
          <w:rFonts w:asciiTheme="minorBidi" w:hAnsiTheme="minorBidi" w:cstheme="minorBidi"/>
          <w:sz w:val="20"/>
          <w:szCs w:val="20"/>
        </w:rPr>
        <w:t>Endocarditis with major regurgitation</w:t>
      </w:r>
    </w:p>
    <w:p w14:paraId="5CC7F707"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Procedures </w:t>
      </w:r>
      <w:proofErr w:type="gramStart"/>
      <w:r w:rsidRPr="00DE1DBE">
        <w:rPr>
          <w:rFonts w:asciiTheme="minorBidi" w:hAnsiTheme="minorBidi" w:cstheme="minorBidi"/>
          <w:sz w:val="20"/>
          <w:szCs w:val="20"/>
        </w:rPr>
        <w:t>included:</w:t>
      </w:r>
      <w:proofErr w:type="gramEnd"/>
    </w:p>
    <w:p w14:paraId="7E5CB635" w14:textId="77777777" w:rsidR="000136CC" w:rsidRPr="00DE1DBE" w:rsidRDefault="000136CC" w:rsidP="000136CC">
      <w:pPr>
        <w:pStyle w:val="NormalWeb"/>
        <w:numPr>
          <w:ilvl w:val="0"/>
          <w:numId w:val="10"/>
        </w:numPr>
        <w:rPr>
          <w:rFonts w:asciiTheme="minorBidi" w:hAnsiTheme="minorBidi" w:cstheme="minorBidi"/>
          <w:sz w:val="20"/>
          <w:szCs w:val="20"/>
        </w:rPr>
      </w:pPr>
      <w:r w:rsidRPr="00DE1DBE">
        <w:rPr>
          <w:rFonts w:asciiTheme="minorBidi" w:hAnsiTheme="minorBidi" w:cstheme="minorBidi"/>
          <w:sz w:val="20"/>
          <w:szCs w:val="20"/>
        </w:rPr>
        <w:t xml:space="preserve">15 </w:t>
      </w:r>
      <w:proofErr w:type="gramStart"/>
      <w:r w:rsidRPr="00DE1DBE">
        <w:rPr>
          <w:rFonts w:asciiTheme="minorBidi" w:hAnsiTheme="minorBidi" w:cstheme="minorBidi"/>
          <w:sz w:val="20"/>
          <w:szCs w:val="20"/>
        </w:rPr>
        <w:t>valve</w:t>
      </w:r>
      <w:proofErr w:type="gramEnd"/>
      <w:r w:rsidRPr="00DE1DBE">
        <w:rPr>
          <w:rFonts w:asciiTheme="minorBidi" w:hAnsiTheme="minorBidi" w:cstheme="minorBidi"/>
          <w:sz w:val="20"/>
          <w:szCs w:val="20"/>
        </w:rPr>
        <w:t xml:space="preserve"> replacements</w:t>
      </w:r>
    </w:p>
    <w:p w14:paraId="45C71A52" w14:textId="77777777" w:rsidR="000136CC" w:rsidRPr="00DE1DBE" w:rsidRDefault="000136CC" w:rsidP="000136CC">
      <w:pPr>
        <w:pStyle w:val="NormalWeb"/>
        <w:numPr>
          <w:ilvl w:val="0"/>
          <w:numId w:val="10"/>
        </w:numPr>
        <w:rPr>
          <w:rFonts w:asciiTheme="minorBidi" w:hAnsiTheme="minorBidi" w:cstheme="minorBidi"/>
          <w:sz w:val="20"/>
          <w:szCs w:val="20"/>
        </w:rPr>
      </w:pPr>
      <w:r w:rsidRPr="00DE1DBE">
        <w:rPr>
          <w:rFonts w:asciiTheme="minorBidi" w:hAnsiTheme="minorBidi" w:cstheme="minorBidi"/>
          <w:sz w:val="20"/>
          <w:szCs w:val="20"/>
        </w:rPr>
        <w:t>3 surgical revisions</w:t>
      </w:r>
    </w:p>
    <w:p w14:paraId="02499A6D"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8.2 Medical ± Fibrinolytic Treatment</w:t>
      </w:r>
    </w:p>
    <w:p w14:paraId="5CB60AE2"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Used </w:t>
      </w:r>
      <w:proofErr w:type="gramStart"/>
      <w:r w:rsidRPr="00DE1DBE">
        <w:rPr>
          <w:rFonts w:asciiTheme="minorBidi" w:hAnsiTheme="minorBidi" w:cstheme="minorBidi"/>
          <w:sz w:val="20"/>
          <w:szCs w:val="20"/>
        </w:rPr>
        <w:t>for:</w:t>
      </w:r>
      <w:proofErr w:type="gramEnd"/>
    </w:p>
    <w:p w14:paraId="4ECC5E4A" w14:textId="77777777" w:rsidR="000136CC" w:rsidRPr="00DE1DBE" w:rsidRDefault="000136CC" w:rsidP="000136CC">
      <w:pPr>
        <w:pStyle w:val="NormalWeb"/>
        <w:numPr>
          <w:ilvl w:val="0"/>
          <w:numId w:val="11"/>
        </w:numPr>
        <w:rPr>
          <w:rFonts w:asciiTheme="minorBidi" w:hAnsiTheme="minorBidi" w:cstheme="minorBidi"/>
          <w:sz w:val="20"/>
          <w:szCs w:val="20"/>
        </w:rPr>
      </w:pPr>
      <w:r w:rsidRPr="00DE1DBE">
        <w:rPr>
          <w:rFonts w:asciiTheme="minorBidi" w:hAnsiTheme="minorBidi" w:cstheme="minorBidi"/>
          <w:sz w:val="20"/>
          <w:szCs w:val="20"/>
        </w:rPr>
        <w:t>Non-obstructive thrombosis</w:t>
      </w:r>
    </w:p>
    <w:p w14:paraId="114A13BA" w14:textId="77777777" w:rsidR="000136CC" w:rsidRPr="00DE1DBE" w:rsidRDefault="000136CC" w:rsidP="000136CC">
      <w:pPr>
        <w:pStyle w:val="NormalWeb"/>
        <w:numPr>
          <w:ilvl w:val="0"/>
          <w:numId w:val="11"/>
        </w:numPr>
        <w:rPr>
          <w:rFonts w:asciiTheme="minorBidi" w:hAnsiTheme="minorBidi" w:cstheme="minorBidi"/>
          <w:sz w:val="20"/>
          <w:szCs w:val="20"/>
        </w:rPr>
      </w:pPr>
      <w:r w:rsidRPr="00DE1DBE">
        <w:rPr>
          <w:rFonts w:asciiTheme="minorBidi" w:hAnsiTheme="minorBidi" w:cstheme="minorBidi"/>
          <w:sz w:val="20"/>
          <w:szCs w:val="20"/>
        </w:rPr>
        <w:t>High-surgical-risk patients</w:t>
      </w:r>
    </w:p>
    <w:p w14:paraId="61E38E0D" w14:textId="77777777" w:rsidR="000136CC" w:rsidRPr="00DE1DBE" w:rsidRDefault="000136CC" w:rsidP="000136CC">
      <w:pPr>
        <w:pStyle w:val="NormalWeb"/>
        <w:rPr>
          <w:rFonts w:asciiTheme="minorBidi" w:hAnsiTheme="minorBidi" w:cstheme="minorBidi"/>
          <w:sz w:val="20"/>
          <w:szCs w:val="20"/>
        </w:rPr>
      </w:pPr>
      <w:r w:rsidRPr="00DE1DBE">
        <w:rPr>
          <w:rFonts w:asciiTheme="minorBidi" w:hAnsiTheme="minorBidi" w:cstheme="minorBidi"/>
          <w:sz w:val="20"/>
          <w:szCs w:val="20"/>
        </w:rPr>
        <w:t xml:space="preserve">Fibrinolysis success </w:t>
      </w:r>
      <w:proofErr w:type="gramStart"/>
      <w:r w:rsidRPr="00DE1DBE">
        <w:rPr>
          <w:rFonts w:asciiTheme="minorBidi" w:hAnsiTheme="minorBidi" w:cstheme="minorBidi"/>
          <w:sz w:val="20"/>
          <w:szCs w:val="20"/>
        </w:rPr>
        <w:t>rate:</w:t>
      </w:r>
      <w:proofErr w:type="gramEnd"/>
      <w:r w:rsidRPr="00DE1DBE">
        <w:rPr>
          <w:rFonts w:asciiTheme="minorBidi" w:hAnsiTheme="minorBidi" w:cstheme="minorBidi"/>
          <w:sz w:val="20"/>
          <w:szCs w:val="20"/>
        </w:rPr>
        <w:t xml:space="preserve"> </w:t>
      </w:r>
      <w:r w:rsidRPr="00DE1DBE">
        <w:rPr>
          <w:rStyle w:val="Strong"/>
          <w:rFonts w:asciiTheme="minorBidi" w:hAnsiTheme="minorBidi" w:cstheme="minorBidi"/>
          <w:sz w:val="20"/>
          <w:szCs w:val="20"/>
        </w:rPr>
        <w:t>70%</w:t>
      </w:r>
      <w:r w:rsidRPr="00DE1DBE">
        <w:rPr>
          <w:rFonts w:asciiTheme="minorBidi" w:hAnsiTheme="minorBidi" w:cstheme="minorBidi"/>
          <w:sz w:val="20"/>
          <w:szCs w:val="20"/>
        </w:rPr>
        <w:t xml:space="preserve"> (7/10 patients).</w:t>
      </w:r>
    </w:p>
    <w:p w14:paraId="71CD6D80" w14:textId="77777777" w:rsidR="000136CC" w:rsidRPr="00DE1DBE" w:rsidRDefault="000136CC" w:rsidP="000136CC">
      <w:pPr>
        <w:pStyle w:val="Heading3"/>
        <w:rPr>
          <w:rFonts w:asciiTheme="minorBidi" w:hAnsiTheme="minorBidi" w:cstheme="minorBidi"/>
          <w:i/>
          <w:iCs/>
          <w:sz w:val="20"/>
          <w:szCs w:val="20"/>
        </w:rPr>
      </w:pPr>
      <w:r w:rsidRPr="00DE1DBE">
        <w:rPr>
          <w:rStyle w:val="Strong"/>
          <w:rFonts w:asciiTheme="minorBidi" w:hAnsiTheme="minorBidi" w:cstheme="minorBidi"/>
          <w:b w:val="0"/>
          <w:bCs w:val="0"/>
          <w:i/>
          <w:iCs/>
          <w:sz w:val="20"/>
          <w:szCs w:val="20"/>
        </w:rPr>
        <w:t>8.3 Outcomes</w:t>
      </w:r>
    </w:p>
    <w:p w14:paraId="70EEAD1A"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 xml:space="preserve">Favorable </w:t>
      </w:r>
      <w:proofErr w:type="gramStart"/>
      <w:r w:rsidRPr="00DE1DBE">
        <w:rPr>
          <w:rFonts w:asciiTheme="minorBidi" w:hAnsiTheme="minorBidi" w:cstheme="minorBidi"/>
          <w:sz w:val="20"/>
          <w:szCs w:val="20"/>
        </w:rPr>
        <w:t>outcome:</w:t>
      </w:r>
      <w:proofErr w:type="gramEnd"/>
      <w:r w:rsidRPr="00DE1DBE">
        <w:rPr>
          <w:rFonts w:asciiTheme="minorBidi" w:hAnsiTheme="minorBidi" w:cstheme="minorBidi"/>
          <w:sz w:val="20"/>
          <w:szCs w:val="20"/>
        </w:rPr>
        <w:t xml:space="preserve"> </w:t>
      </w:r>
      <w:r w:rsidRPr="00DE1DBE">
        <w:rPr>
          <w:rStyle w:val="Strong"/>
          <w:rFonts w:asciiTheme="minorBidi" w:hAnsiTheme="minorBidi" w:cstheme="minorBidi"/>
          <w:sz w:val="20"/>
          <w:szCs w:val="20"/>
        </w:rPr>
        <w:t>74%</w:t>
      </w:r>
    </w:p>
    <w:p w14:paraId="0F73A3FA"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 xml:space="preserve">In-hospital </w:t>
      </w:r>
      <w:proofErr w:type="gramStart"/>
      <w:r w:rsidRPr="00DE1DBE">
        <w:rPr>
          <w:rFonts w:asciiTheme="minorBidi" w:hAnsiTheme="minorBidi" w:cstheme="minorBidi"/>
          <w:sz w:val="20"/>
          <w:szCs w:val="20"/>
        </w:rPr>
        <w:t>mortality:</w:t>
      </w:r>
      <w:proofErr w:type="gramEnd"/>
      <w:r w:rsidRPr="00DE1DBE">
        <w:rPr>
          <w:rFonts w:asciiTheme="minorBidi" w:hAnsiTheme="minorBidi" w:cstheme="minorBidi"/>
          <w:sz w:val="20"/>
          <w:szCs w:val="20"/>
        </w:rPr>
        <w:t xml:space="preserve"> </w:t>
      </w:r>
      <w:r w:rsidRPr="00DE1DBE">
        <w:rPr>
          <w:rStyle w:val="Strong"/>
          <w:rFonts w:asciiTheme="minorBidi" w:hAnsiTheme="minorBidi" w:cstheme="minorBidi"/>
          <w:sz w:val="20"/>
          <w:szCs w:val="20"/>
        </w:rPr>
        <w:t>6.4%</w:t>
      </w:r>
      <w:r w:rsidRPr="00DE1DBE">
        <w:rPr>
          <w:rFonts w:asciiTheme="minorBidi" w:hAnsiTheme="minorBidi" w:cstheme="minorBidi"/>
          <w:sz w:val="20"/>
          <w:szCs w:val="20"/>
        </w:rPr>
        <w:t xml:space="preserve"> (n=2)</w:t>
      </w:r>
    </w:p>
    <w:p w14:paraId="62666617" w14:textId="77777777" w:rsidR="000136CC" w:rsidRPr="00DE1DBE" w:rsidRDefault="000136CC" w:rsidP="000136CC">
      <w:pPr>
        <w:pStyle w:val="NormalWeb"/>
        <w:numPr>
          <w:ilvl w:val="0"/>
          <w:numId w:val="12"/>
        </w:numPr>
        <w:rPr>
          <w:rFonts w:asciiTheme="minorBidi" w:hAnsiTheme="minorBidi" w:cstheme="minorBidi"/>
          <w:sz w:val="20"/>
          <w:szCs w:val="20"/>
        </w:rPr>
      </w:pPr>
      <w:r w:rsidRPr="00DE1DBE">
        <w:rPr>
          <w:rFonts w:asciiTheme="minorBidi" w:hAnsiTheme="minorBidi" w:cstheme="minorBidi"/>
          <w:sz w:val="20"/>
          <w:szCs w:val="20"/>
        </w:rPr>
        <w:t xml:space="preserve">Early </w:t>
      </w:r>
      <w:proofErr w:type="gramStart"/>
      <w:r w:rsidRPr="00DE1DBE">
        <w:rPr>
          <w:rFonts w:asciiTheme="minorBidi" w:hAnsiTheme="minorBidi" w:cstheme="minorBidi"/>
          <w:sz w:val="20"/>
          <w:szCs w:val="20"/>
        </w:rPr>
        <w:t>complications:</w:t>
      </w:r>
      <w:proofErr w:type="gramEnd"/>
    </w:p>
    <w:p w14:paraId="0D676A02" w14:textId="77777777" w:rsidR="000136CC" w:rsidRPr="00DE1DBE" w:rsidRDefault="000136CC" w:rsidP="000136CC">
      <w:pPr>
        <w:pStyle w:val="NormalWeb"/>
        <w:numPr>
          <w:ilvl w:val="1"/>
          <w:numId w:val="12"/>
        </w:numPr>
        <w:rPr>
          <w:rFonts w:asciiTheme="minorBidi" w:hAnsiTheme="minorBidi" w:cstheme="minorBidi"/>
          <w:sz w:val="20"/>
          <w:szCs w:val="20"/>
        </w:rPr>
      </w:pPr>
      <w:r w:rsidRPr="00DE1DBE">
        <w:rPr>
          <w:rFonts w:asciiTheme="minorBidi" w:hAnsiTheme="minorBidi" w:cstheme="minorBidi"/>
          <w:sz w:val="20"/>
          <w:szCs w:val="20"/>
        </w:rPr>
        <w:t>Hemorrhage (n=2)</w:t>
      </w:r>
    </w:p>
    <w:p w14:paraId="535A868C" w14:textId="77777777" w:rsidR="000136CC" w:rsidRPr="00DE1DBE" w:rsidRDefault="000136CC" w:rsidP="000136CC">
      <w:pPr>
        <w:pStyle w:val="NormalWeb"/>
        <w:numPr>
          <w:ilvl w:val="1"/>
          <w:numId w:val="12"/>
        </w:numPr>
        <w:rPr>
          <w:rFonts w:asciiTheme="minorBidi" w:hAnsiTheme="minorBidi" w:cstheme="minorBidi"/>
          <w:sz w:val="20"/>
          <w:szCs w:val="20"/>
        </w:rPr>
      </w:pPr>
      <w:r w:rsidRPr="00DE1DBE">
        <w:rPr>
          <w:rFonts w:asciiTheme="minorBidi" w:hAnsiTheme="minorBidi" w:cstheme="minorBidi"/>
          <w:sz w:val="20"/>
          <w:szCs w:val="20"/>
        </w:rPr>
        <w:t>Embolic recurrence (n=1)</w:t>
      </w:r>
    </w:p>
    <w:p w14:paraId="52E88F10" w14:textId="77777777" w:rsidR="000136CC" w:rsidRPr="00DE1DBE" w:rsidRDefault="000136CC">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3EC5295C"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2CD09261"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88C528D" w14:textId="77777777" w:rsidR="00BB4466" w:rsidRPr="00DE1DBE" w:rsidRDefault="000136CC">
      <w:pPr>
        <w:pStyle w:val="BodyText"/>
        <w:ind w:left="165" w:right="42"/>
        <w:rPr>
          <w:rStyle w:val="Strong"/>
          <w:rFonts w:asciiTheme="minorBidi" w:eastAsia="Times New Roman" w:hAnsiTheme="minorBidi" w:cstheme="minorBidi"/>
          <w:b w:val="0"/>
          <w:bCs w:val="0"/>
          <w:spacing w:val="1"/>
          <w:sz w:val="22"/>
          <w:szCs w:val="22"/>
          <w:bdr w:val="single" w:sz="2" w:space="0" w:color="auto" w:frame="1"/>
          <w:lang w:val="fr-FR" w:eastAsia="fr-FR"/>
        </w:rPr>
      </w:pPr>
      <w:r w:rsidRPr="00DE1DBE">
        <w:rPr>
          <w:rFonts w:asciiTheme="minorBidi" w:hAnsiTheme="minorBidi" w:cstheme="minorBidi"/>
          <w:b/>
          <w:bCs/>
          <w:sz w:val="22"/>
          <w:szCs w:val="22"/>
        </w:rPr>
        <w:t>DISCUSSION</w:t>
      </w:r>
    </w:p>
    <w:p w14:paraId="1A47D7B9"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12B8848" w14:textId="77777777" w:rsidR="000136CC" w:rsidRPr="00DE1DBE" w:rsidRDefault="000136CC" w:rsidP="00DE1DBE">
      <w:pPr>
        <w:pStyle w:val="NormalWeb"/>
        <w:ind w:left="165"/>
        <w:rPr>
          <w:rFonts w:asciiTheme="minorBidi" w:hAnsiTheme="minorBidi" w:cstheme="minorBidi"/>
          <w:sz w:val="20"/>
          <w:szCs w:val="20"/>
        </w:rPr>
      </w:pPr>
      <w:r w:rsidRPr="00DE1DBE">
        <w:rPr>
          <w:rFonts w:asciiTheme="minorBidi" w:hAnsiTheme="minorBidi" w:cstheme="minorBidi"/>
          <w:sz w:val="20"/>
          <w:szCs w:val="20"/>
        </w:rPr>
        <w:t>Prostheticvalve dysfunction remains a serious and potentially life-threatening complication, stemming from a variety of structural, hemodynamic, infectious, and thromboembolic mechanisms. A range of predisposing factors can alter prosthetic performance, leading to obstruction, regurgitation, or mixed dysfunction. From a hemodynamic perspective, the turbulent flow distal to mechanical prostheses contributes to shear stress and platelet activation, particularly in patients with impaired left ventricular systolic function or enlarged left atrial dimensions. Cardiac rhythm disorders—most notably atrial fibrillation—further exacerbate stasis and increase the risk of thrombogenesis, a well-established mechanism in prosthetic valve dysfunction (4). Other contributing factors include the inherent thrombogenicity of older prosthetic designs such as caged-ball or tilting-disc valves, along with transient hypercoagulable states triggered by dehydration or infection (5).</w:t>
      </w:r>
    </w:p>
    <w:p w14:paraId="0E181537"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Our study confirms the epidemiological profile frequently described in Moroccan and sub-Saharan African cohorts, where rheumatic heart disease remains the leading cause of valvular pathology requiring prosthetic replacement. The predominance of young to middle-aged women aligns with regional data reported by Oummou S. (6), who observed 61% female patients, and Bivigou A. (7), who reported 60% women in his cohort. This overrepresentation may reflect both the elevated burden of rheumatic fever among young females and their higher likelihood of developing severe valvular involvement necessitating mechanical valve replacement. These findings contrast with Western and Asian series, such as Misawa Y. (5), where degenerative etiologies—rather than rheumatic disease—dominate, and the patient population is generally older with more comorbid conditions. These epidemiological differences underscore the importance of contextualizing prosthetic valve dysfunction within regional public health realities.</w:t>
      </w:r>
    </w:p>
    <w:p w14:paraId="4CF29767"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In line with the literature, our study found that the leading etiologies of prosthesis dysfunction were prosthetic thrombosis, followed by infective endocarditis—two mechanisms classically described in rheumatic populations where anticoagulation monitoring is often suboptimal. Several recent surgical series have emphasized the role of pannus formation in chronic prosthetic dysfunction. This fibroproliferative process, characterized by excessive scarring around the sewing ring, progressively narrows the prosthetic orifice, mimicking or predisposing to obstructive thrombosis (8). Distinguishing thrombus from pannus is clinically crucial, as management differs </w:t>
      </w:r>
      <w:proofErr w:type="gramStart"/>
      <w:r w:rsidRPr="00DE1DBE">
        <w:rPr>
          <w:rFonts w:asciiTheme="minorBidi" w:hAnsiTheme="minorBidi" w:cstheme="minorBidi"/>
          <w:sz w:val="20"/>
          <w:szCs w:val="20"/>
        </w:rPr>
        <w:t>substantially;</w:t>
      </w:r>
      <w:proofErr w:type="gramEnd"/>
      <w:r w:rsidRPr="00DE1DBE">
        <w:rPr>
          <w:rFonts w:asciiTheme="minorBidi" w:hAnsiTheme="minorBidi" w:cstheme="minorBidi"/>
          <w:sz w:val="20"/>
          <w:szCs w:val="20"/>
        </w:rPr>
        <w:t xml:space="preserve"> however, both may coexist, particularly in patients with prolonged subtherapeutic anticoagulation.</w:t>
      </w:r>
    </w:p>
    <w:p w14:paraId="11A71BA5"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Prosthetic infective endocarditis represents a particularly severe form of endocarditis, associated with high morbidity and mortality. In a study conducted at the CHUL, prosthetic endocarditis accounted for 21.4% of all infective endocarditis cases, whereas Senegalese data report an incidence of 5% (9). These values are consistent with the prevalence observed in our cohort. The dental portal of entry remains the most frequently identified, highlighting the persistent challenge of improving dental hygiene and prophylaxis in low-resource settings. Notably, the absence of prosthesis–patient mismatch in our study suggests that appropriate prosthetic sizing and initial selection were performed, which may have contributed to the reduced incidence of severe early hemodynamic complications.</w:t>
      </w:r>
    </w:p>
    <w:p w14:paraId="52DC3885" w14:textId="77777777" w:rsidR="004C7FEF" w:rsidRPr="00DE1DBE" w:rsidRDefault="000136CC" w:rsidP="004C7FEF">
      <w:pPr>
        <w:pStyle w:val="NormalWeb"/>
        <w:ind w:left="165"/>
        <w:rPr>
          <w:rFonts w:asciiTheme="minorBidi" w:hAnsiTheme="minorBidi" w:cstheme="minorBidi"/>
          <w:sz w:val="20"/>
          <w:szCs w:val="20"/>
        </w:rPr>
      </w:pPr>
      <w:r w:rsidRPr="00DE1DBE">
        <w:rPr>
          <w:rFonts w:asciiTheme="minorBidi" w:hAnsiTheme="minorBidi" w:cstheme="minorBidi"/>
          <w:sz w:val="20"/>
          <w:szCs w:val="20"/>
        </w:rPr>
        <w:t>Echocardiography—particularly Doppler—has firmly established its role as the cornerstone in the follow-up and diagnosis of prosthetic valve dysfunction (10). When integrated with clinical data, transthoracic echocardiography alone may allow the diagnosis of obstructive thrombosis and guide therapeutic decision-making. However, transesophageal echocardiography (TEE) remains the preferred modality for mitral prostheses due to superior visualization of thrombi, pannus, and prosthetic leaflet motion. In our study, the utility of echocardiography was pivotal in identifying both obstructive and non-obstructive complications.</w:t>
      </w:r>
    </w:p>
    <w:p w14:paraId="65712D44" w14:textId="77777777" w:rsidR="000136CC" w:rsidRPr="00DE1DBE" w:rsidRDefault="000136CC" w:rsidP="004C7FEF">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Biological findings in our cohort similarly mirrored regional publications. As described by Oummou S. (11), subtherapeutic INR levels were frequently noted at the time of dysfunction onset, reflecting inconsistent anticoagulation monitoring, which remains one of the major challenges in African and low-income environments. Bivigou A. (12) also highlighted under-anticoagulation as </w:t>
      </w:r>
      <w:proofErr w:type="gramStart"/>
      <w:r w:rsidRPr="00DE1DBE">
        <w:rPr>
          <w:rFonts w:asciiTheme="minorBidi" w:hAnsiTheme="minorBidi" w:cstheme="minorBidi"/>
          <w:sz w:val="20"/>
          <w:szCs w:val="20"/>
        </w:rPr>
        <w:t>a</w:t>
      </w:r>
      <w:proofErr w:type="gramEnd"/>
      <w:r w:rsidRPr="00DE1DBE">
        <w:rPr>
          <w:rFonts w:asciiTheme="minorBidi" w:hAnsiTheme="minorBidi" w:cstheme="minorBidi"/>
          <w:sz w:val="20"/>
          <w:szCs w:val="20"/>
        </w:rPr>
        <w:t xml:space="preserve"> central contributor to mechanical valve thrombosis, reinforcing the need for standardized anticoagulation programs, patient education, and improved accessibility to INR monitoring tools.</w:t>
      </w:r>
    </w:p>
    <w:p w14:paraId="41E27992" w14:textId="77777777" w:rsidR="000136CC" w:rsidRPr="00DE1DBE" w:rsidRDefault="000136CC" w:rsidP="00EE17A6">
      <w:pPr>
        <w:pStyle w:val="NormalWeb"/>
        <w:ind w:left="165"/>
        <w:rPr>
          <w:rFonts w:asciiTheme="minorBidi" w:hAnsiTheme="minorBidi" w:cstheme="minorBidi"/>
          <w:sz w:val="20"/>
          <w:szCs w:val="20"/>
        </w:rPr>
      </w:pPr>
      <w:r w:rsidRPr="00DE1DBE">
        <w:rPr>
          <w:rFonts w:asciiTheme="minorBidi" w:hAnsiTheme="minorBidi" w:cstheme="minorBidi"/>
          <w:sz w:val="20"/>
          <w:szCs w:val="20"/>
        </w:rPr>
        <w:t xml:space="preserve">Regarding therapeutic strategies, our findings echo international recommendations and experience reported by Ma W.G. (13) and Misawa Y. (5). Surgery remains the gold standard for obstructive prosthetic dysfunction, prosthetic endocarditis with complications, or cases where mechanical integrity is compromised. Conversely, fibrinolytic or medical therapies may be considered in selected patients with obstructive thrombosis who present a high surgical risk, or in the absence of contraindications. However, these non-surgical approaches require meticulous monitoring </w:t>
      </w:r>
      <w:r w:rsidRPr="00DE1DBE">
        <w:rPr>
          <w:rFonts w:asciiTheme="minorBidi" w:hAnsiTheme="minorBidi" w:cstheme="minorBidi"/>
          <w:sz w:val="20"/>
          <w:szCs w:val="20"/>
        </w:rPr>
        <w:lastRenderedPageBreak/>
        <w:t>due to risks of embolization or incomplete thrombus resolution. The decision-making process thus requires a careful balance between the urgency of intervention, surgical risk, and availability of advanced therapeutic options</w:t>
      </w:r>
    </w:p>
    <w:p w14:paraId="285EB726" w14:textId="77777777" w:rsidR="00BB4466" w:rsidRPr="00DE1DBE" w:rsidRDefault="00BB4466">
      <w:pPr>
        <w:pStyle w:val="BodyText"/>
        <w:ind w:left="165" w:right="42"/>
        <w:rPr>
          <w:rStyle w:val="Strong"/>
          <w:rFonts w:asciiTheme="minorBidi" w:eastAsia="Times New Roman" w:hAnsiTheme="minorBidi" w:cstheme="minorBidi"/>
          <w:b w:val="0"/>
          <w:bCs w:val="0"/>
          <w:spacing w:val="1"/>
          <w:bdr w:val="single" w:sz="2" w:space="0" w:color="auto" w:frame="1"/>
          <w:lang w:val="fr-FR" w:eastAsia="fr-FR"/>
        </w:rPr>
      </w:pPr>
    </w:p>
    <w:p w14:paraId="54A4EFDD" w14:textId="77777777" w:rsidR="00EE17A6" w:rsidRPr="00DE1DBE" w:rsidRDefault="00EE17A6" w:rsidP="00EE17A6">
      <w:pPr>
        <w:pStyle w:val="Heading1"/>
        <w:rPr>
          <w:rFonts w:asciiTheme="minorBidi" w:eastAsia="Times New Roman" w:hAnsiTheme="minorBidi" w:cstheme="minorBidi"/>
          <w:b w:val="0"/>
          <w:bCs w:val="0"/>
          <w:sz w:val="22"/>
          <w:szCs w:val="22"/>
          <w:lang w:val="fr-FR" w:eastAsia="fr-FR"/>
        </w:rPr>
      </w:pPr>
      <w:r w:rsidRPr="00DE1DBE">
        <w:rPr>
          <w:rFonts w:asciiTheme="minorBidi" w:eastAsia="Times New Roman" w:hAnsiTheme="minorBidi" w:cstheme="minorBidi"/>
          <w:sz w:val="22"/>
          <w:szCs w:val="22"/>
          <w:lang w:val="fr-FR" w:eastAsia="fr-FR"/>
        </w:rPr>
        <w:t>CONCLUSION</w:t>
      </w:r>
    </w:p>
    <w:p w14:paraId="5692E0ED" w14:textId="77777777" w:rsidR="00D2009F" w:rsidRPr="00DE1DBE" w:rsidRDefault="00EE17A6" w:rsidP="00C67186">
      <w:pPr>
        <w:pStyle w:val="NormalWeb"/>
        <w:ind w:left="165"/>
        <w:rPr>
          <w:rFonts w:asciiTheme="minorBidi" w:hAnsiTheme="minorBidi" w:cstheme="minorBidi"/>
          <w:sz w:val="20"/>
          <w:szCs w:val="20"/>
        </w:rPr>
      </w:pPr>
      <w:r w:rsidRPr="00DE1DBE">
        <w:rPr>
          <w:rFonts w:asciiTheme="minorBidi" w:hAnsiTheme="minorBidi" w:cstheme="minorBidi"/>
          <w:sz w:val="20"/>
          <w:szCs w:val="20"/>
        </w:rPr>
        <w:t>This study confirms that thrombosis and pannus are the predominant causes of mechanical prosthetic valve dysfunction in our region. Suboptimal anticoagulation remains a major modifiable risk factor. Regular follow-up, patient education, strict INR monitoring, and timely diagnostic imaging are essential for prevention and optimal management. Valve replacement is the beginning—not the end—of lifelong survei</w:t>
      </w:r>
      <w:r w:rsidR="004C7FEF" w:rsidRPr="00DE1DBE">
        <w:rPr>
          <w:rFonts w:asciiTheme="minorBidi" w:hAnsiTheme="minorBidi" w:cstheme="minorBidi"/>
          <w:sz w:val="20"/>
          <w:szCs w:val="20"/>
        </w:rPr>
        <w:t>llance and adherence to therapy.</w:t>
      </w:r>
      <w:r w:rsidR="00C67186" w:rsidRPr="00DE1DBE">
        <w:rPr>
          <w:rFonts w:asciiTheme="minorBidi" w:hAnsiTheme="minorBidi" w:cstheme="minorBidi"/>
          <w:sz w:val="20"/>
          <w:szCs w:val="20"/>
        </w:rPr>
        <w:t xml:space="preserve"> </w:t>
      </w:r>
    </w:p>
    <w:p w14:paraId="5BCBD6A9" w14:textId="77777777" w:rsidR="00D2009F" w:rsidRPr="00DE1DBE" w:rsidRDefault="00D2009F">
      <w:pPr>
        <w:pStyle w:val="BodyText"/>
        <w:spacing w:before="98"/>
        <w:rPr>
          <w:rFonts w:asciiTheme="minorBidi" w:hAnsiTheme="minorBidi" w:cstheme="minorBidi"/>
        </w:rPr>
      </w:pPr>
    </w:p>
    <w:p w14:paraId="35F7072F" w14:textId="77777777" w:rsidR="00C67186" w:rsidRPr="00DE1DBE" w:rsidRDefault="00C67186">
      <w:pPr>
        <w:pStyle w:val="BodyText"/>
        <w:spacing w:before="98"/>
        <w:rPr>
          <w:rFonts w:asciiTheme="minorBidi" w:hAnsiTheme="minorBidi" w:cstheme="minorBidi"/>
        </w:rPr>
      </w:pPr>
    </w:p>
    <w:p w14:paraId="60DB5E3A" w14:textId="77777777" w:rsidR="00D2009F" w:rsidRPr="00DE1DBE" w:rsidRDefault="002251E9" w:rsidP="00C67186">
      <w:pPr>
        <w:pStyle w:val="Heading1"/>
        <w:rPr>
          <w:rFonts w:asciiTheme="minorBidi" w:eastAsia="Times New Roman" w:hAnsiTheme="minorBidi" w:cstheme="minorBidi"/>
          <w:sz w:val="22"/>
          <w:szCs w:val="22"/>
          <w:lang w:val="fr-FR" w:eastAsia="fr-FR"/>
        </w:rPr>
      </w:pPr>
      <w:r w:rsidRPr="00DE1DBE">
        <w:rPr>
          <w:rFonts w:asciiTheme="minorBidi" w:eastAsia="Times New Roman" w:hAnsiTheme="minorBidi" w:cstheme="minorBidi"/>
          <w:sz w:val="22"/>
          <w:szCs w:val="22"/>
          <w:lang w:val="fr-FR" w:eastAsia="fr-FR"/>
        </w:rPr>
        <w:t>References :</w:t>
      </w:r>
    </w:p>
    <w:p w14:paraId="5ABAD433" w14:textId="77777777" w:rsidR="00D2009F" w:rsidRPr="00DE1DBE" w:rsidRDefault="00D2009F">
      <w:pPr>
        <w:pStyle w:val="BodyText"/>
        <w:spacing w:before="206"/>
        <w:rPr>
          <w:rFonts w:asciiTheme="minorBidi" w:eastAsia="Times New Roman" w:hAnsiTheme="minorBidi" w:cstheme="minorBidi"/>
        </w:rPr>
      </w:pPr>
    </w:p>
    <w:p w14:paraId="4C6B8F67" w14:textId="172DB1CF" w:rsidR="00D2009F" w:rsidRPr="00DE1DBE" w:rsidRDefault="002251E9">
      <w:pPr>
        <w:pStyle w:val="ListParagraph"/>
        <w:numPr>
          <w:ilvl w:val="0"/>
          <w:numId w:val="1"/>
        </w:numPr>
        <w:tabs>
          <w:tab w:val="left" w:pos="1221"/>
        </w:tabs>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Adere A, Bedru M, Afework M. Etiologies and Patterns of Valvular Heart Disease Among Cardiac Patients at the Cardiac Center of Ethiopia During February 2000 to April 2022. Int J Gen Med. 4 juill </w:t>
      </w:r>
      <w:proofErr w:type="gramStart"/>
      <w:r w:rsidRPr="00DE1DBE">
        <w:rPr>
          <w:rFonts w:asciiTheme="minorBidi" w:eastAsia="Times New Roman" w:hAnsiTheme="minorBidi" w:cstheme="minorBidi"/>
          <w:sz w:val="20"/>
          <w:szCs w:val="20"/>
        </w:rPr>
        <w:t>2023;16:2849</w:t>
      </w:r>
      <w:proofErr w:type="gramEnd"/>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56.</w:t>
      </w:r>
      <w:r w:rsidR="00F95599" w:rsidRPr="00F95599">
        <w:t xml:space="preserve"> </w:t>
      </w:r>
      <w:hyperlink r:id="rId17" w:history="1">
        <w:r w:rsidR="00F95599" w:rsidRPr="007431B5">
          <w:rPr>
            <w:rStyle w:val="Hyperlink"/>
            <w:rFonts w:asciiTheme="minorBidi" w:eastAsia="Times New Roman" w:hAnsiTheme="minorBidi" w:cstheme="minorBidi"/>
            <w:sz w:val="20"/>
            <w:szCs w:val="20"/>
          </w:rPr>
          <w:t>https://doi.org/10.2147/IJGM.S420591</w:t>
        </w:r>
      </w:hyperlink>
      <w:r w:rsidR="00F95599">
        <w:rPr>
          <w:rFonts w:asciiTheme="minorBidi" w:eastAsia="Times New Roman" w:hAnsiTheme="minorBidi" w:cstheme="minorBidi"/>
          <w:sz w:val="20"/>
          <w:szCs w:val="20"/>
        </w:rPr>
        <w:t xml:space="preserve"> </w:t>
      </w:r>
    </w:p>
    <w:p w14:paraId="55694B51" w14:textId="519BB537" w:rsidR="00D2009F" w:rsidRPr="00DE1DBE" w:rsidRDefault="002251E9">
      <w:pPr>
        <w:pStyle w:val="ListParagraph"/>
        <w:numPr>
          <w:ilvl w:val="0"/>
          <w:numId w:val="1"/>
        </w:numPr>
        <w:tabs>
          <w:tab w:val="left" w:pos="1221"/>
        </w:tabs>
        <w:spacing w:before="248"/>
        <w:ind w:right="158"/>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Rahimtoola SH. Choice of Prosthetic Heart Valve in Adults. J Am Coll Cardiol. juin 2010;55(22):2413</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26.</w:t>
      </w:r>
      <w:r w:rsidR="00841C7B" w:rsidRPr="00841C7B">
        <w:t xml:space="preserve"> </w:t>
      </w:r>
      <w:hyperlink r:id="rId18" w:history="1">
        <w:r w:rsidR="00841C7B" w:rsidRPr="007431B5">
          <w:rPr>
            <w:rStyle w:val="Hyperlink"/>
            <w:rFonts w:asciiTheme="minorBidi" w:eastAsia="Times New Roman" w:hAnsiTheme="minorBidi" w:cstheme="minorBidi"/>
            <w:sz w:val="20"/>
            <w:szCs w:val="20"/>
          </w:rPr>
          <w:t>https://doi.org/10.1016/j.jacc.2009.10.085</w:t>
        </w:r>
      </w:hyperlink>
      <w:r w:rsidR="00841C7B">
        <w:rPr>
          <w:rFonts w:asciiTheme="minorBidi" w:eastAsia="Times New Roman" w:hAnsiTheme="minorBidi" w:cstheme="minorBidi"/>
          <w:sz w:val="20"/>
          <w:szCs w:val="20"/>
        </w:rPr>
        <w:t xml:space="preserve"> </w:t>
      </w:r>
    </w:p>
    <w:p w14:paraId="437B47A7" w14:textId="77777777" w:rsidR="00D2009F" w:rsidRPr="00DE1DBE" w:rsidRDefault="00D2009F">
      <w:pPr>
        <w:pStyle w:val="BodyText"/>
        <w:spacing w:before="1"/>
        <w:rPr>
          <w:rFonts w:asciiTheme="minorBidi" w:eastAsia="Times New Roman" w:hAnsiTheme="minorBidi" w:cstheme="minorBidi"/>
        </w:rPr>
      </w:pPr>
    </w:p>
    <w:p w14:paraId="6B78BAB7" w14:textId="222B1280" w:rsidR="00D2009F" w:rsidRPr="00DE1DBE" w:rsidRDefault="002251E9">
      <w:pPr>
        <w:pStyle w:val="ListParagraph"/>
        <w:numPr>
          <w:ilvl w:val="0"/>
          <w:numId w:val="1"/>
        </w:numPr>
        <w:tabs>
          <w:tab w:val="left" w:pos="1221"/>
        </w:tabs>
        <w:spacing w:before="1"/>
        <w:ind w:right="154"/>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Gürsoy MO, Kalçık M, Yesin M, Karakoyun S, Bayam E, Gündüz S, et al. A global perspective on mechanical prosthetic heart valve thrombosis: Diagnostic and therapeutic challenges. Anatol J Cardiol. déc 2016;16(12):980</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9.</w:t>
      </w:r>
      <w:r w:rsidR="000D19D1" w:rsidRPr="000D19D1">
        <w:t xml:space="preserve"> </w:t>
      </w:r>
      <w:hyperlink r:id="rId19" w:history="1">
        <w:r w:rsidR="000D19D1" w:rsidRPr="007431B5">
          <w:rPr>
            <w:rStyle w:val="Hyperlink"/>
            <w:rFonts w:asciiTheme="minorBidi" w:eastAsia="Times New Roman" w:hAnsiTheme="minorBidi" w:cstheme="minorBidi"/>
            <w:sz w:val="20"/>
            <w:szCs w:val="20"/>
          </w:rPr>
          <w:t>https://doi.org/10.14744/AnatolJCardiol.2016.7486</w:t>
        </w:r>
      </w:hyperlink>
      <w:r w:rsidR="000D19D1">
        <w:rPr>
          <w:rFonts w:asciiTheme="minorBidi" w:eastAsia="Times New Roman" w:hAnsiTheme="minorBidi" w:cstheme="minorBidi"/>
          <w:sz w:val="20"/>
          <w:szCs w:val="20"/>
        </w:rPr>
        <w:t xml:space="preserve"> </w:t>
      </w:r>
    </w:p>
    <w:p w14:paraId="119FF1A6" w14:textId="77777777" w:rsidR="00D2009F" w:rsidRPr="00DE1DBE" w:rsidRDefault="00D2009F">
      <w:pPr>
        <w:pStyle w:val="BodyText"/>
        <w:spacing w:before="1"/>
        <w:rPr>
          <w:rFonts w:asciiTheme="minorBidi" w:eastAsia="Times New Roman" w:hAnsiTheme="minorBidi" w:cstheme="minorBidi"/>
        </w:rPr>
      </w:pPr>
    </w:p>
    <w:p w14:paraId="400627D3" w14:textId="4F64B7DB" w:rsidR="00D2009F" w:rsidRPr="008E66E8" w:rsidRDefault="002251E9">
      <w:pPr>
        <w:pStyle w:val="ListParagraph"/>
        <w:numPr>
          <w:ilvl w:val="0"/>
          <w:numId w:val="1"/>
        </w:numPr>
        <w:tabs>
          <w:tab w:val="left" w:pos="1221"/>
        </w:tabs>
        <w:spacing w:before="1" w:line="235" w:lineRule="auto"/>
        <w:ind w:right="248"/>
        <w:rPr>
          <w:rFonts w:asciiTheme="minorBidi" w:eastAsia="Times New Roman" w:hAnsiTheme="minorBidi" w:cstheme="minorBidi"/>
          <w:sz w:val="20"/>
          <w:szCs w:val="20"/>
          <w:lang w:val="es-US"/>
        </w:rPr>
      </w:pPr>
      <w:r w:rsidRPr="00DE1DBE">
        <w:rPr>
          <w:rFonts w:asciiTheme="minorBidi" w:eastAsia="Times New Roman" w:hAnsiTheme="minorBidi" w:cstheme="minorBidi"/>
          <w:sz w:val="20"/>
          <w:szCs w:val="20"/>
        </w:rPr>
        <w:t xml:space="preserve">H. </w:t>
      </w:r>
      <w:proofErr w:type="gramStart"/>
      <w:r w:rsidRPr="00DE1DBE">
        <w:rPr>
          <w:rFonts w:asciiTheme="minorBidi" w:eastAsia="Times New Roman" w:hAnsiTheme="minorBidi" w:cstheme="minorBidi"/>
          <w:sz w:val="20"/>
          <w:szCs w:val="20"/>
        </w:rPr>
        <w:t>Kabbaj ,</w:t>
      </w:r>
      <w:proofErr w:type="gramEnd"/>
      <w:r w:rsidRPr="00DE1DBE">
        <w:rPr>
          <w:rFonts w:asciiTheme="minorBidi" w:eastAsia="Times New Roman" w:hAnsiTheme="minorBidi" w:cstheme="minorBidi"/>
          <w:sz w:val="20"/>
          <w:szCs w:val="20"/>
        </w:rPr>
        <w:t xml:space="preserve"> J. D. Srairi, W. Akalay, MH. </w:t>
      </w:r>
      <w:r w:rsidRPr="008E66E8">
        <w:rPr>
          <w:rFonts w:asciiTheme="minorBidi" w:eastAsia="Times New Roman" w:hAnsiTheme="minorBidi" w:cstheme="minorBidi"/>
          <w:sz w:val="20"/>
          <w:szCs w:val="20"/>
          <w:lang w:val="es-US"/>
        </w:rPr>
        <w:t xml:space="preserve">Benomar, M. </w:t>
      </w:r>
      <w:proofErr w:type="gramStart"/>
      <w:r w:rsidRPr="008E66E8">
        <w:rPr>
          <w:rFonts w:asciiTheme="minorBidi" w:eastAsia="Times New Roman" w:hAnsiTheme="minorBidi" w:cstheme="minorBidi"/>
          <w:sz w:val="20"/>
          <w:szCs w:val="20"/>
          <w:lang w:val="es-US"/>
        </w:rPr>
        <w:t>Benomar .Complication</w:t>
      </w:r>
      <w:proofErr w:type="gramEnd"/>
      <w:r w:rsidRPr="008E66E8">
        <w:rPr>
          <w:rFonts w:asciiTheme="minorBidi" w:eastAsia="Times New Roman" w:hAnsiTheme="minorBidi" w:cstheme="minorBidi"/>
          <w:sz w:val="20"/>
          <w:szCs w:val="20"/>
          <w:lang w:val="es-US"/>
        </w:rPr>
        <w:t xml:space="preserve"> de l’anticoagulation inefficace : la thrombose des prothèses valvulaires cardiaques 2022</w:t>
      </w:r>
      <w:r w:rsidR="00061ED3">
        <w:rPr>
          <w:rFonts w:asciiTheme="minorBidi" w:eastAsia="Times New Roman" w:hAnsiTheme="minorBidi" w:cstheme="minorBidi"/>
          <w:sz w:val="20"/>
          <w:szCs w:val="20"/>
          <w:lang w:val="es-US"/>
        </w:rPr>
        <w:t>.</w:t>
      </w:r>
      <w:r w:rsidR="00061ED3" w:rsidRPr="00061ED3">
        <w:t xml:space="preserve"> </w:t>
      </w:r>
      <w:hyperlink r:id="rId20" w:history="1">
        <w:r w:rsidR="00061ED3" w:rsidRPr="007431B5">
          <w:rPr>
            <w:rStyle w:val="Hyperlink"/>
            <w:rFonts w:asciiTheme="minorBidi" w:eastAsia="Times New Roman" w:hAnsiTheme="minorBidi" w:cstheme="minorBidi"/>
            <w:sz w:val="20"/>
            <w:szCs w:val="20"/>
            <w:lang w:val="es-US"/>
          </w:rPr>
          <w:t>https://doi.org/10.48408/IMIST.PRSM/mm-v26i1.954</w:t>
        </w:r>
      </w:hyperlink>
      <w:r w:rsidR="00061ED3">
        <w:rPr>
          <w:rFonts w:asciiTheme="minorBidi" w:eastAsia="Times New Roman" w:hAnsiTheme="minorBidi" w:cstheme="minorBidi"/>
          <w:sz w:val="20"/>
          <w:szCs w:val="20"/>
          <w:lang w:val="es-US"/>
        </w:rPr>
        <w:t xml:space="preserve"> </w:t>
      </w:r>
    </w:p>
    <w:p w14:paraId="47329E2C" w14:textId="77777777" w:rsidR="00D2009F" w:rsidRPr="008E66E8" w:rsidRDefault="00D2009F">
      <w:pPr>
        <w:pStyle w:val="BodyText"/>
        <w:spacing w:before="23"/>
        <w:rPr>
          <w:rFonts w:asciiTheme="minorBidi" w:eastAsia="Times New Roman" w:hAnsiTheme="minorBidi" w:cstheme="minorBidi"/>
          <w:lang w:val="es-US"/>
        </w:rPr>
      </w:pPr>
    </w:p>
    <w:p w14:paraId="7BEAD3A0" w14:textId="32B3A231" w:rsidR="00D2009F" w:rsidRPr="00DE1DBE" w:rsidRDefault="002251E9">
      <w:pPr>
        <w:pStyle w:val="ListParagraph"/>
        <w:numPr>
          <w:ilvl w:val="0"/>
          <w:numId w:val="1"/>
        </w:numPr>
        <w:tabs>
          <w:tab w:val="left" w:pos="1221"/>
        </w:tabs>
        <w:spacing w:line="244" w:lineRule="auto"/>
        <w:ind w:right="1209"/>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Misawa Y. Valve-related complications after mechanical heart valve implantation. Surg Today 2015 ;45 (10):1205–9.</w:t>
      </w:r>
      <w:r w:rsidR="00ED09CF" w:rsidRPr="00ED09CF">
        <w:t xml:space="preserve"> </w:t>
      </w:r>
      <w:hyperlink r:id="rId21" w:history="1">
        <w:r w:rsidR="00ED09CF" w:rsidRPr="007431B5">
          <w:rPr>
            <w:rStyle w:val="Hyperlink"/>
            <w:rFonts w:asciiTheme="minorBidi" w:eastAsia="Times New Roman" w:hAnsiTheme="minorBidi" w:cstheme="minorBidi"/>
            <w:sz w:val="20"/>
            <w:szCs w:val="20"/>
          </w:rPr>
          <w:t>https://doi.org/10.1007/s00595-014-1104-0</w:t>
        </w:r>
      </w:hyperlink>
      <w:r w:rsidR="00ED09CF">
        <w:rPr>
          <w:rFonts w:asciiTheme="minorBidi" w:eastAsia="Times New Roman" w:hAnsiTheme="minorBidi" w:cstheme="minorBidi"/>
          <w:sz w:val="20"/>
          <w:szCs w:val="20"/>
        </w:rPr>
        <w:t xml:space="preserve"> </w:t>
      </w:r>
    </w:p>
    <w:p w14:paraId="7AC59290" w14:textId="77777777" w:rsidR="00D2009F" w:rsidRPr="00DE1DBE" w:rsidRDefault="00D2009F">
      <w:pPr>
        <w:pStyle w:val="BodyText"/>
        <w:spacing w:before="20"/>
        <w:rPr>
          <w:rFonts w:asciiTheme="minorBidi" w:eastAsia="Times New Roman" w:hAnsiTheme="minorBidi" w:cstheme="minorBidi"/>
        </w:rPr>
      </w:pPr>
    </w:p>
    <w:p w14:paraId="08949ED1" w14:textId="44EF4FAE" w:rsidR="00D2009F" w:rsidRPr="00DE1DBE" w:rsidRDefault="002251E9">
      <w:pPr>
        <w:pStyle w:val="ListParagraph"/>
        <w:numPr>
          <w:ilvl w:val="0"/>
          <w:numId w:val="1"/>
        </w:numPr>
        <w:tabs>
          <w:tab w:val="left" w:pos="1221"/>
        </w:tabs>
        <w:ind w:right="424"/>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Oummou S, Abardazzou A, Karimi S, Benzeroual D, Elhattaoui M. The Contribution of Echocardiography in the Dysfunctions of Mechanical Prosthesis: Report of 11 Cases. Cardiol Res Cardiovasc Med [Internet]. 20 déc 2016 [cité 27 oct 2025]</w:t>
      </w:r>
      <w:r w:rsidR="00331BF2" w:rsidRPr="00331BF2">
        <w:t xml:space="preserve"> </w:t>
      </w:r>
      <w:hyperlink r:id="rId22" w:history="1">
        <w:r w:rsidR="00331BF2" w:rsidRPr="007431B5">
          <w:rPr>
            <w:rStyle w:val="Hyperlink"/>
            <w:rFonts w:asciiTheme="minorBidi" w:eastAsia="Times New Roman" w:hAnsiTheme="minorBidi" w:cstheme="minorBidi"/>
            <w:sz w:val="20"/>
            <w:szCs w:val="20"/>
          </w:rPr>
          <w:t>https://doi.org/10.29011/CRCM-110.100010</w:t>
        </w:r>
      </w:hyperlink>
      <w:r w:rsidR="00331BF2">
        <w:rPr>
          <w:rFonts w:asciiTheme="minorBidi" w:eastAsia="Times New Roman" w:hAnsiTheme="minorBidi" w:cstheme="minorBidi"/>
          <w:sz w:val="20"/>
          <w:szCs w:val="20"/>
        </w:rPr>
        <w:t xml:space="preserve"> </w:t>
      </w:r>
    </w:p>
    <w:p w14:paraId="489D7F2F" w14:textId="28308D4C" w:rsidR="00D2009F" w:rsidRPr="00DE1DBE" w:rsidRDefault="002251E9">
      <w:pPr>
        <w:pStyle w:val="ListParagraph"/>
        <w:numPr>
          <w:ilvl w:val="0"/>
          <w:numId w:val="1"/>
        </w:numPr>
        <w:tabs>
          <w:tab w:val="left" w:pos="1221"/>
        </w:tabs>
        <w:spacing w:before="248" w:line="249" w:lineRule="auto"/>
        <w:ind w:right="503"/>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Bivigou AE, Akagha Konde C, Kinga A, Ndjibah Alakoua L, Kouna Ndouongo P. Complications des prothèses valvulaires </w:t>
      </w:r>
      <w:proofErr w:type="gramStart"/>
      <w:r w:rsidRPr="00DE1DBE">
        <w:rPr>
          <w:rFonts w:asciiTheme="minorBidi" w:eastAsia="Times New Roman" w:hAnsiTheme="minorBidi" w:cstheme="minorBidi"/>
          <w:sz w:val="20"/>
          <w:szCs w:val="20"/>
        </w:rPr>
        <w:t>mécaniques :</w:t>
      </w:r>
      <w:proofErr w:type="gramEnd"/>
      <w:r w:rsidRPr="00DE1DBE">
        <w:rPr>
          <w:rFonts w:asciiTheme="minorBidi" w:eastAsia="Times New Roman" w:hAnsiTheme="minorBidi" w:cstheme="minorBidi"/>
          <w:sz w:val="20"/>
          <w:szCs w:val="20"/>
        </w:rPr>
        <w:t xml:space="preserve"> à propos de cinq cas / Complications of mechanical prosthetic heart valves: about five cases. Bull Med Owendo 2022. 20(51):80</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4.</w:t>
      </w:r>
      <w:r w:rsidR="004F337B" w:rsidRPr="004F337B">
        <w:t xml:space="preserve"> </w:t>
      </w:r>
      <w:hyperlink r:id="rId23" w:history="1">
        <w:r w:rsidR="004F337B" w:rsidRPr="007431B5">
          <w:rPr>
            <w:rStyle w:val="Hyperlink"/>
            <w:rFonts w:asciiTheme="minorBidi" w:eastAsia="Times New Roman" w:hAnsiTheme="minorBidi" w:cstheme="minorBidi"/>
            <w:sz w:val="20"/>
            <w:szCs w:val="20"/>
          </w:rPr>
          <w:t>https://bulletinmedicaldowendo.com/bmovol2051-22-80-84/</w:t>
        </w:r>
      </w:hyperlink>
      <w:r w:rsidR="004F337B">
        <w:rPr>
          <w:rFonts w:asciiTheme="minorBidi" w:eastAsia="Times New Roman" w:hAnsiTheme="minorBidi" w:cstheme="minorBidi"/>
          <w:sz w:val="20"/>
          <w:szCs w:val="20"/>
        </w:rPr>
        <w:t xml:space="preserve"> </w:t>
      </w:r>
    </w:p>
    <w:p w14:paraId="5D24FDF2" w14:textId="01BAC5DF" w:rsidR="00D2009F" w:rsidRPr="00DE1DBE" w:rsidRDefault="002251E9">
      <w:pPr>
        <w:pStyle w:val="ListParagraph"/>
        <w:numPr>
          <w:ilvl w:val="0"/>
          <w:numId w:val="1"/>
        </w:numPr>
        <w:tabs>
          <w:tab w:val="left" w:pos="1221"/>
        </w:tabs>
        <w:spacing w:before="232"/>
        <w:rPr>
          <w:rFonts w:asciiTheme="minorBidi" w:eastAsia="Times New Roman" w:hAnsiTheme="minorBidi" w:cstheme="minorBidi"/>
          <w:sz w:val="20"/>
          <w:szCs w:val="20"/>
        </w:rPr>
      </w:pPr>
      <w:r w:rsidRPr="008E66E8">
        <w:rPr>
          <w:rFonts w:asciiTheme="minorBidi" w:eastAsia="Times New Roman" w:hAnsiTheme="minorBidi" w:cstheme="minorBidi"/>
          <w:sz w:val="20"/>
          <w:szCs w:val="20"/>
          <w:lang w:val="es-US"/>
        </w:rPr>
        <w:t xml:space="preserve">Toker ME, Eren E, Balkanay M, et al. </w:t>
      </w:r>
      <w:r w:rsidRPr="00DE1DBE">
        <w:rPr>
          <w:rFonts w:asciiTheme="minorBidi" w:eastAsia="Times New Roman" w:hAnsiTheme="minorBidi" w:cstheme="minorBidi"/>
          <w:sz w:val="20"/>
          <w:szCs w:val="20"/>
        </w:rPr>
        <w:t>Multivariate analysis for operative mortality in obstructive prosthetic valve dysfunction due to pannus and thrombus formation. Int Heart J 2006; 47:237-45</w:t>
      </w:r>
      <w:r w:rsidR="001826AD">
        <w:rPr>
          <w:rFonts w:asciiTheme="minorBidi" w:eastAsia="Times New Roman" w:hAnsiTheme="minorBidi" w:cstheme="minorBidi"/>
          <w:sz w:val="20"/>
          <w:szCs w:val="20"/>
        </w:rPr>
        <w:t>.</w:t>
      </w:r>
      <w:r w:rsidR="001826AD" w:rsidRPr="001826AD">
        <w:t xml:space="preserve"> </w:t>
      </w:r>
      <w:hyperlink r:id="rId24" w:history="1">
        <w:r w:rsidR="001826AD" w:rsidRPr="007431B5">
          <w:rPr>
            <w:rStyle w:val="Hyperlink"/>
            <w:rFonts w:asciiTheme="minorBidi" w:eastAsia="Times New Roman" w:hAnsiTheme="minorBidi" w:cstheme="minorBidi"/>
            <w:sz w:val="20"/>
            <w:szCs w:val="20"/>
          </w:rPr>
          <w:t>https://doi.org/10.1536/ihj.47.237</w:t>
        </w:r>
      </w:hyperlink>
      <w:r w:rsidR="001826AD">
        <w:rPr>
          <w:rFonts w:asciiTheme="minorBidi" w:eastAsia="Times New Roman" w:hAnsiTheme="minorBidi" w:cstheme="minorBidi"/>
          <w:sz w:val="20"/>
          <w:szCs w:val="20"/>
        </w:rPr>
        <w:t xml:space="preserve"> </w:t>
      </w:r>
    </w:p>
    <w:p w14:paraId="6F2F1EE1" w14:textId="77777777" w:rsidR="00D2009F" w:rsidRPr="00DE1DBE" w:rsidRDefault="00D2009F">
      <w:pPr>
        <w:pStyle w:val="BodyText"/>
        <w:rPr>
          <w:rFonts w:asciiTheme="minorBidi" w:eastAsia="Times New Roman" w:hAnsiTheme="minorBidi" w:cstheme="minorBidi"/>
        </w:rPr>
      </w:pPr>
    </w:p>
    <w:p w14:paraId="7DC08224" w14:textId="77777777" w:rsidR="00D2009F" w:rsidRPr="00DE1DBE" w:rsidRDefault="00D2009F">
      <w:pPr>
        <w:pStyle w:val="BodyText"/>
        <w:spacing w:before="7"/>
        <w:rPr>
          <w:rFonts w:asciiTheme="minorBidi" w:eastAsia="Times New Roman" w:hAnsiTheme="minorBidi" w:cstheme="minorBidi"/>
        </w:rPr>
      </w:pPr>
    </w:p>
    <w:p w14:paraId="5D4D8833" w14:textId="50273789" w:rsidR="00D2009F" w:rsidRPr="00DE1DBE" w:rsidRDefault="002251E9">
      <w:pPr>
        <w:pStyle w:val="ListParagraph"/>
        <w:numPr>
          <w:ilvl w:val="0"/>
          <w:numId w:val="1"/>
        </w:numPr>
        <w:tabs>
          <w:tab w:val="left" w:pos="1221"/>
        </w:tabs>
        <w:spacing w:line="237" w:lineRule="auto"/>
        <w:ind w:right="551"/>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Roudant R., M, Lorient F. – </w:t>
      </w:r>
      <w:proofErr w:type="gramStart"/>
      <w:r w:rsidRPr="00DE1DBE">
        <w:rPr>
          <w:rFonts w:asciiTheme="minorBidi" w:eastAsia="Times New Roman" w:hAnsiTheme="minorBidi" w:cstheme="minorBidi"/>
          <w:sz w:val="20"/>
          <w:szCs w:val="20"/>
        </w:rPr>
        <w:t>Roudant :</w:t>
      </w:r>
      <w:proofErr w:type="gramEnd"/>
      <w:r w:rsidRPr="00DE1DBE">
        <w:rPr>
          <w:rFonts w:asciiTheme="minorBidi" w:eastAsia="Times New Roman" w:hAnsiTheme="minorBidi" w:cstheme="minorBidi"/>
          <w:sz w:val="20"/>
          <w:szCs w:val="20"/>
        </w:rPr>
        <w:t xml:space="preserve"> Traitement antithrombotique chez le porteur de prothèse valvulaire mécanique. Archives des maladies du coeur et des vaisseaux 2006</w:t>
      </w:r>
      <w:r w:rsidR="00552889">
        <w:rPr>
          <w:rFonts w:asciiTheme="minorBidi" w:eastAsia="Times New Roman" w:hAnsiTheme="minorBidi" w:cstheme="minorBidi"/>
          <w:sz w:val="20"/>
          <w:szCs w:val="20"/>
        </w:rPr>
        <w:t>.</w:t>
      </w:r>
    </w:p>
    <w:p w14:paraId="026F06BD" w14:textId="77777777" w:rsidR="00D2009F" w:rsidRPr="00DE1DBE" w:rsidRDefault="00D2009F">
      <w:pPr>
        <w:pStyle w:val="BodyText"/>
        <w:spacing w:before="4"/>
        <w:rPr>
          <w:rFonts w:asciiTheme="minorBidi" w:eastAsia="Times New Roman" w:hAnsiTheme="minorBidi" w:cstheme="minorBidi"/>
        </w:rPr>
      </w:pPr>
    </w:p>
    <w:p w14:paraId="5E929A08" w14:textId="683B0C35" w:rsidR="00D2009F" w:rsidRPr="001C3219" w:rsidRDefault="002251E9" w:rsidP="001C3219">
      <w:pPr>
        <w:pStyle w:val="ListParagraph"/>
        <w:numPr>
          <w:ilvl w:val="0"/>
          <w:numId w:val="1"/>
        </w:numPr>
        <w:tabs>
          <w:tab w:val="left" w:pos="1217"/>
        </w:tabs>
        <w:ind w:left="1217" w:right="0" w:hanging="717"/>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 xml:space="preserve">H. </w:t>
      </w:r>
      <w:proofErr w:type="gramStart"/>
      <w:r w:rsidRPr="00DE1DBE">
        <w:rPr>
          <w:rFonts w:asciiTheme="minorBidi" w:eastAsia="Times New Roman" w:hAnsiTheme="minorBidi" w:cstheme="minorBidi"/>
          <w:sz w:val="20"/>
          <w:szCs w:val="20"/>
        </w:rPr>
        <w:t>Kabbaj ,</w:t>
      </w:r>
      <w:proofErr w:type="gramEnd"/>
      <w:r w:rsidRPr="00DE1DBE">
        <w:rPr>
          <w:rFonts w:asciiTheme="minorBidi" w:eastAsia="Times New Roman" w:hAnsiTheme="minorBidi" w:cstheme="minorBidi"/>
          <w:sz w:val="20"/>
          <w:szCs w:val="20"/>
        </w:rPr>
        <w:t xml:space="preserve"> J. D. Srairi, W. Akalay, MH. Benomar, M. Benomar</w:t>
      </w:r>
      <w:r w:rsidRPr="001C3219">
        <w:rPr>
          <w:rFonts w:asciiTheme="minorBidi" w:eastAsia="Times New Roman" w:hAnsiTheme="minorBidi" w:cstheme="minorBidi"/>
          <w:sz w:val="20"/>
          <w:szCs w:val="20"/>
        </w:rPr>
        <w:t>.Complication de l’anticoagulation</w:t>
      </w:r>
      <w:r w:rsidR="001C3219">
        <w:rPr>
          <w:rFonts w:asciiTheme="minorBidi" w:eastAsia="Times New Roman" w:hAnsiTheme="minorBidi" w:cstheme="minorBidi"/>
          <w:sz w:val="20"/>
          <w:szCs w:val="20"/>
        </w:rPr>
        <w:t xml:space="preserve"> </w:t>
      </w:r>
      <w:proofErr w:type="gramStart"/>
      <w:r w:rsidRPr="001C3219">
        <w:rPr>
          <w:rFonts w:asciiTheme="minorBidi" w:eastAsia="Times New Roman" w:hAnsiTheme="minorBidi" w:cstheme="minorBidi"/>
          <w:sz w:val="20"/>
          <w:szCs w:val="20"/>
        </w:rPr>
        <w:t>inefficace :</w:t>
      </w:r>
      <w:proofErr w:type="gramEnd"/>
      <w:r w:rsidRPr="001C3219">
        <w:rPr>
          <w:rFonts w:asciiTheme="minorBidi" w:eastAsia="Times New Roman" w:hAnsiTheme="minorBidi" w:cstheme="minorBidi"/>
          <w:sz w:val="20"/>
          <w:szCs w:val="20"/>
        </w:rPr>
        <w:t xml:space="preserve"> la thrombose desprothèses valvulaires cardiaques 2022</w:t>
      </w:r>
      <w:r w:rsidR="00C67A41">
        <w:rPr>
          <w:rFonts w:asciiTheme="minorBidi" w:eastAsia="Times New Roman" w:hAnsiTheme="minorBidi" w:cstheme="minorBidi"/>
          <w:sz w:val="20"/>
          <w:szCs w:val="20"/>
        </w:rPr>
        <w:t>.</w:t>
      </w:r>
      <w:r w:rsidR="00C67A41" w:rsidRPr="00C67A41">
        <w:t xml:space="preserve"> </w:t>
      </w:r>
      <w:hyperlink r:id="rId25" w:history="1">
        <w:r w:rsidR="00C67A41" w:rsidRPr="007431B5">
          <w:rPr>
            <w:rStyle w:val="Hyperlink"/>
            <w:rFonts w:asciiTheme="minorBidi" w:eastAsia="Times New Roman" w:hAnsiTheme="minorBidi" w:cstheme="minorBidi"/>
            <w:sz w:val="20"/>
            <w:szCs w:val="20"/>
          </w:rPr>
          <w:t>https://doi.org/10.48408/IMIST.PRSM/mm-v26i1.954</w:t>
        </w:r>
      </w:hyperlink>
      <w:r w:rsidR="00C67A41">
        <w:rPr>
          <w:rFonts w:asciiTheme="minorBidi" w:eastAsia="Times New Roman" w:hAnsiTheme="minorBidi" w:cstheme="minorBidi"/>
          <w:sz w:val="20"/>
          <w:szCs w:val="20"/>
        </w:rPr>
        <w:t xml:space="preserve"> </w:t>
      </w:r>
    </w:p>
    <w:p w14:paraId="392C1B38" w14:textId="77777777" w:rsidR="00D2009F" w:rsidRPr="00DE1DBE" w:rsidRDefault="00D2009F">
      <w:pPr>
        <w:pStyle w:val="BodyText"/>
        <w:spacing w:before="246"/>
        <w:rPr>
          <w:rFonts w:asciiTheme="minorBidi" w:eastAsia="Times New Roman" w:hAnsiTheme="minorBidi" w:cstheme="minorBidi"/>
        </w:rPr>
      </w:pPr>
    </w:p>
    <w:p w14:paraId="6C1D05EA" w14:textId="275E9588" w:rsidR="00D2009F" w:rsidRPr="00DE1DBE" w:rsidRDefault="002251E9">
      <w:pPr>
        <w:pStyle w:val="ListParagraph"/>
        <w:numPr>
          <w:ilvl w:val="0"/>
          <w:numId w:val="1"/>
        </w:numPr>
        <w:tabs>
          <w:tab w:val="left" w:pos="1218"/>
          <w:tab w:val="left" w:pos="1221"/>
        </w:tabs>
        <w:ind w:right="943"/>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Molina DK, DiMaio VJM. Normal organ weights in men: part I-the heart. Am J Forensic Med Pathol. déc 2012;33(4):362</w:t>
      </w:r>
      <w:r w:rsidRPr="00DE1DBE">
        <w:rPr>
          <w:rFonts w:ascii="Cambria Math" w:eastAsia="Times New Roman" w:hAnsi="Cambria Math" w:cs="Cambria Math"/>
          <w:sz w:val="20"/>
          <w:szCs w:val="20"/>
        </w:rPr>
        <w:t>‑</w:t>
      </w:r>
      <w:r w:rsidRPr="00DE1DBE">
        <w:rPr>
          <w:rFonts w:asciiTheme="minorBidi" w:eastAsia="Times New Roman" w:hAnsiTheme="minorBidi" w:cstheme="minorBidi"/>
          <w:sz w:val="20"/>
          <w:szCs w:val="20"/>
        </w:rPr>
        <w:t>7.</w:t>
      </w:r>
      <w:r w:rsidR="003B7EB3" w:rsidRPr="003B7EB3">
        <w:t xml:space="preserve"> </w:t>
      </w:r>
      <w:hyperlink r:id="rId26" w:history="1">
        <w:r w:rsidR="003B7EB3" w:rsidRPr="007431B5">
          <w:rPr>
            <w:rStyle w:val="Hyperlink"/>
            <w:rFonts w:asciiTheme="minorBidi" w:eastAsia="Times New Roman" w:hAnsiTheme="minorBidi" w:cstheme="minorBidi"/>
            <w:sz w:val="20"/>
            <w:szCs w:val="20"/>
          </w:rPr>
          <w:t>https://doi.org/10.1097/PAF.0b013e31823d298b</w:t>
        </w:r>
      </w:hyperlink>
      <w:r w:rsidR="003B7EB3">
        <w:rPr>
          <w:rFonts w:asciiTheme="minorBidi" w:eastAsia="Times New Roman" w:hAnsiTheme="minorBidi" w:cstheme="minorBidi"/>
          <w:sz w:val="20"/>
          <w:szCs w:val="20"/>
        </w:rPr>
        <w:t xml:space="preserve"> </w:t>
      </w:r>
    </w:p>
    <w:p w14:paraId="3078C24B" w14:textId="608D75B0" w:rsidR="00D2009F" w:rsidRPr="00DE1DBE" w:rsidRDefault="002251E9">
      <w:pPr>
        <w:pStyle w:val="ListParagraph"/>
        <w:numPr>
          <w:ilvl w:val="0"/>
          <w:numId w:val="1"/>
        </w:numPr>
        <w:tabs>
          <w:tab w:val="left" w:pos="1218"/>
          <w:tab w:val="left" w:pos="1221"/>
        </w:tabs>
        <w:spacing w:before="82"/>
        <w:ind w:right="681"/>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Anatomy of the Human Heart - Physiopedia [Internet]. [cité 3 nov 2025].</w:t>
      </w:r>
      <w:r w:rsidR="00552889" w:rsidRPr="00552889">
        <w:t xml:space="preserve"> </w:t>
      </w:r>
      <w:hyperlink r:id="rId27" w:history="1">
        <w:r w:rsidR="00552889" w:rsidRPr="007431B5">
          <w:rPr>
            <w:rStyle w:val="Hyperlink"/>
            <w:rFonts w:asciiTheme="minorBidi" w:eastAsia="Times New Roman" w:hAnsiTheme="minorBidi" w:cstheme="minorBidi"/>
            <w:sz w:val="20"/>
            <w:szCs w:val="20"/>
          </w:rPr>
          <w:t>https://www.physio-pedia.com/Anatomy_of_the_Human_Heart</w:t>
        </w:r>
      </w:hyperlink>
      <w:r w:rsidR="00552889">
        <w:rPr>
          <w:rFonts w:asciiTheme="minorBidi" w:eastAsia="Times New Roman" w:hAnsiTheme="minorBidi" w:cstheme="minorBidi"/>
          <w:sz w:val="20"/>
          <w:szCs w:val="20"/>
        </w:rPr>
        <w:t xml:space="preserve"> </w:t>
      </w:r>
    </w:p>
    <w:p w14:paraId="23C27A75" w14:textId="77777777" w:rsidR="00D2009F" w:rsidRPr="00DE1DBE" w:rsidRDefault="00D2009F">
      <w:pPr>
        <w:pStyle w:val="BodyText"/>
        <w:spacing w:before="248"/>
        <w:rPr>
          <w:rFonts w:asciiTheme="minorBidi" w:eastAsia="Times New Roman" w:hAnsiTheme="minorBidi" w:cstheme="minorBidi"/>
        </w:rPr>
      </w:pPr>
    </w:p>
    <w:p w14:paraId="76E0B1B8" w14:textId="77777777" w:rsidR="002251E9" w:rsidRPr="00DE1DBE" w:rsidRDefault="002251E9">
      <w:pPr>
        <w:pStyle w:val="ListParagraph"/>
        <w:numPr>
          <w:ilvl w:val="0"/>
          <w:numId w:val="1"/>
        </w:numPr>
        <w:tabs>
          <w:tab w:val="left" w:pos="1218"/>
          <w:tab w:val="left" w:pos="1221"/>
        </w:tabs>
        <w:ind w:right="256"/>
        <w:rPr>
          <w:rFonts w:asciiTheme="minorBidi" w:eastAsia="Times New Roman" w:hAnsiTheme="minorBidi" w:cstheme="minorBidi"/>
          <w:sz w:val="20"/>
          <w:szCs w:val="20"/>
        </w:rPr>
      </w:pPr>
      <w:r w:rsidRPr="00DE1DBE">
        <w:rPr>
          <w:rFonts w:asciiTheme="minorBidi" w:eastAsia="Times New Roman" w:hAnsiTheme="minorBidi" w:cstheme="minorBidi"/>
          <w:sz w:val="20"/>
          <w:szCs w:val="20"/>
        </w:rPr>
        <w:t>Ma WG, Hou B, Abdurusul A, Gong DX, Tang Y, Chang Q, et al. Dysfunction of mechanical heart valve prosthesis: experience with surgical management in 48 patients. J Thorac Dis [Internet]. déc 2015 [cité 1 nov 2025];7(12). Kuang FL, Klion AD. Biologic Agents for the Treatment of Hypereosinophilic Syndromes. J Allergy Clin Immunol Pract 2017; 5:1502.</w:t>
      </w:r>
    </w:p>
    <w:sectPr w:rsidR="002251E9" w:rsidRPr="00DE1DBE" w:rsidSect="00264C97">
      <w:pgSz w:w="11910" w:h="16840"/>
      <w:pgMar w:top="1280" w:right="28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160C" w14:textId="77777777" w:rsidR="003B62F2" w:rsidRDefault="003B62F2" w:rsidP="00BD7B5A">
      <w:r>
        <w:separator/>
      </w:r>
    </w:p>
  </w:endnote>
  <w:endnote w:type="continuationSeparator" w:id="0">
    <w:p w14:paraId="123EFCB2" w14:textId="77777777" w:rsidR="003B62F2" w:rsidRDefault="003B62F2" w:rsidP="00BD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6F09" w14:textId="77777777" w:rsidR="00C60B35" w:rsidRDefault="00C60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A56F" w14:textId="77777777" w:rsidR="00C60B35" w:rsidRDefault="00C60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C3F2" w14:textId="77777777" w:rsidR="00C60B35" w:rsidRDefault="00C6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32731" w14:textId="77777777" w:rsidR="003B62F2" w:rsidRDefault="003B62F2" w:rsidP="00BD7B5A">
      <w:r>
        <w:separator/>
      </w:r>
    </w:p>
  </w:footnote>
  <w:footnote w:type="continuationSeparator" w:id="0">
    <w:p w14:paraId="325F18C1" w14:textId="77777777" w:rsidR="003B62F2" w:rsidRDefault="003B62F2" w:rsidP="00BD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36DE" w14:textId="08C4D8DA" w:rsidR="00C60B35" w:rsidRDefault="00C60B35">
    <w:pPr>
      <w:pStyle w:val="Header"/>
    </w:pPr>
    <w:r>
      <w:rPr>
        <w:noProof/>
      </w:rPr>
      <w:pict w14:anchorId="1714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79" o:spid="_x0000_s2050" type="#_x0000_t136" style="position:absolute;margin-left:0;margin-top:0;width:620.25pt;height:109.4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D6D9" w14:textId="51F70A5C" w:rsidR="00C60B35" w:rsidRDefault="00C60B35">
    <w:pPr>
      <w:pStyle w:val="Header"/>
    </w:pPr>
    <w:r>
      <w:rPr>
        <w:noProof/>
      </w:rPr>
      <w:pict w14:anchorId="0FCD4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80" o:spid="_x0000_s2051" type="#_x0000_t136" style="position:absolute;margin-left:0;margin-top:0;width:620.25pt;height:109.4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CD9D" w14:textId="083F3B51" w:rsidR="00C60B35" w:rsidRDefault="00C60B35">
    <w:pPr>
      <w:pStyle w:val="Header"/>
    </w:pPr>
    <w:r>
      <w:rPr>
        <w:noProof/>
      </w:rPr>
      <w:pict w14:anchorId="7C093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4078" o:spid="_x0000_s2049" type="#_x0000_t136" style="position:absolute;margin-left:0;margin-top:0;width:620.25pt;height:109.4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1221" w:hanging="720"/>
      </w:pPr>
      <w:rPr>
        <w:rFonts w:hint="default"/>
        <w:spacing w:val="-3"/>
        <w:w w:val="100"/>
        <w:lang w:val="en-US" w:eastAsia="en-US" w:bidi="ar-SA"/>
      </w:rPr>
    </w:lvl>
    <w:lvl w:ilvl="1">
      <w:numFmt w:val="bullet"/>
      <w:lvlText w:val="•"/>
      <w:lvlJc w:val="left"/>
      <w:pPr>
        <w:ind w:left="2133" w:hanging="720"/>
      </w:pPr>
      <w:rPr>
        <w:rFonts w:hint="default"/>
        <w:lang w:val="en-US" w:eastAsia="en-US" w:bidi="ar-SA"/>
      </w:rPr>
    </w:lvl>
    <w:lvl w:ilvl="2">
      <w:numFmt w:val="bullet"/>
      <w:lvlText w:val="•"/>
      <w:lvlJc w:val="left"/>
      <w:pPr>
        <w:ind w:left="3046" w:hanging="720"/>
      </w:pPr>
      <w:rPr>
        <w:rFonts w:hint="default"/>
        <w:lang w:val="en-US" w:eastAsia="en-US" w:bidi="ar-SA"/>
      </w:rPr>
    </w:lvl>
    <w:lvl w:ilvl="3">
      <w:numFmt w:val="bullet"/>
      <w:lvlText w:val="•"/>
      <w:lvlJc w:val="left"/>
      <w:pPr>
        <w:ind w:left="3959" w:hanging="720"/>
      </w:pPr>
      <w:rPr>
        <w:rFonts w:hint="default"/>
        <w:lang w:val="en-US" w:eastAsia="en-US" w:bidi="ar-SA"/>
      </w:rPr>
    </w:lvl>
    <w:lvl w:ilvl="4">
      <w:numFmt w:val="bullet"/>
      <w:lvlText w:val="•"/>
      <w:lvlJc w:val="left"/>
      <w:pPr>
        <w:ind w:left="4872" w:hanging="720"/>
      </w:pPr>
      <w:rPr>
        <w:rFonts w:hint="default"/>
        <w:lang w:val="en-US" w:eastAsia="en-US" w:bidi="ar-SA"/>
      </w:rPr>
    </w:lvl>
    <w:lvl w:ilvl="5">
      <w:numFmt w:val="bullet"/>
      <w:lvlText w:val="•"/>
      <w:lvlJc w:val="left"/>
      <w:pPr>
        <w:ind w:left="5786" w:hanging="720"/>
      </w:pPr>
      <w:rPr>
        <w:rFonts w:hint="default"/>
        <w:lang w:val="en-US" w:eastAsia="en-US" w:bidi="ar-SA"/>
      </w:rPr>
    </w:lvl>
    <w:lvl w:ilvl="6">
      <w:numFmt w:val="bullet"/>
      <w:lvlText w:val="•"/>
      <w:lvlJc w:val="left"/>
      <w:pPr>
        <w:ind w:left="6699" w:hanging="720"/>
      </w:pPr>
      <w:rPr>
        <w:rFonts w:hint="default"/>
        <w:lang w:val="en-US" w:eastAsia="en-US" w:bidi="ar-SA"/>
      </w:rPr>
    </w:lvl>
    <w:lvl w:ilvl="7">
      <w:numFmt w:val="bullet"/>
      <w:lvlText w:val="•"/>
      <w:lvlJc w:val="left"/>
      <w:pPr>
        <w:ind w:left="7612" w:hanging="720"/>
      </w:pPr>
      <w:rPr>
        <w:rFonts w:hint="default"/>
        <w:lang w:val="en-US" w:eastAsia="en-US" w:bidi="ar-SA"/>
      </w:rPr>
    </w:lvl>
    <w:lvl w:ilvl="8">
      <w:numFmt w:val="bullet"/>
      <w:lvlText w:val="•"/>
      <w:lvlJc w:val="left"/>
      <w:pPr>
        <w:ind w:left="8525" w:hanging="720"/>
      </w:pPr>
      <w:rPr>
        <w:rFonts w:hint="default"/>
        <w:lang w:val="en-US" w:eastAsia="en-US" w:bidi="ar-SA"/>
      </w:rPr>
    </w:lvl>
  </w:abstractNum>
  <w:abstractNum w:abstractNumId="1" w15:restartNumberingAfterBreak="0">
    <w:nsid w:val="0346410B"/>
    <w:multiLevelType w:val="multilevel"/>
    <w:tmpl w:val="E63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28FB"/>
    <w:multiLevelType w:val="multilevel"/>
    <w:tmpl w:val="B20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14055"/>
    <w:multiLevelType w:val="hybridMultilevel"/>
    <w:tmpl w:val="6E563834"/>
    <w:lvl w:ilvl="0" w:tplc="040C000F">
      <w:start w:val="1"/>
      <w:numFmt w:val="decimal"/>
      <w:lvlText w:val="%1."/>
      <w:lvlJc w:val="left"/>
      <w:pPr>
        <w:ind w:left="885" w:hanging="360"/>
      </w:p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4" w15:restartNumberingAfterBreak="0">
    <w:nsid w:val="4080234C"/>
    <w:multiLevelType w:val="multilevel"/>
    <w:tmpl w:val="B23AD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91E0A"/>
    <w:multiLevelType w:val="multilevel"/>
    <w:tmpl w:val="38E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A13DE"/>
    <w:multiLevelType w:val="multilevel"/>
    <w:tmpl w:val="9D0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04ED8"/>
    <w:multiLevelType w:val="multilevel"/>
    <w:tmpl w:val="0E6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82536"/>
    <w:multiLevelType w:val="multilevel"/>
    <w:tmpl w:val="94D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D1FEC"/>
    <w:multiLevelType w:val="multilevel"/>
    <w:tmpl w:val="C7C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16593"/>
    <w:multiLevelType w:val="multilevel"/>
    <w:tmpl w:val="2FF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076EB"/>
    <w:multiLevelType w:val="multilevel"/>
    <w:tmpl w:val="E63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5"/>
  </w:num>
  <w:num w:numId="5">
    <w:abstractNumId w:val="3"/>
  </w:num>
  <w:num w:numId="6">
    <w:abstractNumId w:val="6"/>
  </w:num>
  <w:num w:numId="7">
    <w:abstractNumId w:val="1"/>
  </w:num>
  <w:num w:numId="8">
    <w:abstractNumId w:val="8"/>
  </w:num>
  <w:num w:numId="9">
    <w:abstractNumId w:val="9"/>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hyphenationZone w:val="425"/>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NDCwMDQ3srA0MjFX0lEKTi0uzszPAykwrAUAiMIBMywAAAA="/>
  </w:docVars>
  <w:rsids>
    <w:rsidRoot w:val="00BB7279"/>
    <w:rsid w:val="0000663F"/>
    <w:rsid w:val="000136CC"/>
    <w:rsid w:val="00061ED3"/>
    <w:rsid w:val="00072C86"/>
    <w:rsid w:val="000D19D1"/>
    <w:rsid w:val="0014629E"/>
    <w:rsid w:val="001826AD"/>
    <w:rsid w:val="001C3219"/>
    <w:rsid w:val="001D2850"/>
    <w:rsid w:val="002251E9"/>
    <w:rsid w:val="00264C97"/>
    <w:rsid w:val="002B254D"/>
    <w:rsid w:val="00331BF2"/>
    <w:rsid w:val="003B62F2"/>
    <w:rsid w:val="003B7EB3"/>
    <w:rsid w:val="003D61C6"/>
    <w:rsid w:val="003F25EE"/>
    <w:rsid w:val="0043718F"/>
    <w:rsid w:val="004B5241"/>
    <w:rsid w:val="004C7FEF"/>
    <w:rsid w:val="004F337B"/>
    <w:rsid w:val="00532142"/>
    <w:rsid w:val="00552889"/>
    <w:rsid w:val="00561BF8"/>
    <w:rsid w:val="005C3FAB"/>
    <w:rsid w:val="007130A4"/>
    <w:rsid w:val="007C723A"/>
    <w:rsid w:val="00825909"/>
    <w:rsid w:val="00841C7B"/>
    <w:rsid w:val="008E66E8"/>
    <w:rsid w:val="00A35A20"/>
    <w:rsid w:val="00B223B4"/>
    <w:rsid w:val="00BB4466"/>
    <w:rsid w:val="00BB7279"/>
    <w:rsid w:val="00BD7B5A"/>
    <w:rsid w:val="00BF16CC"/>
    <w:rsid w:val="00C1338A"/>
    <w:rsid w:val="00C60B35"/>
    <w:rsid w:val="00C67186"/>
    <w:rsid w:val="00C67A41"/>
    <w:rsid w:val="00C95FE4"/>
    <w:rsid w:val="00D076BF"/>
    <w:rsid w:val="00D2009F"/>
    <w:rsid w:val="00D80ED2"/>
    <w:rsid w:val="00DE1DBE"/>
    <w:rsid w:val="00ED09CF"/>
    <w:rsid w:val="00EE17A6"/>
    <w:rsid w:val="00F76AD4"/>
    <w:rsid w:val="00F95599"/>
    <w:rsid w:val="00FB16B7"/>
    <w:rsid w:val="5F202E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C30EE"/>
  <w15:chartTrackingRefBased/>
  <w15:docId w15:val="{09D59B42-0078-4265-B5D5-BABFC60B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 w:qFormat="1"/>
    <w:lsdException w:name="Closing" w:uiPriority="0"/>
    <w:lsdException w:name="Signature" w:uiPriority="0"/>
    <w:lsdException w:name="Default Paragraph Font" w:semiHidden="1" w:uiPriority="1" w:unhideWhenUsed="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ourier New" w:eastAsia="Courier New" w:hAnsi="Courier New" w:cs="Courier New"/>
      <w:sz w:val="22"/>
      <w:szCs w:val="22"/>
      <w:lang w:val="en-US" w:eastAsia="en-US"/>
    </w:rPr>
  </w:style>
  <w:style w:type="paragraph" w:styleId="Heading1">
    <w:name w:val="heading 1"/>
    <w:basedOn w:val="Normal"/>
    <w:uiPriority w:val="1"/>
    <w:qFormat/>
    <w:pPr>
      <w:ind w:left="165"/>
      <w:outlineLvl w:val="0"/>
    </w:pPr>
    <w:rPr>
      <w:b/>
      <w:bCs/>
      <w:sz w:val="20"/>
      <w:szCs w:val="20"/>
    </w:rPr>
  </w:style>
  <w:style w:type="paragraph" w:styleId="Heading2">
    <w:name w:val="heading 2"/>
    <w:basedOn w:val="Normal"/>
    <w:next w:val="Normal"/>
    <w:link w:val="Heading2Char"/>
    <w:semiHidden/>
    <w:unhideWhenUsed/>
    <w:qFormat/>
    <w:rsid w:val="00264C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C723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uiPriority w:val="1"/>
    <w:qFormat/>
    <w:pPr>
      <w:spacing w:before="80"/>
      <w:ind w:left="140" w:right="139"/>
      <w:jc w:val="both"/>
    </w:pPr>
    <w:rPr>
      <w:rFonts w:ascii="Cambria" w:eastAsia="Cambria" w:hAnsi="Cambria" w:cs="Cambria"/>
      <w:b/>
      <w:bCs/>
      <w:i/>
      <w:iCs/>
      <w:sz w:val="40"/>
      <w:szCs w:val="40"/>
    </w:rPr>
  </w:style>
  <w:style w:type="table" w:customStyle="1" w:styleId="TableNormal1">
    <w:name w:val="Table Normal1"/>
    <w:uiPriority w:val="2"/>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21" w:right="289" w:hanging="720"/>
    </w:pPr>
  </w:style>
  <w:style w:type="paragraph" w:customStyle="1" w:styleId="TableParagraph">
    <w:name w:val="Table Paragraph"/>
    <w:basedOn w:val="Normal"/>
    <w:uiPriority w:val="1"/>
    <w:qFormat/>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bold">
    <w:name w:val="bold"/>
    <w:basedOn w:val="Normal"/>
    <w:rsid w:val="00BF16CC"/>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BF16CC"/>
    <w:rPr>
      <w:i/>
      <w:iCs/>
    </w:rPr>
  </w:style>
  <w:style w:type="character" w:customStyle="1" w:styleId="FooterChar">
    <w:name w:val="Footer Char"/>
    <w:basedOn w:val="DefaultParagraphFont"/>
    <w:link w:val="Footer"/>
    <w:uiPriority w:val="99"/>
    <w:rsid w:val="00BD7B5A"/>
    <w:rPr>
      <w:rFonts w:ascii="Courier New" w:eastAsia="Courier New" w:hAnsi="Courier New" w:cs="Courier New"/>
      <w:sz w:val="22"/>
      <w:szCs w:val="22"/>
      <w:lang w:val="en-US" w:eastAsia="en-US"/>
    </w:rPr>
  </w:style>
  <w:style w:type="paragraph" w:styleId="NormalWeb">
    <w:name w:val="Normal (Web)"/>
    <w:basedOn w:val="Normal"/>
    <w:uiPriority w:val="99"/>
    <w:unhideWhenUsed/>
    <w:rsid w:val="00264C97"/>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264C97"/>
    <w:rPr>
      <w:b/>
      <w:bCs/>
    </w:rPr>
  </w:style>
  <w:style w:type="character" w:customStyle="1" w:styleId="Heading2Char">
    <w:name w:val="Heading 2 Char"/>
    <w:basedOn w:val="DefaultParagraphFont"/>
    <w:link w:val="Heading2"/>
    <w:semiHidden/>
    <w:rsid w:val="00264C97"/>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semiHidden/>
    <w:rsid w:val="007C723A"/>
    <w:rPr>
      <w:rFonts w:asciiTheme="majorHAnsi" w:eastAsiaTheme="majorEastAsia" w:hAnsiTheme="majorHAnsi" w:cstheme="majorBidi"/>
      <w:color w:val="1F4D78" w:themeColor="accent1" w:themeShade="7F"/>
      <w:sz w:val="24"/>
      <w:szCs w:val="24"/>
      <w:lang w:val="en-US" w:eastAsia="en-US"/>
    </w:rPr>
  </w:style>
  <w:style w:type="character" w:styleId="Hyperlink">
    <w:name w:val="Hyperlink"/>
    <w:basedOn w:val="DefaultParagraphFont"/>
    <w:rsid w:val="003D61C6"/>
    <w:rPr>
      <w:color w:val="0563C1" w:themeColor="hyperlink"/>
      <w:u w:val="single"/>
    </w:rPr>
  </w:style>
  <w:style w:type="character" w:styleId="UnresolvedMention">
    <w:name w:val="Unresolved Mention"/>
    <w:basedOn w:val="DefaultParagraphFont"/>
    <w:uiPriority w:val="99"/>
    <w:semiHidden/>
    <w:unhideWhenUsed/>
    <w:rsid w:val="003D6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1012">
      <w:bodyDiv w:val="1"/>
      <w:marLeft w:val="0"/>
      <w:marRight w:val="0"/>
      <w:marTop w:val="0"/>
      <w:marBottom w:val="0"/>
      <w:divBdr>
        <w:top w:val="none" w:sz="0" w:space="0" w:color="auto"/>
        <w:left w:val="none" w:sz="0" w:space="0" w:color="auto"/>
        <w:bottom w:val="none" w:sz="0" w:space="0" w:color="auto"/>
        <w:right w:val="none" w:sz="0" w:space="0" w:color="auto"/>
      </w:divBdr>
    </w:div>
    <w:div w:id="123278858">
      <w:bodyDiv w:val="1"/>
      <w:marLeft w:val="0"/>
      <w:marRight w:val="0"/>
      <w:marTop w:val="0"/>
      <w:marBottom w:val="0"/>
      <w:divBdr>
        <w:top w:val="none" w:sz="0" w:space="0" w:color="auto"/>
        <w:left w:val="none" w:sz="0" w:space="0" w:color="auto"/>
        <w:bottom w:val="none" w:sz="0" w:space="0" w:color="auto"/>
        <w:right w:val="none" w:sz="0" w:space="0" w:color="auto"/>
      </w:divBdr>
    </w:div>
    <w:div w:id="190338922">
      <w:bodyDiv w:val="1"/>
      <w:marLeft w:val="0"/>
      <w:marRight w:val="0"/>
      <w:marTop w:val="0"/>
      <w:marBottom w:val="0"/>
      <w:divBdr>
        <w:top w:val="none" w:sz="0" w:space="0" w:color="auto"/>
        <w:left w:val="none" w:sz="0" w:space="0" w:color="auto"/>
        <w:bottom w:val="none" w:sz="0" w:space="0" w:color="auto"/>
        <w:right w:val="none" w:sz="0" w:space="0" w:color="auto"/>
      </w:divBdr>
    </w:div>
    <w:div w:id="214901588">
      <w:bodyDiv w:val="1"/>
      <w:marLeft w:val="0"/>
      <w:marRight w:val="0"/>
      <w:marTop w:val="0"/>
      <w:marBottom w:val="0"/>
      <w:divBdr>
        <w:top w:val="none" w:sz="0" w:space="0" w:color="auto"/>
        <w:left w:val="none" w:sz="0" w:space="0" w:color="auto"/>
        <w:bottom w:val="none" w:sz="0" w:space="0" w:color="auto"/>
        <w:right w:val="none" w:sz="0" w:space="0" w:color="auto"/>
      </w:divBdr>
    </w:div>
    <w:div w:id="272900906">
      <w:bodyDiv w:val="1"/>
      <w:marLeft w:val="0"/>
      <w:marRight w:val="0"/>
      <w:marTop w:val="0"/>
      <w:marBottom w:val="0"/>
      <w:divBdr>
        <w:top w:val="none" w:sz="0" w:space="0" w:color="auto"/>
        <w:left w:val="none" w:sz="0" w:space="0" w:color="auto"/>
        <w:bottom w:val="none" w:sz="0" w:space="0" w:color="auto"/>
        <w:right w:val="none" w:sz="0" w:space="0" w:color="auto"/>
      </w:divBdr>
    </w:div>
    <w:div w:id="327826184">
      <w:bodyDiv w:val="1"/>
      <w:marLeft w:val="0"/>
      <w:marRight w:val="0"/>
      <w:marTop w:val="0"/>
      <w:marBottom w:val="0"/>
      <w:divBdr>
        <w:top w:val="none" w:sz="0" w:space="0" w:color="auto"/>
        <w:left w:val="none" w:sz="0" w:space="0" w:color="auto"/>
        <w:bottom w:val="none" w:sz="0" w:space="0" w:color="auto"/>
        <w:right w:val="none" w:sz="0" w:space="0" w:color="auto"/>
      </w:divBdr>
    </w:div>
    <w:div w:id="375741999">
      <w:bodyDiv w:val="1"/>
      <w:marLeft w:val="0"/>
      <w:marRight w:val="0"/>
      <w:marTop w:val="0"/>
      <w:marBottom w:val="0"/>
      <w:divBdr>
        <w:top w:val="none" w:sz="0" w:space="0" w:color="auto"/>
        <w:left w:val="none" w:sz="0" w:space="0" w:color="auto"/>
        <w:bottom w:val="none" w:sz="0" w:space="0" w:color="auto"/>
        <w:right w:val="none" w:sz="0" w:space="0" w:color="auto"/>
      </w:divBdr>
    </w:div>
    <w:div w:id="523204601">
      <w:bodyDiv w:val="1"/>
      <w:marLeft w:val="0"/>
      <w:marRight w:val="0"/>
      <w:marTop w:val="0"/>
      <w:marBottom w:val="0"/>
      <w:divBdr>
        <w:top w:val="none" w:sz="0" w:space="0" w:color="auto"/>
        <w:left w:val="none" w:sz="0" w:space="0" w:color="auto"/>
        <w:bottom w:val="none" w:sz="0" w:space="0" w:color="auto"/>
        <w:right w:val="none" w:sz="0" w:space="0" w:color="auto"/>
      </w:divBdr>
    </w:div>
    <w:div w:id="623465837">
      <w:bodyDiv w:val="1"/>
      <w:marLeft w:val="0"/>
      <w:marRight w:val="0"/>
      <w:marTop w:val="0"/>
      <w:marBottom w:val="0"/>
      <w:divBdr>
        <w:top w:val="none" w:sz="0" w:space="0" w:color="auto"/>
        <w:left w:val="none" w:sz="0" w:space="0" w:color="auto"/>
        <w:bottom w:val="none" w:sz="0" w:space="0" w:color="auto"/>
        <w:right w:val="none" w:sz="0" w:space="0" w:color="auto"/>
      </w:divBdr>
    </w:div>
    <w:div w:id="788819502">
      <w:bodyDiv w:val="1"/>
      <w:marLeft w:val="0"/>
      <w:marRight w:val="0"/>
      <w:marTop w:val="0"/>
      <w:marBottom w:val="0"/>
      <w:divBdr>
        <w:top w:val="none" w:sz="0" w:space="0" w:color="auto"/>
        <w:left w:val="none" w:sz="0" w:space="0" w:color="auto"/>
        <w:bottom w:val="none" w:sz="0" w:space="0" w:color="auto"/>
        <w:right w:val="none" w:sz="0" w:space="0" w:color="auto"/>
      </w:divBdr>
    </w:div>
    <w:div w:id="827524787">
      <w:bodyDiv w:val="1"/>
      <w:marLeft w:val="0"/>
      <w:marRight w:val="0"/>
      <w:marTop w:val="0"/>
      <w:marBottom w:val="0"/>
      <w:divBdr>
        <w:top w:val="none" w:sz="0" w:space="0" w:color="auto"/>
        <w:left w:val="none" w:sz="0" w:space="0" w:color="auto"/>
        <w:bottom w:val="none" w:sz="0" w:space="0" w:color="auto"/>
        <w:right w:val="none" w:sz="0" w:space="0" w:color="auto"/>
      </w:divBdr>
    </w:div>
    <w:div w:id="1020159648">
      <w:bodyDiv w:val="1"/>
      <w:marLeft w:val="0"/>
      <w:marRight w:val="0"/>
      <w:marTop w:val="0"/>
      <w:marBottom w:val="0"/>
      <w:divBdr>
        <w:top w:val="none" w:sz="0" w:space="0" w:color="auto"/>
        <w:left w:val="none" w:sz="0" w:space="0" w:color="auto"/>
        <w:bottom w:val="none" w:sz="0" w:space="0" w:color="auto"/>
        <w:right w:val="none" w:sz="0" w:space="0" w:color="auto"/>
      </w:divBdr>
    </w:div>
    <w:div w:id="1089620092">
      <w:bodyDiv w:val="1"/>
      <w:marLeft w:val="0"/>
      <w:marRight w:val="0"/>
      <w:marTop w:val="0"/>
      <w:marBottom w:val="0"/>
      <w:divBdr>
        <w:top w:val="none" w:sz="0" w:space="0" w:color="auto"/>
        <w:left w:val="none" w:sz="0" w:space="0" w:color="auto"/>
        <w:bottom w:val="none" w:sz="0" w:space="0" w:color="auto"/>
        <w:right w:val="none" w:sz="0" w:space="0" w:color="auto"/>
      </w:divBdr>
    </w:div>
    <w:div w:id="1149446988">
      <w:bodyDiv w:val="1"/>
      <w:marLeft w:val="0"/>
      <w:marRight w:val="0"/>
      <w:marTop w:val="0"/>
      <w:marBottom w:val="0"/>
      <w:divBdr>
        <w:top w:val="none" w:sz="0" w:space="0" w:color="auto"/>
        <w:left w:val="none" w:sz="0" w:space="0" w:color="auto"/>
        <w:bottom w:val="none" w:sz="0" w:space="0" w:color="auto"/>
        <w:right w:val="none" w:sz="0" w:space="0" w:color="auto"/>
      </w:divBdr>
    </w:div>
    <w:div w:id="1154105631">
      <w:bodyDiv w:val="1"/>
      <w:marLeft w:val="0"/>
      <w:marRight w:val="0"/>
      <w:marTop w:val="0"/>
      <w:marBottom w:val="0"/>
      <w:divBdr>
        <w:top w:val="none" w:sz="0" w:space="0" w:color="auto"/>
        <w:left w:val="none" w:sz="0" w:space="0" w:color="auto"/>
        <w:bottom w:val="none" w:sz="0" w:space="0" w:color="auto"/>
        <w:right w:val="none" w:sz="0" w:space="0" w:color="auto"/>
      </w:divBdr>
    </w:div>
    <w:div w:id="1161890076">
      <w:bodyDiv w:val="1"/>
      <w:marLeft w:val="0"/>
      <w:marRight w:val="0"/>
      <w:marTop w:val="0"/>
      <w:marBottom w:val="0"/>
      <w:divBdr>
        <w:top w:val="none" w:sz="0" w:space="0" w:color="auto"/>
        <w:left w:val="none" w:sz="0" w:space="0" w:color="auto"/>
        <w:bottom w:val="none" w:sz="0" w:space="0" w:color="auto"/>
        <w:right w:val="none" w:sz="0" w:space="0" w:color="auto"/>
      </w:divBdr>
    </w:div>
    <w:div w:id="1348681118">
      <w:bodyDiv w:val="1"/>
      <w:marLeft w:val="0"/>
      <w:marRight w:val="0"/>
      <w:marTop w:val="0"/>
      <w:marBottom w:val="0"/>
      <w:divBdr>
        <w:top w:val="none" w:sz="0" w:space="0" w:color="auto"/>
        <w:left w:val="none" w:sz="0" w:space="0" w:color="auto"/>
        <w:bottom w:val="none" w:sz="0" w:space="0" w:color="auto"/>
        <w:right w:val="none" w:sz="0" w:space="0" w:color="auto"/>
      </w:divBdr>
    </w:div>
    <w:div w:id="1374501510">
      <w:bodyDiv w:val="1"/>
      <w:marLeft w:val="0"/>
      <w:marRight w:val="0"/>
      <w:marTop w:val="0"/>
      <w:marBottom w:val="0"/>
      <w:divBdr>
        <w:top w:val="none" w:sz="0" w:space="0" w:color="auto"/>
        <w:left w:val="none" w:sz="0" w:space="0" w:color="auto"/>
        <w:bottom w:val="none" w:sz="0" w:space="0" w:color="auto"/>
        <w:right w:val="none" w:sz="0" w:space="0" w:color="auto"/>
      </w:divBdr>
    </w:div>
    <w:div w:id="1408376849">
      <w:bodyDiv w:val="1"/>
      <w:marLeft w:val="0"/>
      <w:marRight w:val="0"/>
      <w:marTop w:val="0"/>
      <w:marBottom w:val="0"/>
      <w:divBdr>
        <w:top w:val="none" w:sz="0" w:space="0" w:color="auto"/>
        <w:left w:val="none" w:sz="0" w:space="0" w:color="auto"/>
        <w:bottom w:val="none" w:sz="0" w:space="0" w:color="auto"/>
        <w:right w:val="none" w:sz="0" w:space="0" w:color="auto"/>
      </w:divBdr>
    </w:div>
    <w:div w:id="1525442561">
      <w:bodyDiv w:val="1"/>
      <w:marLeft w:val="0"/>
      <w:marRight w:val="0"/>
      <w:marTop w:val="0"/>
      <w:marBottom w:val="0"/>
      <w:divBdr>
        <w:top w:val="none" w:sz="0" w:space="0" w:color="auto"/>
        <w:left w:val="none" w:sz="0" w:space="0" w:color="auto"/>
        <w:bottom w:val="none" w:sz="0" w:space="0" w:color="auto"/>
        <w:right w:val="none" w:sz="0" w:space="0" w:color="auto"/>
      </w:divBdr>
    </w:div>
    <w:div w:id="1527214444">
      <w:bodyDiv w:val="1"/>
      <w:marLeft w:val="0"/>
      <w:marRight w:val="0"/>
      <w:marTop w:val="0"/>
      <w:marBottom w:val="0"/>
      <w:divBdr>
        <w:top w:val="none" w:sz="0" w:space="0" w:color="auto"/>
        <w:left w:val="none" w:sz="0" w:space="0" w:color="auto"/>
        <w:bottom w:val="none" w:sz="0" w:space="0" w:color="auto"/>
        <w:right w:val="none" w:sz="0" w:space="0" w:color="auto"/>
      </w:divBdr>
    </w:div>
    <w:div w:id="1584795916">
      <w:bodyDiv w:val="1"/>
      <w:marLeft w:val="0"/>
      <w:marRight w:val="0"/>
      <w:marTop w:val="0"/>
      <w:marBottom w:val="0"/>
      <w:divBdr>
        <w:top w:val="none" w:sz="0" w:space="0" w:color="auto"/>
        <w:left w:val="none" w:sz="0" w:space="0" w:color="auto"/>
        <w:bottom w:val="none" w:sz="0" w:space="0" w:color="auto"/>
        <w:right w:val="none" w:sz="0" w:space="0" w:color="auto"/>
      </w:divBdr>
    </w:div>
    <w:div w:id="1627008603">
      <w:bodyDiv w:val="1"/>
      <w:marLeft w:val="0"/>
      <w:marRight w:val="0"/>
      <w:marTop w:val="0"/>
      <w:marBottom w:val="0"/>
      <w:divBdr>
        <w:top w:val="none" w:sz="0" w:space="0" w:color="auto"/>
        <w:left w:val="none" w:sz="0" w:space="0" w:color="auto"/>
        <w:bottom w:val="none" w:sz="0" w:space="0" w:color="auto"/>
        <w:right w:val="none" w:sz="0" w:space="0" w:color="auto"/>
      </w:divBdr>
    </w:div>
    <w:div w:id="1636720093">
      <w:bodyDiv w:val="1"/>
      <w:marLeft w:val="0"/>
      <w:marRight w:val="0"/>
      <w:marTop w:val="0"/>
      <w:marBottom w:val="0"/>
      <w:divBdr>
        <w:top w:val="none" w:sz="0" w:space="0" w:color="auto"/>
        <w:left w:val="none" w:sz="0" w:space="0" w:color="auto"/>
        <w:bottom w:val="none" w:sz="0" w:space="0" w:color="auto"/>
        <w:right w:val="none" w:sz="0" w:space="0" w:color="auto"/>
      </w:divBdr>
    </w:div>
    <w:div w:id="1639918336">
      <w:bodyDiv w:val="1"/>
      <w:marLeft w:val="0"/>
      <w:marRight w:val="0"/>
      <w:marTop w:val="0"/>
      <w:marBottom w:val="0"/>
      <w:divBdr>
        <w:top w:val="none" w:sz="0" w:space="0" w:color="auto"/>
        <w:left w:val="none" w:sz="0" w:space="0" w:color="auto"/>
        <w:bottom w:val="none" w:sz="0" w:space="0" w:color="auto"/>
        <w:right w:val="none" w:sz="0" w:space="0" w:color="auto"/>
      </w:divBdr>
    </w:div>
    <w:div w:id="1651129892">
      <w:bodyDiv w:val="1"/>
      <w:marLeft w:val="0"/>
      <w:marRight w:val="0"/>
      <w:marTop w:val="0"/>
      <w:marBottom w:val="0"/>
      <w:divBdr>
        <w:top w:val="none" w:sz="0" w:space="0" w:color="auto"/>
        <w:left w:val="none" w:sz="0" w:space="0" w:color="auto"/>
        <w:bottom w:val="none" w:sz="0" w:space="0" w:color="auto"/>
        <w:right w:val="none" w:sz="0" w:space="0" w:color="auto"/>
      </w:divBdr>
    </w:div>
    <w:div w:id="1691299626">
      <w:bodyDiv w:val="1"/>
      <w:marLeft w:val="0"/>
      <w:marRight w:val="0"/>
      <w:marTop w:val="0"/>
      <w:marBottom w:val="0"/>
      <w:divBdr>
        <w:top w:val="none" w:sz="0" w:space="0" w:color="auto"/>
        <w:left w:val="none" w:sz="0" w:space="0" w:color="auto"/>
        <w:bottom w:val="none" w:sz="0" w:space="0" w:color="auto"/>
        <w:right w:val="none" w:sz="0" w:space="0" w:color="auto"/>
      </w:divBdr>
    </w:div>
    <w:div w:id="1708411804">
      <w:bodyDiv w:val="1"/>
      <w:marLeft w:val="0"/>
      <w:marRight w:val="0"/>
      <w:marTop w:val="0"/>
      <w:marBottom w:val="0"/>
      <w:divBdr>
        <w:top w:val="none" w:sz="0" w:space="0" w:color="auto"/>
        <w:left w:val="none" w:sz="0" w:space="0" w:color="auto"/>
        <w:bottom w:val="none" w:sz="0" w:space="0" w:color="auto"/>
        <w:right w:val="none" w:sz="0" w:space="0" w:color="auto"/>
      </w:divBdr>
    </w:div>
    <w:div w:id="1931936106">
      <w:bodyDiv w:val="1"/>
      <w:marLeft w:val="0"/>
      <w:marRight w:val="0"/>
      <w:marTop w:val="0"/>
      <w:marBottom w:val="0"/>
      <w:divBdr>
        <w:top w:val="none" w:sz="0" w:space="0" w:color="auto"/>
        <w:left w:val="none" w:sz="0" w:space="0" w:color="auto"/>
        <w:bottom w:val="none" w:sz="0" w:space="0" w:color="auto"/>
        <w:right w:val="none" w:sz="0" w:space="0" w:color="auto"/>
      </w:divBdr>
    </w:div>
    <w:div w:id="2037660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acc.2009.10.085" TargetMode="External"/><Relationship Id="rId26" Type="http://schemas.openxmlformats.org/officeDocument/2006/relationships/hyperlink" Target="https://doi.org/10.1097/PAF.0b013e31823d298b" TargetMode="External"/><Relationship Id="rId3" Type="http://schemas.openxmlformats.org/officeDocument/2006/relationships/styles" Target="styles.xml"/><Relationship Id="rId21" Type="http://schemas.openxmlformats.org/officeDocument/2006/relationships/hyperlink" Target="https://doi.org/10.1007/s00595-014-110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47/IJGM.S420591" TargetMode="External"/><Relationship Id="rId25" Type="http://schemas.openxmlformats.org/officeDocument/2006/relationships/hyperlink" Target="https://doi.org/10.48408/IMIST.PRSM/mm-v26i1.95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48408/IMIST.PRSM/mm-v26i1.9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36/ihj.47.23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bulletinmedicaldowendo.com/bmovol2051-22-80-8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4744/AnatolJCardiol.2016.74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9011/CRCM-110.100010" TargetMode="External"/><Relationship Id="rId27" Type="http://schemas.openxmlformats.org/officeDocument/2006/relationships/hyperlink" Target="https://www.physio-pedia.com/Anatomy_of_the_Human_He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07C7D-965B-4799-BEEE-9527A5AD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2621</Words>
  <Characters>14945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Bennajma Kawtar</dc:creator>
  <cp:keywords/>
  <cp:lastModifiedBy>SDI 1180</cp:lastModifiedBy>
  <cp:revision>27</cp:revision>
  <dcterms:created xsi:type="dcterms:W3CDTF">2025-11-24T16:01:00Z</dcterms:created>
  <dcterms:modified xsi:type="dcterms:W3CDTF">2025-11-29T12:12:00Z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2025-11-15T23:00:00Z</vt:filetime>
  </property>
  <property fmtid="{D5CDD505-2E9C-101B-9397-08002B2CF9AE}" pid="3" name="Creator">
    <vt:lpwstr>Microsoft Word</vt:lpwstr>
  </property>
  <property fmtid="{D5CDD505-2E9C-101B-9397-08002B2CF9AE}" pid="4" name="LastSaved">
    <vt:filetime>2025-11-21T23:00:00Z</vt:filetime>
  </property>
  <property fmtid="{D5CDD505-2E9C-101B-9397-08002B2CF9AE}" pid="5" name="KSOProductBuildVer">
    <vt:lpwstr>1036-12.2.0.23155</vt:lpwstr>
  </property>
  <property fmtid="{D5CDD505-2E9C-101B-9397-08002B2CF9AE}" pid="6" name="ICV">
    <vt:lpwstr>D8925F093C4946B395B2F2C5CBBAA927_13</vt:lpwstr>
  </property>
  <property fmtid="{D5CDD505-2E9C-101B-9397-08002B2CF9AE}" pid="7" name="GrammarlyDocumentId">
    <vt:lpwstr>9972b133-78bd-4b3b-ab59-7b1046be5913</vt:lpwstr>
  </property>
</Properties>
</file>