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7BD65" w14:textId="3352FCFC" w:rsidR="00D72529" w:rsidRPr="00D72529" w:rsidRDefault="00D72529" w:rsidP="00D72529">
      <w:pPr>
        <w:tabs>
          <w:tab w:val="left" w:pos="180"/>
          <w:tab w:val="left" w:pos="360"/>
        </w:tabs>
        <w:rPr>
          <w:b/>
          <w:szCs w:val="24"/>
        </w:rPr>
      </w:pPr>
      <w:r w:rsidRPr="00D72529">
        <w:rPr>
          <w:b/>
          <w:szCs w:val="24"/>
        </w:rPr>
        <w:t>Nitrogenous Fertilizer Application Rates and Plucking Intervals on Tea in East</w:t>
      </w:r>
      <w:r w:rsidR="0050397F">
        <w:rPr>
          <w:b/>
          <w:szCs w:val="24"/>
        </w:rPr>
        <w:t xml:space="preserve"> </w:t>
      </w:r>
      <w:r w:rsidRPr="00D72529">
        <w:rPr>
          <w:b/>
          <w:szCs w:val="24"/>
        </w:rPr>
        <w:t xml:space="preserve">Africa Tea: IV. Effects on Soil Micro-Nutrients (Al, Fe, </w:t>
      </w:r>
      <w:r w:rsidR="002E2FD2">
        <w:rPr>
          <w:b/>
          <w:szCs w:val="24"/>
        </w:rPr>
        <w:t xml:space="preserve">Cu, </w:t>
      </w:r>
      <w:r w:rsidRPr="00D72529">
        <w:rPr>
          <w:b/>
          <w:szCs w:val="24"/>
        </w:rPr>
        <w:t xml:space="preserve">Zn) </w:t>
      </w:r>
    </w:p>
    <w:p w14:paraId="0579981F" w14:textId="77777777" w:rsidR="00D72529" w:rsidRPr="00D72529" w:rsidRDefault="00D72529" w:rsidP="00D72529">
      <w:pPr>
        <w:tabs>
          <w:tab w:val="left" w:pos="180"/>
          <w:tab w:val="left" w:pos="360"/>
        </w:tabs>
        <w:rPr>
          <w:b/>
          <w:szCs w:val="24"/>
        </w:rPr>
      </w:pPr>
    </w:p>
    <w:p w14:paraId="5BFC0942" w14:textId="334666E6" w:rsidR="00046335" w:rsidRDefault="00046335"/>
    <w:p w14:paraId="2EE652F5" w14:textId="77777777" w:rsidR="005951E8" w:rsidRDefault="005951E8"/>
    <w:p w14:paraId="6EFC0E94" w14:textId="77777777" w:rsidR="00D72529" w:rsidRPr="00D72529" w:rsidRDefault="00D72529" w:rsidP="00D72529">
      <w:pPr>
        <w:keepNext/>
        <w:outlineLvl w:val="0"/>
        <w:rPr>
          <w:rFonts w:eastAsia="Times New Roman"/>
          <w:b/>
          <w:bCs/>
          <w:kern w:val="32"/>
          <w:szCs w:val="24"/>
        </w:rPr>
      </w:pPr>
      <w:r w:rsidRPr="00D72529">
        <w:rPr>
          <w:rFonts w:eastAsia="Times New Roman"/>
          <w:b/>
          <w:bCs/>
          <w:kern w:val="32"/>
          <w:szCs w:val="24"/>
        </w:rPr>
        <w:t>ABSTRACT</w:t>
      </w:r>
    </w:p>
    <w:p w14:paraId="56C8294B" w14:textId="77777777" w:rsidR="00D72529" w:rsidRPr="00D72529" w:rsidRDefault="00D72529" w:rsidP="00D72529">
      <w:pPr>
        <w:tabs>
          <w:tab w:val="left" w:pos="2610"/>
        </w:tabs>
        <w:rPr>
          <w:szCs w:val="24"/>
        </w:rPr>
      </w:pPr>
      <w:r w:rsidRPr="00D72529">
        <w:rPr>
          <w:color w:val="000000"/>
          <w:szCs w:val="24"/>
          <w:lang w:val="en-GB"/>
        </w:rPr>
        <w:t>Depletion of nutrients are high in Eastern Africa tea soil</w:t>
      </w:r>
      <w:r>
        <w:rPr>
          <w:color w:val="000000"/>
          <w:szCs w:val="24"/>
          <w:lang w:val="en-GB"/>
        </w:rPr>
        <w:t xml:space="preserve"> due to</w:t>
      </w:r>
      <w:r w:rsidRPr="00D72529">
        <w:rPr>
          <w:color w:val="000000"/>
          <w:szCs w:val="24"/>
          <w:lang w:val="en-GB"/>
        </w:rPr>
        <w:t xml:space="preserve"> high rainfall causing leaching and surface run-off, in addition to removal with crop. Nutrients replenishment through fertilizer applications is therefore necessary</w:t>
      </w:r>
      <w:r w:rsidRPr="00D72529">
        <w:rPr>
          <w:color w:val="000000"/>
          <w:szCs w:val="24"/>
        </w:rPr>
        <w:t>. However, nitrogen fertilizers may cause micro nutrients imbalance.</w:t>
      </w:r>
      <w:r w:rsidRPr="00D72529">
        <w:rPr>
          <w:szCs w:val="24"/>
        </w:rPr>
        <w:t xml:space="preserve"> </w:t>
      </w:r>
      <w:r w:rsidRPr="00D72529">
        <w:rPr>
          <w:color w:val="000000"/>
          <w:szCs w:val="24"/>
        </w:rPr>
        <w:t xml:space="preserve">Plucking intervals cause variations in tea productivity. Despite varying tea growing conditions in Eastern Africa, recommended nitrogen fertilizer rates and plucking intervals are similar. Nitrogen </w:t>
      </w:r>
      <w:r w:rsidRPr="00D72529">
        <w:rPr>
          <w:color w:val="000000"/>
          <w:szCs w:val="24"/>
          <w:lang w:val="en-GB"/>
        </w:rPr>
        <w:t>fertilizer and plucking intervals may influence soil micro nutrients levels within the region to varying degrees.</w:t>
      </w:r>
      <w:r w:rsidRPr="00D72529">
        <w:rPr>
          <w:color w:val="000000"/>
          <w:szCs w:val="24"/>
        </w:rPr>
        <w:t xml:space="preserve"> This study determined effects of NPKS 25:5:5:5 as fertilizer rates and plucking intervals on soil micro nutrients (Al, Fe, Cu, Zn) levels in different locations within Eastern Africa. Soil samples were collected from fertilizer trials on clone TRFK 6/8 at </w:t>
      </w:r>
      <w:proofErr w:type="spellStart"/>
      <w:r w:rsidRPr="00D72529">
        <w:rPr>
          <w:color w:val="000000"/>
          <w:szCs w:val="24"/>
        </w:rPr>
        <w:t>Timbilil</w:t>
      </w:r>
      <w:proofErr w:type="spellEnd"/>
      <w:r w:rsidRPr="00D72529">
        <w:rPr>
          <w:color w:val="000000"/>
          <w:szCs w:val="24"/>
        </w:rPr>
        <w:t xml:space="preserve">, </w:t>
      </w:r>
      <w:proofErr w:type="spellStart"/>
      <w:r w:rsidRPr="00D72529">
        <w:rPr>
          <w:color w:val="000000"/>
          <w:szCs w:val="24"/>
        </w:rPr>
        <w:t>Changoi</w:t>
      </w:r>
      <w:proofErr w:type="spellEnd"/>
      <w:r w:rsidRPr="00D72529">
        <w:rPr>
          <w:color w:val="000000"/>
          <w:szCs w:val="24"/>
        </w:rPr>
        <w:t xml:space="preserve">, </w:t>
      </w:r>
      <w:proofErr w:type="spellStart"/>
      <w:r w:rsidRPr="00D72529">
        <w:rPr>
          <w:color w:val="000000"/>
          <w:szCs w:val="24"/>
        </w:rPr>
        <w:t>Arroket</w:t>
      </w:r>
      <w:proofErr w:type="spellEnd"/>
      <w:r w:rsidRPr="00D72529">
        <w:rPr>
          <w:color w:val="000000"/>
          <w:szCs w:val="24"/>
        </w:rPr>
        <w:t xml:space="preserve"> (Kenya), </w:t>
      </w:r>
      <w:proofErr w:type="spellStart"/>
      <w:r w:rsidRPr="00D72529">
        <w:rPr>
          <w:color w:val="000000"/>
          <w:szCs w:val="24"/>
        </w:rPr>
        <w:t>Maruku</w:t>
      </w:r>
      <w:proofErr w:type="spellEnd"/>
      <w:r w:rsidRPr="00D72529">
        <w:rPr>
          <w:color w:val="000000"/>
          <w:szCs w:val="24"/>
        </w:rPr>
        <w:t xml:space="preserve">, </w:t>
      </w:r>
      <w:proofErr w:type="spellStart"/>
      <w:r w:rsidRPr="00D72529">
        <w:rPr>
          <w:color w:val="000000"/>
          <w:szCs w:val="24"/>
        </w:rPr>
        <w:t>Katoke</w:t>
      </w:r>
      <w:proofErr w:type="spellEnd"/>
      <w:r w:rsidRPr="00D72529">
        <w:rPr>
          <w:color w:val="000000"/>
          <w:szCs w:val="24"/>
        </w:rPr>
        <w:t xml:space="preserve"> (Tanzania), </w:t>
      </w:r>
      <w:proofErr w:type="spellStart"/>
      <w:r w:rsidRPr="00D72529">
        <w:rPr>
          <w:color w:val="000000"/>
          <w:szCs w:val="24"/>
        </w:rPr>
        <w:t>Kitabi</w:t>
      </w:r>
      <w:proofErr w:type="spellEnd"/>
      <w:r w:rsidRPr="00D72529">
        <w:rPr>
          <w:color w:val="000000"/>
          <w:szCs w:val="24"/>
        </w:rPr>
        <w:t xml:space="preserve"> and </w:t>
      </w:r>
      <w:proofErr w:type="spellStart"/>
      <w:r w:rsidRPr="00D72529">
        <w:rPr>
          <w:color w:val="000000"/>
          <w:szCs w:val="24"/>
        </w:rPr>
        <w:t>Mulindi</w:t>
      </w:r>
      <w:proofErr w:type="spellEnd"/>
      <w:r w:rsidRPr="00D72529">
        <w:rPr>
          <w:color w:val="000000"/>
          <w:szCs w:val="24"/>
        </w:rPr>
        <w:t xml:space="preserve"> (Rwanda), from a 5x3 factorial with five nitrogen fertilizer rates (0, 75, 150, 225 and 300KgN/ha/year) and three plucking intervals (7, 14 and 21 days) as treatments at each site. Plucking intervals had no influence on the soil micro nutrients. Increasing nitrogen rates increased (p≤0.05) soil Al, Fe, and Cu levels but reduced (p≤0.05) soil Zn</w:t>
      </w:r>
      <w:r w:rsidRPr="00D72529">
        <w:rPr>
          <w:szCs w:val="24"/>
        </w:rPr>
        <w:t>.</w:t>
      </w:r>
      <w:r w:rsidRPr="00D72529">
        <w:rPr>
          <w:color w:val="000000"/>
          <w:szCs w:val="24"/>
        </w:rPr>
        <w:t xml:space="preserve"> Soil micro-nutrients levels varied significantly (p≤0.05) from location to location. However, levels were optimal and therefore were not constraining tea production.</w:t>
      </w:r>
    </w:p>
    <w:p w14:paraId="57E500E1" w14:textId="77777777" w:rsidR="00D72529" w:rsidRDefault="00D72529" w:rsidP="00D72529">
      <w:pPr>
        <w:keepNext/>
        <w:tabs>
          <w:tab w:val="center" w:pos="4635"/>
        </w:tabs>
        <w:outlineLvl w:val="0"/>
        <w:rPr>
          <w:rFonts w:eastAsia="Times New Roman"/>
          <w:bCs/>
          <w:kern w:val="32"/>
          <w:szCs w:val="24"/>
        </w:rPr>
      </w:pPr>
    </w:p>
    <w:p w14:paraId="075FA164" w14:textId="77777777" w:rsidR="00D72529" w:rsidRDefault="00D72529" w:rsidP="00D72529">
      <w:pPr>
        <w:keepNext/>
        <w:tabs>
          <w:tab w:val="center" w:pos="4635"/>
        </w:tabs>
        <w:outlineLvl w:val="0"/>
        <w:rPr>
          <w:rFonts w:eastAsia="Times New Roman"/>
          <w:bCs/>
          <w:kern w:val="32"/>
          <w:szCs w:val="24"/>
        </w:rPr>
      </w:pPr>
      <w:r w:rsidRPr="00D72529">
        <w:rPr>
          <w:rFonts w:eastAsia="Times New Roman"/>
          <w:b/>
          <w:kern w:val="32"/>
          <w:szCs w:val="24"/>
        </w:rPr>
        <w:t>KEY WORDS</w:t>
      </w:r>
      <w:r w:rsidRPr="00D72529">
        <w:rPr>
          <w:rFonts w:eastAsia="Times New Roman"/>
          <w:bCs/>
          <w:kern w:val="32"/>
          <w:szCs w:val="24"/>
        </w:rPr>
        <w:t>: Nitrogen rates; Plucking intervals; Location of production; Soil micro-nutrients</w:t>
      </w:r>
      <w:r w:rsidRPr="00D72529">
        <w:rPr>
          <w:rFonts w:eastAsia="Times New Roman"/>
          <w:bCs/>
          <w:kern w:val="32"/>
          <w:szCs w:val="24"/>
          <w:lang w:val="en-GB"/>
        </w:rPr>
        <w:t xml:space="preserve"> </w:t>
      </w:r>
      <w:r w:rsidRPr="00D72529">
        <w:rPr>
          <w:rFonts w:eastAsia="Times New Roman"/>
          <w:bCs/>
          <w:color w:val="000000"/>
          <w:kern w:val="32"/>
          <w:szCs w:val="24"/>
        </w:rPr>
        <w:t>(Al, Fe, Cu, Zn)</w:t>
      </w:r>
      <w:r w:rsidRPr="00D72529">
        <w:rPr>
          <w:rFonts w:eastAsia="Times New Roman"/>
          <w:bCs/>
          <w:kern w:val="32"/>
          <w:szCs w:val="24"/>
        </w:rPr>
        <w:t>; Clone TRFK 6/8; Kenya; Rwanda; Tanzania</w:t>
      </w:r>
      <w:r>
        <w:rPr>
          <w:rFonts w:eastAsia="Times New Roman"/>
          <w:bCs/>
          <w:kern w:val="32"/>
          <w:szCs w:val="24"/>
        </w:rPr>
        <w:t xml:space="preserve">. </w:t>
      </w:r>
    </w:p>
    <w:p w14:paraId="7ABF3125" w14:textId="77777777" w:rsidR="00D72529" w:rsidRPr="00D72529" w:rsidRDefault="00D72529" w:rsidP="00D72529">
      <w:pPr>
        <w:keepNext/>
        <w:tabs>
          <w:tab w:val="center" w:pos="4635"/>
        </w:tabs>
        <w:outlineLvl w:val="0"/>
        <w:rPr>
          <w:rFonts w:eastAsia="Times New Roman"/>
          <w:bCs/>
          <w:kern w:val="32"/>
          <w:szCs w:val="24"/>
        </w:rPr>
      </w:pPr>
    </w:p>
    <w:p w14:paraId="13CD6503" w14:textId="77777777" w:rsidR="00D72529" w:rsidRPr="0062623D" w:rsidRDefault="00B511C1" w:rsidP="00D72529">
      <w:pPr>
        <w:tabs>
          <w:tab w:val="left" w:pos="2610"/>
        </w:tabs>
        <w:spacing w:line="276" w:lineRule="auto"/>
        <w:jc w:val="left"/>
        <w:rPr>
          <w:b/>
          <w:szCs w:val="24"/>
        </w:rPr>
      </w:pPr>
      <w:r w:rsidRPr="0062623D">
        <w:rPr>
          <w:b/>
          <w:szCs w:val="24"/>
        </w:rPr>
        <w:t>INTRODUCTION</w:t>
      </w:r>
    </w:p>
    <w:p w14:paraId="49A8CE46" w14:textId="77777777" w:rsidR="00D72529" w:rsidRDefault="00D72529" w:rsidP="00D72529">
      <w:pPr>
        <w:keepNext/>
        <w:spacing w:line="360" w:lineRule="auto"/>
        <w:outlineLvl w:val="0"/>
        <w:rPr>
          <w:color w:val="1F1F1F"/>
        </w:rPr>
      </w:pPr>
      <w:r w:rsidRPr="007E5E50">
        <w:rPr>
          <w:szCs w:val="24"/>
        </w:rPr>
        <w:t>Tea (</w:t>
      </w:r>
      <w:r w:rsidRPr="007E5E50">
        <w:rPr>
          <w:i/>
          <w:iCs/>
          <w:szCs w:val="24"/>
        </w:rPr>
        <w:t xml:space="preserve">Camellia sinensis, </w:t>
      </w:r>
      <w:r w:rsidRPr="007E5E50">
        <w:rPr>
          <w:iCs/>
          <w:szCs w:val="24"/>
        </w:rPr>
        <w:t>(L) O. Kuntze</w:t>
      </w:r>
      <w:r w:rsidRPr="007E5E50">
        <w:rPr>
          <w:szCs w:val="24"/>
        </w:rPr>
        <w:t xml:space="preserve">) is an </w:t>
      </w:r>
      <w:r>
        <w:rPr>
          <w:szCs w:val="24"/>
        </w:rPr>
        <w:t xml:space="preserve">important </w:t>
      </w:r>
      <w:r w:rsidR="00B0608E">
        <w:rPr>
          <w:szCs w:val="24"/>
        </w:rPr>
        <w:t>economic</w:t>
      </w:r>
      <w:r>
        <w:rPr>
          <w:szCs w:val="24"/>
        </w:rPr>
        <w:t xml:space="preserve"> crop in </w:t>
      </w:r>
      <w:r w:rsidR="00C0732A">
        <w:rPr>
          <w:szCs w:val="24"/>
        </w:rPr>
        <w:t xml:space="preserve">eastern </w:t>
      </w:r>
      <w:r>
        <w:rPr>
          <w:szCs w:val="24"/>
        </w:rPr>
        <w:t xml:space="preserve">Africa, creating employment, and generating high </w:t>
      </w:r>
      <w:r w:rsidR="00B0608E">
        <w:rPr>
          <w:szCs w:val="24"/>
        </w:rPr>
        <w:t>foreign</w:t>
      </w:r>
      <w:r>
        <w:rPr>
          <w:szCs w:val="24"/>
        </w:rPr>
        <w:t xml:space="preserve"> exchange earnings, thereby improving economic status of the countries </w:t>
      </w:r>
      <w:r w:rsidR="003C3653">
        <w:rPr>
          <w:szCs w:val="24"/>
        </w:rPr>
        <w:fldChar w:fldCharType="begin"/>
      </w:r>
      <w:r w:rsidR="00630FE0">
        <w:rPr>
          <w:szCs w:val="24"/>
        </w:rPr>
        <w:instrText xml:space="preserve"> ADDIN EN.CITE &lt;EndNote&gt;&lt;Cite&gt;&lt;Author&gt;ITC&lt;/Author&gt;&lt;Year&gt;2024&lt;/Year&gt;&lt;RecNum&gt;148&lt;/RecNum&gt;&lt;DisplayText&gt;(ITC, 2024)&lt;/DisplayText&gt;&lt;record&gt;&lt;rec-number&gt;148&lt;/rec-number&gt;&lt;foreign-keys&gt;&lt;key app="EN" db-id="zx5vprwxa0rsabew9f9xp5fcs9tz0dzwa2fa" timestamp="1757672993"&gt;148&lt;/key&gt;&lt;/foreign-keys&gt;&lt;ref-type name="Book"&gt;6&lt;/ref-type&gt;&lt;contributors&gt;&lt;authors&gt;&lt;author&gt;ITC,&lt;/author&gt;&lt;/authors&gt;&lt;/contributors&gt;&lt;titles&gt;&lt;title&gt; International Tea Committee:  Annual Bulletin of Statistics&lt;/title&gt;&lt;/titles&gt;&lt;dates&gt;&lt;year&gt;2024&lt;/year&gt;&lt;/dates&gt;&lt;pub-location&gt;Colombo, Sri Lanka.&lt;/pub-location&gt;&lt;publisher&gt;Aitken Spence Printing (Pvt) Ltd&lt;/publisher&gt;&lt;urls&gt;&lt;/urls&gt;&lt;/record&gt;&lt;/Cite&gt;&lt;/EndNote&gt;</w:instrText>
      </w:r>
      <w:r w:rsidR="003C3653">
        <w:rPr>
          <w:szCs w:val="24"/>
        </w:rPr>
        <w:fldChar w:fldCharType="separate"/>
      </w:r>
      <w:r w:rsidR="00630FE0">
        <w:rPr>
          <w:noProof/>
          <w:szCs w:val="24"/>
        </w:rPr>
        <w:t>(ITC, 2024)</w:t>
      </w:r>
      <w:r w:rsidR="003C3653">
        <w:rPr>
          <w:szCs w:val="24"/>
        </w:rPr>
        <w:fldChar w:fldCharType="end"/>
      </w:r>
      <w:r>
        <w:rPr>
          <w:szCs w:val="24"/>
        </w:rPr>
        <w:t xml:space="preserve">. Indeed, </w:t>
      </w:r>
      <w:r w:rsidRPr="007E5E50">
        <w:rPr>
          <w:szCs w:val="24"/>
        </w:rPr>
        <w:t xml:space="preserve">tea plant is the major foreign exchange earner in many production regions of the world </w:t>
      </w:r>
      <w:r w:rsidR="003C3653">
        <w:rPr>
          <w:szCs w:val="24"/>
        </w:rPr>
        <w:fldChar w:fldCharType="begin"/>
      </w:r>
      <w:r w:rsidR="00EF448D">
        <w:rPr>
          <w:szCs w:val="24"/>
        </w:rPr>
        <w:instrText xml:space="preserve"> ADDIN EN.CITE &lt;EndNote&gt;&lt;Cite&gt;&lt;Author&gt;Mbadi&lt;/Author&gt;&lt;Year&gt;2008&lt;/Year&gt;&lt;RecNum&gt;157&lt;/RecNum&gt;&lt;DisplayText&gt;(ITC, 2024; Mbadi &amp;amp; Owuor, 2008)&lt;/DisplayText&gt;&lt;record&gt;&lt;rec-number&gt;157&lt;/rec-number&gt;&lt;foreign-keys&gt;&lt;key app="EN" db-id="zx5vprwxa0rsabew9f9xp5fcs9tz0dzwa2fa" timestamp="1757255832"&gt;157&lt;/key&gt;&lt;/foreign-keys&gt;&lt;ref-type name="Journal Article"&gt;17&lt;/ref-type&gt;&lt;contributors&gt;&lt;authors&gt;&lt;author&gt;Mbadi, Peter K&lt;/author&gt;&lt;author&gt;Owuor, P Okinda&lt;/author&gt;&lt;/authors&gt;&lt;/contributors&gt;&lt;titles&gt;&lt;title&gt;The role of Kenya Tea Development Agency Limited in the small-scale tea holder development in Kenya&lt;/title&gt;&lt;secondary-title&gt;International Journal of Tea Science&lt;/secondary-title&gt;&lt;/titles&gt;&lt;periodical&gt;&lt;full-title&gt;International Journal of Tea Science&lt;/full-title&gt;&lt;/periodical&gt;&lt;pages&gt;7-15&lt;/pages&gt;&lt;volume&gt;7&lt;/volume&gt;&lt;number&gt;3&amp;amp;4&lt;/number&gt;&lt;dates&gt;&lt;year&gt;2008&lt;/year&gt;&lt;/dates&gt;&lt;urls&gt;&lt;/urls&gt;&lt;electronic-resource-num&gt;10.20425/ijts.v7i3and4.4757&lt;/electronic-resource-num&gt;&lt;/record&gt;&lt;/Cite&gt;&lt;Cite&gt;&lt;Author&gt;ITC&lt;/Author&gt;&lt;Year&gt;2024&lt;/Year&gt;&lt;RecNum&gt;148&lt;/RecNum&gt;&lt;record&gt;&lt;rec-number&gt;148&lt;/rec-number&gt;&lt;foreign-keys&gt;&lt;key app="EN" db-id="zx5vprwxa0rsabew9f9xp5fcs9tz0dzwa2fa" timestamp="1757672993"&gt;148&lt;/key&gt;&lt;/foreign-keys&gt;&lt;ref-type name="Book"&gt;6&lt;/ref-type&gt;&lt;contributors&gt;&lt;authors&gt;&lt;author&gt;ITC,&lt;/author&gt;&lt;/authors&gt;&lt;/contributors&gt;&lt;titles&gt;&lt;title&gt; International Tea Committee:  Annual Bulletin of Statistics&lt;/title&gt;&lt;/titles&gt;&lt;dates&gt;&lt;year&gt;2024&lt;/year&gt;&lt;/dates&gt;&lt;pub-location&gt;Colombo, Sri Lanka.&lt;/pub-location&gt;&lt;publisher&gt;Aitken Spence Printing (Pvt) Ltd&lt;/publisher&gt;&lt;urls&gt;&lt;/urls&gt;&lt;/record&gt;&lt;/Cite&gt;&lt;/EndNote&gt;</w:instrText>
      </w:r>
      <w:r w:rsidR="003C3653">
        <w:rPr>
          <w:szCs w:val="24"/>
        </w:rPr>
        <w:fldChar w:fldCharType="separate"/>
      </w:r>
      <w:r w:rsidR="00EF448D">
        <w:rPr>
          <w:noProof/>
          <w:szCs w:val="24"/>
        </w:rPr>
        <w:t>(ITC, 2024; Mbadi &amp; Owuor, 2008)</w:t>
      </w:r>
      <w:r w:rsidR="003C3653">
        <w:rPr>
          <w:szCs w:val="24"/>
        </w:rPr>
        <w:fldChar w:fldCharType="end"/>
      </w:r>
      <w:r w:rsidR="007F5B46">
        <w:rPr>
          <w:szCs w:val="24"/>
        </w:rPr>
        <w:t xml:space="preserve"> and </w:t>
      </w:r>
      <w:r>
        <w:rPr>
          <w:szCs w:val="24"/>
        </w:rPr>
        <w:t xml:space="preserve">is a popular economic crop in </w:t>
      </w:r>
      <w:r w:rsidR="007F5B46">
        <w:rPr>
          <w:szCs w:val="24"/>
        </w:rPr>
        <w:t xml:space="preserve">eastern </w:t>
      </w:r>
      <w:r>
        <w:rPr>
          <w:szCs w:val="24"/>
        </w:rPr>
        <w:t xml:space="preserve">Africa </w:t>
      </w:r>
      <w:r w:rsidR="003C3653">
        <w:rPr>
          <w:szCs w:val="24"/>
        </w:rPr>
        <w:fldChar w:fldCharType="begin"/>
      </w:r>
      <w:r w:rsidR="00630FE0">
        <w:rPr>
          <w:szCs w:val="24"/>
        </w:rPr>
        <w:instrText xml:space="preserve"> ADDIN EN.CITE &lt;EndNote&gt;&lt;Cite&gt;&lt;Author&gt;Awasom&lt;/Author&gt;&lt;Year&gt;2011&lt;/Year&gt;&lt;RecNum&gt;238&lt;/RecNum&gt;&lt;DisplayText&gt;(Awasom, 2011; ITC, 2024)&lt;/DisplayText&gt;&lt;record&gt;&lt;rec-number&gt;238&lt;/rec-number&gt;&lt;foreign-keys&gt;&lt;key app="EN" db-id="zx5vprwxa0rsabew9f9xp5fcs9tz0dzwa2fa" timestamp="1759781152"&gt;238&lt;/key&gt;&lt;/foreign-keys&gt;&lt;ref-type name="Journal Article"&gt;17&lt;/ref-type&gt;&lt;contributors&gt;&lt;authors&gt;&lt;author&gt;Awasom, Innocent&lt;/author&gt;&lt;/authors&gt;&lt;/contributors&gt;&lt;titles&gt;&lt;title&gt;Tea&lt;/title&gt;&lt;secondary-title&gt;Journal of Agricultural &amp;amp; Food Information&lt;/secondary-title&gt;&lt;/titles&gt;&lt;periodical&gt;&lt;full-title&gt;Journal of Agricultural &amp;amp; Food Information&lt;/full-title&gt;&lt;/periodical&gt;&lt;pages&gt;12-22&lt;/pages&gt;&lt;volume&gt;12&lt;/volume&gt;&lt;number&gt;1&lt;/number&gt;&lt;dates&gt;&lt;year&gt;2011&lt;/year&gt;&lt;/dates&gt;&lt;isbn&gt;1049-6505&lt;/isbn&gt;&lt;urls&gt;&lt;/urls&gt;&lt;electronic-resource-num&gt;https://doi.org/10.1080/10496505.2011.540552&lt;/electronic-resource-num&gt;&lt;/record&gt;&lt;/Cite&gt;&lt;Cite&gt;&lt;Author&gt;ITC&lt;/Author&gt;&lt;Year&gt;2024&lt;/Year&gt;&lt;RecNum&gt;148&lt;/RecNum&gt;&lt;record&gt;&lt;rec-number&gt;148&lt;/rec-number&gt;&lt;foreign-keys&gt;&lt;key app="EN" db-id="zx5vprwxa0rsabew9f9xp5fcs9tz0dzwa2fa" timestamp="1757672993"&gt;148&lt;/key&gt;&lt;/foreign-keys&gt;&lt;ref-type name="Book"&gt;6&lt;/ref-type&gt;&lt;contributors&gt;&lt;authors&gt;&lt;author&gt;ITC,&lt;/author&gt;&lt;/authors&gt;&lt;/contributors&gt;&lt;titles&gt;&lt;title&gt; International Tea Committee:  Annual Bulletin of Statistics&lt;/title&gt;&lt;/titles&gt;&lt;dates&gt;&lt;year&gt;2024&lt;/year&gt;&lt;/dates&gt;&lt;pub-location&gt;Colombo, Sri Lanka.&lt;/pub-location&gt;&lt;publisher&gt;Aitken Spence Printing (Pvt) Ltd&lt;/publisher&gt;&lt;urls&gt;&lt;/urls&gt;&lt;/record&gt;&lt;/Cite&gt;&lt;/EndNote&gt;</w:instrText>
      </w:r>
      <w:r w:rsidR="003C3653">
        <w:rPr>
          <w:szCs w:val="24"/>
        </w:rPr>
        <w:fldChar w:fldCharType="separate"/>
      </w:r>
      <w:r w:rsidR="00630FE0">
        <w:rPr>
          <w:noProof/>
          <w:szCs w:val="24"/>
        </w:rPr>
        <w:t>(Awasom, 2011; ITC, 2024)</w:t>
      </w:r>
      <w:r w:rsidR="003C3653">
        <w:rPr>
          <w:szCs w:val="24"/>
        </w:rPr>
        <w:fldChar w:fldCharType="end"/>
      </w:r>
      <w:r>
        <w:rPr>
          <w:szCs w:val="24"/>
        </w:rPr>
        <w:t>. Due to its economic importance, efforts are continuing to increase its production through improved agricultural</w:t>
      </w:r>
      <w:r w:rsidR="00FB5451">
        <w:rPr>
          <w:szCs w:val="24"/>
        </w:rPr>
        <w:t xml:space="preserve"> p</w:t>
      </w:r>
      <w:r>
        <w:rPr>
          <w:szCs w:val="24"/>
        </w:rPr>
        <w:t>ractice</w:t>
      </w:r>
      <w:r w:rsidR="00FB5451">
        <w:rPr>
          <w:szCs w:val="24"/>
        </w:rPr>
        <w:t>s</w:t>
      </w:r>
      <w:r>
        <w:rPr>
          <w:szCs w:val="24"/>
        </w:rPr>
        <w:t xml:space="preserve"> </w:t>
      </w:r>
      <w:r w:rsidR="003C3653">
        <w:rPr>
          <w:szCs w:val="24"/>
        </w:rPr>
        <w:fldChar w:fldCharType="begin">
          <w:fldData xml:space="preserve">PEVuZE5vdGU+PENpdGU+PEF1dGhvcj5PbWFtbzwvQXV0aG9yPjxZZWFyPjIwMDY8L1llYXI+PFJl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</w:fldData>
        </w:fldChar>
      </w:r>
      <w:r w:rsidR="00EF448D">
        <w:rPr>
          <w:szCs w:val="24"/>
        </w:rPr>
        <w:instrText xml:space="preserve"> ADDIN EN.CITE </w:instrText>
      </w:r>
      <w:r w:rsidR="00EF448D">
        <w:rPr>
          <w:szCs w:val="24"/>
        </w:rPr>
        <w:fldChar w:fldCharType="begin">
          <w:fldData xml:space="preserve">PEVuZE5vdGU+PENpdGU+PEF1dGhvcj5PbWFtbzwvQXV0aG9yPjxZZWFyPjIwMDY8L1llYXI+PFJl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</w:fldData>
        </w:fldChar>
      </w:r>
      <w:r w:rsidR="00EF448D">
        <w:rPr>
          <w:szCs w:val="24"/>
        </w:rPr>
        <w:instrText xml:space="preserve"> ADDIN EN.CITE.DATA </w:instrText>
      </w:r>
      <w:r w:rsidR="00EF448D">
        <w:rPr>
          <w:szCs w:val="24"/>
        </w:rPr>
      </w:r>
      <w:r w:rsidR="00EF448D">
        <w:rPr>
          <w:szCs w:val="24"/>
        </w:rPr>
        <w:fldChar w:fldCharType="end"/>
      </w:r>
      <w:r w:rsidR="003C3653">
        <w:rPr>
          <w:szCs w:val="24"/>
        </w:rPr>
      </w:r>
      <w:r w:rsidR="003C3653">
        <w:rPr>
          <w:szCs w:val="24"/>
        </w:rPr>
        <w:fldChar w:fldCharType="separate"/>
      </w:r>
      <w:r w:rsidR="00EF448D">
        <w:rPr>
          <w:noProof/>
          <w:szCs w:val="24"/>
        </w:rPr>
        <w:t>(Omamo et al., 2006; Owuor, Kamau, Kamunya, et al., 2011)</w:t>
      </w:r>
      <w:r w:rsidR="003C3653">
        <w:rPr>
          <w:szCs w:val="24"/>
        </w:rPr>
        <w:fldChar w:fldCharType="end"/>
      </w:r>
      <w:r>
        <w:rPr>
          <w:szCs w:val="24"/>
        </w:rPr>
        <w:t xml:space="preserve">. Nitrogenous fertilizer use </w:t>
      </w:r>
      <w:r w:rsidR="003C3653">
        <w:rPr>
          <w:szCs w:val="24"/>
        </w:rPr>
        <w:fldChar w:fldCharType="begin"/>
      </w:r>
      <w:r w:rsidR="00EF448D">
        <w:rPr>
          <w:szCs w:val="24"/>
        </w:rPr>
        <w:instrText xml:space="preserve"> ADDIN EN.CITE &lt;EndNote&gt;&lt;Cite&gt;&lt;Author&gt;Kamau&lt;/Author&gt;&lt;Year&gt;2008&lt;/Year&gt;&lt;RecNum&gt;239&lt;/RecNum&gt;&lt;DisplayText&gt;(D. Kamau et al., 2008; Owuor et al., 2013)&lt;/DisplayText&gt;&lt;record&gt;&lt;rec-number&gt;239&lt;/rec-number&gt;&lt;foreign-keys&gt;&lt;key app="EN" db-id="zx5vprwxa0rsabew9f9xp5fcs9tz0dzwa2fa" timestamp="1759781442"&gt;239&lt;/key&gt;&lt;/foreign-keys&gt;&lt;ref-type name="Journal Article"&gt;17&lt;/ref-type&gt;&lt;contributors&gt;&lt;authors&gt;&lt;author&gt;Kamau, DM&lt;/author&gt;&lt;author&gt;Spiertz, JHJ&lt;/author&gt;&lt;author&gt;Oenema, O&lt;/author&gt;&lt;author&gt;Owuor, PO&lt;/author&gt;&lt;/authors&gt;&lt;/contributors&gt;&lt;titles&gt;&lt;title&gt;Productivity and nitrogen use of tea plantations in relation to age and genotype&lt;/title&gt;&lt;secondary-title&gt;Field Crops Research&lt;/secondary-title&gt;&lt;/titles&gt;&lt;periodical&gt;&lt;full-title&gt;Field Crops Research&lt;/full-title&gt;&lt;/periodical&gt;&lt;pages&gt;60-70&lt;/pages&gt;&lt;volume&gt;108&lt;/volume&gt;&lt;number&gt;1&lt;/number&gt;&lt;dates&gt;&lt;year&gt;2008&lt;/year&gt;&lt;/dates&gt;&lt;isbn&gt;0378-4290&lt;/isbn&gt;&lt;urls&gt;&lt;/urls&gt;&lt;electronic-resource-num&gt;https://doi.org/10.1016/j.fcr.2008.03.003&lt;/electronic-resource-num&gt;&lt;/record&gt;&lt;/Cite&gt;&lt;Cite&gt;&lt;Author&gt;Owuor&lt;/Author&gt;&lt;Year&gt;2013&lt;/Year&gt;&lt;RecNum&gt;130&lt;/RecNum&gt;&lt;record&gt;&lt;rec-number&gt;130&lt;/rec-number&gt;&lt;foreign-keys&gt;&lt;key app="EN" db-id="zx5vprwxa0rsabew9f9xp5fcs9tz0dzwa2fa" timestamp="1595789535"&gt;130&lt;/key&gt;&lt;/foreign-keys&gt;&lt;ref-type name="Journal Article"&gt;17&lt;/ref-type&gt;&lt;contributors&gt;&lt;authors&gt;&lt;author&gt;Owuor, P. O.&lt;/author&gt;&lt;author&gt;Kamau, D. M.&lt;/author&gt;&lt;author&gt;Kamunya, S. M.&lt;/author&gt;&lt;author&gt;Msomba, S. W.&lt;/author&gt;&lt;author&gt;Jondiko, E. O.&lt;/author&gt;&lt;author&gt;Uwimana, M. A.&lt;/author&gt;&lt;/authors&gt;&lt;/contributors&gt;&lt;titles&gt;&lt;title&gt;The response of clone BBK 35 tea to nitrogen fertilizer rates and harvesting intervals in the Lake Victoria Basin of Kenya&lt;/title&gt;&lt;secondary-title&gt;Journal of Agriculture, Food and Environment&lt;/secondary-title&gt;&lt;/titles&gt;&lt;periodical&gt;&lt;full-title&gt;Journal of Agriculture, Food and Environment&lt;/full-title&gt;&lt;/periodical&gt;&lt;pages&gt;757-763&lt;/pages&gt;&lt;volume&gt;11&lt;/volume&gt;&lt;number&gt;3&amp;amp;4&lt;/number&gt;&lt;dates&gt;&lt;year&gt;2013&lt;/year&gt;&lt;/dates&gt;&lt;urls&gt;&lt;/urls&gt;&lt;/record&gt;&lt;/Cite&gt;&lt;/EndNote&gt;</w:instrText>
      </w:r>
      <w:r w:rsidR="003C3653">
        <w:rPr>
          <w:szCs w:val="24"/>
        </w:rPr>
        <w:fldChar w:fldCharType="separate"/>
      </w:r>
      <w:r w:rsidR="00EF448D">
        <w:rPr>
          <w:noProof/>
          <w:szCs w:val="24"/>
        </w:rPr>
        <w:t>(D. Kamau et al., 2008; Owuor et al., 2013)</w:t>
      </w:r>
      <w:r w:rsidR="003C3653">
        <w:rPr>
          <w:szCs w:val="24"/>
        </w:rPr>
        <w:fldChar w:fldCharType="end"/>
      </w:r>
      <w:r>
        <w:rPr>
          <w:szCs w:val="24"/>
        </w:rPr>
        <w:t xml:space="preserve"> and harvesting intervals </w:t>
      </w:r>
      <w:r w:rsidR="003C3653">
        <w:rPr>
          <w:szCs w:val="24"/>
        </w:rPr>
        <w:fldChar w:fldCharType="begin"/>
      </w:r>
      <w:r w:rsidR="00EF448D">
        <w:rPr>
          <w:szCs w:val="24"/>
        </w:rPr>
        <w:instrText xml:space="preserve"> ADDIN EN.CITE &lt;EndNote&gt;&lt;Cite&gt;&lt;Author&gt;Wijeratne&lt;/Author&gt;&lt;Year&gt;2003&lt;/Year&gt;&lt;RecNum&gt;152&lt;/RecNum&gt;&lt;DisplayText&gt;(Owuor et al., 2013; Wijeratne, 2003)&lt;/DisplayText&gt;&lt;record&gt;&lt;rec-number&gt;152&lt;/rec-number&gt;&lt;foreign-keys&gt;&lt;key app="EN" db-id="zx5vprwxa0rsabew9f9xp5fcs9tz0dzwa2fa" timestamp="1757674553"&gt;152&lt;/key&gt;&lt;/foreign-keys&gt;&lt;ref-type name="Journal Article"&gt;17&lt;/ref-type&gt;&lt;contributors&gt;&lt;authors&gt;&lt;author&gt;Wijeratne, M A&lt;/author&gt;&lt;/authors&gt;&lt;/contributors&gt;&lt;titles&gt;&lt;title&gt;&lt;style face="normal" font="default" size="100%"&gt;Harvesting policies of tea (&lt;/style&gt;&lt;style face="italic" font="default" size="100%"&gt;Camellia sinensis&lt;/style&gt;&lt;style face="normal" font="default" size="100%"&gt; L.) for higher productivity and quality&lt;/style&gt;&lt;/title&gt;&lt;secondary-title&gt;Tropical Agricultural Research and Extension&lt;/secondary-title&gt;&lt;/titles&gt;&lt;periodical&gt;&lt;full-title&gt;Tropical Agricultural Research and Extension&lt;/full-title&gt;&lt;/periodical&gt;&lt;volume&gt;6&lt;/volume&gt;&lt;dates&gt;&lt;year&gt;2003&lt;/year&gt;&lt;/dates&gt;&lt;isbn&gt;1391-3646&lt;/isbn&gt;&lt;urls&gt;&lt;/urls&gt;&lt;electronic-resource-num&gt;DOI: 10.4038/tare.v6i0.5446&lt;/electronic-resource-num&gt;&lt;/record&gt;&lt;/Cite&gt;&lt;Cite&gt;&lt;Author&gt;Owuor&lt;/Author&gt;&lt;Year&gt;2013&lt;/Year&gt;&lt;RecNum&gt;130&lt;/RecNum&gt;&lt;record&gt;&lt;rec-number&gt;130&lt;/rec-number&gt;&lt;foreign-keys&gt;&lt;key app="EN" db-id="zx5vprwxa0rsabew9f9xp5fcs9tz0dzwa2fa" timestamp="1595789535"&gt;130&lt;/key&gt;&lt;/foreign-keys&gt;&lt;ref-type name="Journal Article"&gt;17&lt;/ref-type&gt;&lt;contributors&gt;&lt;authors&gt;&lt;author&gt;Owuor, P. O.&lt;/author&gt;&lt;author&gt;Kamau, D. M.&lt;/author&gt;&lt;author&gt;Kamunya, S. M.&lt;/author&gt;&lt;author&gt;Msomba, S. W.&lt;/author&gt;&lt;author&gt;Jondiko, E. O.&lt;/author&gt;&lt;author&gt;Uwimana, M. A.&lt;/author&gt;&lt;/authors&gt;&lt;/contributors&gt;&lt;titles&gt;&lt;title&gt;The response of clone BBK 35 tea to nitrogen fertilizer rates and harvesting intervals in the Lake Victoria Basin of Kenya&lt;/title&gt;&lt;secondary-title&gt;Journal of Agriculture, Food and Environment&lt;/secondary-title&gt;&lt;/titles&gt;&lt;periodical&gt;&lt;full-title&gt;Journal of Agriculture, Food and Environment&lt;/full-title&gt;&lt;/periodical&gt;&lt;pages&gt;757-763&lt;/pages&gt;&lt;volume&gt;11&lt;/volume&gt;&lt;number&gt;3&amp;amp;4&lt;/number&gt;&lt;dates&gt;&lt;year&gt;2013&lt;/year&gt;&lt;/dates&gt;&lt;urls&gt;&lt;/urls&gt;&lt;/record&gt;&lt;/Cite&gt;&lt;/EndNote&gt;</w:instrText>
      </w:r>
      <w:r w:rsidR="003C3653">
        <w:rPr>
          <w:szCs w:val="24"/>
        </w:rPr>
        <w:fldChar w:fldCharType="separate"/>
      </w:r>
      <w:r w:rsidR="00EF448D">
        <w:rPr>
          <w:noProof/>
          <w:szCs w:val="24"/>
        </w:rPr>
        <w:t>(Owuor et al., 2013; Wijeratne, 2003)</w:t>
      </w:r>
      <w:r w:rsidR="003C3653">
        <w:rPr>
          <w:szCs w:val="24"/>
        </w:rPr>
        <w:fldChar w:fldCharType="end"/>
      </w:r>
      <w:r>
        <w:rPr>
          <w:szCs w:val="24"/>
        </w:rPr>
        <w:t xml:space="preserve"> are important agronomic inputs that can increase tea productivity. But the res</w:t>
      </w:r>
      <w:r w:rsidR="00B0608E">
        <w:rPr>
          <w:szCs w:val="24"/>
        </w:rPr>
        <w:t>ponses</w:t>
      </w:r>
      <w:r>
        <w:rPr>
          <w:szCs w:val="24"/>
        </w:rPr>
        <w:t xml:space="preserve"> of tea yields </w:t>
      </w:r>
      <w:r w:rsidR="003C3653">
        <w:rPr>
          <w:szCs w:val="24"/>
        </w:rPr>
        <w:fldChar w:fldCharType="begin"/>
      </w:r>
      <w:r w:rsidR="00EF448D">
        <w:rPr>
          <w:szCs w:val="24"/>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003C3653">
        <w:rPr>
          <w:szCs w:val="24"/>
        </w:rPr>
        <w:fldChar w:fldCharType="separate"/>
      </w:r>
      <w:r w:rsidR="00EF448D">
        <w:rPr>
          <w:noProof/>
          <w:szCs w:val="24"/>
        </w:rPr>
        <w:t>(Msomba et al., 2014)</w:t>
      </w:r>
      <w:r w:rsidR="003C3653">
        <w:rPr>
          <w:szCs w:val="24"/>
        </w:rPr>
        <w:fldChar w:fldCharType="end"/>
      </w:r>
      <w:r>
        <w:rPr>
          <w:szCs w:val="24"/>
        </w:rPr>
        <w:t xml:space="preserve">, quality </w:t>
      </w:r>
      <w:r w:rsidR="003C3653">
        <w:rPr>
          <w:szCs w:val="24"/>
        </w:rPr>
        <w:fldChar w:fldCharType="begin"/>
      </w:r>
      <w:r w:rsidR="00EF448D">
        <w:rPr>
          <w:szCs w:val="24"/>
        </w:rPr>
        <w:instrText xml:space="preserve"> ADDIN EN.CITE &lt;EndNote&gt;&lt;Cite&gt;&lt;Author&gt;Kwach&lt;/Author&gt;&lt;Year&gt;2016&lt;/Year&gt;&lt;RecNum&gt;127&lt;/RecNum&gt;&lt;DisplayText&gt;(Kwach et al., 2016)&lt;/DisplayText&gt;&lt;record&gt;&lt;rec-number&gt;127&lt;/rec-number&gt;&lt;foreign-keys&gt;&lt;key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EndNote&gt;</w:instrText>
      </w:r>
      <w:r w:rsidR="003C3653">
        <w:rPr>
          <w:szCs w:val="24"/>
        </w:rPr>
        <w:fldChar w:fldCharType="separate"/>
      </w:r>
      <w:r w:rsidR="00EF448D">
        <w:rPr>
          <w:noProof/>
          <w:szCs w:val="24"/>
        </w:rPr>
        <w:t>(Kwach et al., 2016)</w:t>
      </w:r>
      <w:r w:rsidR="003C3653">
        <w:rPr>
          <w:szCs w:val="24"/>
        </w:rPr>
        <w:fldChar w:fldCharType="end"/>
      </w:r>
      <w:r>
        <w:rPr>
          <w:szCs w:val="24"/>
        </w:rPr>
        <w:t xml:space="preserve">, leaf nutrients </w:t>
      </w:r>
      <w:r w:rsidR="003C3653">
        <w:rPr>
          <w:szCs w:val="24"/>
        </w:rPr>
        <w:fldChar w:fldCharType="begin"/>
      </w:r>
      <w:r w:rsidR="00EF448D">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Pr>
          <w:szCs w:val="24"/>
        </w:rPr>
        <w:t xml:space="preserve">, soil macro nutrients </w:t>
      </w:r>
      <w:r w:rsidR="003C3653">
        <w:rPr>
          <w:szCs w:val="24"/>
        </w:rPr>
        <w:fldChar w:fldCharType="begin">
          <w:fldData xml:space="preserve">PEVuZE5vdGU+PENpdGU+PEF1dGhvcj5PbWJvcmk8L0F1dGhvcj48WWVhcj4yMDIwPC9ZZWFyPjxS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</w:fldData>
        </w:fldChar>
      </w:r>
      <w:r w:rsidR="00EF448D">
        <w:rPr>
          <w:szCs w:val="24"/>
        </w:rPr>
        <w:instrText xml:space="preserve"> ADDIN EN.CITE </w:instrText>
      </w:r>
      <w:r w:rsidR="00EF448D">
        <w:rPr>
          <w:szCs w:val="24"/>
        </w:rPr>
        <w:fldChar w:fldCharType="begin">
          <w:fldData xml:space="preserve">PEVuZE5vdGU+PENpdGU+PEF1dGhvcj5PbWJvcmk8L0F1dGhvcj48WWVhcj4yMDIwPC9ZZWFyPjxS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</w:fldData>
        </w:fldChar>
      </w:r>
      <w:r w:rsidR="00EF448D">
        <w:rPr>
          <w:szCs w:val="24"/>
        </w:rPr>
        <w:instrText xml:space="preserve"> ADDIN EN.CITE.DATA </w:instrText>
      </w:r>
      <w:r w:rsidR="00EF448D">
        <w:rPr>
          <w:szCs w:val="24"/>
        </w:rPr>
      </w:r>
      <w:r w:rsidR="00EF448D">
        <w:rPr>
          <w:szCs w:val="24"/>
        </w:rPr>
        <w:fldChar w:fldCharType="end"/>
      </w:r>
      <w:r w:rsidR="003C3653">
        <w:rPr>
          <w:szCs w:val="24"/>
        </w:rPr>
      </w:r>
      <w:r w:rsidR="003C3653">
        <w:rPr>
          <w:szCs w:val="24"/>
        </w:rPr>
        <w:fldChar w:fldCharType="separate"/>
      </w:r>
      <w:r w:rsidR="00EF448D">
        <w:rPr>
          <w:noProof/>
          <w:szCs w:val="24"/>
        </w:rPr>
        <w:t>(Ombori et al., 2020; Ombori et al., 2025a)</w:t>
      </w:r>
      <w:r w:rsidR="003C3653">
        <w:rPr>
          <w:szCs w:val="24"/>
        </w:rPr>
        <w:fldChar w:fldCharType="end"/>
      </w:r>
      <w:r>
        <w:rPr>
          <w:szCs w:val="24"/>
        </w:rPr>
        <w:t xml:space="preserve"> to nitrogen fertili</w:t>
      </w:r>
      <w:r w:rsidR="00FB5451">
        <w:rPr>
          <w:szCs w:val="24"/>
        </w:rPr>
        <w:t>z</w:t>
      </w:r>
      <w:r>
        <w:rPr>
          <w:szCs w:val="24"/>
        </w:rPr>
        <w:t xml:space="preserve">ers, and harvesting intervals vary with geographical </w:t>
      </w:r>
      <w:r w:rsidRPr="00975D1B">
        <w:rPr>
          <w:strike/>
          <w:szCs w:val="24"/>
        </w:rPr>
        <w:t>with</w:t>
      </w:r>
      <w:r>
        <w:rPr>
          <w:szCs w:val="24"/>
        </w:rPr>
        <w:t xml:space="preserve"> location of production. Such variations can be large in wider environments like </w:t>
      </w:r>
      <w:r w:rsidR="007F5B46">
        <w:rPr>
          <w:szCs w:val="24"/>
        </w:rPr>
        <w:t xml:space="preserve">eastern </w:t>
      </w:r>
      <w:r>
        <w:rPr>
          <w:szCs w:val="24"/>
        </w:rPr>
        <w:t xml:space="preserve">African tea growing regions even when agronomic and management practices are uniform </w:t>
      </w:r>
      <w:r w:rsidR="003C3653">
        <w:rPr>
          <w:szCs w:val="24"/>
        </w:rPr>
        <w:fldChar w:fldCharType="begin"/>
      </w:r>
      <w:r w:rsidR="00EF448D">
        <w:rPr>
          <w:szCs w:val="24"/>
        </w:rPr>
        <w:instrText xml:space="preserve"> ADDIN EN.CITE &lt;EndNote&gt;&lt;Cite&gt;&lt;Author&gt;Owuor&lt;/Author&gt;&lt;Year&gt;2011&lt;/Year&gt;&lt;RecNum&gt;92&lt;/RecNum&gt;&lt;DisplayText&gt;(Owuor, Kamau, Msomba, et al., 2011)&lt;/DisplayText&gt;&lt;record&gt;&lt;rec-number&gt;92&lt;/rec-number&gt;&lt;foreign-keys&gt;&lt;key app="EN" db-id="zx5vprwxa0rsabew9f9xp5fcs9tz0dzwa2fa" timestamp="1595619691"&gt;92&lt;/key&gt;&lt;/foreign-keys&gt;&lt;ref-type name="Conference Proceedings"&gt;10&lt;/ref-type&gt;&lt;contributors&gt;&lt;authors&gt;&lt;author&gt;Owuor, P. O.&lt;/author&gt;&lt;author&gt;Kamau, D. M.&lt;/author&gt;&lt;author&gt;Msomba, S. W.&lt;/author&gt;&lt;author&gt;Uwimana, M. A.&lt;/author&gt;&lt;author&gt;Kamunya, S. M.&lt;/author&gt;&lt;/authors&gt;&lt;secondary-authors&gt;&lt;author&gt;Owuor, P.O.&lt;/author&gt;&lt;author&gt;Banadda, E.N.&lt;/author&gt;&lt;author&gt;Obua, J.&lt;/author&gt;&lt;author&gt;Okoth, S.&lt;/author&gt;&lt;/secondary-authors&gt;&lt;/contributors&gt;&lt;titles&gt;&lt;title&gt;Yield response of tea clone TRFK 6/8 to growing environments, nitrogenous fertilizer application and plucking intervals in East Africa&lt;/title&gt;&lt;secondary-title&gt;Natural Resource Management and Land Use Proceeding of the Cluster Workshop&lt;/secondary-title&gt;&lt;/titles&gt;&lt;pages&gt; 80-90&lt;/pages&gt;&lt;dates&gt;&lt;year&gt;2011&lt;/year&gt;&lt;pub-dates&gt;&lt;date&gt;30th November-2nd December&lt;/date&gt;&lt;/pub-dates&gt;&lt;/dates&gt;&lt;pub-location&gt;Nairobi&lt;/pub-location&gt;&lt;publisher&gt;Inter-University Council for East Africa, Lake Victoria Research Initiative&lt;/publisher&gt;&lt;urls&gt;&lt;/urls&gt;&lt;/record&gt;&lt;/Cite&gt;&lt;/EndNote&gt;</w:instrText>
      </w:r>
      <w:r w:rsidR="003C3653">
        <w:rPr>
          <w:szCs w:val="24"/>
        </w:rPr>
        <w:fldChar w:fldCharType="separate"/>
      </w:r>
      <w:r w:rsidR="00EF448D">
        <w:rPr>
          <w:noProof/>
          <w:szCs w:val="24"/>
        </w:rPr>
        <w:t>(Owuor, Kamau, Msomba, et al., 2011)</w:t>
      </w:r>
      <w:r w:rsidR="003C3653">
        <w:rPr>
          <w:szCs w:val="24"/>
        </w:rPr>
        <w:fldChar w:fldCharType="end"/>
      </w:r>
      <w:r>
        <w:rPr>
          <w:szCs w:val="24"/>
        </w:rPr>
        <w:t xml:space="preserve">. The changes in soil nutrients levels may cause yield variations that may </w:t>
      </w:r>
      <w:r w:rsidR="007F5B46">
        <w:rPr>
          <w:szCs w:val="24"/>
        </w:rPr>
        <w:t xml:space="preserve">lead to </w:t>
      </w:r>
      <w:r>
        <w:rPr>
          <w:szCs w:val="24"/>
        </w:rPr>
        <w:t xml:space="preserve">different economic outcomes in tea production </w:t>
      </w:r>
      <w:r w:rsidR="003C3653">
        <w:rPr>
          <w:szCs w:val="24"/>
        </w:rPr>
        <w:fldChar w:fldCharType="begin"/>
      </w:r>
      <w:r w:rsidR="00EF448D">
        <w:rPr>
          <w:szCs w:val="24"/>
        </w:rPr>
        <w:instrText xml:space="preserve"> ADDIN EN.CITE &lt;EndNote&gt;&lt;Cite&gt;&lt;Author&gt;Owuor&lt;/Author&gt;&lt;Year&gt;2020&lt;/Year&gt;&lt;RecNum&gt;220&lt;/RecNum&gt;&lt;DisplayText&gt;(Owuor et al., 2020)&lt;/DisplayText&gt;&lt;record&gt;&lt;rec-number&gt;220&lt;/rec-number&gt;&lt;foreign-keys&gt;&lt;key app="EN" db-id="zx5vprwxa0rsabew9f9xp5fcs9tz0dzwa2fa" timestamp="1757676176"&gt;220&lt;/key&gt;&lt;/foreign-keys&gt;&lt;ref-type name="Journal Article"&gt;17&lt;/ref-type&gt;&lt;contributors&gt;&lt;authors&gt;&lt;author&gt;Owuor, R. A.&lt;/author&gt;&lt;author&gt;Odondo, A. J.&lt;/author&gt;&lt;author&gt;Owuor, P. O.&lt;/author&gt;&lt;author&gt;Kamau, D. M.&lt;/author&gt;&lt;/authors&gt;&lt;/contributors&gt;&lt;titles&gt;&lt;title&gt;Comparative Economic Analysis of Clonal Tea Yield Response to Nitrogen Fertiliser Rates within Selected Geographical Areas in Kenya&lt;/title&gt;&lt;secondary-title&gt;International Journal of Tea Science&lt;/secondary-title&gt;&lt;/titles&gt;&lt;periodical&gt;&lt;full-title&gt;International Journal of Tea Science&lt;/full-title&gt;&lt;/periodical&gt;&lt;pages&gt;31-39&lt;/pages&gt;&lt;volume&gt;15&lt;/volume&gt;&lt;number&gt;1&lt;/number&gt;&lt;dates&gt;&lt;year&gt;2020&lt;/year&gt;&lt;/dates&gt;&lt;urls&gt;&lt;/urls&gt;&lt;electronic-resource-num&gt;10.20425/ijts1514&lt;/electronic-resource-num&gt;&lt;/record&gt;&lt;/Cite&gt;&lt;/EndNote&gt;</w:instrText>
      </w:r>
      <w:r w:rsidR="003C3653">
        <w:rPr>
          <w:szCs w:val="24"/>
        </w:rPr>
        <w:fldChar w:fldCharType="separate"/>
      </w:r>
      <w:r w:rsidR="00EF448D">
        <w:rPr>
          <w:noProof/>
          <w:szCs w:val="24"/>
        </w:rPr>
        <w:t>(Owuor et al., 2020)</w:t>
      </w:r>
      <w:r w:rsidR="003C3653">
        <w:rPr>
          <w:szCs w:val="24"/>
        </w:rPr>
        <w:fldChar w:fldCharType="end"/>
      </w:r>
      <w:r>
        <w:rPr>
          <w:szCs w:val="24"/>
        </w:rPr>
        <w:t xml:space="preserve">. Although changes in yields </w:t>
      </w:r>
      <w:r w:rsidR="003C3653">
        <w:rPr>
          <w:szCs w:val="24"/>
        </w:rPr>
        <w:fldChar w:fldCharType="begin"/>
      </w:r>
      <w:r w:rsidR="00EF448D">
        <w:rPr>
          <w:szCs w:val="24"/>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003C3653">
        <w:rPr>
          <w:szCs w:val="24"/>
        </w:rPr>
        <w:fldChar w:fldCharType="separate"/>
      </w:r>
      <w:r w:rsidR="00EF448D">
        <w:rPr>
          <w:noProof/>
          <w:szCs w:val="24"/>
        </w:rPr>
        <w:t>(Msomba et al., 2014)</w:t>
      </w:r>
      <w:r w:rsidR="003C3653">
        <w:rPr>
          <w:szCs w:val="24"/>
        </w:rPr>
        <w:fldChar w:fldCharType="end"/>
      </w:r>
      <w:r>
        <w:rPr>
          <w:szCs w:val="24"/>
        </w:rPr>
        <w:t xml:space="preserve">, quality </w:t>
      </w:r>
      <w:r w:rsidR="003C3653">
        <w:rPr>
          <w:szCs w:val="24"/>
        </w:rPr>
        <w:fldChar w:fldCharType="begin"/>
      </w:r>
      <w:r w:rsidR="00EF448D">
        <w:rPr>
          <w:szCs w:val="24"/>
        </w:rPr>
        <w:instrText xml:space="preserve"> ADDIN EN.CITE &lt;EndNote&gt;&lt;Cite&gt;&lt;Author&gt;Kwach&lt;/Author&gt;&lt;Year&gt;2016&lt;/Year&gt;&lt;RecNum&gt;127&lt;/RecNum&gt;&lt;DisplayText&gt;(Kwach et al., 2016)&lt;/DisplayText&gt;&lt;record&gt;&lt;rec-number&gt;127&lt;/rec-number&gt;&lt;foreign-keys&gt;&lt;key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EndNote&gt;</w:instrText>
      </w:r>
      <w:r w:rsidR="003C3653">
        <w:rPr>
          <w:szCs w:val="24"/>
        </w:rPr>
        <w:fldChar w:fldCharType="separate"/>
      </w:r>
      <w:r w:rsidR="00EF448D">
        <w:rPr>
          <w:noProof/>
          <w:szCs w:val="24"/>
        </w:rPr>
        <w:t>(Kwach et al., 2016)</w:t>
      </w:r>
      <w:r w:rsidR="003C3653">
        <w:rPr>
          <w:szCs w:val="24"/>
        </w:rPr>
        <w:fldChar w:fldCharType="end"/>
      </w:r>
      <w:r>
        <w:rPr>
          <w:szCs w:val="24"/>
        </w:rPr>
        <w:t xml:space="preserve">, mature leaf nutrients </w:t>
      </w:r>
      <w:r w:rsidR="003C3653">
        <w:rPr>
          <w:szCs w:val="24"/>
        </w:rPr>
        <w:fldChar w:fldCharType="begin"/>
      </w:r>
      <w:r w:rsidR="00EF448D">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Pr>
          <w:szCs w:val="24"/>
        </w:rPr>
        <w:t xml:space="preserve">, soil nitrogen, pH and organic carbon </w:t>
      </w:r>
      <w:r w:rsidR="003C3653">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rPr>
        <w:fldChar w:fldCharType="separate"/>
      </w:r>
      <w:r w:rsidR="00EF448D">
        <w:rPr>
          <w:noProof/>
          <w:szCs w:val="24"/>
        </w:rPr>
        <w:t>(Ombori et al., 2020)</w:t>
      </w:r>
      <w:r w:rsidR="003C3653">
        <w:rPr>
          <w:szCs w:val="24"/>
        </w:rPr>
        <w:fldChar w:fldCharType="end"/>
      </w:r>
      <w:r>
        <w:rPr>
          <w:szCs w:val="24"/>
        </w:rPr>
        <w:t xml:space="preserve">, soil macronutrients </w:t>
      </w:r>
      <w:r w:rsidR="003C3653">
        <w:rPr>
          <w:szCs w:val="24"/>
        </w:rPr>
        <w:fldChar w:fldCharType="begin"/>
      </w:r>
      <w:r w:rsidR="00EF448D">
        <w:rPr>
          <w:szCs w:val="24"/>
        </w:rPr>
        <w:instrText xml:space="preserve"> ADDIN EN.CITE &lt;EndNote&gt;&lt;Cite&gt;&lt;Author&gt;Ombori&lt;/Author&gt;&lt;Year&gt;2025&lt;/Year&gt;&lt;RecNum&gt;217&lt;/RecNum&gt;&lt;DisplayText&gt;(Ombori et al., 2025a)&lt;/DisplayText&gt;&lt;record&gt;&lt;rec-number&gt;217&lt;/rec-number&gt;&lt;foreign-keys&gt;&lt;key app="EN" db-id="zx5vprwxa0rsabew9f9xp5fcs9tz0dzwa2fa" timestamp="1757618599"&gt;217&lt;/key&gt;&lt;/foreign-keys&gt;&lt;ref-type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 Effects on soil nitrogen, phosphorous, and potassium&lt;/style&gt;&lt;/title&gt;&lt;secondary-title&gt;Asian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3C3653">
        <w:rPr>
          <w:szCs w:val="24"/>
        </w:rPr>
        <w:fldChar w:fldCharType="separate"/>
      </w:r>
      <w:r w:rsidR="00EF448D">
        <w:rPr>
          <w:noProof/>
          <w:szCs w:val="24"/>
        </w:rPr>
        <w:t>(Ombori et al., 2025a)</w:t>
      </w:r>
      <w:r w:rsidR="003C3653">
        <w:rPr>
          <w:szCs w:val="24"/>
        </w:rPr>
        <w:fldChar w:fldCharType="end"/>
      </w:r>
      <w:r>
        <w:rPr>
          <w:szCs w:val="24"/>
        </w:rPr>
        <w:t xml:space="preserve">, and soil calcium, magnesium and manganese </w:t>
      </w:r>
      <w:r w:rsidR="003C3653">
        <w:rPr>
          <w:szCs w:val="24"/>
        </w:rPr>
        <w:fldChar w:fldCharType="begin"/>
      </w:r>
      <w:r w:rsidR="00EF448D">
        <w:rPr>
          <w:szCs w:val="24"/>
        </w:rPr>
        <w:instrText xml:space="preserve"> ADDIN EN.CITE &lt;EndNote&gt;&lt;Cite&gt;&lt;Author&gt;Ombori&lt;/Author&gt;&lt;Year&gt;2025&lt;/Year&gt;&lt;RecNum&gt;221&lt;/RecNum&gt;&lt;DisplayText&gt;(Ombori et al., 2025b)&lt;/DisplayText&gt;&lt;record&gt;&lt;rec-number&gt;221&lt;/rec-number&gt;&lt;foreign-keys&gt;&lt;key app="EN" db-id="zx5vprwxa0rsabew9f9xp5fcs9tz0dzwa2fa" timestamp="1757677049"&gt;221&lt;/key&gt;&lt;/foreign-keys&gt;&lt;ref-type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III. Changes in soil calcium, magnesium and manganese levels&lt;/style&gt;&lt;/title&gt;&lt;secondary-title&gt;Asian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3C3653">
        <w:rPr>
          <w:szCs w:val="24"/>
        </w:rPr>
        <w:fldChar w:fldCharType="separate"/>
      </w:r>
      <w:r w:rsidR="00EF448D">
        <w:rPr>
          <w:noProof/>
          <w:szCs w:val="24"/>
        </w:rPr>
        <w:t>(Ombori et al., 2025b)</w:t>
      </w:r>
      <w:r w:rsidR="003C3653">
        <w:rPr>
          <w:szCs w:val="24"/>
        </w:rPr>
        <w:fldChar w:fldCharType="end"/>
      </w:r>
      <w:r>
        <w:rPr>
          <w:szCs w:val="24"/>
        </w:rPr>
        <w:t xml:space="preserve"> </w:t>
      </w:r>
      <w:r w:rsidR="007F5B46">
        <w:rPr>
          <w:szCs w:val="24"/>
        </w:rPr>
        <w:t xml:space="preserve">due to nitrogen fertilizer rates and plucking intervals </w:t>
      </w:r>
      <w:r>
        <w:rPr>
          <w:szCs w:val="24"/>
        </w:rPr>
        <w:t xml:space="preserve">have been reported in </w:t>
      </w:r>
      <w:r w:rsidR="007F5B46">
        <w:rPr>
          <w:szCs w:val="24"/>
        </w:rPr>
        <w:t xml:space="preserve">eastern </w:t>
      </w:r>
      <w:r>
        <w:rPr>
          <w:szCs w:val="24"/>
        </w:rPr>
        <w:t xml:space="preserve">African tea growing regions, such reports are lacking on soil micronutrients. </w:t>
      </w:r>
      <w:r>
        <w:rPr>
          <w:szCs w:val="24"/>
          <w:lang w:val="en-GB"/>
        </w:rPr>
        <w:t xml:space="preserve">Optimal aluminium levels in tea improves quality </w:t>
      </w:r>
      <w:r w:rsidR="003C3653">
        <w:rPr>
          <w:szCs w:val="24"/>
          <w:lang w:val="en-GB"/>
        </w:rPr>
        <w:fldChar w:fldCharType="begin">
          <w:fldData xml:space="preserve">PEVuZE5vdGU+PENpdGU+PEF1dGhvcj5TYWUtTGVlPC9BdXRob3I+PFllYXI+MjAxMjwvWWVhcj48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=
</w:fldData>
        </w:fldChar>
      </w:r>
      <w:r w:rsidR="00EF448D">
        <w:rPr>
          <w:szCs w:val="24"/>
          <w:lang w:val="en-GB"/>
        </w:rPr>
        <w:instrText xml:space="preserve"> ADDIN EN.CITE </w:instrText>
      </w:r>
      <w:r w:rsidR="00EF448D">
        <w:rPr>
          <w:szCs w:val="24"/>
          <w:lang w:val="en-GB"/>
        </w:rPr>
        <w:fldChar w:fldCharType="begin">
          <w:fldData xml:space="preserve">PEVuZE5vdGU+PENpdGU+PEF1dGhvcj5TYWUtTGVlPC9BdXRob3I+PFllYXI+MjAxMjwvWWVhcj48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=
</w:fldData>
        </w:fldChar>
      </w:r>
      <w:r w:rsidR="00EF448D">
        <w:rPr>
          <w:szCs w:val="24"/>
          <w:lang w:val="en-GB"/>
        </w:rPr>
        <w:instrText xml:space="preserve"> ADDIN EN.CITE.DATA </w:instrText>
      </w:r>
      <w:r w:rsidR="00EF448D">
        <w:rPr>
          <w:szCs w:val="24"/>
          <w:lang w:val="en-GB"/>
        </w:rPr>
      </w:r>
      <w:r w:rsidR="00EF448D">
        <w:rPr>
          <w:szCs w:val="24"/>
          <w:lang w:val="en-GB"/>
        </w:rPr>
        <w:fldChar w:fldCharType="end"/>
      </w:r>
      <w:r w:rsidR="003C3653">
        <w:rPr>
          <w:szCs w:val="24"/>
          <w:lang w:val="en-GB"/>
        </w:rPr>
      </w:r>
      <w:r w:rsidR="003C3653">
        <w:rPr>
          <w:szCs w:val="24"/>
          <w:lang w:val="en-GB"/>
        </w:rPr>
        <w:fldChar w:fldCharType="separate"/>
      </w:r>
      <w:r w:rsidR="00EF448D">
        <w:rPr>
          <w:noProof/>
          <w:szCs w:val="24"/>
          <w:lang w:val="en-GB"/>
        </w:rPr>
        <w:t xml:space="preserve">(Pavlovič et </w:t>
      </w:r>
      <w:r w:rsidR="00EF448D">
        <w:rPr>
          <w:noProof/>
          <w:szCs w:val="24"/>
          <w:lang w:val="en-GB"/>
        </w:rPr>
        <w:lastRenderedPageBreak/>
        <w:t>al., 2023; Sae-Lee et al., 2012)</w:t>
      </w:r>
      <w:r w:rsidR="003C3653">
        <w:rPr>
          <w:szCs w:val="24"/>
          <w:lang w:val="en-GB"/>
        </w:rPr>
        <w:fldChar w:fldCharType="end"/>
      </w:r>
      <w:r>
        <w:rPr>
          <w:szCs w:val="24"/>
          <w:lang w:val="en-GB"/>
        </w:rPr>
        <w:t xml:space="preserve"> but consumption of high quantit</w:t>
      </w:r>
      <w:r w:rsidR="00FE1951">
        <w:rPr>
          <w:szCs w:val="24"/>
          <w:lang w:val="en-GB"/>
        </w:rPr>
        <w:t>ies</w:t>
      </w:r>
      <w:r>
        <w:rPr>
          <w:szCs w:val="24"/>
          <w:lang w:val="en-GB"/>
        </w:rPr>
        <w:t xml:space="preserve"> of aluminium poses health risks </w:t>
      </w:r>
      <w:r w:rsidR="003C3653">
        <w:rPr>
          <w:szCs w:val="24"/>
          <w:lang w:val="en-GB"/>
        </w:rPr>
        <w:fldChar w:fldCharType="begin"/>
      </w:r>
      <w:r w:rsidR="00EF448D">
        <w:rPr>
          <w:szCs w:val="24"/>
          <w:lang w:val="en-GB"/>
        </w:rPr>
        <w:instrText xml:space="preserve"> ADDIN EN.CITE &lt;EndNote&gt;&lt;Cite&gt;&lt;Author&gt;Pavlovič&lt;/Author&gt;&lt;Year&gt;2023&lt;/Year&gt;&lt;RecNum&gt;223&lt;/RecNum&gt;&lt;DisplayText&gt;(Pavlovič et al., 2023)&lt;/DisplayText&gt;&lt;record&gt;&lt;rec-number&gt;223&lt;/rec-number&gt;&lt;foreign-keys&gt;&lt;key app="EN" db-id="zx5vprwxa0rsabew9f9xp5fcs9tz0dzwa2fa" timestamp="1757678546"&gt;223&lt;/key&gt;&lt;/foreign-keys&gt;&lt;ref-type name="Journal Article"&gt;17&lt;/ref-type&gt;&lt;contributors&gt;&lt;authors&gt;&lt;author&gt;&lt;style face="normal" font="default" size="100%"&gt;Pavlovi&lt;/style&gt;&lt;style face="normal" font="default" charset="238" size="100%"&gt;č, Anja&lt;/style&gt;&lt;/author&gt;&lt;author&gt;&lt;style face="normal" font="default" charset="238" size="100%"&gt;Tavčar, Gašper&lt;/style&gt;&lt;/author&gt;&lt;author&gt;&lt;style face="normal" font="default" charset="238" size="100%"&gt;Ponikvar-Svet, Maja&lt;/style&gt;&lt;/author&gt;&lt;/authors&gt;&lt;/contributors&gt;&lt;titles&gt;&lt;title&gt;&lt;style face="normal" font="default" size="100%"&gt;Fluoride and aluminium in tea (&lt;/style&gt;&lt;style face="italic" font="default" size="100%"&gt;Camellia sinensis&lt;/style&gt;&lt;style face="normal" font="default" size="100%"&gt; L.)—Tea quality indicators and risk factors for consumers&lt;/style&gt;&lt;/title&gt;&lt;secondary-title&gt;Molecules&lt;/secondary-title&gt;&lt;/titles&gt;&lt;periodical&gt;&lt;full-title&gt;Molecules&lt;/full-title&gt;&lt;/periodical&gt;&lt;pages&gt;6396&lt;/pages&gt;&lt;volume&gt;28&lt;/volume&gt;&lt;number&gt;17&lt;/number&gt;&lt;dates&gt;&lt;year&gt;2023&lt;/year&gt;&lt;/dates&gt;&lt;isbn&gt;1420-3049&lt;/isbn&gt;&lt;urls&gt;&lt;/urls&gt;&lt;electronic-resource-num&gt;https://doi.org/10.3390/molecules28176396&lt;/electronic-resource-num&gt;&lt;/record&gt;&lt;/Cite&gt;&lt;/EndNote&gt;</w:instrText>
      </w:r>
      <w:r w:rsidR="003C3653">
        <w:rPr>
          <w:szCs w:val="24"/>
          <w:lang w:val="en-GB"/>
        </w:rPr>
        <w:fldChar w:fldCharType="separate"/>
      </w:r>
      <w:r w:rsidR="00EF448D">
        <w:rPr>
          <w:noProof/>
          <w:szCs w:val="24"/>
          <w:lang w:val="en-GB"/>
        </w:rPr>
        <w:t>(Pavlovič et al., 2023)</w:t>
      </w:r>
      <w:r w:rsidR="003C3653">
        <w:rPr>
          <w:szCs w:val="24"/>
          <w:lang w:val="en-GB"/>
        </w:rPr>
        <w:fldChar w:fldCharType="end"/>
      </w:r>
      <w:r>
        <w:rPr>
          <w:szCs w:val="24"/>
          <w:lang w:val="en-GB"/>
        </w:rPr>
        <w:t xml:space="preserve">. Tea with high levels of aluminium have been associated with iron toxicity </w:t>
      </w:r>
      <w:r w:rsidR="003C3653">
        <w:rPr>
          <w:szCs w:val="24"/>
          <w:lang w:val="en-GB"/>
        </w:rPr>
        <w:fldChar w:fldCharType="begin"/>
      </w:r>
      <w:r w:rsidR="00630FE0">
        <w:rPr>
          <w:szCs w:val="24"/>
          <w:lang w:val="en-GB"/>
        </w:rPr>
        <w:instrText xml:space="preserve"> ADDIN EN.CITE &lt;EndNote&gt;&lt;Cite&gt;&lt;Author&gt;Hajiboland&lt;/Author&gt;&lt;Year&gt;2017&lt;/Year&gt;&lt;RecNum&gt;151&lt;/RecNum&gt;&lt;DisplayText&gt;(Hajiboland, 2017)&lt;/DisplayText&gt;&lt;record&gt;&lt;rec-number&gt;151&lt;/rec-number&gt;&lt;foreign-keys&gt;&lt;key app="EN" db-id="zx5vprwxa0rsabew9f9xp5fcs9tz0dzwa2fa" timestamp="1756891746"&gt;151&lt;/key&gt;&lt;/foreign-keys&gt;&lt;ref-type name="Journal Article"&gt;17&lt;/ref-type&gt;&lt;contributors&gt;&lt;authors&gt;&lt;author&gt;Hajiboland, Roghieh&lt;/author&gt;&lt;/authors&gt;&lt;/contributors&gt;&lt;titles&gt;&lt;title&gt;Environmental and nutritional requirements for tea cultivation&lt;/title&gt;&lt;secondary-title&gt;Folia horticulturae&lt;/secondary-title&gt;&lt;/titles&gt;&lt;periodical&gt;&lt;full-title&gt;Folia horticulturae&lt;/full-title&gt;&lt;/periodical&gt;&lt;pages&gt;199-220&lt;/pages&gt;&lt;volume&gt;29&lt;/volume&gt;&lt;number&gt;2&lt;/number&gt;&lt;dates&gt;&lt;year&gt;2017&lt;/year&gt;&lt;/dates&gt;&lt;isbn&gt;0867-1761&lt;/isbn&gt;&lt;urls&gt;&lt;/urls&gt;&lt;electronic-resource-num&gt;DOI: 10.1515/fhort-2017-0019&lt;/electronic-resource-num&gt;&lt;/record&gt;&lt;/Cite&gt;&lt;/EndNote&gt;</w:instrText>
      </w:r>
      <w:r w:rsidR="003C3653">
        <w:rPr>
          <w:szCs w:val="24"/>
          <w:lang w:val="en-GB"/>
        </w:rPr>
        <w:fldChar w:fldCharType="separate"/>
      </w:r>
      <w:r w:rsidR="00630FE0">
        <w:rPr>
          <w:noProof/>
          <w:szCs w:val="24"/>
          <w:lang w:val="en-GB"/>
        </w:rPr>
        <w:t>(Hajiboland, 2017)</w:t>
      </w:r>
      <w:r w:rsidR="003C3653">
        <w:rPr>
          <w:szCs w:val="24"/>
          <w:lang w:val="en-GB"/>
        </w:rPr>
        <w:fldChar w:fldCharType="end"/>
      </w:r>
      <w:r>
        <w:rPr>
          <w:szCs w:val="24"/>
          <w:lang w:val="en-GB"/>
        </w:rPr>
        <w:t xml:space="preserve">. Nitrogen fertiliser acidifies the soil and makes aluminium more </w:t>
      </w:r>
      <w:r w:rsidR="00FE1951">
        <w:rPr>
          <w:szCs w:val="24"/>
          <w:lang w:val="en-GB"/>
        </w:rPr>
        <w:t>a</w:t>
      </w:r>
      <w:r w:rsidRPr="006620EA">
        <w:rPr>
          <w:szCs w:val="24"/>
          <w:lang w:val="en-GB"/>
        </w:rPr>
        <w:t xml:space="preserve">vailable to plants. Soils under continuous nitrogen fertilisers could be supplying toxic levels of iron to tea plants. Copper is an important cofactor in enzyme responsible for fermentation in tea </w:t>
      </w:r>
      <w:r w:rsidR="003C3653" w:rsidRPr="006620EA">
        <w:rPr>
          <w:szCs w:val="24"/>
          <w:lang w:val="en-GB"/>
        </w:rPr>
        <w:fldChar w:fldCharType="begin"/>
      </w:r>
      <w:r w:rsidR="00530ED0">
        <w:rPr>
          <w:szCs w:val="24"/>
          <w:lang w:val="en-GB"/>
        </w:rPr>
        <w:instrText xml:space="preserve"> ADDIN EN.CITE &lt;EndNote&gt;&lt;Cite&gt;&lt;Author&gt;Jakubczyk&lt;/Author&gt;&lt;Year&gt;2022&lt;/Year&gt;&lt;RecNum&gt;225&lt;/RecNum&gt;&lt;DisplayText&gt;(Jakubczyk et al., 2022)&lt;/DisplayText&gt;&lt;record&gt;&lt;rec-number&gt;225&lt;/rec-number&gt;&lt;foreign-keys&gt;&lt;key app="EN" db-id="zx5vprwxa0rsabew9f9xp5fcs9tz0dzwa2fa" timestamp="1757680128"&gt;225&lt;/key&gt;&lt;/foreign-keys&gt;&lt;ref-type name="Journal Article"&gt;17&lt;/ref-type&gt;&lt;contributors&gt;&lt;authors&gt;&lt;author&gt;Jakubczyk, Karolina&lt;/author&gt;&lt;author&gt;Kupnicka, Patrycja&lt;/author&gt;&lt;author&gt;Melkis, Klaudia&lt;/author&gt;&lt;author&gt;Mielczarek, Oliwia&lt;/author&gt;&lt;author&gt;&lt;style face="normal" font="default" size="100%"&gt;Walczy&lt;/style&gt;&lt;style face="normal" font="default" charset="238" size="100%"&gt;ńska, Joanna&lt;/style&gt;&lt;/author&gt;&lt;author&gt;&lt;style face="normal" font="default" charset="238" size="100%"&gt;Chlubek, Dariusz&lt;/style&gt;&lt;/author&gt;&lt;author&gt;&lt;style face="normal" font="default" charset="238" size="100%"&gt;Janda-Milczarek, Katarzyna&lt;/style&gt;&lt;/author&gt;&lt;/authors&gt;&lt;/contributors&gt;&lt;titles&gt;&lt;title&gt;Effects of fermentation time and type of tea on the content of micronutrients in kombucha fermented tea&lt;/title&gt;&lt;secondary-title&gt;Nutrients&lt;/secondary-title&gt;&lt;/titles&gt;&lt;periodical&gt;&lt;full-title&gt;Nutrients&lt;/full-title&gt;&lt;/periodical&gt;&lt;pages&gt;4828&lt;/pages&gt;&lt;volume&gt;14&lt;/volume&gt;&lt;number&gt;22&lt;/number&gt;&lt;dates&gt;&lt;year&gt;2022&lt;/year&gt;&lt;/dates&gt;&lt;isbn&gt;2072-6643&lt;/isbn&gt;&lt;urls&gt;&lt;/urls&gt;&lt;electronic-resource-num&gt; https://doi.org/10.3390/nu14224828&lt;/electronic-resource-num&gt;&lt;/record&gt;&lt;/Cite&gt;&lt;/EndNote&gt;</w:instrText>
      </w:r>
      <w:r w:rsidR="003C3653" w:rsidRPr="006620EA">
        <w:rPr>
          <w:szCs w:val="24"/>
          <w:lang w:val="en-GB"/>
        </w:rPr>
        <w:fldChar w:fldCharType="separate"/>
      </w:r>
      <w:r w:rsidR="00EF448D">
        <w:rPr>
          <w:noProof/>
          <w:szCs w:val="24"/>
          <w:lang w:val="en-GB"/>
        </w:rPr>
        <w:t>(Jakubczyk et al., 2022)</w:t>
      </w:r>
      <w:r w:rsidR="003C3653" w:rsidRPr="006620EA">
        <w:rPr>
          <w:szCs w:val="24"/>
          <w:lang w:val="en-GB"/>
        </w:rPr>
        <w:fldChar w:fldCharType="end"/>
      </w:r>
      <w:r w:rsidRPr="006620EA">
        <w:rPr>
          <w:szCs w:val="24"/>
          <w:lang w:val="en-GB"/>
        </w:rPr>
        <w:t xml:space="preserve">. Additionally, low levels of copper in the soil retard tea growth </w:t>
      </w:r>
      <w:r w:rsidR="003C3653" w:rsidRPr="006620EA">
        <w:rPr>
          <w:szCs w:val="24"/>
          <w:lang w:val="en-GB"/>
        </w:rPr>
        <w:fldChar w:fldCharType="begin"/>
      </w:r>
      <w:r w:rsidR="00630FE0">
        <w:rPr>
          <w:szCs w:val="24"/>
          <w:lang w:val="en-GB"/>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003C3653" w:rsidRPr="006620EA">
        <w:rPr>
          <w:szCs w:val="24"/>
          <w:lang w:val="en-GB"/>
        </w:rPr>
        <w:fldChar w:fldCharType="separate"/>
      </w:r>
      <w:r w:rsidR="00630FE0">
        <w:rPr>
          <w:noProof/>
          <w:szCs w:val="24"/>
          <w:lang w:val="en-GB"/>
        </w:rPr>
        <w:t>(Hajiboland, 2018)</w:t>
      </w:r>
      <w:r w:rsidR="003C3653" w:rsidRPr="006620EA">
        <w:rPr>
          <w:szCs w:val="24"/>
          <w:lang w:val="en-GB"/>
        </w:rPr>
        <w:fldChar w:fldCharType="end"/>
      </w:r>
      <w:r w:rsidRPr="006620EA">
        <w:rPr>
          <w:szCs w:val="24"/>
          <w:lang w:val="en-GB"/>
        </w:rPr>
        <w:t>. Z</w:t>
      </w:r>
      <w:r w:rsidR="00FE1951">
        <w:rPr>
          <w:szCs w:val="24"/>
          <w:lang w:val="en-GB"/>
        </w:rPr>
        <w:t>i</w:t>
      </w:r>
      <w:r w:rsidRPr="006620EA">
        <w:rPr>
          <w:szCs w:val="24"/>
          <w:lang w:val="en-GB"/>
        </w:rPr>
        <w:t xml:space="preserve">nc availability in the soil </w:t>
      </w:r>
      <w:r w:rsidR="00B0608E" w:rsidRPr="00966495">
        <w:rPr>
          <w:color w:val="1F1F1F"/>
        </w:rPr>
        <w:t>influences</w:t>
      </w:r>
      <w:r w:rsidRPr="00966495">
        <w:rPr>
          <w:color w:val="1F1F1F"/>
        </w:rPr>
        <w:t xml:space="preserve"> its uptake in roots and the nutrient transport </w:t>
      </w:r>
      <w:r w:rsidR="007F5B46">
        <w:rPr>
          <w:color w:val="1F1F1F"/>
        </w:rPr>
        <w:t xml:space="preserve">of </w:t>
      </w:r>
      <w:r w:rsidRPr="00966495">
        <w:rPr>
          <w:color w:val="1F1F1F"/>
        </w:rPr>
        <w:t xml:space="preserve">P, S, Al, Ca, Fe and Cu in the tea leaves or roots </w:t>
      </w:r>
      <w:r w:rsidR="003C3653" w:rsidRPr="00966495">
        <w:rPr>
          <w:color w:val="1F1F1F"/>
        </w:rPr>
        <w:fldChar w:fldCharType="begin"/>
      </w:r>
      <w:r w:rsidR="00EF448D">
        <w:rPr>
          <w:color w:val="1F1F1F"/>
        </w:rPr>
        <w:instrText xml:space="preserve"> ADDIN EN.CITE &lt;EndNote&gt;&lt;Cite&gt;&lt;Author&gt;Zhang&lt;/Author&gt;&lt;Year&gt;2017&lt;/Year&gt;&lt;RecNum&gt;226&lt;/RecNum&gt;&lt;DisplayText&gt;(Zhang et al., 2017)&lt;/DisplayText&gt;&lt;record&gt;&lt;rec-number&gt;226&lt;/rec-number&gt;&lt;foreign-keys&gt;&lt;key app="EN" db-id="zx5vprwxa0rsabew9f9xp5fcs9tz0dzwa2fa" timestamp="1757680705"&gt;226&lt;/key&gt;&lt;/foreign-keys&gt;&lt;ref-type name="Journal Article"&gt;17&lt;/ref-type&gt;&lt;contributors&gt;&lt;authors&gt;&lt;author&gt;Zhang, Yinfei&lt;/author&gt;&lt;author&gt;Wang, Yu&lt;/author&gt;&lt;author&gt;Ding, Zhaotang&lt;/author&gt;&lt;author&gt;Wang, Hui&lt;/author&gt;&lt;author&gt;Song, Lubin&lt;/author&gt;&lt;author&gt;Jia, Sisi&lt;/author&gt;&lt;author&gt;Ma, Dexin&lt;/author&gt;&lt;/authors&gt;&lt;/contributors&gt;&lt;titles&gt;&lt;title&gt;Zinc stress affects ionome and metabolome in tea plants&lt;/title&gt;&lt;secondary-title&gt;Plant Physiology and Biochemistry&lt;/secondary-title&gt;&lt;/titles&gt;&lt;periodical&gt;&lt;full-title&gt;Plant Physiology and Biochemistry&lt;/full-title&gt;&lt;/periodical&gt;&lt;pages&gt;318-328&lt;/pages&gt;&lt;volume&gt;111&lt;/volume&gt;&lt;dates&gt;&lt;year&gt;2017&lt;/year&gt;&lt;/dates&gt;&lt;isbn&gt;0981-9428&lt;/isbn&gt;&lt;urls&gt;&lt;/urls&gt;&lt;electronic-resource-num&gt;https://doi.org/10.1016/j.plaphy.2016.12.014&lt;/electronic-resource-num&gt;&lt;/record&gt;&lt;/Cite&gt;&lt;/EndNote&gt;</w:instrText>
      </w:r>
      <w:r w:rsidR="003C3653" w:rsidRPr="00966495">
        <w:rPr>
          <w:color w:val="1F1F1F"/>
        </w:rPr>
        <w:fldChar w:fldCharType="separate"/>
      </w:r>
      <w:r w:rsidR="00EF448D">
        <w:rPr>
          <w:noProof/>
          <w:color w:val="1F1F1F"/>
        </w:rPr>
        <w:t>(Zhang et al., 2017)</w:t>
      </w:r>
      <w:r w:rsidR="003C3653" w:rsidRPr="00966495">
        <w:rPr>
          <w:color w:val="1F1F1F"/>
        </w:rPr>
        <w:fldChar w:fldCharType="end"/>
      </w:r>
      <w:r w:rsidRPr="00966495">
        <w:rPr>
          <w:color w:val="1F1F1F"/>
        </w:rPr>
        <w:t>.</w:t>
      </w:r>
      <w:r w:rsidR="007F5B46">
        <w:rPr>
          <w:color w:val="1F1F1F"/>
        </w:rPr>
        <w:t xml:space="preserve"> </w:t>
      </w:r>
      <w:r w:rsidR="007F5B46">
        <w:rPr>
          <w:szCs w:val="24"/>
        </w:rPr>
        <w:t>The influence of rates of nitrogen, plucking intervals at different location in eastern Africa on soil micronutrients (Al, Fe, Cu and Zn) are reported herein</w:t>
      </w:r>
      <w:r>
        <w:rPr>
          <w:color w:val="1F1F1F"/>
        </w:rPr>
        <w:t xml:space="preserve"> </w:t>
      </w:r>
    </w:p>
    <w:p w14:paraId="6BFE3762" w14:textId="77777777" w:rsidR="00FE1951" w:rsidRDefault="00FE1951" w:rsidP="00D72529">
      <w:pPr>
        <w:keepNext/>
        <w:spacing w:line="360" w:lineRule="auto"/>
        <w:outlineLvl w:val="0"/>
        <w:rPr>
          <w:color w:val="1F1F1F"/>
        </w:rPr>
      </w:pPr>
    </w:p>
    <w:p w14:paraId="129F9048" w14:textId="77777777" w:rsidR="00FE1951" w:rsidRDefault="00FE1951" w:rsidP="00FE1951">
      <w:pPr>
        <w:keepNext/>
        <w:spacing w:line="360" w:lineRule="auto"/>
        <w:outlineLvl w:val="0"/>
        <w:rPr>
          <w:szCs w:val="24"/>
          <w:lang w:val="en-GB"/>
        </w:rPr>
      </w:pPr>
      <w:r>
        <w:rPr>
          <w:rFonts w:eastAsia="Times New Roman"/>
          <w:b/>
          <w:bCs/>
          <w:kern w:val="32"/>
          <w:szCs w:val="24"/>
          <w:lang w:val="en-GB"/>
        </w:rPr>
        <w:t>M</w:t>
      </w:r>
      <w:r w:rsidRPr="007E5E50">
        <w:rPr>
          <w:rFonts w:eastAsia="Times New Roman"/>
          <w:b/>
          <w:bCs/>
          <w:kern w:val="32"/>
          <w:szCs w:val="24"/>
        </w:rPr>
        <w:t>ETHODOLOGY</w:t>
      </w:r>
      <w:bookmarkStart w:id="0" w:name="_Toc515416435"/>
      <w:r>
        <w:rPr>
          <w:szCs w:val="24"/>
          <w:lang w:val="en-GB"/>
        </w:rPr>
        <w:t xml:space="preserve"> </w:t>
      </w:r>
    </w:p>
    <w:p w14:paraId="0E6EE05E" w14:textId="77777777" w:rsidR="00FE1951" w:rsidRDefault="00FE1951" w:rsidP="00FE1951">
      <w:pPr>
        <w:keepNext/>
        <w:spacing w:line="360" w:lineRule="auto"/>
        <w:outlineLvl w:val="0"/>
        <w:rPr>
          <w:szCs w:val="24"/>
        </w:rPr>
      </w:pPr>
      <w:r>
        <w:rPr>
          <w:szCs w:val="24"/>
          <w:lang w:val="en-GB"/>
        </w:rPr>
        <w:t xml:space="preserve">The study was set up as nitrogenous fertilizer trial on clone TRFK 6/8 in seven locations within the </w:t>
      </w:r>
      <w:r w:rsidR="003F0329">
        <w:rPr>
          <w:szCs w:val="24"/>
          <w:lang w:val="en-GB"/>
        </w:rPr>
        <w:t xml:space="preserve">eastern </w:t>
      </w:r>
      <w:r>
        <w:rPr>
          <w:szCs w:val="24"/>
          <w:lang w:val="en-GB"/>
        </w:rPr>
        <w:t xml:space="preserve">Africa tea growing regions. The study location coordinates </w:t>
      </w:r>
      <w:r w:rsidR="003C3653">
        <w:rPr>
          <w:szCs w:val="24"/>
          <w:lang w:val="en-GB"/>
        </w:rPr>
        <w:fldChar w:fldCharType="begin">
          <w:fldData xml:space="preserve">PEVuZE5vdGU+PENpdGU+PEF1dGhvcj5Ld2FjaDwvQXV0aG9yPjxZZWFyPjIwMTQ8L1llYXI+PFJl
Y051bT4yMjwvUmVjTnVtPjxEaXNwbGF5VGV4dD4oS3dhY2ggZXQgYWwuLCAyMDE0OyBLd2FjaCBl
dCBhbC4sIDIwMTY7IE1zb21iYSBldCBhbC4sIDIwMTQpPC9EaXNwbGF5VGV4dD48cmVjb3JkPjxy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YXV0aG9yPjxhdXRob3I+TXVob3phIEMuPC9hdXRob3I+PGF1dGhvcj5Pd3VvciwgIFAuIE8uPC9h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</w:fldData>
        </w:fldChar>
      </w:r>
      <w:r w:rsidR="00EF448D">
        <w:rPr>
          <w:szCs w:val="24"/>
          <w:lang w:val="en-GB"/>
        </w:rPr>
        <w:instrText xml:space="preserve"> ADDIN EN.CITE </w:instrText>
      </w:r>
      <w:r w:rsidR="00EF448D">
        <w:rPr>
          <w:szCs w:val="24"/>
          <w:lang w:val="en-GB"/>
        </w:rPr>
        <w:fldChar w:fldCharType="begin">
          <w:fldData xml:space="preserve">PEVuZE5vdGU+PENpdGU+PEF1dGhvcj5Ld2FjaDwvQXV0aG9yPjxZZWFyPjIwMTQ8L1llYXI+PFJl
Y051bT4yMjwvUmVjTnVtPjxEaXNwbGF5VGV4dD4oS3dhY2ggZXQgYWwuLCAyMDE0OyBLd2FjaCBl
dCBhbC4sIDIwMTY7IE1zb21iYSBldCBhbC4sIDIwMTQpPC9EaXNwbGF5VGV4dD48cmVjb3JkPjxy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YXV0aG9yPjxhdXRob3I+TXVob3phIEMuPC9hdXRob3I+PGF1dGhvcj5Pd3VvciwgIFAuIE8uPC9h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</w:fldData>
        </w:fldChar>
      </w:r>
      <w:r w:rsidR="00EF448D">
        <w:rPr>
          <w:szCs w:val="24"/>
          <w:lang w:val="en-GB"/>
        </w:rPr>
        <w:instrText xml:space="preserve"> ADDIN EN.CITE.DATA </w:instrText>
      </w:r>
      <w:r w:rsidR="00EF448D">
        <w:rPr>
          <w:szCs w:val="24"/>
          <w:lang w:val="en-GB"/>
        </w:rPr>
      </w:r>
      <w:r w:rsidR="00EF448D">
        <w:rPr>
          <w:szCs w:val="24"/>
          <w:lang w:val="en-GB"/>
        </w:rPr>
        <w:fldChar w:fldCharType="end"/>
      </w:r>
      <w:r w:rsidR="003C3653">
        <w:rPr>
          <w:szCs w:val="24"/>
          <w:lang w:val="en-GB"/>
        </w:rPr>
      </w:r>
      <w:r w:rsidR="003C3653">
        <w:rPr>
          <w:szCs w:val="24"/>
          <w:lang w:val="en-GB"/>
        </w:rPr>
        <w:fldChar w:fldCharType="separate"/>
      </w:r>
      <w:r w:rsidR="00EF448D">
        <w:rPr>
          <w:noProof/>
          <w:szCs w:val="24"/>
          <w:lang w:val="en-GB"/>
        </w:rPr>
        <w:t>(Kwach et al., 2014; Kwach et al., 2016; Msomba et al., 2014)</w:t>
      </w:r>
      <w:r w:rsidR="003C3653">
        <w:rPr>
          <w:szCs w:val="24"/>
          <w:lang w:val="en-GB"/>
        </w:rPr>
        <w:fldChar w:fldCharType="end"/>
      </w:r>
      <w:r>
        <w:rPr>
          <w:szCs w:val="24"/>
          <w:lang w:val="en-GB"/>
        </w:rPr>
        <w:t xml:space="preserve"> and soil characteristics </w:t>
      </w:r>
      <w:r w:rsidR="003C3653">
        <w:rPr>
          <w:szCs w:val="24"/>
          <w:lang w:val="en-GB"/>
        </w:rPr>
        <w:fldChar w:fldCharType="begin"/>
      </w:r>
      <w:r w:rsidR="00EF448D">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lang w:val="en-GB"/>
        </w:rPr>
        <w:fldChar w:fldCharType="separate"/>
      </w:r>
      <w:r w:rsidR="00EF448D">
        <w:rPr>
          <w:noProof/>
          <w:szCs w:val="24"/>
          <w:lang w:val="en-GB"/>
        </w:rPr>
        <w:t>(Ombori et al., 2020)</w:t>
      </w:r>
      <w:r w:rsidR="003C3653">
        <w:rPr>
          <w:szCs w:val="24"/>
          <w:lang w:val="en-GB"/>
        </w:rPr>
        <w:fldChar w:fldCharType="end"/>
      </w:r>
      <w:r>
        <w:rPr>
          <w:szCs w:val="24"/>
          <w:lang w:val="en-GB"/>
        </w:rPr>
        <w:t xml:space="preserve"> have been presented in previous studies. At each site </w:t>
      </w:r>
      <w:r>
        <w:rPr>
          <w:szCs w:val="24"/>
        </w:rPr>
        <w:t xml:space="preserve">the trial was laid out as factorial two (5x3) in randomized complete block design and replicated 3 times. The main treatments were the seven sites with five nitrogen rates (0, 75, 150, 225 and 300 kg N/ ha /year) as NPKS 25:5:5:5 and sub-treatments were three plucking intervals (7, 14 and 21 days). Each plot comprised of 50 bushes of clone TRFK 6/8.  Tea at each site was pruned between April and August 2012 so that all plants were in same pruning cycle life. </w:t>
      </w:r>
      <w:bookmarkEnd w:id="0"/>
      <w:r>
        <w:rPr>
          <w:szCs w:val="24"/>
          <w:lang w:val="en-GB"/>
        </w:rPr>
        <w:t xml:space="preserve">  </w:t>
      </w:r>
      <w:r>
        <w:rPr>
          <w:szCs w:val="24"/>
        </w:rPr>
        <w:t>The treatments commenced in September/October 2012, depending on when there was adequate soil moisture at different sites in the respective countries. In subsequent years, the trials received fertilizers in September/October in single annual dose.</w:t>
      </w:r>
    </w:p>
    <w:p w14:paraId="4EA23131" w14:textId="77777777" w:rsidR="00FE1951" w:rsidRPr="00490216" w:rsidRDefault="00FE1951" w:rsidP="00FE1951">
      <w:pPr>
        <w:autoSpaceDE w:val="0"/>
        <w:autoSpaceDN w:val="0"/>
        <w:adjustRightInd w:val="0"/>
        <w:spacing w:line="360" w:lineRule="auto"/>
        <w:rPr>
          <w:rFonts w:eastAsia="Times New Roman"/>
          <w:b/>
          <w:bCs/>
          <w:kern w:val="32"/>
          <w:szCs w:val="24"/>
        </w:rPr>
      </w:pPr>
      <w:r>
        <w:rPr>
          <w:szCs w:val="24"/>
        </w:rPr>
        <w:t xml:space="preserve">The </w:t>
      </w:r>
      <w:r>
        <w:rPr>
          <w:szCs w:val="24"/>
          <w:lang w:val="en-GB"/>
        </w:rPr>
        <w:t xml:space="preserve">sampling was done from 3 points within a plot using calibrated steel auger then mixed, at depths of 0-10cm, 10-20cm, 20-30cm, 40-60cm from all plots. </w:t>
      </w:r>
      <w:r w:rsidRPr="00E90AE4">
        <w:rPr>
          <w:szCs w:val="24"/>
          <w:lang w:val="en-GB"/>
        </w:rPr>
        <w:t xml:space="preserve">The </w:t>
      </w:r>
      <w:r>
        <w:rPr>
          <w:szCs w:val="24"/>
          <w:lang w:val="en-GB"/>
        </w:rPr>
        <w:t xml:space="preserve">soil </w:t>
      </w:r>
      <w:r w:rsidRPr="00E90AE4">
        <w:rPr>
          <w:szCs w:val="24"/>
          <w:lang w:val="en-GB"/>
        </w:rPr>
        <w:t xml:space="preserve">samples were air-dried, ground into fine powder (&lt;2mm) using a ceramic mortar and pestle before processing for </w:t>
      </w:r>
      <w:proofErr w:type="spellStart"/>
      <w:r>
        <w:rPr>
          <w:szCs w:val="24"/>
        </w:rPr>
        <w:t>Aluminium</w:t>
      </w:r>
      <w:proofErr w:type="spellEnd"/>
      <w:r>
        <w:rPr>
          <w:szCs w:val="24"/>
        </w:rPr>
        <w:t>, iron</w:t>
      </w:r>
      <w:r w:rsidRPr="001E4A6E">
        <w:rPr>
          <w:szCs w:val="24"/>
        </w:rPr>
        <w:t xml:space="preserve">, </w:t>
      </w:r>
      <w:r>
        <w:rPr>
          <w:szCs w:val="24"/>
        </w:rPr>
        <w:t xml:space="preserve">zinc and copper using the method of </w:t>
      </w:r>
      <w:r w:rsidR="003C3653">
        <w:rPr>
          <w:szCs w:val="24"/>
        </w:rPr>
        <w:fldChar w:fldCharType="begin"/>
      </w:r>
      <w:r w:rsidR="00630FE0">
        <w:rPr>
          <w:szCs w:val="24"/>
        </w:rPr>
        <w:instrText xml:space="preserve"> ADDIN EN.CITE &lt;EndNote&gt;&lt;Cite AuthorYear="1"&gt;&lt;Author&gt;Mehlich&lt;/Author&gt;&lt;Year&gt;1984&lt;/Year&gt;&lt;RecNum&gt;82&lt;/RecNum&gt;&lt;DisplayText&gt;Mehlich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003C3653">
        <w:rPr>
          <w:szCs w:val="24"/>
        </w:rPr>
        <w:fldChar w:fldCharType="separate"/>
      </w:r>
      <w:r w:rsidR="00630FE0">
        <w:rPr>
          <w:noProof/>
          <w:szCs w:val="24"/>
        </w:rPr>
        <w:t>Mehlich (1984)</w:t>
      </w:r>
      <w:r w:rsidR="003C3653">
        <w:rPr>
          <w:szCs w:val="24"/>
        </w:rPr>
        <w:fldChar w:fldCharType="end"/>
      </w:r>
      <w:r>
        <w:rPr>
          <w:szCs w:val="24"/>
          <w:lang w:val="en-GB"/>
        </w:rPr>
        <w:t xml:space="preserve">. </w:t>
      </w:r>
      <w:r w:rsidRPr="00E90AE4">
        <w:rPr>
          <w:szCs w:val="24"/>
          <w:lang w:val="en-GB"/>
        </w:rPr>
        <w:t>Data was analysed as 7x5x3 (sites x N rates x plucking intervals), with locations as main factor, nitrogen rates as sub-treatment and plucking</w:t>
      </w:r>
      <w:r>
        <w:rPr>
          <w:szCs w:val="24"/>
          <w:lang w:val="en-GB"/>
        </w:rPr>
        <w:t xml:space="preserve"> intervals as sub-sub treatment. </w:t>
      </w:r>
    </w:p>
    <w:p w14:paraId="3F4603BC" w14:textId="77777777" w:rsidR="00B511C1" w:rsidRDefault="00B511C1" w:rsidP="00FB5451">
      <w:pPr>
        <w:autoSpaceDE w:val="0"/>
        <w:autoSpaceDN w:val="0"/>
        <w:adjustRightInd w:val="0"/>
        <w:spacing w:line="360" w:lineRule="auto"/>
        <w:rPr>
          <w:rFonts w:eastAsia="Times New Roman"/>
          <w:b/>
          <w:bCs/>
          <w:kern w:val="32"/>
          <w:szCs w:val="24"/>
        </w:rPr>
      </w:pPr>
    </w:p>
    <w:p w14:paraId="7C0A2274" w14:textId="77777777" w:rsidR="00630FE0" w:rsidRDefault="00630FE0" w:rsidP="00FB5451">
      <w:pPr>
        <w:autoSpaceDE w:val="0"/>
        <w:autoSpaceDN w:val="0"/>
        <w:adjustRightInd w:val="0"/>
        <w:spacing w:line="360" w:lineRule="auto"/>
        <w:rPr>
          <w:rFonts w:eastAsia="Times New Roman"/>
          <w:b/>
          <w:bCs/>
          <w:kern w:val="32"/>
          <w:szCs w:val="24"/>
        </w:rPr>
      </w:pPr>
    </w:p>
    <w:p w14:paraId="2BD8B035" w14:textId="77777777" w:rsidR="00630FE0" w:rsidRDefault="00630FE0" w:rsidP="00FB5451">
      <w:pPr>
        <w:autoSpaceDE w:val="0"/>
        <w:autoSpaceDN w:val="0"/>
        <w:adjustRightInd w:val="0"/>
        <w:spacing w:line="360" w:lineRule="auto"/>
        <w:rPr>
          <w:rFonts w:eastAsia="Times New Roman"/>
          <w:b/>
          <w:bCs/>
          <w:kern w:val="32"/>
          <w:szCs w:val="24"/>
        </w:rPr>
      </w:pPr>
    </w:p>
    <w:p w14:paraId="32ECA2AB" w14:textId="77777777" w:rsidR="00630FE0" w:rsidRDefault="00630FE0" w:rsidP="00FB5451">
      <w:pPr>
        <w:autoSpaceDE w:val="0"/>
        <w:autoSpaceDN w:val="0"/>
        <w:adjustRightInd w:val="0"/>
        <w:spacing w:line="360" w:lineRule="auto"/>
        <w:rPr>
          <w:rFonts w:eastAsia="Times New Roman"/>
          <w:b/>
          <w:bCs/>
          <w:kern w:val="32"/>
          <w:szCs w:val="24"/>
        </w:rPr>
      </w:pPr>
    </w:p>
    <w:p w14:paraId="3B29438D" w14:textId="77777777" w:rsidR="00FB5451" w:rsidRPr="00FB5451" w:rsidRDefault="00B511C1" w:rsidP="00FB5451">
      <w:pPr>
        <w:autoSpaceDE w:val="0"/>
        <w:autoSpaceDN w:val="0"/>
        <w:adjustRightInd w:val="0"/>
        <w:spacing w:line="360" w:lineRule="auto"/>
        <w:rPr>
          <w:rFonts w:eastAsia="Times New Roman"/>
          <w:b/>
          <w:bCs/>
          <w:kern w:val="32"/>
          <w:szCs w:val="24"/>
        </w:rPr>
      </w:pPr>
      <w:r w:rsidRPr="00FB5451">
        <w:rPr>
          <w:rFonts w:eastAsia="Times New Roman"/>
          <w:b/>
          <w:bCs/>
          <w:kern w:val="32"/>
          <w:szCs w:val="24"/>
        </w:rPr>
        <w:t>RESULTS AND DISCUSSION</w:t>
      </w:r>
    </w:p>
    <w:p w14:paraId="3911525D" w14:textId="77777777" w:rsidR="00FB5451" w:rsidRPr="00FB5451" w:rsidRDefault="00FB5451" w:rsidP="00FB5451">
      <w:pPr>
        <w:spacing w:line="360" w:lineRule="auto"/>
        <w:rPr>
          <w:szCs w:val="24"/>
        </w:rPr>
      </w:pPr>
      <w:r w:rsidRPr="00FB5451">
        <w:rPr>
          <w:bCs/>
          <w:szCs w:val="24"/>
        </w:rPr>
        <w:t>The responses of the nutrients to plucking inte</w:t>
      </w:r>
      <w:r>
        <w:rPr>
          <w:bCs/>
          <w:szCs w:val="24"/>
        </w:rPr>
        <w:t>r</w:t>
      </w:r>
      <w:r w:rsidRPr="00FB5451">
        <w:rPr>
          <w:bCs/>
          <w:szCs w:val="24"/>
        </w:rPr>
        <w:t xml:space="preserve">vals were largely insignificant. However, whenever they were significant </w:t>
      </w:r>
      <w:r w:rsidRPr="00FB5451">
        <w:rPr>
          <w:szCs w:val="24"/>
        </w:rPr>
        <w:t>(p≤0.05)</w:t>
      </w:r>
      <w:r w:rsidRPr="00FB5451">
        <w:rPr>
          <w:bCs/>
          <w:szCs w:val="24"/>
        </w:rPr>
        <w:t>, the patterns were sporadic. The Responses to plucking intervals have therefore been omitted</w:t>
      </w:r>
      <w:r w:rsidR="00D80929">
        <w:rPr>
          <w:bCs/>
          <w:szCs w:val="24"/>
        </w:rPr>
        <w:t xml:space="preserve"> in this report</w:t>
      </w:r>
      <w:r w:rsidRPr="00FB5451">
        <w:rPr>
          <w:bCs/>
          <w:szCs w:val="24"/>
        </w:rPr>
        <w:t>.</w:t>
      </w:r>
      <w:r w:rsidRPr="00FB5451">
        <w:rPr>
          <w:szCs w:val="24"/>
        </w:rPr>
        <w:t xml:space="preserve"> </w:t>
      </w:r>
    </w:p>
    <w:p w14:paraId="689180F7" w14:textId="77777777" w:rsidR="00FB5451" w:rsidRPr="00FB5451" w:rsidRDefault="00FB5451" w:rsidP="00FB5451">
      <w:pPr>
        <w:spacing w:line="360" w:lineRule="auto"/>
        <w:rPr>
          <w:szCs w:val="24"/>
        </w:rPr>
      </w:pPr>
    </w:p>
    <w:p w14:paraId="310D7300" w14:textId="77777777" w:rsidR="00FB5451" w:rsidRPr="00FB5451" w:rsidRDefault="00FB5451" w:rsidP="00FB5451">
      <w:pPr>
        <w:keepNext/>
        <w:spacing w:line="360" w:lineRule="auto"/>
        <w:outlineLvl w:val="1"/>
        <w:rPr>
          <w:rFonts w:eastAsia="Times New Roman"/>
          <w:b/>
          <w:bCs/>
          <w:iCs/>
          <w:szCs w:val="24"/>
        </w:rPr>
      </w:pPr>
      <w:bookmarkStart w:id="1" w:name="_Toc532602688"/>
      <w:r w:rsidRPr="00FB5451">
        <w:rPr>
          <w:rFonts w:eastAsia="Times New Roman"/>
          <w:b/>
          <w:bCs/>
          <w:iCs/>
          <w:szCs w:val="24"/>
        </w:rPr>
        <w:lastRenderedPageBreak/>
        <w:t xml:space="preserve">Soil </w:t>
      </w:r>
      <w:proofErr w:type="spellStart"/>
      <w:r w:rsidRPr="00FB5451">
        <w:rPr>
          <w:rFonts w:eastAsia="Times New Roman"/>
          <w:b/>
          <w:bCs/>
          <w:iCs/>
          <w:szCs w:val="24"/>
        </w:rPr>
        <w:t>Aluminium</w:t>
      </w:r>
      <w:proofErr w:type="spellEnd"/>
      <w:r w:rsidRPr="00FB5451">
        <w:rPr>
          <w:rFonts w:eastAsia="Times New Roman"/>
          <w:b/>
          <w:bCs/>
          <w:iCs/>
          <w:szCs w:val="24"/>
        </w:rPr>
        <w:t xml:space="preserve"> Levels</w:t>
      </w:r>
      <w:bookmarkEnd w:id="1"/>
    </w:p>
    <w:p w14:paraId="6C0196B9" w14:textId="77777777" w:rsidR="00FB5451" w:rsidRDefault="00FB5451" w:rsidP="00FB5451">
      <w:pPr>
        <w:spacing w:line="360" w:lineRule="auto"/>
        <w:rPr>
          <w:szCs w:val="24"/>
        </w:rPr>
      </w:pPr>
      <w:r>
        <w:rPr>
          <w:szCs w:val="24"/>
        </w:rPr>
        <w:t>Figure 1</w:t>
      </w:r>
      <w:r w:rsidR="00DA7E76">
        <w:rPr>
          <w:szCs w:val="24"/>
        </w:rPr>
        <w:t>a</w:t>
      </w:r>
      <w:r>
        <w:rPr>
          <w:szCs w:val="24"/>
        </w:rPr>
        <w:t xml:space="preserve"> shows </w:t>
      </w:r>
      <w:r w:rsidRPr="00FB5451">
        <w:rPr>
          <w:szCs w:val="24"/>
        </w:rPr>
        <w:t xml:space="preserve">soil extractable </w:t>
      </w:r>
      <w:proofErr w:type="spellStart"/>
      <w:r w:rsidRPr="00FB5451">
        <w:rPr>
          <w:szCs w:val="24"/>
        </w:rPr>
        <w:t>aluminium</w:t>
      </w:r>
      <w:proofErr w:type="spellEnd"/>
      <w:r w:rsidRPr="00FB5451">
        <w:rPr>
          <w:szCs w:val="24"/>
        </w:rPr>
        <w:t xml:space="preserve"> levels at the four soil depths. There was decline in </w:t>
      </w:r>
      <w:proofErr w:type="spellStart"/>
      <w:r w:rsidRPr="00FB5451">
        <w:rPr>
          <w:szCs w:val="24"/>
        </w:rPr>
        <w:t>aluminium</w:t>
      </w:r>
      <w:proofErr w:type="spellEnd"/>
      <w:r w:rsidRPr="00FB5451">
        <w:rPr>
          <w:szCs w:val="24"/>
        </w:rPr>
        <w:t xml:space="preserve"> levels down the soil profiles. Similar decline was observed in the soil nitrogen, pH, and organic carbon </w:t>
      </w:r>
      <w:r w:rsidR="003C3653" w:rsidRPr="00FB5451">
        <w:rPr>
          <w:szCs w:val="24"/>
        </w:rPr>
        <w:fldChar w:fldCharType="begin">
          <w:fldData xml:space="preserve">PEVuZE5vdGU+PENpdGU+PEF1dGhvcj5PbWJvcmk8L0F1dGhvcj48WWVhcj4yMDIwPC9ZZWFyPjxS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</w:fldData>
        </w:fldChar>
      </w:r>
      <w:r w:rsidR="00EF448D">
        <w:rPr>
          <w:szCs w:val="24"/>
        </w:rPr>
        <w:instrText xml:space="preserve"> ADDIN EN.CITE </w:instrText>
      </w:r>
      <w:r w:rsidR="00EF448D">
        <w:rPr>
          <w:szCs w:val="24"/>
        </w:rPr>
        <w:fldChar w:fldCharType="begin">
          <w:fldData xml:space="preserve">PEVuZE5vdGU+PENpdGU+PEF1dGhvcj5PbWJvcmk8L0F1dGhvcj48WWVhcj4yMDIwPC9ZZWFyPjxS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</w:fldData>
        </w:fldChar>
      </w:r>
      <w:r w:rsidR="00EF448D">
        <w:rPr>
          <w:szCs w:val="24"/>
        </w:rPr>
        <w:instrText xml:space="preserve"> ADDIN EN.CITE.DATA </w:instrText>
      </w:r>
      <w:r w:rsidR="00EF448D">
        <w:rPr>
          <w:szCs w:val="24"/>
        </w:rPr>
      </w:r>
      <w:r w:rsidR="00EF448D">
        <w:rPr>
          <w:szCs w:val="24"/>
        </w:rPr>
        <w:fldChar w:fldCharType="end"/>
      </w:r>
      <w:r w:rsidR="003C3653" w:rsidRPr="00FB5451">
        <w:rPr>
          <w:szCs w:val="24"/>
        </w:rPr>
      </w:r>
      <w:r w:rsidR="003C3653" w:rsidRPr="00FB5451">
        <w:rPr>
          <w:szCs w:val="24"/>
        </w:rPr>
        <w:fldChar w:fldCharType="separate"/>
      </w:r>
      <w:r w:rsidR="00EF448D">
        <w:rPr>
          <w:noProof/>
          <w:szCs w:val="24"/>
        </w:rPr>
        <w:t>(Ombori et al., 2020; Ruan et al., 2006)</w:t>
      </w:r>
      <w:r w:rsidR="003C3653" w:rsidRPr="00FB5451">
        <w:rPr>
          <w:szCs w:val="24"/>
        </w:rPr>
        <w:fldChar w:fldCharType="end"/>
      </w:r>
      <w:r w:rsidRPr="00FB5451">
        <w:rPr>
          <w:szCs w:val="24"/>
        </w:rPr>
        <w:t xml:space="preserve">. This could be attributed to low soil pH </w:t>
      </w:r>
      <w:r w:rsidR="003C3653" w:rsidRPr="00FB5451">
        <w:rPr>
          <w:szCs w:val="24"/>
        </w:rPr>
        <w:fldChar w:fldCharType="begin">
          <w:fldData xml:space="preserve">PEVuZE5vdGU+PENpdGU+PEF1dGhvcj5SdWFuPC9BdXRob3I+PFllYXI+MjAwNDwvWWVhcj48UmVj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dW0+PC9yZWNvcmQ+PC9DaXRlPjwvRW5kTm90ZT5=
</w:fldData>
        </w:fldChar>
      </w:r>
      <w:r w:rsidR="00EF448D">
        <w:rPr>
          <w:szCs w:val="24"/>
        </w:rPr>
        <w:instrText xml:space="preserve"> ADDIN EN.CITE </w:instrText>
      </w:r>
      <w:r w:rsidR="00EF448D">
        <w:rPr>
          <w:szCs w:val="24"/>
        </w:rPr>
        <w:fldChar w:fldCharType="begin">
          <w:fldData xml:space="preserve">PEVuZE5vdGU+PENpdGU+PEF1dGhvcj5SdWFuPC9BdXRob3I+PFllYXI+MjAwNDwvWWVhcj48UmVj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dW0+PC9yZWNvcmQ+PC9DaXRlPjwvRW5kTm90ZT5=
</w:fldData>
        </w:fldChar>
      </w:r>
      <w:r w:rsidR="00EF448D">
        <w:rPr>
          <w:szCs w:val="24"/>
        </w:rPr>
        <w:instrText xml:space="preserve"> ADDIN EN.CITE.DATA </w:instrText>
      </w:r>
      <w:r w:rsidR="00EF448D">
        <w:rPr>
          <w:szCs w:val="24"/>
        </w:rPr>
      </w:r>
      <w:r w:rsidR="00EF448D">
        <w:rPr>
          <w:szCs w:val="24"/>
        </w:rPr>
        <w:fldChar w:fldCharType="end"/>
      </w:r>
      <w:r w:rsidR="003C3653" w:rsidRPr="00FB5451">
        <w:rPr>
          <w:szCs w:val="24"/>
        </w:rPr>
      </w:r>
      <w:r w:rsidR="003C3653" w:rsidRPr="00FB5451">
        <w:rPr>
          <w:szCs w:val="24"/>
        </w:rPr>
        <w:fldChar w:fldCharType="separate"/>
      </w:r>
      <w:r w:rsidR="00EF448D">
        <w:rPr>
          <w:noProof/>
          <w:szCs w:val="24"/>
        </w:rPr>
        <w:t>(Ombori et al., 2020; Ruan, Ma, Shi, &amp; Han, 2004)</w:t>
      </w:r>
      <w:r w:rsidR="003C3653" w:rsidRPr="00FB5451">
        <w:rPr>
          <w:szCs w:val="24"/>
        </w:rPr>
        <w:fldChar w:fldCharType="end"/>
      </w:r>
      <w:r w:rsidRPr="00FB5451">
        <w:rPr>
          <w:szCs w:val="24"/>
        </w:rPr>
        <w:t xml:space="preserve">, litter fall and decomposition </w:t>
      </w:r>
      <w:r w:rsidR="003C3653" w:rsidRPr="00FB5451">
        <w:rPr>
          <w:szCs w:val="24"/>
        </w:rPr>
        <w:fldChar w:fldCharType="begin"/>
      </w:r>
      <w:r w:rsidR="00EF448D">
        <w:rPr>
          <w:szCs w:val="24"/>
        </w:rPr>
        <w:instrText xml:space="preserve"> ADDIN EN.CITE &lt;EndNote&gt;&lt;Cite&gt;&lt;Author&gt;Ruan&lt;/Author&gt;&lt;Year&gt;2001&lt;/Year&gt;&lt;RecNum&gt;159&lt;/RecNum&gt;&lt;DisplayText&gt;(Ruan &amp;amp; Wong, 2001)&lt;/DisplayText&gt;&lt;record&gt;&lt;rec-number&gt;159&lt;/rec-number&gt;&lt;foreign-keys&gt;&lt;key app="EN" db-id="zx5vprwxa0rsabew9f9xp5fcs9tz0dzwa2fa" timestamp="1757256376"&gt;159&lt;/key&gt;&lt;/foreign-keys&gt;&lt;ref-type name="Journal Article"&gt;17&lt;/ref-type&gt;&lt;contributors&gt;&lt;authors&gt;&lt;author&gt;Ruan, Jianyun&lt;/author&gt;&lt;author&gt;Wong, Ming H&lt;/author&gt;&lt;/authors&gt;&lt;/contributors&gt;&lt;titles&gt;&lt;title&gt;Accumulation of fluoride and aluminium related to different varieties of tea plant&lt;/title&gt;&lt;secondary-title&gt;Environmental Geochemistry and Health&lt;/secondary-title&gt;&lt;/titles&gt;&lt;periodical&gt;&lt;full-title&gt;Environmental geochemistry and health&lt;/full-title&gt;&lt;/periodical&gt;&lt;pages&gt;53-63&lt;/pages&gt;&lt;volume&gt;23&lt;/volume&gt;&lt;number&gt;1&lt;/number&gt;&lt;dates&gt;&lt;year&gt;2001&lt;/year&gt;&lt;/dates&gt;&lt;isbn&gt;0269-4042&lt;/isbn&gt;&lt;urls&gt;&lt;/urls&gt;&lt;electronic-resource-num&gt;https://doi.org/10.1023/A:1011082608631&lt;/electronic-resource-num&gt;&lt;/record&gt;&lt;/Cite&gt;&lt;/EndNote&gt;</w:instrText>
      </w:r>
      <w:r w:rsidR="003C3653" w:rsidRPr="00FB5451">
        <w:rPr>
          <w:szCs w:val="24"/>
        </w:rPr>
        <w:fldChar w:fldCharType="separate"/>
      </w:r>
      <w:r w:rsidR="00EF448D">
        <w:rPr>
          <w:noProof/>
          <w:szCs w:val="24"/>
        </w:rPr>
        <w:t>(Ruan &amp; Wong, 2001)</w:t>
      </w:r>
      <w:r w:rsidR="003C3653" w:rsidRPr="00FB5451">
        <w:rPr>
          <w:szCs w:val="24"/>
        </w:rPr>
        <w:fldChar w:fldCharType="end"/>
      </w:r>
      <w:r w:rsidRPr="00FB5451">
        <w:rPr>
          <w:szCs w:val="24"/>
        </w:rPr>
        <w:t xml:space="preserve"> and tea </w:t>
      </w:r>
      <w:proofErr w:type="spellStart"/>
      <w:r w:rsidRPr="00FB5451">
        <w:rPr>
          <w:szCs w:val="24"/>
        </w:rPr>
        <w:t>prunings</w:t>
      </w:r>
      <w:proofErr w:type="spellEnd"/>
      <w:r w:rsidRPr="00FB5451">
        <w:rPr>
          <w:szCs w:val="24"/>
        </w:rPr>
        <w:t xml:space="preserve"> left </w:t>
      </w:r>
      <w:r w:rsidRPr="00FB5451">
        <w:rPr>
          <w:i/>
          <w:szCs w:val="24"/>
        </w:rPr>
        <w:t>in situ</w:t>
      </w:r>
      <w:r w:rsidRPr="00FB5451">
        <w:rPr>
          <w:szCs w:val="24"/>
        </w:rPr>
        <w:t xml:space="preserve"> </w:t>
      </w:r>
      <w:r w:rsidR="003C3653" w:rsidRPr="00FB5451">
        <w:rPr>
          <w:szCs w:val="24"/>
        </w:rPr>
        <w:fldChar w:fldCharType="begin"/>
      </w:r>
      <w:r w:rsidR="00EF448D">
        <w:rPr>
          <w:szCs w:val="24"/>
        </w:rPr>
        <w:instrText xml:space="preserve"> ADDIN EN.CITE &lt;EndNote&gt;&lt;Cite&gt;&lt;Author&gt;Ruan&lt;/Author&gt;&lt;Year&gt;2006&lt;/Year&gt;&lt;RecNum&gt;49&lt;/RecNum&gt;&lt;DisplayText&gt;(Ruan et al., 2006)&lt;/DisplayText&gt;&lt;record&gt;&lt;rec-number&gt;49&lt;/rec-number&gt;&lt;foreign-keys&gt;&lt;key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sidR="003C3653" w:rsidRPr="00FB5451">
        <w:rPr>
          <w:szCs w:val="24"/>
        </w:rPr>
        <w:fldChar w:fldCharType="separate"/>
      </w:r>
      <w:r w:rsidR="00EF448D">
        <w:rPr>
          <w:noProof/>
          <w:szCs w:val="24"/>
        </w:rPr>
        <w:t>(Ruan et al., 2006)</w:t>
      </w:r>
      <w:r w:rsidR="003C3653" w:rsidRPr="00FB5451">
        <w:rPr>
          <w:szCs w:val="24"/>
        </w:rPr>
        <w:fldChar w:fldCharType="end"/>
      </w:r>
      <w:r w:rsidRPr="00FB5451">
        <w:rPr>
          <w:szCs w:val="24"/>
        </w:rPr>
        <w:t xml:space="preserve">.  </w:t>
      </w:r>
      <w:proofErr w:type="spellStart"/>
      <w:r w:rsidRPr="00FB5451">
        <w:rPr>
          <w:szCs w:val="24"/>
        </w:rPr>
        <w:t>Aluminium</w:t>
      </w:r>
      <w:proofErr w:type="spellEnd"/>
      <w:r w:rsidRPr="00FB5451">
        <w:rPr>
          <w:szCs w:val="24"/>
        </w:rPr>
        <w:t xml:space="preserve"> reduces uptake of copper, iron and zinc </w:t>
      </w:r>
      <w:r w:rsidR="003C3653" w:rsidRPr="00FB5451">
        <w:rPr>
          <w:szCs w:val="24"/>
        </w:rPr>
        <w:fldChar w:fldCharType="begin"/>
      </w:r>
      <w:r w:rsidR="00EF448D">
        <w:rPr>
          <w:szCs w:val="24"/>
        </w:rPr>
        <w:instrText xml:space="preserve"> ADDIN EN.CITE &lt;EndNote&gt;&lt;Cite&gt;&lt;Author&gt;Fung&lt;/Author&gt;&lt;Year&gt;2008&lt;/Year&gt;&lt;RecNum&gt;227&lt;/RecNum&gt;&lt;DisplayText&gt;(Fung et al., 2008)&lt;/DisplayText&gt;&lt;record&gt;&lt;rec-number&gt;227&lt;/rec-number&gt;&lt;foreign-keys&gt;&lt;key app="EN" db-id="zx5vprwxa0rsabew9f9xp5fcs9tz0dzwa2fa" timestamp="1757683321"&gt;227&lt;/key&gt;&lt;/foreign-keys&gt;&lt;ref-type name="Journal Article"&gt;17&lt;/ref-type&gt;&lt;contributors&gt;&lt;authors&gt;&lt;author&gt;Fung, Ka Fai&lt;/author&gt;&lt;author&gt;Carr, Hilda Premi&lt;/author&gt;&lt;author&gt;Zhang, Jianhua&lt;/author&gt;&lt;author&gt;Wong, Ming Hung&lt;/author&gt;&lt;/authors&gt;&lt;/contributors&gt;&lt;titles&gt;&lt;title&gt;Growth and nutrient uptake of tea under different aluminium concentrations&lt;/title&gt;&lt;secondary-title&gt;Journal of the Science of Food and Agriculture&lt;/secondary-title&gt;&lt;/titles&gt;&lt;periodical&gt;&lt;full-title&gt;Journal of the Science of Food and Agriculture&lt;/full-title&gt;&lt;/periodical&gt;&lt;pages&gt;1582-1591&lt;/pages&gt;&lt;volume&gt;88&lt;/volume&gt;&lt;number&gt;9&lt;/number&gt;&lt;dates&gt;&lt;year&gt;2008&lt;/year&gt;&lt;/dates&gt;&lt;isbn&gt;0022-5142&lt;/isbn&gt;&lt;urls&gt;&lt;/urls&gt;&lt;electronic-resource-num&gt; https://doi.org/10.1002/jsfa.3254&lt;/electronic-resource-num&gt;&lt;/record&gt;&lt;/Cite&gt;&lt;/EndNote&gt;</w:instrText>
      </w:r>
      <w:r w:rsidR="003C3653" w:rsidRPr="00FB5451">
        <w:rPr>
          <w:szCs w:val="24"/>
        </w:rPr>
        <w:fldChar w:fldCharType="separate"/>
      </w:r>
      <w:r w:rsidR="00EF448D">
        <w:rPr>
          <w:noProof/>
          <w:szCs w:val="24"/>
        </w:rPr>
        <w:t>(Fung et al., 2008)</w:t>
      </w:r>
      <w:r w:rsidR="003C3653" w:rsidRPr="00FB5451">
        <w:rPr>
          <w:szCs w:val="24"/>
        </w:rPr>
        <w:fldChar w:fldCharType="end"/>
      </w:r>
      <w:r w:rsidRPr="00FB5451">
        <w:rPr>
          <w:szCs w:val="24"/>
        </w:rPr>
        <w:t xml:space="preserve">, potassium, phosphorous, magnesium </w:t>
      </w:r>
      <w:r w:rsidR="003C3653" w:rsidRPr="00FB5451">
        <w:rPr>
          <w:szCs w:val="24"/>
        </w:rPr>
        <w:fldChar w:fldCharType="begin"/>
      </w:r>
      <w:r w:rsidR="00EF448D">
        <w:rPr>
          <w:szCs w:val="24"/>
        </w:rPr>
        <w:instrText xml:space="preserve"> ADDIN EN.CITE &lt;EndNote&gt;&lt;Cite&gt;&lt;Author&gt;Bose&lt;/Author&gt;&lt;Year&gt;2015&lt;/Year&gt;&lt;RecNum&gt;228&lt;/RecNum&gt;&lt;DisplayText&gt;(Bose et al., 2015)&lt;/DisplayText&gt;&lt;record&gt;&lt;rec-number&gt;228&lt;/rec-number&gt;&lt;foreign-keys&gt;&lt;key app="EN" db-id="zx5vprwxa0rsabew9f9xp5fcs9tz0dzwa2fa" timestamp="1757683526"&gt;228&lt;/key&gt;&lt;/foreign-keys&gt;&lt;ref-type name="Book Section"&gt;5&lt;/ref-type&gt;&lt;contributors&gt;&lt;authors&gt;&lt;author&gt;Bose, Jayakumar&lt;/author&gt;&lt;author&gt;Babourina, Olga&lt;/author&gt;&lt;author&gt;Ma, Yanling&lt;/author&gt;&lt;author&gt;Zhou, Meixue&lt;/author&gt;&lt;author&gt;Shabala, Sergey&lt;/author&gt;&lt;author&gt;Rengel, Zed&lt;/author&gt;&lt;/authors&gt;&lt;/contributors&gt;&lt;titles&gt;&lt;title&gt;Specificity of ion uptake and homeostasis maintenance during acid and aluminium stresses&lt;/title&gt;&lt;secondary-title&gt;Aluminum stress adaptation in plants&lt;/secondary-title&gt;&lt;/titles&gt;&lt;pages&gt;229-251&lt;/pages&gt;&lt;dates&gt;&lt;year&gt;2015&lt;/year&gt;&lt;/dates&gt;&lt;publisher&gt;Springer&lt;/publisher&gt;&lt;urls&gt;&lt;/urls&gt;&lt;electronic-resource-num&gt;https://doi.org/10.1007/978-3-319-19968-9_12&lt;/electronic-resource-num&gt;&lt;/record&gt;&lt;/Cite&gt;&lt;/EndNote&gt;</w:instrText>
      </w:r>
      <w:r w:rsidR="003C3653" w:rsidRPr="00FB5451">
        <w:rPr>
          <w:szCs w:val="24"/>
        </w:rPr>
        <w:fldChar w:fldCharType="separate"/>
      </w:r>
      <w:r w:rsidR="00EF448D">
        <w:rPr>
          <w:noProof/>
          <w:szCs w:val="24"/>
        </w:rPr>
        <w:t>(Bose et al., 2015)</w:t>
      </w:r>
      <w:r w:rsidR="003C3653" w:rsidRPr="00FB5451">
        <w:rPr>
          <w:szCs w:val="24"/>
        </w:rPr>
        <w:fldChar w:fldCharType="end"/>
      </w:r>
      <w:r w:rsidRPr="00FB5451">
        <w:rPr>
          <w:szCs w:val="24"/>
        </w:rPr>
        <w:t xml:space="preserve">  and calcium </w:t>
      </w:r>
      <w:r w:rsidR="003C3653" w:rsidRPr="00FB5451">
        <w:rPr>
          <w:szCs w:val="24"/>
        </w:rPr>
        <w:fldChar w:fldCharType="begin">
          <w:fldData xml:space="preserve">PEVuZE5vdGU+PENpdGU+PEF1dGhvcj5aaGFuZzwvQXV0aG9yPjxZZWFyPjIwMjM8L1llYXI+PFJl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</w:fldData>
        </w:fldChar>
      </w:r>
      <w:r w:rsidR="00EF448D">
        <w:rPr>
          <w:szCs w:val="24"/>
        </w:rPr>
        <w:instrText xml:space="preserve"> ADDIN EN.CITE </w:instrText>
      </w:r>
      <w:r w:rsidR="00EF448D">
        <w:rPr>
          <w:szCs w:val="24"/>
        </w:rPr>
        <w:fldChar w:fldCharType="begin">
          <w:fldData xml:space="preserve">PEVuZE5vdGU+PENpdGU+PEF1dGhvcj5aaGFuZzwvQXV0aG9yPjxZZWFyPjIwMjM8L1llYXI+PFJl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</w:fldData>
        </w:fldChar>
      </w:r>
      <w:r w:rsidR="00EF448D">
        <w:rPr>
          <w:szCs w:val="24"/>
        </w:rPr>
        <w:instrText xml:space="preserve"> ADDIN EN.CITE.DATA </w:instrText>
      </w:r>
      <w:r w:rsidR="00EF448D">
        <w:rPr>
          <w:szCs w:val="24"/>
        </w:rPr>
      </w:r>
      <w:r w:rsidR="00EF448D">
        <w:rPr>
          <w:szCs w:val="24"/>
        </w:rPr>
        <w:fldChar w:fldCharType="end"/>
      </w:r>
      <w:r w:rsidR="003C3653" w:rsidRPr="00FB5451">
        <w:rPr>
          <w:szCs w:val="24"/>
        </w:rPr>
      </w:r>
      <w:r w:rsidR="003C3653" w:rsidRPr="00FB5451">
        <w:rPr>
          <w:szCs w:val="24"/>
        </w:rPr>
        <w:fldChar w:fldCharType="separate"/>
      </w:r>
      <w:r w:rsidR="00EF448D">
        <w:rPr>
          <w:noProof/>
          <w:szCs w:val="24"/>
        </w:rPr>
        <w:t>(Fung et al., 2008; Zhang et al., 2023)</w:t>
      </w:r>
      <w:r w:rsidR="003C3653" w:rsidRPr="00FB5451">
        <w:rPr>
          <w:szCs w:val="24"/>
        </w:rPr>
        <w:fldChar w:fldCharType="end"/>
      </w:r>
      <w:r w:rsidRPr="00FB5451">
        <w:rPr>
          <w:szCs w:val="24"/>
        </w:rPr>
        <w:t xml:space="preserve"> </w:t>
      </w:r>
      <w:r w:rsidRPr="00490216">
        <w:rPr>
          <w:szCs w:val="24"/>
        </w:rPr>
        <w:t xml:space="preserve">by tea. </w:t>
      </w:r>
      <w:r w:rsidR="00733727">
        <w:rPr>
          <w:szCs w:val="24"/>
        </w:rPr>
        <w:t xml:space="preserve">Variations in </w:t>
      </w:r>
      <w:r w:rsidR="00733727" w:rsidRPr="00490216">
        <w:rPr>
          <w:szCs w:val="24"/>
        </w:rPr>
        <w:t xml:space="preserve">soil </w:t>
      </w:r>
      <w:proofErr w:type="spellStart"/>
      <w:r w:rsidR="00733727" w:rsidRPr="00490216">
        <w:rPr>
          <w:szCs w:val="24"/>
        </w:rPr>
        <w:t>aluminium</w:t>
      </w:r>
      <w:proofErr w:type="spellEnd"/>
      <w:r w:rsidR="00733727" w:rsidRPr="00490216">
        <w:rPr>
          <w:szCs w:val="24"/>
        </w:rPr>
        <w:t xml:space="preserve"> (p≤0.05)</w:t>
      </w:r>
      <w:r w:rsidR="00733727">
        <w:rPr>
          <w:szCs w:val="24"/>
        </w:rPr>
        <w:t xml:space="preserve"> </w:t>
      </w:r>
      <w:r w:rsidR="00733727" w:rsidRPr="00490216">
        <w:rPr>
          <w:szCs w:val="24"/>
        </w:rPr>
        <w:t>were also observed at different locations</w:t>
      </w:r>
      <w:r w:rsidR="00DA7E76">
        <w:rPr>
          <w:szCs w:val="24"/>
        </w:rPr>
        <w:t xml:space="preserve"> (Figures 1b-1e)</w:t>
      </w:r>
      <w:r w:rsidR="00733727">
        <w:rPr>
          <w:szCs w:val="24"/>
        </w:rPr>
        <w:t xml:space="preserve">. Similar variations have been observed in soil </w:t>
      </w:r>
      <w:r w:rsidR="00733727">
        <w:rPr>
          <w:szCs w:val="24"/>
        </w:rPr>
        <w:fldChar w:fldCharType="begin"/>
      </w:r>
      <w:r w:rsidR="00EF448D">
        <w:rPr>
          <w:szCs w:val="24"/>
        </w:rPr>
        <w:instrText xml:space="preserve"> ADDIN EN.CITE &lt;EndNote&gt;&lt;Cite&gt;&lt;Author&gt;de Silva&lt;/Author&gt;&lt;Year&gt;2016&lt;/Year&gt;&lt;RecNum&gt;229&lt;/RecNum&gt;&lt;DisplayText&gt;(de Silva et al., 2016)&lt;/DisplayText&gt;&lt;record&gt;&lt;rec-number&gt;229&lt;/rec-number&gt;&lt;foreign-keys&gt;&lt;key app="EN" db-id="zx5vprwxa0rsabew9f9xp5fcs9tz0dzwa2fa" timestamp="1757683985"&gt;229&lt;/key&gt;&lt;/foreign-keys&gt;&lt;ref-type name="Journal Article"&gt;17&lt;/ref-type&gt;&lt;contributors&gt;&lt;authors&gt;&lt;author&gt;de Silva, Jacquie&lt;/author&gt;&lt;author&gt;Tuwei, Gabriel&lt;/author&gt;&lt;author&gt;Zhao, Fang-Jie&lt;/author&gt;&lt;/authors&gt;&lt;/contributors&gt;&lt;titles&gt;&lt;title&gt;&lt;style face="normal" font="default" size="100%"&gt;Environmental factors influencing aluminium accumulation in tea (&lt;/style&gt;&lt;style face="italic" font="default" size="100%"&gt;Camellia sinensis&lt;/style&gt;&lt;style face="normal" font="default" size="100%"&gt; L.)&lt;/style&gt;&lt;/title&gt;&lt;secondary-title&gt;Plant and Soil&lt;/secondary-title&gt;&lt;/titles&gt;&lt;periodical&gt;&lt;full-title&gt;Plant and Soil&lt;/full-title&gt;&lt;/periodical&gt;&lt;pages&gt;223-230&lt;/pages&gt;&lt;volume&gt;400&lt;/volume&gt;&lt;number&gt;1&lt;/number&gt;&lt;dates&gt;&lt;year&gt;2016&lt;/year&gt;&lt;/dates&gt;&lt;isbn&gt;0032-079X&lt;/isbn&gt;&lt;urls&gt;&lt;/urls&gt;&lt;electronic-resource-num&gt;https://doi.org/10.1007/s11104-015-2729-5&lt;/electronic-resource-num&gt;&lt;/record&gt;&lt;/Cite&gt;&lt;/EndNote&gt;</w:instrText>
      </w:r>
      <w:r w:rsidR="00733727">
        <w:rPr>
          <w:szCs w:val="24"/>
        </w:rPr>
        <w:fldChar w:fldCharType="separate"/>
      </w:r>
      <w:r w:rsidR="00EF448D">
        <w:rPr>
          <w:noProof/>
          <w:szCs w:val="24"/>
        </w:rPr>
        <w:t>(de Silva et al., 2016)</w:t>
      </w:r>
      <w:r w:rsidR="00733727">
        <w:rPr>
          <w:szCs w:val="24"/>
        </w:rPr>
        <w:fldChar w:fldCharType="end"/>
      </w:r>
      <w:r w:rsidR="00733727" w:rsidRPr="00490216">
        <w:rPr>
          <w:szCs w:val="24"/>
        </w:rPr>
        <w:t xml:space="preserve"> </w:t>
      </w:r>
      <w:r w:rsidR="00733727">
        <w:rPr>
          <w:szCs w:val="24"/>
        </w:rPr>
        <w:t>and m</w:t>
      </w:r>
      <w:r w:rsidR="00733727" w:rsidRPr="00490216">
        <w:rPr>
          <w:szCs w:val="24"/>
        </w:rPr>
        <w:t xml:space="preserve">ature leaf </w:t>
      </w:r>
      <w:proofErr w:type="spellStart"/>
      <w:r w:rsidR="00733727" w:rsidRPr="00490216">
        <w:rPr>
          <w:szCs w:val="24"/>
        </w:rPr>
        <w:t>aluminium</w:t>
      </w:r>
      <w:proofErr w:type="spellEnd"/>
      <w:r w:rsidR="00733727" w:rsidRPr="00490216">
        <w:rPr>
          <w:szCs w:val="24"/>
        </w:rPr>
        <w:t xml:space="preserve"> levels </w:t>
      </w:r>
      <w:r w:rsidR="00733727">
        <w:rPr>
          <w:szCs w:val="24"/>
        </w:rPr>
        <w:fldChar w:fldCharType="begin"/>
      </w:r>
      <w:r w:rsidR="00EF448D">
        <w:rPr>
          <w:szCs w:val="24"/>
        </w:rPr>
        <w:instrText xml:space="preserve"> ADDIN EN.CITE &lt;EndNote&gt;&lt;Cite&gt;&lt;Author&gt;Ruan&lt;/Author&gt;&lt;Year&gt;2006&lt;/Year&gt;&lt;RecNum&gt;49&lt;/RecNum&gt;&lt;DisplayText&gt;(Ruan et al., 2006)&lt;/DisplayText&gt;&lt;record&gt;&lt;rec-number&gt;49&lt;/rec-number&gt;&lt;foreign-keys&gt;&lt;key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sidR="00733727">
        <w:rPr>
          <w:szCs w:val="24"/>
        </w:rPr>
        <w:fldChar w:fldCharType="separate"/>
      </w:r>
      <w:r w:rsidR="00EF448D">
        <w:rPr>
          <w:noProof/>
          <w:szCs w:val="24"/>
        </w:rPr>
        <w:t>(Ruan et al., 2006)</w:t>
      </w:r>
      <w:r w:rsidR="00733727">
        <w:rPr>
          <w:szCs w:val="24"/>
        </w:rPr>
        <w:fldChar w:fldCharType="end"/>
      </w:r>
      <w:r w:rsidRPr="00975D1B">
        <w:rPr>
          <w:strike/>
          <w:szCs w:val="24"/>
        </w:rPr>
        <w:t>Therefore,</w:t>
      </w:r>
      <w:r w:rsidRPr="00490216">
        <w:rPr>
          <w:szCs w:val="24"/>
        </w:rPr>
        <w:t xml:space="preserve"> </w:t>
      </w:r>
      <w:r w:rsidR="00733727">
        <w:rPr>
          <w:szCs w:val="24"/>
        </w:rPr>
        <w:t>T</w:t>
      </w:r>
      <w:r w:rsidR="00733727" w:rsidRPr="00490216">
        <w:rPr>
          <w:szCs w:val="24"/>
        </w:rPr>
        <w:t xml:space="preserve">he </w:t>
      </w:r>
      <w:r w:rsidRPr="00490216">
        <w:rPr>
          <w:szCs w:val="24"/>
        </w:rPr>
        <w:t xml:space="preserve">accumulation of </w:t>
      </w:r>
      <w:proofErr w:type="spellStart"/>
      <w:r w:rsidRPr="00490216">
        <w:rPr>
          <w:szCs w:val="24"/>
        </w:rPr>
        <w:t>aluminium</w:t>
      </w:r>
      <w:proofErr w:type="spellEnd"/>
      <w:r w:rsidRPr="00490216">
        <w:rPr>
          <w:szCs w:val="24"/>
        </w:rPr>
        <w:t xml:space="preserve"> levels at the upper soil depths</w:t>
      </w:r>
      <w:r w:rsidR="00D27863">
        <w:rPr>
          <w:szCs w:val="24"/>
        </w:rPr>
        <w:t xml:space="preserve"> and </w:t>
      </w:r>
      <w:r w:rsidR="00D27863" w:rsidRPr="00490216">
        <w:rPr>
          <w:szCs w:val="24"/>
        </w:rPr>
        <w:t xml:space="preserve">variable </w:t>
      </w:r>
      <w:proofErr w:type="spellStart"/>
      <w:r w:rsidR="00D27863" w:rsidRPr="00490216">
        <w:rPr>
          <w:szCs w:val="24"/>
        </w:rPr>
        <w:t>aluminium</w:t>
      </w:r>
      <w:proofErr w:type="spellEnd"/>
      <w:r w:rsidR="00D27863" w:rsidRPr="00490216">
        <w:rPr>
          <w:szCs w:val="24"/>
        </w:rPr>
        <w:t xml:space="preserve"> levels in different regions</w:t>
      </w:r>
      <w:r w:rsidRPr="00490216">
        <w:rPr>
          <w:szCs w:val="24"/>
        </w:rPr>
        <w:t xml:space="preserve"> might interfere with the uptake of base ions and lead to reduced crop productivity.</w:t>
      </w:r>
    </w:p>
    <w:p w14:paraId="14001B3D" w14:textId="77777777" w:rsidR="00286BAA" w:rsidRDefault="00286BAA" w:rsidP="00286BAA">
      <w:pPr>
        <w:spacing w:line="360" w:lineRule="auto"/>
        <w:rPr>
          <w:szCs w:val="24"/>
        </w:rPr>
      </w:pPr>
      <w:r w:rsidRPr="00490216">
        <w:rPr>
          <w:szCs w:val="24"/>
        </w:rPr>
        <w:t xml:space="preserve">Increasing rates of nitrogen fertilizer increased (p≤0.05) </w:t>
      </w:r>
      <w:proofErr w:type="spellStart"/>
      <w:r w:rsidRPr="00490216">
        <w:rPr>
          <w:szCs w:val="24"/>
        </w:rPr>
        <w:t>aluminium</w:t>
      </w:r>
      <w:proofErr w:type="spellEnd"/>
      <w:r w:rsidRPr="00490216">
        <w:rPr>
          <w:szCs w:val="24"/>
        </w:rPr>
        <w:t xml:space="preserve"> contents at all sites. There appeared to be an increase in soil </w:t>
      </w:r>
      <w:proofErr w:type="spellStart"/>
      <w:r w:rsidRPr="00490216">
        <w:rPr>
          <w:szCs w:val="24"/>
        </w:rPr>
        <w:t>aluminium</w:t>
      </w:r>
      <w:proofErr w:type="spellEnd"/>
      <w:r w:rsidRPr="00490216">
        <w:rPr>
          <w:szCs w:val="24"/>
        </w:rPr>
        <w:t xml:space="preserve"> levels with increase in applied rates of nitrogen and at all sites means except at depth 40-60cm. The results agree with previous studies </w:t>
      </w:r>
      <w:r>
        <w:rPr>
          <w:szCs w:val="24"/>
        </w:rPr>
        <w:fldChar w:fldCharType="begin">
          <w:fldData xml:space="preserve">PEVuZE5vdGU+PENpdGU+PEF1dGhvcj5SdWFuPC9BdXRob3I+PFllYXI+MjAwNjwvWWVhcj48UmVj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</w:fldData>
        </w:fldChar>
      </w:r>
      <w:r w:rsidR="00EF448D">
        <w:rPr>
          <w:szCs w:val="24"/>
        </w:rPr>
        <w:instrText xml:space="preserve"> ADDIN EN.CITE </w:instrText>
      </w:r>
      <w:r w:rsidR="00EF448D">
        <w:rPr>
          <w:szCs w:val="24"/>
        </w:rPr>
        <w:fldChar w:fldCharType="begin">
          <w:fldData xml:space="preserve">PEVuZE5vdGU+PENpdGU+PEF1dGhvcj5SdWFuPC9BdXRob3I+PFllYXI+MjAwNjwvWWVhcj48UmVj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(Ruan et al., 2006; Ruan, Ma, Shi, &amp; Han, 2004)</w:t>
      </w:r>
      <w:r>
        <w:rPr>
          <w:szCs w:val="24"/>
        </w:rPr>
        <w:fldChar w:fldCharType="end"/>
      </w:r>
      <w:r w:rsidRPr="00490216">
        <w:rPr>
          <w:szCs w:val="24"/>
        </w:rPr>
        <w:t xml:space="preserve"> where increasing rates of nitrogen improved the levels of </w:t>
      </w:r>
      <w:proofErr w:type="spellStart"/>
      <w:r w:rsidRPr="00490216">
        <w:rPr>
          <w:szCs w:val="24"/>
        </w:rPr>
        <w:t>aluminium</w:t>
      </w:r>
      <w:proofErr w:type="spellEnd"/>
      <w:r w:rsidRPr="00490216">
        <w:rPr>
          <w:szCs w:val="24"/>
        </w:rPr>
        <w:t xml:space="preserve"> in tea soils. Increased nitrogen fertilizer rates decrease soil pH </w:t>
      </w:r>
      <w:r>
        <w:rPr>
          <w:szCs w:val="24"/>
        </w:rPr>
        <w:fldChar w:fldCharType="begin">
          <w:fldData xml:space="preserve">PEVuZE5vdGU+PENpdGU+PEF1dGhvcj5PbWJvcmk8L0F1dGhvcj48WWVhcj4yMDIwPC9ZZWFyPjxS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</w:fldData>
        </w:fldChar>
      </w:r>
      <w:r w:rsidR="00EF448D">
        <w:rPr>
          <w:szCs w:val="24"/>
        </w:rPr>
        <w:instrText xml:space="preserve"> ADDIN EN.CITE </w:instrText>
      </w:r>
      <w:r w:rsidR="00EF448D">
        <w:rPr>
          <w:szCs w:val="24"/>
        </w:rPr>
        <w:fldChar w:fldCharType="begin">
          <w:fldData xml:space="preserve">PEVuZE5vdGU+PENpdGU+PEF1dGhvcj5PbWJvcmk8L0F1dGhvcj48WWVhcj4yMDIwPC9ZZWFyPjxS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(D. M. Kamau et al., 2008; Ombori et al., 2020)</w:t>
      </w:r>
      <w:r>
        <w:rPr>
          <w:szCs w:val="24"/>
        </w:rPr>
        <w:fldChar w:fldCharType="end"/>
      </w:r>
      <w:r w:rsidRPr="00490216">
        <w:rPr>
          <w:szCs w:val="24"/>
        </w:rPr>
        <w:t xml:space="preserve"> influencing availability of </w:t>
      </w:r>
      <w:proofErr w:type="spellStart"/>
      <w:r w:rsidRPr="00490216">
        <w:rPr>
          <w:szCs w:val="24"/>
        </w:rPr>
        <w:t>aluminium</w:t>
      </w:r>
      <w:proofErr w:type="spellEnd"/>
      <w:r w:rsidRPr="00490216">
        <w:rPr>
          <w:szCs w:val="24"/>
        </w:rPr>
        <w:t xml:space="preserve"> </w:t>
      </w:r>
      <w:r>
        <w:rPr>
          <w:szCs w:val="24"/>
        </w:rPr>
        <w:fldChar w:fldCharType="begin"/>
      </w:r>
      <w:r w:rsidR="00EF448D">
        <w:rPr>
          <w:szCs w:val="24"/>
        </w:rPr>
        <w:instrText xml:space="preserve"> ADDIN EN.CITE &lt;EndNote&gt;&lt;Cite&gt;&lt;Author&gt;de Silva&lt;/Author&gt;&lt;Year&gt;2016&lt;/Year&gt;&lt;RecNum&gt;229&lt;/RecNum&gt;&lt;DisplayText&gt;(de Silva et al., 2016; Kebeney et al., 2010)&lt;/DisplayText&gt;&lt;record&gt;&lt;rec-number&gt;229&lt;/rec-number&gt;&lt;foreign-keys&gt;&lt;key app="EN" db-id="zx5vprwxa0rsabew9f9xp5fcs9tz0dzwa2fa" timestamp="1757683985"&gt;229&lt;/key&gt;&lt;/foreign-keys&gt;&lt;ref-type name="Journal Article"&gt;17&lt;/ref-type&gt;&lt;contributors&gt;&lt;authors&gt;&lt;author&gt;de Silva, Jacquie&lt;/author&gt;&lt;author&gt;Tuwei, Gabriel&lt;/author&gt;&lt;author&gt;Zhao, Fang-Jie&lt;/author&gt;&lt;/authors&gt;&lt;/contributors&gt;&lt;titles&gt;&lt;title&gt;&lt;style face="normal" font="default" size="100%"&gt;Environmental factors influencing aluminium accumulation in tea (&lt;/style&gt;&lt;style face="italic" font="default" size="100%"&gt;Camellia sinensis&lt;/style&gt;&lt;style face="normal" font="default" size="100%"&gt; L.)&lt;/style&gt;&lt;/title&gt;&lt;secondary-title&gt;Plant and Soil&lt;/secondary-title&gt;&lt;/titles&gt;&lt;periodical&gt;&lt;full-title&gt;Plant and Soil&lt;/full-title&gt;&lt;/periodical&gt;&lt;pages&gt;223-230&lt;/pages&gt;&lt;volume&gt;400&lt;/volume&gt;&lt;number&gt;1&lt;/number&gt;&lt;dates&gt;&lt;year&gt;2016&lt;/year&gt;&lt;/dates&gt;&lt;isbn&gt;0032-079X&lt;/isbn&gt;&lt;urls&gt;&lt;/urls&gt;&lt;electronic-resource-num&gt;https://doi.org/10.1007/s11104-015-2729-5&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EF448D">
        <w:rPr>
          <w:noProof/>
          <w:szCs w:val="24"/>
        </w:rPr>
        <w:t>(de Silva et al., 2016; Kebeney et al., 2010)</w:t>
      </w:r>
      <w:r>
        <w:rPr>
          <w:szCs w:val="24"/>
        </w:rPr>
        <w:fldChar w:fldCharType="end"/>
      </w:r>
      <w:r>
        <w:rPr>
          <w:szCs w:val="24"/>
        </w:rPr>
        <w:t xml:space="preserve">. Similar increases of available soil </w:t>
      </w:r>
      <w:proofErr w:type="spellStart"/>
      <w:r>
        <w:rPr>
          <w:szCs w:val="24"/>
        </w:rPr>
        <w:t>aluminium</w:t>
      </w:r>
      <w:proofErr w:type="spellEnd"/>
      <w:r>
        <w:rPr>
          <w:szCs w:val="24"/>
        </w:rPr>
        <w:t xml:space="preserve"> have been observed in several studies </w:t>
      </w:r>
      <w:r>
        <w:rPr>
          <w:szCs w:val="24"/>
        </w:rPr>
        <w:fldChar w:fldCharType="begin">
          <w:fldData xml:space="preserve">PEVuZE5vdGU+PENpdGU+PEF1dGhvcj5SdWFuPC9BdXRob3I+PFllYXI+MjAwNDwvWWVhcj48UmVj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</w:fldData>
        </w:fldChar>
      </w:r>
      <w:r w:rsidR="00EF448D">
        <w:rPr>
          <w:szCs w:val="24"/>
        </w:rPr>
        <w:instrText xml:space="preserve"> ADDIN EN.CITE </w:instrText>
      </w:r>
      <w:r w:rsidR="00EF448D">
        <w:rPr>
          <w:szCs w:val="24"/>
        </w:rPr>
        <w:fldChar w:fldCharType="begin">
          <w:fldData xml:space="preserve">PEVuZE5vdGU+PENpdGU+PEF1dGhvcj5SdWFuPC9BdXRob3I+PFllYXI+MjAwNDwvWWVhcj48UmVj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(Kebeney et al., 2010; Ruan et al., 2006; Ruan, Ma, Shi, &amp; Zhang, 2004)</w:t>
      </w:r>
      <w:r>
        <w:rPr>
          <w:szCs w:val="24"/>
        </w:rPr>
        <w:fldChar w:fldCharType="end"/>
      </w:r>
      <w:r>
        <w:rPr>
          <w:szCs w:val="24"/>
        </w:rPr>
        <w:t>.</w:t>
      </w:r>
      <w:r w:rsidRPr="00490216">
        <w:rPr>
          <w:szCs w:val="24"/>
        </w:rPr>
        <w:t xml:space="preserve"> </w:t>
      </w:r>
      <w:proofErr w:type="spellStart"/>
      <w:r>
        <w:rPr>
          <w:szCs w:val="24"/>
        </w:rPr>
        <w:t>Aluminium</w:t>
      </w:r>
      <w:proofErr w:type="spellEnd"/>
      <w:r>
        <w:rPr>
          <w:szCs w:val="24"/>
        </w:rPr>
        <w:t xml:space="preserve"> stimulates growth of tea </w:t>
      </w:r>
      <w:r>
        <w:rPr>
          <w:szCs w:val="24"/>
        </w:rPr>
        <w:fldChar w:fldCharType="begin"/>
      </w:r>
      <w:r w:rsidR="00EF448D">
        <w:rPr>
          <w:szCs w:val="24"/>
        </w:rPr>
        <w:instrText xml:space="preserve"> ADDIN EN.CITE &lt;EndNote&gt;&lt;Cite&gt;&lt;Author&gt;Ghanati&lt;/Author&gt;&lt;Year&gt;2005&lt;/Year&gt;&lt;RecNum&gt;231&lt;/RecNum&gt;&lt;DisplayText&gt;(Ghanati et al., 2005; Hajiboland et al., 2013)&lt;/DisplayText&gt;&lt;record&gt;&lt;rec-number&gt;231&lt;/rec-number&gt;&lt;foreign-keys&gt;&lt;key app="EN" db-id="zx5vprwxa0rsabew9f9xp5fcs9tz0dzwa2fa" timestamp="1757749096"&gt;231&lt;/key&gt;&lt;/foreign-keys&gt;&lt;ref-type name="Journal Article"&gt;17&lt;/ref-type&gt;&lt;contributors&gt;&lt;authors&gt;&lt;author&gt;Ghanati, Faezeh&lt;/author&gt;&lt;author&gt;Morita, Akio&lt;/author&gt;&lt;author&gt;Yokota, Hiromi&lt;/author&gt;&lt;/authors&gt;&lt;/contributors&gt;&lt;titles&gt;&lt;title&gt;Effects of aluminum on the growth of tea plant and activation of antioxidant system&lt;/title&gt;&lt;secondary-title&gt;Plant and soil&lt;/secondary-title&gt;&lt;/titles&gt;&lt;periodical&gt;&lt;full-title&gt;Plant and Soil&lt;/full-title&gt;&lt;/periodical&gt;&lt;pages&gt;133-141&lt;/pages&gt;&lt;volume&gt;276&lt;/volume&gt;&lt;number&gt;1&lt;/number&gt;&lt;dates&gt;&lt;year&gt;2005&lt;/year&gt;&lt;/dates&gt;&lt;isbn&gt;0032-079X&lt;/isbn&gt;&lt;urls&gt;&lt;/urls&gt;&lt;electronic-resource-num&gt;https://doi.org/10.1007/s11104-005-3697-y&lt;/electronic-resource-num&gt;&lt;/record&gt;&lt;/Cite&gt;&lt;Cite&gt;&lt;Author&gt;Hajiboland&lt;/Author&gt;&lt;Year&gt;2013&lt;/Year&gt;&lt;RecNum&gt;232&lt;/RecNum&gt;&lt;record&gt;&lt;rec-number&gt;232&lt;/rec-number&gt;&lt;foreign-keys&gt;&lt;key app="EN" db-id="zx5vprwxa0rsabew9f9xp5fcs9tz0dzwa2fa" timestamp="1757749268"&gt;232&lt;/key&gt;&lt;/foreign-keys&gt;&lt;ref-type name="Journal Article"&gt;17&lt;/ref-type&gt;&lt;contributors&gt;&lt;authors&gt;&lt;author&gt;Hajiboland, Roghieh&lt;/author&gt;&lt;author&gt;Bahrami Rad, Sara&lt;/author&gt;&lt;author&gt;Barceló, Juan&lt;/author&gt;&lt;author&gt;Poschenrieder, Charlotte&lt;/author&gt;&lt;/authors&gt;&lt;/contributors&gt;&lt;titles&gt;&lt;title&gt;Mechanisms of aluminum‐induced growth stimulation in tea (Camellia sinensis)&lt;/title&gt;&lt;secondary-title&gt;Journal of Plant Nutrition and Soil Science&lt;/secondary-title&gt;&lt;/titles&gt;&lt;periodical&gt;&lt;full-title&gt;Journal of Plant Nutrition and Soil Science&lt;/full-title&gt;&lt;/periodical&gt;&lt;pages&gt;616-625&lt;/pages&gt;&lt;volume&gt;176&lt;/volume&gt;&lt;number&gt;4&lt;/number&gt;&lt;dates&gt;&lt;year&gt;2013&lt;/year&gt;&lt;/dates&gt;&lt;isbn&gt;1436-8730&lt;/isbn&gt;&lt;urls&gt;&lt;/urls&gt;&lt;electronic-resource-num&gt; https://doi.org/10.1002/jpln.201200311&lt;/electronic-resource-num&gt;&lt;/record&gt;&lt;/Cite&gt;&lt;/EndNote&gt;</w:instrText>
      </w:r>
      <w:r>
        <w:rPr>
          <w:szCs w:val="24"/>
        </w:rPr>
        <w:fldChar w:fldCharType="separate"/>
      </w:r>
      <w:r w:rsidR="00EF448D">
        <w:rPr>
          <w:noProof/>
          <w:szCs w:val="24"/>
        </w:rPr>
        <w:t>(Ghanati et al., 2005; Hajiboland et al., 2013)</w:t>
      </w:r>
      <w:r>
        <w:rPr>
          <w:szCs w:val="24"/>
        </w:rPr>
        <w:fldChar w:fldCharType="end"/>
      </w:r>
      <w:r>
        <w:rPr>
          <w:szCs w:val="24"/>
        </w:rPr>
        <w:t xml:space="preserve"> at optimal levels, but excess </w:t>
      </w:r>
      <w:proofErr w:type="spellStart"/>
      <w:r>
        <w:rPr>
          <w:szCs w:val="24"/>
        </w:rPr>
        <w:t>aluminium</w:t>
      </w:r>
      <w:proofErr w:type="spellEnd"/>
      <w:r>
        <w:rPr>
          <w:szCs w:val="24"/>
        </w:rPr>
        <w:t xml:space="preserve"> inhibits tea root growth </w:t>
      </w:r>
      <w:r>
        <w:rPr>
          <w:szCs w:val="24"/>
        </w:rPr>
        <w:fldChar w:fldCharType="begin"/>
      </w:r>
      <w:r w:rsidR="00EF448D">
        <w:rPr>
          <w:szCs w:val="24"/>
        </w:rPr>
        <w:instrText xml:space="preserve"> ADDIN EN.CITE &lt;EndNote&gt;&lt;Cite&gt;&lt;Author&gt;Huang&lt;/Author&gt;&lt;Year&gt;2017&lt;/Year&gt;&lt;RecNum&gt;233&lt;/RecNum&gt;&lt;DisplayText&gt;(Huang et al., 2017)&lt;/DisplayText&gt;&lt;record&gt;&lt;rec-number&gt;233&lt;/rec-number&gt;&lt;foreign-keys&gt;&lt;key app="EN" db-id="zx5vprwxa0rsabew9f9xp5fcs9tz0dzwa2fa" timestamp="1757749560"&gt;233&lt;/key&gt;&lt;/foreign-keys&gt;&lt;ref-type name="Journal Article"&gt;17&lt;/ref-type&gt;&lt;contributors&gt;&lt;authors&gt;&lt;author&gt;Huang, Liyuan&lt;/author&gt;&lt;author&gt;Yuan, Jun&lt;/author&gt;&lt;author&gt;Wang, Hui&lt;/author&gt;&lt;author&gt;Tan, Xiaofeng&lt;/author&gt;&lt;author&gt;Niu, Genhua&lt;/author&gt;&lt;/authors&gt;&lt;/contributors&gt;&lt;titles&gt;&lt;title&gt;Aluminum stress affects growth and physiological characteristics in oil tea&lt;/title&gt;&lt;secondary-title&gt;HortScience&lt;/secondary-title&gt;&lt;/titles&gt;&lt;periodical&gt;&lt;full-title&gt;HortScience&lt;/full-title&gt;&lt;/periodical&gt;&lt;pages&gt;1601-1607&lt;/pages&gt;&lt;volume&gt;52&lt;/volume&gt;&lt;number&gt;11&lt;/number&gt;&lt;dates&gt;&lt;year&gt;2017&lt;/year&gt;&lt;/dates&gt;&lt;isbn&gt;0018-5345&lt;/isbn&gt;&lt;urls&gt;&lt;/urls&gt;&lt;electronic-resource-num&gt;10.21273/HORTSCI12268-17&lt;/electronic-resource-num&gt;&lt;/record&gt;&lt;/Cite&gt;&lt;/EndNote&gt;</w:instrText>
      </w:r>
      <w:r>
        <w:rPr>
          <w:szCs w:val="24"/>
        </w:rPr>
        <w:fldChar w:fldCharType="separate"/>
      </w:r>
      <w:r w:rsidR="00EF448D">
        <w:rPr>
          <w:noProof/>
          <w:szCs w:val="24"/>
        </w:rPr>
        <w:t>(Huang et al., 2017)</w:t>
      </w:r>
      <w:r>
        <w:rPr>
          <w:szCs w:val="24"/>
        </w:rPr>
        <w:fldChar w:fldCharType="end"/>
      </w:r>
      <w:r>
        <w:rPr>
          <w:szCs w:val="24"/>
        </w:rPr>
        <w:t xml:space="preserve">. These observations suggest that whereas at low nitrogen fertilizer application rates, </w:t>
      </w:r>
      <w:proofErr w:type="spellStart"/>
      <w:r>
        <w:rPr>
          <w:szCs w:val="24"/>
        </w:rPr>
        <w:t>aluminium</w:t>
      </w:r>
      <w:proofErr w:type="spellEnd"/>
      <w:r>
        <w:rPr>
          <w:szCs w:val="24"/>
        </w:rPr>
        <w:t xml:space="preserve"> could be beneficial, sustained high rates of nitrogen could trigger </w:t>
      </w:r>
      <w:proofErr w:type="spellStart"/>
      <w:r>
        <w:rPr>
          <w:szCs w:val="24"/>
        </w:rPr>
        <w:t>aluminium</w:t>
      </w:r>
      <w:proofErr w:type="spellEnd"/>
      <w:r>
        <w:rPr>
          <w:szCs w:val="24"/>
        </w:rPr>
        <w:t xml:space="preserve"> toxicity and reduce production. </w:t>
      </w:r>
    </w:p>
    <w:p w14:paraId="6321B984" w14:textId="77777777" w:rsidR="00286BAA" w:rsidRPr="00490216" w:rsidRDefault="00286BAA" w:rsidP="00FB5451">
      <w:pPr>
        <w:spacing w:line="360" w:lineRule="auto"/>
        <w:rPr>
          <w:szCs w:val="24"/>
        </w:rPr>
      </w:pPr>
    </w:p>
    <w:p w14:paraId="1FD6EC4D" w14:textId="77777777" w:rsidR="00286BAA" w:rsidRPr="00E6705F" w:rsidRDefault="00286BAA" w:rsidP="00286BAA">
      <w:pPr>
        <w:keepNext/>
        <w:spacing w:line="360" w:lineRule="auto"/>
        <w:outlineLvl w:val="1"/>
        <w:rPr>
          <w:rFonts w:eastAsia="Times New Roman"/>
          <w:b/>
          <w:bCs/>
          <w:iCs/>
          <w:szCs w:val="24"/>
        </w:rPr>
      </w:pPr>
      <w:r w:rsidRPr="00E6705F">
        <w:rPr>
          <w:rFonts w:eastAsia="Times New Roman"/>
          <w:b/>
          <w:bCs/>
          <w:iCs/>
          <w:szCs w:val="24"/>
        </w:rPr>
        <w:t>Soil Iron Levels</w:t>
      </w:r>
    </w:p>
    <w:p w14:paraId="1333F64E" w14:textId="77777777" w:rsidR="00286BAA" w:rsidRPr="00E6705F" w:rsidRDefault="00286BAA" w:rsidP="00286BAA">
      <w:pPr>
        <w:autoSpaceDE w:val="0"/>
        <w:autoSpaceDN w:val="0"/>
        <w:adjustRightInd w:val="0"/>
        <w:spacing w:line="360" w:lineRule="auto"/>
        <w:rPr>
          <w:szCs w:val="24"/>
        </w:rPr>
      </w:pPr>
      <w:r w:rsidRPr="00E6705F">
        <w:rPr>
          <w:szCs w:val="24"/>
        </w:rPr>
        <w:t xml:space="preserve">The changes in soil iron levels due to location within East Africa and nitrogen rates are presented in </w:t>
      </w:r>
      <w:r>
        <w:rPr>
          <w:szCs w:val="24"/>
        </w:rPr>
        <w:t xml:space="preserve">Figures 2(a-e). </w:t>
      </w:r>
      <w:r w:rsidRPr="00E6705F">
        <w:rPr>
          <w:szCs w:val="24"/>
        </w:rPr>
        <w:t xml:space="preserve">Soil iron is one of the essential micro-nutrients necessary for tea productivity </w:t>
      </w:r>
      <w:r w:rsidRPr="00E6705F">
        <w:rPr>
          <w:szCs w:val="24"/>
        </w:rPr>
        <w:fldChar w:fldCharType="begin"/>
      </w:r>
      <w:r w:rsidR="00EF448D">
        <w:rPr>
          <w:szCs w:val="24"/>
        </w:rPr>
        <w:instrText xml:space="preserve"> ADDIN EN.CITE &lt;EndNote&gt;&lt;Cite&gt;&lt;Author&gt;Özyazıcı&lt;/Author&gt;&lt;Year&gt;2011&lt;/Year&gt;&lt;RecNum&gt;42&lt;/RecNum&gt;&lt;DisplayText&gt;(Özyazıcı et al., 2011)&lt;/DisplayText&gt;&lt;record&gt;&lt;rec-number&gt;42&lt;/rec-number&gt;&lt;foreign-keys&gt;&lt;key app="EN" db-id="zx5vprwxa0rsabew9f9xp5fcs9tz0dzwa2fa" timestamp="1573334410"&gt;42&lt;/key&gt;&lt;/foreign-keys&gt;&lt;ref-type name="Journal Article"&gt;17&lt;/ref-type&gt;&lt;contributors&gt;&lt;authors&gt;&lt;author&gt;&lt;style face="normal" font="default" size="100%"&gt;Özyaz&lt;/style&gt;&lt;style face="normal" font="default" charset="238" size="100%"&gt;ıcı, Mehmet Arif&lt;/style&gt;&lt;/author&gt;&lt;author&gt;&lt;style face="normal" font="default" size="100%"&gt;Özyaz&lt;/style&gt;&lt;style face="normal" font="default" charset="238" size="100%"&gt;ıcı, G&lt;/style&gt;&lt;style face="normal" font="default" size="100%"&gt;ülen&lt;/style&gt;&lt;/author&gt;&lt;author&gt;Dengiz, Orhan&lt;/author&gt;&lt;/authors&gt;&lt;/contributors&gt;&lt;titles&gt;&lt;title&gt;Determination of micronutrients in tea plantations in the eastern Black Sea Region, Turkey&lt;/title&gt;&lt;secondary-title&gt;African Journal of Agricultural Research&lt;/secondary-title&gt;&lt;/titles&gt;&lt;periodical&gt;&lt;full-title&gt;African Journal of Agricultural Research&lt;/full-title&gt;&lt;/periodical&gt;&lt;pages&gt;5174-5180&lt;/pages&gt;&lt;volume&gt;6&lt;/volume&gt;&lt;number&gt;22&lt;/number&gt;&lt;dates&gt;&lt;year&gt;2011&lt;/year&gt;&lt;/dates&gt;&lt;isbn&gt;1991-637X&lt;/isbn&gt;&lt;urls&gt;&lt;/urls&gt;&lt;electronic-resource-num&gt;10.5897/AJAR11.1246&lt;/electronic-resource-num&gt;&lt;/record&gt;&lt;/Cite&gt;&lt;/EndNote&gt;</w:instrText>
      </w:r>
      <w:r w:rsidRPr="00E6705F">
        <w:rPr>
          <w:szCs w:val="24"/>
        </w:rPr>
        <w:fldChar w:fldCharType="separate"/>
      </w:r>
      <w:r w:rsidR="00EF448D">
        <w:rPr>
          <w:noProof/>
          <w:szCs w:val="24"/>
        </w:rPr>
        <w:t>(Özyazıcı et al., 2011)</w:t>
      </w:r>
      <w:r w:rsidRPr="00E6705F">
        <w:rPr>
          <w:szCs w:val="24"/>
        </w:rPr>
        <w:fldChar w:fldCharType="end"/>
      </w:r>
      <w:r w:rsidRPr="00E6705F">
        <w:rPr>
          <w:szCs w:val="24"/>
        </w:rPr>
        <w:t xml:space="preserve">. The limit value for soil iron are classified low when less than 2.5ppm and high when greater than 4.5ppm </w:t>
      </w:r>
      <w:r w:rsidRPr="00E6705F">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Pr="00E6705F">
        <w:rPr>
          <w:szCs w:val="24"/>
        </w:rPr>
        <w:fldChar w:fldCharType="separate"/>
      </w:r>
      <w:r w:rsidR="00630FE0">
        <w:rPr>
          <w:noProof/>
          <w:szCs w:val="24"/>
        </w:rPr>
        <w:t>(Flynn, 2015)</w:t>
      </w:r>
      <w:r w:rsidRPr="00E6705F">
        <w:rPr>
          <w:szCs w:val="24"/>
        </w:rPr>
        <w:fldChar w:fldCharType="end"/>
      </w:r>
      <w:r>
        <w:rPr>
          <w:szCs w:val="24"/>
        </w:rPr>
        <w:t xml:space="preserve">. </w:t>
      </w:r>
      <w:r w:rsidRPr="00E6705F">
        <w:rPr>
          <w:szCs w:val="24"/>
        </w:rPr>
        <w:t>Soil iron levels</w:t>
      </w:r>
      <w:r>
        <w:rPr>
          <w:szCs w:val="24"/>
        </w:rPr>
        <w:t xml:space="preserve"> </w:t>
      </w:r>
      <w:r w:rsidRPr="00E6705F">
        <w:rPr>
          <w:szCs w:val="24"/>
        </w:rPr>
        <w:t xml:space="preserve">were sufficient for all locations for </w:t>
      </w:r>
      <w:r w:rsidRPr="00975D1B">
        <w:rPr>
          <w:strike/>
          <w:szCs w:val="24"/>
        </w:rPr>
        <w:t>the</w:t>
      </w:r>
      <w:r w:rsidRPr="00E6705F">
        <w:rPr>
          <w:szCs w:val="24"/>
        </w:rPr>
        <w:t xml:space="preserve"> tea production. There was increase in soil iron contents down the soil profiles in all locations</w:t>
      </w:r>
      <w:r>
        <w:rPr>
          <w:szCs w:val="24"/>
        </w:rPr>
        <w:t xml:space="preserve"> (Figures 2a)</w:t>
      </w:r>
      <w:r w:rsidRPr="00E6705F">
        <w:rPr>
          <w:szCs w:val="24"/>
        </w:rPr>
        <w:t xml:space="preserve">. Such increase had been observed in single site experiments </w:t>
      </w:r>
      <w:r w:rsidRPr="00E6705F">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 </w:instrText>
      </w:r>
      <w:r w:rsidR="00EF448D">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EN.CITE.DATA </w:instrText>
      </w:r>
      <w:r w:rsidR="00EF448D">
        <w:rPr>
          <w:szCs w:val="24"/>
        </w:rPr>
      </w:r>
      <w:r w:rsidR="00EF448D">
        <w:rPr>
          <w:szCs w:val="24"/>
        </w:rPr>
        <w:fldChar w:fldCharType="end"/>
      </w:r>
      <w:r w:rsidRPr="00E6705F">
        <w:rPr>
          <w:szCs w:val="24"/>
        </w:rPr>
      </w:r>
      <w:r w:rsidRPr="00E6705F">
        <w:rPr>
          <w:szCs w:val="24"/>
        </w:rPr>
        <w:fldChar w:fldCharType="separate"/>
      </w:r>
      <w:r w:rsidR="00EF448D">
        <w:rPr>
          <w:noProof/>
          <w:szCs w:val="24"/>
        </w:rPr>
        <w:t>(Özyazıcı et al., 2011; Sitienei et al., 2016)</w:t>
      </w:r>
      <w:r w:rsidRPr="00E6705F">
        <w:rPr>
          <w:szCs w:val="24"/>
        </w:rPr>
        <w:fldChar w:fldCharType="end"/>
      </w:r>
      <w:r w:rsidRPr="00E6705F">
        <w:rPr>
          <w:szCs w:val="24"/>
        </w:rPr>
        <w:t xml:space="preserve">. These observations could be attributed to high levels of soil organic carbon in the four soil profiles and increase in pH </w:t>
      </w:r>
      <w:r w:rsidRPr="00E6705F">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E6705F">
        <w:rPr>
          <w:szCs w:val="24"/>
        </w:rPr>
        <w:fldChar w:fldCharType="separate"/>
      </w:r>
      <w:r w:rsidR="00EF448D">
        <w:rPr>
          <w:noProof/>
          <w:szCs w:val="24"/>
        </w:rPr>
        <w:t>(Ombori et al., 2020)</w:t>
      </w:r>
      <w:r w:rsidRPr="00E6705F">
        <w:rPr>
          <w:szCs w:val="24"/>
        </w:rPr>
        <w:fldChar w:fldCharType="end"/>
      </w:r>
      <w:r w:rsidRPr="00E6705F">
        <w:rPr>
          <w:szCs w:val="24"/>
        </w:rPr>
        <w:t xml:space="preserve"> which increased iron concentration in the soil </w:t>
      </w:r>
      <w:r w:rsidRPr="00E6705F">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Pr="00E6705F">
        <w:rPr>
          <w:szCs w:val="24"/>
        </w:rPr>
        <w:fldChar w:fldCharType="separate"/>
      </w:r>
      <w:r w:rsidR="00630FE0">
        <w:rPr>
          <w:noProof/>
          <w:szCs w:val="24"/>
        </w:rPr>
        <w:t>(Nath, 2013)</w:t>
      </w:r>
      <w:r w:rsidRPr="00E6705F">
        <w:rPr>
          <w:szCs w:val="24"/>
        </w:rPr>
        <w:fldChar w:fldCharType="end"/>
      </w:r>
      <w:r w:rsidRPr="00E6705F">
        <w:rPr>
          <w:szCs w:val="24"/>
        </w:rPr>
        <w:t>. A complexation reaction occurs between iron and organic carbon and</w:t>
      </w:r>
      <w:r>
        <w:rPr>
          <w:szCs w:val="24"/>
        </w:rPr>
        <w:t xml:space="preserve"> this</w:t>
      </w:r>
      <w:r w:rsidRPr="00E6705F">
        <w:rPr>
          <w:szCs w:val="24"/>
        </w:rPr>
        <w:t xml:space="preserve"> results in the retention of the micronutrient in the soil. Therefore, soil iron contents in tea farming could be improved with proper management of organic carbon levels. From the results, the iron content in the soils of the regions were above the critical value </w:t>
      </w:r>
      <w:r w:rsidRPr="00E6705F">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Pr="00E6705F">
        <w:rPr>
          <w:szCs w:val="24"/>
        </w:rPr>
        <w:fldChar w:fldCharType="separate"/>
      </w:r>
      <w:r w:rsidR="00630FE0">
        <w:rPr>
          <w:noProof/>
          <w:szCs w:val="24"/>
        </w:rPr>
        <w:t>(Flynn, 2015)</w:t>
      </w:r>
      <w:r w:rsidRPr="00E6705F">
        <w:rPr>
          <w:szCs w:val="24"/>
        </w:rPr>
        <w:fldChar w:fldCharType="end"/>
      </w:r>
      <w:r w:rsidRPr="00E6705F">
        <w:rPr>
          <w:szCs w:val="24"/>
        </w:rPr>
        <w:t xml:space="preserve">. The results presented demonstrate that iron is not a constraining factor in tea production in </w:t>
      </w:r>
      <w:r>
        <w:rPr>
          <w:szCs w:val="24"/>
        </w:rPr>
        <w:t>e</w:t>
      </w:r>
      <w:r w:rsidRPr="00E6705F">
        <w:rPr>
          <w:szCs w:val="24"/>
        </w:rPr>
        <w:t>astern Africa.</w:t>
      </w:r>
    </w:p>
    <w:p w14:paraId="4B7CC7E1" w14:textId="77777777" w:rsidR="001852B5" w:rsidRDefault="001852B5" w:rsidP="001852B5">
      <w:pPr>
        <w:keepNext/>
        <w:spacing w:line="360" w:lineRule="auto"/>
        <w:outlineLvl w:val="0"/>
        <w:rPr>
          <w:color w:val="1F1F1F"/>
        </w:rPr>
      </w:pPr>
    </w:p>
    <w:tbl>
      <w:tblPr>
        <w:tblW w:w="10201" w:type="dxa"/>
        <w:tblLayout w:type="fixed"/>
        <w:tblLook w:val="04A0" w:firstRow="1" w:lastRow="0" w:firstColumn="1" w:lastColumn="0" w:noHBand="0" w:noVBand="1"/>
      </w:tblPr>
      <w:tblGrid>
        <w:gridCol w:w="5328"/>
        <w:gridCol w:w="4873"/>
      </w:tblGrid>
      <w:tr w:rsidR="001852B5" w:rsidRPr="001055EF" w14:paraId="4456CA55" w14:textId="77777777" w:rsidTr="00286BAA">
        <w:tc>
          <w:tcPr>
            <w:tcW w:w="10201" w:type="dxa"/>
            <w:gridSpan w:val="2"/>
          </w:tcPr>
          <w:p w14:paraId="0D0CEFC3" w14:textId="77777777" w:rsidR="001852B5" w:rsidRPr="001055EF" w:rsidRDefault="001852B5" w:rsidP="003F0329">
            <w:pPr>
              <w:jc w:val="center"/>
            </w:pPr>
            <w:r>
              <w:rPr>
                <w:noProof/>
              </w:rPr>
              <w:drawing>
                <wp:inline distT="0" distB="0" distL="0" distR="0" wp14:anchorId="5993482D" wp14:editId="0244CBF4">
                  <wp:extent cx="5141669" cy="2681974"/>
                  <wp:effectExtent l="0" t="0" r="1905" b="4445"/>
                  <wp:docPr id="14" name="Chart 14">
                    <a:extLst xmlns:a="http://schemas.openxmlformats.org/drawingml/2006/main">
                      <a:ext uri="{FF2B5EF4-FFF2-40B4-BE49-F238E27FC236}">
                        <a16:creationId xmlns:a16="http://schemas.microsoft.com/office/drawing/2014/main" id="{9C53C4B1-32BD-086E-F26D-562E12511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1852B5" w:rsidRPr="001055EF" w14:paraId="2E0D5E66" w14:textId="77777777" w:rsidTr="00286BAA">
        <w:tc>
          <w:tcPr>
            <w:tcW w:w="10201" w:type="dxa"/>
            <w:gridSpan w:val="2"/>
          </w:tcPr>
          <w:p w14:paraId="509CE516" w14:textId="77777777" w:rsidR="001852B5" w:rsidRPr="001055EF" w:rsidRDefault="001852B5" w:rsidP="003F0329">
            <w:pPr>
              <w:jc w:val="center"/>
              <w:rPr>
                <w:sz w:val="20"/>
                <w:szCs w:val="20"/>
              </w:rPr>
            </w:pPr>
            <w:r w:rsidRPr="001055EF">
              <w:rPr>
                <w:sz w:val="20"/>
                <w:szCs w:val="20"/>
              </w:rPr>
              <w:t xml:space="preserve">Figure 1a: Soil </w:t>
            </w:r>
            <w:r>
              <w:rPr>
                <w:sz w:val="20"/>
                <w:szCs w:val="20"/>
              </w:rPr>
              <w:t>extractable</w:t>
            </w:r>
            <w:r w:rsidRPr="001055EF">
              <w:rPr>
                <w:sz w:val="20"/>
                <w:szCs w:val="20"/>
              </w:rPr>
              <w:t xml:space="preserve"> </w:t>
            </w:r>
            <w:proofErr w:type="spellStart"/>
            <w:r>
              <w:rPr>
                <w:sz w:val="20"/>
                <w:szCs w:val="20"/>
              </w:rPr>
              <w:t>aluminium</w:t>
            </w:r>
            <w:proofErr w:type="spellEnd"/>
            <w:r w:rsidRPr="001055EF">
              <w:rPr>
                <w:sz w:val="20"/>
                <w:szCs w:val="20"/>
              </w:rPr>
              <w:t xml:space="preserve"> levels (ppm) in different locations at various soil depths</w:t>
            </w:r>
          </w:p>
        </w:tc>
      </w:tr>
      <w:tr w:rsidR="001852B5" w:rsidRPr="001055EF" w14:paraId="02F0FA3E" w14:textId="77777777" w:rsidTr="00286BAA">
        <w:tc>
          <w:tcPr>
            <w:tcW w:w="5328" w:type="dxa"/>
          </w:tcPr>
          <w:p w14:paraId="51EB4DFD" w14:textId="77777777" w:rsidR="001852B5" w:rsidRPr="001055EF" w:rsidRDefault="001852B5" w:rsidP="003F0329">
            <w:r>
              <w:rPr>
                <w:noProof/>
              </w:rPr>
              <w:drawing>
                <wp:inline distT="0" distB="0" distL="0" distR="0" wp14:anchorId="24510ECF" wp14:editId="54B1D366">
                  <wp:extent cx="3246120" cy="2942303"/>
                  <wp:effectExtent l="0" t="0" r="11430" b="10795"/>
                  <wp:docPr id="17" name="Chart 17">
                    <a:extLst xmlns:a="http://schemas.openxmlformats.org/drawingml/2006/main">
                      <a:ext uri="{FF2B5EF4-FFF2-40B4-BE49-F238E27FC236}">
                        <a16:creationId xmlns:a16="http://schemas.microsoft.com/office/drawing/2014/main" id="{2B3733A6-6D79-D58F-0973-8A3F2A120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4873" w:type="dxa"/>
          </w:tcPr>
          <w:p w14:paraId="4B1BC212" w14:textId="77777777" w:rsidR="001852B5" w:rsidRPr="001055EF" w:rsidRDefault="001852B5" w:rsidP="003F0329">
            <w:r>
              <w:rPr>
                <w:noProof/>
              </w:rPr>
              <w:drawing>
                <wp:inline distT="0" distB="0" distL="0" distR="0" wp14:anchorId="4507C360" wp14:editId="55DF131D">
                  <wp:extent cx="2957195" cy="2956560"/>
                  <wp:effectExtent l="0" t="0" r="14605" b="15240"/>
                  <wp:docPr id="15" name="Chart 15">
                    <a:extLst xmlns:a="http://schemas.openxmlformats.org/drawingml/2006/main">
                      <a:ext uri="{FF2B5EF4-FFF2-40B4-BE49-F238E27FC236}">
                        <a16:creationId xmlns:a16="http://schemas.microsoft.com/office/drawing/2014/main" id="{51958571-FA9D-6E8B-5038-BD3D8739B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1852B5" w:rsidRPr="001055EF" w14:paraId="698679A6" w14:textId="77777777" w:rsidTr="00286BAA">
        <w:tc>
          <w:tcPr>
            <w:tcW w:w="5328" w:type="dxa"/>
          </w:tcPr>
          <w:p w14:paraId="71BCDDDC" w14:textId="77777777" w:rsidR="001852B5" w:rsidRPr="001055EF" w:rsidRDefault="001852B5" w:rsidP="003F0329">
            <w:pPr>
              <w:rPr>
                <w:sz w:val="20"/>
                <w:szCs w:val="20"/>
              </w:rPr>
            </w:pPr>
            <w:r w:rsidRPr="001055EF">
              <w:rPr>
                <w:sz w:val="20"/>
                <w:szCs w:val="20"/>
              </w:rPr>
              <w:t xml:space="preserve">Figure 1b: Changes in soil </w:t>
            </w:r>
            <w:r w:rsidRPr="00DF205B">
              <w:rPr>
                <w:sz w:val="20"/>
                <w:szCs w:val="20"/>
              </w:rPr>
              <w:t>extractable</w:t>
            </w:r>
            <w:r w:rsidRPr="001055EF">
              <w:rPr>
                <w:sz w:val="20"/>
                <w:szCs w:val="20"/>
              </w:rPr>
              <w:t xml:space="preserve"> </w:t>
            </w:r>
            <w:proofErr w:type="spellStart"/>
            <w:r>
              <w:rPr>
                <w:sz w:val="20"/>
                <w:szCs w:val="20"/>
              </w:rPr>
              <w:t>aluminium</w:t>
            </w:r>
            <w:proofErr w:type="spellEnd"/>
            <w:r w:rsidRPr="001055EF">
              <w:rPr>
                <w:sz w:val="20"/>
                <w:szCs w:val="20"/>
              </w:rPr>
              <w:t xml:space="preserve"> (ppm) at 0-10 cm depth</w:t>
            </w:r>
          </w:p>
        </w:tc>
        <w:tc>
          <w:tcPr>
            <w:tcW w:w="4873" w:type="dxa"/>
          </w:tcPr>
          <w:p w14:paraId="759829BF" w14:textId="77777777" w:rsidR="001852B5" w:rsidRPr="001055EF" w:rsidRDefault="001852B5" w:rsidP="003F0329">
            <w:pPr>
              <w:rPr>
                <w:sz w:val="20"/>
                <w:szCs w:val="20"/>
              </w:rPr>
            </w:pPr>
            <w:r w:rsidRPr="001055EF">
              <w:rPr>
                <w:sz w:val="20"/>
                <w:szCs w:val="20"/>
              </w:rPr>
              <w:t xml:space="preserve">Figure 1c: Changes in soil </w:t>
            </w:r>
            <w:r w:rsidRPr="00DF205B">
              <w:rPr>
                <w:sz w:val="20"/>
                <w:szCs w:val="20"/>
              </w:rPr>
              <w:t>extractabl</w:t>
            </w:r>
            <w:r>
              <w:t>e</w:t>
            </w:r>
            <w:r w:rsidRPr="001055EF">
              <w:rPr>
                <w:sz w:val="20"/>
                <w:szCs w:val="20"/>
              </w:rPr>
              <w:t xml:space="preserve"> </w:t>
            </w:r>
            <w:proofErr w:type="spellStart"/>
            <w:r>
              <w:rPr>
                <w:sz w:val="20"/>
                <w:szCs w:val="20"/>
              </w:rPr>
              <w:t>aluminium</w:t>
            </w:r>
            <w:proofErr w:type="spellEnd"/>
            <w:r w:rsidRPr="001055EF">
              <w:rPr>
                <w:sz w:val="20"/>
                <w:szCs w:val="20"/>
              </w:rPr>
              <w:t xml:space="preserve"> (ppm) at 10-20 cm depth</w:t>
            </w:r>
          </w:p>
        </w:tc>
      </w:tr>
      <w:tr w:rsidR="001852B5" w:rsidRPr="001055EF" w14:paraId="669976D6" w14:textId="77777777" w:rsidTr="00286BAA">
        <w:tc>
          <w:tcPr>
            <w:tcW w:w="5328" w:type="dxa"/>
          </w:tcPr>
          <w:p w14:paraId="66F5B97B" w14:textId="77777777" w:rsidR="001852B5" w:rsidRPr="0046145D" w:rsidRDefault="001852B5" w:rsidP="003F0329">
            <w:pPr>
              <w:rPr>
                <w:sz w:val="16"/>
                <w:szCs w:val="16"/>
              </w:rPr>
            </w:pPr>
            <w:r w:rsidRPr="0046145D">
              <w:rPr>
                <w:noProof/>
                <w:sz w:val="16"/>
                <w:szCs w:val="16"/>
              </w:rPr>
              <w:drawing>
                <wp:inline distT="0" distB="0" distL="0" distR="0" wp14:anchorId="69ED262F" wp14:editId="49DED36F">
                  <wp:extent cx="3246120" cy="2698955"/>
                  <wp:effectExtent l="0" t="0" r="11430" b="6350"/>
                  <wp:docPr id="18" name="Chart 18">
                    <a:extLst xmlns:a="http://schemas.openxmlformats.org/drawingml/2006/main">
                      <a:ext uri="{FF2B5EF4-FFF2-40B4-BE49-F238E27FC236}">
                        <a16:creationId xmlns:a16="http://schemas.microsoft.com/office/drawing/2014/main" id="{9BBC8F5B-3760-CBED-92C5-B47E3EB13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873" w:type="dxa"/>
          </w:tcPr>
          <w:p w14:paraId="7BD99E43" w14:textId="77777777" w:rsidR="001852B5" w:rsidRPr="001055EF" w:rsidRDefault="001852B5" w:rsidP="003F0329">
            <w:r>
              <w:rPr>
                <w:noProof/>
              </w:rPr>
              <w:drawing>
                <wp:inline distT="0" distB="0" distL="0" distR="0" wp14:anchorId="0462148E" wp14:editId="41BB4D26">
                  <wp:extent cx="2957195" cy="2757949"/>
                  <wp:effectExtent l="0" t="0" r="14605" b="4445"/>
                  <wp:docPr id="7" name="Chart 7">
                    <a:extLst xmlns:a="http://schemas.openxmlformats.org/drawingml/2006/main">
                      <a:ext uri="{FF2B5EF4-FFF2-40B4-BE49-F238E27FC236}">
                        <a16:creationId xmlns:a16="http://schemas.microsoft.com/office/drawing/2014/main" id="{573E706A-1135-1FFA-7F92-66D1D3FB3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1852B5" w:rsidRPr="001055EF" w14:paraId="00FAC13E" w14:textId="77777777" w:rsidTr="00286BAA">
        <w:tc>
          <w:tcPr>
            <w:tcW w:w="5328" w:type="dxa"/>
          </w:tcPr>
          <w:p w14:paraId="2870CB62" w14:textId="77777777" w:rsidR="001852B5" w:rsidRPr="001055EF" w:rsidRDefault="001852B5" w:rsidP="003F0329">
            <w:pPr>
              <w:rPr>
                <w:sz w:val="20"/>
                <w:szCs w:val="20"/>
              </w:rPr>
            </w:pPr>
            <w:r w:rsidRPr="001055EF">
              <w:rPr>
                <w:sz w:val="20"/>
                <w:szCs w:val="20"/>
              </w:rPr>
              <w:lastRenderedPageBreak/>
              <w:t xml:space="preserve">Figure 1d: Changes in soil </w:t>
            </w:r>
            <w:r w:rsidRPr="00975D1B">
              <w:rPr>
                <w:sz w:val="20"/>
                <w:szCs w:val="20"/>
              </w:rPr>
              <w:t>extractable</w:t>
            </w:r>
            <w:r>
              <w:rPr>
                <w:sz w:val="20"/>
                <w:szCs w:val="20"/>
              </w:rPr>
              <w:t xml:space="preserve"> </w:t>
            </w:r>
            <w:proofErr w:type="spellStart"/>
            <w:r>
              <w:rPr>
                <w:sz w:val="20"/>
                <w:szCs w:val="20"/>
              </w:rPr>
              <w:t>aluminium</w:t>
            </w:r>
            <w:proofErr w:type="spellEnd"/>
            <w:r w:rsidRPr="001055EF">
              <w:rPr>
                <w:sz w:val="20"/>
                <w:szCs w:val="20"/>
              </w:rPr>
              <w:t xml:space="preserve"> (ppm) at 20-30 cm depth</w:t>
            </w:r>
          </w:p>
        </w:tc>
        <w:tc>
          <w:tcPr>
            <w:tcW w:w="4873" w:type="dxa"/>
          </w:tcPr>
          <w:p w14:paraId="0A3727B3" w14:textId="77777777" w:rsidR="001852B5" w:rsidRPr="001055EF" w:rsidRDefault="001852B5" w:rsidP="003F0329">
            <w:pPr>
              <w:rPr>
                <w:sz w:val="20"/>
                <w:szCs w:val="20"/>
              </w:rPr>
            </w:pPr>
            <w:r w:rsidRPr="001055EF">
              <w:rPr>
                <w:sz w:val="20"/>
                <w:szCs w:val="20"/>
              </w:rPr>
              <w:t xml:space="preserve">Figure 1e: Changes in soil </w:t>
            </w:r>
            <w:r>
              <w:t>extractable</w:t>
            </w:r>
            <w:r w:rsidRPr="001055EF">
              <w:rPr>
                <w:sz w:val="20"/>
                <w:szCs w:val="20"/>
              </w:rPr>
              <w:t xml:space="preserve"> </w:t>
            </w:r>
            <w:proofErr w:type="spellStart"/>
            <w:r>
              <w:rPr>
                <w:sz w:val="20"/>
                <w:szCs w:val="20"/>
              </w:rPr>
              <w:t>aluminium</w:t>
            </w:r>
            <w:proofErr w:type="spellEnd"/>
            <w:r w:rsidRPr="001055EF">
              <w:rPr>
                <w:sz w:val="20"/>
                <w:szCs w:val="20"/>
              </w:rPr>
              <w:t xml:space="preserve"> (ppm) at 40-60 cm depth</w:t>
            </w:r>
          </w:p>
        </w:tc>
      </w:tr>
    </w:tbl>
    <w:p w14:paraId="2ED41861" w14:textId="77777777" w:rsidR="001852B5" w:rsidRDefault="001852B5" w:rsidP="00132D31">
      <w:pPr>
        <w:spacing w:line="360" w:lineRule="auto"/>
        <w:rPr>
          <w:szCs w:val="24"/>
        </w:rPr>
      </w:pPr>
    </w:p>
    <w:tbl>
      <w:tblPr>
        <w:tblW w:w="10466" w:type="dxa"/>
        <w:tblInd w:w="137" w:type="dxa"/>
        <w:tblLayout w:type="fixed"/>
        <w:tblLook w:val="04A0" w:firstRow="1" w:lastRow="0" w:firstColumn="1" w:lastColumn="0" w:noHBand="0" w:noVBand="1"/>
      </w:tblPr>
      <w:tblGrid>
        <w:gridCol w:w="5527"/>
        <w:gridCol w:w="4939"/>
      </w:tblGrid>
      <w:tr w:rsidR="001852B5" w:rsidRPr="00AC4088" w14:paraId="43AC5134" w14:textId="77777777" w:rsidTr="0046145D">
        <w:trPr>
          <w:trHeight w:val="4646"/>
        </w:trPr>
        <w:tc>
          <w:tcPr>
            <w:tcW w:w="10466" w:type="dxa"/>
            <w:gridSpan w:val="2"/>
          </w:tcPr>
          <w:p w14:paraId="19B80534" w14:textId="77777777" w:rsidR="001852B5" w:rsidRPr="00AC4088" w:rsidRDefault="001852B5" w:rsidP="003F0329">
            <w:pPr>
              <w:jc w:val="center"/>
            </w:pPr>
            <w:r>
              <w:rPr>
                <w:noProof/>
              </w:rPr>
              <w:drawing>
                <wp:inline distT="0" distB="0" distL="0" distR="0" wp14:anchorId="498B822C" wp14:editId="080DA3E2">
                  <wp:extent cx="4588949" cy="2777383"/>
                  <wp:effectExtent l="0" t="0" r="2540" b="4445"/>
                  <wp:docPr id="19" name="Chart 19">
                    <a:extLst xmlns:a="http://schemas.openxmlformats.org/drawingml/2006/main">
                      <a:ext uri="{FF2B5EF4-FFF2-40B4-BE49-F238E27FC236}">
                        <a16:creationId xmlns:a16="http://schemas.microsoft.com/office/drawing/2014/main" id="{18A287AB-9FB1-5DB0-D96B-DC00DD859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852B5" w:rsidRPr="00AC4088" w14:paraId="49966609" w14:textId="77777777" w:rsidTr="0046145D">
        <w:trPr>
          <w:trHeight w:val="235"/>
        </w:trPr>
        <w:tc>
          <w:tcPr>
            <w:tcW w:w="10466" w:type="dxa"/>
            <w:gridSpan w:val="2"/>
          </w:tcPr>
          <w:p w14:paraId="44B407A7" w14:textId="77777777" w:rsidR="001852B5" w:rsidRPr="00AC4088" w:rsidRDefault="001852B5" w:rsidP="003F0329">
            <w:pPr>
              <w:rPr>
                <w:sz w:val="20"/>
                <w:szCs w:val="20"/>
              </w:rPr>
            </w:pPr>
            <w:r w:rsidRPr="00AC4088">
              <w:rPr>
                <w:sz w:val="20"/>
                <w:szCs w:val="20"/>
              </w:rPr>
              <w:t xml:space="preserve">Figure 2a: Soil available </w:t>
            </w:r>
            <w:r>
              <w:rPr>
                <w:sz w:val="20"/>
                <w:szCs w:val="20"/>
              </w:rPr>
              <w:t>iron</w:t>
            </w:r>
            <w:r w:rsidRPr="00AC4088">
              <w:rPr>
                <w:sz w:val="20"/>
                <w:szCs w:val="20"/>
              </w:rPr>
              <w:t xml:space="preserve"> levels (ppm) in different locations at various soil depths</w:t>
            </w:r>
          </w:p>
        </w:tc>
      </w:tr>
      <w:tr w:rsidR="001852B5" w:rsidRPr="00AC4088" w14:paraId="0D7E0657" w14:textId="77777777" w:rsidTr="0046145D">
        <w:trPr>
          <w:trHeight w:val="4892"/>
        </w:trPr>
        <w:tc>
          <w:tcPr>
            <w:tcW w:w="5527" w:type="dxa"/>
          </w:tcPr>
          <w:p w14:paraId="29D55557" w14:textId="77777777" w:rsidR="001852B5" w:rsidRPr="00AC4088" w:rsidRDefault="001852B5" w:rsidP="003F0329">
            <w:r>
              <w:rPr>
                <w:noProof/>
              </w:rPr>
              <w:drawing>
                <wp:inline distT="0" distB="0" distL="0" distR="0" wp14:anchorId="0E54DD09" wp14:editId="68B06421">
                  <wp:extent cx="3283585" cy="2912807"/>
                  <wp:effectExtent l="0" t="0" r="12065" b="1905"/>
                  <wp:docPr id="20" name="Chart 20">
                    <a:extLst xmlns:a="http://schemas.openxmlformats.org/drawingml/2006/main">
                      <a:ext uri="{FF2B5EF4-FFF2-40B4-BE49-F238E27FC236}">
                        <a16:creationId xmlns:a16="http://schemas.microsoft.com/office/drawing/2014/main" id="{D12365AA-8073-4599-3AA1-DC9CC234F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939" w:type="dxa"/>
          </w:tcPr>
          <w:p w14:paraId="7837BDEC" w14:textId="77777777" w:rsidR="001852B5" w:rsidRPr="00AC4088" w:rsidRDefault="001852B5" w:rsidP="003F0329">
            <w:r>
              <w:rPr>
                <w:noProof/>
              </w:rPr>
              <w:drawing>
                <wp:inline distT="0" distB="0" distL="0" distR="0" wp14:anchorId="51FE393A" wp14:editId="20E64DD9">
                  <wp:extent cx="2919730" cy="2927555"/>
                  <wp:effectExtent l="0" t="0" r="13970" b="6350"/>
                  <wp:docPr id="21" name="Chart 21">
                    <a:extLst xmlns:a="http://schemas.openxmlformats.org/drawingml/2006/main">
                      <a:ext uri="{FF2B5EF4-FFF2-40B4-BE49-F238E27FC236}">
                        <a16:creationId xmlns:a16="http://schemas.microsoft.com/office/drawing/2014/main" id="{BDCC59BC-406C-91D1-F45F-59345F267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852B5" w:rsidRPr="00AC4088" w14:paraId="5AC2C68E" w14:textId="77777777" w:rsidTr="0046145D">
        <w:trPr>
          <w:trHeight w:val="494"/>
        </w:trPr>
        <w:tc>
          <w:tcPr>
            <w:tcW w:w="5527" w:type="dxa"/>
          </w:tcPr>
          <w:p w14:paraId="36C5F7F8" w14:textId="77777777" w:rsidR="001852B5" w:rsidRPr="00AC4088" w:rsidRDefault="001852B5" w:rsidP="003F0329">
            <w:pPr>
              <w:rPr>
                <w:sz w:val="20"/>
                <w:szCs w:val="20"/>
              </w:rPr>
            </w:pPr>
            <w:r w:rsidRPr="00AC4088">
              <w:rPr>
                <w:sz w:val="20"/>
                <w:szCs w:val="20"/>
              </w:rPr>
              <w:t xml:space="preserve">Figure 2b: Changes in soil available </w:t>
            </w:r>
            <w:r>
              <w:rPr>
                <w:sz w:val="20"/>
                <w:szCs w:val="20"/>
              </w:rPr>
              <w:t xml:space="preserve">iron </w:t>
            </w:r>
            <w:r w:rsidRPr="00AC4088">
              <w:rPr>
                <w:sz w:val="20"/>
                <w:szCs w:val="20"/>
              </w:rPr>
              <w:t>(ppm) at 0-10 cm depth</w:t>
            </w:r>
          </w:p>
        </w:tc>
        <w:tc>
          <w:tcPr>
            <w:tcW w:w="4939" w:type="dxa"/>
          </w:tcPr>
          <w:p w14:paraId="63C6C00E" w14:textId="77777777" w:rsidR="001852B5" w:rsidRPr="00AC4088" w:rsidRDefault="001852B5" w:rsidP="003F0329">
            <w:pPr>
              <w:rPr>
                <w:sz w:val="20"/>
                <w:szCs w:val="20"/>
              </w:rPr>
            </w:pPr>
            <w:r w:rsidRPr="00AC4088">
              <w:rPr>
                <w:sz w:val="20"/>
                <w:szCs w:val="20"/>
              </w:rPr>
              <w:t xml:space="preserve">Figure 2c: Changes in soil available </w:t>
            </w:r>
            <w:r>
              <w:rPr>
                <w:sz w:val="20"/>
                <w:szCs w:val="20"/>
              </w:rPr>
              <w:t>iron</w:t>
            </w:r>
            <w:r w:rsidRPr="00AC4088">
              <w:rPr>
                <w:sz w:val="20"/>
                <w:szCs w:val="20"/>
              </w:rPr>
              <w:t xml:space="preserve"> (ppm) at 10-20 cm depth</w:t>
            </w:r>
          </w:p>
        </w:tc>
      </w:tr>
      <w:tr w:rsidR="001852B5" w:rsidRPr="00AC4088" w14:paraId="2D34F76E" w14:textId="77777777" w:rsidTr="0046145D">
        <w:trPr>
          <w:trHeight w:val="153"/>
        </w:trPr>
        <w:tc>
          <w:tcPr>
            <w:tcW w:w="5527" w:type="dxa"/>
          </w:tcPr>
          <w:p w14:paraId="7D481DE2" w14:textId="77777777" w:rsidR="001852B5" w:rsidRPr="00AC4088" w:rsidRDefault="001852B5" w:rsidP="003F0329">
            <w:pPr>
              <w:tabs>
                <w:tab w:val="left" w:pos="5119"/>
              </w:tabs>
            </w:pPr>
            <w:r w:rsidRPr="00B511C1">
              <w:rPr>
                <w:noProof/>
              </w:rPr>
              <w:lastRenderedPageBreak/>
              <w:drawing>
                <wp:inline distT="0" distB="0" distL="0" distR="0" wp14:anchorId="3E454743" wp14:editId="02CBAF7C">
                  <wp:extent cx="3283585" cy="2611755"/>
                  <wp:effectExtent l="0" t="0" r="12065" b="17145"/>
                  <wp:docPr id="22" name="Chart 22">
                    <a:extLst xmlns:a="http://schemas.openxmlformats.org/drawingml/2006/main">
                      <a:ext uri="{FF2B5EF4-FFF2-40B4-BE49-F238E27FC236}">
                        <a16:creationId xmlns:a16="http://schemas.microsoft.com/office/drawing/2014/main" id="{494560A6-039C-84FE-AF89-C7186868B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39" w:type="dxa"/>
          </w:tcPr>
          <w:p w14:paraId="52AF614F" w14:textId="77777777" w:rsidR="001852B5" w:rsidRPr="00AC4088" w:rsidRDefault="001852B5" w:rsidP="003F0329">
            <w:r>
              <w:rPr>
                <w:noProof/>
              </w:rPr>
              <w:drawing>
                <wp:inline distT="0" distB="0" distL="0" distR="0" wp14:anchorId="5B17C8DD" wp14:editId="3A81B58F">
                  <wp:extent cx="2919730" cy="2588342"/>
                  <wp:effectExtent l="0" t="0" r="13970" b="2540"/>
                  <wp:docPr id="26" name="Chart 26">
                    <a:extLst xmlns:a="http://schemas.openxmlformats.org/drawingml/2006/main">
                      <a:ext uri="{FF2B5EF4-FFF2-40B4-BE49-F238E27FC236}">
                        <a16:creationId xmlns:a16="http://schemas.microsoft.com/office/drawing/2014/main" id="{D5B83921-0EF3-61F5-09A5-984D8C099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1852B5" w:rsidRPr="00AC4088" w14:paraId="05E10A11" w14:textId="77777777" w:rsidTr="0046145D">
        <w:trPr>
          <w:trHeight w:val="153"/>
        </w:trPr>
        <w:tc>
          <w:tcPr>
            <w:tcW w:w="5527" w:type="dxa"/>
          </w:tcPr>
          <w:p w14:paraId="640507BB" w14:textId="77777777" w:rsidR="001852B5" w:rsidRPr="00AC4088" w:rsidRDefault="001852B5" w:rsidP="003F0329">
            <w:pPr>
              <w:rPr>
                <w:sz w:val="20"/>
                <w:szCs w:val="20"/>
              </w:rPr>
            </w:pPr>
            <w:r w:rsidRPr="00AC4088">
              <w:rPr>
                <w:sz w:val="20"/>
                <w:szCs w:val="20"/>
              </w:rPr>
              <w:t xml:space="preserve">Figure 2d: Changes in soil </w:t>
            </w:r>
            <w:r>
              <w:rPr>
                <w:sz w:val="20"/>
                <w:szCs w:val="20"/>
              </w:rPr>
              <w:t>iron</w:t>
            </w:r>
            <w:r w:rsidRPr="00AC4088">
              <w:rPr>
                <w:sz w:val="20"/>
                <w:szCs w:val="20"/>
              </w:rPr>
              <w:t xml:space="preserve"> (ppm) at 20-30 cm depth</w:t>
            </w:r>
          </w:p>
        </w:tc>
        <w:tc>
          <w:tcPr>
            <w:tcW w:w="4939" w:type="dxa"/>
          </w:tcPr>
          <w:p w14:paraId="300689CB" w14:textId="77777777" w:rsidR="001852B5" w:rsidRPr="00AC4088" w:rsidRDefault="001852B5" w:rsidP="003F0329">
            <w:pPr>
              <w:rPr>
                <w:sz w:val="20"/>
                <w:szCs w:val="20"/>
              </w:rPr>
            </w:pPr>
            <w:r w:rsidRPr="00AC4088">
              <w:rPr>
                <w:sz w:val="20"/>
                <w:szCs w:val="20"/>
              </w:rPr>
              <w:t xml:space="preserve">Figure 2e: Changes in soil </w:t>
            </w:r>
            <w:r>
              <w:rPr>
                <w:sz w:val="20"/>
                <w:szCs w:val="20"/>
              </w:rPr>
              <w:t>iron</w:t>
            </w:r>
            <w:r w:rsidRPr="00AC4088">
              <w:rPr>
                <w:sz w:val="20"/>
                <w:szCs w:val="20"/>
              </w:rPr>
              <w:t xml:space="preserve"> (ppm) at 40-60 cm depth</w:t>
            </w:r>
          </w:p>
        </w:tc>
      </w:tr>
    </w:tbl>
    <w:p w14:paraId="254BCF12" w14:textId="77777777" w:rsidR="001852B5" w:rsidRDefault="001852B5" w:rsidP="00B84749">
      <w:pPr>
        <w:keepNext/>
        <w:spacing w:line="360" w:lineRule="auto"/>
        <w:outlineLvl w:val="1"/>
        <w:rPr>
          <w:rFonts w:eastAsia="Times New Roman"/>
          <w:b/>
          <w:bCs/>
          <w:iCs/>
          <w:szCs w:val="24"/>
        </w:rPr>
      </w:pPr>
    </w:p>
    <w:p w14:paraId="6853B569" w14:textId="77777777" w:rsidR="00286BAA" w:rsidRPr="00E6705F" w:rsidRDefault="00286BAA" w:rsidP="00286BAA">
      <w:pPr>
        <w:autoSpaceDE w:val="0"/>
        <w:autoSpaceDN w:val="0"/>
        <w:adjustRightInd w:val="0"/>
        <w:spacing w:line="360" w:lineRule="auto"/>
        <w:rPr>
          <w:szCs w:val="24"/>
        </w:rPr>
      </w:pPr>
      <w:r w:rsidRPr="00E6705F">
        <w:rPr>
          <w:szCs w:val="24"/>
        </w:rPr>
        <w:t>The iron contents of the soils changed (p≤ 0.05) with location of production</w:t>
      </w:r>
      <w:r>
        <w:rPr>
          <w:szCs w:val="24"/>
        </w:rPr>
        <w:t xml:space="preserve"> (Figures 2b-2e)</w:t>
      </w:r>
      <w:r w:rsidRPr="00E6705F">
        <w:rPr>
          <w:szCs w:val="24"/>
        </w:rPr>
        <w:t xml:space="preserve">. Soil iron levels at </w:t>
      </w:r>
      <w:proofErr w:type="spellStart"/>
      <w:r w:rsidRPr="00E6705F">
        <w:rPr>
          <w:szCs w:val="24"/>
        </w:rPr>
        <w:t>Katoke</w:t>
      </w:r>
      <w:proofErr w:type="spellEnd"/>
      <w:r w:rsidRPr="00E6705F">
        <w:rPr>
          <w:szCs w:val="24"/>
        </w:rPr>
        <w:t xml:space="preserve"> and </w:t>
      </w:r>
      <w:proofErr w:type="spellStart"/>
      <w:r w:rsidRPr="00E6705F">
        <w:rPr>
          <w:szCs w:val="24"/>
        </w:rPr>
        <w:t>Maruku</w:t>
      </w:r>
      <w:proofErr w:type="spellEnd"/>
      <w:r w:rsidRPr="00E6705F">
        <w:rPr>
          <w:szCs w:val="24"/>
        </w:rPr>
        <w:t xml:space="preserve"> were relatively low, while </w:t>
      </w:r>
      <w:proofErr w:type="spellStart"/>
      <w:r w:rsidRPr="00E6705F">
        <w:rPr>
          <w:szCs w:val="24"/>
        </w:rPr>
        <w:t>Mulindi</w:t>
      </w:r>
      <w:proofErr w:type="spellEnd"/>
      <w:r w:rsidRPr="00E6705F">
        <w:rPr>
          <w:szCs w:val="24"/>
        </w:rPr>
        <w:t xml:space="preserve"> had the highest iron (p≤0.05) contents compared to the other sites. Iron levels decreased with soil depths except at </w:t>
      </w:r>
      <w:proofErr w:type="spellStart"/>
      <w:r w:rsidRPr="00E6705F">
        <w:rPr>
          <w:szCs w:val="24"/>
        </w:rPr>
        <w:t>Mulindi</w:t>
      </w:r>
      <w:proofErr w:type="spellEnd"/>
      <w:r w:rsidRPr="00E6705F">
        <w:rPr>
          <w:szCs w:val="24"/>
        </w:rPr>
        <w:t xml:space="preserve"> where the patterns showed opposite trend. </w:t>
      </w:r>
      <w:proofErr w:type="spellStart"/>
      <w:r w:rsidRPr="00E6705F">
        <w:rPr>
          <w:szCs w:val="24"/>
        </w:rPr>
        <w:t>Mulindi</w:t>
      </w:r>
      <w:proofErr w:type="spellEnd"/>
      <w:r w:rsidRPr="00E6705F">
        <w:rPr>
          <w:szCs w:val="24"/>
        </w:rPr>
        <w:t xml:space="preserve"> soils are peat soils characterized by high </w:t>
      </w:r>
      <w:r>
        <w:rPr>
          <w:szCs w:val="24"/>
        </w:rPr>
        <w:t>soil organic carbon</w:t>
      </w:r>
      <w:r w:rsidRPr="00E6705F">
        <w:rPr>
          <w:szCs w:val="24"/>
        </w:rPr>
        <w:t xml:space="preserve"> contents explaining why its iron contents were different from the other sites. The patterns observed in </w:t>
      </w:r>
      <w:r>
        <w:rPr>
          <w:szCs w:val="24"/>
        </w:rPr>
        <w:t>all</w:t>
      </w:r>
      <w:r w:rsidRPr="00E6705F">
        <w:rPr>
          <w:szCs w:val="24"/>
        </w:rPr>
        <w:t xml:space="preserve"> locations, except at </w:t>
      </w:r>
      <w:proofErr w:type="spellStart"/>
      <w:r w:rsidRPr="00E6705F">
        <w:rPr>
          <w:szCs w:val="24"/>
        </w:rPr>
        <w:t>Mulindi</w:t>
      </w:r>
      <w:proofErr w:type="spellEnd"/>
      <w:r w:rsidRPr="00E6705F">
        <w:rPr>
          <w:szCs w:val="24"/>
        </w:rPr>
        <w:t xml:space="preserve">, agree with what had also been obtained elsewhere for soil iron </w:t>
      </w:r>
      <w:r w:rsidRPr="00E6705F">
        <w:rPr>
          <w:szCs w:val="24"/>
        </w:rPr>
        <w:fldChar w:fldCharType="begin"/>
      </w:r>
      <w:r w:rsidR="00630FE0">
        <w:rPr>
          <w:szCs w:val="24"/>
        </w:rPr>
        <w:instrText xml:space="preserve"> ADDIN EN.CITE &lt;EndNote&gt;&lt;Cite&gt;&lt;Author&gt;Dang&lt;/Author&gt;&lt;Year&gt;2005&lt;/Year&gt;&lt;RecNum&gt;177&lt;/RecNum&gt;&lt;DisplayText&gt;(Dang, 2005)&lt;/DisplayText&gt;&lt;record&gt;&lt;rec-number&gt;177&lt;/rec-number&gt;&lt;foreign-keys&gt;&lt;key app="EN" db-id="zx5vprwxa0rsabew9f9xp5fcs9tz0dzwa2fa" timestamp="1757261377"&gt;177&lt;/key&gt;&lt;/foreign-keys&gt;&lt;ref-type name="Journal Article"&gt;17&lt;/ref-type&gt;&lt;contributors&gt;&lt;authors&gt;&lt;author&gt;Dang, Minh V&lt;/author&gt;&lt;/authors&gt;&lt;/contributors&gt;&lt;titles&gt;&lt;title&gt;Soil–plant nutrient balance of tea crops in the northern mountainous region, Vietnam&lt;/title&gt;&lt;secondary-title&gt;Agriculture, Ecosystems &amp;amp; Environment&lt;/secondary-title&gt;&lt;/titles&gt;&lt;periodical&gt;&lt;full-title&gt;Agriculture, ecosystems &amp;amp; environment&lt;/full-title&gt;&lt;/periodical&gt;&lt;pages&gt;413-418&lt;/pages&gt;&lt;volume&gt;105&lt;/volume&gt;&lt;number&gt;1-2&lt;/number&gt;&lt;dates&gt;&lt;year&gt;2005&lt;/year&gt;&lt;/dates&gt;&lt;isbn&gt;0167-8809&lt;/isbn&gt;&lt;urls&gt;&lt;/urls&gt;&lt;electronic-resource-num&gt;https://doi.org/10.1016/j.agee.2004.05.004&lt;/electronic-resource-num&gt;&lt;/record&gt;&lt;/Cite&gt;&lt;/EndNote&gt;</w:instrText>
      </w:r>
      <w:r w:rsidRPr="00E6705F">
        <w:rPr>
          <w:szCs w:val="24"/>
        </w:rPr>
        <w:fldChar w:fldCharType="separate"/>
      </w:r>
      <w:r w:rsidR="00630FE0">
        <w:rPr>
          <w:noProof/>
          <w:szCs w:val="24"/>
        </w:rPr>
        <w:t>(Dang, 2005)</w:t>
      </w:r>
      <w:r w:rsidRPr="00E6705F">
        <w:rPr>
          <w:szCs w:val="24"/>
        </w:rPr>
        <w:fldChar w:fldCharType="end"/>
      </w:r>
      <w:r w:rsidRPr="00E6705F">
        <w:rPr>
          <w:szCs w:val="24"/>
        </w:rPr>
        <w:t xml:space="preserve">, and mature leaf iron levels </w:t>
      </w:r>
      <w:r w:rsidRPr="00E6705F">
        <w:rPr>
          <w:szCs w:val="24"/>
        </w:rPr>
        <w:fldChar w:fldCharType="begin">
          <w:fldData xml:space="preserve">PEVuZE5vdGU+PENpdGU+PEF1dGhvcj5Ld2FjaDwvQXV0aG9yPjxZZWFyPjIwMTQ8L1llYXI+PFJl
Y051bT4yMjwvUmVjTnVtPjxEaXNwbGF5VGV4dD4oS3VtYXIgZXQgYWwuLCAyMDA1OyBLd2FjaCBl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IEMuPC9hdXRob3I+PGF1dGhvcj5Pd3VvciwgIFAuIE8uPC9hdXRob3I+PC9hdXRob3JzPjwvY29u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</w:fldData>
        </w:fldChar>
      </w:r>
      <w:r w:rsidR="00EF448D">
        <w:rPr>
          <w:szCs w:val="24"/>
        </w:rPr>
        <w:instrText xml:space="preserve"> ADDIN EN.CITE </w:instrText>
      </w:r>
      <w:r w:rsidR="00EF448D">
        <w:rPr>
          <w:szCs w:val="24"/>
        </w:rPr>
        <w:fldChar w:fldCharType="begin">
          <w:fldData xml:space="preserve">PEVuZE5vdGU+PENpdGU+PEF1dGhvcj5Ld2FjaDwvQXV0aG9yPjxZZWFyPjIwMTQ8L1llYXI+PFJl
Y051bT4yMjwvUmVjTnVtPjxEaXNwbGF5VGV4dD4oS3VtYXIgZXQgYWwuLCAyMDA1OyBLd2FjaCBl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IEMuPC9hdXRob3I+PGF1dGhvcj5Pd3VvciwgIFAuIE8uPC9hdXRob3I+PC9hdXRob3JzPjwvY29u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</w:fldData>
        </w:fldChar>
      </w:r>
      <w:r w:rsidR="00EF448D">
        <w:rPr>
          <w:szCs w:val="24"/>
        </w:rPr>
        <w:instrText xml:space="preserve"> ADDIN EN.CITE.DATA </w:instrText>
      </w:r>
      <w:r w:rsidR="00EF448D">
        <w:rPr>
          <w:szCs w:val="24"/>
        </w:rPr>
      </w:r>
      <w:r w:rsidR="00EF448D">
        <w:rPr>
          <w:szCs w:val="24"/>
        </w:rPr>
        <w:fldChar w:fldCharType="end"/>
      </w:r>
      <w:r w:rsidRPr="00E6705F">
        <w:rPr>
          <w:szCs w:val="24"/>
        </w:rPr>
      </w:r>
      <w:r w:rsidRPr="00E6705F">
        <w:rPr>
          <w:szCs w:val="24"/>
        </w:rPr>
        <w:fldChar w:fldCharType="separate"/>
      </w:r>
      <w:r w:rsidR="00EF448D">
        <w:rPr>
          <w:noProof/>
          <w:szCs w:val="24"/>
        </w:rPr>
        <w:t>(Kumar et al., 2005; Kwach et al., 2014)</w:t>
      </w:r>
      <w:r w:rsidRPr="00E6705F">
        <w:rPr>
          <w:szCs w:val="24"/>
        </w:rPr>
        <w:fldChar w:fldCharType="end"/>
      </w:r>
      <w:r w:rsidRPr="00E6705F">
        <w:rPr>
          <w:szCs w:val="24"/>
        </w:rPr>
        <w:t xml:space="preserve">. These trends could be attributed to different climatic patterns and levels of soil organic carbon </w:t>
      </w:r>
      <w:r w:rsidRPr="00E6705F">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E6705F">
        <w:rPr>
          <w:szCs w:val="24"/>
        </w:rPr>
        <w:fldChar w:fldCharType="separate"/>
      </w:r>
      <w:r w:rsidR="00EF448D">
        <w:rPr>
          <w:noProof/>
          <w:szCs w:val="24"/>
        </w:rPr>
        <w:t>(Ombori et al., 2020)</w:t>
      </w:r>
      <w:r w:rsidRPr="00E6705F">
        <w:rPr>
          <w:szCs w:val="24"/>
        </w:rPr>
        <w:fldChar w:fldCharType="end"/>
      </w:r>
      <w:r w:rsidRPr="00E6705F">
        <w:rPr>
          <w:szCs w:val="24"/>
        </w:rPr>
        <w:t xml:space="preserve"> where low iron contents at lower depths corresponds to a lower organic carbon contents with depths. The significant variations in soil iron levels with location demonstrate how the iron reserves in the soils are variable. This could be one of the factors causing differences in yields observed in tea productivity within </w:t>
      </w:r>
      <w:r>
        <w:rPr>
          <w:szCs w:val="24"/>
        </w:rPr>
        <w:t>e</w:t>
      </w:r>
      <w:r w:rsidRPr="00E6705F">
        <w:rPr>
          <w:szCs w:val="24"/>
        </w:rPr>
        <w:t xml:space="preserve">astern Africa </w:t>
      </w:r>
      <w:r w:rsidRPr="00E6705F">
        <w:rPr>
          <w:szCs w:val="24"/>
        </w:rPr>
        <w:fldChar w:fldCharType="begin"/>
      </w:r>
      <w:r w:rsidR="00EF448D">
        <w:rPr>
          <w:szCs w:val="24"/>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Pr="00E6705F">
        <w:rPr>
          <w:szCs w:val="24"/>
        </w:rPr>
        <w:fldChar w:fldCharType="separate"/>
      </w:r>
      <w:r w:rsidR="00EF448D">
        <w:rPr>
          <w:noProof/>
          <w:szCs w:val="24"/>
        </w:rPr>
        <w:t>(Msomba et al., 2014)</w:t>
      </w:r>
      <w:r w:rsidRPr="00E6705F">
        <w:rPr>
          <w:szCs w:val="24"/>
        </w:rPr>
        <w:fldChar w:fldCharType="end"/>
      </w:r>
      <w:r w:rsidRPr="00E6705F">
        <w:rPr>
          <w:szCs w:val="24"/>
        </w:rPr>
        <w:t xml:space="preserve">. The close association between soil organic carbon and iron levels imply the need for farmers to embrace management practices such as leaving tea </w:t>
      </w:r>
      <w:proofErr w:type="spellStart"/>
      <w:r w:rsidRPr="00E6705F">
        <w:rPr>
          <w:szCs w:val="24"/>
        </w:rPr>
        <w:t>prunings</w:t>
      </w:r>
      <w:proofErr w:type="spellEnd"/>
      <w:r w:rsidRPr="00E6705F">
        <w:rPr>
          <w:szCs w:val="24"/>
        </w:rPr>
        <w:t xml:space="preserve"> </w:t>
      </w:r>
      <w:r w:rsidRPr="00E6705F">
        <w:rPr>
          <w:i/>
          <w:szCs w:val="24"/>
        </w:rPr>
        <w:t xml:space="preserve">in situ </w:t>
      </w:r>
      <w:r w:rsidRPr="00E6705F">
        <w:rPr>
          <w:szCs w:val="24"/>
        </w:rPr>
        <w:t>which could improve organic carbon and consequently iron levels for sustainable tea productivity.</w:t>
      </w:r>
    </w:p>
    <w:p w14:paraId="6E636F1C" w14:textId="77777777" w:rsidR="00286BAA" w:rsidRDefault="00286BAA" w:rsidP="00286BAA">
      <w:pPr>
        <w:autoSpaceDE w:val="0"/>
        <w:autoSpaceDN w:val="0"/>
        <w:adjustRightInd w:val="0"/>
        <w:spacing w:line="360" w:lineRule="auto"/>
        <w:rPr>
          <w:szCs w:val="24"/>
        </w:rPr>
      </w:pPr>
      <w:r w:rsidRPr="00E6705F">
        <w:rPr>
          <w:szCs w:val="24"/>
        </w:rPr>
        <w:t xml:space="preserve">Soil iron increased (p≤0.05) with rise in nitrogenous fertilizer rates at all sites. Similar patterns were repeated for all sites values as had also been observed elsewhere </w:t>
      </w:r>
      <w:r w:rsidRPr="00E6705F">
        <w:rPr>
          <w:szCs w:val="24"/>
        </w:rPr>
        <w:fldChar w:fldCharType="begin"/>
      </w:r>
      <w:r w:rsidR="00EF448D">
        <w:rPr>
          <w:szCs w:val="24"/>
        </w:rPr>
        <w:instrText xml:space="preserve"> ADDIN EN.CITE &lt;EndNote&gt;&lt;Cite&gt;&lt;Author&gt;Sitienei&lt;/Author&gt;&lt;Year&gt;2016&lt;/Year&gt;&lt;RecNum&gt;175&lt;/RecNum&gt;&lt;DisplayText&gt;(Sitienei et al., 2016)&lt;/DisplayText&gt;&lt;record&gt;&lt;rec-number&gt;175&lt;/rec-number&gt;&lt;foreign-keys&gt;&lt;key app="EN" db-id="zx5vprwxa0rsabew9f9xp5fcs9tz0dzwa2fa" timestamp="1757260897"&gt;175&lt;/key&gt;&lt;/foreign-keys&gt;&lt;ref-type name="Journal Article"&gt;17&lt;/ref-type&gt;&lt;contributors&gt;&lt;authors&gt;&lt;author&gt;Sitienei, Kibet&lt;/author&gt;&lt;author&gt;Kirui, Kiplangat&lt;/author&gt;&lt;author&gt;Kamau, David&lt;/author&gt;&lt;author&gt;Wanyoko, John&lt;/author&gt;&lt;author&gt;Langat, Kimutai&lt;/author&gt;&lt;/authors&gt;&lt;/contributors&gt;&lt;titles&gt;&lt;title&gt;Effect of plant density, nitrogen fertilizer application rates and soil depth on clonal tea soil nutrient content&lt;/title&gt;&lt;secondary-title&gt;Journal of Tea Science Research&lt;/secondary-title&gt;&lt;/titles&gt;&lt;periodical&gt;&lt;full-title&gt;Journal of Tea Science Research&lt;/full-title&gt;&lt;/periodical&gt;&lt;pages&gt;1-5&lt;/pages&gt;&lt;volume&gt;6&lt;/volume&gt;&lt;number&gt;7&lt;/number&gt;&lt;dates&gt;&lt;year&gt;2016&lt;/year&gt;&lt;/dates&gt;&lt;isbn&gt;1927-6494&lt;/isbn&gt;&lt;urls&gt;&lt;/urls&gt;&lt;electronic-resource-num&gt;10.5376/jtsr.2016.06.0007&lt;/electronic-resource-num&gt;&lt;/record&gt;&lt;/Cite&gt;&lt;/EndNote&gt;</w:instrText>
      </w:r>
      <w:r w:rsidRPr="00E6705F">
        <w:rPr>
          <w:szCs w:val="24"/>
        </w:rPr>
        <w:fldChar w:fldCharType="separate"/>
      </w:r>
      <w:r w:rsidR="00EF448D">
        <w:rPr>
          <w:noProof/>
          <w:szCs w:val="24"/>
        </w:rPr>
        <w:t>(Sitienei et al., 2016)</w:t>
      </w:r>
      <w:r w:rsidRPr="00E6705F">
        <w:rPr>
          <w:szCs w:val="24"/>
        </w:rPr>
        <w:fldChar w:fldCharType="end"/>
      </w:r>
      <w:r w:rsidRPr="00E6705F">
        <w:rPr>
          <w:szCs w:val="24"/>
        </w:rPr>
        <w:t xml:space="preserve">. These patterns follow closely those observed in the mature leaf iron levels </w:t>
      </w:r>
      <w:r w:rsidRPr="00E6705F">
        <w:rPr>
          <w:szCs w:val="24"/>
        </w:rPr>
        <w:fldChar w:fldCharType="begin"/>
      </w:r>
      <w:r w:rsidR="00EF448D">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E6705F">
        <w:rPr>
          <w:szCs w:val="24"/>
        </w:rPr>
        <w:fldChar w:fldCharType="separate"/>
      </w:r>
      <w:r w:rsidR="00EF448D">
        <w:rPr>
          <w:noProof/>
          <w:szCs w:val="24"/>
        </w:rPr>
        <w:t>(Kwach et al., 2014)</w:t>
      </w:r>
      <w:r w:rsidRPr="00E6705F">
        <w:rPr>
          <w:szCs w:val="24"/>
        </w:rPr>
        <w:fldChar w:fldCharType="end"/>
      </w:r>
      <w:r w:rsidRPr="00E6705F">
        <w:rPr>
          <w:szCs w:val="24"/>
        </w:rPr>
        <w:t xml:space="preserve"> where iron levels increased with increase in nitrogen rates. Raised rates of nitrogen fertilizer lower soil pH and enhances solubilization of iron making it available to the tea crop </w:t>
      </w:r>
      <w:r w:rsidRPr="00E6705F">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Pr="00E6705F">
        <w:rPr>
          <w:szCs w:val="24"/>
        </w:rPr>
        <w:fldChar w:fldCharType="separate"/>
      </w:r>
      <w:r w:rsidR="00630FE0">
        <w:rPr>
          <w:noProof/>
          <w:szCs w:val="24"/>
        </w:rPr>
        <w:t>(Nath, 2013)</w:t>
      </w:r>
      <w:r w:rsidRPr="00E6705F">
        <w:rPr>
          <w:szCs w:val="24"/>
        </w:rPr>
        <w:fldChar w:fldCharType="end"/>
      </w:r>
      <w:r w:rsidRPr="00E6705F">
        <w:rPr>
          <w:szCs w:val="24"/>
        </w:rPr>
        <w:t xml:space="preserve">. Therefore, the nutrient deficiency in tea plants can be corrected by surface application of nitrogenous fertilizers in all tea growing regions in </w:t>
      </w:r>
      <w:r>
        <w:rPr>
          <w:szCs w:val="24"/>
        </w:rPr>
        <w:t>eastern</w:t>
      </w:r>
      <w:r w:rsidRPr="00E6705F">
        <w:rPr>
          <w:szCs w:val="24"/>
        </w:rPr>
        <w:t xml:space="preserve"> Africa. </w:t>
      </w:r>
    </w:p>
    <w:p w14:paraId="77AA6993" w14:textId="77777777" w:rsidR="00286BAA" w:rsidRDefault="00286BAA" w:rsidP="00B84749">
      <w:pPr>
        <w:keepNext/>
        <w:spacing w:line="360" w:lineRule="auto"/>
        <w:outlineLvl w:val="1"/>
        <w:rPr>
          <w:rFonts w:eastAsia="Times New Roman"/>
          <w:b/>
          <w:bCs/>
          <w:iCs/>
          <w:szCs w:val="24"/>
        </w:rPr>
      </w:pPr>
    </w:p>
    <w:p w14:paraId="5FA11586" w14:textId="77777777" w:rsidR="00B511C1" w:rsidRDefault="00B84749" w:rsidP="00B511C1">
      <w:pPr>
        <w:keepNext/>
        <w:spacing w:line="360" w:lineRule="auto"/>
        <w:outlineLvl w:val="1"/>
        <w:rPr>
          <w:rFonts w:eastAsia="Times New Roman"/>
          <w:b/>
          <w:bCs/>
          <w:iCs/>
          <w:szCs w:val="24"/>
        </w:rPr>
      </w:pPr>
      <w:r w:rsidRPr="00B84749">
        <w:rPr>
          <w:rFonts w:eastAsia="Times New Roman"/>
          <w:b/>
          <w:bCs/>
          <w:iCs/>
          <w:szCs w:val="24"/>
        </w:rPr>
        <w:t>Soil Copper Levels</w:t>
      </w:r>
    </w:p>
    <w:p w14:paraId="41C3AFE3" w14:textId="77777777" w:rsidR="00AD70BE" w:rsidRDefault="00B84749" w:rsidP="00B511C1">
      <w:pPr>
        <w:keepNext/>
        <w:spacing w:line="360" w:lineRule="auto"/>
        <w:outlineLvl w:val="1"/>
        <w:rPr>
          <w:szCs w:val="24"/>
        </w:rPr>
      </w:pPr>
      <w:r w:rsidRPr="00B84749">
        <w:rPr>
          <w:szCs w:val="24"/>
        </w:rPr>
        <w:t>The changes in soil copper levels with</w:t>
      </w:r>
      <w:r w:rsidR="009518D5">
        <w:rPr>
          <w:szCs w:val="24"/>
        </w:rPr>
        <w:t xml:space="preserve"> soil depths, </w:t>
      </w:r>
      <w:r w:rsidRPr="00B84749">
        <w:rPr>
          <w:szCs w:val="24"/>
        </w:rPr>
        <w:t>location of productions and nitrogenous fertilizer rates are presented in</w:t>
      </w:r>
      <w:r>
        <w:rPr>
          <w:szCs w:val="24"/>
        </w:rPr>
        <w:t xml:space="preserve"> Figure</w:t>
      </w:r>
      <w:r w:rsidR="009518D5">
        <w:rPr>
          <w:szCs w:val="24"/>
        </w:rPr>
        <w:t>s</w:t>
      </w:r>
      <w:r>
        <w:rPr>
          <w:szCs w:val="24"/>
        </w:rPr>
        <w:t xml:space="preserve"> 3</w:t>
      </w:r>
      <w:r w:rsidR="009518D5">
        <w:rPr>
          <w:szCs w:val="24"/>
        </w:rPr>
        <w:t>(a-e)</w:t>
      </w:r>
      <w:r w:rsidRPr="00B84749">
        <w:rPr>
          <w:szCs w:val="24"/>
        </w:rPr>
        <w:t>. Copper is an</w:t>
      </w:r>
      <w:r w:rsidR="009518D5">
        <w:rPr>
          <w:szCs w:val="24"/>
        </w:rPr>
        <w:t xml:space="preserve"> essential</w:t>
      </w:r>
      <w:r w:rsidRPr="00B84749">
        <w:rPr>
          <w:szCs w:val="24"/>
        </w:rPr>
        <w:t xml:space="preserve"> element in tea nutrition </w:t>
      </w:r>
      <w:r w:rsidR="003C3653" w:rsidRPr="00B84749">
        <w:rPr>
          <w:szCs w:val="24"/>
        </w:rPr>
        <w:fldChar w:fldCharType="begin"/>
      </w:r>
      <w:r w:rsidR="00EF448D">
        <w:rPr>
          <w:szCs w:val="24"/>
        </w:rPr>
        <w:instrText xml:space="preserve"> ADDIN EN.CITE &lt;EndNote&gt;&lt;Cite&gt;&lt;Author&gt;Krishnakumar&lt;/Author&gt;&lt;Year&gt;2024&lt;/Year&gt;&lt;RecNum&gt;236&lt;/RecNum&gt;&lt;DisplayText&gt;(Krishnakumar et al., 2024)&lt;/DisplayText&gt;&lt;record&gt;&lt;rec-number&gt;236&lt;/rec-number&gt;&lt;foreign-keys&gt;&lt;key app="EN" db-id="zx5vprwxa0rsabew9f9xp5fcs9tz0dzwa2fa" timestamp="1757788345"&gt;236&lt;/key&gt;&lt;/foreign-keys&gt;&lt;ref-type name="Book Section"&gt;5&lt;/ref-type&gt;&lt;contributors&gt;&lt;authors&gt;&lt;author&gt;Krishnakumar, V&lt;/author&gt;&lt;author&gt;Kumar, T Raj&lt;/author&gt;&lt;author&gt;Murugesan, P&lt;/author&gt;&lt;/authors&gt;&lt;/contributors&gt;&lt;titles&gt;&lt;title&gt;&lt;style face="normal" font="default" size="100%"&gt;Tea (&lt;/style&gt;&lt;style face="italic" font="default" size="100%"&gt;Camellia sinensis&lt;/style&gt;&lt;style face="normal" font="default" size="100%"&gt; (L.) O. Kuntze)&lt;/style&gt;&lt;/title&gt;&lt;secondary-title&gt;Soil Health Management for Plantation Crops: Recent Advances and New Paradigms&lt;/secondary-title&gt;&lt;/titles&gt;&lt;pages&gt;391-486&lt;/pages&gt;&lt;dates&gt;&lt;year&gt;2024&lt;/year&gt;&lt;/dates&gt;&lt;publisher&gt;Springer&lt;/publisher&gt;&lt;urls&gt;&lt;/urls&gt;&lt;electronic-resource-num&gt;https://doi.org/10.1007/978-981-97-0092-9_10&lt;/electronic-resource-num&gt;&lt;/record&gt;&lt;/Cite&gt;&lt;/EndNote&gt;</w:instrText>
      </w:r>
      <w:r w:rsidR="003C3653" w:rsidRPr="00B84749">
        <w:rPr>
          <w:szCs w:val="24"/>
        </w:rPr>
        <w:fldChar w:fldCharType="separate"/>
      </w:r>
      <w:r w:rsidR="00EF448D">
        <w:rPr>
          <w:noProof/>
          <w:szCs w:val="24"/>
        </w:rPr>
        <w:t>(Krishnakumar et al., 2024)</w:t>
      </w:r>
      <w:r w:rsidR="003C3653" w:rsidRPr="00B84749">
        <w:rPr>
          <w:szCs w:val="24"/>
        </w:rPr>
        <w:fldChar w:fldCharType="end"/>
      </w:r>
      <w:r w:rsidR="009518D5">
        <w:rPr>
          <w:szCs w:val="24"/>
        </w:rPr>
        <w:t>.</w:t>
      </w:r>
      <w:r w:rsidRPr="00B84749">
        <w:rPr>
          <w:szCs w:val="24"/>
        </w:rPr>
        <w:t xml:space="preserve"> </w:t>
      </w:r>
      <w:r w:rsidRPr="00B84749">
        <w:rPr>
          <w:szCs w:val="24"/>
        </w:rPr>
        <w:lastRenderedPageBreak/>
        <w:t xml:space="preserve">Optimal application of copper increased yield and quality of tea </w:t>
      </w:r>
      <w:r w:rsidR="003C3653" w:rsidRPr="00B84749">
        <w:rPr>
          <w:szCs w:val="24"/>
        </w:rPr>
        <w:fldChar w:fldCharType="begin"/>
      </w:r>
      <w:r w:rsidR="00EF448D">
        <w:rPr>
          <w:szCs w:val="24"/>
        </w:rPr>
        <w:instrText xml:space="preserve"> ADDIN EN.CITE &lt;EndNote&gt;&lt;Cite&gt;&lt;Author&gt;Barooah&lt;/Author&gt;&lt;Year&gt;2005&lt;/Year&gt;&lt;RecNum&gt;190&lt;/RecNum&gt;&lt;DisplayText&gt;(Barooah et al., 2005; Saikh, 2001)&lt;/DisplayText&gt;&lt;record&gt;&lt;rec-number&gt;190&lt;/rec-number&gt;&lt;foreign-keys&gt;&lt;key app="EN" db-id="zx5vprwxa0rsabew9f9xp5fcs9tz0dzwa2fa" timestamp="1757405161"&gt;190&lt;/key&gt;&lt;/foreign-keys&gt;&lt;ref-type name="Conference Proceedings"&gt;10&lt;/ref-type&gt;&lt;contributors&gt;&lt;authors&gt;&lt;author&gt;Barooah, A&lt;/author&gt;&lt;author&gt;Barooah, A K&lt;/author&gt;&lt;author&gt;Yadav, R N S&lt;/author&gt;&lt;author&gt;Gohian, K K&lt;/author&gt;&lt;author&gt;Adhyapak, M P&lt;/author&gt;&lt;/authors&gt;&lt;/contributors&gt;&lt;titles&gt;&lt;title&gt;Soil quality assessment with respect to micronutrient status&lt;/title&gt;&lt;secondary-title&gt;Proceedings of 34th Tocklai conference strategies for quality, TRA, Tocklai experimental Station, Jorhat, Assam, India&lt;/secondary-title&gt;&lt;/titles&gt;&lt;pages&gt;26&lt;/pages&gt;&lt;dates&gt;&lt;year&gt;2005&lt;/year&gt;&lt;/dates&gt;&lt;urls&gt;&lt;/urls&gt;&lt;/record&gt;&lt;/Cite&gt;&lt;Cite&gt;&lt;Author&gt;Saikh&lt;/Author&gt;&lt;Year&gt;2001&lt;/Year&gt;&lt;RecNum&gt;191&lt;/RecNum&gt;&lt;record&gt;&lt;rec-number&gt;191&lt;/rec-number&gt;&lt;foreign-keys&gt;&lt;key app="EN" db-id="zx5vprwxa0rsabew9f9xp5fcs9tz0dzwa2fa" timestamp="1757405255"&gt;191&lt;/key&gt;&lt;/foreign-keys&gt;&lt;ref-type name="Journal Article"&gt;17&lt;/ref-type&gt;&lt;contributors&gt;&lt;authors&gt;&lt;author&gt;Saikh, H&lt;/author&gt;&lt;/authors&gt;&lt;/contributors&gt;&lt;titles&gt;&lt;title&gt;Effect of lime, dolomite and rock phosphate on the soil pH and the growth of tea&lt;/title&gt;&lt;secondary-title&gt;The Assam Review and Tea News&lt;/secondary-title&gt;&lt;/titles&gt;&lt;periodical&gt;&lt;full-title&gt;The Assam Review and Tea News&lt;/full-title&gt;&lt;/periodical&gt;&lt;pages&gt;9-13&lt;/pages&gt;&lt;volume&gt;90&lt;/volume&gt;&lt;dates&gt;&lt;year&gt;2001&lt;/year&gt;&lt;/dates&gt;&lt;urls&gt;&lt;/urls&gt;&lt;/record&gt;&lt;/Cite&gt;&lt;/EndNote&gt;</w:instrText>
      </w:r>
      <w:r w:rsidR="003C3653" w:rsidRPr="00B84749">
        <w:rPr>
          <w:szCs w:val="24"/>
        </w:rPr>
        <w:fldChar w:fldCharType="separate"/>
      </w:r>
      <w:r w:rsidR="00EF448D">
        <w:rPr>
          <w:noProof/>
          <w:szCs w:val="24"/>
        </w:rPr>
        <w:t>(Barooah et al., 2005; Saikh, 2001)</w:t>
      </w:r>
      <w:r w:rsidR="003C3653" w:rsidRPr="00B84749">
        <w:rPr>
          <w:szCs w:val="24"/>
        </w:rPr>
        <w:fldChar w:fldCharType="end"/>
      </w:r>
      <w:r w:rsidRPr="00B84749">
        <w:rPr>
          <w:szCs w:val="24"/>
        </w:rPr>
        <w:t xml:space="preserve">, but high concentrations retarded tea growth </w:t>
      </w:r>
      <w:r w:rsidR="003C3653" w:rsidRPr="00B84749">
        <w:rPr>
          <w:szCs w:val="24"/>
        </w:rPr>
        <w:fldChar w:fldCharType="begin"/>
      </w:r>
      <w:r w:rsidR="00EF448D">
        <w:rPr>
          <w:szCs w:val="24"/>
        </w:rPr>
        <w:instrText xml:space="preserve"> ADDIN EN.CITE &lt;EndNote&gt;&lt;Cite&gt;&lt;Author&gt;Dey&lt;/Author&gt;&lt;Year&gt;2015&lt;/Year&gt;&lt;RecNum&gt;235&lt;/RecNum&gt;&lt;DisplayText&gt;(Dey et al., 2015)&lt;/DisplayText&gt;&lt;record&gt;&lt;rec-number&gt;235&lt;/rec-number&gt;&lt;foreign-keys&gt;&lt;key app="EN" db-id="zx5vprwxa0rsabew9f9xp5fcs9tz0dzwa2fa" timestamp="1757787556"&gt;235&lt;/key&gt;&lt;/foreign-keys&gt;&lt;ref-type name="Journal Article"&gt;17&lt;/ref-type&gt;&lt;contributors&gt;&lt;authors&gt;&lt;author&gt;Dey, Sarmishta&lt;/author&gt;&lt;author&gt;Mazumder, P áB&lt;/author&gt;&lt;author&gt;Paul, S áB&lt;/author&gt;&lt;/authors&gt;&lt;/contributors&gt;&lt;titles&gt;&lt;title&gt;Copper-induced changes in growth and antioxidative mechanisms of tea plant (Camellia sinensis (L.) O. Kuntze)&lt;/title&gt;&lt;secondary-title&gt;African Journal of Biotechnology&lt;/secondary-title&gt;&lt;/titles&gt;&lt;periodical&gt;&lt;full-title&gt;African Journal of Biotechnology&lt;/full-title&gt;&lt;/periodical&gt;&lt;pages&gt;582-592&lt;/pages&gt;&lt;volume&gt;14&lt;/volume&gt;&lt;number&gt;7&lt;/number&gt;&lt;dates&gt;&lt;year&gt;2015&lt;/year&gt;&lt;/dates&gt;&lt;isbn&gt;1684-5315&lt;/isbn&gt;&lt;urls&gt;&lt;/urls&gt;&lt;electronic-resource-num&gt;10.5897/AJB2014.14279&lt;/electronic-resource-num&gt;&lt;/record&gt;&lt;/Cite&gt;&lt;/EndNote&gt;</w:instrText>
      </w:r>
      <w:r w:rsidR="003C3653" w:rsidRPr="00B84749">
        <w:rPr>
          <w:szCs w:val="24"/>
        </w:rPr>
        <w:fldChar w:fldCharType="separate"/>
      </w:r>
      <w:r w:rsidR="00EF448D">
        <w:rPr>
          <w:noProof/>
          <w:szCs w:val="24"/>
        </w:rPr>
        <w:t>(Dey et al., 2015)</w:t>
      </w:r>
      <w:r w:rsidR="003C3653" w:rsidRPr="00B84749">
        <w:rPr>
          <w:szCs w:val="24"/>
        </w:rPr>
        <w:fldChar w:fldCharType="end"/>
      </w:r>
      <w:r w:rsidRPr="00B84749">
        <w:rPr>
          <w:szCs w:val="24"/>
        </w:rPr>
        <w:t xml:space="preserve">. Copper is a component of polyphenol oxidase, an essential enzyme in the fermentation process of black tea manufacturing </w:t>
      </w:r>
      <w:r w:rsidR="003C3653" w:rsidRPr="00B84749">
        <w:rPr>
          <w:szCs w:val="24"/>
        </w:rPr>
        <w:fldChar w:fldCharType="begin"/>
      </w:r>
      <w:r w:rsidR="00EF448D">
        <w:rPr>
          <w:szCs w:val="24"/>
        </w:rPr>
        <w:instrText xml:space="preserve"> ADDIN EN.CITE &lt;EndNote&gt;&lt;Cite&gt;&lt;Author&gt;Seenivasan&lt;/Author&gt;&lt;Year&gt;2008&lt;/Year&gt;&lt;RecNum&gt;192&lt;/RecNum&gt;&lt;DisplayText&gt;(Seenivasan et al., 2008)&lt;/DisplayText&gt;&lt;record&gt;&lt;rec-number&gt;192&lt;/rec-number&gt;&lt;foreign-keys&gt;&lt;key app="EN" db-id="zx5vprwxa0rsabew9f9xp5fcs9tz0dzwa2fa" timestamp="1757405443"&gt;192&lt;/key&gt;&lt;/foreign-keys&gt;&lt;ref-type name="Journal Article"&gt;17&lt;/ref-type&gt;&lt;contributors&gt;&lt;authors&gt;&lt;author&gt;Seenivasan, Subbiah&lt;/author&gt;&lt;author&gt;Manikandan, Natarajan&lt;/author&gt;&lt;author&gt;Muraleedharan, Narayanan Nair&lt;/author&gt;&lt;author&gt;Selvasundaram, Rajagopal&lt;/author&gt;&lt;/authors&gt;&lt;/contributors&gt;&lt;titles&gt;&lt;title&gt;Heavy metal content of black teas from south India&lt;/title&gt;&lt;secondary-title&gt;Food Control&lt;/secondary-title&gt;&lt;/titles&gt;&lt;periodical&gt;&lt;full-title&gt;Food control&lt;/full-title&gt;&lt;/periodical&gt;&lt;pages&gt;746-749&lt;/pages&gt;&lt;volume&gt;19&lt;/volume&gt;&lt;number&gt;8&lt;/number&gt;&lt;dates&gt;&lt;year&gt;2008&lt;/year&gt;&lt;/dates&gt;&lt;isbn&gt;0956-7135&lt;/isbn&gt;&lt;urls&gt;&lt;/urls&gt;&lt;electronic-resource-num&gt;https://doi.org/10.1016/j.foodcont.2007.07.012&lt;/electronic-resource-num&gt;&lt;/record&gt;&lt;/Cite&gt;&lt;/EndNote&gt;</w:instrText>
      </w:r>
      <w:r w:rsidR="003C3653" w:rsidRPr="00B84749">
        <w:rPr>
          <w:szCs w:val="24"/>
        </w:rPr>
        <w:fldChar w:fldCharType="separate"/>
      </w:r>
      <w:r w:rsidR="00EF448D">
        <w:rPr>
          <w:noProof/>
          <w:szCs w:val="24"/>
        </w:rPr>
        <w:t>(Seenivasan et al., 2008)</w:t>
      </w:r>
      <w:r w:rsidR="003C3653" w:rsidRPr="00B84749">
        <w:rPr>
          <w:szCs w:val="24"/>
        </w:rPr>
        <w:fldChar w:fldCharType="end"/>
      </w:r>
      <w:r w:rsidRPr="00B84749">
        <w:rPr>
          <w:szCs w:val="24"/>
        </w:rPr>
        <w:t xml:space="preserve">. The maximum permissible limits for copper in soils are 2 to 250 ppm </w:t>
      </w:r>
      <w:r w:rsidR="003C3653" w:rsidRPr="00B84749">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3C3653" w:rsidRPr="00B84749">
        <w:rPr>
          <w:szCs w:val="24"/>
        </w:rPr>
        <w:fldChar w:fldCharType="separate"/>
      </w:r>
      <w:r w:rsidR="00630FE0">
        <w:rPr>
          <w:noProof/>
          <w:szCs w:val="24"/>
        </w:rPr>
        <w:t>(Nath, 2013)</w:t>
      </w:r>
      <w:r w:rsidR="003C3653" w:rsidRPr="00B84749">
        <w:rPr>
          <w:szCs w:val="24"/>
        </w:rPr>
        <w:fldChar w:fldCharType="end"/>
      </w:r>
      <w:r w:rsidRPr="00B84749">
        <w:rPr>
          <w:szCs w:val="24"/>
        </w:rPr>
        <w:t xml:space="preserve"> with a critical value of 0.2 ppm </w:t>
      </w:r>
      <w:r w:rsidR="003C3653" w:rsidRPr="00B84749">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003C3653" w:rsidRPr="00B84749">
        <w:rPr>
          <w:szCs w:val="24"/>
        </w:rPr>
        <w:fldChar w:fldCharType="separate"/>
      </w:r>
      <w:r w:rsidR="00630FE0">
        <w:rPr>
          <w:noProof/>
          <w:szCs w:val="24"/>
        </w:rPr>
        <w:t>(Flynn, 2015)</w:t>
      </w:r>
      <w:r w:rsidR="003C3653" w:rsidRPr="00B84749">
        <w:rPr>
          <w:szCs w:val="24"/>
        </w:rPr>
        <w:fldChar w:fldCharType="end"/>
      </w:r>
      <w:r w:rsidRPr="00B84749">
        <w:rPr>
          <w:szCs w:val="24"/>
        </w:rPr>
        <w:t>. Soil copper levels increased with soil depths even though the levels were below 2 ppm for most of the depths</w:t>
      </w:r>
      <w:r w:rsidR="009518D5">
        <w:rPr>
          <w:szCs w:val="24"/>
        </w:rPr>
        <w:t xml:space="preserve"> (Figure 3a)</w:t>
      </w:r>
      <w:r w:rsidRPr="00B84749">
        <w:rPr>
          <w:szCs w:val="24"/>
        </w:rPr>
        <w:t xml:space="preserve">. The results demonstrate that some East African tea growing areas may have copper deficiency in the near future. At present the soil levels had not reached levels limiting tea production of 0.2 ppm </w:t>
      </w:r>
      <w:r w:rsidR="003C3653" w:rsidRPr="00B84749">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003C3653" w:rsidRPr="00B84749">
        <w:rPr>
          <w:szCs w:val="24"/>
        </w:rPr>
        <w:fldChar w:fldCharType="separate"/>
      </w:r>
      <w:r w:rsidR="00630FE0">
        <w:rPr>
          <w:noProof/>
          <w:szCs w:val="24"/>
        </w:rPr>
        <w:t>(Flynn, 2015)</w:t>
      </w:r>
      <w:r w:rsidR="003C3653" w:rsidRPr="00B84749">
        <w:rPr>
          <w:szCs w:val="24"/>
        </w:rPr>
        <w:fldChar w:fldCharType="end"/>
      </w:r>
      <w:r w:rsidRPr="00B84749">
        <w:rPr>
          <w:szCs w:val="24"/>
        </w:rPr>
        <w:t>. The increase in copper level with soil depth had been o</w:t>
      </w:r>
      <w:r>
        <w:rPr>
          <w:szCs w:val="24"/>
        </w:rPr>
        <w:t>b</w:t>
      </w:r>
      <w:r w:rsidRPr="00B84749">
        <w:rPr>
          <w:szCs w:val="24"/>
        </w:rPr>
        <w:t xml:space="preserve">served previous studies </w:t>
      </w:r>
      <w:r w:rsidR="003C3653" w:rsidRPr="00B84749">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 </w:instrText>
      </w:r>
      <w:r w:rsidR="00EF448D">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EN.CITE.DATA </w:instrText>
      </w:r>
      <w:r w:rsidR="00EF448D">
        <w:rPr>
          <w:szCs w:val="24"/>
        </w:rPr>
      </w:r>
      <w:r w:rsidR="00EF448D">
        <w:rPr>
          <w:szCs w:val="24"/>
        </w:rPr>
        <w:fldChar w:fldCharType="end"/>
      </w:r>
      <w:r w:rsidR="003C3653" w:rsidRPr="00B84749">
        <w:rPr>
          <w:szCs w:val="24"/>
        </w:rPr>
      </w:r>
      <w:r w:rsidR="003C3653" w:rsidRPr="00B84749">
        <w:rPr>
          <w:szCs w:val="24"/>
        </w:rPr>
        <w:fldChar w:fldCharType="separate"/>
      </w:r>
      <w:r w:rsidR="00EF448D">
        <w:rPr>
          <w:noProof/>
          <w:szCs w:val="24"/>
        </w:rPr>
        <w:t>(Özyazıcı et al., 2011; Sitienei et al., 2016)</w:t>
      </w:r>
      <w:r w:rsidR="003C3653" w:rsidRPr="00B84749">
        <w:rPr>
          <w:szCs w:val="24"/>
        </w:rPr>
        <w:fldChar w:fldCharType="end"/>
      </w:r>
      <w:r w:rsidRPr="00B84749">
        <w:rPr>
          <w:szCs w:val="24"/>
        </w:rPr>
        <w:t xml:space="preserve"> where copper contents accumulated in lower soil depths. This could be attributed to increased acidity in tea soil which tends to solubilize copper from the solid phase of the soils </w:t>
      </w:r>
      <w:r w:rsidR="003C3653" w:rsidRPr="00B84749">
        <w:rPr>
          <w:szCs w:val="24"/>
        </w:rPr>
        <w:fldChar w:fldCharType="begin"/>
      </w:r>
      <w:r w:rsidR="00EF448D">
        <w:rPr>
          <w:szCs w:val="24"/>
        </w:rPr>
        <w:instrText xml:space="preserve"> ADDIN EN.CITE &lt;EndNote&gt;&lt;Cite&gt;&lt;Author&gt;Zhang&lt;/Author&gt;&lt;Year&gt;2007&lt;/Year&gt;&lt;RecNum&gt;237&lt;/RecNum&gt;&lt;DisplayText&gt;(Zhang &amp;amp; Fang, 2007)&lt;/DisplayText&gt;&lt;record&gt;&lt;rec-number&gt;237&lt;/rec-number&gt;&lt;foreign-keys&gt;&lt;key app="EN" db-id="zx5vprwxa0rsabew9f9xp5fcs9tz0dzwa2fa" timestamp="1757790005"&gt;237&lt;/key&gt;&lt;/foreign-keys&gt;&lt;ref-type name="Journal Article"&gt;17&lt;/ref-type&gt;&lt;contributors&gt;&lt;authors&gt;&lt;author&gt;Zhang, Mingkui&lt;/author&gt;&lt;author&gt;Fang, Liping&lt;/author&gt;&lt;/authors&gt;&lt;/contributors&gt;&lt;titles&gt;&lt;title&gt;Tea plantation–induced activation of soil heavy metals&lt;/title&gt;&lt;secondary-title&gt;Communications in Soil Science and Plant Analysis&lt;/secondary-title&gt;&lt;/titles&gt;&lt;periodical&gt;&lt;full-title&gt;Communications in soil science and plant analysis&lt;/full-title&gt;&lt;/periodical&gt;&lt;pages&gt;1467-1478&lt;/pages&gt;&lt;volume&gt;38&lt;/volume&gt;&lt;number&gt;11-12&lt;/number&gt;&lt;dates&gt;&lt;year&gt;2007&lt;/year&gt;&lt;/dates&gt;&lt;isbn&gt;0010-3624&lt;/isbn&gt;&lt;urls&gt;&lt;/urls&gt;&lt;electronic-resource-num&gt;https://doi.org/10.1080/00103620701378417&lt;/electronic-resource-num&gt;&lt;/record&gt;&lt;/Cite&gt;&lt;/EndNote&gt;</w:instrText>
      </w:r>
      <w:r w:rsidR="003C3653" w:rsidRPr="00B84749">
        <w:rPr>
          <w:szCs w:val="24"/>
        </w:rPr>
        <w:fldChar w:fldCharType="separate"/>
      </w:r>
      <w:r w:rsidR="00EF448D">
        <w:rPr>
          <w:noProof/>
          <w:szCs w:val="24"/>
        </w:rPr>
        <w:t>(Zhang &amp; Fang, 2007)</w:t>
      </w:r>
      <w:r w:rsidR="003C3653" w:rsidRPr="00B84749">
        <w:rPr>
          <w:szCs w:val="24"/>
        </w:rPr>
        <w:fldChar w:fldCharType="end"/>
      </w:r>
      <w:r w:rsidRPr="00B84749">
        <w:rPr>
          <w:szCs w:val="24"/>
        </w:rPr>
        <w:t xml:space="preserve"> and enhance its leaching to lower soil profiles. High soil pH and high total organic matter content </w:t>
      </w:r>
      <w:proofErr w:type="spellStart"/>
      <w:r w:rsidRPr="00B84749">
        <w:rPr>
          <w:szCs w:val="24"/>
        </w:rPr>
        <w:t>favour</w:t>
      </w:r>
      <w:proofErr w:type="spellEnd"/>
      <w:r w:rsidRPr="00B84749">
        <w:rPr>
          <w:szCs w:val="24"/>
        </w:rPr>
        <w:t xml:space="preserve"> the retention of copper in soil, it limits the copper uptake by tea plants </w:t>
      </w:r>
      <w:r w:rsidR="003C3653" w:rsidRPr="00B84749">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3C3653" w:rsidRPr="00B84749">
        <w:rPr>
          <w:szCs w:val="24"/>
        </w:rPr>
        <w:fldChar w:fldCharType="separate"/>
      </w:r>
      <w:r w:rsidR="00630FE0">
        <w:rPr>
          <w:noProof/>
          <w:szCs w:val="24"/>
        </w:rPr>
        <w:t>(Nath, 2013)</w:t>
      </w:r>
      <w:r w:rsidR="003C3653" w:rsidRPr="00B84749">
        <w:rPr>
          <w:szCs w:val="24"/>
        </w:rPr>
        <w:fldChar w:fldCharType="end"/>
      </w:r>
      <w:r w:rsidRPr="00B84749">
        <w:rPr>
          <w:szCs w:val="24"/>
        </w:rPr>
        <w:t xml:space="preserve"> and may result in yield decline.</w:t>
      </w:r>
    </w:p>
    <w:p w14:paraId="0B3F7B1F" w14:textId="77777777" w:rsidR="00286BAA" w:rsidRPr="00490216" w:rsidRDefault="00286BAA" w:rsidP="00286BAA">
      <w:pPr>
        <w:spacing w:line="360" w:lineRule="auto"/>
        <w:rPr>
          <w:szCs w:val="24"/>
        </w:rPr>
      </w:pPr>
      <w:r>
        <w:rPr>
          <w:szCs w:val="24"/>
        </w:rPr>
        <w:t>Soil c</w:t>
      </w:r>
      <w:r w:rsidRPr="00490216">
        <w:rPr>
          <w:szCs w:val="24"/>
        </w:rPr>
        <w:t xml:space="preserve">opper levels </w:t>
      </w:r>
      <w:r>
        <w:rPr>
          <w:szCs w:val="24"/>
        </w:rPr>
        <w:t>varied</w:t>
      </w:r>
      <w:r w:rsidRPr="00490216">
        <w:rPr>
          <w:szCs w:val="24"/>
        </w:rPr>
        <w:t xml:space="preserve"> (p≤0.05) with location of production</w:t>
      </w:r>
      <w:r>
        <w:rPr>
          <w:szCs w:val="24"/>
        </w:rPr>
        <w:t xml:space="preserve"> </w:t>
      </w:r>
      <w:r w:rsidRPr="00490216">
        <w:rPr>
          <w:szCs w:val="24"/>
        </w:rPr>
        <w:t>(</w:t>
      </w:r>
      <w:r>
        <w:rPr>
          <w:szCs w:val="24"/>
        </w:rPr>
        <w:t>Figures 3b-3e</w:t>
      </w:r>
      <w:r w:rsidRPr="00490216">
        <w:rPr>
          <w:szCs w:val="24"/>
        </w:rPr>
        <w:t xml:space="preserve">). </w:t>
      </w:r>
      <w:r>
        <w:rPr>
          <w:szCs w:val="24"/>
        </w:rPr>
        <w:t>The</w:t>
      </w:r>
      <w:r w:rsidRPr="00490216">
        <w:rPr>
          <w:szCs w:val="24"/>
        </w:rPr>
        <w:t xml:space="preserve"> levels were higher at </w:t>
      </w:r>
      <w:proofErr w:type="spellStart"/>
      <w:r w:rsidRPr="00490216">
        <w:rPr>
          <w:szCs w:val="24"/>
        </w:rPr>
        <w:t>Katoke</w:t>
      </w:r>
      <w:proofErr w:type="spellEnd"/>
      <w:r w:rsidRPr="00490216">
        <w:rPr>
          <w:szCs w:val="24"/>
        </w:rPr>
        <w:t xml:space="preserve">, </w:t>
      </w:r>
      <w:proofErr w:type="spellStart"/>
      <w:r w:rsidRPr="00490216">
        <w:rPr>
          <w:szCs w:val="24"/>
        </w:rPr>
        <w:t>Changoi</w:t>
      </w:r>
      <w:proofErr w:type="spellEnd"/>
      <w:r w:rsidRPr="00490216">
        <w:rPr>
          <w:szCs w:val="24"/>
        </w:rPr>
        <w:t xml:space="preserve"> and </w:t>
      </w:r>
      <w:proofErr w:type="spellStart"/>
      <w:r w:rsidRPr="00490216">
        <w:rPr>
          <w:szCs w:val="24"/>
        </w:rPr>
        <w:t>Arroket</w:t>
      </w:r>
      <w:proofErr w:type="spellEnd"/>
      <w:r w:rsidRPr="00490216">
        <w:rPr>
          <w:szCs w:val="24"/>
        </w:rPr>
        <w:t xml:space="preserve"> </w:t>
      </w:r>
      <w:r>
        <w:rPr>
          <w:szCs w:val="24"/>
        </w:rPr>
        <w:t xml:space="preserve">than </w:t>
      </w:r>
      <w:proofErr w:type="spellStart"/>
      <w:r w:rsidRPr="00490216">
        <w:rPr>
          <w:szCs w:val="24"/>
        </w:rPr>
        <w:t>Maruku</w:t>
      </w:r>
      <w:proofErr w:type="spellEnd"/>
      <w:r>
        <w:rPr>
          <w:szCs w:val="24"/>
        </w:rPr>
        <w:t xml:space="preserve"> </w:t>
      </w:r>
      <w:r w:rsidRPr="00490216">
        <w:rPr>
          <w:szCs w:val="24"/>
        </w:rPr>
        <w:t>(p≤0.05). At all sites copper contents were above the sufficient limits (</w:t>
      </w:r>
      <w:r>
        <w:rPr>
          <w:szCs w:val="24"/>
        </w:rPr>
        <w:t>&gt;</w:t>
      </w:r>
      <w:r w:rsidRPr="00490216">
        <w:rPr>
          <w:szCs w:val="24"/>
        </w:rPr>
        <w:t xml:space="preserve">0.2 ppm) </w:t>
      </w:r>
      <w:r>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Pr>
          <w:szCs w:val="24"/>
        </w:rPr>
        <w:fldChar w:fldCharType="separate"/>
      </w:r>
      <w:r w:rsidR="00630FE0">
        <w:rPr>
          <w:noProof/>
          <w:szCs w:val="24"/>
        </w:rPr>
        <w:t>(Flynn, 2015)</w:t>
      </w:r>
      <w:r>
        <w:rPr>
          <w:szCs w:val="24"/>
        </w:rPr>
        <w:fldChar w:fldCharType="end"/>
      </w:r>
      <w:r w:rsidRPr="00490216">
        <w:rPr>
          <w:szCs w:val="24"/>
        </w:rPr>
        <w:t xml:space="preserve"> except at </w:t>
      </w:r>
      <w:proofErr w:type="spellStart"/>
      <w:r w:rsidRPr="00490216">
        <w:rPr>
          <w:szCs w:val="24"/>
        </w:rPr>
        <w:t>Maruku</w:t>
      </w:r>
      <w:proofErr w:type="spellEnd"/>
      <w:r w:rsidRPr="00490216">
        <w:rPr>
          <w:szCs w:val="24"/>
        </w:rPr>
        <w:t xml:space="preserve"> which had below the low limits but within the cri</w:t>
      </w:r>
      <w:r>
        <w:rPr>
          <w:szCs w:val="24"/>
        </w:rPr>
        <w:t>ti</w:t>
      </w:r>
      <w:r w:rsidRPr="00490216">
        <w:rPr>
          <w:szCs w:val="24"/>
        </w:rPr>
        <w:t>ca</w:t>
      </w:r>
      <w:r>
        <w:rPr>
          <w:szCs w:val="24"/>
        </w:rPr>
        <w:t>l</w:t>
      </w:r>
      <w:r w:rsidRPr="00490216">
        <w:rPr>
          <w:szCs w:val="24"/>
        </w:rPr>
        <w:t xml:space="preserve"> value </w:t>
      </w:r>
      <w:r>
        <w:rPr>
          <w:szCs w:val="24"/>
        </w:rPr>
        <w:t>(</w:t>
      </w:r>
      <w:r w:rsidRPr="00490216">
        <w:rPr>
          <w:szCs w:val="24"/>
        </w:rPr>
        <w:t>0.2 ppm</w:t>
      </w:r>
      <w:r>
        <w:rPr>
          <w:szCs w:val="24"/>
        </w:rPr>
        <w:t>)</w:t>
      </w:r>
      <w:r w:rsidRPr="00490216">
        <w:rPr>
          <w:szCs w:val="24"/>
        </w:rPr>
        <w:t>.</w:t>
      </w:r>
      <w:r>
        <w:rPr>
          <w:szCs w:val="24"/>
        </w:rPr>
        <w:t xml:space="preserve"> </w:t>
      </w:r>
      <w:r w:rsidRPr="00490216">
        <w:rPr>
          <w:szCs w:val="24"/>
        </w:rPr>
        <w:t xml:space="preserve">Similar variations with location in soil copper were observed in previous work </w:t>
      </w:r>
      <w:r>
        <w:rPr>
          <w:szCs w:val="24"/>
        </w:rPr>
        <w:fldChar w:fldCharType="begin">
          <w:fldData xml:space="preserve">PEVuZE5vdGU+PENpdGU+PEF1dGhvcj5BZGlsb8SfbHU8L0F1dGhvcj48WWVhcj4yMDA2PC9ZZWFy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</w:fldData>
        </w:fldChar>
      </w:r>
      <w:r w:rsidR="00EF448D">
        <w:rPr>
          <w:szCs w:val="24"/>
        </w:rPr>
        <w:instrText xml:space="preserve"> ADDIN EN.CITE </w:instrText>
      </w:r>
      <w:r w:rsidR="00EF448D">
        <w:rPr>
          <w:szCs w:val="24"/>
        </w:rPr>
        <w:fldChar w:fldCharType="begin">
          <w:fldData xml:space="preserve">PEVuZE5vdGU+PENpdGU+PEF1dGhvcj5BZGlsb8SfbHU8L0F1dGhvcj48WWVhcj4yMDA2PC9ZZWFy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(Adiloğlu &amp; Adiloğlu, 2006; Nath, 2013)</w:t>
      </w:r>
      <w:r>
        <w:rPr>
          <w:szCs w:val="24"/>
        </w:rPr>
        <w:fldChar w:fldCharType="end"/>
      </w:r>
      <w:r w:rsidRPr="00490216">
        <w:rPr>
          <w:szCs w:val="24"/>
        </w:rPr>
        <w:t xml:space="preserve">, </w:t>
      </w:r>
      <w:r>
        <w:rPr>
          <w:szCs w:val="24"/>
        </w:rPr>
        <w:t xml:space="preserve">and </w:t>
      </w:r>
      <w:r w:rsidRPr="00490216">
        <w:rPr>
          <w:szCs w:val="24"/>
        </w:rPr>
        <w:t xml:space="preserve">leaf copper levels </w:t>
      </w:r>
      <w:r>
        <w:rPr>
          <w:szCs w:val="24"/>
        </w:rPr>
        <w:fldChar w:fldCharType="begin">
          <w:fldData xml:space="preserve">PEVuZE5vdGU+PENpdGU+PEF1dGhvcj5BZGlsb8SfbHU8L0F1dGhvcj48WWVhcj4yMDA2PC9ZZWFy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</w:fldData>
        </w:fldChar>
      </w:r>
      <w:r w:rsidR="00EF448D">
        <w:rPr>
          <w:szCs w:val="24"/>
        </w:rPr>
        <w:instrText xml:space="preserve"> ADDIN EN.CITE </w:instrText>
      </w:r>
      <w:r w:rsidR="00EF448D">
        <w:rPr>
          <w:szCs w:val="24"/>
        </w:rPr>
        <w:fldChar w:fldCharType="begin">
          <w:fldData xml:space="preserve">PEVuZE5vdGU+PENpdGU+PEF1dGhvcj5BZGlsb8SfbHU8L0F1dGhvcj48WWVhcj4yMDA2PC9ZZWFy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(Adiloğlu &amp; Adiloğlu, 2006; Kwach et al., 2014; Nath, 2013)</w:t>
      </w:r>
      <w:r>
        <w:rPr>
          <w:szCs w:val="24"/>
        </w:rPr>
        <w:fldChar w:fldCharType="end"/>
      </w:r>
      <w:r>
        <w:rPr>
          <w:szCs w:val="24"/>
        </w:rPr>
        <w:t>.</w:t>
      </w:r>
      <w:r w:rsidRPr="00490216">
        <w:rPr>
          <w:szCs w:val="24"/>
        </w:rPr>
        <w:t xml:space="preserve"> </w:t>
      </w:r>
      <w:r>
        <w:rPr>
          <w:szCs w:val="24"/>
        </w:rPr>
        <w:t>These results demonstrate that in the eastern African tea growing areas, copper in not a limiting micronutrient.</w:t>
      </w:r>
    </w:p>
    <w:p w14:paraId="1D631E12" w14:textId="77777777" w:rsidR="00286BAA" w:rsidRPr="00490216" w:rsidRDefault="00286BAA" w:rsidP="00286BAA">
      <w:pPr>
        <w:spacing w:line="360" w:lineRule="auto"/>
        <w:rPr>
          <w:szCs w:val="24"/>
        </w:rPr>
      </w:pPr>
      <w:r>
        <w:rPr>
          <w:szCs w:val="24"/>
        </w:rPr>
        <w:t>The soil c</w:t>
      </w:r>
      <w:r w:rsidRPr="00490216">
        <w:rPr>
          <w:szCs w:val="24"/>
        </w:rPr>
        <w:t xml:space="preserve">opper </w:t>
      </w:r>
      <w:r>
        <w:rPr>
          <w:szCs w:val="24"/>
        </w:rPr>
        <w:t>levels</w:t>
      </w:r>
      <w:r w:rsidRPr="00490216">
        <w:rPr>
          <w:szCs w:val="24"/>
        </w:rPr>
        <w:t xml:space="preserve"> increased (p≤0.05) with rise in nitrogenous fertili</w:t>
      </w:r>
      <w:r>
        <w:rPr>
          <w:szCs w:val="24"/>
        </w:rPr>
        <w:t>z</w:t>
      </w:r>
      <w:r w:rsidRPr="00490216">
        <w:rPr>
          <w:szCs w:val="24"/>
        </w:rPr>
        <w:t>er</w:t>
      </w:r>
      <w:r>
        <w:rPr>
          <w:szCs w:val="24"/>
        </w:rPr>
        <w:t>s</w:t>
      </w:r>
      <w:r w:rsidRPr="00490216">
        <w:rPr>
          <w:szCs w:val="24"/>
        </w:rPr>
        <w:t xml:space="preserve"> rates at all sites</w:t>
      </w:r>
      <w:r>
        <w:rPr>
          <w:szCs w:val="24"/>
        </w:rPr>
        <w:t>, as</w:t>
      </w:r>
      <w:r w:rsidRPr="00490216">
        <w:rPr>
          <w:szCs w:val="24"/>
        </w:rPr>
        <w:t xml:space="preserve"> had </w:t>
      </w:r>
      <w:r>
        <w:rPr>
          <w:szCs w:val="24"/>
        </w:rPr>
        <w:t xml:space="preserve">also </w:t>
      </w:r>
      <w:r w:rsidRPr="00490216">
        <w:rPr>
          <w:szCs w:val="24"/>
        </w:rPr>
        <w:t xml:space="preserve">been observed in earlier studies in </w:t>
      </w:r>
      <w:r>
        <w:rPr>
          <w:szCs w:val="24"/>
        </w:rPr>
        <w:t xml:space="preserve">the </w:t>
      </w:r>
      <w:r w:rsidRPr="00490216">
        <w:rPr>
          <w:szCs w:val="24"/>
        </w:rPr>
        <w:t xml:space="preserve">soil </w:t>
      </w:r>
      <w:r>
        <w:rPr>
          <w:szCs w:val="24"/>
        </w:rPr>
        <w:fldChar w:fldCharType="begin"/>
      </w:r>
      <w:r w:rsidR="00EF448D">
        <w:rPr>
          <w:szCs w:val="24"/>
        </w:rPr>
        <w:instrText xml:space="preserve"> ADDIN EN.CITE &lt;EndNote&gt;&lt;Cite&gt;&lt;Author&gt;Pitigala&lt;/Author&gt;&lt;Year&gt;2013&lt;/Year&gt;&lt;RecNum&gt;184&lt;/RecNum&gt;&lt;DisplayText&gt;(Pitigala et al., 2013)&lt;/DisplayText&gt;&lt;record&gt;&lt;rec-number&gt;184&lt;/rec-number&gt;&lt;foreign-keys&gt;&lt;key app="EN" db-id="zx5vprwxa0rsabew9f9xp5fcs9tz0dzwa2fa" timestamp="1757263713"&gt;184&lt;/key&gt;&lt;/foreign-keys&gt;&lt;ref-type name="Conference Proceedings"&gt;10&lt;/ref-type&gt;&lt;contributors&gt;&lt;authors&gt;&lt;author&gt;Pitigala, P. K. D. S. D.&lt;/author&gt;&lt;author&gt;Gunarathne, G. P.&lt;/author&gt;&lt;author&gt;Abeysinghe, D. C.&lt;/author&gt;&lt;author&gt;Fernandopulle, M. N. D.&lt;/author&gt;&lt;/authors&gt;&lt;/contributors&gt;&lt;titles&gt;&lt;title&gt;&lt;style face="normal" font="default" size="100%"&gt;Effects of different application rates of nitrogen and potassium on soil and plant micronutrients status of tea &lt;/style&gt;&lt;style face="italic" font="default" size="100%"&gt;Carmellia sinensis&lt;/style&gt;&lt;/title&gt;&lt;secondary-title&gt;Proceedings of 12th Agricultural Research Symposium&lt;/secondary-title&gt;&lt;/titles&gt;&lt;pages&gt;199-203&lt;/pages&gt;&lt;dates&gt;&lt;year&gt;2013&lt;/year&gt;&lt;/dates&gt;&lt;urls&gt;&lt;/urls&gt;&lt;/record&gt;&lt;/Cite&gt;&lt;/EndNote&gt;</w:instrText>
      </w:r>
      <w:r>
        <w:rPr>
          <w:szCs w:val="24"/>
        </w:rPr>
        <w:fldChar w:fldCharType="separate"/>
      </w:r>
      <w:r w:rsidR="00EF448D">
        <w:rPr>
          <w:noProof/>
          <w:szCs w:val="24"/>
        </w:rPr>
        <w:t>(Pitigala et al., 2013)</w:t>
      </w:r>
      <w:r>
        <w:rPr>
          <w:szCs w:val="24"/>
        </w:rPr>
        <w:fldChar w:fldCharType="end"/>
      </w:r>
      <w:r w:rsidRPr="00490216">
        <w:rPr>
          <w:szCs w:val="24"/>
        </w:rPr>
        <w:t xml:space="preserve"> and mature leaf </w:t>
      </w:r>
      <w:r>
        <w:rPr>
          <w:szCs w:val="24"/>
        </w:rPr>
        <w:fldChar w:fldCharType="begin">
          <w:fldData xml:space="preserve">PEVuZE5vdGU+PENpdGU+PEF1dGhvcj5Ld2FjaDwvQXV0aG9yPjxZZWFyPjIwMTQ8L1llYXI+PFJl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</w:fldData>
        </w:fldChar>
      </w:r>
      <w:r w:rsidR="00EF448D">
        <w:rPr>
          <w:szCs w:val="24"/>
        </w:rPr>
        <w:instrText xml:space="preserve"> ADDIN EN.CITE </w:instrText>
      </w:r>
      <w:r w:rsidR="00EF448D">
        <w:rPr>
          <w:szCs w:val="24"/>
        </w:rPr>
        <w:fldChar w:fldCharType="begin">
          <w:fldData xml:space="preserve">PEVuZE5vdGU+PENpdGU+PEF1dGhvcj5Ld2FjaDwvQXV0aG9yPjxZZWFyPjIwMTQ8L1llYXI+PFJl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(Kwach et al., 2014; Pitigala et al., 2013)</w:t>
      </w:r>
      <w:r>
        <w:rPr>
          <w:szCs w:val="24"/>
        </w:rPr>
        <w:fldChar w:fldCharType="end"/>
      </w:r>
      <w:r w:rsidRPr="00490216">
        <w:rPr>
          <w:szCs w:val="24"/>
        </w:rPr>
        <w:t>.  The increase in soil copper levels with nitrogen fertilizer in the current study can be explained by soil acidity observed in the regions</w:t>
      </w:r>
      <w:r>
        <w:rPr>
          <w:szCs w:val="24"/>
        </w:rPr>
        <w:t xml:space="preserve"> </w:t>
      </w:r>
      <w:r>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EF448D">
        <w:rPr>
          <w:noProof/>
          <w:szCs w:val="24"/>
        </w:rPr>
        <w:t>(Ombori et al., 2020)</w:t>
      </w:r>
      <w:r>
        <w:rPr>
          <w:szCs w:val="24"/>
        </w:rPr>
        <w:fldChar w:fldCharType="end"/>
      </w:r>
      <w:r w:rsidRPr="00490216">
        <w:rPr>
          <w:szCs w:val="24"/>
        </w:rPr>
        <w:t xml:space="preserve">. The reduced pH solubilize copper </w:t>
      </w:r>
      <w:r>
        <w:rPr>
          <w:szCs w:val="24"/>
        </w:rPr>
        <w:fldChar w:fldCharType="begin"/>
      </w:r>
      <w:r w:rsidR="00EF448D">
        <w:rPr>
          <w:szCs w:val="24"/>
        </w:rPr>
        <w:instrText xml:space="preserve"> ADDIN EN.CITE &lt;EndNote&gt;&lt;Cite&gt;&lt;Author&gt;Zhang&lt;/Author&gt;&lt;Year&gt;2007&lt;/Year&gt;&lt;RecNum&gt;237&lt;/RecNum&gt;&lt;DisplayText&gt;(Zhang &amp;amp; Fang, 2007)&lt;/DisplayText&gt;&lt;record&gt;&lt;rec-number&gt;237&lt;/rec-number&gt;&lt;foreign-keys&gt;&lt;key app="EN" db-id="zx5vprwxa0rsabew9f9xp5fcs9tz0dzwa2fa" timestamp="1757790005"&gt;237&lt;/key&gt;&lt;/foreign-keys&gt;&lt;ref-type name="Journal Article"&gt;17&lt;/ref-type&gt;&lt;contributors&gt;&lt;authors&gt;&lt;author&gt;Zhang, Mingkui&lt;/author&gt;&lt;author&gt;Fang, Liping&lt;/author&gt;&lt;/authors&gt;&lt;/contributors&gt;&lt;titles&gt;&lt;title&gt;Tea plantation–induced activation of soil heavy metals&lt;/title&gt;&lt;secondary-title&gt;Communications in Soil Science and Plant Analysis&lt;/secondary-title&gt;&lt;/titles&gt;&lt;periodical&gt;&lt;full-title&gt;Communications in soil science and plant analysis&lt;/full-title&gt;&lt;/periodical&gt;&lt;pages&gt;1467-1478&lt;/pages&gt;&lt;volume&gt;38&lt;/volume&gt;&lt;number&gt;11-12&lt;/number&gt;&lt;dates&gt;&lt;year&gt;2007&lt;/year&gt;&lt;/dates&gt;&lt;isbn&gt;0010-3624&lt;/isbn&gt;&lt;urls&gt;&lt;/urls&gt;&lt;electronic-resource-num&gt;https://doi.org/10.1080/00103620701378417&lt;/electronic-resource-num&gt;&lt;/record&gt;&lt;/Cite&gt;&lt;/EndNote&gt;</w:instrText>
      </w:r>
      <w:r>
        <w:rPr>
          <w:szCs w:val="24"/>
        </w:rPr>
        <w:fldChar w:fldCharType="separate"/>
      </w:r>
      <w:r w:rsidR="00EF448D">
        <w:rPr>
          <w:noProof/>
          <w:szCs w:val="24"/>
        </w:rPr>
        <w:t>(Zhang &amp; Fang, 2007)</w:t>
      </w:r>
      <w:r>
        <w:rPr>
          <w:szCs w:val="24"/>
        </w:rPr>
        <w:fldChar w:fldCharType="end"/>
      </w:r>
      <w:r w:rsidRPr="00490216">
        <w:rPr>
          <w:szCs w:val="24"/>
        </w:rPr>
        <w:t xml:space="preserve"> increasing its concentrations and improve the nutrient uptake by tea </w:t>
      </w:r>
      <w:r>
        <w:rPr>
          <w:szCs w:val="24"/>
        </w:rPr>
        <w:fldChar w:fldCharType="begin">
          <w:fldData xml:space="preserve">PEVuZE5vdGU+PENpdGU+PEF1dGhvcj5Ld2FjaDwvQXV0aG9yPjxZZWFyPjIwMTQ8L1llYXI+PFJl
Y051bT4yMjwvUmVjTnVtPjxEaXNwbGF5VGV4dD4oQ2hvbmcgZXQgYWwuLCAyMDA4OyBLd2FjaCBl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IEMuPC9hdXRob3I+PGF1dGhvcj5Pd3VvciwgIFAuIE8uPC9hdXRob3I+PC9hdXRob3JzPjwvY29u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</w:fldData>
        </w:fldChar>
      </w:r>
      <w:r w:rsidR="00EF448D">
        <w:rPr>
          <w:szCs w:val="24"/>
        </w:rPr>
        <w:instrText xml:space="preserve"> ADDIN EN.CITE </w:instrText>
      </w:r>
      <w:r w:rsidR="00EF448D">
        <w:rPr>
          <w:szCs w:val="24"/>
        </w:rPr>
        <w:fldChar w:fldCharType="begin">
          <w:fldData xml:space="preserve">PEVuZE5vdGU+PENpdGU+PEF1dGhvcj5Ld2FjaDwvQXV0aG9yPjxZZWFyPjIwMTQ8L1llYXI+PFJl
Y051bT4yMjwvUmVjTnVtPjxEaXNwbGF5VGV4dD4oQ2hvbmcgZXQgYWwuLCAyMDA4OyBLd2FjaCBl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IEMuPC9hdXRob3I+PGF1dGhvcj5Pd3VvciwgIFAuIE8uPC9hdXRob3I+PC9hdXRob3JzPjwvY29u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(Chong et al., 2008; Kwach et al., 2014)</w:t>
      </w:r>
      <w:r>
        <w:rPr>
          <w:szCs w:val="24"/>
        </w:rPr>
        <w:fldChar w:fldCharType="end"/>
      </w:r>
      <w:r w:rsidRPr="00490216">
        <w:rPr>
          <w:szCs w:val="24"/>
        </w:rPr>
        <w:t>. Increased nitrogen fertilizer rates raise soil acidity which helps solubilize copper from its insoluble hydroxides, making the nutrient available in the soils. Therefore, copper levels can be improved in tea soils by judiciously using nitrogen fertilizers.</w:t>
      </w:r>
    </w:p>
    <w:p w14:paraId="7E8548CA" w14:textId="77777777" w:rsidR="00286BAA" w:rsidRDefault="00286BAA" w:rsidP="00286BAA">
      <w:pPr>
        <w:spacing w:line="360" w:lineRule="auto"/>
      </w:pPr>
    </w:p>
    <w:p w14:paraId="5A466CAF" w14:textId="77777777" w:rsidR="00286BAA" w:rsidRPr="00762DCA" w:rsidRDefault="00286BAA" w:rsidP="00286BAA">
      <w:pPr>
        <w:keepNext/>
        <w:spacing w:line="360" w:lineRule="auto"/>
        <w:outlineLvl w:val="1"/>
        <w:rPr>
          <w:rFonts w:eastAsia="Times New Roman"/>
          <w:b/>
          <w:bCs/>
          <w:iCs/>
          <w:szCs w:val="24"/>
        </w:rPr>
      </w:pPr>
      <w:r w:rsidRPr="00762DCA">
        <w:rPr>
          <w:rFonts w:eastAsia="Times New Roman"/>
          <w:b/>
          <w:bCs/>
          <w:iCs/>
          <w:szCs w:val="24"/>
        </w:rPr>
        <w:t>Soil Zinc Levels</w:t>
      </w:r>
    </w:p>
    <w:p w14:paraId="5AC466CA" w14:textId="77777777" w:rsidR="00286BAA" w:rsidRDefault="00286BAA" w:rsidP="00286BAA">
      <w:pPr>
        <w:autoSpaceDE w:val="0"/>
        <w:autoSpaceDN w:val="0"/>
        <w:adjustRightInd w:val="0"/>
        <w:spacing w:line="360" w:lineRule="auto"/>
        <w:rPr>
          <w:color w:val="000000"/>
          <w:szCs w:val="24"/>
        </w:rPr>
      </w:pPr>
      <w:r w:rsidRPr="00762DCA">
        <w:rPr>
          <w:szCs w:val="24"/>
        </w:rPr>
        <w:t xml:space="preserve">The changes in zinc levels due to nitrogenous fertilizer rates and locations of production are present in </w:t>
      </w:r>
      <w:r>
        <w:rPr>
          <w:szCs w:val="24"/>
        </w:rPr>
        <w:t xml:space="preserve">Figures 4(a-e). </w:t>
      </w:r>
      <w:r w:rsidRPr="00762DCA">
        <w:rPr>
          <w:szCs w:val="24"/>
        </w:rPr>
        <w:t xml:space="preserve">The critical soil zinc levels are classified as ≤ 0.7 ppm- low, ≤ 2.4 ppm- sufficient and &gt; 8.0 ppm –very high </w:t>
      </w:r>
      <w:r w:rsidRPr="00762DCA">
        <w:rPr>
          <w:szCs w:val="24"/>
        </w:rPr>
        <w:fldChar w:fldCharType="begin"/>
      </w:r>
      <w:r w:rsidR="00EF448D">
        <w:rPr>
          <w:szCs w:val="24"/>
        </w:rPr>
        <w:instrText xml:space="preserve"> ADDIN EN.CITE &lt;EndNote&gt;&lt;Cite&gt;&lt;Author&gt;Özyazıcı&lt;/Author&gt;&lt;Year&gt;2011&lt;/Year&gt;&lt;RecNum&gt;42&lt;/RecNum&gt;&lt;DisplayText&gt;(Özyazıcı et al., 2011)&lt;/DisplayText&gt;&lt;record&gt;&lt;rec-number&gt;42&lt;/rec-number&gt;&lt;foreign-keys&gt;&lt;key app="EN" db-id="zx5vprwxa0rsabew9f9xp5fcs9tz0dzwa2fa" timestamp="1573334410"&gt;42&lt;/key&gt;&lt;/foreign-keys&gt;&lt;ref-type name="Journal Article"&gt;17&lt;/ref-type&gt;&lt;contributors&gt;&lt;authors&gt;&lt;author&gt;&lt;style face="normal" font="default" size="100%"&gt;Özyaz&lt;/style&gt;&lt;style face="normal" font="default" charset="238" size="100%"&gt;ıcı, Mehmet Arif&lt;/style&gt;&lt;/author&gt;&lt;author&gt;&lt;style face="normal" font="default" size="100%"&gt;Özyaz&lt;/style&gt;&lt;style face="normal" font="default" charset="238" size="100%"&gt;ıcı, G&lt;/style&gt;&lt;style face="normal" font="default" size="100%"&gt;ülen&lt;/style&gt;&lt;/author&gt;&lt;author&gt;Dengiz, Orhan&lt;/author&gt;&lt;/authors&gt;&lt;/contributors&gt;&lt;titles&gt;&lt;title&gt;Determination of micronutrients in tea plantations in the eastern Black Sea Region, Turkey&lt;/title&gt;&lt;secondary-title&gt;African Journal of Agricultural Research&lt;/secondary-title&gt;&lt;/titles&gt;&lt;periodical&gt;&lt;full-title&gt;African Journal of Agricultural Research&lt;/full-title&gt;&lt;/periodical&gt;&lt;pages&gt;5174-5180&lt;/pages&gt;&lt;volume&gt;6&lt;/volume&gt;&lt;number&gt;22&lt;/number&gt;&lt;dates&gt;&lt;year&gt;2011&lt;/year&gt;&lt;/dates&gt;&lt;isbn&gt;1991-637X&lt;/isbn&gt;&lt;urls&gt;&lt;/urls&gt;&lt;electronic-resource-num&gt;10.5897/AJAR11.1246&lt;/electronic-resource-num&gt;&lt;/record&gt;&lt;/Cite&gt;&lt;/EndNote&gt;</w:instrText>
      </w:r>
      <w:r w:rsidRPr="00762DCA">
        <w:rPr>
          <w:szCs w:val="24"/>
        </w:rPr>
        <w:fldChar w:fldCharType="separate"/>
      </w:r>
      <w:r w:rsidR="00EF448D">
        <w:rPr>
          <w:noProof/>
          <w:szCs w:val="24"/>
        </w:rPr>
        <w:t>(Özyazıcı et al., 2011)</w:t>
      </w:r>
      <w:r w:rsidRPr="00762DCA">
        <w:rPr>
          <w:szCs w:val="24"/>
        </w:rPr>
        <w:fldChar w:fldCharType="end"/>
      </w:r>
      <w:r w:rsidRPr="00762DCA">
        <w:rPr>
          <w:szCs w:val="24"/>
        </w:rPr>
        <w:t xml:space="preserve">. The levels ranged between low and sufficient with exceptions of </w:t>
      </w:r>
      <w:proofErr w:type="spellStart"/>
      <w:r w:rsidRPr="00762DCA">
        <w:rPr>
          <w:szCs w:val="24"/>
        </w:rPr>
        <w:t>Arroket</w:t>
      </w:r>
      <w:proofErr w:type="spellEnd"/>
      <w:r w:rsidRPr="00762DCA">
        <w:rPr>
          <w:szCs w:val="24"/>
        </w:rPr>
        <w:t xml:space="preserve"> and </w:t>
      </w:r>
      <w:proofErr w:type="spellStart"/>
      <w:r w:rsidRPr="00762DCA">
        <w:rPr>
          <w:szCs w:val="24"/>
        </w:rPr>
        <w:t>Mulindi</w:t>
      </w:r>
      <w:proofErr w:type="spellEnd"/>
      <w:r w:rsidRPr="00762DCA">
        <w:rPr>
          <w:szCs w:val="24"/>
        </w:rPr>
        <w:t xml:space="preserve"> which recorded very high levels at some depths</w:t>
      </w:r>
      <w:r>
        <w:rPr>
          <w:szCs w:val="24"/>
        </w:rPr>
        <w:t xml:space="preserve"> (Figure 3a)</w:t>
      </w:r>
      <w:r w:rsidRPr="00762DCA">
        <w:rPr>
          <w:szCs w:val="24"/>
        </w:rPr>
        <w:t xml:space="preserve">. Generally, the soil zinc levels declined down the soil profiles except at </w:t>
      </w:r>
      <w:proofErr w:type="spellStart"/>
      <w:r w:rsidRPr="00762DCA">
        <w:rPr>
          <w:szCs w:val="24"/>
        </w:rPr>
        <w:t>Mulindi</w:t>
      </w:r>
      <w:proofErr w:type="spellEnd"/>
      <w:r w:rsidRPr="00762DCA">
        <w:rPr>
          <w:szCs w:val="24"/>
        </w:rPr>
        <w:t xml:space="preserve"> and </w:t>
      </w:r>
      <w:proofErr w:type="spellStart"/>
      <w:r w:rsidRPr="00762DCA">
        <w:rPr>
          <w:szCs w:val="24"/>
        </w:rPr>
        <w:t>Katoke</w:t>
      </w:r>
      <w:proofErr w:type="spellEnd"/>
      <w:r w:rsidRPr="00762DCA">
        <w:rPr>
          <w:color w:val="000000"/>
          <w:szCs w:val="24"/>
        </w:rPr>
        <w:t>.</w:t>
      </w:r>
      <w:r w:rsidRPr="00762DCA">
        <w:rPr>
          <w:szCs w:val="24"/>
        </w:rPr>
        <w:t xml:space="preserve"> The high organic carbon contents in the upper soil profiles and low soil pH </w:t>
      </w:r>
      <w:r w:rsidRPr="00762DCA">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762DCA">
        <w:rPr>
          <w:szCs w:val="24"/>
        </w:rPr>
        <w:fldChar w:fldCharType="separate"/>
      </w:r>
      <w:r w:rsidR="00EF448D">
        <w:rPr>
          <w:noProof/>
          <w:szCs w:val="24"/>
        </w:rPr>
        <w:t>(Ombori et al., 2020)</w:t>
      </w:r>
      <w:r w:rsidRPr="00762DCA">
        <w:rPr>
          <w:szCs w:val="24"/>
        </w:rPr>
        <w:fldChar w:fldCharType="end"/>
      </w:r>
      <w:r w:rsidRPr="00762DCA">
        <w:rPr>
          <w:szCs w:val="24"/>
        </w:rPr>
        <w:t xml:space="preserve">, possibly improved availability of zinc in the </w:t>
      </w:r>
      <w:r w:rsidRPr="00762DCA">
        <w:rPr>
          <w:szCs w:val="24"/>
        </w:rPr>
        <w:lastRenderedPageBreak/>
        <w:t xml:space="preserve">soils </w:t>
      </w:r>
      <w:r w:rsidRPr="00762DCA">
        <w:rPr>
          <w:szCs w:val="24"/>
        </w:rPr>
        <w:fldChar w:fldCharType="begin"/>
      </w:r>
      <w:r w:rsidR="00EF448D">
        <w:rPr>
          <w:szCs w:val="24"/>
        </w:rPr>
        <w:instrText xml:space="preserve"> ADDIN EN.CITE &lt;EndNote&gt;&lt;Cite&gt;&lt;Author&gt;Nath&lt;/Author&gt;&lt;Year&gt;2013&lt;/Year&gt;&lt;RecNum&gt;28&lt;/RecNum&gt;&lt;DisplayText&gt;(Nath, 2013; Zhang et al., 2006)&lt;/DisplayText&gt;&lt;record&gt;&lt;rec-number&gt;28&lt;/rec-number&gt;&lt;foreign-keys&gt;&lt;key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Cite&gt;&lt;Author&gt;Zhang&lt;/Author&gt;&lt;Year&gt;2006&lt;/Year&gt;&lt;RecNum&gt;180&lt;/RecNum&gt;&lt;record&gt;&lt;rec-number&gt;180&lt;/rec-number&gt;&lt;foreign-keys&gt;&lt;key app="EN" db-id="zx5vprwxa0rsabew9f9xp5fcs9tz0dzwa2fa" timestamp="1757262291"&gt;180&lt;/key&gt;&lt;/foreign-keys&gt;&lt;ref-type name="Journal Article"&gt;17&lt;/ref-type&gt;&lt;contributors&gt;&lt;authors&gt;&lt;author&gt;Zhang, Mingkui&lt;/author&gt;&lt;author&gt;Zhou, Cui&lt;/author&gt;&lt;author&gt;Huang, Changyong&lt;/author&gt;&lt;/authors&gt;&lt;/contributors&gt;&lt;titles&gt;&lt;title&gt;Relationship between extractable metals in acid soils and metals taken up by tea plants&lt;/title&gt;&lt;secondary-title&gt;Communications in Soil Science and Plant Aalysis&lt;/secondary-title&gt;&lt;/titles&gt;&lt;periodical&gt;&lt;full-title&gt;Communications in Soil Science and Plant Aalysis&lt;/full-title&gt;&lt;/periodical&gt;&lt;pages&gt;347-361&lt;/pages&gt;&lt;volume&gt;37&lt;/volume&gt;&lt;number&gt;3-4&lt;/number&gt;&lt;dates&gt;&lt;year&gt;2006&lt;/year&gt;&lt;/dates&gt;&lt;isbn&gt;0010-3624&lt;/isbn&gt;&lt;urls&gt;&lt;/urls&gt;&lt;electronic-resource-num&gt;https://doi.org/10.1080/00103620500440095&lt;/electronic-resource-num&gt;&lt;/record&gt;&lt;/Cite&gt;&lt;/EndNote&gt;</w:instrText>
      </w:r>
      <w:r w:rsidRPr="00762DCA">
        <w:rPr>
          <w:szCs w:val="24"/>
        </w:rPr>
        <w:fldChar w:fldCharType="separate"/>
      </w:r>
      <w:r w:rsidR="00EF448D">
        <w:rPr>
          <w:noProof/>
          <w:szCs w:val="24"/>
        </w:rPr>
        <w:t>(Nath, 2013; Zhang et al., 2006)</w:t>
      </w:r>
      <w:r w:rsidRPr="00762DCA">
        <w:rPr>
          <w:szCs w:val="24"/>
        </w:rPr>
        <w:fldChar w:fldCharType="end"/>
      </w:r>
      <w:r w:rsidRPr="00762DCA">
        <w:rPr>
          <w:color w:val="000000"/>
          <w:szCs w:val="24"/>
        </w:rPr>
        <w:t xml:space="preserve">. This is as a result of a </w:t>
      </w:r>
      <w:r w:rsidRPr="00762DCA">
        <w:rPr>
          <w:szCs w:val="24"/>
        </w:rPr>
        <w:t xml:space="preserve">complexation reaction which occurs between zinc and organic carbon resulting in the retention of the metal in the soil. </w:t>
      </w:r>
      <w:r w:rsidRPr="00762DCA">
        <w:rPr>
          <w:color w:val="000000"/>
          <w:szCs w:val="24"/>
        </w:rPr>
        <w:t xml:space="preserve">In a study on the status of micronutrients in tea plantations, organic carbon of the soil </w:t>
      </w:r>
      <w:r w:rsidRPr="00975D1B">
        <w:rPr>
          <w:strike/>
          <w:color w:val="000000"/>
          <w:szCs w:val="24"/>
        </w:rPr>
        <w:t>was</w:t>
      </w:r>
      <w:r w:rsidRPr="00762DCA">
        <w:rPr>
          <w:color w:val="000000"/>
          <w:szCs w:val="24"/>
        </w:rPr>
        <w:t xml:space="preserve"> positively correlated with zinc levels </w:t>
      </w:r>
      <w:r w:rsidRPr="00762DCA">
        <w:rPr>
          <w:color w:val="000000"/>
          <w:szCs w:val="24"/>
        </w:rPr>
        <w:fldChar w:fldCharType="begin"/>
      </w:r>
      <w:r w:rsidR="00630FE0">
        <w:rPr>
          <w:color w:val="000000"/>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Pr="00762DCA">
        <w:rPr>
          <w:color w:val="000000"/>
          <w:szCs w:val="24"/>
        </w:rPr>
        <w:fldChar w:fldCharType="separate"/>
      </w:r>
      <w:r w:rsidR="00630FE0">
        <w:rPr>
          <w:noProof/>
          <w:color w:val="000000"/>
          <w:szCs w:val="24"/>
        </w:rPr>
        <w:t>(Nath, 2013)</w:t>
      </w:r>
      <w:r w:rsidRPr="00762DCA">
        <w:rPr>
          <w:color w:val="000000"/>
          <w:szCs w:val="24"/>
        </w:rPr>
        <w:fldChar w:fldCharType="end"/>
      </w:r>
      <w:r w:rsidRPr="00762DCA">
        <w:rPr>
          <w:color w:val="000000"/>
          <w:szCs w:val="24"/>
        </w:rPr>
        <w:t xml:space="preserve">. Generally, increased soil zinc levels improved yield and quality of tea </w:t>
      </w:r>
      <w:r w:rsidRPr="00762DCA">
        <w:rPr>
          <w:color w:val="000000"/>
          <w:szCs w:val="24"/>
        </w:rPr>
        <w:fldChar w:fldCharType="begin"/>
      </w:r>
      <w:r w:rsidR="00EF448D">
        <w:rPr>
          <w:color w:val="000000"/>
          <w:szCs w:val="24"/>
        </w:rPr>
        <w:instrText xml:space="preserve"> ADDIN EN.CITE &lt;EndNote&gt;&lt;Cite&gt;&lt;Author&gt;Sedaghathoor&lt;/Author&gt;&lt;Year&gt;2009&lt;/Year&gt;&lt;RecNum&gt;181&lt;/RecNum&gt;&lt;DisplayText&gt;(Sedaghathoor et al., 2009)&lt;/DisplayText&gt;&lt;record&gt;&lt;rec-number&gt;181&lt;/rec-number&gt;&lt;foreign-keys&gt;&lt;key app="EN" db-id="zx5vprwxa0rsabew9f9xp5fcs9tz0dzwa2fa" timestamp="1757262602"&gt;181&lt;/key&gt;&lt;/foreign-keys&gt;&lt;ref-type name="Journal Article"&gt;17&lt;/ref-type&gt;&lt;contributors&gt;&lt;authors&gt;&lt;author&gt;Sedaghathoor, Shahram&lt;/author&gt;&lt;author&gt;Torkashvand, Ali Mohammadi&lt;/author&gt;&lt;author&gt;Hashemabadi, Davood&lt;/author&gt;&lt;author&gt;Kaviani, Behzad&lt;/author&gt;&lt;/authors&gt;&lt;/contributors&gt;&lt;titles&gt;&lt;title&gt;Yield and quality response of tea plant to fertilizers&lt;/title&gt;&lt;secondary-title&gt;African Journal of Agricultural Research&lt;/secondary-title&gt;&lt;/titles&gt;&lt;periodical&gt;&lt;full-title&gt;African Journal of Agricultural Research&lt;/full-title&gt;&lt;/periodical&gt;&lt;pages&gt;568-570&lt;/pages&gt;&lt;volume&gt;4&lt;/volume&gt;&lt;number&gt;6&lt;/number&gt;&lt;dates&gt;&lt;year&gt;2009&lt;/year&gt;&lt;/dates&gt;&lt;urls&gt;&lt;/urls&gt;&lt;/record&gt;&lt;/Cite&gt;&lt;/EndNote&gt;</w:instrText>
      </w:r>
      <w:r w:rsidRPr="00762DCA">
        <w:rPr>
          <w:color w:val="000000"/>
          <w:szCs w:val="24"/>
        </w:rPr>
        <w:fldChar w:fldCharType="separate"/>
      </w:r>
      <w:r w:rsidR="00EF448D">
        <w:rPr>
          <w:noProof/>
          <w:color w:val="000000"/>
          <w:szCs w:val="24"/>
        </w:rPr>
        <w:t>(Sedaghathoor et al., 2009)</w:t>
      </w:r>
      <w:r w:rsidRPr="00762DCA">
        <w:rPr>
          <w:color w:val="000000"/>
          <w:szCs w:val="24"/>
        </w:rPr>
        <w:fldChar w:fldCharType="end"/>
      </w:r>
      <w:r w:rsidRPr="00762DCA">
        <w:rPr>
          <w:color w:val="000000"/>
          <w:szCs w:val="24"/>
        </w:rPr>
        <w:t xml:space="preserve">. This implies that continuous improvement of organic carbon will increase the soil zinc status in the soil and enhance crop productivity within </w:t>
      </w:r>
      <w:r>
        <w:rPr>
          <w:color w:val="000000"/>
          <w:szCs w:val="24"/>
        </w:rPr>
        <w:t>eastern</w:t>
      </w:r>
      <w:r w:rsidRPr="00762DCA">
        <w:rPr>
          <w:color w:val="000000"/>
          <w:szCs w:val="24"/>
        </w:rPr>
        <w:t xml:space="preserve"> Africa.</w:t>
      </w:r>
    </w:p>
    <w:p w14:paraId="3BA83ED5" w14:textId="77777777" w:rsidR="001852B5" w:rsidRDefault="001852B5" w:rsidP="001852B5">
      <w:pPr>
        <w:spacing w:line="360" w:lineRule="auto"/>
        <w:rPr>
          <w:szCs w:val="24"/>
        </w:rPr>
      </w:pPr>
    </w:p>
    <w:tbl>
      <w:tblPr>
        <w:tblW w:w="10201" w:type="dxa"/>
        <w:tblLayout w:type="fixed"/>
        <w:tblLook w:val="04A0" w:firstRow="1" w:lastRow="0" w:firstColumn="1" w:lastColumn="0" w:noHBand="0" w:noVBand="1"/>
      </w:tblPr>
      <w:tblGrid>
        <w:gridCol w:w="5382"/>
        <w:gridCol w:w="4819"/>
      </w:tblGrid>
      <w:tr w:rsidR="001852B5" w:rsidRPr="003B0C27" w14:paraId="6B6D57EE" w14:textId="77777777" w:rsidTr="00D06EE1">
        <w:tc>
          <w:tcPr>
            <w:tcW w:w="10201" w:type="dxa"/>
            <w:gridSpan w:val="2"/>
          </w:tcPr>
          <w:p w14:paraId="407F36FD" w14:textId="77777777" w:rsidR="001852B5" w:rsidRPr="003B0C27" w:rsidRDefault="001852B5" w:rsidP="003F0329">
            <w:pPr>
              <w:jc w:val="center"/>
            </w:pPr>
            <w:r>
              <w:rPr>
                <w:noProof/>
              </w:rPr>
              <w:drawing>
                <wp:inline distT="0" distB="0" distL="0" distR="0" wp14:anchorId="1D1EEF51" wp14:editId="46CFAB06">
                  <wp:extent cx="4591941" cy="2777383"/>
                  <wp:effectExtent l="0" t="0" r="18415" b="4445"/>
                  <wp:docPr id="28" name="Chart 28">
                    <a:extLst xmlns:a="http://schemas.openxmlformats.org/drawingml/2006/main">
                      <a:ext uri="{FF2B5EF4-FFF2-40B4-BE49-F238E27FC236}">
                        <a16:creationId xmlns:a16="http://schemas.microsoft.com/office/drawing/2014/main" id="{6BBDA6F5-1D7C-AD50-7ECF-83BF7E98D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852B5" w:rsidRPr="003B0C27" w14:paraId="3018DD06" w14:textId="77777777" w:rsidTr="00D06EE1">
        <w:tc>
          <w:tcPr>
            <w:tcW w:w="10201" w:type="dxa"/>
            <w:gridSpan w:val="2"/>
          </w:tcPr>
          <w:p w14:paraId="5CD3455D" w14:textId="77777777" w:rsidR="001852B5" w:rsidRPr="003B0C27" w:rsidRDefault="001852B5" w:rsidP="00D06EE1">
            <w:pPr>
              <w:jc w:val="center"/>
              <w:rPr>
                <w:sz w:val="20"/>
                <w:szCs w:val="20"/>
              </w:rPr>
            </w:pPr>
            <w:r w:rsidRPr="003B0C27">
              <w:rPr>
                <w:sz w:val="20"/>
                <w:szCs w:val="20"/>
              </w:rPr>
              <w:t xml:space="preserve">Figure </w:t>
            </w:r>
            <w:r>
              <w:rPr>
                <w:sz w:val="20"/>
                <w:szCs w:val="20"/>
              </w:rPr>
              <w:t>3</w:t>
            </w:r>
            <w:r w:rsidRPr="003B0C27">
              <w:rPr>
                <w:sz w:val="20"/>
                <w:szCs w:val="20"/>
              </w:rPr>
              <w:t xml:space="preserve">a: Soil available </w:t>
            </w:r>
            <w:r>
              <w:rPr>
                <w:sz w:val="20"/>
                <w:szCs w:val="20"/>
              </w:rPr>
              <w:t>copper</w:t>
            </w:r>
            <w:r w:rsidRPr="003B0C27">
              <w:rPr>
                <w:sz w:val="20"/>
                <w:szCs w:val="20"/>
              </w:rPr>
              <w:t xml:space="preserve"> levels (ppm) in different locations at various soil depths</w:t>
            </w:r>
          </w:p>
        </w:tc>
      </w:tr>
      <w:tr w:rsidR="001852B5" w:rsidRPr="003B0C27" w14:paraId="4CE08737" w14:textId="77777777" w:rsidTr="00D06EE1">
        <w:tc>
          <w:tcPr>
            <w:tcW w:w="5382" w:type="dxa"/>
          </w:tcPr>
          <w:p w14:paraId="44E3F9A9" w14:textId="77777777" w:rsidR="001852B5" w:rsidRPr="003B0C27" w:rsidRDefault="001852B5" w:rsidP="003F0329">
            <w:r>
              <w:rPr>
                <w:noProof/>
              </w:rPr>
              <w:drawing>
                <wp:inline distT="0" distB="0" distL="0" distR="0" wp14:anchorId="27E0F2A7" wp14:editId="7BC9B29A">
                  <wp:extent cx="3280410" cy="3148781"/>
                  <wp:effectExtent l="0" t="0" r="15240" b="13970"/>
                  <wp:docPr id="31" name="Chart 31">
                    <a:extLst xmlns:a="http://schemas.openxmlformats.org/drawingml/2006/main">
                      <a:ext uri="{FF2B5EF4-FFF2-40B4-BE49-F238E27FC236}">
                        <a16:creationId xmlns:a16="http://schemas.microsoft.com/office/drawing/2014/main" id="{1398928D-A3FE-4C06-6C8A-FF1006945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9" w:type="dxa"/>
          </w:tcPr>
          <w:p w14:paraId="78ED90FF" w14:textId="77777777" w:rsidR="001852B5" w:rsidRPr="003B0C27" w:rsidRDefault="001852B5" w:rsidP="003F0329">
            <w:r>
              <w:rPr>
                <w:noProof/>
              </w:rPr>
              <w:drawing>
                <wp:inline distT="0" distB="0" distL="0" distR="0" wp14:anchorId="03D5B828" wp14:editId="390693E6">
                  <wp:extent cx="2922905" cy="3148330"/>
                  <wp:effectExtent l="0" t="0" r="10795" b="13970"/>
                  <wp:docPr id="32" name="Chart 32">
                    <a:extLst xmlns:a="http://schemas.openxmlformats.org/drawingml/2006/main">
                      <a:ext uri="{FF2B5EF4-FFF2-40B4-BE49-F238E27FC236}">
                        <a16:creationId xmlns:a16="http://schemas.microsoft.com/office/drawing/2014/main" id="{54A61FDC-ABBB-F24B-27CA-7456567BE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852B5" w:rsidRPr="003B0C27" w14:paraId="079A66D1" w14:textId="77777777" w:rsidTr="00D06EE1">
        <w:tc>
          <w:tcPr>
            <w:tcW w:w="5382" w:type="dxa"/>
          </w:tcPr>
          <w:p w14:paraId="5CB01721"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b: Changes in soil available </w:t>
            </w:r>
            <w:r>
              <w:rPr>
                <w:sz w:val="20"/>
                <w:szCs w:val="20"/>
              </w:rPr>
              <w:t>copper</w:t>
            </w:r>
            <w:r w:rsidRPr="003B0C27">
              <w:rPr>
                <w:sz w:val="20"/>
                <w:szCs w:val="20"/>
              </w:rPr>
              <w:t xml:space="preserve"> (ppm) at 0-10 cm depth</w:t>
            </w:r>
          </w:p>
        </w:tc>
        <w:tc>
          <w:tcPr>
            <w:tcW w:w="4819" w:type="dxa"/>
          </w:tcPr>
          <w:p w14:paraId="6A743822"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c: Changes in soil available </w:t>
            </w:r>
            <w:r>
              <w:rPr>
                <w:sz w:val="20"/>
                <w:szCs w:val="20"/>
              </w:rPr>
              <w:t>copper</w:t>
            </w:r>
            <w:r w:rsidRPr="003B0C27">
              <w:rPr>
                <w:sz w:val="20"/>
                <w:szCs w:val="20"/>
              </w:rPr>
              <w:t xml:space="preserve"> (ppm)</w:t>
            </w:r>
            <w:r>
              <w:rPr>
                <w:sz w:val="20"/>
                <w:szCs w:val="20"/>
              </w:rPr>
              <w:t xml:space="preserve"> </w:t>
            </w:r>
            <w:r w:rsidRPr="003B0C27">
              <w:rPr>
                <w:sz w:val="20"/>
                <w:szCs w:val="20"/>
              </w:rPr>
              <w:t>at 10-20 cm depth</w:t>
            </w:r>
          </w:p>
        </w:tc>
      </w:tr>
      <w:tr w:rsidR="001852B5" w:rsidRPr="003B0C27" w14:paraId="6469A403" w14:textId="77777777" w:rsidTr="00D06EE1">
        <w:tc>
          <w:tcPr>
            <w:tcW w:w="5382" w:type="dxa"/>
          </w:tcPr>
          <w:p w14:paraId="49671A12" w14:textId="77777777" w:rsidR="001852B5" w:rsidRPr="003B0C27" w:rsidRDefault="001852B5" w:rsidP="003F0329">
            <w:r>
              <w:rPr>
                <w:noProof/>
              </w:rPr>
              <w:lastRenderedPageBreak/>
              <w:drawing>
                <wp:inline distT="0" distB="0" distL="0" distR="0" wp14:anchorId="4C64AF54" wp14:editId="4DA6FC03">
                  <wp:extent cx="3280410" cy="2853690"/>
                  <wp:effectExtent l="0" t="0" r="15240" b="3810"/>
                  <wp:docPr id="33" name="Chart 33">
                    <a:extLst xmlns:a="http://schemas.openxmlformats.org/drawingml/2006/main">
                      <a:ext uri="{FF2B5EF4-FFF2-40B4-BE49-F238E27FC236}">
                        <a16:creationId xmlns:a16="http://schemas.microsoft.com/office/drawing/2014/main" id="{C636986E-588F-D821-880B-A53076360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19" w:type="dxa"/>
          </w:tcPr>
          <w:p w14:paraId="135FFC95" w14:textId="77777777" w:rsidR="001852B5" w:rsidRPr="003B0C27" w:rsidRDefault="001852B5" w:rsidP="003F0329">
            <w:r>
              <w:rPr>
                <w:noProof/>
              </w:rPr>
              <w:drawing>
                <wp:inline distT="0" distB="0" distL="0" distR="0" wp14:anchorId="1A1ED868" wp14:editId="2C60D50A">
                  <wp:extent cx="2922905" cy="2816942"/>
                  <wp:effectExtent l="0" t="0" r="10795" b="2540"/>
                  <wp:docPr id="34" name="Chart 34">
                    <a:extLst xmlns:a="http://schemas.openxmlformats.org/drawingml/2006/main">
                      <a:ext uri="{FF2B5EF4-FFF2-40B4-BE49-F238E27FC236}">
                        <a16:creationId xmlns:a16="http://schemas.microsoft.com/office/drawing/2014/main" id="{5AD55AA4-B02C-2EC1-67E5-799BEF994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852B5" w:rsidRPr="003B0C27" w14:paraId="0697D20A" w14:textId="77777777" w:rsidTr="00D06EE1">
        <w:tc>
          <w:tcPr>
            <w:tcW w:w="5382" w:type="dxa"/>
          </w:tcPr>
          <w:p w14:paraId="43C5F6A8"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d: Changes in soil </w:t>
            </w:r>
            <w:r>
              <w:rPr>
                <w:sz w:val="20"/>
                <w:szCs w:val="20"/>
              </w:rPr>
              <w:t>copper</w:t>
            </w:r>
            <w:r w:rsidRPr="003B0C27">
              <w:rPr>
                <w:sz w:val="20"/>
                <w:szCs w:val="20"/>
              </w:rPr>
              <w:t xml:space="preserve"> (ppm) at 20-30 cm depth</w:t>
            </w:r>
          </w:p>
        </w:tc>
        <w:tc>
          <w:tcPr>
            <w:tcW w:w="4819" w:type="dxa"/>
          </w:tcPr>
          <w:p w14:paraId="1C9476A1"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e: Changes in soil </w:t>
            </w:r>
            <w:r>
              <w:rPr>
                <w:sz w:val="20"/>
                <w:szCs w:val="20"/>
              </w:rPr>
              <w:t>copper</w:t>
            </w:r>
            <w:r w:rsidRPr="003B0C27">
              <w:rPr>
                <w:sz w:val="20"/>
                <w:szCs w:val="20"/>
              </w:rPr>
              <w:t xml:space="preserve"> (ppm) at 40-60 cm depth</w:t>
            </w:r>
          </w:p>
        </w:tc>
      </w:tr>
    </w:tbl>
    <w:p w14:paraId="09616B0E" w14:textId="77777777" w:rsidR="001852B5" w:rsidRDefault="001852B5" w:rsidP="001852B5">
      <w:pPr>
        <w:autoSpaceDE w:val="0"/>
        <w:autoSpaceDN w:val="0"/>
        <w:adjustRightInd w:val="0"/>
        <w:spacing w:line="360" w:lineRule="auto"/>
        <w:rPr>
          <w:color w:val="000000"/>
          <w:szCs w:val="24"/>
        </w:rPr>
      </w:pPr>
    </w:p>
    <w:tbl>
      <w:tblPr>
        <w:tblW w:w="10201" w:type="dxa"/>
        <w:tblLayout w:type="fixed"/>
        <w:tblLook w:val="04A0" w:firstRow="1" w:lastRow="0" w:firstColumn="1" w:lastColumn="0" w:noHBand="0" w:noVBand="1"/>
      </w:tblPr>
      <w:tblGrid>
        <w:gridCol w:w="5328"/>
        <w:gridCol w:w="4873"/>
      </w:tblGrid>
      <w:tr w:rsidR="001852B5" w:rsidRPr="00762DCA" w14:paraId="4057C435" w14:textId="77777777" w:rsidTr="0008371A">
        <w:tc>
          <w:tcPr>
            <w:tcW w:w="10201" w:type="dxa"/>
            <w:gridSpan w:val="2"/>
          </w:tcPr>
          <w:p w14:paraId="7954AC02" w14:textId="77777777" w:rsidR="001852B5" w:rsidRPr="00762DCA" w:rsidRDefault="001852B5" w:rsidP="003F0329">
            <w:pPr>
              <w:jc w:val="center"/>
            </w:pPr>
            <w:r>
              <w:rPr>
                <w:noProof/>
              </w:rPr>
              <w:drawing>
                <wp:inline distT="0" distB="0" distL="0" distR="0" wp14:anchorId="19D9B082" wp14:editId="4F5536D4">
                  <wp:extent cx="5354509" cy="2777383"/>
                  <wp:effectExtent l="0" t="0" r="17780" b="4445"/>
                  <wp:docPr id="35" name="Chart 35">
                    <a:extLst xmlns:a="http://schemas.openxmlformats.org/drawingml/2006/main">
                      <a:ext uri="{FF2B5EF4-FFF2-40B4-BE49-F238E27FC236}">
                        <a16:creationId xmlns:a16="http://schemas.microsoft.com/office/drawing/2014/main" id="{682E1598-5450-BFCA-35AE-71082719A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852B5" w:rsidRPr="00762DCA" w14:paraId="1656F6A2" w14:textId="77777777" w:rsidTr="0008371A">
        <w:tc>
          <w:tcPr>
            <w:tcW w:w="10201" w:type="dxa"/>
            <w:gridSpan w:val="2"/>
          </w:tcPr>
          <w:p w14:paraId="020F0C49" w14:textId="77777777" w:rsidR="001852B5" w:rsidRPr="00762DCA" w:rsidRDefault="001852B5" w:rsidP="003F0329">
            <w:pPr>
              <w:jc w:val="center"/>
              <w:rPr>
                <w:sz w:val="20"/>
                <w:szCs w:val="20"/>
              </w:rPr>
            </w:pPr>
            <w:r w:rsidRPr="00762DCA">
              <w:rPr>
                <w:sz w:val="20"/>
                <w:szCs w:val="20"/>
              </w:rPr>
              <w:t xml:space="preserve">Figure </w:t>
            </w:r>
            <w:r>
              <w:rPr>
                <w:sz w:val="20"/>
                <w:szCs w:val="20"/>
              </w:rPr>
              <w:t>4</w:t>
            </w:r>
            <w:r w:rsidRPr="00762DCA">
              <w:rPr>
                <w:sz w:val="20"/>
                <w:szCs w:val="20"/>
              </w:rPr>
              <w:t xml:space="preserve">a: Soil available </w:t>
            </w:r>
            <w:r>
              <w:rPr>
                <w:sz w:val="20"/>
                <w:szCs w:val="20"/>
              </w:rPr>
              <w:t>zinc</w:t>
            </w:r>
            <w:r w:rsidRPr="00762DCA">
              <w:rPr>
                <w:sz w:val="20"/>
                <w:szCs w:val="20"/>
              </w:rPr>
              <w:t xml:space="preserve"> levels (ppm) in different locations at various soil depths</w:t>
            </w:r>
          </w:p>
        </w:tc>
      </w:tr>
      <w:tr w:rsidR="001852B5" w:rsidRPr="00762DCA" w14:paraId="183BC289" w14:textId="77777777" w:rsidTr="0008371A">
        <w:tc>
          <w:tcPr>
            <w:tcW w:w="5328" w:type="dxa"/>
          </w:tcPr>
          <w:p w14:paraId="21405B7B" w14:textId="77777777" w:rsidR="001852B5" w:rsidRPr="00762DCA" w:rsidRDefault="001852B5" w:rsidP="003F0329">
            <w:r>
              <w:rPr>
                <w:noProof/>
              </w:rPr>
              <w:drawing>
                <wp:inline distT="0" distB="0" distL="0" distR="0" wp14:anchorId="1325476C" wp14:editId="1831BD00">
                  <wp:extent cx="3246120" cy="2868561"/>
                  <wp:effectExtent l="0" t="0" r="11430" b="8255"/>
                  <wp:docPr id="41" name="Chart 41">
                    <a:extLst xmlns:a="http://schemas.openxmlformats.org/drawingml/2006/main">
                      <a:ext uri="{FF2B5EF4-FFF2-40B4-BE49-F238E27FC236}">
                        <a16:creationId xmlns:a16="http://schemas.microsoft.com/office/drawing/2014/main" id="{279CF914-987B-942F-FA56-0DF3F3C33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73" w:type="dxa"/>
          </w:tcPr>
          <w:p w14:paraId="3D0231C2" w14:textId="77777777" w:rsidR="001852B5" w:rsidRPr="00762DCA" w:rsidRDefault="001852B5" w:rsidP="003F0329">
            <w:r>
              <w:rPr>
                <w:noProof/>
              </w:rPr>
              <w:drawing>
                <wp:inline distT="0" distB="0" distL="0" distR="0" wp14:anchorId="472C5668" wp14:editId="0AFBB079">
                  <wp:extent cx="2957195" cy="2868295"/>
                  <wp:effectExtent l="0" t="0" r="14605" b="8255"/>
                  <wp:docPr id="42" name="Chart 42">
                    <a:extLst xmlns:a="http://schemas.openxmlformats.org/drawingml/2006/main">
                      <a:ext uri="{FF2B5EF4-FFF2-40B4-BE49-F238E27FC236}">
                        <a16:creationId xmlns:a16="http://schemas.microsoft.com/office/drawing/2014/main" id="{891784DD-4A25-3211-4A61-27317CBFB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1852B5" w:rsidRPr="00762DCA" w14:paraId="178CAB20" w14:textId="77777777" w:rsidTr="0008371A">
        <w:tc>
          <w:tcPr>
            <w:tcW w:w="5328" w:type="dxa"/>
          </w:tcPr>
          <w:p w14:paraId="47A2BA31" w14:textId="77777777" w:rsidR="001852B5" w:rsidRPr="00762DCA" w:rsidRDefault="001852B5" w:rsidP="003F0329">
            <w:pPr>
              <w:rPr>
                <w:sz w:val="20"/>
                <w:szCs w:val="20"/>
              </w:rPr>
            </w:pPr>
            <w:r w:rsidRPr="00762DCA">
              <w:rPr>
                <w:sz w:val="20"/>
                <w:szCs w:val="20"/>
              </w:rPr>
              <w:lastRenderedPageBreak/>
              <w:t xml:space="preserve">Figure </w:t>
            </w:r>
            <w:r>
              <w:rPr>
                <w:sz w:val="20"/>
                <w:szCs w:val="20"/>
              </w:rPr>
              <w:t>4</w:t>
            </w:r>
            <w:r w:rsidRPr="00762DCA">
              <w:rPr>
                <w:sz w:val="20"/>
                <w:szCs w:val="20"/>
              </w:rPr>
              <w:t xml:space="preserve">b: Changes in soil available </w:t>
            </w:r>
            <w:r>
              <w:rPr>
                <w:sz w:val="20"/>
                <w:szCs w:val="20"/>
              </w:rPr>
              <w:t>zinc</w:t>
            </w:r>
            <w:r w:rsidRPr="00762DCA">
              <w:rPr>
                <w:sz w:val="20"/>
                <w:szCs w:val="20"/>
              </w:rPr>
              <w:t xml:space="preserve"> (ppm) at 0-10 cm depth</w:t>
            </w:r>
          </w:p>
        </w:tc>
        <w:tc>
          <w:tcPr>
            <w:tcW w:w="4873" w:type="dxa"/>
          </w:tcPr>
          <w:p w14:paraId="48CDBB06"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c: Changes in soil available </w:t>
            </w:r>
            <w:r>
              <w:rPr>
                <w:sz w:val="20"/>
                <w:szCs w:val="20"/>
              </w:rPr>
              <w:t>zinc</w:t>
            </w:r>
            <w:r w:rsidRPr="00762DCA">
              <w:rPr>
                <w:sz w:val="20"/>
                <w:szCs w:val="20"/>
              </w:rPr>
              <w:t xml:space="preserve"> (ppm) at 10-20 cm depth</w:t>
            </w:r>
          </w:p>
        </w:tc>
      </w:tr>
      <w:tr w:rsidR="001852B5" w:rsidRPr="00762DCA" w14:paraId="06474428" w14:textId="77777777" w:rsidTr="0008371A">
        <w:tc>
          <w:tcPr>
            <w:tcW w:w="5328" w:type="dxa"/>
          </w:tcPr>
          <w:p w14:paraId="0A8DAB37" w14:textId="77777777" w:rsidR="001852B5" w:rsidRPr="00762DCA" w:rsidRDefault="001852B5" w:rsidP="003F0329">
            <w:r>
              <w:rPr>
                <w:noProof/>
              </w:rPr>
              <w:drawing>
                <wp:inline distT="0" distB="0" distL="0" distR="0" wp14:anchorId="74ADB984" wp14:editId="47B2F98F">
                  <wp:extent cx="3246120" cy="2772697"/>
                  <wp:effectExtent l="0" t="0" r="11430" b="8890"/>
                  <wp:docPr id="43" name="Chart 43">
                    <a:extLst xmlns:a="http://schemas.openxmlformats.org/drawingml/2006/main">
                      <a:ext uri="{FF2B5EF4-FFF2-40B4-BE49-F238E27FC236}">
                        <a16:creationId xmlns:a16="http://schemas.microsoft.com/office/drawing/2014/main" id="{6479BF53-D844-1CFA-FC6E-382EE3029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73" w:type="dxa"/>
          </w:tcPr>
          <w:p w14:paraId="77EE267B" w14:textId="77777777" w:rsidR="001852B5" w:rsidRPr="00762DCA" w:rsidRDefault="001852B5" w:rsidP="003F0329">
            <w:r>
              <w:rPr>
                <w:noProof/>
              </w:rPr>
              <w:drawing>
                <wp:inline distT="0" distB="0" distL="0" distR="0" wp14:anchorId="381CBF7D" wp14:editId="41EADE66">
                  <wp:extent cx="2957195" cy="2735826"/>
                  <wp:effectExtent l="0" t="0" r="14605" b="7620"/>
                  <wp:docPr id="44" name="Chart 44">
                    <a:extLst xmlns:a="http://schemas.openxmlformats.org/drawingml/2006/main">
                      <a:ext uri="{FF2B5EF4-FFF2-40B4-BE49-F238E27FC236}">
                        <a16:creationId xmlns:a16="http://schemas.microsoft.com/office/drawing/2014/main" id="{20941157-3B67-63A0-DBE4-391A5320F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852B5" w:rsidRPr="00762DCA" w14:paraId="302627DA" w14:textId="77777777" w:rsidTr="0008371A">
        <w:tc>
          <w:tcPr>
            <w:tcW w:w="5328" w:type="dxa"/>
          </w:tcPr>
          <w:p w14:paraId="770E7597"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d: Changes in soil available </w:t>
            </w:r>
            <w:r>
              <w:rPr>
                <w:sz w:val="20"/>
                <w:szCs w:val="20"/>
              </w:rPr>
              <w:t>zinc</w:t>
            </w:r>
            <w:r w:rsidRPr="00762DCA">
              <w:rPr>
                <w:sz w:val="20"/>
                <w:szCs w:val="20"/>
              </w:rPr>
              <w:t xml:space="preserve"> (ppm) at 20-30 cm depth</w:t>
            </w:r>
          </w:p>
        </w:tc>
        <w:tc>
          <w:tcPr>
            <w:tcW w:w="4873" w:type="dxa"/>
          </w:tcPr>
          <w:p w14:paraId="00C21181"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e: Changes in soil available </w:t>
            </w:r>
            <w:r>
              <w:rPr>
                <w:sz w:val="20"/>
                <w:szCs w:val="20"/>
              </w:rPr>
              <w:t>zinc</w:t>
            </w:r>
            <w:r w:rsidRPr="00762DCA">
              <w:rPr>
                <w:sz w:val="20"/>
                <w:szCs w:val="20"/>
              </w:rPr>
              <w:t xml:space="preserve"> (ppm) at 40-60 cm depth</w:t>
            </w:r>
          </w:p>
        </w:tc>
      </w:tr>
    </w:tbl>
    <w:p w14:paraId="42D3B38F" w14:textId="77777777" w:rsidR="001852B5" w:rsidRDefault="001852B5" w:rsidP="005F3F33">
      <w:pPr>
        <w:tabs>
          <w:tab w:val="left" w:pos="993"/>
        </w:tabs>
        <w:autoSpaceDE w:val="0"/>
        <w:autoSpaceDN w:val="0"/>
        <w:adjustRightInd w:val="0"/>
        <w:spacing w:line="360" w:lineRule="auto"/>
        <w:rPr>
          <w:szCs w:val="24"/>
        </w:rPr>
      </w:pPr>
    </w:p>
    <w:p w14:paraId="4E9C405D" w14:textId="77777777" w:rsidR="005F3F33" w:rsidRPr="00490216" w:rsidRDefault="005F3F33" w:rsidP="005F3F33">
      <w:pPr>
        <w:tabs>
          <w:tab w:val="left" w:pos="993"/>
        </w:tabs>
        <w:autoSpaceDE w:val="0"/>
        <w:autoSpaceDN w:val="0"/>
        <w:adjustRightInd w:val="0"/>
        <w:spacing w:line="360" w:lineRule="auto"/>
        <w:rPr>
          <w:szCs w:val="24"/>
        </w:rPr>
      </w:pPr>
      <w:r>
        <w:rPr>
          <w:szCs w:val="24"/>
        </w:rPr>
        <w:t>There were soil z</w:t>
      </w:r>
      <w:r w:rsidRPr="00490216">
        <w:rPr>
          <w:szCs w:val="24"/>
        </w:rPr>
        <w:t xml:space="preserve">inc contents </w:t>
      </w:r>
      <w:r>
        <w:rPr>
          <w:szCs w:val="24"/>
        </w:rPr>
        <w:t xml:space="preserve">differences </w:t>
      </w:r>
      <w:r w:rsidRPr="00490216">
        <w:rPr>
          <w:szCs w:val="24"/>
        </w:rPr>
        <w:t>(p≤0.05) with location of production</w:t>
      </w:r>
      <w:r w:rsidR="00952708">
        <w:rPr>
          <w:szCs w:val="24"/>
        </w:rPr>
        <w:t xml:space="preserve"> (Figures 3b-3e)</w:t>
      </w:r>
      <w:r w:rsidRPr="00490216">
        <w:rPr>
          <w:szCs w:val="24"/>
        </w:rPr>
        <w:t xml:space="preserve">. </w:t>
      </w:r>
      <w:r>
        <w:rPr>
          <w:szCs w:val="24"/>
        </w:rPr>
        <w:t xml:space="preserve">Similar patterns had been observed </w:t>
      </w:r>
      <w:r w:rsidRPr="00490216">
        <w:rPr>
          <w:szCs w:val="24"/>
        </w:rPr>
        <w:t>soil zinc levels</w:t>
      </w:r>
      <w:r>
        <w:rPr>
          <w:szCs w:val="24"/>
        </w:rPr>
        <w:t xml:space="preserve"> in Turkey</w:t>
      </w:r>
      <w:r w:rsidRPr="00490216">
        <w:rPr>
          <w:szCs w:val="24"/>
        </w:rPr>
        <w:t xml:space="preserve"> </w:t>
      </w:r>
      <w:r w:rsidR="003C3653">
        <w:rPr>
          <w:szCs w:val="24"/>
        </w:rPr>
        <w:fldChar w:fldCharType="begin"/>
      </w:r>
      <w:r w:rsidR="00EF448D">
        <w:rPr>
          <w:szCs w:val="24"/>
        </w:rPr>
        <w:instrText xml:space="preserve"> ADDIN EN.CITE &lt;EndNote&gt;&lt;Cite&gt;&lt;Author&gt;Adiloğlu&lt;/Author&gt;&lt;Year&gt;2006&lt;/Year&gt;&lt;RecNum&gt;86&lt;/RecNum&gt;&lt;DisplayText&gt;(Adiloğlu &amp;amp; Adiloğlu, 2006)&lt;/DisplayText&gt;&lt;record&gt;&lt;rec-number&gt;86&lt;/rec-number&gt;&lt;foreign-keys&gt;&lt;key app="EN" db-id="zx5vprwxa0rsabew9f9xp5fcs9tz0dzwa2fa" timestamp="1595618004"&gt;86&lt;/key&gt;&lt;/foreign-keys&gt;&lt;ref-type name="Journal Article"&gt;17&lt;/ref-type&gt;&lt;contributors&gt;&lt;authors&gt;&lt;author&gt;&lt;style face="normal" font="default" size="100%"&gt;Adilo&lt;/style&gt;&lt;style face="normal" font="default" charset="162" size="100%"&gt;ğlu, A.&lt;/style&gt;&lt;/author&gt;&lt;author&gt;&lt;style face="normal" font="default" charset="162" size="100%"&gt;Adiloğlu, S.&lt;/style&gt;&lt;/author&gt;&lt;/authors&gt;&lt;/contributors&gt;&lt;titles&gt;&lt;title&gt;&lt;style face="normal" font="default" charset="162" size="100%"&gt;An investigation on nutritional status of tea (&lt;/style&gt;&lt;style face="italic" font="default" charset="162" size="100%"&gt;Camellia sinensis&lt;/style&gt;&lt;style face="normal" font="default" charset="162" size="100%"&gt; L.) grown in eastern Black Sea region of Turkey&lt;/style&gt;&lt;/title&gt;&lt;secondary-title&gt;&lt;style face="normal" font="default" charset="162" size="100%"&gt;Pakistan Journal of Biological Sciences&lt;/style&gt;&lt;/secondary-title&gt;&lt;/titles&gt;&lt;periodical&gt;&lt;full-title&gt;Pakistan Journal of Biological Sciences&lt;/full-title&gt;&lt;/periodical&gt;&lt;pages&gt;&lt;style face="normal" font="default" charset="162" size="100%"&gt;365-370.&lt;/style&gt;&lt;/pages&gt;&lt;volume&gt;9&lt;/volume&gt;&lt;number&gt;3&lt;/number&gt;&lt;dates&gt;&lt;year&gt;2006&lt;/year&gt;&lt;/dates&gt;&lt;urls&gt;&lt;/urls&gt;&lt;/record&gt;&lt;/Cite&gt;&lt;/EndNote&gt;</w:instrText>
      </w:r>
      <w:r w:rsidR="003C3653">
        <w:rPr>
          <w:szCs w:val="24"/>
        </w:rPr>
        <w:fldChar w:fldCharType="separate"/>
      </w:r>
      <w:r w:rsidR="00EF448D">
        <w:rPr>
          <w:noProof/>
          <w:szCs w:val="24"/>
        </w:rPr>
        <w:t>(Adiloğlu &amp; Adiloğlu, 2006)</w:t>
      </w:r>
      <w:r w:rsidR="003C3653">
        <w:rPr>
          <w:szCs w:val="24"/>
        </w:rPr>
        <w:fldChar w:fldCharType="end"/>
      </w:r>
      <w:r>
        <w:rPr>
          <w:szCs w:val="24"/>
        </w:rPr>
        <w:t xml:space="preserve"> and</w:t>
      </w:r>
      <w:r w:rsidRPr="00490216">
        <w:rPr>
          <w:szCs w:val="24"/>
        </w:rPr>
        <w:t xml:space="preserve"> mature leaf zinc levels</w:t>
      </w:r>
      <w:r>
        <w:rPr>
          <w:szCs w:val="24"/>
        </w:rPr>
        <w:t xml:space="preserve"> in </w:t>
      </w:r>
      <w:r w:rsidR="00952708">
        <w:rPr>
          <w:szCs w:val="24"/>
        </w:rPr>
        <w:t xml:space="preserve">eastern </w:t>
      </w:r>
      <w:r>
        <w:rPr>
          <w:szCs w:val="24"/>
        </w:rPr>
        <w:t>Africa</w:t>
      </w:r>
      <w:r w:rsidRPr="00490216">
        <w:rPr>
          <w:szCs w:val="24"/>
        </w:rPr>
        <w:t xml:space="preserve"> </w:t>
      </w:r>
      <w:r w:rsidR="003C3653">
        <w:rPr>
          <w:szCs w:val="24"/>
        </w:rPr>
        <w:fldChar w:fldCharType="begin"/>
      </w:r>
      <w:r w:rsidR="00EF448D">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sidRPr="00490216">
        <w:rPr>
          <w:szCs w:val="24"/>
        </w:rPr>
        <w:t xml:space="preserve">. The variations demonstrate that the zinc reserves in the soils changed widely with </w:t>
      </w:r>
      <w:r w:rsidR="001515AD" w:rsidRPr="00490216">
        <w:rPr>
          <w:szCs w:val="24"/>
        </w:rPr>
        <w:t>location</w:t>
      </w:r>
      <w:r w:rsidR="001515AD">
        <w:rPr>
          <w:szCs w:val="24"/>
        </w:rPr>
        <w:t>al</w:t>
      </w:r>
      <w:r>
        <w:rPr>
          <w:szCs w:val="24"/>
        </w:rPr>
        <w:t xml:space="preserve"> factors</w:t>
      </w:r>
      <w:r w:rsidRPr="00490216">
        <w:rPr>
          <w:szCs w:val="24"/>
        </w:rPr>
        <w:t xml:space="preserve">. The zinc levels increased with increase in organic carbon content in the soil </w:t>
      </w:r>
      <w:r w:rsidR="003C3653">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3C3653">
        <w:rPr>
          <w:szCs w:val="24"/>
        </w:rPr>
        <w:fldChar w:fldCharType="separate"/>
      </w:r>
      <w:r w:rsidR="00630FE0">
        <w:rPr>
          <w:noProof/>
          <w:szCs w:val="24"/>
        </w:rPr>
        <w:t>(Nath, 2013)</w:t>
      </w:r>
      <w:r w:rsidR="003C3653">
        <w:rPr>
          <w:szCs w:val="24"/>
        </w:rPr>
        <w:fldChar w:fldCharType="end"/>
      </w:r>
      <w:r w:rsidRPr="00490216">
        <w:rPr>
          <w:szCs w:val="24"/>
        </w:rPr>
        <w:t xml:space="preserve"> and low</w:t>
      </w:r>
      <w:r>
        <w:rPr>
          <w:szCs w:val="24"/>
        </w:rPr>
        <w:t xml:space="preserve"> soil</w:t>
      </w:r>
      <w:r w:rsidRPr="00490216">
        <w:rPr>
          <w:szCs w:val="24"/>
        </w:rPr>
        <w:t xml:space="preserve"> pH </w:t>
      </w:r>
      <w:r w:rsidR="003C3653">
        <w:rPr>
          <w:szCs w:val="24"/>
        </w:rPr>
        <w:fldChar w:fldCharType="begin"/>
      </w:r>
      <w:r w:rsidR="00EF448D">
        <w:rPr>
          <w:szCs w:val="24"/>
        </w:rPr>
        <w:instrText xml:space="preserve"> ADDIN EN.CITE &lt;EndNote&gt;&lt;Cite&gt;&lt;Author&gt;Özyazıcı&lt;/Author&gt;&lt;Year&gt;2011&lt;/Year&gt;&lt;RecNum&gt;42&lt;/RecNum&gt;&lt;DisplayText&gt;(Özyazıcı et al., 2011)&lt;/DisplayText&gt;&lt;record&gt;&lt;rec-number&gt;42&lt;/rec-number&gt;&lt;foreign-keys&gt;&lt;key app="EN" db-id="zx5vprwxa0rsabew9f9xp5fcs9tz0dzwa2fa" timestamp="1573334410"&gt;42&lt;/key&gt;&lt;/foreign-keys&gt;&lt;ref-type name="Journal Article"&gt;17&lt;/ref-type&gt;&lt;contributors&gt;&lt;authors&gt;&lt;author&gt;&lt;style face="normal" font="default" size="100%"&gt;Özyaz&lt;/style&gt;&lt;style face="normal" font="default" charset="238" size="100%"&gt;ıcı, Mehmet Arif&lt;/style&gt;&lt;/author&gt;&lt;author&gt;&lt;style face="normal" font="default" size="100%"&gt;Özyaz&lt;/style&gt;&lt;style face="normal" font="default" charset="238" size="100%"&gt;ıcı, G&lt;/style&gt;&lt;style face="normal" font="default" size="100%"&gt;ülen&lt;/style&gt;&lt;/author&gt;&lt;author&gt;Dengiz, Orhan&lt;/author&gt;&lt;/authors&gt;&lt;/contributors&gt;&lt;titles&gt;&lt;title&gt;Determination of micronutrients in tea plantations in the eastern Black Sea Region, Turkey&lt;/title&gt;&lt;secondary-title&gt;African Journal of Agricultural Research&lt;/secondary-title&gt;&lt;/titles&gt;&lt;periodical&gt;&lt;full-title&gt;African Journal of Agricultural Research&lt;/full-title&gt;&lt;/periodical&gt;&lt;pages&gt;5174-5180&lt;/pages&gt;&lt;volume&gt;6&lt;/volume&gt;&lt;number&gt;22&lt;/number&gt;&lt;dates&gt;&lt;year&gt;2011&lt;/year&gt;&lt;/dates&gt;&lt;isbn&gt;1991-637X&lt;/isbn&gt;&lt;urls&gt;&lt;/urls&gt;&lt;electronic-resource-num&gt;10.5897/AJAR11.1246&lt;/electronic-resource-num&gt;&lt;/record&gt;&lt;/Cite&gt;&lt;/EndNote&gt;</w:instrText>
      </w:r>
      <w:r w:rsidR="003C3653">
        <w:rPr>
          <w:szCs w:val="24"/>
        </w:rPr>
        <w:fldChar w:fldCharType="separate"/>
      </w:r>
      <w:r w:rsidR="00EF448D">
        <w:rPr>
          <w:noProof/>
          <w:szCs w:val="24"/>
        </w:rPr>
        <w:t>(Özyazıcı et al., 2011)</w:t>
      </w:r>
      <w:r w:rsidR="003C3653">
        <w:rPr>
          <w:szCs w:val="24"/>
        </w:rPr>
        <w:fldChar w:fldCharType="end"/>
      </w:r>
      <w:r w:rsidRPr="00490216">
        <w:rPr>
          <w:szCs w:val="24"/>
        </w:rPr>
        <w:t xml:space="preserve">. The tea soils </w:t>
      </w:r>
      <w:r>
        <w:rPr>
          <w:szCs w:val="24"/>
        </w:rPr>
        <w:t xml:space="preserve">that </w:t>
      </w:r>
      <w:r w:rsidRPr="00490216">
        <w:rPr>
          <w:szCs w:val="24"/>
        </w:rPr>
        <w:t>show</w:t>
      </w:r>
      <w:r>
        <w:rPr>
          <w:szCs w:val="24"/>
        </w:rPr>
        <w:t>ed</w:t>
      </w:r>
      <w:r w:rsidRPr="00490216">
        <w:rPr>
          <w:szCs w:val="24"/>
        </w:rPr>
        <w:t xml:space="preserve"> high levels of </w:t>
      </w:r>
      <w:r>
        <w:rPr>
          <w:szCs w:val="24"/>
        </w:rPr>
        <w:t xml:space="preserve">soil </w:t>
      </w:r>
      <w:r w:rsidRPr="00490216">
        <w:rPr>
          <w:szCs w:val="24"/>
        </w:rPr>
        <w:t xml:space="preserve">zinc </w:t>
      </w:r>
      <w:r>
        <w:rPr>
          <w:szCs w:val="24"/>
        </w:rPr>
        <w:t>(</w:t>
      </w:r>
      <w:proofErr w:type="spellStart"/>
      <w:r w:rsidRPr="00490216">
        <w:rPr>
          <w:szCs w:val="24"/>
        </w:rPr>
        <w:t>Mulindi</w:t>
      </w:r>
      <w:proofErr w:type="spellEnd"/>
      <w:r w:rsidRPr="00490216">
        <w:rPr>
          <w:szCs w:val="24"/>
        </w:rPr>
        <w:t xml:space="preserve"> and </w:t>
      </w:r>
      <w:proofErr w:type="spellStart"/>
      <w:r w:rsidRPr="00490216">
        <w:rPr>
          <w:szCs w:val="24"/>
        </w:rPr>
        <w:t>Arroket</w:t>
      </w:r>
      <w:proofErr w:type="spellEnd"/>
      <w:r>
        <w:rPr>
          <w:szCs w:val="24"/>
        </w:rPr>
        <w:t>)</w:t>
      </w:r>
      <w:r w:rsidRPr="00490216">
        <w:rPr>
          <w:szCs w:val="24"/>
        </w:rPr>
        <w:t xml:space="preserve">, had high </w:t>
      </w:r>
      <w:r>
        <w:rPr>
          <w:szCs w:val="24"/>
        </w:rPr>
        <w:t xml:space="preserve">soil </w:t>
      </w:r>
      <w:r w:rsidRPr="00490216">
        <w:rPr>
          <w:szCs w:val="24"/>
        </w:rPr>
        <w:t>organic carbon content</w:t>
      </w:r>
      <w:r>
        <w:rPr>
          <w:szCs w:val="24"/>
        </w:rPr>
        <w:t xml:space="preserve">s </w:t>
      </w:r>
      <w:r w:rsidR="003C3653">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rPr>
        <w:fldChar w:fldCharType="separate"/>
      </w:r>
      <w:r w:rsidR="00EF448D">
        <w:rPr>
          <w:noProof/>
          <w:szCs w:val="24"/>
        </w:rPr>
        <w:t>(Ombori et al., 2020)</w:t>
      </w:r>
      <w:r w:rsidR="003C3653">
        <w:rPr>
          <w:szCs w:val="24"/>
        </w:rPr>
        <w:fldChar w:fldCharType="end"/>
      </w:r>
      <w:r w:rsidRPr="00490216">
        <w:rPr>
          <w:szCs w:val="24"/>
        </w:rPr>
        <w:t>. The</w:t>
      </w:r>
      <w:r>
        <w:rPr>
          <w:szCs w:val="24"/>
        </w:rPr>
        <w:t>se results demonstrate that t</w:t>
      </w:r>
      <w:r w:rsidRPr="00490216">
        <w:rPr>
          <w:szCs w:val="24"/>
        </w:rPr>
        <w:t xml:space="preserve">ea farmers </w:t>
      </w:r>
      <w:r>
        <w:rPr>
          <w:szCs w:val="24"/>
        </w:rPr>
        <w:t>can</w:t>
      </w:r>
      <w:r w:rsidRPr="00490216">
        <w:rPr>
          <w:szCs w:val="24"/>
        </w:rPr>
        <w:t xml:space="preserve"> improve soil zinc levels through practices which help raise organic carbon levels in their fields for sustainable crop production.</w:t>
      </w:r>
    </w:p>
    <w:p w14:paraId="5B5E15FC" w14:textId="77777777" w:rsidR="005F3F33" w:rsidRPr="00490216" w:rsidRDefault="005F3F33" w:rsidP="005F3F33">
      <w:pPr>
        <w:spacing w:line="360" w:lineRule="auto"/>
        <w:rPr>
          <w:szCs w:val="24"/>
        </w:rPr>
      </w:pPr>
      <w:r>
        <w:rPr>
          <w:szCs w:val="24"/>
        </w:rPr>
        <w:t>I</w:t>
      </w:r>
      <w:r w:rsidRPr="00490216">
        <w:rPr>
          <w:szCs w:val="24"/>
        </w:rPr>
        <w:t>ncreasing rates of nitrogenous fertili</w:t>
      </w:r>
      <w:r w:rsidR="001515AD">
        <w:rPr>
          <w:szCs w:val="24"/>
        </w:rPr>
        <w:t>zer</w:t>
      </w:r>
      <w:r w:rsidRPr="00490216">
        <w:rPr>
          <w:szCs w:val="24"/>
        </w:rPr>
        <w:t xml:space="preserve"> </w:t>
      </w:r>
      <w:r>
        <w:rPr>
          <w:szCs w:val="24"/>
        </w:rPr>
        <w:t>reduc</w:t>
      </w:r>
      <w:r w:rsidRPr="00490216">
        <w:rPr>
          <w:szCs w:val="24"/>
        </w:rPr>
        <w:t xml:space="preserve">ed (p≤0.05) the soil zinc </w:t>
      </w:r>
      <w:r>
        <w:rPr>
          <w:szCs w:val="24"/>
        </w:rPr>
        <w:t>levels in</w:t>
      </w:r>
      <w:r w:rsidRPr="00490216">
        <w:rPr>
          <w:szCs w:val="24"/>
        </w:rPr>
        <w:t xml:space="preserve"> all locations and depths. Zinc has a tendency of being strongly bound to organic matter, oxides and carbonates in high soil pH conditions </w:t>
      </w:r>
      <w:r w:rsidR="003C3653">
        <w:rPr>
          <w:szCs w:val="24"/>
        </w:rPr>
        <w:fldChar w:fldCharType="begin"/>
      </w:r>
      <w:r w:rsidR="00EF448D">
        <w:rPr>
          <w:szCs w:val="24"/>
        </w:rPr>
        <w:instrText xml:space="preserve"> ADDIN EN.CITE &lt;EndNote&gt;&lt;Cite&gt;&lt;Author&gt;Zhang&lt;/Author&gt;&lt;Year&gt;2006&lt;/Year&gt;&lt;RecNum&gt;180&lt;/RecNum&gt;&lt;DisplayText&gt;(Zhang et al., 2006)&lt;/DisplayText&gt;&lt;record&gt;&lt;rec-number&gt;180&lt;/rec-number&gt;&lt;foreign-keys&gt;&lt;key app="EN" db-id="zx5vprwxa0rsabew9f9xp5fcs9tz0dzwa2fa" timestamp="1757262291"&gt;180&lt;/key&gt;&lt;/foreign-keys&gt;&lt;ref-type name="Journal Article"&gt;17&lt;/ref-type&gt;&lt;contributors&gt;&lt;authors&gt;&lt;author&gt;Zhang, Mingkui&lt;/author&gt;&lt;author&gt;Zhou, Cui&lt;/author&gt;&lt;author&gt;Huang, Changyong&lt;/author&gt;&lt;/authors&gt;&lt;/contributors&gt;&lt;titles&gt;&lt;title&gt;Relationship between extractable metals in acid soils and metals taken up by tea plants&lt;/title&gt;&lt;secondary-title&gt;Communications in Soil Science and Plant Aalysis&lt;/secondary-title&gt;&lt;/titles&gt;&lt;periodical&gt;&lt;full-title&gt;Communications in Soil Science and Plant Aalysis&lt;/full-title&gt;&lt;/periodical&gt;&lt;pages&gt;347-361&lt;/pages&gt;&lt;volume&gt;37&lt;/volume&gt;&lt;number&gt;3-4&lt;/number&gt;&lt;dates&gt;&lt;year&gt;2006&lt;/year&gt;&lt;/dates&gt;&lt;isbn&gt;0010-3624&lt;/isbn&gt;&lt;urls&gt;&lt;/urls&gt;&lt;electronic-resource-num&gt;https://doi.org/10.1080/00103620500440095&lt;/electronic-resource-num&gt;&lt;/record&gt;&lt;/Cite&gt;&lt;/EndNote&gt;</w:instrText>
      </w:r>
      <w:r w:rsidR="003C3653">
        <w:rPr>
          <w:szCs w:val="24"/>
        </w:rPr>
        <w:fldChar w:fldCharType="separate"/>
      </w:r>
      <w:r w:rsidR="00EF448D">
        <w:rPr>
          <w:noProof/>
          <w:szCs w:val="24"/>
        </w:rPr>
        <w:t>(Zhang et al., 2006)</w:t>
      </w:r>
      <w:r w:rsidR="003C3653">
        <w:rPr>
          <w:szCs w:val="24"/>
        </w:rPr>
        <w:fldChar w:fldCharType="end"/>
      </w:r>
      <w:r w:rsidRPr="00490216">
        <w:rPr>
          <w:szCs w:val="24"/>
        </w:rPr>
        <w:t>. But the low pH</w:t>
      </w:r>
      <w:r>
        <w:rPr>
          <w:szCs w:val="24"/>
        </w:rPr>
        <w:t xml:space="preserve"> of these soils </w:t>
      </w:r>
      <w:r w:rsidR="003C3653">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rPr>
        <w:fldChar w:fldCharType="separate"/>
      </w:r>
      <w:r w:rsidR="00EF448D">
        <w:rPr>
          <w:noProof/>
          <w:szCs w:val="24"/>
        </w:rPr>
        <w:t>(Ombori et al., 2020)</w:t>
      </w:r>
      <w:r w:rsidR="003C3653">
        <w:rPr>
          <w:szCs w:val="24"/>
        </w:rPr>
        <w:fldChar w:fldCharType="end"/>
      </w:r>
      <w:r w:rsidRPr="00490216">
        <w:rPr>
          <w:szCs w:val="24"/>
        </w:rPr>
        <w:t xml:space="preserve"> </w:t>
      </w:r>
      <w:r>
        <w:rPr>
          <w:szCs w:val="24"/>
        </w:rPr>
        <w:t xml:space="preserve">increased </w:t>
      </w:r>
      <w:r w:rsidRPr="00490216">
        <w:rPr>
          <w:szCs w:val="24"/>
        </w:rPr>
        <w:t>the availability of the zinc metal</w:t>
      </w:r>
      <w:r>
        <w:rPr>
          <w:szCs w:val="24"/>
        </w:rPr>
        <w:t xml:space="preserve"> ions</w:t>
      </w:r>
      <w:r w:rsidRPr="00490216">
        <w:rPr>
          <w:szCs w:val="24"/>
        </w:rPr>
        <w:t>. The current results are at variance with what had been observed else</w:t>
      </w:r>
      <w:r>
        <w:rPr>
          <w:szCs w:val="24"/>
        </w:rPr>
        <w:t>w</w:t>
      </w:r>
      <w:r w:rsidRPr="00490216">
        <w:rPr>
          <w:szCs w:val="24"/>
        </w:rPr>
        <w:t xml:space="preserve">here for both soil and mature leaf zinc levels </w:t>
      </w:r>
      <w:r w:rsidR="003C3653">
        <w:rPr>
          <w:szCs w:val="24"/>
        </w:rPr>
        <w:fldChar w:fldCharType="begin"/>
      </w:r>
      <w:r w:rsidR="00EF448D">
        <w:rPr>
          <w:szCs w:val="24"/>
        </w:rPr>
        <w:instrText xml:space="preserve"> ADDIN EN.CITE &lt;EndNote&gt;&lt;Cite&gt;&lt;Author&gt;Pitigala&lt;/Author&gt;&lt;Year&gt;2013&lt;/Year&gt;&lt;RecNum&gt;184&lt;/RecNum&gt;&lt;DisplayText&gt;(Pitigala et al., 2013)&lt;/DisplayText&gt;&lt;record&gt;&lt;rec-number&gt;184&lt;/rec-number&gt;&lt;foreign-keys&gt;&lt;key app="EN" db-id="zx5vprwxa0rsabew9f9xp5fcs9tz0dzwa2fa" timestamp="1757263713"&gt;184&lt;/key&gt;&lt;/foreign-keys&gt;&lt;ref-type name="Conference Proceedings"&gt;10&lt;/ref-type&gt;&lt;contributors&gt;&lt;authors&gt;&lt;author&gt;Pitigala, P. K. D. S. D.&lt;/author&gt;&lt;author&gt;Gunarathne, G. P.&lt;/author&gt;&lt;author&gt;Abeysinghe, D. C.&lt;/author&gt;&lt;author&gt;Fernandopulle, M. N. D.&lt;/author&gt;&lt;/authors&gt;&lt;/contributors&gt;&lt;titles&gt;&lt;title&gt;&lt;style face="normal" font="default" size="100%"&gt;Effects of different application rates of nitrogen and potassium on soil and plant micronutrients status of tea &lt;/style&gt;&lt;style face="italic" font="default" size="100%"&gt;Carmellia sinensis&lt;/style&gt;&lt;/title&gt;&lt;secondary-title&gt;Proceedings of 12th Agricultural Research Symposium&lt;/secondary-title&gt;&lt;/titles&gt;&lt;pages&gt;199-203&lt;/pages&gt;&lt;dates&gt;&lt;year&gt;2013&lt;/year&gt;&lt;/dates&gt;&lt;urls&gt;&lt;/urls&gt;&lt;/record&gt;&lt;/Cite&gt;&lt;/EndNote&gt;</w:instrText>
      </w:r>
      <w:r w:rsidR="003C3653">
        <w:rPr>
          <w:szCs w:val="24"/>
        </w:rPr>
        <w:fldChar w:fldCharType="separate"/>
      </w:r>
      <w:r w:rsidR="00EF448D">
        <w:rPr>
          <w:noProof/>
          <w:szCs w:val="24"/>
        </w:rPr>
        <w:t>(Pitigala et al., 2013)</w:t>
      </w:r>
      <w:r w:rsidR="003C3653">
        <w:rPr>
          <w:szCs w:val="24"/>
        </w:rPr>
        <w:fldChar w:fldCharType="end"/>
      </w:r>
      <w:r w:rsidRPr="00490216">
        <w:rPr>
          <w:szCs w:val="24"/>
        </w:rPr>
        <w:t xml:space="preserve"> where increased nitrogen rates did not influence their levels. However, mature leaf zinc increased significantly with high nitrogen rates </w:t>
      </w:r>
      <w:r w:rsidR="003C3653">
        <w:rPr>
          <w:szCs w:val="24"/>
        </w:rPr>
        <w:fldChar w:fldCharType="begin"/>
      </w:r>
      <w:r w:rsidR="00EF448D">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sidRPr="00490216">
        <w:rPr>
          <w:szCs w:val="24"/>
        </w:rPr>
        <w:t xml:space="preserve">. These differences could possibly be due to varying environmental factors and soil characteristics in the locations. </w:t>
      </w:r>
      <w:r>
        <w:rPr>
          <w:szCs w:val="24"/>
        </w:rPr>
        <w:t>N</w:t>
      </w:r>
      <w:r w:rsidRPr="00490216">
        <w:rPr>
          <w:szCs w:val="24"/>
        </w:rPr>
        <w:t>itrogenous fertilizer should be applied judiciously to avoid acidifying tea soils and which might hinder the uptake of zinc.</w:t>
      </w:r>
    </w:p>
    <w:p w14:paraId="437E5B75" w14:textId="77777777" w:rsidR="00AC4080" w:rsidRPr="00975D1B" w:rsidRDefault="00AC4080" w:rsidP="00AC4080">
      <w:pPr>
        <w:rPr>
          <w:strike/>
          <w:szCs w:val="24"/>
        </w:rPr>
      </w:pPr>
    </w:p>
    <w:p w14:paraId="61877B75" w14:textId="77777777" w:rsidR="001515AD" w:rsidRPr="00C9399F" w:rsidRDefault="004071E8" w:rsidP="001515AD">
      <w:pPr>
        <w:autoSpaceDE w:val="0"/>
        <w:autoSpaceDN w:val="0"/>
        <w:adjustRightInd w:val="0"/>
        <w:spacing w:line="360" w:lineRule="auto"/>
        <w:rPr>
          <w:b/>
          <w:szCs w:val="24"/>
        </w:rPr>
      </w:pPr>
      <w:r>
        <w:rPr>
          <w:b/>
          <w:szCs w:val="24"/>
        </w:rPr>
        <w:t>Conclusion</w:t>
      </w:r>
    </w:p>
    <w:p w14:paraId="25981D2F" w14:textId="77777777" w:rsidR="00952708" w:rsidRDefault="008E5A61" w:rsidP="001515AD">
      <w:pPr>
        <w:spacing w:line="360" w:lineRule="auto"/>
        <w:rPr>
          <w:b/>
          <w:szCs w:val="24"/>
        </w:rPr>
      </w:pPr>
      <w:r w:rsidRPr="00975D1B">
        <w:rPr>
          <w:szCs w:val="24"/>
        </w:rPr>
        <w:t>Levels of s</w:t>
      </w:r>
      <w:r w:rsidR="001515AD" w:rsidRPr="00975D1B">
        <w:rPr>
          <w:szCs w:val="24"/>
        </w:rPr>
        <w:t xml:space="preserve">oil </w:t>
      </w:r>
      <w:r w:rsidRPr="00975D1B">
        <w:rPr>
          <w:szCs w:val="24"/>
        </w:rPr>
        <w:t xml:space="preserve">aluminum, iron, zinc and copper </w:t>
      </w:r>
      <w:r w:rsidR="001515AD" w:rsidRPr="00975D1B">
        <w:rPr>
          <w:szCs w:val="24"/>
        </w:rPr>
        <w:t>changed (p≤0.05) with location of production</w:t>
      </w:r>
      <w:r w:rsidRPr="00975D1B">
        <w:rPr>
          <w:szCs w:val="24"/>
        </w:rPr>
        <w:t xml:space="preserve">, </w:t>
      </w:r>
      <w:r w:rsidR="001515AD" w:rsidRPr="00975D1B">
        <w:rPr>
          <w:szCs w:val="24"/>
        </w:rPr>
        <w:t>demonstrat</w:t>
      </w:r>
      <w:r w:rsidRPr="00975D1B">
        <w:rPr>
          <w:szCs w:val="24"/>
        </w:rPr>
        <w:t>ing</w:t>
      </w:r>
      <w:r w:rsidR="001515AD" w:rsidRPr="00975D1B">
        <w:rPr>
          <w:szCs w:val="24"/>
        </w:rPr>
        <w:t xml:space="preserve"> that the </w:t>
      </w:r>
      <w:r w:rsidRPr="00975D1B">
        <w:rPr>
          <w:szCs w:val="24"/>
        </w:rPr>
        <w:t xml:space="preserve">levels of the nutrients </w:t>
      </w:r>
      <w:r w:rsidR="001515AD" w:rsidRPr="00975D1B">
        <w:rPr>
          <w:szCs w:val="24"/>
        </w:rPr>
        <w:t xml:space="preserve">were specific to </w:t>
      </w:r>
      <w:r w:rsidRPr="00975D1B">
        <w:rPr>
          <w:szCs w:val="24"/>
        </w:rPr>
        <w:t>location</w:t>
      </w:r>
      <w:r w:rsidR="001515AD" w:rsidRPr="00975D1B">
        <w:rPr>
          <w:szCs w:val="24"/>
        </w:rPr>
        <w:t xml:space="preserve"> of production. The</w:t>
      </w:r>
      <w:r w:rsidRPr="00975D1B">
        <w:rPr>
          <w:szCs w:val="24"/>
        </w:rPr>
        <w:t xml:space="preserve">se </w:t>
      </w:r>
      <w:r w:rsidR="001515AD" w:rsidRPr="00975D1B">
        <w:rPr>
          <w:szCs w:val="24"/>
        </w:rPr>
        <w:t xml:space="preserve">variations </w:t>
      </w:r>
      <w:r w:rsidRPr="00975D1B">
        <w:rPr>
          <w:szCs w:val="24"/>
        </w:rPr>
        <w:t xml:space="preserve">were </w:t>
      </w:r>
      <w:proofErr w:type="gramStart"/>
      <w:r w:rsidRPr="00975D1B">
        <w:rPr>
          <w:szCs w:val="24"/>
        </w:rPr>
        <w:t xml:space="preserve">due </w:t>
      </w:r>
      <w:r w:rsidR="001515AD" w:rsidRPr="00975D1B">
        <w:rPr>
          <w:szCs w:val="24"/>
        </w:rPr>
        <w:t xml:space="preserve"> </w:t>
      </w:r>
      <w:r w:rsidRPr="00975D1B">
        <w:rPr>
          <w:szCs w:val="24"/>
        </w:rPr>
        <w:t>to</w:t>
      </w:r>
      <w:proofErr w:type="gramEnd"/>
      <w:r w:rsidRPr="00975D1B">
        <w:rPr>
          <w:szCs w:val="24"/>
        </w:rPr>
        <w:t xml:space="preserve"> </w:t>
      </w:r>
      <w:r w:rsidR="001515AD" w:rsidRPr="00975D1B">
        <w:rPr>
          <w:szCs w:val="24"/>
        </w:rPr>
        <w:t xml:space="preserve">environmental factors </w:t>
      </w:r>
      <w:r w:rsidRPr="00975D1B">
        <w:rPr>
          <w:szCs w:val="24"/>
        </w:rPr>
        <w:t>including site geology</w:t>
      </w:r>
      <w:r w:rsidR="001515AD" w:rsidRPr="00975D1B">
        <w:rPr>
          <w:szCs w:val="24"/>
        </w:rPr>
        <w:t xml:space="preserve">. These variations may in part </w:t>
      </w:r>
      <w:r w:rsidRPr="00975D1B">
        <w:rPr>
          <w:szCs w:val="24"/>
        </w:rPr>
        <w:t xml:space="preserve">be the </w:t>
      </w:r>
      <w:r w:rsidR="00975D1B" w:rsidRPr="00975D1B">
        <w:rPr>
          <w:szCs w:val="24"/>
        </w:rPr>
        <w:t xml:space="preserve">cause </w:t>
      </w:r>
      <w:r w:rsidR="001515AD" w:rsidRPr="00975D1B">
        <w:rPr>
          <w:szCs w:val="24"/>
        </w:rPr>
        <w:t xml:space="preserve">of the </w:t>
      </w:r>
      <w:r w:rsidR="00975D1B" w:rsidRPr="00975D1B">
        <w:rPr>
          <w:szCs w:val="24"/>
        </w:rPr>
        <w:t xml:space="preserve">differences </w:t>
      </w:r>
      <w:r w:rsidR="001515AD" w:rsidRPr="00975D1B">
        <w:rPr>
          <w:szCs w:val="24"/>
        </w:rPr>
        <w:lastRenderedPageBreak/>
        <w:t xml:space="preserve">in yields </w:t>
      </w:r>
      <w:r w:rsidR="00975D1B" w:rsidRPr="00975D1B">
        <w:rPr>
          <w:szCs w:val="24"/>
        </w:rPr>
        <w:t>and quality</w:t>
      </w:r>
      <w:r w:rsidR="001515AD" w:rsidRPr="00975D1B">
        <w:rPr>
          <w:szCs w:val="24"/>
        </w:rPr>
        <w:t xml:space="preserve"> observed in the past.</w:t>
      </w:r>
      <w:r w:rsidR="00975D1B" w:rsidRPr="00975D1B">
        <w:rPr>
          <w:szCs w:val="24"/>
        </w:rPr>
        <w:t xml:space="preserve"> </w:t>
      </w:r>
      <w:r w:rsidR="001515AD" w:rsidRPr="00975D1B">
        <w:rPr>
          <w:szCs w:val="24"/>
        </w:rPr>
        <w:t xml:space="preserve">While zinc declined (p≤0.05), levels of soil </w:t>
      </w:r>
      <w:proofErr w:type="spellStart"/>
      <w:r w:rsidR="001515AD" w:rsidRPr="00975D1B">
        <w:rPr>
          <w:szCs w:val="24"/>
        </w:rPr>
        <w:t>aluminium</w:t>
      </w:r>
      <w:proofErr w:type="spellEnd"/>
      <w:r w:rsidR="001515AD" w:rsidRPr="00975D1B">
        <w:rPr>
          <w:szCs w:val="24"/>
        </w:rPr>
        <w:t>, copper</w:t>
      </w:r>
      <w:r w:rsidR="004071E8" w:rsidRPr="00975D1B">
        <w:rPr>
          <w:szCs w:val="24"/>
        </w:rPr>
        <w:t xml:space="preserve"> and</w:t>
      </w:r>
      <w:r w:rsidR="001515AD" w:rsidRPr="00975D1B">
        <w:rPr>
          <w:szCs w:val="24"/>
        </w:rPr>
        <w:t xml:space="preserve"> iron increased (p≤0.05) with rise in nitrogenous fertilizer rates at all sites. </w:t>
      </w:r>
      <w:r w:rsidR="00975D1B" w:rsidRPr="00975D1B">
        <w:rPr>
          <w:szCs w:val="24"/>
        </w:rPr>
        <w:t>N</w:t>
      </w:r>
      <w:r w:rsidR="001515AD" w:rsidRPr="00975D1B">
        <w:rPr>
          <w:szCs w:val="24"/>
        </w:rPr>
        <w:t xml:space="preserve">itrogen fertilizer application is one way of improving levels of </w:t>
      </w:r>
      <w:r w:rsidR="00975D1B" w:rsidRPr="00975D1B">
        <w:rPr>
          <w:szCs w:val="24"/>
        </w:rPr>
        <w:t>aluminum, copper and iron</w:t>
      </w:r>
      <w:r w:rsidR="001515AD" w:rsidRPr="00975D1B">
        <w:rPr>
          <w:szCs w:val="24"/>
        </w:rPr>
        <w:t xml:space="preserve"> in tea farms. However, continuous application of high rates of nitrogenous fertilizers could cause </w:t>
      </w:r>
      <w:r w:rsidR="00975D1B" w:rsidRPr="00975D1B">
        <w:rPr>
          <w:szCs w:val="24"/>
        </w:rPr>
        <w:t xml:space="preserve">toxicity of these nutrients while causing zinc deficiency in the tea </w:t>
      </w:r>
      <w:r w:rsidR="001515AD" w:rsidRPr="00975D1B">
        <w:rPr>
          <w:szCs w:val="24"/>
        </w:rPr>
        <w:t>soil</w:t>
      </w:r>
      <w:r w:rsidR="00975D1B" w:rsidRPr="00975D1B">
        <w:rPr>
          <w:szCs w:val="24"/>
        </w:rPr>
        <w:t>s. These micronutrients imbalance caused by application of nitrogenous fertilizer may be difficult to correct and may make future tea production uncertain.</w:t>
      </w:r>
      <w:r w:rsidR="00975D1B">
        <w:rPr>
          <w:szCs w:val="24"/>
        </w:rPr>
        <w:t xml:space="preserve"> </w:t>
      </w:r>
      <w:r w:rsidR="00975D1B" w:rsidRPr="00975D1B">
        <w:rPr>
          <w:szCs w:val="24"/>
        </w:rPr>
        <w:t>Plucking intervals did not influence levels of these micronutrients.</w:t>
      </w:r>
    </w:p>
    <w:p w14:paraId="2EB9CBD8" w14:textId="77777777" w:rsidR="00952708" w:rsidRDefault="00952708" w:rsidP="00774415">
      <w:pPr>
        <w:pStyle w:val="EndNoteBibliography"/>
        <w:ind w:left="720" w:hanging="720"/>
        <w:rPr>
          <w:rFonts w:eastAsia="Times New Roman"/>
          <w:b/>
          <w:bCs/>
          <w:iCs/>
          <w:szCs w:val="24"/>
        </w:rPr>
      </w:pPr>
      <w:bookmarkStart w:id="2" w:name="_Toc532602702"/>
      <w:bookmarkStart w:id="3" w:name="_GoBack"/>
      <w:bookmarkEnd w:id="3"/>
    </w:p>
    <w:p w14:paraId="28CDEEB1" w14:textId="77777777" w:rsidR="00792BDF" w:rsidRPr="00FF4855" w:rsidRDefault="00774415" w:rsidP="00774415">
      <w:pPr>
        <w:pStyle w:val="EndNoteBibliography"/>
        <w:ind w:left="720" w:hanging="720"/>
        <w:rPr>
          <w:rFonts w:eastAsia="Times New Roman"/>
          <w:b/>
          <w:bCs/>
          <w:iCs/>
          <w:szCs w:val="24"/>
          <w:lang w:val="pt-BR"/>
        </w:rPr>
      </w:pPr>
      <w:r w:rsidRPr="00FF4855">
        <w:rPr>
          <w:rFonts w:eastAsia="Times New Roman"/>
          <w:b/>
          <w:bCs/>
          <w:iCs/>
          <w:szCs w:val="24"/>
          <w:lang w:val="pt-BR"/>
        </w:rPr>
        <w:t>REFERENCES</w:t>
      </w:r>
      <w:bookmarkEnd w:id="2"/>
    </w:p>
    <w:p w14:paraId="7F4AD23D" w14:textId="16DB05F0" w:rsidR="00530ED0" w:rsidRPr="00530ED0" w:rsidRDefault="003C3653" w:rsidP="00530ED0">
      <w:pPr>
        <w:pStyle w:val="EndNoteBibliography"/>
        <w:ind w:left="720" w:hanging="720"/>
      </w:pPr>
      <w:r>
        <w:rPr>
          <w:b/>
          <w:szCs w:val="24"/>
        </w:rPr>
        <w:fldChar w:fldCharType="begin"/>
      </w:r>
      <w:r w:rsidR="00774415" w:rsidRPr="00FF4855">
        <w:rPr>
          <w:b/>
          <w:szCs w:val="24"/>
          <w:lang w:val="pt-BR"/>
        </w:rPr>
        <w:instrText xml:space="preserve"> ADDIN EN.REFLIST </w:instrText>
      </w:r>
      <w:r>
        <w:rPr>
          <w:b/>
          <w:szCs w:val="24"/>
        </w:rPr>
        <w:fldChar w:fldCharType="separate"/>
      </w:r>
      <w:r w:rsidR="00530ED0" w:rsidRPr="00FF4855">
        <w:rPr>
          <w:lang w:val="pt-BR"/>
        </w:rPr>
        <w:t xml:space="preserve">Adiloğlu, A., &amp; Adiloğlu, S. (2006). </w:t>
      </w:r>
      <w:r w:rsidR="00530ED0" w:rsidRPr="00530ED0">
        <w:t>An investigation on nutritional status of tea (</w:t>
      </w:r>
      <w:r w:rsidR="00530ED0" w:rsidRPr="00530ED0">
        <w:rPr>
          <w:i/>
        </w:rPr>
        <w:t>Camellia sinensis</w:t>
      </w:r>
      <w:r w:rsidR="00530ED0" w:rsidRPr="00530ED0">
        <w:t xml:space="preserve"> L.) grown in eastern Black Sea region of Turkey. </w:t>
      </w:r>
      <w:r w:rsidR="00530ED0" w:rsidRPr="00530ED0">
        <w:rPr>
          <w:i/>
        </w:rPr>
        <w:t>Pakistan Journal of Biological Sciences</w:t>
      </w:r>
      <w:r w:rsidR="00530ED0" w:rsidRPr="00530ED0">
        <w:t>,</w:t>
      </w:r>
      <w:r w:rsidR="00530ED0" w:rsidRPr="00530ED0">
        <w:rPr>
          <w:i/>
        </w:rPr>
        <w:t xml:space="preserve"> 9</w:t>
      </w:r>
      <w:r w:rsidR="00530ED0" w:rsidRPr="00530ED0">
        <w:t xml:space="preserve">(3), 365-370. </w:t>
      </w:r>
      <w:r w:rsidR="00FF4855" w:rsidRPr="00FF4855">
        <w:t>https://doi.org/10.3923/pjbs.2006.365.370</w:t>
      </w:r>
      <w:r w:rsidR="00FF4855">
        <w:t xml:space="preserve"> </w:t>
      </w:r>
    </w:p>
    <w:p w14:paraId="74707B79" w14:textId="77777777" w:rsidR="00530ED0" w:rsidRPr="00530ED0" w:rsidRDefault="00530ED0" w:rsidP="00530ED0">
      <w:pPr>
        <w:pStyle w:val="EndNoteBibliography"/>
        <w:ind w:left="720" w:hanging="720"/>
      </w:pPr>
      <w:r w:rsidRPr="00530ED0">
        <w:t xml:space="preserve">Awasom, I. (2011). Tea. </w:t>
      </w:r>
      <w:r w:rsidRPr="00530ED0">
        <w:rPr>
          <w:i/>
        </w:rPr>
        <w:t>Journal of Agricultural &amp; Food Information</w:t>
      </w:r>
      <w:r w:rsidRPr="00530ED0">
        <w:t>,</w:t>
      </w:r>
      <w:r w:rsidRPr="00530ED0">
        <w:rPr>
          <w:i/>
        </w:rPr>
        <w:t xml:space="preserve"> 12</w:t>
      </w:r>
      <w:r w:rsidRPr="00530ED0">
        <w:t xml:space="preserve">(1), 12-22. </w:t>
      </w:r>
      <w:hyperlink r:id="rId26" w:history="1">
        <w:r w:rsidRPr="00530ED0">
          <w:rPr>
            <w:rStyle w:val="Hyperlink"/>
          </w:rPr>
          <w:t>https://doi.org/https://doi.org/10.1080/10496505.2011.540552</w:t>
        </w:r>
      </w:hyperlink>
      <w:r w:rsidRPr="00530ED0">
        <w:t xml:space="preserve"> </w:t>
      </w:r>
    </w:p>
    <w:p w14:paraId="1A3DC0FA" w14:textId="77777777" w:rsidR="00530ED0" w:rsidRPr="00530ED0" w:rsidRDefault="00530ED0" w:rsidP="00530ED0">
      <w:pPr>
        <w:pStyle w:val="EndNoteBibliography"/>
        <w:ind w:left="720" w:hanging="720"/>
      </w:pPr>
      <w:r w:rsidRPr="00530ED0">
        <w:t xml:space="preserve">Barooah, A., Barooah, A. K., Yadav, R. N. S., Gohian, K. K., &amp; Adhyapak, M. P. (2005). Soil quality assessment with respect to micronutrient status. Proceedings of 34th Tocklai conference strategies for quality, TRA, Tocklai experimental Station, Jorhat, Assam, India, </w:t>
      </w:r>
    </w:p>
    <w:p w14:paraId="4E20FF93" w14:textId="77777777" w:rsidR="00530ED0" w:rsidRPr="00530ED0" w:rsidRDefault="00530ED0" w:rsidP="00530ED0">
      <w:pPr>
        <w:pStyle w:val="EndNoteBibliography"/>
        <w:ind w:left="720" w:hanging="720"/>
      </w:pPr>
      <w:r w:rsidRPr="00FF4855">
        <w:rPr>
          <w:lang w:val="pt-BR"/>
        </w:rPr>
        <w:t xml:space="preserve">Bose, J., Babourina, O., Ma, Y., Zhou, M., Shabala, S., &amp; Rengel, Z. (2015). </w:t>
      </w:r>
      <w:r w:rsidRPr="00530ED0">
        <w:t xml:space="preserve">Specificity of ion uptake and homeostasis maintenance during acid and aluminium stresses. In </w:t>
      </w:r>
      <w:r w:rsidRPr="00530ED0">
        <w:rPr>
          <w:i/>
        </w:rPr>
        <w:t>Aluminum stress adaptation in plants</w:t>
      </w:r>
      <w:r w:rsidRPr="00530ED0">
        <w:t xml:space="preserve"> (pp. 229-251). Springer. </w:t>
      </w:r>
      <w:hyperlink r:id="rId27" w:history="1">
        <w:r w:rsidRPr="00530ED0">
          <w:rPr>
            <w:rStyle w:val="Hyperlink"/>
          </w:rPr>
          <w:t>https://doi.org/https://doi.org/10.1007/978-3-319-19968-9_12</w:t>
        </w:r>
      </w:hyperlink>
      <w:r w:rsidRPr="00530ED0">
        <w:t xml:space="preserve"> </w:t>
      </w:r>
    </w:p>
    <w:p w14:paraId="62F9928D" w14:textId="2E9E31EF" w:rsidR="00530ED0" w:rsidRPr="00530ED0" w:rsidRDefault="00530ED0" w:rsidP="00530ED0">
      <w:pPr>
        <w:pStyle w:val="EndNoteBibliography"/>
        <w:ind w:left="720" w:hanging="720"/>
      </w:pPr>
      <w:r w:rsidRPr="00530ED0">
        <w:t xml:space="preserve">Chong, K. P., Ho, T. Y., &amp; Jalloh, M. B. (2008). Soil nitrogen phosphorus and tea leaf growth in organic and conventional farming of selected fields at Sabah Tea plantation slope. </w:t>
      </w:r>
      <w:r w:rsidRPr="00530ED0">
        <w:rPr>
          <w:i/>
        </w:rPr>
        <w:t>Journal of Sustainable Development</w:t>
      </w:r>
      <w:r w:rsidRPr="00530ED0">
        <w:t>,</w:t>
      </w:r>
      <w:r w:rsidRPr="00530ED0">
        <w:rPr>
          <w:i/>
        </w:rPr>
        <w:t xml:space="preserve"> 1</w:t>
      </w:r>
      <w:r w:rsidRPr="00530ED0">
        <w:t xml:space="preserve">(3), 117-122. </w:t>
      </w:r>
      <w:r w:rsidR="00FF4855" w:rsidRPr="00FF4855">
        <w:t>https://doi.org/10.5539/jsd.v1n3p117</w:t>
      </w:r>
      <w:r w:rsidR="00FF4855">
        <w:t xml:space="preserve"> </w:t>
      </w:r>
    </w:p>
    <w:p w14:paraId="1B78177F" w14:textId="77777777" w:rsidR="00530ED0" w:rsidRPr="00530ED0" w:rsidRDefault="00530ED0" w:rsidP="00530ED0">
      <w:pPr>
        <w:pStyle w:val="EndNoteBibliography"/>
        <w:ind w:left="720" w:hanging="720"/>
      </w:pPr>
      <w:r w:rsidRPr="00530ED0">
        <w:t xml:space="preserve">Dang, M. V. (2005). Soil–plant nutrient balance of tea crops in the northern mountainous region, Vietnam. </w:t>
      </w:r>
      <w:r w:rsidRPr="00530ED0">
        <w:rPr>
          <w:i/>
        </w:rPr>
        <w:t>Agriculture, ecosystems &amp; environment</w:t>
      </w:r>
      <w:r w:rsidRPr="00530ED0">
        <w:t>,</w:t>
      </w:r>
      <w:r w:rsidRPr="00530ED0">
        <w:rPr>
          <w:i/>
        </w:rPr>
        <w:t xml:space="preserve"> 105</w:t>
      </w:r>
      <w:r w:rsidRPr="00530ED0">
        <w:t xml:space="preserve">(1-2), 413-418. </w:t>
      </w:r>
      <w:hyperlink r:id="rId28" w:history="1">
        <w:r w:rsidRPr="00530ED0">
          <w:rPr>
            <w:rStyle w:val="Hyperlink"/>
          </w:rPr>
          <w:t>https://doi.org/https://doi.org/10.1016/j.agee.2004.05.004</w:t>
        </w:r>
      </w:hyperlink>
      <w:r w:rsidRPr="00530ED0">
        <w:t xml:space="preserve"> </w:t>
      </w:r>
    </w:p>
    <w:p w14:paraId="692A28AB" w14:textId="77777777" w:rsidR="00530ED0" w:rsidRPr="00530ED0" w:rsidRDefault="00530ED0" w:rsidP="00530ED0">
      <w:pPr>
        <w:pStyle w:val="EndNoteBibliography"/>
        <w:ind w:left="720" w:hanging="720"/>
      </w:pPr>
      <w:r w:rsidRPr="00530ED0">
        <w:t>de Silva, J., Tuwei, G., &amp; Zhao, F.-J. (2016). Environmental factors influencing aluminium accumulation in tea (</w:t>
      </w:r>
      <w:r w:rsidRPr="00530ED0">
        <w:rPr>
          <w:i/>
        </w:rPr>
        <w:t>Camellia sinensis</w:t>
      </w:r>
      <w:r w:rsidRPr="00530ED0">
        <w:t xml:space="preserve"> L.). </w:t>
      </w:r>
      <w:r w:rsidRPr="00530ED0">
        <w:rPr>
          <w:i/>
        </w:rPr>
        <w:t>Plant and Soil</w:t>
      </w:r>
      <w:r w:rsidRPr="00530ED0">
        <w:t>,</w:t>
      </w:r>
      <w:r w:rsidRPr="00530ED0">
        <w:rPr>
          <w:i/>
        </w:rPr>
        <w:t xml:space="preserve"> 400</w:t>
      </w:r>
      <w:r w:rsidRPr="00530ED0">
        <w:t xml:space="preserve">(1), 223-230. </w:t>
      </w:r>
      <w:hyperlink r:id="rId29" w:history="1">
        <w:r w:rsidRPr="00530ED0">
          <w:rPr>
            <w:rStyle w:val="Hyperlink"/>
          </w:rPr>
          <w:t>https://doi.org/https://doi.org/10.1007/s11104-015-2729-5</w:t>
        </w:r>
      </w:hyperlink>
      <w:r w:rsidRPr="00530ED0">
        <w:t xml:space="preserve"> </w:t>
      </w:r>
    </w:p>
    <w:p w14:paraId="1167178B" w14:textId="77777777" w:rsidR="00530ED0" w:rsidRPr="00530ED0" w:rsidRDefault="00530ED0" w:rsidP="00530ED0">
      <w:pPr>
        <w:pStyle w:val="EndNoteBibliography"/>
        <w:ind w:left="720" w:hanging="720"/>
      </w:pPr>
      <w:r w:rsidRPr="00530ED0">
        <w:t xml:space="preserve">Dey, S., Mazumder, P. á., &amp; Paul, S. á. (2015). Copper-induced changes in growth and antioxidative mechanisms of tea plant (Camellia sinensis (L.) O. Kuntze). </w:t>
      </w:r>
      <w:r w:rsidRPr="00530ED0">
        <w:rPr>
          <w:i/>
        </w:rPr>
        <w:t>African Journal of Biotechnology</w:t>
      </w:r>
      <w:r w:rsidRPr="00530ED0">
        <w:t>,</w:t>
      </w:r>
      <w:r w:rsidRPr="00530ED0">
        <w:rPr>
          <w:i/>
        </w:rPr>
        <w:t xml:space="preserve"> 14</w:t>
      </w:r>
      <w:r w:rsidRPr="00530ED0">
        <w:t xml:space="preserve">(7), 582-592. </w:t>
      </w:r>
      <w:hyperlink r:id="rId30" w:history="1">
        <w:r w:rsidRPr="00530ED0">
          <w:rPr>
            <w:rStyle w:val="Hyperlink"/>
          </w:rPr>
          <w:t>https://doi.org/10.5897/AJB2014.14279</w:t>
        </w:r>
      </w:hyperlink>
      <w:r w:rsidRPr="00530ED0">
        <w:t xml:space="preserve"> </w:t>
      </w:r>
    </w:p>
    <w:p w14:paraId="3AFEE6CB" w14:textId="06E755B4" w:rsidR="00530ED0" w:rsidRPr="00530ED0" w:rsidRDefault="00530ED0" w:rsidP="00530ED0">
      <w:pPr>
        <w:pStyle w:val="EndNoteBibliography"/>
        <w:ind w:left="720" w:hanging="720"/>
      </w:pPr>
      <w:r w:rsidRPr="00530ED0">
        <w:t xml:space="preserve">Flynn, R. (2015). </w:t>
      </w:r>
      <w:r w:rsidRPr="00530ED0">
        <w:rPr>
          <w:i/>
        </w:rPr>
        <w:t>Interpreting soil tests: Unlock the secrets of your soil</w:t>
      </w:r>
      <w:r w:rsidRPr="00530ED0">
        <w:t xml:space="preserve">. New Mexicio State University, Cooperative Extension Service, College of Agricultural Sciences. </w:t>
      </w:r>
      <w:r w:rsidR="00FF4855" w:rsidRPr="00FF4855">
        <w:t>https://pubs.nmsu.edu/_circulars/CR676/</w:t>
      </w:r>
      <w:r w:rsidR="00FF4855">
        <w:t xml:space="preserve"> </w:t>
      </w:r>
    </w:p>
    <w:p w14:paraId="5FE8D588" w14:textId="77777777" w:rsidR="00530ED0" w:rsidRPr="00530ED0" w:rsidRDefault="00530ED0" w:rsidP="00530ED0">
      <w:pPr>
        <w:pStyle w:val="EndNoteBibliography"/>
        <w:ind w:left="720" w:hanging="720"/>
      </w:pPr>
      <w:r w:rsidRPr="00530ED0">
        <w:t xml:space="preserve">Fung, K. F., Carr, H. P., Zhang, J., &amp; Wong, M. H. (2008). Growth and nutrient uptake of tea under different aluminium concentrations. </w:t>
      </w:r>
      <w:r w:rsidRPr="00530ED0">
        <w:rPr>
          <w:i/>
        </w:rPr>
        <w:t>Journal of the Science of Food and Agriculture</w:t>
      </w:r>
      <w:r w:rsidRPr="00530ED0">
        <w:t>,</w:t>
      </w:r>
      <w:r w:rsidRPr="00530ED0">
        <w:rPr>
          <w:i/>
        </w:rPr>
        <w:t xml:space="preserve"> 88</w:t>
      </w:r>
      <w:r w:rsidRPr="00530ED0">
        <w:t xml:space="preserve">(9), 1582-1591. </w:t>
      </w:r>
      <w:hyperlink r:id="rId31" w:history="1">
        <w:r w:rsidRPr="00530ED0">
          <w:rPr>
            <w:rStyle w:val="Hyperlink"/>
          </w:rPr>
          <w:t>https://doi.org/</w:t>
        </w:r>
      </w:hyperlink>
      <w:r w:rsidRPr="00530ED0">
        <w:t xml:space="preserve"> </w:t>
      </w:r>
      <w:hyperlink r:id="rId32" w:history="1">
        <w:r w:rsidRPr="00530ED0">
          <w:rPr>
            <w:rStyle w:val="Hyperlink"/>
          </w:rPr>
          <w:t>https://doi.org/10.1002/jsfa.3254</w:t>
        </w:r>
      </w:hyperlink>
      <w:r w:rsidRPr="00530ED0">
        <w:t xml:space="preserve"> </w:t>
      </w:r>
    </w:p>
    <w:p w14:paraId="0254AFCE" w14:textId="77777777" w:rsidR="00530ED0" w:rsidRPr="00530ED0" w:rsidRDefault="00530ED0" w:rsidP="00530ED0">
      <w:pPr>
        <w:pStyle w:val="EndNoteBibliography"/>
        <w:ind w:left="720" w:hanging="720"/>
      </w:pPr>
      <w:r w:rsidRPr="00530ED0">
        <w:t xml:space="preserve">Ghanati, F., Morita, A., &amp; Yokota, H. (2005). Effects of aluminum on the growth of tea plant and activation of antioxidant system. </w:t>
      </w:r>
      <w:r w:rsidRPr="00530ED0">
        <w:rPr>
          <w:i/>
        </w:rPr>
        <w:t>Plant and Soil</w:t>
      </w:r>
      <w:r w:rsidRPr="00530ED0">
        <w:t>,</w:t>
      </w:r>
      <w:r w:rsidRPr="00530ED0">
        <w:rPr>
          <w:i/>
        </w:rPr>
        <w:t xml:space="preserve"> 276</w:t>
      </w:r>
      <w:r w:rsidRPr="00530ED0">
        <w:t xml:space="preserve">(1), 133-141. </w:t>
      </w:r>
      <w:hyperlink r:id="rId33" w:history="1">
        <w:r w:rsidRPr="00530ED0">
          <w:rPr>
            <w:rStyle w:val="Hyperlink"/>
          </w:rPr>
          <w:t>https://doi.org/https://doi.org/10.1007/s11104-005-3697-y</w:t>
        </w:r>
      </w:hyperlink>
      <w:r w:rsidRPr="00530ED0">
        <w:t xml:space="preserve"> </w:t>
      </w:r>
    </w:p>
    <w:p w14:paraId="05E92CCF" w14:textId="77777777" w:rsidR="00530ED0" w:rsidRPr="00530ED0" w:rsidRDefault="00530ED0" w:rsidP="00530ED0">
      <w:pPr>
        <w:pStyle w:val="EndNoteBibliography"/>
        <w:ind w:left="720" w:hanging="720"/>
      </w:pPr>
      <w:r w:rsidRPr="00530ED0">
        <w:t xml:space="preserve">Hajiboland, R. (2017). Environmental and nutritional requirements for tea cultivation. </w:t>
      </w:r>
      <w:r w:rsidRPr="00530ED0">
        <w:rPr>
          <w:i/>
        </w:rPr>
        <w:t>Folia horticulturae</w:t>
      </w:r>
      <w:r w:rsidRPr="00530ED0">
        <w:t>,</w:t>
      </w:r>
      <w:r w:rsidRPr="00530ED0">
        <w:rPr>
          <w:i/>
        </w:rPr>
        <w:t xml:space="preserve"> 29</w:t>
      </w:r>
      <w:r w:rsidRPr="00530ED0">
        <w:t xml:space="preserve">(2), 199-220. </w:t>
      </w:r>
      <w:hyperlink r:id="rId34" w:history="1">
        <w:r w:rsidRPr="00530ED0">
          <w:rPr>
            <w:rStyle w:val="Hyperlink"/>
          </w:rPr>
          <w:t>https://doi.org/DOI</w:t>
        </w:r>
      </w:hyperlink>
      <w:r w:rsidRPr="00530ED0">
        <w:t xml:space="preserve">: 10.1515/fhort-2017-0019 </w:t>
      </w:r>
    </w:p>
    <w:p w14:paraId="5D68B2CD" w14:textId="77777777" w:rsidR="00530ED0" w:rsidRPr="00530ED0" w:rsidRDefault="00530ED0" w:rsidP="00530ED0">
      <w:pPr>
        <w:pStyle w:val="EndNoteBibliography"/>
        <w:ind w:left="720" w:hanging="720"/>
      </w:pPr>
      <w:r w:rsidRPr="00530ED0">
        <w:t xml:space="preserve">Hajiboland, R. (2018). Nutrient deficiency and abundance in tea plants: metabolism to productivity. In W.-Y. Han, X. Li, &amp; G. J. Ahammed (Eds.), </w:t>
      </w:r>
      <w:r w:rsidRPr="00530ED0">
        <w:rPr>
          <w:i/>
        </w:rPr>
        <w:t>Stress Physiology of Tea in the Face of Climate Change</w:t>
      </w:r>
      <w:r w:rsidRPr="00530ED0">
        <w:t xml:space="preserve"> (pp. 173-215). Springer </w:t>
      </w:r>
      <w:hyperlink r:id="rId35" w:history="1">
        <w:r w:rsidRPr="00530ED0">
          <w:rPr>
            <w:rStyle w:val="Hyperlink"/>
          </w:rPr>
          <w:t>https://doi.org/https://doi.org/10.1007/978-981-13-2140-5_9</w:t>
        </w:r>
      </w:hyperlink>
      <w:r w:rsidRPr="00530ED0">
        <w:t xml:space="preserve"> </w:t>
      </w:r>
    </w:p>
    <w:p w14:paraId="14A05CC0" w14:textId="77777777" w:rsidR="00530ED0" w:rsidRPr="00530ED0" w:rsidRDefault="00530ED0" w:rsidP="00530ED0">
      <w:pPr>
        <w:pStyle w:val="EndNoteBibliography"/>
        <w:ind w:left="720" w:hanging="720"/>
      </w:pPr>
      <w:r w:rsidRPr="00530ED0">
        <w:t xml:space="preserve">Hajiboland, R., Bahrami Rad, S., Barceló, J., &amp; Poschenrieder, C. (2013). Mechanisms of aluminum‐induced growth stimulation in tea (Camellia sinensis). </w:t>
      </w:r>
      <w:r w:rsidRPr="00530ED0">
        <w:rPr>
          <w:i/>
        </w:rPr>
        <w:t>Journal of Plant Nutrition and Soil Science</w:t>
      </w:r>
      <w:r w:rsidRPr="00530ED0">
        <w:t>,</w:t>
      </w:r>
      <w:r w:rsidRPr="00530ED0">
        <w:rPr>
          <w:i/>
        </w:rPr>
        <w:t xml:space="preserve"> 176</w:t>
      </w:r>
      <w:r w:rsidRPr="00530ED0">
        <w:t xml:space="preserve">(4), 616-625. </w:t>
      </w:r>
      <w:hyperlink r:id="rId36" w:history="1">
        <w:r w:rsidRPr="00530ED0">
          <w:rPr>
            <w:rStyle w:val="Hyperlink"/>
          </w:rPr>
          <w:t>https://doi.org/</w:t>
        </w:r>
      </w:hyperlink>
      <w:r w:rsidRPr="00530ED0">
        <w:t xml:space="preserve"> </w:t>
      </w:r>
      <w:hyperlink r:id="rId37" w:history="1">
        <w:r w:rsidRPr="00530ED0">
          <w:rPr>
            <w:rStyle w:val="Hyperlink"/>
          </w:rPr>
          <w:t>https://doi.org/10.1002/jpln.201200311</w:t>
        </w:r>
      </w:hyperlink>
      <w:r w:rsidRPr="00530ED0">
        <w:t xml:space="preserve"> </w:t>
      </w:r>
    </w:p>
    <w:p w14:paraId="6712E6B9" w14:textId="77777777" w:rsidR="00530ED0" w:rsidRPr="00530ED0" w:rsidRDefault="00530ED0" w:rsidP="00530ED0">
      <w:pPr>
        <w:pStyle w:val="EndNoteBibliography"/>
        <w:ind w:left="720" w:hanging="720"/>
      </w:pPr>
      <w:r w:rsidRPr="00530ED0">
        <w:lastRenderedPageBreak/>
        <w:t xml:space="preserve">Huang, L., Yuan, J., Wang, H., Tan, X., &amp; Niu, G. (2017). Aluminum stress affects growth and physiological characteristics in oil tea. </w:t>
      </w:r>
      <w:r w:rsidRPr="00530ED0">
        <w:rPr>
          <w:i/>
        </w:rPr>
        <w:t>HortScience</w:t>
      </w:r>
      <w:r w:rsidRPr="00530ED0">
        <w:t>,</w:t>
      </w:r>
      <w:r w:rsidRPr="00530ED0">
        <w:rPr>
          <w:i/>
        </w:rPr>
        <w:t xml:space="preserve"> 52</w:t>
      </w:r>
      <w:r w:rsidRPr="00530ED0">
        <w:t xml:space="preserve">(11), 1601-1607. </w:t>
      </w:r>
      <w:hyperlink r:id="rId38" w:history="1">
        <w:r w:rsidRPr="00530ED0">
          <w:rPr>
            <w:rStyle w:val="Hyperlink"/>
          </w:rPr>
          <w:t>https://doi.org/10.21273/HORTSCI12268-17</w:t>
        </w:r>
      </w:hyperlink>
      <w:r w:rsidRPr="00530ED0">
        <w:t xml:space="preserve"> </w:t>
      </w:r>
    </w:p>
    <w:p w14:paraId="5B2A3128" w14:textId="77777777" w:rsidR="00530ED0" w:rsidRPr="00530ED0" w:rsidRDefault="00530ED0" w:rsidP="00530ED0">
      <w:pPr>
        <w:pStyle w:val="EndNoteBibliography"/>
        <w:ind w:left="720" w:hanging="720"/>
      </w:pPr>
      <w:r w:rsidRPr="00530ED0">
        <w:t>ITC. (2024).</w:t>
      </w:r>
      <w:r w:rsidRPr="00530ED0">
        <w:rPr>
          <w:i/>
        </w:rPr>
        <w:t xml:space="preserve"> International Tea Committee:  Annual Bulletin of Statistics</w:t>
      </w:r>
      <w:r w:rsidRPr="00530ED0">
        <w:t xml:space="preserve">. Aitken Spence Printing (Pvt) Ltd. </w:t>
      </w:r>
    </w:p>
    <w:p w14:paraId="7CAC9F39" w14:textId="77777777" w:rsidR="00530ED0" w:rsidRPr="00530ED0" w:rsidRDefault="00530ED0" w:rsidP="00530ED0">
      <w:pPr>
        <w:pStyle w:val="EndNoteBibliography"/>
        <w:ind w:left="720" w:hanging="720"/>
      </w:pPr>
      <w:r w:rsidRPr="00530ED0">
        <w:t xml:space="preserve">Jakubczyk, K., Kupnicka, P., Melkis, K., Mielczarek, O., Walczyńska, J., Chlubek, D., &amp; Janda-Milczarek, K. (2022). Effects of fermentation time and type of tea on the content of micronutrients in kombucha fermented tea. </w:t>
      </w:r>
      <w:r w:rsidRPr="00530ED0">
        <w:rPr>
          <w:i/>
        </w:rPr>
        <w:t>Nutrients</w:t>
      </w:r>
      <w:r w:rsidRPr="00530ED0">
        <w:t>,</w:t>
      </w:r>
      <w:r w:rsidRPr="00530ED0">
        <w:rPr>
          <w:i/>
        </w:rPr>
        <w:t xml:space="preserve"> 14</w:t>
      </w:r>
      <w:r w:rsidRPr="00530ED0">
        <w:t xml:space="preserve">(22), 4828. </w:t>
      </w:r>
      <w:hyperlink r:id="rId39" w:history="1">
        <w:r w:rsidRPr="00530ED0">
          <w:rPr>
            <w:rStyle w:val="Hyperlink"/>
          </w:rPr>
          <w:t>https://doi.org/</w:t>
        </w:r>
      </w:hyperlink>
      <w:r w:rsidRPr="00530ED0">
        <w:t xml:space="preserve"> </w:t>
      </w:r>
      <w:hyperlink r:id="rId40" w:history="1">
        <w:r w:rsidRPr="00530ED0">
          <w:rPr>
            <w:rStyle w:val="Hyperlink"/>
          </w:rPr>
          <w:t>https://doi.org/10.3390/nu14224828</w:t>
        </w:r>
      </w:hyperlink>
      <w:r w:rsidRPr="00530ED0">
        <w:t xml:space="preserve"> </w:t>
      </w:r>
    </w:p>
    <w:p w14:paraId="056549CB" w14:textId="77777777" w:rsidR="00530ED0" w:rsidRPr="00530ED0" w:rsidRDefault="00530ED0" w:rsidP="00530ED0">
      <w:pPr>
        <w:pStyle w:val="EndNoteBibliography"/>
        <w:ind w:left="720" w:hanging="720"/>
      </w:pPr>
      <w:r w:rsidRPr="00530ED0">
        <w:t xml:space="preserve">Kamau, D., Spiertz, J., Oenema, O., &amp; Owuor, P. (2008). Productivity and nitrogen use of tea plantations in relation to age and genotype. </w:t>
      </w:r>
      <w:r w:rsidRPr="00530ED0">
        <w:rPr>
          <w:i/>
        </w:rPr>
        <w:t>Field Crops Research</w:t>
      </w:r>
      <w:r w:rsidRPr="00530ED0">
        <w:t>,</w:t>
      </w:r>
      <w:r w:rsidRPr="00530ED0">
        <w:rPr>
          <w:i/>
        </w:rPr>
        <w:t xml:space="preserve"> 108</w:t>
      </w:r>
      <w:r w:rsidRPr="00530ED0">
        <w:t xml:space="preserve">(1), 60-70. </w:t>
      </w:r>
      <w:hyperlink r:id="rId41" w:history="1">
        <w:r w:rsidRPr="00530ED0">
          <w:rPr>
            <w:rStyle w:val="Hyperlink"/>
          </w:rPr>
          <w:t>https://doi.org/https://doi.org/10.1016/j.fcr.2008.03.003</w:t>
        </w:r>
      </w:hyperlink>
      <w:r w:rsidRPr="00530ED0">
        <w:t xml:space="preserve"> </w:t>
      </w:r>
    </w:p>
    <w:p w14:paraId="19CC9C6F" w14:textId="38982625" w:rsidR="00530ED0" w:rsidRPr="00530ED0" w:rsidRDefault="00530ED0" w:rsidP="00530ED0">
      <w:pPr>
        <w:pStyle w:val="EndNoteBibliography"/>
        <w:ind w:left="720" w:hanging="720"/>
      </w:pPr>
      <w:r w:rsidRPr="00530ED0">
        <w:t xml:space="preserve">Kamau, D. M., Wanyoko, J. K., Owuor, P. O., &amp; Ng'etich, W. K. (2008). NPK (S) fertilizer use in commercially cultivated clone BBK 35 in different tea growing regions of Kenya: II. Effects of nitrogen rates and plucking intervals on soil chemical properties. </w:t>
      </w:r>
      <w:r w:rsidRPr="00530ED0">
        <w:rPr>
          <w:i/>
        </w:rPr>
        <w:t>Tea</w:t>
      </w:r>
      <w:r w:rsidRPr="00530ED0">
        <w:t>,</w:t>
      </w:r>
      <w:r w:rsidRPr="00530ED0">
        <w:rPr>
          <w:i/>
        </w:rPr>
        <w:t xml:space="preserve"> 29</w:t>
      </w:r>
      <w:r w:rsidRPr="00530ED0">
        <w:t xml:space="preserve">(2), 8-18. </w:t>
      </w:r>
      <w:r w:rsidR="00FF4855" w:rsidRPr="00FF4855">
        <w:t>https://www.cabdirect.org/cabdirect/abstract/20103355379</w:t>
      </w:r>
      <w:r w:rsidR="00FF4855">
        <w:t xml:space="preserve"> </w:t>
      </w:r>
    </w:p>
    <w:p w14:paraId="5999FDD4" w14:textId="4FB3BCD1" w:rsidR="00530ED0" w:rsidRPr="00530ED0" w:rsidRDefault="00530ED0" w:rsidP="00530ED0">
      <w:pPr>
        <w:pStyle w:val="EndNoteBibliography"/>
        <w:ind w:left="720" w:hanging="720"/>
      </w:pPr>
      <w:r w:rsidRPr="00530ED0">
        <w:t xml:space="preserve">Kebeney, S. J., Kamau, D. M., Othieno, C. O., Ng’etich, W. K., &amp; Owuor, P. O. (2010). Changes in soil chemical properties and leaf nutrients contents due to nitrogen fertilizer rates and application intervals. </w:t>
      </w:r>
      <w:r w:rsidRPr="00530ED0">
        <w:rPr>
          <w:i/>
        </w:rPr>
        <w:t>Tea</w:t>
      </w:r>
      <w:r w:rsidRPr="00530ED0">
        <w:t>,</w:t>
      </w:r>
      <w:r w:rsidRPr="00530ED0">
        <w:rPr>
          <w:i/>
        </w:rPr>
        <w:t xml:space="preserve"> 31</w:t>
      </w:r>
      <w:r w:rsidRPr="00530ED0">
        <w:t xml:space="preserve">, 22-27. </w:t>
      </w:r>
      <w:r w:rsidR="00FF4855" w:rsidRPr="00FF4855">
        <w:t>https://repository.maseno.ac.ke/handle/123456789/1710</w:t>
      </w:r>
      <w:r w:rsidR="00FF4855">
        <w:t xml:space="preserve"> </w:t>
      </w:r>
    </w:p>
    <w:p w14:paraId="03AB8E01" w14:textId="77777777" w:rsidR="00530ED0" w:rsidRPr="00530ED0" w:rsidRDefault="00530ED0" w:rsidP="00530ED0">
      <w:pPr>
        <w:pStyle w:val="EndNoteBibliography"/>
        <w:ind w:left="720" w:hanging="720"/>
      </w:pPr>
      <w:r w:rsidRPr="00530ED0">
        <w:t>Krishnakumar, V., Kumar, T. R., &amp; Murugesan, P. (2024). Tea (</w:t>
      </w:r>
      <w:r w:rsidRPr="00530ED0">
        <w:rPr>
          <w:i/>
        </w:rPr>
        <w:t>Camellia sinensis</w:t>
      </w:r>
      <w:r w:rsidRPr="00530ED0">
        <w:t xml:space="preserve"> (L.) O. Kuntze). In </w:t>
      </w:r>
      <w:r w:rsidRPr="00530ED0">
        <w:rPr>
          <w:i/>
        </w:rPr>
        <w:t>Soil Health Management for Plantation Crops: Recent Advances and New Paradigms</w:t>
      </w:r>
      <w:r w:rsidRPr="00530ED0">
        <w:t xml:space="preserve"> (pp. 391-486). Springer. </w:t>
      </w:r>
      <w:hyperlink r:id="rId42" w:history="1">
        <w:r w:rsidRPr="00530ED0">
          <w:rPr>
            <w:rStyle w:val="Hyperlink"/>
          </w:rPr>
          <w:t>https://doi.org/https://doi.org/10.1007/978-981-97-0092-9_10</w:t>
        </w:r>
      </w:hyperlink>
      <w:r w:rsidRPr="00530ED0">
        <w:t xml:space="preserve"> </w:t>
      </w:r>
    </w:p>
    <w:p w14:paraId="677363A0" w14:textId="77777777" w:rsidR="00530ED0" w:rsidRPr="00530ED0" w:rsidRDefault="00530ED0" w:rsidP="00530ED0">
      <w:pPr>
        <w:pStyle w:val="EndNoteBibliography"/>
        <w:ind w:left="720" w:hanging="720"/>
      </w:pPr>
      <w:r w:rsidRPr="00530ED0">
        <w:t xml:space="preserve">Kumar, A., Nair, A. G. C., Reddy, A. V. R., &amp; Garg, A. N. (2005). Availability of essential elements in Indian and US tea brands. </w:t>
      </w:r>
      <w:r w:rsidRPr="00530ED0">
        <w:rPr>
          <w:i/>
        </w:rPr>
        <w:t>Food Chemistry</w:t>
      </w:r>
      <w:r w:rsidRPr="00530ED0">
        <w:t>,</w:t>
      </w:r>
      <w:r w:rsidRPr="00530ED0">
        <w:rPr>
          <w:i/>
        </w:rPr>
        <w:t xml:space="preserve"> 89</w:t>
      </w:r>
      <w:r w:rsidRPr="00530ED0">
        <w:t xml:space="preserve">(3), 441-448. </w:t>
      </w:r>
      <w:hyperlink r:id="rId43" w:history="1">
        <w:r w:rsidRPr="00530ED0">
          <w:rPr>
            <w:rStyle w:val="Hyperlink"/>
          </w:rPr>
          <w:t>https://doi.org/https://doi.org/10.1016/j.foodchem.2004.03.003</w:t>
        </w:r>
      </w:hyperlink>
      <w:r w:rsidRPr="00530ED0">
        <w:t xml:space="preserve"> </w:t>
      </w:r>
    </w:p>
    <w:p w14:paraId="50C1D1DB" w14:textId="77777777" w:rsidR="00530ED0" w:rsidRPr="00530ED0" w:rsidRDefault="00530ED0" w:rsidP="00530ED0">
      <w:pPr>
        <w:pStyle w:val="EndNoteBibliography"/>
        <w:ind w:left="720" w:hanging="720"/>
      </w:pPr>
      <w:r w:rsidRPr="00530ED0">
        <w:t xml:space="preserve">Kwach, B. O., Kamau, D. M., Msomba, S. W., C., M., &amp; Owuor, P. O. (2014). Effects of location of production, nitrogenous fertilizer rates and plucking intervals on tea clone TRFK 6/8 in East Africa: II. Mature leaf nutrients. </w:t>
      </w:r>
      <w:r w:rsidRPr="00530ED0">
        <w:rPr>
          <w:i/>
        </w:rPr>
        <w:t>International Journal of Tea Science</w:t>
      </w:r>
      <w:r w:rsidRPr="00530ED0">
        <w:t>,</w:t>
      </w:r>
      <w:r w:rsidRPr="00530ED0">
        <w:rPr>
          <w:i/>
        </w:rPr>
        <w:t xml:space="preserve"> 10</w:t>
      </w:r>
      <w:r w:rsidRPr="00530ED0">
        <w:t xml:space="preserve">(3&amp;4), 25-40. </w:t>
      </w:r>
      <w:hyperlink r:id="rId44" w:history="1">
        <w:r w:rsidRPr="00530ED0">
          <w:rPr>
            <w:rStyle w:val="Hyperlink"/>
          </w:rPr>
          <w:t>https://doi.org/10.20425/ijts.v10i3and4.4740</w:t>
        </w:r>
      </w:hyperlink>
      <w:r w:rsidRPr="00530ED0">
        <w:t xml:space="preserve"> </w:t>
      </w:r>
    </w:p>
    <w:p w14:paraId="369CAB81" w14:textId="77777777" w:rsidR="00530ED0" w:rsidRPr="00530ED0" w:rsidRDefault="00530ED0" w:rsidP="00530ED0">
      <w:pPr>
        <w:pStyle w:val="EndNoteBibliography"/>
        <w:ind w:left="720" w:hanging="720"/>
      </w:pPr>
      <w:r w:rsidRPr="00530ED0">
        <w:t xml:space="preserve">Kwach, B. O., Owuor, P. O., Kamau, D. M., Msomba, S. W., &amp; Uwimana, M. A. (2016). Variations in the precursors of plain black tea quality parameters due to location of production and nitrogen fertilizer rates in Eastern African clonal tea leaves. </w:t>
      </w:r>
      <w:r w:rsidRPr="00530ED0">
        <w:rPr>
          <w:i/>
        </w:rPr>
        <w:t>Experimental Agriculture</w:t>
      </w:r>
      <w:r w:rsidRPr="00530ED0">
        <w:t>,</w:t>
      </w:r>
      <w:r w:rsidRPr="00530ED0">
        <w:rPr>
          <w:i/>
        </w:rPr>
        <w:t xml:space="preserve"> 52</w:t>
      </w:r>
      <w:r w:rsidRPr="00530ED0">
        <w:t xml:space="preserve">(2), 266-278. </w:t>
      </w:r>
      <w:hyperlink r:id="rId45" w:history="1">
        <w:r w:rsidRPr="00530ED0">
          <w:rPr>
            <w:rStyle w:val="Hyperlink"/>
          </w:rPr>
          <w:t>https://doi.org/https://doi.org/10.1017/S0014479715000083</w:t>
        </w:r>
      </w:hyperlink>
      <w:r w:rsidRPr="00530ED0">
        <w:t xml:space="preserve"> </w:t>
      </w:r>
    </w:p>
    <w:p w14:paraId="336C51C0" w14:textId="64675BE5" w:rsidR="00530ED0" w:rsidRPr="00530ED0" w:rsidRDefault="00530ED0" w:rsidP="00530ED0">
      <w:pPr>
        <w:pStyle w:val="EndNoteBibliography"/>
        <w:ind w:left="720" w:hanging="720"/>
      </w:pPr>
      <w:r w:rsidRPr="00530ED0">
        <w:t xml:space="preserve">Mbadi, P. K., &amp; Owuor, P. O. (2008). The role of Kenya Tea Development Agency Limited in the small-scale tea holder development in Kenya. </w:t>
      </w:r>
      <w:r w:rsidRPr="00530ED0">
        <w:rPr>
          <w:i/>
        </w:rPr>
        <w:t>International Journal of Tea Science</w:t>
      </w:r>
      <w:r w:rsidRPr="00530ED0">
        <w:t>,</w:t>
      </w:r>
      <w:r w:rsidRPr="00530ED0">
        <w:rPr>
          <w:i/>
        </w:rPr>
        <w:t xml:space="preserve"> 7</w:t>
      </w:r>
      <w:r w:rsidRPr="00530ED0">
        <w:t xml:space="preserve">(3&amp;4), 7-15. </w:t>
      </w:r>
      <w:r w:rsidR="00FF4855" w:rsidRPr="00FF4855">
        <w:t>https://doi.org/10.20425/ijts.v7i3and4.4758</w:t>
      </w:r>
      <w:r w:rsidR="00FF4855">
        <w:t xml:space="preserve"> </w:t>
      </w:r>
    </w:p>
    <w:p w14:paraId="5D88FD14" w14:textId="77777777" w:rsidR="00530ED0" w:rsidRPr="00530ED0" w:rsidRDefault="00530ED0" w:rsidP="00530ED0">
      <w:pPr>
        <w:pStyle w:val="EndNoteBibliography"/>
        <w:ind w:left="720" w:hanging="720"/>
      </w:pPr>
      <w:r w:rsidRPr="00530ED0">
        <w:t xml:space="preserve">Mehlich, A. (1984). Mehlich-3 soil test extractant: a modification of Mehlich-2 extractant. </w:t>
      </w:r>
      <w:r w:rsidRPr="00530ED0">
        <w:rPr>
          <w:i/>
        </w:rPr>
        <w:t>Communications Soil Science and Plant Analysis</w:t>
      </w:r>
      <w:r w:rsidRPr="00530ED0">
        <w:t>,</w:t>
      </w:r>
      <w:r w:rsidRPr="00530ED0">
        <w:rPr>
          <w:i/>
        </w:rPr>
        <w:t xml:space="preserve"> 15</w:t>
      </w:r>
      <w:r w:rsidRPr="00530ED0">
        <w:t xml:space="preserve">(12), 1409-1416. </w:t>
      </w:r>
      <w:hyperlink r:id="rId46" w:history="1">
        <w:r w:rsidRPr="00530ED0">
          <w:rPr>
            <w:rStyle w:val="Hyperlink"/>
          </w:rPr>
          <w:t>https://doi.org/https://doi.org/10.1080/00103628409367568</w:t>
        </w:r>
      </w:hyperlink>
      <w:r w:rsidRPr="00530ED0">
        <w:t xml:space="preserve"> </w:t>
      </w:r>
    </w:p>
    <w:p w14:paraId="6B61C94C" w14:textId="77777777" w:rsidR="00530ED0" w:rsidRPr="00530ED0" w:rsidRDefault="00530ED0" w:rsidP="00530ED0">
      <w:pPr>
        <w:pStyle w:val="EndNoteBibliography"/>
        <w:ind w:left="720" w:hanging="720"/>
      </w:pPr>
      <w:r w:rsidRPr="00530ED0">
        <w:t xml:space="preserve">Msomba, S. W., Kamau, D. M., Uwimana, M. A., Muhoza, C., &amp; Owuor, P. O. (2014). Effects of location of production, nitrogenous fertilizer rates and plucking intervals on tea clone TRFK 6/8 tea in East Africa: I. Yields. </w:t>
      </w:r>
      <w:r w:rsidRPr="00530ED0">
        <w:rPr>
          <w:i/>
        </w:rPr>
        <w:t>International Journal of Tea Science (IJTS)</w:t>
      </w:r>
      <w:r w:rsidRPr="00530ED0">
        <w:t>,</w:t>
      </w:r>
      <w:r w:rsidRPr="00530ED0">
        <w:rPr>
          <w:i/>
        </w:rPr>
        <w:t xml:space="preserve"> 10</w:t>
      </w:r>
      <w:r w:rsidRPr="00530ED0">
        <w:t xml:space="preserve">(3/4), 14-24. </w:t>
      </w:r>
      <w:hyperlink r:id="rId47" w:history="1">
        <w:r w:rsidRPr="00530ED0">
          <w:rPr>
            <w:rStyle w:val="Hyperlink"/>
          </w:rPr>
          <w:t>https://doi.org/10.20425/ijts.v10i3and4.4739</w:t>
        </w:r>
      </w:hyperlink>
      <w:r w:rsidRPr="00530ED0">
        <w:t xml:space="preserve"> </w:t>
      </w:r>
    </w:p>
    <w:p w14:paraId="21744B11" w14:textId="6C4F39EC" w:rsidR="00530ED0" w:rsidRPr="00530ED0" w:rsidRDefault="00530ED0" w:rsidP="00530ED0">
      <w:pPr>
        <w:pStyle w:val="EndNoteBibliography"/>
        <w:ind w:left="720" w:hanging="720"/>
      </w:pPr>
      <w:r w:rsidRPr="00530ED0">
        <w:t xml:space="preserve">Nath, T. N. (2013). The macronutrients status of long term tea cultivated soils in Dibugrah and Sivasgar Districts of Assam. India. </w:t>
      </w:r>
      <w:r w:rsidRPr="00530ED0">
        <w:rPr>
          <w:i/>
        </w:rPr>
        <w:t>International Journal of Scientific Research</w:t>
      </w:r>
      <w:r w:rsidRPr="00530ED0">
        <w:t>,</w:t>
      </w:r>
      <w:r w:rsidRPr="00530ED0">
        <w:rPr>
          <w:i/>
        </w:rPr>
        <w:t xml:space="preserve"> 2</w:t>
      </w:r>
      <w:r w:rsidRPr="00530ED0">
        <w:t xml:space="preserve">(5), 273-275. </w:t>
      </w:r>
      <w:r w:rsidR="00FF4855" w:rsidRPr="00FF4855">
        <w:t>https://www.worldwidejournals.com/ijsr/file.php?val=May_2013_1368272990_2563.pdf</w:t>
      </w:r>
      <w:r w:rsidR="00FF4855">
        <w:t xml:space="preserve"> </w:t>
      </w:r>
    </w:p>
    <w:p w14:paraId="057098BB" w14:textId="7BE09421" w:rsidR="00530ED0" w:rsidRPr="00530ED0" w:rsidRDefault="00530ED0" w:rsidP="00530ED0">
      <w:pPr>
        <w:pStyle w:val="EndNoteBibliography"/>
        <w:ind w:left="720" w:hanging="720"/>
      </w:pPr>
      <w:r w:rsidRPr="00530ED0">
        <w:t xml:space="preserve">Omamo, S. W., Diao, X., Wood, S., Chamberlin, J., You, L., Benin, S., Wood-Sichra, U., &amp; Tatwangire, A. (2006). </w:t>
      </w:r>
      <w:r w:rsidRPr="00530ED0">
        <w:rPr>
          <w:i/>
        </w:rPr>
        <w:t>Strategic priorities for agricultural development in Eastern and Central Africa</w:t>
      </w:r>
      <w:r w:rsidRPr="00530ED0">
        <w:t xml:space="preserve"> (Vol. 150). International Food Policy Research Institute. </w:t>
      </w:r>
      <w:r w:rsidR="00FF4855" w:rsidRPr="00FF4855">
        <w:t>https://doi.org/10.2499/9780896291584rr150</w:t>
      </w:r>
      <w:r w:rsidR="00FF4855">
        <w:t xml:space="preserve"> </w:t>
      </w:r>
    </w:p>
    <w:p w14:paraId="4B9FF156" w14:textId="3A448FD4" w:rsidR="00530ED0" w:rsidRPr="00530ED0" w:rsidRDefault="00530ED0" w:rsidP="00530ED0">
      <w:pPr>
        <w:pStyle w:val="EndNoteBibliography"/>
        <w:ind w:left="720" w:hanging="720"/>
      </w:pPr>
      <w:r w:rsidRPr="00530ED0">
        <w:t xml:space="preserve">Ombori, R. O., Owuor, P. O., Kamau, D. M., Kwach, B. O., Dufitumukiza, W., &amp; Msomba, S. W. (2020). Nitrogenous fertilizer rates and plucking intervals effects on soil organic carbon, pH and tea yields and their relationships in eastern Africa tea growing regions </w:t>
      </w:r>
      <w:r w:rsidRPr="00530ED0">
        <w:rPr>
          <w:i/>
        </w:rPr>
        <w:t>Internaational Journal of Tea Science</w:t>
      </w:r>
      <w:r w:rsidRPr="00530ED0">
        <w:t>,</w:t>
      </w:r>
      <w:r w:rsidRPr="00530ED0">
        <w:rPr>
          <w:i/>
        </w:rPr>
        <w:t xml:space="preserve"> 15</w:t>
      </w:r>
      <w:r w:rsidRPr="00530ED0">
        <w:t xml:space="preserve">, 18-33. </w:t>
      </w:r>
      <w:r w:rsidR="007948FB" w:rsidRPr="007948FB">
        <w:t>https://doi.org/10.20425/ijts1513</w:t>
      </w:r>
      <w:r w:rsidR="007948FB">
        <w:t xml:space="preserve"> </w:t>
      </w:r>
    </w:p>
    <w:p w14:paraId="51FA3AF2" w14:textId="77777777" w:rsidR="00530ED0" w:rsidRPr="00530ED0" w:rsidRDefault="00530ED0" w:rsidP="00530ED0">
      <w:pPr>
        <w:pStyle w:val="EndNoteBibliography"/>
        <w:ind w:left="720" w:hanging="720"/>
      </w:pPr>
      <w:r w:rsidRPr="00530ED0">
        <w:t>Ombori, R. O., Owuor, P. O., Kwach, B. O., Kamau, D. M., Dufitumukiza, W., &amp; Msomba, S. W. (2025a). Nitrogenous fertilizer application rates and plucking intervals on tea (</w:t>
      </w:r>
      <w:r w:rsidRPr="00530ED0">
        <w:rPr>
          <w:i/>
        </w:rPr>
        <w:t>Camellia sinensis</w:t>
      </w:r>
      <w:r w:rsidRPr="00530ED0">
        <w:t xml:space="preserve"> (L.) in </w:t>
      </w:r>
      <w:r w:rsidRPr="00530ED0">
        <w:lastRenderedPageBreak/>
        <w:t xml:space="preserve">Eastern Africa: II. Effects on soil nitrogen, phosphorous, and potassium. </w:t>
      </w:r>
      <w:r w:rsidRPr="00530ED0">
        <w:rPr>
          <w:i/>
        </w:rPr>
        <w:t>Asian Soil Research Journal</w:t>
      </w:r>
      <w:r w:rsidRPr="00530ED0">
        <w:t>,</w:t>
      </w:r>
      <w:r w:rsidRPr="00530ED0">
        <w:rPr>
          <w:i/>
        </w:rPr>
        <w:t xml:space="preserve"> (submitted)</w:t>
      </w:r>
      <w:r w:rsidRPr="00530ED0">
        <w:t xml:space="preserve">. </w:t>
      </w:r>
    </w:p>
    <w:p w14:paraId="07B4336E" w14:textId="77777777" w:rsidR="00530ED0" w:rsidRPr="00530ED0" w:rsidRDefault="00530ED0" w:rsidP="00530ED0">
      <w:pPr>
        <w:pStyle w:val="EndNoteBibliography"/>
        <w:ind w:left="720" w:hanging="720"/>
      </w:pPr>
      <w:r w:rsidRPr="00530ED0">
        <w:t>Ombori, R. O., Owuor, P. O., Kwach, B. O., Kamau, D. M., Dufitumukiza, W., &amp; Msomba, S. W. (2025b). Nitrogenous fertilizer application rates and plucking intervals on tea (</w:t>
      </w:r>
      <w:r w:rsidRPr="00530ED0">
        <w:rPr>
          <w:i/>
        </w:rPr>
        <w:t>Camellia sinensis</w:t>
      </w:r>
      <w:r w:rsidRPr="00530ED0">
        <w:t xml:space="preserve"> L. in Eastern Africa: III. Changes in soil calcium, magnesium and manganese levels. </w:t>
      </w:r>
      <w:r w:rsidRPr="00530ED0">
        <w:rPr>
          <w:i/>
        </w:rPr>
        <w:t>Asian Soil Research Journal</w:t>
      </w:r>
      <w:r w:rsidRPr="00530ED0">
        <w:t>,</w:t>
      </w:r>
      <w:r w:rsidRPr="00530ED0">
        <w:rPr>
          <w:i/>
        </w:rPr>
        <w:t xml:space="preserve"> (submitted)</w:t>
      </w:r>
      <w:r w:rsidRPr="00530ED0">
        <w:t xml:space="preserve">. </w:t>
      </w:r>
    </w:p>
    <w:p w14:paraId="2725AA73" w14:textId="77777777" w:rsidR="00530ED0" w:rsidRPr="00530ED0" w:rsidRDefault="00530ED0" w:rsidP="00530ED0">
      <w:pPr>
        <w:pStyle w:val="EndNoteBibliography"/>
        <w:ind w:left="720" w:hanging="720"/>
      </w:pPr>
      <w:r w:rsidRPr="00530ED0">
        <w:t xml:space="preserve">Owuor, P. O., Kamau, D. M., Kamunya, S. M., Msomba, S. W., Jondiko, E. O., &amp; Uwimana, M. A. (2013). The response of clone BBK 35 tea to nitrogen fertilizer rates and harvesting intervals in the Lake Victoria Basin of Kenya. </w:t>
      </w:r>
      <w:r w:rsidRPr="00530ED0">
        <w:rPr>
          <w:i/>
        </w:rPr>
        <w:t>Journal of Agriculture, Food and Environment</w:t>
      </w:r>
      <w:r w:rsidRPr="00530ED0">
        <w:t>,</w:t>
      </w:r>
      <w:r w:rsidRPr="00530ED0">
        <w:rPr>
          <w:i/>
        </w:rPr>
        <w:t xml:space="preserve"> 11</w:t>
      </w:r>
      <w:r w:rsidRPr="00530ED0">
        <w:t xml:space="preserve">(3&amp;4), 757-763. </w:t>
      </w:r>
    </w:p>
    <w:p w14:paraId="6B08CD0D" w14:textId="77777777" w:rsidR="00530ED0" w:rsidRPr="00530ED0" w:rsidRDefault="00530ED0" w:rsidP="00530ED0">
      <w:pPr>
        <w:pStyle w:val="EndNoteBibliography"/>
        <w:ind w:left="720" w:hanging="720"/>
      </w:pPr>
      <w:r w:rsidRPr="00530ED0">
        <w:t xml:space="preserve">Owuor, P. O., Kamau, D. M., Kamunya, S. M., Msomba, S. W., Uwimana, M. A., Okal, A. W., &amp; Kwach, B. O. (2011). Effects of genotype, environment and management on yields and quality of black tea. In  (ed.), . In E. Lichtfouse (Ed.), </w:t>
      </w:r>
      <w:r w:rsidRPr="00530ED0">
        <w:rPr>
          <w:i/>
        </w:rPr>
        <w:t>Genetics, Biofuels and Local Farming Systems: Sustainable Agriculture Reviews, 7</w:t>
      </w:r>
      <w:r w:rsidRPr="00530ED0">
        <w:t xml:space="preserve"> (pp. 277-307, ). Springer. </w:t>
      </w:r>
      <w:hyperlink r:id="rId48" w:history="1">
        <w:r w:rsidRPr="00530ED0">
          <w:rPr>
            <w:rStyle w:val="Hyperlink"/>
          </w:rPr>
          <w:t>https://doi.org/https://DOI:10.1007/978-94-007-1521-9_10</w:t>
        </w:r>
      </w:hyperlink>
      <w:r w:rsidRPr="00530ED0">
        <w:t xml:space="preserve"> </w:t>
      </w:r>
    </w:p>
    <w:p w14:paraId="4BAF4C4E" w14:textId="77777777" w:rsidR="00530ED0" w:rsidRPr="00530ED0" w:rsidRDefault="00530ED0" w:rsidP="00530ED0">
      <w:pPr>
        <w:pStyle w:val="EndNoteBibliography"/>
        <w:ind w:left="720" w:hanging="720"/>
      </w:pPr>
      <w:r w:rsidRPr="00530ED0">
        <w:t>Owuor, P. O., Kamau, D. M., Msomba, S. W., Uwimana, M. A., &amp; Kamunya, S. M. (2011, 30th November-2nd December). Yield response of tea clone TRFK 6/8 to growing environments, nitrogenous fertilizer application and plucking intervals in East Africa. Natural Resource Management and Land Use Proceeding of the Cluster Workshop, Nairobi.</w:t>
      </w:r>
    </w:p>
    <w:p w14:paraId="1F0F2B6C" w14:textId="77777777" w:rsidR="00530ED0" w:rsidRPr="00530ED0" w:rsidRDefault="00530ED0" w:rsidP="00530ED0">
      <w:pPr>
        <w:pStyle w:val="EndNoteBibliography"/>
        <w:ind w:left="720" w:hanging="720"/>
      </w:pPr>
      <w:r w:rsidRPr="00FF4855">
        <w:rPr>
          <w:lang w:val="pt-BR"/>
        </w:rPr>
        <w:t xml:space="preserve">Owuor, R. A., Odondo, A. J., Owuor, P. O., &amp; Kamau, D. M. (2020). </w:t>
      </w:r>
      <w:r w:rsidRPr="00530ED0">
        <w:t xml:space="preserve">Comparative Economic Analysis of Clonal Tea Yield Response to Nitrogen Fertiliser Rates within Selected Geographical Areas in Kenya. </w:t>
      </w:r>
      <w:r w:rsidRPr="00530ED0">
        <w:rPr>
          <w:i/>
        </w:rPr>
        <w:t>International Journal of Tea Science</w:t>
      </w:r>
      <w:r w:rsidRPr="00530ED0">
        <w:t>,</w:t>
      </w:r>
      <w:r w:rsidRPr="00530ED0">
        <w:rPr>
          <w:i/>
        </w:rPr>
        <w:t xml:space="preserve"> 15</w:t>
      </w:r>
      <w:r w:rsidRPr="00530ED0">
        <w:t xml:space="preserve">(1), 31-39. </w:t>
      </w:r>
      <w:hyperlink r:id="rId49" w:history="1">
        <w:r w:rsidRPr="00530ED0">
          <w:rPr>
            <w:rStyle w:val="Hyperlink"/>
          </w:rPr>
          <w:t>https://doi.org/10.20425/ijts1514</w:t>
        </w:r>
      </w:hyperlink>
      <w:r w:rsidRPr="00530ED0">
        <w:t xml:space="preserve"> </w:t>
      </w:r>
    </w:p>
    <w:p w14:paraId="240194F8" w14:textId="77777777" w:rsidR="00530ED0" w:rsidRPr="00530ED0" w:rsidRDefault="00530ED0" w:rsidP="00530ED0">
      <w:pPr>
        <w:pStyle w:val="EndNoteBibliography"/>
        <w:ind w:left="720" w:hanging="720"/>
      </w:pPr>
      <w:r w:rsidRPr="00530ED0">
        <w:t xml:space="preserve">Özyazıcı, M. A., Özyazıcı, G., &amp; Dengiz, O. (2011). Determination of micronutrients in tea plantations in the eastern Black Sea Region, Turkey. </w:t>
      </w:r>
      <w:r w:rsidRPr="00530ED0">
        <w:rPr>
          <w:i/>
        </w:rPr>
        <w:t>African Journal of Agricultural Research</w:t>
      </w:r>
      <w:r w:rsidRPr="00530ED0">
        <w:t>,</w:t>
      </w:r>
      <w:r w:rsidRPr="00530ED0">
        <w:rPr>
          <w:i/>
        </w:rPr>
        <w:t xml:space="preserve"> 6</w:t>
      </w:r>
      <w:r w:rsidRPr="00530ED0">
        <w:t xml:space="preserve">(22), 5174-5180. </w:t>
      </w:r>
      <w:hyperlink r:id="rId50" w:history="1">
        <w:r w:rsidRPr="00530ED0">
          <w:rPr>
            <w:rStyle w:val="Hyperlink"/>
          </w:rPr>
          <w:t>https://doi.org/10.5897/AJAR11.1246</w:t>
        </w:r>
      </w:hyperlink>
      <w:r w:rsidRPr="00530ED0">
        <w:t xml:space="preserve"> </w:t>
      </w:r>
    </w:p>
    <w:p w14:paraId="6BBCB38D" w14:textId="77777777" w:rsidR="00530ED0" w:rsidRPr="00FF4855" w:rsidRDefault="00530ED0" w:rsidP="00530ED0">
      <w:pPr>
        <w:pStyle w:val="EndNoteBibliography"/>
        <w:ind w:left="720" w:hanging="720"/>
        <w:rPr>
          <w:lang w:val="pt-BR"/>
        </w:rPr>
      </w:pPr>
      <w:r w:rsidRPr="00530ED0">
        <w:t>Pavlovič, A., Tavčar, G., &amp; Ponikvar-Svet, M. (2023). Fluoride and aluminium in tea (</w:t>
      </w:r>
      <w:r w:rsidRPr="00530ED0">
        <w:rPr>
          <w:i/>
        </w:rPr>
        <w:t>Camellia sinensis</w:t>
      </w:r>
      <w:r w:rsidRPr="00530ED0">
        <w:t xml:space="preserve"> L.)—Tea quality indicators and risk factors for consumers. </w:t>
      </w:r>
      <w:r w:rsidRPr="00FF4855">
        <w:rPr>
          <w:i/>
          <w:lang w:val="pt-BR"/>
        </w:rPr>
        <w:t>Molecules</w:t>
      </w:r>
      <w:r w:rsidRPr="00FF4855">
        <w:rPr>
          <w:lang w:val="pt-BR"/>
        </w:rPr>
        <w:t>,</w:t>
      </w:r>
      <w:r w:rsidRPr="00FF4855">
        <w:rPr>
          <w:i/>
          <w:lang w:val="pt-BR"/>
        </w:rPr>
        <w:t xml:space="preserve"> 28</w:t>
      </w:r>
      <w:r w:rsidRPr="00FF4855">
        <w:rPr>
          <w:lang w:val="pt-BR"/>
        </w:rPr>
        <w:t xml:space="preserve">(17), 6396. </w:t>
      </w:r>
      <w:hyperlink r:id="rId51" w:history="1">
        <w:r w:rsidRPr="00FF4855">
          <w:rPr>
            <w:rStyle w:val="Hyperlink"/>
            <w:lang w:val="pt-BR"/>
          </w:rPr>
          <w:t>https://doi.org/https://doi.org/10.3390/molecules28176396</w:t>
        </w:r>
      </w:hyperlink>
      <w:r w:rsidRPr="00FF4855">
        <w:rPr>
          <w:lang w:val="pt-BR"/>
        </w:rPr>
        <w:t xml:space="preserve"> </w:t>
      </w:r>
    </w:p>
    <w:p w14:paraId="414110AC" w14:textId="77777777" w:rsidR="00530ED0" w:rsidRPr="00530ED0" w:rsidRDefault="00530ED0" w:rsidP="00530ED0">
      <w:pPr>
        <w:pStyle w:val="EndNoteBibliography"/>
        <w:ind w:left="720" w:hanging="720"/>
      </w:pPr>
      <w:r w:rsidRPr="00FF4855">
        <w:rPr>
          <w:lang w:val="pt-BR"/>
        </w:rPr>
        <w:t xml:space="preserve">Pitigala, P. K. D. S. D., Gunarathne, G. P., Abeysinghe, D. C., &amp; Fernandopulle, M. N. D. (2013). </w:t>
      </w:r>
      <w:r w:rsidRPr="00530ED0">
        <w:t xml:space="preserve">Effects of different application rates of nitrogen and potassium on soil and plant micronutrients status of tea </w:t>
      </w:r>
      <w:r w:rsidRPr="00530ED0">
        <w:rPr>
          <w:i/>
        </w:rPr>
        <w:t>Carmellia sinensis</w:t>
      </w:r>
      <w:r w:rsidRPr="00530ED0">
        <w:t xml:space="preserve">. Proceedings of 12th Agricultural Research Symposium, </w:t>
      </w:r>
    </w:p>
    <w:p w14:paraId="7829786A" w14:textId="77777777" w:rsidR="00530ED0" w:rsidRPr="00530ED0" w:rsidRDefault="00530ED0" w:rsidP="00530ED0">
      <w:pPr>
        <w:pStyle w:val="EndNoteBibliography"/>
        <w:ind w:left="720" w:hanging="720"/>
      </w:pPr>
      <w:r w:rsidRPr="00530ED0">
        <w:t xml:space="preserve">Ruan, J., Ma, L., &amp; Shi, Y. (2006). Aluminium in tea plantations: mobility in soils and plants, and the influence of nitrogen fertilization. </w:t>
      </w:r>
      <w:r w:rsidRPr="00530ED0">
        <w:rPr>
          <w:i/>
        </w:rPr>
        <w:t>Environmental geochemistry and health</w:t>
      </w:r>
      <w:r w:rsidRPr="00530ED0">
        <w:t>,</w:t>
      </w:r>
      <w:r w:rsidRPr="00530ED0">
        <w:rPr>
          <w:i/>
        </w:rPr>
        <w:t xml:space="preserve"> 28</w:t>
      </w:r>
      <w:r w:rsidRPr="00530ED0">
        <w:t xml:space="preserve">(6), 519-528. </w:t>
      </w:r>
      <w:hyperlink r:id="rId52" w:history="1">
        <w:r w:rsidRPr="00530ED0">
          <w:rPr>
            <w:rStyle w:val="Hyperlink"/>
          </w:rPr>
          <w:t>https://link.springer.com/article/10.1007/s10653-006-9047-z</w:t>
        </w:r>
      </w:hyperlink>
      <w:r w:rsidRPr="00530ED0">
        <w:t xml:space="preserve"> </w:t>
      </w:r>
    </w:p>
    <w:p w14:paraId="69FD63DB" w14:textId="77777777" w:rsidR="00530ED0" w:rsidRPr="00530ED0" w:rsidRDefault="00530ED0" w:rsidP="00530ED0">
      <w:pPr>
        <w:pStyle w:val="EndNoteBibliography"/>
        <w:ind w:left="720" w:hanging="720"/>
      </w:pPr>
      <w:r w:rsidRPr="00530ED0">
        <w:t>Ruan, J., Ma, L., Shi, Y., &amp; Han, W. (2004). The impact of pH and calcium on the uptake of fluoride by tea plants (</w:t>
      </w:r>
      <w:r w:rsidRPr="00530ED0">
        <w:rPr>
          <w:i/>
        </w:rPr>
        <w:t>Camellia sinensis</w:t>
      </w:r>
      <w:r w:rsidRPr="00530ED0">
        <w:t xml:space="preserve"> L.). </w:t>
      </w:r>
      <w:r w:rsidRPr="00530ED0">
        <w:rPr>
          <w:i/>
        </w:rPr>
        <w:t>Annals of Botany</w:t>
      </w:r>
      <w:r w:rsidRPr="00530ED0">
        <w:t>,</w:t>
      </w:r>
      <w:r w:rsidRPr="00530ED0">
        <w:rPr>
          <w:i/>
        </w:rPr>
        <w:t xml:space="preserve"> 93</w:t>
      </w:r>
      <w:r w:rsidRPr="00530ED0">
        <w:t xml:space="preserve">(1), 97-105. </w:t>
      </w:r>
      <w:hyperlink r:id="rId53" w:history="1">
        <w:r w:rsidRPr="00530ED0">
          <w:rPr>
            <w:rStyle w:val="Hyperlink"/>
          </w:rPr>
          <w:t>https://doi.org/https://doi.org/10.1093/aob/mch010</w:t>
        </w:r>
      </w:hyperlink>
      <w:r w:rsidRPr="00530ED0">
        <w:t xml:space="preserve"> </w:t>
      </w:r>
    </w:p>
    <w:p w14:paraId="38ECB162" w14:textId="77777777" w:rsidR="00530ED0" w:rsidRPr="00530ED0" w:rsidRDefault="00530ED0" w:rsidP="00530ED0">
      <w:pPr>
        <w:pStyle w:val="EndNoteBibliography"/>
        <w:ind w:left="720" w:hanging="720"/>
      </w:pPr>
      <w:r w:rsidRPr="00530ED0">
        <w:t xml:space="preserve">Ruan, J., Ma, L., Shi, Y., &amp; Zhang, F. (2004). Effects of litter incorporation and nitrogen fertilization on the contents of extractable aluminium in the rhizosphere soil of tea plant (Camallia sinensis (L.) O. Kuntze). </w:t>
      </w:r>
      <w:r w:rsidRPr="00530ED0">
        <w:rPr>
          <w:i/>
        </w:rPr>
        <w:t>Plant and Soil</w:t>
      </w:r>
      <w:r w:rsidRPr="00530ED0">
        <w:t>,</w:t>
      </w:r>
      <w:r w:rsidRPr="00530ED0">
        <w:rPr>
          <w:i/>
        </w:rPr>
        <w:t xml:space="preserve"> 263</w:t>
      </w:r>
      <w:r w:rsidRPr="00530ED0">
        <w:t xml:space="preserve">(1), 283-296. </w:t>
      </w:r>
      <w:hyperlink r:id="rId54" w:history="1">
        <w:r w:rsidRPr="00530ED0">
          <w:rPr>
            <w:rStyle w:val="Hyperlink"/>
          </w:rPr>
          <w:t>https://doi.org/https://doi.org/10.1023/B:PLSO.0000047744.44940.96</w:t>
        </w:r>
      </w:hyperlink>
      <w:r w:rsidRPr="00530ED0">
        <w:t xml:space="preserve"> </w:t>
      </w:r>
    </w:p>
    <w:p w14:paraId="6B5DDADC" w14:textId="77777777" w:rsidR="00530ED0" w:rsidRPr="00530ED0" w:rsidRDefault="00530ED0" w:rsidP="00530ED0">
      <w:pPr>
        <w:pStyle w:val="EndNoteBibliography"/>
        <w:ind w:left="720" w:hanging="720"/>
      </w:pPr>
      <w:r w:rsidRPr="00530ED0">
        <w:t xml:space="preserve">Ruan, J., &amp; Wong, M. H. (2001). Accumulation of fluoride and aluminium related to different varieties of tea plant. </w:t>
      </w:r>
      <w:r w:rsidRPr="00530ED0">
        <w:rPr>
          <w:i/>
        </w:rPr>
        <w:t>Environmental geochemistry and health</w:t>
      </w:r>
      <w:r w:rsidRPr="00530ED0">
        <w:t>,</w:t>
      </w:r>
      <w:r w:rsidRPr="00530ED0">
        <w:rPr>
          <w:i/>
        </w:rPr>
        <w:t xml:space="preserve"> 23</w:t>
      </w:r>
      <w:r w:rsidRPr="00530ED0">
        <w:t xml:space="preserve">(1), 53-63. </w:t>
      </w:r>
      <w:hyperlink r:id="rId55" w:history="1">
        <w:r w:rsidRPr="00530ED0">
          <w:rPr>
            <w:rStyle w:val="Hyperlink"/>
          </w:rPr>
          <w:t>https://doi.org/https://doi.org/10.1023/A:1011082608631</w:t>
        </w:r>
      </w:hyperlink>
      <w:r w:rsidRPr="00530ED0">
        <w:t xml:space="preserve"> </w:t>
      </w:r>
    </w:p>
    <w:p w14:paraId="0AA21719" w14:textId="77777777" w:rsidR="00530ED0" w:rsidRPr="00530ED0" w:rsidRDefault="00530ED0" w:rsidP="00530ED0">
      <w:pPr>
        <w:pStyle w:val="EndNoteBibliography"/>
        <w:ind w:left="720" w:hanging="720"/>
      </w:pPr>
      <w:r w:rsidRPr="00530ED0">
        <w:t xml:space="preserve">Sae-Lee, N., Kerdchoechuen, O., &amp; Laohakunjit, N. (2012). Chemical qualities and phenolic compounds of Assam tea after soil drench application of selenium and aluminium. </w:t>
      </w:r>
      <w:r w:rsidRPr="00530ED0">
        <w:rPr>
          <w:i/>
        </w:rPr>
        <w:t>Plant and Soil</w:t>
      </w:r>
      <w:r w:rsidRPr="00530ED0">
        <w:t>,</w:t>
      </w:r>
      <w:r w:rsidRPr="00530ED0">
        <w:rPr>
          <w:i/>
        </w:rPr>
        <w:t xml:space="preserve"> 356</w:t>
      </w:r>
      <w:r w:rsidRPr="00530ED0">
        <w:t xml:space="preserve">(1), 381-393. </w:t>
      </w:r>
      <w:hyperlink r:id="rId56" w:history="1">
        <w:r w:rsidRPr="00530ED0">
          <w:rPr>
            <w:rStyle w:val="Hyperlink"/>
          </w:rPr>
          <w:t>https://doi.org/https://doi.org/10.1007/s11104-012-1139-1</w:t>
        </w:r>
      </w:hyperlink>
      <w:r w:rsidRPr="00530ED0">
        <w:t xml:space="preserve"> </w:t>
      </w:r>
    </w:p>
    <w:p w14:paraId="075CC039" w14:textId="77777777" w:rsidR="00530ED0" w:rsidRPr="00530ED0" w:rsidRDefault="00530ED0" w:rsidP="00530ED0">
      <w:pPr>
        <w:pStyle w:val="EndNoteBibliography"/>
        <w:ind w:left="720" w:hanging="720"/>
      </w:pPr>
      <w:r w:rsidRPr="00530ED0">
        <w:t xml:space="preserve">Saikh, H. (2001). Effect of lime, dolomite and rock phosphate on the soil pH and the growth of tea. </w:t>
      </w:r>
      <w:r w:rsidRPr="00530ED0">
        <w:rPr>
          <w:i/>
        </w:rPr>
        <w:t>The Assam Review and Tea News</w:t>
      </w:r>
      <w:r w:rsidRPr="00530ED0">
        <w:t>,</w:t>
      </w:r>
      <w:r w:rsidRPr="00530ED0">
        <w:rPr>
          <w:i/>
        </w:rPr>
        <w:t xml:space="preserve"> 90</w:t>
      </w:r>
      <w:r w:rsidRPr="00530ED0">
        <w:t xml:space="preserve">, 9-13. </w:t>
      </w:r>
    </w:p>
    <w:p w14:paraId="0C470FA5" w14:textId="2851D816" w:rsidR="00530ED0" w:rsidRPr="00530ED0" w:rsidRDefault="00530ED0" w:rsidP="00530ED0">
      <w:pPr>
        <w:pStyle w:val="EndNoteBibliography"/>
        <w:ind w:left="720" w:hanging="720"/>
      </w:pPr>
      <w:r w:rsidRPr="00530ED0">
        <w:t xml:space="preserve">Sedaghathoor, S., Torkashvand, A. M., Hashemabadi, D., &amp; Kaviani, B. (2009). Yield and quality response of tea plant to fertilizers. </w:t>
      </w:r>
      <w:r w:rsidRPr="00530ED0">
        <w:rPr>
          <w:i/>
        </w:rPr>
        <w:t>African Journal of Agricultural Research</w:t>
      </w:r>
      <w:r w:rsidRPr="00530ED0">
        <w:t>,</w:t>
      </w:r>
      <w:r w:rsidRPr="00530ED0">
        <w:rPr>
          <w:i/>
        </w:rPr>
        <w:t xml:space="preserve"> 4</w:t>
      </w:r>
      <w:r w:rsidRPr="00530ED0">
        <w:t xml:space="preserve">(6), 568-570. </w:t>
      </w:r>
      <w:r w:rsidR="007948FB" w:rsidRPr="007948FB">
        <w:t>https://doi.org/10.5897/AJAR.9000767</w:t>
      </w:r>
      <w:r w:rsidR="007948FB">
        <w:t xml:space="preserve"> </w:t>
      </w:r>
    </w:p>
    <w:p w14:paraId="1D2FE49E" w14:textId="77777777" w:rsidR="00530ED0" w:rsidRPr="00530ED0" w:rsidRDefault="00530ED0" w:rsidP="00530ED0">
      <w:pPr>
        <w:pStyle w:val="EndNoteBibliography"/>
        <w:ind w:left="720" w:hanging="720"/>
      </w:pPr>
      <w:r w:rsidRPr="00530ED0">
        <w:lastRenderedPageBreak/>
        <w:t xml:space="preserve">Seenivasan, S., Manikandan, N., Muraleedharan, N. N., &amp; Selvasundaram, R. (2008). Heavy metal content of black teas from south India. </w:t>
      </w:r>
      <w:r w:rsidRPr="00530ED0">
        <w:rPr>
          <w:i/>
        </w:rPr>
        <w:t>Food control</w:t>
      </w:r>
      <w:r w:rsidRPr="00530ED0">
        <w:t>,</w:t>
      </w:r>
      <w:r w:rsidRPr="00530ED0">
        <w:rPr>
          <w:i/>
        </w:rPr>
        <w:t xml:space="preserve"> 19</w:t>
      </w:r>
      <w:r w:rsidRPr="00530ED0">
        <w:t xml:space="preserve">(8), 746-749. </w:t>
      </w:r>
      <w:hyperlink r:id="rId57" w:history="1">
        <w:r w:rsidRPr="00530ED0">
          <w:rPr>
            <w:rStyle w:val="Hyperlink"/>
          </w:rPr>
          <w:t>https://doi.org/https://doi.org/10.1016/j.foodcont.2007.07.012</w:t>
        </w:r>
      </w:hyperlink>
      <w:r w:rsidRPr="00530ED0">
        <w:t xml:space="preserve"> </w:t>
      </w:r>
    </w:p>
    <w:p w14:paraId="5162334D" w14:textId="77777777" w:rsidR="00530ED0" w:rsidRPr="00530ED0" w:rsidRDefault="00530ED0" w:rsidP="00530ED0">
      <w:pPr>
        <w:pStyle w:val="EndNoteBibliography"/>
        <w:ind w:left="720" w:hanging="720"/>
      </w:pPr>
      <w:r w:rsidRPr="00530ED0">
        <w:t xml:space="preserve">Sitienei, K., Kirui, K., Kamau, D., Wanyoko, J., &amp; Langat, K. (2016). Effect of plant density, nitrogen fertilizer application rates and soil depth on clonal tea soil nutrient content. </w:t>
      </w:r>
      <w:r w:rsidRPr="00530ED0">
        <w:rPr>
          <w:i/>
        </w:rPr>
        <w:t>Journal of Tea Science Research</w:t>
      </w:r>
      <w:r w:rsidRPr="00530ED0">
        <w:t>,</w:t>
      </w:r>
      <w:r w:rsidRPr="00530ED0">
        <w:rPr>
          <w:i/>
        </w:rPr>
        <w:t xml:space="preserve"> 6</w:t>
      </w:r>
      <w:r w:rsidRPr="00530ED0">
        <w:t xml:space="preserve">(7), 1-5. </w:t>
      </w:r>
      <w:hyperlink r:id="rId58" w:history="1">
        <w:r w:rsidRPr="00530ED0">
          <w:rPr>
            <w:rStyle w:val="Hyperlink"/>
          </w:rPr>
          <w:t>https://doi.org/10.5376/jtsr.2016.06.0007</w:t>
        </w:r>
      </w:hyperlink>
      <w:r w:rsidRPr="00530ED0">
        <w:t xml:space="preserve"> </w:t>
      </w:r>
    </w:p>
    <w:p w14:paraId="3F56E9C3" w14:textId="77777777" w:rsidR="00530ED0" w:rsidRPr="00530ED0" w:rsidRDefault="00530ED0" w:rsidP="00530ED0">
      <w:pPr>
        <w:pStyle w:val="EndNoteBibliography"/>
        <w:ind w:left="720" w:hanging="720"/>
      </w:pPr>
      <w:r w:rsidRPr="00530ED0">
        <w:t>Wijeratne, M. A. (2003). Harvesting policies of tea (</w:t>
      </w:r>
      <w:r w:rsidRPr="00530ED0">
        <w:rPr>
          <w:i/>
        </w:rPr>
        <w:t>Camellia sinensis</w:t>
      </w:r>
      <w:r w:rsidRPr="00530ED0">
        <w:t xml:space="preserve"> L.) for higher productivity and quality. </w:t>
      </w:r>
      <w:r w:rsidRPr="00530ED0">
        <w:rPr>
          <w:i/>
        </w:rPr>
        <w:t>Tropical Agricultural Research and Extension</w:t>
      </w:r>
      <w:r w:rsidRPr="00530ED0">
        <w:t>,</w:t>
      </w:r>
      <w:r w:rsidRPr="00530ED0">
        <w:rPr>
          <w:i/>
        </w:rPr>
        <w:t xml:space="preserve"> 6</w:t>
      </w:r>
      <w:r w:rsidRPr="00530ED0">
        <w:t xml:space="preserve">. </w:t>
      </w:r>
      <w:hyperlink r:id="rId59" w:history="1">
        <w:r w:rsidRPr="00530ED0">
          <w:rPr>
            <w:rStyle w:val="Hyperlink"/>
          </w:rPr>
          <w:t>https://doi.org/DOI</w:t>
        </w:r>
      </w:hyperlink>
      <w:r w:rsidRPr="00530ED0">
        <w:t xml:space="preserve">: 10.4038/tare.v6i0.5446 </w:t>
      </w:r>
    </w:p>
    <w:p w14:paraId="0452C10D" w14:textId="77777777" w:rsidR="00530ED0" w:rsidRPr="00530ED0" w:rsidRDefault="00530ED0" w:rsidP="00530ED0">
      <w:pPr>
        <w:pStyle w:val="EndNoteBibliography"/>
        <w:ind w:left="720" w:hanging="720"/>
      </w:pPr>
      <w:r w:rsidRPr="00530ED0">
        <w:t xml:space="preserve">Zhang, H., Song, Y., Fan, Z., Ruan, J., Hu, J., &amp; Zhang, Q. (2023). Aluminum supplementation mediates the changes in tea plant growth and metabolism in response to calcium stress. </w:t>
      </w:r>
      <w:r w:rsidRPr="00530ED0">
        <w:rPr>
          <w:i/>
        </w:rPr>
        <w:t>International Journal of Molecular Sciences</w:t>
      </w:r>
      <w:r w:rsidRPr="00530ED0">
        <w:t>,</w:t>
      </w:r>
      <w:r w:rsidRPr="00530ED0">
        <w:rPr>
          <w:i/>
        </w:rPr>
        <w:t xml:space="preserve"> 25</w:t>
      </w:r>
      <w:r w:rsidRPr="00530ED0">
        <w:t xml:space="preserve">(1), 530. </w:t>
      </w:r>
      <w:hyperlink r:id="rId60" w:history="1">
        <w:r w:rsidRPr="00530ED0">
          <w:rPr>
            <w:rStyle w:val="Hyperlink"/>
          </w:rPr>
          <w:t>https://doi.org/https://doi.org/10.3390/ijms25010530</w:t>
        </w:r>
      </w:hyperlink>
      <w:r w:rsidRPr="00530ED0">
        <w:t xml:space="preserve"> </w:t>
      </w:r>
    </w:p>
    <w:p w14:paraId="75C4AFB7" w14:textId="77777777" w:rsidR="00530ED0" w:rsidRPr="00530ED0" w:rsidRDefault="00530ED0" w:rsidP="00530ED0">
      <w:pPr>
        <w:pStyle w:val="EndNoteBibliography"/>
        <w:ind w:left="720" w:hanging="720"/>
      </w:pPr>
      <w:r w:rsidRPr="00530ED0">
        <w:t xml:space="preserve">Zhang, M., &amp; Fang, L. (2007). Tea plantation–induced activation of soil heavy metals. </w:t>
      </w:r>
      <w:r w:rsidRPr="00530ED0">
        <w:rPr>
          <w:i/>
        </w:rPr>
        <w:t>Communications in soil science and plant analysis</w:t>
      </w:r>
      <w:r w:rsidRPr="00530ED0">
        <w:t>,</w:t>
      </w:r>
      <w:r w:rsidRPr="00530ED0">
        <w:rPr>
          <w:i/>
        </w:rPr>
        <w:t xml:space="preserve"> 38</w:t>
      </w:r>
      <w:r w:rsidRPr="00530ED0">
        <w:t xml:space="preserve">(11-12), 1467-1478. </w:t>
      </w:r>
      <w:hyperlink r:id="rId61" w:history="1">
        <w:r w:rsidRPr="00530ED0">
          <w:rPr>
            <w:rStyle w:val="Hyperlink"/>
          </w:rPr>
          <w:t>https://doi.org/https://doi.org/10.1080/00103620701378417</w:t>
        </w:r>
      </w:hyperlink>
      <w:r w:rsidRPr="00530ED0">
        <w:t xml:space="preserve"> </w:t>
      </w:r>
    </w:p>
    <w:p w14:paraId="1595EED4" w14:textId="77777777" w:rsidR="00530ED0" w:rsidRPr="00530ED0" w:rsidRDefault="00530ED0" w:rsidP="00530ED0">
      <w:pPr>
        <w:pStyle w:val="EndNoteBibliography"/>
        <w:ind w:left="720" w:hanging="720"/>
      </w:pPr>
      <w:r w:rsidRPr="00530ED0">
        <w:t xml:space="preserve">Zhang, M., Zhou, C., &amp; Huang, C. (2006). Relationship between extractable metals in acid soils and metals taken up by tea plants. </w:t>
      </w:r>
      <w:r w:rsidRPr="00530ED0">
        <w:rPr>
          <w:i/>
        </w:rPr>
        <w:t>Communications in Soil Science and Plant Aalysis</w:t>
      </w:r>
      <w:r w:rsidRPr="00530ED0">
        <w:t>,</w:t>
      </w:r>
      <w:r w:rsidRPr="00530ED0">
        <w:rPr>
          <w:i/>
        </w:rPr>
        <w:t xml:space="preserve"> 37</w:t>
      </w:r>
      <w:r w:rsidRPr="00530ED0">
        <w:t xml:space="preserve">(3-4), 347-361. </w:t>
      </w:r>
      <w:hyperlink r:id="rId62" w:history="1">
        <w:r w:rsidRPr="00530ED0">
          <w:rPr>
            <w:rStyle w:val="Hyperlink"/>
          </w:rPr>
          <w:t>https://doi.org/https://doi.org/10.1080/00103620500440095</w:t>
        </w:r>
      </w:hyperlink>
      <w:r w:rsidRPr="00530ED0">
        <w:t xml:space="preserve"> </w:t>
      </w:r>
    </w:p>
    <w:p w14:paraId="33F7EB7F" w14:textId="77777777" w:rsidR="00530ED0" w:rsidRPr="00530ED0" w:rsidRDefault="00530ED0" w:rsidP="00530ED0">
      <w:pPr>
        <w:pStyle w:val="EndNoteBibliography"/>
        <w:ind w:left="720" w:hanging="720"/>
      </w:pPr>
      <w:r w:rsidRPr="00530ED0">
        <w:t xml:space="preserve">Zhang, Y., Wang, Y., Ding, Z., Wang, H., Song, L., Jia, S., &amp; Ma, D. (2017). Zinc stress affects ionome and metabolome in tea plants. </w:t>
      </w:r>
      <w:r w:rsidRPr="00530ED0">
        <w:rPr>
          <w:i/>
        </w:rPr>
        <w:t>Plant Physiology and Biochemistry</w:t>
      </w:r>
      <w:r w:rsidRPr="00530ED0">
        <w:t>,</w:t>
      </w:r>
      <w:r w:rsidRPr="00530ED0">
        <w:rPr>
          <w:i/>
        </w:rPr>
        <w:t xml:space="preserve"> 111</w:t>
      </w:r>
      <w:r w:rsidRPr="00530ED0">
        <w:t xml:space="preserve">, 318-328. </w:t>
      </w:r>
      <w:hyperlink r:id="rId63" w:history="1">
        <w:r w:rsidRPr="00530ED0">
          <w:rPr>
            <w:rStyle w:val="Hyperlink"/>
          </w:rPr>
          <w:t>https://doi.org/https://doi.org/10.1016/j.plaphy.2016.12.014</w:t>
        </w:r>
      </w:hyperlink>
      <w:r w:rsidRPr="00530ED0">
        <w:t xml:space="preserve"> </w:t>
      </w:r>
    </w:p>
    <w:p w14:paraId="49122E9E" w14:textId="77777777" w:rsidR="00E6705F" w:rsidRPr="00792BDF" w:rsidRDefault="003C3653" w:rsidP="00792BDF">
      <w:pPr>
        <w:keepNext/>
        <w:spacing w:line="360" w:lineRule="auto"/>
        <w:outlineLvl w:val="1"/>
        <w:rPr>
          <w:rFonts w:eastAsia="Times New Roman"/>
          <w:b/>
          <w:bCs/>
          <w:iCs/>
          <w:szCs w:val="24"/>
        </w:rPr>
      </w:pPr>
      <w:r>
        <w:rPr>
          <w:b/>
          <w:szCs w:val="24"/>
        </w:rPr>
        <w:fldChar w:fldCharType="end"/>
      </w:r>
    </w:p>
    <w:sectPr w:rsidR="00E6705F" w:rsidRPr="00792BDF" w:rsidSect="0086004F">
      <w:headerReference w:type="even" r:id="rId64"/>
      <w:headerReference w:type="default" r:id="rId65"/>
      <w:footerReference w:type="even" r:id="rId66"/>
      <w:footerReference w:type="default" r:id="rId67"/>
      <w:headerReference w:type="first" r:id="rId68"/>
      <w:footerReference w:type="first" r:id="rId6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F1CAD" w14:textId="77777777" w:rsidR="00FA0B42" w:rsidRDefault="00FA0B42" w:rsidP="005951E8">
      <w:r>
        <w:separator/>
      </w:r>
    </w:p>
  </w:endnote>
  <w:endnote w:type="continuationSeparator" w:id="0">
    <w:p w14:paraId="7CB9BA2F" w14:textId="77777777" w:rsidR="00FA0B42" w:rsidRDefault="00FA0B42" w:rsidP="0059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57B39" w14:textId="77777777" w:rsidR="005951E8" w:rsidRDefault="0059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C2141" w14:textId="77777777" w:rsidR="005951E8" w:rsidRDefault="00595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1AAB6" w14:textId="77777777" w:rsidR="005951E8" w:rsidRDefault="00595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ECBEF" w14:textId="77777777" w:rsidR="00FA0B42" w:rsidRDefault="00FA0B42" w:rsidP="005951E8">
      <w:r>
        <w:separator/>
      </w:r>
    </w:p>
  </w:footnote>
  <w:footnote w:type="continuationSeparator" w:id="0">
    <w:p w14:paraId="790EAE8F" w14:textId="77777777" w:rsidR="00FA0B42" w:rsidRDefault="00FA0B42" w:rsidP="00595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F7EA" w14:textId="536E1FFF" w:rsidR="005951E8" w:rsidRDefault="005951E8">
    <w:pPr>
      <w:pStyle w:val="Header"/>
    </w:pPr>
    <w:r>
      <w:rPr>
        <w:noProof/>
      </w:rPr>
      <w:pict w14:anchorId="10FCF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15235" o:spid="_x0000_s2050" type="#_x0000_t136" style="position:absolute;left:0;text-align:left;margin-left:0;margin-top:0;width:646.35pt;height:72.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5E35" w14:textId="74487C68" w:rsidR="005951E8" w:rsidRDefault="005951E8">
    <w:pPr>
      <w:pStyle w:val="Header"/>
    </w:pPr>
    <w:r>
      <w:rPr>
        <w:noProof/>
      </w:rPr>
      <w:pict w14:anchorId="48B21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15236" o:spid="_x0000_s2051" type="#_x0000_t136" style="position:absolute;left:0;text-align:left;margin-left:0;margin-top:0;width:646.35pt;height:72.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B37A" w14:textId="7AC0EC9D" w:rsidR="005951E8" w:rsidRDefault="005951E8">
    <w:pPr>
      <w:pStyle w:val="Header"/>
    </w:pPr>
    <w:r>
      <w:rPr>
        <w:noProof/>
      </w:rPr>
      <w:pict w14:anchorId="7F47A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15234" o:spid="_x0000_s2049" type="#_x0000_t136" style="position:absolute;left:0;text-align:left;margin-left:0;margin-top:0;width:646.35pt;height:72.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21&lt;/item&gt;&lt;item&gt;22&lt;/item&gt;&lt;item&gt;26&lt;/item&gt;&lt;item&gt;28&lt;/item&gt;&lt;item&gt;42&lt;/item&gt;&lt;item&gt;49&lt;/item&gt;&lt;item&gt;64&lt;/item&gt;&lt;item&gt;82&lt;/item&gt;&lt;item&gt;86&lt;/item&gt;&lt;item&gt;88&lt;/item&gt;&lt;item&gt;92&lt;/item&gt;&lt;item&gt;127&lt;/item&gt;&lt;item&gt;129&lt;/item&gt;&lt;item&gt;130&lt;/item&gt;&lt;item&gt;132&lt;/item&gt;&lt;item&gt;140&lt;/item&gt;&lt;item&gt;147&lt;/item&gt;&lt;item&gt;151&lt;/item&gt;&lt;item&gt;157&lt;/item&gt;&lt;item&gt;159&lt;/item&gt;&lt;item&gt;165&lt;/item&gt;&lt;item&gt;175&lt;/item&gt;&lt;item&gt;177&lt;/item&gt;&lt;item&gt;178&lt;/item&gt;&lt;item&gt;180&lt;/item&gt;&lt;item&gt;181&lt;/item&gt;&lt;item&gt;184&lt;/item&gt;&lt;item&gt;190&lt;/item&gt;&lt;item&gt;191&lt;/item&gt;&lt;item&gt;192&lt;/item&gt;&lt;item&gt;217&lt;/item&gt;&lt;item&gt;220&lt;/item&gt;&lt;item&gt;221&lt;/item&gt;&lt;item&gt;222&lt;/item&gt;&lt;item&gt;223&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record-ids&gt;&lt;/item&gt;&lt;/Libraries&gt;"/>
  </w:docVars>
  <w:rsids>
    <w:rsidRoot w:val="00D72529"/>
    <w:rsid w:val="00045A4A"/>
    <w:rsid w:val="00046335"/>
    <w:rsid w:val="0008371A"/>
    <w:rsid w:val="00097C9C"/>
    <w:rsid w:val="000B7994"/>
    <w:rsid w:val="000F2F97"/>
    <w:rsid w:val="001055EF"/>
    <w:rsid w:val="00132D31"/>
    <w:rsid w:val="001515AD"/>
    <w:rsid w:val="001852B5"/>
    <w:rsid w:val="001C4A13"/>
    <w:rsid w:val="001F2CA4"/>
    <w:rsid w:val="00260B87"/>
    <w:rsid w:val="00286BAA"/>
    <w:rsid w:val="002B1740"/>
    <w:rsid w:val="002C3D3F"/>
    <w:rsid w:val="002E2FD2"/>
    <w:rsid w:val="00307494"/>
    <w:rsid w:val="0035754C"/>
    <w:rsid w:val="0037529B"/>
    <w:rsid w:val="003B0C27"/>
    <w:rsid w:val="003C3653"/>
    <w:rsid w:val="003F0329"/>
    <w:rsid w:val="004071E8"/>
    <w:rsid w:val="00420863"/>
    <w:rsid w:val="004304DF"/>
    <w:rsid w:val="00445386"/>
    <w:rsid w:val="0046145D"/>
    <w:rsid w:val="004650FC"/>
    <w:rsid w:val="004944F5"/>
    <w:rsid w:val="0050397F"/>
    <w:rsid w:val="00530ED0"/>
    <w:rsid w:val="005951E8"/>
    <w:rsid w:val="005A6EAF"/>
    <w:rsid w:val="005E1CF8"/>
    <w:rsid w:val="005F3F33"/>
    <w:rsid w:val="00630FE0"/>
    <w:rsid w:val="006800AF"/>
    <w:rsid w:val="00680C66"/>
    <w:rsid w:val="006B348E"/>
    <w:rsid w:val="006D0AFE"/>
    <w:rsid w:val="00733727"/>
    <w:rsid w:val="00753990"/>
    <w:rsid w:val="00762DCA"/>
    <w:rsid w:val="00774415"/>
    <w:rsid w:val="00792BDF"/>
    <w:rsid w:val="007948FB"/>
    <w:rsid w:val="007F5B46"/>
    <w:rsid w:val="00842582"/>
    <w:rsid w:val="00850B47"/>
    <w:rsid w:val="0086004F"/>
    <w:rsid w:val="00874179"/>
    <w:rsid w:val="008B5F79"/>
    <w:rsid w:val="008E5A61"/>
    <w:rsid w:val="009518D5"/>
    <w:rsid w:val="00952708"/>
    <w:rsid w:val="00955C4B"/>
    <w:rsid w:val="00975D1B"/>
    <w:rsid w:val="00A16977"/>
    <w:rsid w:val="00A51665"/>
    <w:rsid w:val="00A5543F"/>
    <w:rsid w:val="00AC4080"/>
    <w:rsid w:val="00AC4088"/>
    <w:rsid w:val="00AC50A5"/>
    <w:rsid w:val="00AD70BE"/>
    <w:rsid w:val="00AF7340"/>
    <w:rsid w:val="00B0608E"/>
    <w:rsid w:val="00B2093B"/>
    <w:rsid w:val="00B511C1"/>
    <w:rsid w:val="00B84749"/>
    <w:rsid w:val="00BA2F06"/>
    <w:rsid w:val="00C0732A"/>
    <w:rsid w:val="00C2439D"/>
    <w:rsid w:val="00D06EE1"/>
    <w:rsid w:val="00D17924"/>
    <w:rsid w:val="00D27863"/>
    <w:rsid w:val="00D72529"/>
    <w:rsid w:val="00D751E8"/>
    <w:rsid w:val="00D80929"/>
    <w:rsid w:val="00DA7E76"/>
    <w:rsid w:val="00DF205B"/>
    <w:rsid w:val="00E6705F"/>
    <w:rsid w:val="00ED6870"/>
    <w:rsid w:val="00EE5792"/>
    <w:rsid w:val="00EF448D"/>
    <w:rsid w:val="00F07E58"/>
    <w:rsid w:val="00F30D9C"/>
    <w:rsid w:val="00FA0B42"/>
    <w:rsid w:val="00FB2697"/>
    <w:rsid w:val="00FB5451"/>
    <w:rsid w:val="00FE1951"/>
    <w:rsid w:val="00FE46D3"/>
    <w:rsid w:val="00FF4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5549B"/>
  <w15:docId w15:val="{23DBB803-29B8-4F2B-BA3B-08FA711E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529"/>
    <w:pPr>
      <w:spacing w:after="0" w:line="240" w:lineRule="auto"/>
      <w:jc w:val="both"/>
    </w:pPr>
    <w:rPr>
      <w:rFonts w:ascii="Times New Roman" w:eastAsia="Calibri" w:hAnsi="Times New Roman" w:cs="Times New Roman"/>
      <w:kern w:val="0"/>
      <w:szCs w:val="22"/>
      <w:lang w:val="en-US"/>
    </w:rPr>
  </w:style>
  <w:style w:type="paragraph" w:styleId="Heading1">
    <w:name w:val="heading 1"/>
    <w:basedOn w:val="Normal"/>
    <w:next w:val="Normal"/>
    <w:link w:val="Heading1Char"/>
    <w:uiPriority w:val="9"/>
    <w:qFormat/>
    <w:rsid w:val="00D725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5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5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5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5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5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5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5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5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5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5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5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5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5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5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5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5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529"/>
    <w:rPr>
      <w:rFonts w:eastAsiaTheme="majorEastAsia" w:cstheme="majorBidi"/>
      <w:color w:val="272727" w:themeColor="text1" w:themeTint="D8"/>
    </w:rPr>
  </w:style>
  <w:style w:type="paragraph" w:styleId="Title">
    <w:name w:val="Title"/>
    <w:basedOn w:val="Normal"/>
    <w:next w:val="Normal"/>
    <w:link w:val="TitleChar"/>
    <w:uiPriority w:val="10"/>
    <w:qFormat/>
    <w:rsid w:val="00D725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5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5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5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529"/>
    <w:pPr>
      <w:spacing w:before="160"/>
      <w:jc w:val="center"/>
    </w:pPr>
    <w:rPr>
      <w:i/>
      <w:iCs/>
      <w:color w:val="404040" w:themeColor="text1" w:themeTint="BF"/>
    </w:rPr>
  </w:style>
  <w:style w:type="character" w:customStyle="1" w:styleId="QuoteChar">
    <w:name w:val="Quote Char"/>
    <w:basedOn w:val="DefaultParagraphFont"/>
    <w:link w:val="Quote"/>
    <w:uiPriority w:val="29"/>
    <w:rsid w:val="00D72529"/>
    <w:rPr>
      <w:i/>
      <w:iCs/>
      <w:color w:val="404040" w:themeColor="text1" w:themeTint="BF"/>
    </w:rPr>
  </w:style>
  <w:style w:type="paragraph" w:styleId="ListParagraph">
    <w:name w:val="List Paragraph"/>
    <w:basedOn w:val="Normal"/>
    <w:uiPriority w:val="34"/>
    <w:qFormat/>
    <w:rsid w:val="00D72529"/>
    <w:pPr>
      <w:ind w:left="720"/>
      <w:contextualSpacing/>
    </w:pPr>
  </w:style>
  <w:style w:type="character" w:styleId="IntenseEmphasis">
    <w:name w:val="Intense Emphasis"/>
    <w:basedOn w:val="DefaultParagraphFont"/>
    <w:uiPriority w:val="21"/>
    <w:qFormat/>
    <w:rsid w:val="00D72529"/>
    <w:rPr>
      <w:i/>
      <w:iCs/>
      <w:color w:val="0F4761" w:themeColor="accent1" w:themeShade="BF"/>
    </w:rPr>
  </w:style>
  <w:style w:type="paragraph" w:styleId="IntenseQuote">
    <w:name w:val="Intense Quote"/>
    <w:basedOn w:val="Normal"/>
    <w:next w:val="Normal"/>
    <w:link w:val="IntenseQuoteChar"/>
    <w:uiPriority w:val="30"/>
    <w:qFormat/>
    <w:rsid w:val="00D725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529"/>
    <w:rPr>
      <w:i/>
      <w:iCs/>
      <w:color w:val="0F4761" w:themeColor="accent1" w:themeShade="BF"/>
    </w:rPr>
  </w:style>
  <w:style w:type="character" w:styleId="IntenseReference">
    <w:name w:val="Intense Reference"/>
    <w:basedOn w:val="DefaultParagraphFont"/>
    <w:uiPriority w:val="32"/>
    <w:qFormat/>
    <w:rsid w:val="00D72529"/>
    <w:rPr>
      <w:b/>
      <w:bCs/>
      <w:smallCaps/>
      <w:color w:val="0F4761" w:themeColor="accent1" w:themeShade="BF"/>
      <w:spacing w:val="5"/>
    </w:rPr>
  </w:style>
  <w:style w:type="character" w:styleId="CommentReference">
    <w:name w:val="annotation reference"/>
    <w:uiPriority w:val="99"/>
    <w:semiHidden/>
    <w:unhideWhenUsed/>
    <w:rsid w:val="00FB5451"/>
    <w:rPr>
      <w:sz w:val="16"/>
      <w:szCs w:val="16"/>
    </w:rPr>
  </w:style>
  <w:style w:type="paragraph" w:styleId="CommentText">
    <w:name w:val="annotation text"/>
    <w:basedOn w:val="Normal"/>
    <w:link w:val="CommentTextChar"/>
    <w:uiPriority w:val="99"/>
    <w:semiHidden/>
    <w:unhideWhenUsed/>
    <w:rsid w:val="00FB5451"/>
    <w:rPr>
      <w:sz w:val="20"/>
      <w:szCs w:val="20"/>
    </w:rPr>
  </w:style>
  <w:style w:type="character" w:customStyle="1" w:styleId="CommentTextChar">
    <w:name w:val="Comment Text Char"/>
    <w:basedOn w:val="DefaultParagraphFont"/>
    <w:link w:val="CommentText"/>
    <w:uiPriority w:val="99"/>
    <w:semiHidden/>
    <w:rsid w:val="00FB5451"/>
    <w:rPr>
      <w:rFonts w:ascii="Times New Roman" w:eastAsia="Calibri" w:hAnsi="Times New Roman" w:cs="Times New Roman"/>
      <w:kern w:val="0"/>
      <w:sz w:val="20"/>
      <w:szCs w:val="20"/>
      <w:lang w:val="en-US"/>
    </w:rPr>
  </w:style>
  <w:style w:type="character" w:styleId="Hyperlink">
    <w:name w:val="Hyperlink"/>
    <w:uiPriority w:val="99"/>
    <w:unhideWhenUsed/>
    <w:rsid w:val="00774415"/>
    <w:rPr>
      <w:color w:val="0000FF"/>
      <w:u w:val="single"/>
    </w:rPr>
  </w:style>
  <w:style w:type="paragraph" w:customStyle="1" w:styleId="EndNoteBibliography">
    <w:name w:val="EndNote Bibliography"/>
    <w:basedOn w:val="Normal"/>
    <w:link w:val="EndNoteBibliographyChar"/>
    <w:rsid w:val="00774415"/>
    <w:rPr>
      <w:noProof/>
    </w:rPr>
  </w:style>
  <w:style w:type="character" w:customStyle="1" w:styleId="EndNoteBibliographyChar">
    <w:name w:val="EndNote Bibliography Char"/>
    <w:link w:val="EndNoteBibliography"/>
    <w:rsid w:val="00774415"/>
    <w:rPr>
      <w:rFonts w:ascii="Times New Roman" w:eastAsia="Calibri" w:hAnsi="Times New Roman" w:cs="Times New Roman"/>
      <w:noProof/>
      <w:kern w:val="0"/>
      <w:szCs w:val="22"/>
      <w:lang w:val="en-US"/>
    </w:rPr>
  </w:style>
  <w:style w:type="paragraph" w:styleId="Caption">
    <w:name w:val="caption"/>
    <w:basedOn w:val="Normal"/>
    <w:next w:val="Normal"/>
    <w:uiPriority w:val="35"/>
    <w:unhideWhenUsed/>
    <w:qFormat/>
    <w:rsid w:val="00AC4080"/>
    <w:rPr>
      <w:b/>
      <w:bCs/>
      <w:sz w:val="20"/>
      <w:szCs w:val="20"/>
    </w:rPr>
  </w:style>
  <w:style w:type="paragraph" w:styleId="BalloonText">
    <w:name w:val="Balloon Text"/>
    <w:basedOn w:val="Normal"/>
    <w:link w:val="BalloonTextChar"/>
    <w:uiPriority w:val="99"/>
    <w:semiHidden/>
    <w:unhideWhenUsed/>
    <w:rsid w:val="00ED6870"/>
    <w:rPr>
      <w:rFonts w:ascii="Tahoma" w:hAnsi="Tahoma" w:cs="Tahoma"/>
      <w:sz w:val="16"/>
      <w:szCs w:val="16"/>
    </w:rPr>
  </w:style>
  <w:style w:type="character" w:customStyle="1" w:styleId="BalloonTextChar">
    <w:name w:val="Balloon Text Char"/>
    <w:basedOn w:val="DefaultParagraphFont"/>
    <w:link w:val="BalloonText"/>
    <w:uiPriority w:val="99"/>
    <w:semiHidden/>
    <w:rsid w:val="00ED6870"/>
    <w:rPr>
      <w:rFonts w:ascii="Tahoma" w:eastAsia="Calibri" w:hAnsi="Tahoma" w:cs="Tahoma"/>
      <w:kern w:val="0"/>
      <w:sz w:val="16"/>
      <w:szCs w:val="16"/>
      <w:lang w:val="en-US"/>
    </w:rPr>
  </w:style>
  <w:style w:type="paragraph" w:customStyle="1" w:styleId="EndNoteBibliographyTitle">
    <w:name w:val="EndNote Bibliography Title"/>
    <w:basedOn w:val="Normal"/>
    <w:link w:val="EndNoteBibliographyTitleChar"/>
    <w:rsid w:val="00B511C1"/>
    <w:pPr>
      <w:jc w:val="center"/>
    </w:pPr>
    <w:rPr>
      <w:noProof/>
    </w:rPr>
  </w:style>
  <w:style w:type="character" w:customStyle="1" w:styleId="EndNoteBibliographyTitleChar">
    <w:name w:val="EndNote Bibliography Title Char"/>
    <w:basedOn w:val="DefaultParagraphFont"/>
    <w:link w:val="EndNoteBibliographyTitle"/>
    <w:rsid w:val="00B511C1"/>
    <w:rPr>
      <w:rFonts w:ascii="Times New Roman" w:eastAsia="Calibri" w:hAnsi="Times New Roman" w:cs="Times New Roman"/>
      <w:noProof/>
      <w:kern w:val="0"/>
      <w:szCs w:val="22"/>
      <w:lang w:val="en-US"/>
    </w:rPr>
  </w:style>
  <w:style w:type="character" w:styleId="UnresolvedMention">
    <w:name w:val="Unresolved Mention"/>
    <w:basedOn w:val="DefaultParagraphFont"/>
    <w:uiPriority w:val="99"/>
    <w:semiHidden/>
    <w:unhideWhenUsed/>
    <w:rsid w:val="00BA2F06"/>
    <w:rPr>
      <w:color w:val="605E5C"/>
      <w:shd w:val="clear" w:color="auto" w:fill="E1DFDD"/>
    </w:rPr>
  </w:style>
  <w:style w:type="paragraph" w:styleId="Header">
    <w:name w:val="header"/>
    <w:basedOn w:val="Normal"/>
    <w:link w:val="HeaderChar"/>
    <w:uiPriority w:val="99"/>
    <w:unhideWhenUsed/>
    <w:rsid w:val="005951E8"/>
    <w:pPr>
      <w:tabs>
        <w:tab w:val="center" w:pos="4680"/>
        <w:tab w:val="right" w:pos="9360"/>
      </w:tabs>
    </w:pPr>
  </w:style>
  <w:style w:type="character" w:customStyle="1" w:styleId="HeaderChar">
    <w:name w:val="Header Char"/>
    <w:basedOn w:val="DefaultParagraphFont"/>
    <w:link w:val="Header"/>
    <w:uiPriority w:val="99"/>
    <w:rsid w:val="005951E8"/>
    <w:rPr>
      <w:rFonts w:ascii="Times New Roman" w:eastAsia="Calibri" w:hAnsi="Times New Roman" w:cs="Times New Roman"/>
      <w:kern w:val="0"/>
      <w:szCs w:val="22"/>
      <w:lang w:val="en-US"/>
    </w:rPr>
  </w:style>
  <w:style w:type="paragraph" w:styleId="Footer">
    <w:name w:val="footer"/>
    <w:basedOn w:val="Normal"/>
    <w:link w:val="FooterChar"/>
    <w:uiPriority w:val="99"/>
    <w:unhideWhenUsed/>
    <w:rsid w:val="005951E8"/>
    <w:pPr>
      <w:tabs>
        <w:tab w:val="center" w:pos="4680"/>
        <w:tab w:val="right" w:pos="9360"/>
      </w:tabs>
    </w:pPr>
  </w:style>
  <w:style w:type="character" w:customStyle="1" w:styleId="FooterChar">
    <w:name w:val="Footer Char"/>
    <w:basedOn w:val="DefaultParagraphFont"/>
    <w:link w:val="Footer"/>
    <w:uiPriority w:val="99"/>
    <w:rsid w:val="005951E8"/>
    <w:rPr>
      <w:rFonts w:ascii="Times New Roman" w:eastAsia="Calibri" w:hAnsi="Times New Roman" w:cs="Times New Roman"/>
      <w:kern w:val="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080/10496505.2011.540552" TargetMode="External"/><Relationship Id="rId21" Type="http://schemas.openxmlformats.org/officeDocument/2006/relationships/chart" Target="charts/chart16.xml"/><Relationship Id="rId42" Type="http://schemas.openxmlformats.org/officeDocument/2006/relationships/hyperlink" Target="https://doi.org/https://doi.org/10.1007/978-981-97-0092-9_10" TargetMode="External"/><Relationship Id="rId47" Type="http://schemas.openxmlformats.org/officeDocument/2006/relationships/hyperlink" Target="https://doi.org/10.20425/ijts.v10i3and4.4739" TargetMode="External"/><Relationship Id="rId63" Type="http://schemas.openxmlformats.org/officeDocument/2006/relationships/hyperlink" Target="https://doi.org/https://doi.org/10.1016/j.plaphy.2016.12.014" TargetMode="External"/><Relationship Id="rId68" Type="http://schemas.openxmlformats.org/officeDocument/2006/relationships/header" Target="header3.xml"/><Relationship Id="rId7" Type="http://schemas.openxmlformats.org/officeDocument/2006/relationships/chart" Target="charts/chart2.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hart" Target="charts/chart11.xml"/><Relationship Id="rId29" Type="http://schemas.openxmlformats.org/officeDocument/2006/relationships/hyperlink" Target="https://doi.org/https://doi.org/10.1007/s11104-015-2729-5" TargetMode="Externa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hyperlink" Target="https://doi.org/10.1002/jsfa.3254" TargetMode="External"/><Relationship Id="rId37" Type="http://schemas.openxmlformats.org/officeDocument/2006/relationships/hyperlink" Target="https://doi.org/10.1002/jpln.201200311" TargetMode="External"/><Relationship Id="rId40" Type="http://schemas.openxmlformats.org/officeDocument/2006/relationships/hyperlink" Target="https://doi.org/10.3390/nu14224828" TargetMode="External"/><Relationship Id="rId45" Type="http://schemas.openxmlformats.org/officeDocument/2006/relationships/hyperlink" Target="https://doi.org/https://doi.org/10.1017/S0014479715000083" TargetMode="External"/><Relationship Id="rId53" Type="http://schemas.openxmlformats.org/officeDocument/2006/relationships/hyperlink" Target="https://doi.org/https://doi.org/10.1093/aob/mch010" TargetMode="External"/><Relationship Id="rId58" Type="http://schemas.openxmlformats.org/officeDocument/2006/relationships/hyperlink" Target="https://doi.org/10.5376/jtsr.2016.06.0007" TargetMode="External"/><Relationship Id="rId66"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https://doi.org/https://doi.org/10.1080/00103620701378417" TargetMode="External"/><Relationship Id="rId19" Type="http://schemas.openxmlformats.org/officeDocument/2006/relationships/chart" Target="charts/chart1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hyperlink" Target="https://doi.org/https://doi.org/10.1007/978-3-319-19968-9_12" TargetMode="External"/><Relationship Id="rId30" Type="http://schemas.openxmlformats.org/officeDocument/2006/relationships/hyperlink" Target="https://doi.org/10.5897/AJB2014.14279" TargetMode="External"/><Relationship Id="rId35" Type="http://schemas.openxmlformats.org/officeDocument/2006/relationships/hyperlink" Target="https://doi.org/https://doi.org/10.1007/978-981-13-2140-5_9" TargetMode="External"/><Relationship Id="rId43" Type="http://schemas.openxmlformats.org/officeDocument/2006/relationships/hyperlink" Target="https://doi.org/https://doi.org/10.1016/j.foodchem.2004.03.003" TargetMode="External"/><Relationship Id="rId48" Type="http://schemas.openxmlformats.org/officeDocument/2006/relationships/hyperlink" Target="https://doi.org/https://DOI:10.1007/978-94-007-1521-9_10" TargetMode="External"/><Relationship Id="rId56" Type="http://schemas.openxmlformats.org/officeDocument/2006/relationships/hyperlink" Target="https://doi.org/https://doi.org/10.1007/s11104-012-1139-1"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chart" Target="charts/chart3.xml"/><Relationship Id="rId51" Type="http://schemas.openxmlformats.org/officeDocument/2006/relationships/hyperlink" Target="https://doi.org/https://doi.org/10.3390/molecules28176396" TargetMode="External"/><Relationship Id="rId3" Type="http://schemas.openxmlformats.org/officeDocument/2006/relationships/webSettings" Target="webSettings.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hyperlink" Target="https://doi.org/https://doi.org/10.1007/s11104-005-3697-y" TargetMode="External"/><Relationship Id="rId38" Type="http://schemas.openxmlformats.org/officeDocument/2006/relationships/hyperlink" Target="https://doi.org/10.21273/HORTSCI12268-17" TargetMode="External"/><Relationship Id="rId46" Type="http://schemas.openxmlformats.org/officeDocument/2006/relationships/hyperlink" Target="https://doi.org/https://doi.org/10.1080/00103628409367568" TargetMode="External"/><Relationship Id="rId59" Type="http://schemas.openxmlformats.org/officeDocument/2006/relationships/hyperlink" Target="https://doi.org/DOI" TargetMode="External"/><Relationship Id="rId67" Type="http://schemas.openxmlformats.org/officeDocument/2006/relationships/footer" Target="footer2.xml"/><Relationship Id="rId20" Type="http://schemas.openxmlformats.org/officeDocument/2006/relationships/chart" Target="charts/chart15.xml"/><Relationship Id="rId41" Type="http://schemas.openxmlformats.org/officeDocument/2006/relationships/hyperlink" Target="https://doi.org/https://doi.org/10.1016/j.fcr.2008.03.003" TargetMode="External"/><Relationship Id="rId54" Type="http://schemas.openxmlformats.org/officeDocument/2006/relationships/hyperlink" Target="https://doi.org/https://doi.org/10.1023/B:PLSO.0000047744.44940.96" TargetMode="External"/><Relationship Id="rId62" Type="http://schemas.openxmlformats.org/officeDocument/2006/relationships/hyperlink" Target="https://doi.org/https://doi.org/10.1080/00103620500440095"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hyperlink" Target="https://doi.org/https://doi.org/10.1016/j.agee.2004.05.004" TargetMode="External"/><Relationship Id="rId36" Type="http://schemas.openxmlformats.org/officeDocument/2006/relationships/hyperlink" Target="https://doi.org/" TargetMode="External"/><Relationship Id="rId49" Type="http://schemas.openxmlformats.org/officeDocument/2006/relationships/hyperlink" Target="https://doi.org/10.20425/ijts1514" TargetMode="External"/><Relationship Id="rId57" Type="http://schemas.openxmlformats.org/officeDocument/2006/relationships/hyperlink" Target="https://doi.org/https://doi.org/10.1016/j.foodcont.2007.07.012" TargetMode="External"/><Relationship Id="rId10" Type="http://schemas.openxmlformats.org/officeDocument/2006/relationships/chart" Target="charts/chart5.xml"/><Relationship Id="rId31" Type="http://schemas.openxmlformats.org/officeDocument/2006/relationships/hyperlink" Target="https://doi.org/" TargetMode="External"/><Relationship Id="rId44" Type="http://schemas.openxmlformats.org/officeDocument/2006/relationships/hyperlink" Target="https://doi.org/10.20425/ijts.v10i3and4.4740" TargetMode="External"/><Relationship Id="rId52" Type="http://schemas.openxmlformats.org/officeDocument/2006/relationships/hyperlink" Target="https://link.springer.com/article/10.1007/s10653-006-9047-z" TargetMode="External"/><Relationship Id="rId60" Type="http://schemas.openxmlformats.org/officeDocument/2006/relationships/hyperlink" Target="https://doi.org/https://doi.org/10.3390/ijms25010530" TargetMode="External"/><Relationship Id="rId65"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chart" Target="charts/chart4.xml"/><Relationship Id="rId13" Type="http://schemas.openxmlformats.org/officeDocument/2006/relationships/chart" Target="charts/chart8.xml"/><Relationship Id="rId18" Type="http://schemas.openxmlformats.org/officeDocument/2006/relationships/chart" Target="charts/chart13.xml"/><Relationship Id="rId39" Type="http://schemas.openxmlformats.org/officeDocument/2006/relationships/hyperlink" Target="https://doi.org/" TargetMode="External"/><Relationship Id="rId34" Type="http://schemas.openxmlformats.org/officeDocument/2006/relationships/hyperlink" Target="https://doi.org/DOI" TargetMode="External"/><Relationship Id="rId50" Type="http://schemas.openxmlformats.org/officeDocument/2006/relationships/hyperlink" Target="https://doi.org/10.5897/AJAR11.1246" TargetMode="External"/><Relationship Id="rId55" Type="http://schemas.openxmlformats.org/officeDocument/2006/relationships/hyperlink" Target="https://doi.org/https://doi.org/10.1023/A:101108260863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5363893080728"/>
          <c:y val="6.2808434275459846E-2"/>
          <c:w val="0.86122719598380371"/>
          <c:h val="0.72595563845232658"/>
        </c:manualLayout>
      </c:layout>
      <c:barChart>
        <c:barDir val="col"/>
        <c:grouping val="clustered"/>
        <c:varyColors val="0"/>
        <c:ser>
          <c:idx val="0"/>
          <c:order val="0"/>
          <c:tx>
            <c:strRef>
              <c:f>Sheet1!$AO$3</c:f>
              <c:strCache>
                <c:ptCount val="1"/>
                <c:pt idx="0">
                  <c:v>Timbilil</c:v>
                </c:pt>
              </c:strCache>
            </c:strRef>
          </c:tx>
          <c:spPr>
            <a:solidFill>
              <a:schemeClr val="accent1"/>
            </a:solidFill>
            <a:ln>
              <a:noFill/>
            </a:ln>
            <a:effectLst/>
          </c:spPr>
          <c:invertIfNegative val="0"/>
          <c:cat>
            <c:strRef>
              <c:f>Sheet1!$AN$4:$AN$7</c:f>
              <c:strCache>
                <c:ptCount val="4"/>
                <c:pt idx="0">
                  <c:v>0-10cm</c:v>
                </c:pt>
                <c:pt idx="1">
                  <c:v>"10-20cm</c:v>
                </c:pt>
                <c:pt idx="2">
                  <c:v>20-30cm</c:v>
                </c:pt>
                <c:pt idx="3">
                  <c:v>40-60cm</c:v>
                </c:pt>
              </c:strCache>
            </c:strRef>
          </c:cat>
          <c:val>
            <c:numRef>
              <c:f>Sheet1!$AO$4:$AO$7</c:f>
              <c:numCache>
                <c:formatCode>General</c:formatCode>
                <c:ptCount val="4"/>
                <c:pt idx="0">
                  <c:v>1861</c:v>
                </c:pt>
                <c:pt idx="1">
                  <c:v>1754</c:v>
                </c:pt>
                <c:pt idx="2">
                  <c:v>1575</c:v>
                </c:pt>
                <c:pt idx="3">
                  <c:v>1562</c:v>
                </c:pt>
              </c:numCache>
            </c:numRef>
          </c:val>
          <c:extLst>
            <c:ext xmlns:c16="http://schemas.microsoft.com/office/drawing/2014/chart" uri="{C3380CC4-5D6E-409C-BE32-E72D297353CC}">
              <c16:uniqueId val="{00000000-9F0E-4C6F-A9AA-9945F65C91FA}"/>
            </c:ext>
          </c:extLst>
        </c:ser>
        <c:ser>
          <c:idx val="1"/>
          <c:order val="1"/>
          <c:tx>
            <c:strRef>
              <c:f>Sheet1!$AP$3</c:f>
              <c:strCache>
                <c:ptCount val="1"/>
                <c:pt idx="0">
                  <c:v>Changoi</c:v>
                </c:pt>
              </c:strCache>
            </c:strRef>
          </c:tx>
          <c:spPr>
            <a:solidFill>
              <a:schemeClr val="accent2"/>
            </a:solidFill>
            <a:ln>
              <a:noFill/>
            </a:ln>
            <a:effectLst/>
          </c:spPr>
          <c:invertIfNegative val="0"/>
          <c:cat>
            <c:strRef>
              <c:f>Sheet1!$AN$4:$AN$7</c:f>
              <c:strCache>
                <c:ptCount val="4"/>
                <c:pt idx="0">
                  <c:v>0-10cm</c:v>
                </c:pt>
                <c:pt idx="1">
                  <c:v>"10-20cm</c:v>
                </c:pt>
                <c:pt idx="2">
                  <c:v>20-30cm</c:v>
                </c:pt>
                <c:pt idx="3">
                  <c:v>40-60cm</c:v>
                </c:pt>
              </c:strCache>
            </c:strRef>
          </c:cat>
          <c:val>
            <c:numRef>
              <c:f>Sheet1!$AP$4:$AP$7</c:f>
              <c:numCache>
                <c:formatCode>General</c:formatCode>
                <c:ptCount val="4"/>
                <c:pt idx="0">
                  <c:v>1963</c:v>
                </c:pt>
                <c:pt idx="1">
                  <c:v>1762</c:v>
                </c:pt>
                <c:pt idx="2">
                  <c:v>1543</c:v>
                </c:pt>
                <c:pt idx="3">
                  <c:v>1633</c:v>
                </c:pt>
              </c:numCache>
            </c:numRef>
          </c:val>
          <c:extLst>
            <c:ext xmlns:c16="http://schemas.microsoft.com/office/drawing/2014/chart" uri="{C3380CC4-5D6E-409C-BE32-E72D297353CC}">
              <c16:uniqueId val="{00000001-9F0E-4C6F-A9AA-9945F65C91FA}"/>
            </c:ext>
          </c:extLst>
        </c:ser>
        <c:ser>
          <c:idx val="2"/>
          <c:order val="2"/>
          <c:tx>
            <c:strRef>
              <c:f>Sheet1!$AQ$3</c:f>
              <c:strCache>
                <c:ptCount val="1"/>
                <c:pt idx="0">
                  <c:v>Arroket</c:v>
                </c:pt>
              </c:strCache>
            </c:strRef>
          </c:tx>
          <c:spPr>
            <a:solidFill>
              <a:schemeClr val="accent3"/>
            </a:solidFill>
            <a:ln>
              <a:noFill/>
            </a:ln>
            <a:effectLst/>
          </c:spPr>
          <c:invertIfNegative val="0"/>
          <c:cat>
            <c:strRef>
              <c:f>Sheet1!$AN$4:$AN$7</c:f>
              <c:strCache>
                <c:ptCount val="4"/>
                <c:pt idx="0">
                  <c:v>0-10cm</c:v>
                </c:pt>
                <c:pt idx="1">
                  <c:v>"10-20cm</c:v>
                </c:pt>
                <c:pt idx="2">
                  <c:v>20-30cm</c:v>
                </c:pt>
                <c:pt idx="3">
                  <c:v>40-60cm</c:v>
                </c:pt>
              </c:strCache>
            </c:strRef>
          </c:cat>
          <c:val>
            <c:numRef>
              <c:f>Sheet1!$AQ$4:$AQ$7</c:f>
              <c:numCache>
                <c:formatCode>General</c:formatCode>
                <c:ptCount val="4"/>
                <c:pt idx="0">
                  <c:v>1610</c:v>
                </c:pt>
                <c:pt idx="1">
                  <c:v>1471</c:v>
                </c:pt>
                <c:pt idx="2">
                  <c:v>1111</c:v>
                </c:pt>
                <c:pt idx="3">
                  <c:v>1062</c:v>
                </c:pt>
              </c:numCache>
            </c:numRef>
          </c:val>
          <c:extLst>
            <c:ext xmlns:c16="http://schemas.microsoft.com/office/drawing/2014/chart" uri="{C3380CC4-5D6E-409C-BE32-E72D297353CC}">
              <c16:uniqueId val="{00000002-9F0E-4C6F-A9AA-9945F65C91FA}"/>
            </c:ext>
          </c:extLst>
        </c:ser>
        <c:ser>
          <c:idx val="3"/>
          <c:order val="3"/>
          <c:tx>
            <c:strRef>
              <c:f>Sheet1!$AR$3</c:f>
              <c:strCache>
                <c:ptCount val="1"/>
                <c:pt idx="0">
                  <c:v>Kitabi</c:v>
                </c:pt>
              </c:strCache>
            </c:strRef>
          </c:tx>
          <c:spPr>
            <a:solidFill>
              <a:schemeClr val="accent4"/>
            </a:solidFill>
            <a:ln>
              <a:noFill/>
            </a:ln>
            <a:effectLst/>
          </c:spPr>
          <c:invertIfNegative val="0"/>
          <c:cat>
            <c:strRef>
              <c:f>Sheet1!$AN$4:$AN$7</c:f>
              <c:strCache>
                <c:ptCount val="4"/>
                <c:pt idx="0">
                  <c:v>0-10cm</c:v>
                </c:pt>
                <c:pt idx="1">
                  <c:v>"10-20cm</c:v>
                </c:pt>
                <c:pt idx="2">
                  <c:v>20-30cm</c:v>
                </c:pt>
                <c:pt idx="3">
                  <c:v>40-60cm</c:v>
                </c:pt>
              </c:strCache>
            </c:strRef>
          </c:cat>
          <c:val>
            <c:numRef>
              <c:f>Sheet1!$AR$4:$AR$7</c:f>
              <c:numCache>
                <c:formatCode>General</c:formatCode>
                <c:ptCount val="4"/>
                <c:pt idx="0">
                  <c:v>1474</c:v>
                </c:pt>
                <c:pt idx="1">
                  <c:v>1419</c:v>
                </c:pt>
                <c:pt idx="2">
                  <c:v>1247</c:v>
                </c:pt>
                <c:pt idx="3">
                  <c:v>1231</c:v>
                </c:pt>
              </c:numCache>
            </c:numRef>
          </c:val>
          <c:extLst>
            <c:ext xmlns:c16="http://schemas.microsoft.com/office/drawing/2014/chart" uri="{C3380CC4-5D6E-409C-BE32-E72D297353CC}">
              <c16:uniqueId val="{00000003-9F0E-4C6F-A9AA-9945F65C91FA}"/>
            </c:ext>
          </c:extLst>
        </c:ser>
        <c:ser>
          <c:idx val="4"/>
          <c:order val="4"/>
          <c:tx>
            <c:strRef>
              <c:f>Sheet1!$AS$3</c:f>
              <c:strCache>
                <c:ptCount val="1"/>
                <c:pt idx="0">
                  <c:v>Mulindi</c:v>
                </c:pt>
              </c:strCache>
            </c:strRef>
          </c:tx>
          <c:spPr>
            <a:solidFill>
              <a:schemeClr val="accent5"/>
            </a:solidFill>
            <a:ln>
              <a:noFill/>
            </a:ln>
            <a:effectLst/>
          </c:spPr>
          <c:invertIfNegative val="0"/>
          <c:cat>
            <c:strRef>
              <c:f>Sheet1!$AN$4:$AN$7</c:f>
              <c:strCache>
                <c:ptCount val="4"/>
                <c:pt idx="0">
                  <c:v>0-10cm</c:v>
                </c:pt>
                <c:pt idx="1">
                  <c:v>"10-20cm</c:v>
                </c:pt>
                <c:pt idx="2">
                  <c:v>20-30cm</c:v>
                </c:pt>
                <c:pt idx="3">
                  <c:v>40-60cm</c:v>
                </c:pt>
              </c:strCache>
            </c:strRef>
          </c:cat>
          <c:val>
            <c:numRef>
              <c:f>Sheet1!$AS$4:$AS$7</c:f>
              <c:numCache>
                <c:formatCode>General</c:formatCode>
                <c:ptCount val="4"/>
                <c:pt idx="0">
                  <c:v>1157</c:v>
                </c:pt>
                <c:pt idx="1">
                  <c:v>1442</c:v>
                </c:pt>
                <c:pt idx="2">
                  <c:v>1380</c:v>
                </c:pt>
                <c:pt idx="3">
                  <c:v>1175</c:v>
                </c:pt>
              </c:numCache>
            </c:numRef>
          </c:val>
          <c:extLst>
            <c:ext xmlns:c16="http://schemas.microsoft.com/office/drawing/2014/chart" uri="{C3380CC4-5D6E-409C-BE32-E72D297353CC}">
              <c16:uniqueId val="{00000004-9F0E-4C6F-A9AA-9945F65C91FA}"/>
            </c:ext>
          </c:extLst>
        </c:ser>
        <c:ser>
          <c:idx val="5"/>
          <c:order val="5"/>
          <c:tx>
            <c:strRef>
              <c:f>Sheet1!$AT$3</c:f>
              <c:strCache>
                <c:ptCount val="1"/>
                <c:pt idx="0">
                  <c:v>Katoke</c:v>
                </c:pt>
              </c:strCache>
            </c:strRef>
          </c:tx>
          <c:spPr>
            <a:solidFill>
              <a:schemeClr val="accent6"/>
            </a:solidFill>
            <a:ln>
              <a:noFill/>
            </a:ln>
            <a:effectLst/>
          </c:spPr>
          <c:invertIfNegative val="0"/>
          <c:cat>
            <c:strRef>
              <c:f>Sheet1!$AN$4:$AN$7</c:f>
              <c:strCache>
                <c:ptCount val="4"/>
                <c:pt idx="0">
                  <c:v>0-10cm</c:v>
                </c:pt>
                <c:pt idx="1">
                  <c:v>"10-20cm</c:v>
                </c:pt>
                <c:pt idx="2">
                  <c:v>20-30cm</c:v>
                </c:pt>
                <c:pt idx="3">
                  <c:v>40-60cm</c:v>
                </c:pt>
              </c:strCache>
            </c:strRef>
          </c:cat>
          <c:val>
            <c:numRef>
              <c:f>Sheet1!$AT$4:$AT$7</c:f>
              <c:numCache>
                <c:formatCode>General</c:formatCode>
                <c:ptCount val="4"/>
                <c:pt idx="0">
                  <c:v>1428</c:v>
                </c:pt>
                <c:pt idx="1">
                  <c:v>1578</c:v>
                </c:pt>
                <c:pt idx="2">
                  <c:v>1289</c:v>
                </c:pt>
                <c:pt idx="3">
                  <c:v>1236</c:v>
                </c:pt>
              </c:numCache>
            </c:numRef>
          </c:val>
          <c:extLst>
            <c:ext xmlns:c16="http://schemas.microsoft.com/office/drawing/2014/chart" uri="{C3380CC4-5D6E-409C-BE32-E72D297353CC}">
              <c16:uniqueId val="{00000005-9F0E-4C6F-A9AA-9945F65C91FA}"/>
            </c:ext>
          </c:extLst>
        </c:ser>
        <c:ser>
          <c:idx val="6"/>
          <c:order val="6"/>
          <c:tx>
            <c:strRef>
              <c:f>Sheet1!$AU$3</c:f>
              <c:strCache>
                <c:ptCount val="1"/>
                <c:pt idx="0">
                  <c:v>Maruku</c:v>
                </c:pt>
              </c:strCache>
            </c:strRef>
          </c:tx>
          <c:spPr>
            <a:solidFill>
              <a:schemeClr val="accent1">
                <a:lumMod val="60000"/>
              </a:schemeClr>
            </a:solidFill>
            <a:ln>
              <a:noFill/>
            </a:ln>
            <a:effectLst/>
          </c:spPr>
          <c:invertIfNegative val="0"/>
          <c:cat>
            <c:strRef>
              <c:f>Sheet1!$AN$4:$AN$7</c:f>
              <c:strCache>
                <c:ptCount val="4"/>
                <c:pt idx="0">
                  <c:v>0-10cm</c:v>
                </c:pt>
                <c:pt idx="1">
                  <c:v>"10-20cm</c:v>
                </c:pt>
                <c:pt idx="2">
                  <c:v>20-30cm</c:v>
                </c:pt>
                <c:pt idx="3">
                  <c:v>40-60cm</c:v>
                </c:pt>
              </c:strCache>
            </c:strRef>
          </c:cat>
          <c:val>
            <c:numRef>
              <c:f>Sheet1!$AU$4:$AU$7</c:f>
              <c:numCache>
                <c:formatCode>General</c:formatCode>
                <c:ptCount val="4"/>
                <c:pt idx="0">
                  <c:v>1269</c:v>
                </c:pt>
                <c:pt idx="1">
                  <c:v>1267</c:v>
                </c:pt>
                <c:pt idx="2">
                  <c:v>1215</c:v>
                </c:pt>
                <c:pt idx="3">
                  <c:v>1137</c:v>
                </c:pt>
              </c:numCache>
            </c:numRef>
          </c:val>
          <c:extLst>
            <c:ext xmlns:c16="http://schemas.microsoft.com/office/drawing/2014/chart" uri="{C3380CC4-5D6E-409C-BE32-E72D297353CC}">
              <c16:uniqueId val="{00000006-9F0E-4C6F-A9AA-9945F65C91FA}"/>
            </c:ext>
          </c:extLst>
        </c:ser>
        <c:dLbls>
          <c:showLegendKey val="0"/>
          <c:showVal val="0"/>
          <c:showCatName val="0"/>
          <c:showSerName val="0"/>
          <c:showPercent val="0"/>
          <c:showBubbleSize val="0"/>
        </c:dLbls>
        <c:gapWidth val="300"/>
        <c:axId val="403808448"/>
        <c:axId val="403801392"/>
      </c:barChart>
      <c:lineChart>
        <c:grouping val="standard"/>
        <c:varyColors val="0"/>
        <c:ser>
          <c:idx val="7"/>
          <c:order val="7"/>
          <c:tx>
            <c:strRef>
              <c:f>Sheet1!$AV$3</c:f>
              <c:strCache>
                <c:ptCount val="1"/>
              </c:strCache>
            </c:strRef>
          </c:tx>
          <c:spPr>
            <a:ln w="28575" cap="rnd">
              <a:noFill/>
              <a:round/>
            </a:ln>
            <a:effectLst/>
          </c:spPr>
          <c:marker>
            <c:symbol val="none"/>
          </c:marker>
          <c:errBars>
            <c:errDir val="y"/>
            <c:errBarType val="both"/>
            <c:errValType val="cust"/>
            <c:noEndCap val="0"/>
            <c:plus>
              <c:numRef>
                <c:f>Sheet1!$AX$4:$AX$7</c:f>
                <c:numCache>
                  <c:formatCode>General</c:formatCode>
                  <c:ptCount val="4"/>
                  <c:pt idx="0">
                    <c:v>25</c:v>
                  </c:pt>
                  <c:pt idx="1">
                    <c:v>50</c:v>
                  </c:pt>
                  <c:pt idx="2">
                    <c:v>15</c:v>
                  </c:pt>
                  <c:pt idx="3">
                    <c:v>25</c:v>
                  </c:pt>
                </c:numCache>
              </c:numRef>
            </c:plus>
            <c:minus>
              <c:numRef>
                <c:f>Sheet1!$AW$4:$AW$7</c:f>
                <c:numCache>
                  <c:formatCode>General</c:formatCode>
                  <c:ptCount val="4"/>
                  <c:pt idx="0">
                    <c:v>5</c:v>
                  </c:pt>
                  <c:pt idx="1">
                    <c:v>18</c:v>
                  </c:pt>
                  <c:pt idx="2">
                    <c:v>0</c:v>
                  </c:pt>
                  <c:pt idx="3">
                    <c:v>5</c:v>
                  </c:pt>
                </c:numCache>
              </c:numRef>
            </c:minus>
            <c:spPr>
              <a:noFill/>
              <a:ln w="9525" cap="flat" cmpd="sng" algn="ctr">
                <a:solidFill>
                  <a:schemeClr val="tx1">
                    <a:lumMod val="65000"/>
                    <a:lumOff val="35000"/>
                  </a:schemeClr>
                </a:solidFill>
                <a:round/>
              </a:ln>
              <a:effectLst/>
            </c:spPr>
          </c:errBars>
          <c:cat>
            <c:strRef>
              <c:f>Sheet1!$AN$4:$AN$7</c:f>
              <c:strCache>
                <c:ptCount val="4"/>
                <c:pt idx="0">
                  <c:v>0-10cm</c:v>
                </c:pt>
                <c:pt idx="1">
                  <c:v>"10-20cm</c:v>
                </c:pt>
                <c:pt idx="2">
                  <c:v>20-30cm</c:v>
                </c:pt>
                <c:pt idx="3">
                  <c:v>40-60cm</c:v>
                </c:pt>
              </c:strCache>
            </c:strRef>
          </c:cat>
          <c:val>
            <c:numRef>
              <c:f>Sheet1!$AV$4:$AV$7</c:f>
              <c:numCache>
                <c:formatCode>General</c:formatCode>
                <c:ptCount val="4"/>
                <c:pt idx="0">
                  <c:v>1600</c:v>
                </c:pt>
                <c:pt idx="1">
                  <c:v>1600</c:v>
                </c:pt>
                <c:pt idx="2">
                  <c:v>1500</c:v>
                </c:pt>
                <c:pt idx="3">
                  <c:v>1300</c:v>
                </c:pt>
              </c:numCache>
            </c:numRef>
          </c:val>
          <c:smooth val="0"/>
          <c:extLst>
            <c:ext xmlns:c16="http://schemas.microsoft.com/office/drawing/2014/chart" uri="{C3380CC4-5D6E-409C-BE32-E72D297353CC}">
              <c16:uniqueId val="{00000007-9F0E-4C6F-A9AA-9945F65C91FA}"/>
            </c:ext>
          </c:extLst>
        </c:ser>
        <c:dLbls>
          <c:showLegendKey val="0"/>
          <c:showVal val="0"/>
          <c:showCatName val="0"/>
          <c:showSerName val="0"/>
          <c:showPercent val="0"/>
          <c:showBubbleSize val="0"/>
        </c:dLbls>
        <c:marker val="1"/>
        <c:smooth val="0"/>
        <c:axId val="403808448"/>
        <c:axId val="403801392"/>
      </c:lineChart>
      <c:catAx>
        <c:axId val="403808448"/>
        <c:scaling>
          <c:orientation val="minMax"/>
        </c:scaling>
        <c:delete val="0"/>
        <c:axPos val="b"/>
        <c:title>
          <c:tx>
            <c:rich>
              <a:bodyPr rot="0" vert="horz"/>
              <a:lstStyle/>
              <a:p>
                <a:pPr>
                  <a:defRPr/>
                </a:pPr>
                <a:r>
                  <a:rPr lang="en-US"/>
                  <a:t>Soil Depth (cm) (bars are LSDs, p≤0.05)</a:t>
                </a:r>
              </a:p>
            </c:rich>
          </c:tx>
          <c:layout>
            <c:manualLayout>
              <c:xMode val="edge"/>
              <c:yMode val="edge"/>
              <c:x val="0.37442065472366237"/>
              <c:y val="0.856566801962675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03801392"/>
        <c:crosses val="autoZero"/>
        <c:auto val="1"/>
        <c:lblAlgn val="ctr"/>
        <c:lblOffset val="100"/>
        <c:noMultiLvlLbl val="0"/>
      </c:catAx>
      <c:valAx>
        <c:axId val="403801392"/>
        <c:scaling>
          <c:orientation val="minMax"/>
          <c:max val="1970"/>
          <c:min val="10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380844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4147095793104"/>
          <c:y val="5.3974484789008834E-2"/>
          <c:w val="0.76291163908991588"/>
          <c:h val="0.60562385540865293"/>
        </c:manualLayout>
      </c:layout>
      <c:barChart>
        <c:barDir val="col"/>
        <c:grouping val="clustered"/>
        <c:varyColors val="0"/>
        <c:ser>
          <c:idx val="0"/>
          <c:order val="0"/>
          <c:tx>
            <c:strRef>
              <c:f>Sheet1!$AE$30</c:f>
              <c:strCache>
                <c:ptCount val="1"/>
                <c:pt idx="0">
                  <c:v>0</c:v>
                </c:pt>
              </c:strCache>
            </c:strRef>
          </c:tx>
          <c:spPr>
            <a:solidFill>
              <a:schemeClr val="accent1"/>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Sheet1!$AE$31:$AE$38</c:f>
              <c:numCache>
                <c:formatCode>General</c:formatCode>
                <c:ptCount val="8"/>
                <c:pt idx="0">
                  <c:v>85</c:v>
                </c:pt>
                <c:pt idx="1">
                  <c:v>38</c:v>
                </c:pt>
                <c:pt idx="2">
                  <c:v>116</c:v>
                </c:pt>
                <c:pt idx="3">
                  <c:v>241</c:v>
                </c:pt>
                <c:pt idx="4">
                  <c:v>359</c:v>
                </c:pt>
                <c:pt idx="5">
                  <c:v>20</c:v>
                </c:pt>
                <c:pt idx="6">
                  <c:v>15</c:v>
                </c:pt>
                <c:pt idx="7">
                  <c:v>125</c:v>
                </c:pt>
              </c:numCache>
            </c:numRef>
          </c:val>
          <c:extLst>
            <c:ext xmlns:c16="http://schemas.microsoft.com/office/drawing/2014/chart" uri="{C3380CC4-5D6E-409C-BE32-E72D297353CC}">
              <c16:uniqueId val="{00000000-0E1A-4681-A505-14475FECE740}"/>
            </c:ext>
          </c:extLst>
        </c:ser>
        <c:ser>
          <c:idx val="1"/>
          <c:order val="1"/>
          <c:tx>
            <c:strRef>
              <c:f>Sheet1!$AF$30</c:f>
              <c:strCache>
                <c:ptCount val="1"/>
                <c:pt idx="0">
                  <c:v>75</c:v>
                </c:pt>
              </c:strCache>
            </c:strRef>
          </c:tx>
          <c:spPr>
            <a:solidFill>
              <a:schemeClr val="accent2"/>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Sheet1!$AF$31:$AF$38</c:f>
              <c:numCache>
                <c:formatCode>General</c:formatCode>
                <c:ptCount val="8"/>
                <c:pt idx="0">
                  <c:v>89</c:v>
                </c:pt>
                <c:pt idx="1">
                  <c:v>35</c:v>
                </c:pt>
                <c:pt idx="2">
                  <c:v>116</c:v>
                </c:pt>
                <c:pt idx="3">
                  <c:v>279</c:v>
                </c:pt>
                <c:pt idx="4">
                  <c:v>384</c:v>
                </c:pt>
                <c:pt idx="5">
                  <c:v>40</c:v>
                </c:pt>
                <c:pt idx="6">
                  <c:v>20</c:v>
                </c:pt>
                <c:pt idx="7">
                  <c:v>138</c:v>
                </c:pt>
              </c:numCache>
            </c:numRef>
          </c:val>
          <c:extLst>
            <c:ext xmlns:c16="http://schemas.microsoft.com/office/drawing/2014/chart" uri="{C3380CC4-5D6E-409C-BE32-E72D297353CC}">
              <c16:uniqueId val="{00000001-0E1A-4681-A505-14475FECE740}"/>
            </c:ext>
          </c:extLst>
        </c:ser>
        <c:ser>
          <c:idx val="2"/>
          <c:order val="2"/>
          <c:tx>
            <c:strRef>
              <c:f>Sheet1!$AG$30</c:f>
              <c:strCache>
                <c:ptCount val="1"/>
                <c:pt idx="0">
                  <c:v>150</c:v>
                </c:pt>
              </c:strCache>
            </c:strRef>
          </c:tx>
          <c:spPr>
            <a:solidFill>
              <a:schemeClr val="accent3"/>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Sheet1!$AG$31:$AG$38</c:f>
              <c:numCache>
                <c:formatCode>General</c:formatCode>
                <c:ptCount val="8"/>
                <c:pt idx="0">
                  <c:v>92</c:v>
                </c:pt>
                <c:pt idx="1">
                  <c:v>52</c:v>
                </c:pt>
                <c:pt idx="2">
                  <c:v>117</c:v>
                </c:pt>
                <c:pt idx="3">
                  <c:v>320</c:v>
                </c:pt>
                <c:pt idx="4">
                  <c:v>400</c:v>
                </c:pt>
                <c:pt idx="5">
                  <c:v>57</c:v>
                </c:pt>
                <c:pt idx="6">
                  <c:v>30</c:v>
                </c:pt>
                <c:pt idx="7">
                  <c:v>153</c:v>
                </c:pt>
              </c:numCache>
            </c:numRef>
          </c:val>
          <c:extLst>
            <c:ext xmlns:c16="http://schemas.microsoft.com/office/drawing/2014/chart" uri="{C3380CC4-5D6E-409C-BE32-E72D297353CC}">
              <c16:uniqueId val="{00000002-0E1A-4681-A505-14475FECE740}"/>
            </c:ext>
          </c:extLst>
        </c:ser>
        <c:ser>
          <c:idx val="3"/>
          <c:order val="3"/>
          <c:tx>
            <c:strRef>
              <c:f>Sheet1!$AH$30</c:f>
              <c:strCache>
                <c:ptCount val="1"/>
                <c:pt idx="0">
                  <c:v>225</c:v>
                </c:pt>
              </c:strCache>
            </c:strRef>
          </c:tx>
          <c:spPr>
            <a:solidFill>
              <a:schemeClr val="accent4"/>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Sheet1!$AH$31:$AH$38</c:f>
              <c:numCache>
                <c:formatCode>General</c:formatCode>
                <c:ptCount val="8"/>
                <c:pt idx="0">
                  <c:v>112</c:v>
                </c:pt>
                <c:pt idx="1">
                  <c:v>64</c:v>
                </c:pt>
                <c:pt idx="2">
                  <c:v>116</c:v>
                </c:pt>
                <c:pt idx="3">
                  <c:v>334</c:v>
                </c:pt>
                <c:pt idx="4">
                  <c:v>417</c:v>
                </c:pt>
                <c:pt idx="5">
                  <c:v>79</c:v>
                </c:pt>
                <c:pt idx="6">
                  <c:v>43</c:v>
                </c:pt>
                <c:pt idx="7">
                  <c:v>166</c:v>
                </c:pt>
              </c:numCache>
            </c:numRef>
          </c:val>
          <c:extLst>
            <c:ext xmlns:c16="http://schemas.microsoft.com/office/drawing/2014/chart" uri="{C3380CC4-5D6E-409C-BE32-E72D297353CC}">
              <c16:uniqueId val="{00000003-0E1A-4681-A505-14475FECE740}"/>
            </c:ext>
          </c:extLst>
        </c:ser>
        <c:ser>
          <c:idx val="4"/>
          <c:order val="4"/>
          <c:tx>
            <c:strRef>
              <c:f>Sheet1!$AI$30</c:f>
              <c:strCache>
                <c:ptCount val="1"/>
                <c:pt idx="0">
                  <c:v>300</c:v>
                </c:pt>
              </c:strCache>
            </c:strRef>
          </c:tx>
          <c:spPr>
            <a:solidFill>
              <a:schemeClr val="accent5"/>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Sheet1!$AI$31:$AI$38</c:f>
              <c:numCache>
                <c:formatCode>General</c:formatCode>
                <c:ptCount val="8"/>
                <c:pt idx="0">
                  <c:v>120</c:v>
                </c:pt>
                <c:pt idx="1">
                  <c:v>85</c:v>
                </c:pt>
                <c:pt idx="2">
                  <c:v>138</c:v>
                </c:pt>
                <c:pt idx="3">
                  <c:v>341</c:v>
                </c:pt>
                <c:pt idx="4">
                  <c:v>432</c:v>
                </c:pt>
                <c:pt idx="5">
                  <c:v>90</c:v>
                </c:pt>
                <c:pt idx="6">
                  <c:v>33</c:v>
                </c:pt>
                <c:pt idx="7">
                  <c:v>179</c:v>
                </c:pt>
              </c:numCache>
            </c:numRef>
          </c:val>
          <c:extLst>
            <c:ext xmlns:c16="http://schemas.microsoft.com/office/drawing/2014/chart" uri="{C3380CC4-5D6E-409C-BE32-E72D297353CC}">
              <c16:uniqueId val="{00000004-0E1A-4681-A505-14475FECE740}"/>
            </c:ext>
          </c:extLst>
        </c:ser>
        <c:dLbls>
          <c:showLegendKey val="0"/>
          <c:showVal val="0"/>
          <c:showCatName val="0"/>
          <c:showSerName val="0"/>
          <c:showPercent val="0"/>
          <c:showBubbleSize val="0"/>
        </c:dLbls>
        <c:gapWidth val="300"/>
        <c:axId val="552687968"/>
        <c:axId val="552690712"/>
      </c:barChart>
      <c:lineChart>
        <c:grouping val="standard"/>
        <c:varyColors val="0"/>
        <c:ser>
          <c:idx val="5"/>
          <c:order val="5"/>
          <c:tx>
            <c:strRef>
              <c:f>Sheet1!$AJ$30</c:f>
              <c:strCache>
                <c:ptCount val="1"/>
              </c:strCache>
            </c:strRef>
          </c:tx>
          <c:spPr>
            <a:ln w="28575" cap="rnd">
              <a:noFill/>
              <a:round/>
            </a:ln>
            <a:effectLst/>
          </c:spPr>
          <c:marker>
            <c:symbol val="none"/>
          </c:marker>
          <c:errBars>
            <c:errDir val="y"/>
            <c:errBarType val="both"/>
            <c:errValType val="cust"/>
            <c:noEndCap val="0"/>
            <c:plus>
              <c:numRef>
                <c:f>Sheet1!$AL$31:$AL$38</c:f>
                <c:numCache>
                  <c:formatCode>General</c:formatCode>
                  <c:ptCount val="8"/>
                  <c:pt idx="0">
                    <c:v>4</c:v>
                  </c:pt>
                  <c:pt idx="1">
                    <c:v>4</c:v>
                  </c:pt>
                  <c:pt idx="2">
                    <c:v>3</c:v>
                  </c:pt>
                  <c:pt idx="3">
                    <c:v>17.5</c:v>
                  </c:pt>
                  <c:pt idx="4">
                    <c:v>5</c:v>
                  </c:pt>
                  <c:pt idx="5">
                    <c:v>4</c:v>
                  </c:pt>
                  <c:pt idx="6">
                    <c:v>4</c:v>
                  </c:pt>
                  <c:pt idx="7">
                    <c:v>3</c:v>
                  </c:pt>
                </c:numCache>
              </c:numRef>
            </c:plus>
            <c:minus>
              <c:numRef>
                <c:f>Sheet1!$AL$31:$AL$38</c:f>
                <c:numCache>
                  <c:formatCode>General</c:formatCode>
                  <c:ptCount val="8"/>
                  <c:pt idx="0">
                    <c:v>4</c:v>
                  </c:pt>
                  <c:pt idx="1">
                    <c:v>4</c:v>
                  </c:pt>
                  <c:pt idx="2">
                    <c:v>3</c:v>
                  </c:pt>
                  <c:pt idx="3">
                    <c:v>17.5</c:v>
                  </c:pt>
                  <c:pt idx="4">
                    <c:v>5</c:v>
                  </c:pt>
                  <c:pt idx="5">
                    <c:v>4</c:v>
                  </c:pt>
                  <c:pt idx="6">
                    <c:v>4</c:v>
                  </c:pt>
                  <c:pt idx="7">
                    <c:v>3</c:v>
                  </c:pt>
                </c:numCache>
              </c:numRef>
            </c:minus>
            <c:spPr>
              <a:noFill/>
              <a:ln w="9525" cap="flat" cmpd="sng" algn="ctr">
                <a:solidFill>
                  <a:schemeClr val="tx1">
                    <a:lumMod val="65000"/>
                    <a:lumOff val="35000"/>
                  </a:schemeClr>
                </a:solidFill>
                <a:round/>
              </a:ln>
              <a:effectLst/>
            </c:spPr>
          </c:errBars>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Sheet1!$AJ$31:$AJ$38</c:f>
              <c:numCache>
                <c:formatCode>General</c:formatCode>
                <c:ptCount val="8"/>
                <c:pt idx="0">
                  <c:v>130</c:v>
                </c:pt>
                <c:pt idx="1">
                  <c:v>80</c:v>
                </c:pt>
                <c:pt idx="2">
                  <c:v>130</c:v>
                </c:pt>
                <c:pt idx="3">
                  <c:v>350</c:v>
                </c:pt>
                <c:pt idx="4">
                  <c:v>430</c:v>
                </c:pt>
                <c:pt idx="5">
                  <c:v>80</c:v>
                </c:pt>
                <c:pt idx="6">
                  <c:v>45</c:v>
                </c:pt>
                <c:pt idx="7">
                  <c:v>170</c:v>
                </c:pt>
              </c:numCache>
            </c:numRef>
          </c:val>
          <c:smooth val="0"/>
          <c:extLst>
            <c:ext xmlns:c16="http://schemas.microsoft.com/office/drawing/2014/chart" uri="{C3380CC4-5D6E-409C-BE32-E72D297353CC}">
              <c16:uniqueId val="{00000005-0E1A-4681-A505-14475FECE740}"/>
            </c:ext>
          </c:extLst>
        </c:ser>
        <c:dLbls>
          <c:showLegendKey val="0"/>
          <c:showVal val="0"/>
          <c:showCatName val="0"/>
          <c:showSerName val="0"/>
          <c:showPercent val="0"/>
          <c:showBubbleSize val="0"/>
        </c:dLbls>
        <c:marker val="1"/>
        <c:smooth val="0"/>
        <c:axId val="552687968"/>
        <c:axId val="552690712"/>
      </c:lineChart>
      <c:catAx>
        <c:axId val="552687968"/>
        <c:scaling>
          <c:orientation val="minMax"/>
        </c:scaling>
        <c:delete val="0"/>
        <c:axPos val="b"/>
        <c:title>
          <c:tx>
            <c:rich>
              <a:bodyPr rot="0" vert="horz"/>
              <a:lstStyle/>
              <a:p>
                <a:pPr>
                  <a:defRPr b="0"/>
                </a:pPr>
                <a:r>
                  <a:rPr lang="en-US" b="0"/>
                  <a:t>Site (bars are LSDs, p≤0.05)</a:t>
                </a:r>
              </a:p>
            </c:rich>
          </c:tx>
          <c:layout>
            <c:manualLayout>
              <c:xMode val="edge"/>
              <c:yMode val="edge"/>
              <c:x val="1.8391769101937482E-2"/>
              <c:y val="0.83331079566967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90712"/>
        <c:crosses val="autoZero"/>
        <c:auto val="1"/>
        <c:lblAlgn val="ctr"/>
        <c:lblOffset val="100"/>
        <c:noMultiLvlLbl val="0"/>
      </c:catAx>
      <c:valAx>
        <c:axId val="552690712"/>
        <c:scaling>
          <c:orientation val="minMax"/>
          <c:max val="4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7968"/>
        <c:crosses val="autoZero"/>
        <c:crossBetween val="between"/>
      </c:valAx>
      <c:spPr>
        <a:noFill/>
        <a:ln>
          <a:noFill/>
        </a:ln>
        <a:effectLst/>
      </c:spPr>
    </c:plotArea>
    <c:legend>
      <c:legendPos val="b"/>
      <c:layout>
        <c:manualLayout>
          <c:xMode val="edge"/>
          <c:yMode val="edge"/>
          <c:x val="2.80289615820641E-2"/>
          <c:y val="0.90298694876094365"/>
          <c:w val="0.50027091546136115"/>
          <c:h val="7.2479194516779616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7012632617437"/>
          <c:y val="5.030871255431054E-2"/>
          <c:w val="0.86030531275555711"/>
          <c:h val="0.75721706750982676"/>
        </c:manualLayout>
      </c:layout>
      <c:barChart>
        <c:barDir val="col"/>
        <c:grouping val="clustered"/>
        <c:varyColors val="0"/>
        <c:ser>
          <c:idx val="0"/>
          <c:order val="0"/>
          <c:tx>
            <c:strRef>
              <c:f>Sheet1!$AP$117</c:f>
              <c:strCache>
                <c:ptCount val="1"/>
                <c:pt idx="0">
                  <c:v>Timbilil</c:v>
                </c:pt>
              </c:strCache>
            </c:strRef>
          </c:tx>
          <c:spPr>
            <a:solidFill>
              <a:schemeClr val="accent1"/>
            </a:solidFill>
            <a:ln>
              <a:noFill/>
            </a:ln>
            <a:effectLst/>
          </c:spPr>
          <c:invertIfNegative val="0"/>
          <c:cat>
            <c:strRef>
              <c:f>Sheet1!$AO$118:$AO$121</c:f>
              <c:strCache>
                <c:ptCount val="4"/>
                <c:pt idx="0">
                  <c:v>0-10 cm</c:v>
                </c:pt>
                <c:pt idx="1">
                  <c:v>"10-20 cm</c:v>
                </c:pt>
                <c:pt idx="2">
                  <c:v>20-30 cm</c:v>
                </c:pt>
                <c:pt idx="3">
                  <c:v>40-60 cm</c:v>
                </c:pt>
              </c:strCache>
            </c:strRef>
          </c:cat>
          <c:val>
            <c:numRef>
              <c:f>Sheet1!$AP$118:$AP$121</c:f>
              <c:numCache>
                <c:formatCode>General</c:formatCode>
                <c:ptCount val="4"/>
                <c:pt idx="0">
                  <c:v>3.38</c:v>
                </c:pt>
                <c:pt idx="1">
                  <c:v>2.2400000000000002</c:v>
                </c:pt>
                <c:pt idx="2">
                  <c:v>2.16</c:v>
                </c:pt>
                <c:pt idx="3">
                  <c:v>2.04</c:v>
                </c:pt>
              </c:numCache>
            </c:numRef>
          </c:val>
          <c:extLst>
            <c:ext xmlns:c16="http://schemas.microsoft.com/office/drawing/2014/chart" uri="{C3380CC4-5D6E-409C-BE32-E72D297353CC}">
              <c16:uniqueId val="{00000000-D002-4AED-B983-9DECB3A7F3E8}"/>
            </c:ext>
          </c:extLst>
        </c:ser>
        <c:ser>
          <c:idx val="1"/>
          <c:order val="1"/>
          <c:tx>
            <c:strRef>
              <c:f>Sheet1!$AQ$117</c:f>
              <c:strCache>
                <c:ptCount val="1"/>
                <c:pt idx="0">
                  <c:v>Changoi</c:v>
                </c:pt>
              </c:strCache>
            </c:strRef>
          </c:tx>
          <c:spPr>
            <a:solidFill>
              <a:schemeClr val="accent2"/>
            </a:solidFill>
            <a:ln>
              <a:noFill/>
            </a:ln>
            <a:effectLst/>
          </c:spPr>
          <c:invertIfNegative val="0"/>
          <c:cat>
            <c:strRef>
              <c:f>Sheet1!$AO$118:$AO$121</c:f>
              <c:strCache>
                <c:ptCount val="4"/>
                <c:pt idx="0">
                  <c:v>0-10 cm</c:v>
                </c:pt>
                <c:pt idx="1">
                  <c:v>"10-20 cm</c:v>
                </c:pt>
                <c:pt idx="2">
                  <c:v>20-30 cm</c:v>
                </c:pt>
                <c:pt idx="3">
                  <c:v>40-60 cm</c:v>
                </c:pt>
              </c:strCache>
            </c:strRef>
          </c:cat>
          <c:val>
            <c:numRef>
              <c:f>Sheet1!$AQ$118:$AQ$121</c:f>
              <c:numCache>
                <c:formatCode>General</c:formatCode>
                <c:ptCount val="4"/>
                <c:pt idx="0">
                  <c:v>2.56</c:v>
                </c:pt>
                <c:pt idx="1">
                  <c:v>21.8</c:v>
                </c:pt>
                <c:pt idx="2">
                  <c:v>20.979999999999986</c:v>
                </c:pt>
                <c:pt idx="3">
                  <c:v>10.53</c:v>
                </c:pt>
              </c:numCache>
            </c:numRef>
          </c:val>
          <c:extLst>
            <c:ext xmlns:c16="http://schemas.microsoft.com/office/drawing/2014/chart" uri="{C3380CC4-5D6E-409C-BE32-E72D297353CC}">
              <c16:uniqueId val="{00000001-D002-4AED-B983-9DECB3A7F3E8}"/>
            </c:ext>
          </c:extLst>
        </c:ser>
        <c:ser>
          <c:idx val="2"/>
          <c:order val="2"/>
          <c:tx>
            <c:strRef>
              <c:f>Sheet1!$AR$117</c:f>
              <c:strCache>
                <c:ptCount val="1"/>
                <c:pt idx="0">
                  <c:v>Arroket</c:v>
                </c:pt>
              </c:strCache>
            </c:strRef>
          </c:tx>
          <c:spPr>
            <a:solidFill>
              <a:schemeClr val="accent3"/>
            </a:solidFill>
            <a:ln>
              <a:noFill/>
            </a:ln>
            <a:effectLst/>
          </c:spPr>
          <c:invertIfNegative val="0"/>
          <c:cat>
            <c:strRef>
              <c:f>Sheet1!$AO$118:$AO$121</c:f>
              <c:strCache>
                <c:ptCount val="4"/>
                <c:pt idx="0">
                  <c:v>0-10 cm</c:v>
                </c:pt>
                <c:pt idx="1">
                  <c:v>"10-20 cm</c:v>
                </c:pt>
                <c:pt idx="2">
                  <c:v>20-30 cm</c:v>
                </c:pt>
                <c:pt idx="3">
                  <c:v>40-60 cm</c:v>
                </c:pt>
              </c:strCache>
            </c:strRef>
          </c:cat>
          <c:val>
            <c:numRef>
              <c:f>Sheet1!$AR$118:$AR$121</c:f>
              <c:numCache>
                <c:formatCode>General</c:formatCode>
                <c:ptCount val="4"/>
                <c:pt idx="0">
                  <c:v>12.11</c:v>
                </c:pt>
                <c:pt idx="1">
                  <c:v>14.56</c:v>
                </c:pt>
                <c:pt idx="2">
                  <c:v>16.02</c:v>
                </c:pt>
                <c:pt idx="3">
                  <c:v>24.07</c:v>
                </c:pt>
              </c:numCache>
            </c:numRef>
          </c:val>
          <c:extLst>
            <c:ext xmlns:c16="http://schemas.microsoft.com/office/drawing/2014/chart" uri="{C3380CC4-5D6E-409C-BE32-E72D297353CC}">
              <c16:uniqueId val="{00000002-D002-4AED-B983-9DECB3A7F3E8}"/>
            </c:ext>
          </c:extLst>
        </c:ser>
        <c:ser>
          <c:idx val="3"/>
          <c:order val="3"/>
          <c:tx>
            <c:strRef>
              <c:f>Sheet1!$AS$117</c:f>
              <c:strCache>
                <c:ptCount val="1"/>
                <c:pt idx="0">
                  <c:v>Kitabi</c:v>
                </c:pt>
              </c:strCache>
            </c:strRef>
          </c:tx>
          <c:spPr>
            <a:solidFill>
              <a:schemeClr val="accent4"/>
            </a:solidFill>
            <a:ln>
              <a:noFill/>
            </a:ln>
            <a:effectLst/>
          </c:spPr>
          <c:invertIfNegative val="0"/>
          <c:cat>
            <c:strRef>
              <c:f>Sheet1!$AO$118:$AO$121</c:f>
              <c:strCache>
                <c:ptCount val="4"/>
                <c:pt idx="0">
                  <c:v>0-10 cm</c:v>
                </c:pt>
                <c:pt idx="1">
                  <c:v>"10-20 cm</c:v>
                </c:pt>
                <c:pt idx="2">
                  <c:v>20-30 cm</c:v>
                </c:pt>
                <c:pt idx="3">
                  <c:v>40-60 cm</c:v>
                </c:pt>
              </c:strCache>
            </c:strRef>
          </c:cat>
          <c:val>
            <c:numRef>
              <c:f>Sheet1!$AS$118:$AS$121</c:f>
              <c:numCache>
                <c:formatCode>General</c:formatCode>
                <c:ptCount val="4"/>
                <c:pt idx="0">
                  <c:v>1.9300000000000013</c:v>
                </c:pt>
                <c:pt idx="1">
                  <c:v>1.6400000000000001</c:v>
                </c:pt>
                <c:pt idx="2">
                  <c:v>1.78</c:v>
                </c:pt>
                <c:pt idx="3">
                  <c:v>1.27</c:v>
                </c:pt>
              </c:numCache>
            </c:numRef>
          </c:val>
          <c:extLst>
            <c:ext xmlns:c16="http://schemas.microsoft.com/office/drawing/2014/chart" uri="{C3380CC4-5D6E-409C-BE32-E72D297353CC}">
              <c16:uniqueId val="{00000003-D002-4AED-B983-9DECB3A7F3E8}"/>
            </c:ext>
          </c:extLst>
        </c:ser>
        <c:ser>
          <c:idx val="4"/>
          <c:order val="4"/>
          <c:tx>
            <c:strRef>
              <c:f>Sheet1!$AT$117</c:f>
              <c:strCache>
                <c:ptCount val="1"/>
                <c:pt idx="0">
                  <c:v>Mulindi</c:v>
                </c:pt>
              </c:strCache>
            </c:strRef>
          </c:tx>
          <c:spPr>
            <a:solidFill>
              <a:schemeClr val="accent5"/>
            </a:solidFill>
            <a:ln>
              <a:noFill/>
            </a:ln>
            <a:effectLst/>
          </c:spPr>
          <c:invertIfNegative val="0"/>
          <c:cat>
            <c:strRef>
              <c:f>Sheet1!$AO$118:$AO$121</c:f>
              <c:strCache>
                <c:ptCount val="4"/>
                <c:pt idx="0">
                  <c:v>0-10 cm</c:v>
                </c:pt>
                <c:pt idx="1">
                  <c:v>"10-20 cm</c:v>
                </c:pt>
                <c:pt idx="2">
                  <c:v>20-30 cm</c:v>
                </c:pt>
                <c:pt idx="3">
                  <c:v>40-60 cm</c:v>
                </c:pt>
              </c:strCache>
            </c:strRef>
          </c:cat>
          <c:val>
            <c:numRef>
              <c:f>Sheet1!$AT$118:$AT$121</c:f>
              <c:numCache>
                <c:formatCode>General</c:formatCode>
                <c:ptCount val="4"/>
                <c:pt idx="0">
                  <c:v>2.56</c:v>
                </c:pt>
                <c:pt idx="1">
                  <c:v>3.8899999999999997</c:v>
                </c:pt>
                <c:pt idx="2">
                  <c:v>5.96</c:v>
                </c:pt>
                <c:pt idx="3">
                  <c:v>6.51</c:v>
                </c:pt>
              </c:numCache>
            </c:numRef>
          </c:val>
          <c:extLst>
            <c:ext xmlns:c16="http://schemas.microsoft.com/office/drawing/2014/chart" uri="{C3380CC4-5D6E-409C-BE32-E72D297353CC}">
              <c16:uniqueId val="{00000004-D002-4AED-B983-9DECB3A7F3E8}"/>
            </c:ext>
          </c:extLst>
        </c:ser>
        <c:ser>
          <c:idx val="5"/>
          <c:order val="5"/>
          <c:tx>
            <c:strRef>
              <c:f>Sheet1!$AU$117</c:f>
              <c:strCache>
                <c:ptCount val="1"/>
                <c:pt idx="0">
                  <c:v>Katoke</c:v>
                </c:pt>
              </c:strCache>
            </c:strRef>
          </c:tx>
          <c:spPr>
            <a:solidFill>
              <a:schemeClr val="accent6"/>
            </a:solidFill>
            <a:ln>
              <a:noFill/>
            </a:ln>
            <a:effectLst/>
          </c:spPr>
          <c:invertIfNegative val="0"/>
          <c:cat>
            <c:strRef>
              <c:f>Sheet1!$AO$118:$AO$121</c:f>
              <c:strCache>
                <c:ptCount val="4"/>
                <c:pt idx="0">
                  <c:v>0-10 cm</c:v>
                </c:pt>
                <c:pt idx="1">
                  <c:v>"10-20 cm</c:v>
                </c:pt>
                <c:pt idx="2">
                  <c:v>20-30 cm</c:v>
                </c:pt>
                <c:pt idx="3">
                  <c:v>40-60 cm</c:v>
                </c:pt>
              </c:strCache>
            </c:strRef>
          </c:cat>
          <c:val>
            <c:numRef>
              <c:f>Sheet1!$AU$118:$AU$121</c:f>
              <c:numCache>
                <c:formatCode>General</c:formatCode>
                <c:ptCount val="4"/>
                <c:pt idx="0">
                  <c:v>24.779999999999987</c:v>
                </c:pt>
                <c:pt idx="1">
                  <c:v>32.11</c:v>
                </c:pt>
                <c:pt idx="2">
                  <c:v>34.980000000000004</c:v>
                </c:pt>
                <c:pt idx="3">
                  <c:v>36.220000000000013</c:v>
                </c:pt>
              </c:numCache>
            </c:numRef>
          </c:val>
          <c:extLst>
            <c:ext xmlns:c16="http://schemas.microsoft.com/office/drawing/2014/chart" uri="{C3380CC4-5D6E-409C-BE32-E72D297353CC}">
              <c16:uniqueId val="{00000005-D002-4AED-B983-9DECB3A7F3E8}"/>
            </c:ext>
          </c:extLst>
        </c:ser>
        <c:ser>
          <c:idx val="6"/>
          <c:order val="6"/>
          <c:tx>
            <c:strRef>
              <c:f>Sheet1!$AV$117</c:f>
              <c:strCache>
                <c:ptCount val="1"/>
                <c:pt idx="0">
                  <c:v>Maruku</c:v>
                </c:pt>
              </c:strCache>
            </c:strRef>
          </c:tx>
          <c:spPr>
            <a:solidFill>
              <a:schemeClr val="accent1">
                <a:lumMod val="60000"/>
              </a:schemeClr>
            </a:solidFill>
            <a:ln>
              <a:noFill/>
            </a:ln>
            <a:effectLst/>
          </c:spPr>
          <c:invertIfNegative val="0"/>
          <c:cat>
            <c:strRef>
              <c:f>Sheet1!$AO$118:$AO$121</c:f>
              <c:strCache>
                <c:ptCount val="4"/>
                <c:pt idx="0">
                  <c:v>0-10 cm</c:v>
                </c:pt>
                <c:pt idx="1">
                  <c:v>"10-20 cm</c:v>
                </c:pt>
                <c:pt idx="2">
                  <c:v>20-30 cm</c:v>
                </c:pt>
                <c:pt idx="3">
                  <c:v>40-60 cm</c:v>
                </c:pt>
              </c:strCache>
            </c:strRef>
          </c:cat>
          <c:val>
            <c:numRef>
              <c:f>Sheet1!$AV$118:$AV$121</c:f>
              <c:numCache>
                <c:formatCode>General</c:formatCode>
                <c:ptCount val="4"/>
                <c:pt idx="0">
                  <c:v>0.45</c:v>
                </c:pt>
                <c:pt idx="1">
                  <c:v>0.5</c:v>
                </c:pt>
                <c:pt idx="2">
                  <c:v>0.47000000000000008</c:v>
                </c:pt>
                <c:pt idx="3">
                  <c:v>0.83000000000000063</c:v>
                </c:pt>
              </c:numCache>
            </c:numRef>
          </c:val>
          <c:extLst>
            <c:ext xmlns:c16="http://schemas.microsoft.com/office/drawing/2014/chart" uri="{C3380CC4-5D6E-409C-BE32-E72D297353CC}">
              <c16:uniqueId val="{00000006-D002-4AED-B983-9DECB3A7F3E8}"/>
            </c:ext>
          </c:extLst>
        </c:ser>
        <c:dLbls>
          <c:showLegendKey val="0"/>
          <c:showVal val="0"/>
          <c:showCatName val="0"/>
          <c:showSerName val="0"/>
          <c:showPercent val="0"/>
          <c:showBubbleSize val="0"/>
        </c:dLbls>
        <c:gapWidth val="300"/>
        <c:axId val="552685224"/>
        <c:axId val="552691104"/>
      </c:barChart>
      <c:lineChart>
        <c:grouping val="standard"/>
        <c:varyColors val="0"/>
        <c:ser>
          <c:idx val="7"/>
          <c:order val="7"/>
          <c:tx>
            <c:strRef>
              <c:f>Sheet1!$AW$117</c:f>
              <c:strCache>
                <c:ptCount val="1"/>
              </c:strCache>
            </c:strRef>
          </c:tx>
          <c:spPr>
            <a:ln w="28575" cap="rnd">
              <a:noFill/>
              <a:round/>
            </a:ln>
            <a:effectLst/>
          </c:spPr>
          <c:marker>
            <c:symbol val="none"/>
          </c:marker>
          <c:errBars>
            <c:errDir val="y"/>
            <c:errBarType val="both"/>
            <c:errValType val="cust"/>
            <c:noEndCap val="0"/>
            <c:plus>
              <c:numRef>
                <c:f>Sheet1!$AX$118:$AX$121</c:f>
                <c:numCache>
                  <c:formatCode>General</c:formatCode>
                  <c:ptCount val="4"/>
                  <c:pt idx="0">
                    <c:v>0.28000000000000008</c:v>
                  </c:pt>
                  <c:pt idx="1">
                    <c:v>0.4</c:v>
                  </c:pt>
                  <c:pt idx="2">
                    <c:v>0.46</c:v>
                  </c:pt>
                  <c:pt idx="3">
                    <c:v>0.45</c:v>
                  </c:pt>
                </c:numCache>
              </c:numRef>
            </c:plus>
            <c:minus>
              <c:numRef>
                <c:f>Sheet1!$AX$118:$AX$121</c:f>
                <c:numCache>
                  <c:formatCode>General</c:formatCode>
                  <c:ptCount val="4"/>
                  <c:pt idx="0">
                    <c:v>0.28000000000000008</c:v>
                  </c:pt>
                  <c:pt idx="1">
                    <c:v>0.4</c:v>
                  </c:pt>
                  <c:pt idx="2">
                    <c:v>0.46</c:v>
                  </c:pt>
                  <c:pt idx="3">
                    <c:v>0.45</c:v>
                  </c:pt>
                </c:numCache>
              </c:numRef>
            </c:minus>
            <c:spPr>
              <a:noFill/>
              <a:ln w="9525" cap="flat" cmpd="sng" algn="ctr">
                <a:solidFill>
                  <a:schemeClr val="tx1">
                    <a:lumMod val="65000"/>
                    <a:lumOff val="35000"/>
                  </a:schemeClr>
                </a:solidFill>
                <a:round/>
              </a:ln>
              <a:effectLst/>
            </c:spPr>
          </c:errBars>
          <c:cat>
            <c:strRef>
              <c:f>Sheet1!$AO$118:$AO$121</c:f>
              <c:strCache>
                <c:ptCount val="4"/>
                <c:pt idx="0">
                  <c:v>0-10 cm</c:v>
                </c:pt>
                <c:pt idx="1">
                  <c:v>"10-20 cm</c:v>
                </c:pt>
                <c:pt idx="2">
                  <c:v>20-30 cm</c:v>
                </c:pt>
                <c:pt idx="3">
                  <c:v>40-60 cm</c:v>
                </c:pt>
              </c:strCache>
            </c:strRef>
          </c:cat>
          <c:val>
            <c:numRef>
              <c:f>Sheet1!$AW$118:$AW$121</c:f>
              <c:numCache>
                <c:formatCode>General</c:formatCode>
                <c:ptCount val="4"/>
                <c:pt idx="0">
                  <c:v>14</c:v>
                </c:pt>
                <c:pt idx="1">
                  <c:v>15</c:v>
                </c:pt>
                <c:pt idx="2">
                  <c:v>16</c:v>
                </c:pt>
                <c:pt idx="3">
                  <c:v>25</c:v>
                </c:pt>
              </c:numCache>
            </c:numRef>
          </c:val>
          <c:smooth val="0"/>
          <c:extLst>
            <c:ext xmlns:c16="http://schemas.microsoft.com/office/drawing/2014/chart" uri="{C3380CC4-5D6E-409C-BE32-E72D297353CC}">
              <c16:uniqueId val="{00000007-D002-4AED-B983-9DECB3A7F3E8}"/>
            </c:ext>
          </c:extLst>
        </c:ser>
        <c:dLbls>
          <c:showLegendKey val="0"/>
          <c:showVal val="0"/>
          <c:showCatName val="0"/>
          <c:showSerName val="0"/>
          <c:showPercent val="0"/>
          <c:showBubbleSize val="0"/>
        </c:dLbls>
        <c:marker val="1"/>
        <c:smooth val="0"/>
        <c:axId val="552685224"/>
        <c:axId val="552691104"/>
      </c:lineChart>
      <c:catAx>
        <c:axId val="552685224"/>
        <c:scaling>
          <c:orientation val="minMax"/>
        </c:scaling>
        <c:delete val="0"/>
        <c:axPos val="b"/>
        <c:title>
          <c:tx>
            <c:rich>
              <a:bodyPr rot="0" vert="horz"/>
              <a:lstStyle/>
              <a:p>
                <a:pPr>
                  <a:defRPr b="0"/>
                </a:pPr>
                <a:r>
                  <a:rPr lang="en-US" b="0"/>
                  <a:t>Soli Depth (cm) (bars are LSDs, p≤0.05)</a:t>
                </a:r>
              </a:p>
            </c:rich>
          </c:tx>
          <c:layout>
            <c:manualLayout>
              <c:xMode val="edge"/>
              <c:yMode val="edge"/>
              <c:x val="0.20420629899481346"/>
              <c:y val="0.867499383295130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91104"/>
        <c:crosses val="autoZero"/>
        <c:auto val="1"/>
        <c:lblAlgn val="ctr"/>
        <c:lblOffset val="100"/>
        <c:noMultiLvlLbl val="0"/>
      </c:catAx>
      <c:valAx>
        <c:axId val="552691104"/>
        <c:scaling>
          <c:orientation val="minMax"/>
          <c:max val="37"/>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5224"/>
        <c:crosses val="autoZero"/>
        <c:crossBetween val="between"/>
        <c:majorUnit val="4"/>
      </c:valAx>
      <c:spPr>
        <a:noFill/>
        <a:ln>
          <a:noFill/>
        </a:ln>
        <a:effectLst/>
      </c:spPr>
    </c:plotArea>
    <c:legend>
      <c:legendPos val="b"/>
      <c:layout>
        <c:manualLayout>
          <c:xMode val="edge"/>
          <c:yMode val="edge"/>
          <c:x val="5.8173197856560284E-2"/>
          <c:y val="0.91872279971406501"/>
          <c:w val="0.7840823140089096"/>
          <c:h val="6.75566423165775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4856435628473"/>
          <c:y val="4.4372730939895119E-2"/>
          <c:w val="0.80446529549659951"/>
          <c:h val="0.68788278230045774"/>
        </c:manualLayout>
      </c:layout>
      <c:barChart>
        <c:barDir val="col"/>
        <c:grouping val="clustered"/>
        <c:varyColors val="0"/>
        <c:ser>
          <c:idx val="0"/>
          <c:order val="0"/>
          <c:tx>
            <c:strRef>
              <c:f>Sheet1!$C$118</c:f>
              <c:strCache>
                <c:ptCount val="1"/>
                <c:pt idx="0">
                  <c:v>0</c:v>
                </c:pt>
              </c:strCache>
            </c:strRef>
          </c:tx>
          <c:spPr>
            <a:solidFill>
              <a:schemeClr val="accent1"/>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Sheet1!$C$119:$C$126</c:f>
              <c:numCache>
                <c:formatCode>General</c:formatCode>
                <c:ptCount val="8"/>
                <c:pt idx="0">
                  <c:v>2.2200000000000002</c:v>
                </c:pt>
                <c:pt idx="1">
                  <c:v>1.56</c:v>
                </c:pt>
                <c:pt idx="2">
                  <c:v>9.2200000000000006</c:v>
                </c:pt>
                <c:pt idx="3">
                  <c:v>1.1100000000000001</c:v>
                </c:pt>
                <c:pt idx="4">
                  <c:v>1.1100000000000001</c:v>
                </c:pt>
                <c:pt idx="5">
                  <c:v>15.11</c:v>
                </c:pt>
                <c:pt idx="6">
                  <c:v>0.2</c:v>
                </c:pt>
                <c:pt idx="7">
                  <c:v>4.08</c:v>
                </c:pt>
              </c:numCache>
            </c:numRef>
          </c:val>
          <c:extLst>
            <c:ext xmlns:c16="http://schemas.microsoft.com/office/drawing/2014/chart" uri="{C3380CC4-5D6E-409C-BE32-E72D297353CC}">
              <c16:uniqueId val="{00000000-60D1-4438-9D28-968CD6F2AD68}"/>
            </c:ext>
          </c:extLst>
        </c:ser>
        <c:ser>
          <c:idx val="1"/>
          <c:order val="1"/>
          <c:tx>
            <c:strRef>
              <c:f>Sheet1!$D$118</c:f>
              <c:strCache>
                <c:ptCount val="1"/>
                <c:pt idx="0">
                  <c:v>75</c:v>
                </c:pt>
              </c:strCache>
            </c:strRef>
          </c:tx>
          <c:spPr>
            <a:solidFill>
              <a:schemeClr val="accent2"/>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Sheet1!$D$119:$D$126</c:f>
              <c:numCache>
                <c:formatCode>General</c:formatCode>
                <c:ptCount val="8"/>
                <c:pt idx="0">
                  <c:v>2.67</c:v>
                </c:pt>
                <c:pt idx="1">
                  <c:v>1.8900000000000001</c:v>
                </c:pt>
                <c:pt idx="2">
                  <c:v>11.89</c:v>
                </c:pt>
                <c:pt idx="3">
                  <c:v>1.56</c:v>
                </c:pt>
                <c:pt idx="4">
                  <c:v>2</c:v>
                </c:pt>
                <c:pt idx="5">
                  <c:v>18.559999999999999</c:v>
                </c:pt>
                <c:pt idx="6">
                  <c:v>0.26</c:v>
                </c:pt>
                <c:pt idx="7">
                  <c:v>5.55</c:v>
                </c:pt>
              </c:numCache>
            </c:numRef>
          </c:val>
          <c:extLst>
            <c:ext xmlns:c16="http://schemas.microsoft.com/office/drawing/2014/chart" uri="{C3380CC4-5D6E-409C-BE32-E72D297353CC}">
              <c16:uniqueId val="{00000001-60D1-4438-9D28-968CD6F2AD68}"/>
            </c:ext>
          </c:extLst>
        </c:ser>
        <c:ser>
          <c:idx val="2"/>
          <c:order val="2"/>
          <c:tx>
            <c:strRef>
              <c:f>Sheet1!$E$118</c:f>
              <c:strCache>
                <c:ptCount val="1"/>
                <c:pt idx="0">
                  <c:v>150</c:v>
                </c:pt>
              </c:strCache>
            </c:strRef>
          </c:tx>
          <c:spPr>
            <a:solidFill>
              <a:schemeClr val="accent3"/>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Sheet1!$E$119:$E$126</c:f>
              <c:numCache>
                <c:formatCode>General</c:formatCode>
                <c:ptCount val="8"/>
                <c:pt idx="0">
                  <c:v>3.56</c:v>
                </c:pt>
                <c:pt idx="1">
                  <c:v>2.56</c:v>
                </c:pt>
                <c:pt idx="2">
                  <c:v>11.89</c:v>
                </c:pt>
                <c:pt idx="3">
                  <c:v>2</c:v>
                </c:pt>
                <c:pt idx="4">
                  <c:v>2.56</c:v>
                </c:pt>
                <c:pt idx="5">
                  <c:v>27.330000000000005</c:v>
                </c:pt>
                <c:pt idx="6">
                  <c:v>0.4</c:v>
                </c:pt>
                <c:pt idx="7">
                  <c:v>7.18</c:v>
                </c:pt>
              </c:numCache>
            </c:numRef>
          </c:val>
          <c:extLst>
            <c:ext xmlns:c16="http://schemas.microsoft.com/office/drawing/2014/chart" uri="{C3380CC4-5D6E-409C-BE32-E72D297353CC}">
              <c16:uniqueId val="{00000002-60D1-4438-9D28-968CD6F2AD68}"/>
            </c:ext>
          </c:extLst>
        </c:ser>
        <c:ser>
          <c:idx val="3"/>
          <c:order val="3"/>
          <c:tx>
            <c:strRef>
              <c:f>Sheet1!$F$118</c:f>
              <c:strCache>
                <c:ptCount val="1"/>
                <c:pt idx="0">
                  <c:v>225</c:v>
                </c:pt>
              </c:strCache>
            </c:strRef>
          </c:tx>
          <c:spPr>
            <a:solidFill>
              <a:schemeClr val="accent4"/>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Sheet1!$F$119:$F$126</c:f>
              <c:numCache>
                <c:formatCode>General</c:formatCode>
                <c:ptCount val="8"/>
                <c:pt idx="0">
                  <c:v>4</c:v>
                </c:pt>
                <c:pt idx="1">
                  <c:v>3.3299999999999987</c:v>
                </c:pt>
                <c:pt idx="2">
                  <c:v>14.22</c:v>
                </c:pt>
                <c:pt idx="3">
                  <c:v>2.44</c:v>
                </c:pt>
                <c:pt idx="4">
                  <c:v>3.22</c:v>
                </c:pt>
                <c:pt idx="5">
                  <c:v>30.110000000000021</c:v>
                </c:pt>
                <c:pt idx="6">
                  <c:v>0.49000000000000032</c:v>
                </c:pt>
                <c:pt idx="7">
                  <c:v>8.26</c:v>
                </c:pt>
              </c:numCache>
            </c:numRef>
          </c:val>
          <c:extLst>
            <c:ext xmlns:c16="http://schemas.microsoft.com/office/drawing/2014/chart" uri="{C3380CC4-5D6E-409C-BE32-E72D297353CC}">
              <c16:uniqueId val="{00000003-60D1-4438-9D28-968CD6F2AD68}"/>
            </c:ext>
          </c:extLst>
        </c:ser>
        <c:ser>
          <c:idx val="4"/>
          <c:order val="4"/>
          <c:tx>
            <c:strRef>
              <c:f>Sheet1!$G$118</c:f>
              <c:strCache>
                <c:ptCount val="1"/>
                <c:pt idx="0">
                  <c:v>300</c:v>
                </c:pt>
              </c:strCache>
            </c:strRef>
          </c:tx>
          <c:spPr>
            <a:solidFill>
              <a:schemeClr val="accent5"/>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Sheet1!$G$119:$G$126</c:f>
              <c:numCache>
                <c:formatCode>General</c:formatCode>
                <c:ptCount val="8"/>
                <c:pt idx="0">
                  <c:v>4.4400000000000004</c:v>
                </c:pt>
                <c:pt idx="1">
                  <c:v>3.44</c:v>
                </c:pt>
                <c:pt idx="2">
                  <c:v>15.33</c:v>
                </c:pt>
                <c:pt idx="3">
                  <c:v>2.56</c:v>
                </c:pt>
                <c:pt idx="4">
                  <c:v>3.8899999999999997</c:v>
                </c:pt>
                <c:pt idx="5">
                  <c:v>32.78</c:v>
                </c:pt>
                <c:pt idx="6">
                  <c:v>0.93</c:v>
                </c:pt>
                <c:pt idx="7">
                  <c:v>9.0500000000000007</c:v>
                </c:pt>
              </c:numCache>
            </c:numRef>
          </c:val>
          <c:extLst>
            <c:ext xmlns:c16="http://schemas.microsoft.com/office/drawing/2014/chart" uri="{C3380CC4-5D6E-409C-BE32-E72D297353CC}">
              <c16:uniqueId val="{00000004-60D1-4438-9D28-968CD6F2AD68}"/>
            </c:ext>
          </c:extLst>
        </c:ser>
        <c:dLbls>
          <c:showLegendKey val="0"/>
          <c:showVal val="0"/>
          <c:showCatName val="0"/>
          <c:showSerName val="0"/>
          <c:showPercent val="0"/>
          <c:showBubbleSize val="0"/>
        </c:dLbls>
        <c:gapWidth val="300"/>
        <c:axId val="552689144"/>
        <c:axId val="552684048"/>
      </c:barChart>
      <c:lineChart>
        <c:grouping val="standard"/>
        <c:varyColors val="0"/>
        <c:ser>
          <c:idx val="5"/>
          <c:order val="5"/>
          <c:tx>
            <c:strRef>
              <c:f>Sheet1!$H$118</c:f>
              <c:strCache>
                <c:ptCount val="1"/>
              </c:strCache>
            </c:strRef>
          </c:tx>
          <c:spPr>
            <a:ln w="28575" cap="rnd">
              <a:noFill/>
              <a:round/>
            </a:ln>
            <a:effectLst/>
          </c:spPr>
          <c:marker>
            <c:symbol val="none"/>
          </c:marker>
          <c:errBars>
            <c:errDir val="y"/>
            <c:errBarType val="both"/>
            <c:errValType val="cust"/>
            <c:noEndCap val="0"/>
            <c:plus>
              <c:numRef>
                <c:f>Sheet1!$I$119:$I$126</c:f>
                <c:numCache>
                  <c:formatCode>General</c:formatCode>
                  <c:ptCount val="8"/>
                  <c:pt idx="0">
                    <c:v>0.4</c:v>
                  </c:pt>
                  <c:pt idx="1">
                    <c:v>0</c:v>
                  </c:pt>
                  <c:pt idx="2">
                    <c:v>0.56000000000000005</c:v>
                  </c:pt>
                  <c:pt idx="3">
                    <c:v>0.35000000000000031</c:v>
                  </c:pt>
                  <c:pt idx="4">
                    <c:v>0.33000000000000046</c:v>
                  </c:pt>
                  <c:pt idx="5">
                    <c:v>1.54</c:v>
                  </c:pt>
                  <c:pt idx="6">
                    <c:v>1.0000000000000005E-2</c:v>
                  </c:pt>
                  <c:pt idx="7">
                    <c:v>0.27</c:v>
                  </c:pt>
                </c:numCache>
              </c:numRef>
            </c:plus>
            <c:minus>
              <c:numRef>
                <c:f>Sheet1!$I$119:$I$126</c:f>
                <c:numCache>
                  <c:formatCode>General</c:formatCode>
                  <c:ptCount val="8"/>
                  <c:pt idx="0">
                    <c:v>0.4</c:v>
                  </c:pt>
                  <c:pt idx="1">
                    <c:v>0</c:v>
                  </c:pt>
                  <c:pt idx="2">
                    <c:v>0.56000000000000005</c:v>
                  </c:pt>
                  <c:pt idx="3">
                    <c:v>0.35000000000000031</c:v>
                  </c:pt>
                  <c:pt idx="4">
                    <c:v>0.33000000000000046</c:v>
                  </c:pt>
                  <c:pt idx="5">
                    <c:v>1.54</c:v>
                  </c:pt>
                  <c:pt idx="6">
                    <c:v>1.0000000000000005E-2</c:v>
                  </c:pt>
                  <c:pt idx="7">
                    <c:v>0.27</c:v>
                  </c:pt>
                </c:numCache>
              </c:numRef>
            </c:minus>
            <c:spPr>
              <a:noFill/>
              <a:ln w="9525" cap="flat" cmpd="sng" algn="ctr">
                <a:solidFill>
                  <a:schemeClr val="tx1">
                    <a:lumMod val="65000"/>
                    <a:lumOff val="35000"/>
                  </a:schemeClr>
                </a:solidFill>
                <a:round/>
              </a:ln>
              <a:effectLst/>
            </c:spPr>
          </c:errBars>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Sheet1!$H$119:$H$126</c:f>
              <c:numCache>
                <c:formatCode>General</c:formatCode>
                <c:ptCount val="8"/>
                <c:pt idx="0">
                  <c:v>5</c:v>
                </c:pt>
                <c:pt idx="1">
                  <c:v>4</c:v>
                </c:pt>
                <c:pt idx="2">
                  <c:v>13</c:v>
                </c:pt>
                <c:pt idx="3">
                  <c:v>4</c:v>
                </c:pt>
                <c:pt idx="4">
                  <c:v>4</c:v>
                </c:pt>
                <c:pt idx="5">
                  <c:v>29.5</c:v>
                </c:pt>
                <c:pt idx="6">
                  <c:v>2</c:v>
                </c:pt>
                <c:pt idx="7">
                  <c:v>10</c:v>
                </c:pt>
              </c:numCache>
            </c:numRef>
          </c:val>
          <c:smooth val="0"/>
          <c:extLst>
            <c:ext xmlns:c16="http://schemas.microsoft.com/office/drawing/2014/chart" uri="{C3380CC4-5D6E-409C-BE32-E72D297353CC}">
              <c16:uniqueId val="{00000005-60D1-4438-9D28-968CD6F2AD68}"/>
            </c:ext>
          </c:extLst>
        </c:ser>
        <c:dLbls>
          <c:showLegendKey val="0"/>
          <c:showVal val="0"/>
          <c:showCatName val="0"/>
          <c:showSerName val="0"/>
          <c:showPercent val="0"/>
          <c:showBubbleSize val="0"/>
        </c:dLbls>
        <c:marker val="1"/>
        <c:smooth val="0"/>
        <c:axId val="552689144"/>
        <c:axId val="552684048"/>
      </c:lineChart>
      <c:catAx>
        <c:axId val="552689144"/>
        <c:scaling>
          <c:orientation val="minMax"/>
        </c:scaling>
        <c:delete val="0"/>
        <c:axPos val="b"/>
        <c:title>
          <c:tx>
            <c:rich>
              <a:bodyPr rot="0" vert="horz"/>
              <a:lstStyle/>
              <a:p>
                <a:pPr>
                  <a:defRPr b="0"/>
                </a:pPr>
                <a:r>
                  <a:rPr lang="en-US" b="0"/>
                  <a:t>Site (bars are LSDs, p≤0.05)</a:t>
                </a:r>
              </a:p>
            </c:rich>
          </c:tx>
          <c:layout>
            <c:manualLayout>
              <c:xMode val="edge"/>
              <c:yMode val="edge"/>
              <c:x val="5.6233214750595208E-2"/>
              <c:y val="0.869505737962665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84048"/>
        <c:crosses val="autoZero"/>
        <c:auto val="1"/>
        <c:lblAlgn val="ctr"/>
        <c:lblOffset val="100"/>
        <c:noMultiLvlLbl val="0"/>
      </c:catAx>
      <c:valAx>
        <c:axId val="552684048"/>
        <c:scaling>
          <c:orientation val="minMax"/>
          <c:max val="34"/>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9144"/>
        <c:crosses val="autoZero"/>
        <c:crossBetween val="between"/>
        <c:majorUnit val="4"/>
      </c:valAx>
      <c:spPr>
        <a:noFill/>
        <a:ln>
          <a:noFill/>
        </a:ln>
        <a:effectLst/>
      </c:spPr>
    </c:plotArea>
    <c:legend>
      <c:legendPos val="b"/>
      <c:layout>
        <c:manualLayout>
          <c:xMode val="edge"/>
          <c:yMode val="edge"/>
          <c:x val="4.0850076667245862E-2"/>
          <c:y val="0.91145813812402132"/>
          <c:w val="0.53115311805536503"/>
          <c:h val="6.433855409058135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65593818478533"/>
          <c:y val="4.4372730939895119E-2"/>
          <c:w val="0.78054914545631826"/>
          <c:h val="0.70805220545495551"/>
        </c:manualLayout>
      </c:layout>
      <c:barChart>
        <c:barDir val="col"/>
        <c:grouping val="clustered"/>
        <c:varyColors val="0"/>
        <c:ser>
          <c:idx val="0"/>
          <c:order val="0"/>
          <c:tx>
            <c:strRef>
              <c:f>Sheet1!$L$118</c:f>
              <c:strCache>
                <c:ptCount val="1"/>
                <c:pt idx="0">
                  <c:v>0</c:v>
                </c:pt>
              </c:strCache>
            </c:strRef>
          </c:tx>
          <c:spPr>
            <a:solidFill>
              <a:schemeClr val="accent1"/>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Sheet1!$L$119:$L$126</c:f>
              <c:numCache>
                <c:formatCode>General</c:formatCode>
                <c:ptCount val="8"/>
                <c:pt idx="0">
                  <c:v>1.44</c:v>
                </c:pt>
                <c:pt idx="1">
                  <c:v>9.44</c:v>
                </c:pt>
                <c:pt idx="2">
                  <c:v>10.89</c:v>
                </c:pt>
                <c:pt idx="3">
                  <c:v>1</c:v>
                </c:pt>
                <c:pt idx="4">
                  <c:v>2.3299999999999987</c:v>
                </c:pt>
                <c:pt idx="5">
                  <c:v>13.33</c:v>
                </c:pt>
                <c:pt idx="6">
                  <c:v>0.19</c:v>
                </c:pt>
                <c:pt idx="7">
                  <c:v>5.52</c:v>
                </c:pt>
              </c:numCache>
            </c:numRef>
          </c:val>
          <c:extLst>
            <c:ext xmlns:c16="http://schemas.microsoft.com/office/drawing/2014/chart" uri="{C3380CC4-5D6E-409C-BE32-E72D297353CC}">
              <c16:uniqueId val="{00000000-EF36-4E1E-8C62-502149570320}"/>
            </c:ext>
          </c:extLst>
        </c:ser>
        <c:ser>
          <c:idx val="1"/>
          <c:order val="1"/>
          <c:tx>
            <c:strRef>
              <c:f>Sheet1!$M$118</c:f>
              <c:strCache>
                <c:ptCount val="1"/>
                <c:pt idx="0">
                  <c:v>75</c:v>
                </c:pt>
              </c:strCache>
            </c:strRef>
          </c:tx>
          <c:spPr>
            <a:solidFill>
              <a:schemeClr val="accent2"/>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Sheet1!$M$119:$M$126</c:f>
              <c:numCache>
                <c:formatCode>General</c:formatCode>
                <c:ptCount val="8"/>
                <c:pt idx="0">
                  <c:v>1.8900000000000001</c:v>
                </c:pt>
                <c:pt idx="1">
                  <c:v>14.11</c:v>
                </c:pt>
                <c:pt idx="2">
                  <c:v>14.22</c:v>
                </c:pt>
                <c:pt idx="3">
                  <c:v>1.33</c:v>
                </c:pt>
                <c:pt idx="4">
                  <c:v>3.44</c:v>
                </c:pt>
                <c:pt idx="5">
                  <c:v>23.89</c:v>
                </c:pt>
                <c:pt idx="6">
                  <c:v>0.30000000000000032</c:v>
                </c:pt>
                <c:pt idx="7">
                  <c:v>8.4600000000000026</c:v>
                </c:pt>
              </c:numCache>
            </c:numRef>
          </c:val>
          <c:extLst>
            <c:ext xmlns:c16="http://schemas.microsoft.com/office/drawing/2014/chart" uri="{C3380CC4-5D6E-409C-BE32-E72D297353CC}">
              <c16:uniqueId val="{00000001-EF36-4E1E-8C62-502149570320}"/>
            </c:ext>
          </c:extLst>
        </c:ser>
        <c:ser>
          <c:idx val="2"/>
          <c:order val="2"/>
          <c:tx>
            <c:strRef>
              <c:f>Sheet1!$N$118</c:f>
              <c:strCache>
                <c:ptCount val="1"/>
                <c:pt idx="0">
                  <c:v>150</c:v>
                </c:pt>
              </c:strCache>
            </c:strRef>
          </c:tx>
          <c:spPr>
            <a:solidFill>
              <a:schemeClr val="accent3"/>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Sheet1!$N$119:$N$126</c:f>
              <c:numCache>
                <c:formatCode>General</c:formatCode>
                <c:ptCount val="8"/>
                <c:pt idx="0">
                  <c:v>2.11</c:v>
                </c:pt>
                <c:pt idx="1">
                  <c:v>21.779999999999987</c:v>
                </c:pt>
                <c:pt idx="2">
                  <c:v>14.44</c:v>
                </c:pt>
                <c:pt idx="3">
                  <c:v>1.78</c:v>
                </c:pt>
                <c:pt idx="4">
                  <c:v>4.1099999999999985</c:v>
                </c:pt>
                <c:pt idx="5">
                  <c:v>29.779999999999987</c:v>
                </c:pt>
                <c:pt idx="6">
                  <c:v>0.4</c:v>
                </c:pt>
                <c:pt idx="7">
                  <c:v>10.63</c:v>
                </c:pt>
              </c:numCache>
            </c:numRef>
          </c:val>
          <c:extLst>
            <c:ext xmlns:c16="http://schemas.microsoft.com/office/drawing/2014/chart" uri="{C3380CC4-5D6E-409C-BE32-E72D297353CC}">
              <c16:uniqueId val="{00000002-EF36-4E1E-8C62-502149570320}"/>
            </c:ext>
          </c:extLst>
        </c:ser>
        <c:ser>
          <c:idx val="3"/>
          <c:order val="3"/>
          <c:tx>
            <c:strRef>
              <c:f>Sheet1!$O$118</c:f>
              <c:strCache>
                <c:ptCount val="1"/>
                <c:pt idx="0">
                  <c:v>225</c:v>
                </c:pt>
              </c:strCache>
            </c:strRef>
          </c:tx>
          <c:spPr>
            <a:solidFill>
              <a:schemeClr val="accent4"/>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Sheet1!$O$119:$O$126</c:f>
              <c:numCache>
                <c:formatCode>General</c:formatCode>
                <c:ptCount val="8"/>
                <c:pt idx="0">
                  <c:v>3.22</c:v>
                </c:pt>
                <c:pt idx="1">
                  <c:v>32.11</c:v>
                </c:pt>
                <c:pt idx="2">
                  <c:v>16.670000000000005</c:v>
                </c:pt>
                <c:pt idx="3">
                  <c:v>1.8900000000000001</c:v>
                </c:pt>
                <c:pt idx="4">
                  <c:v>4.22</c:v>
                </c:pt>
                <c:pt idx="5">
                  <c:v>46.67</c:v>
                </c:pt>
                <c:pt idx="6">
                  <c:v>0.72000000000000064</c:v>
                </c:pt>
                <c:pt idx="7">
                  <c:v>15.07</c:v>
                </c:pt>
              </c:numCache>
            </c:numRef>
          </c:val>
          <c:extLst>
            <c:ext xmlns:c16="http://schemas.microsoft.com/office/drawing/2014/chart" uri="{C3380CC4-5D6E-409C-BE32-E72D297353CC}">
              <c16:uniqueId val="{00000003-EF36-4E1E-8C62-502149570320}"/>
            </c:ext>
          </c:extLst>
        </c:ser>
        <c:ser>
          <c:idx val="4"/>
          <c:order val="4"/>
          <c:tx>
            <c:strRef>
              <c:f>Sheet1!$P$118</c:f>
              <c:strCache>
                <c:ptCount val="1"/>
                <c:pt idx="0">
                  <c:v>300</c:v>
                </c:pt>
              </c:strCache>
            </c:strRef>
          </c:tx>
          <c:spPr>
            <a:solidFill>
              <a:schemeClr val="accent5"/>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Sheet1!$P$119:$P$126</c:f>
              <c:numCache>
                <c:formatCode>General</c:formatCode>
                <c:ptCount val="8"/>
                <c:pt idx="0">
                  <c:v>2.56</c:v>
                </c:pt>
                <c:pt idx="1">
                  <c:v>31.56</c:v>
                </c:pt>
                <c:pt idx="2">
                  <c:v>16.559999999999999</c:v>
                </c:pt>
                <c:pt idx="3">
                  <c:v>2.2200000000000002</c:v>
                </c:pt>
                <c:pt idx="4">
                  <c:v>5.33</c:v>
                </c:pt>
                <c:pt idx="5">
                  <c:v>46.89</c:v>
                </c:pt>
                <c:pt idx="6">
                  <c:v>0.86000000000000065</c:v>
                </c:pt>
                <c:pt idx="7">
                  <c:v>15.14</c:v>
                </c:pt>
              </c:numCache>
            </c:numRef>
          </c:val>
          <c:extLst>
            <c:ext xmlns:c16="http://schemas.microsoft.com/office/drawing/2014/chart" uri="{C3380CC4-5D6E-409C-BE32-E72D297353CC}">
              <c16:uniqueId val="{00000004-EF36-4E1E-8C62-502149570320}"/>
            </c:ext>
          </c:extLst>
        </c:ser>
        <c:dLbls>
          <c:showLegendKey val="0"/>
          <c:showVal val="0"/>
          <c:showCatName val="0"/>
          <c:showSerName val="0"/>
          <c:showPercent val="0"/>
          <c:showBubbleSize val="0"/>
        </c:dLbls>
        <c:gapWidth val="300"/>
        <c:axId val="552691496"/>
        <c:axId val="721227488"/>
      </c:barChart>
      <c:lineChart>
        <c:grouping val="standard"/>
        <c:varyColors val="0"/>
        <c:ser>
          <c:idx val="5"/>
          <c:order val="5"/>
          <c:tx>
            <c:strRef>
              <c:f>Sheet1!$Q$118</c:f>
              <c:strCache>
                <c:ptCount val="1"/>
              </c:strCache>
            </c:strRef>
          </c:tx>
          <c:spPr>
            <a:ln w="28575" cap="rnd">
              <a:noFill/>
              <a:round/>
            </a:ln>
            <a:effectLst/>
          </c:spPr>
          <c:marker>
            <c:symbol val="none"/>
          </c:marker>
          <c:errBars>
            <c:errDir val="y"/>
            <c:errBarType val="both"/>
            <c:errValType val="cust"/>
            <c:noEndCap val="0"/>
            <c:plus>
              <c:numRef>
                <c:f>Sheet1!$R$119:$R$126</c:f>
                <c:numCache>
                  <c:formatCode>General</c:formatCode>
                  <c:ptCount val="8"/>
                  <c:pt idx="0">
                    <c:v>0.4</c:v>
                  </c:pt>
                  <c:pt idx="1">
                    <c:v>1.37</c:v>
                  </c:pt>
                  <c:pt idx="2">
                    <c:v>0.87500000000000078</c:v>
                  </c:pt>
                  <c:pt idx="3">
                    <c:v>0.31500000000000034</c:v>
                  </c:pt>
                  <c:pt idx="4">
                    <c:v>0.4</c:v>
                  </c:pt>
                  <c:pt idx="5">
                    <c:v>1.8049999999999986</c:v>
                  </c:pt>
                  <c:pt idx="6">
                    <c:v>2.0000000000000011E-2</c:v>
                  </c:pt>
                  <c:pt idx="7">
                    <c:v>0.30000000000000032</c:v>
                  </c:pt>
                </c:numCache>
              </c:numRef>
            </c:plus>
            <c:minus>
              <c:numRef>
                <c:f>Sheet1!$R$119:$R$126</c:f>
                <c:numCache>
                  <c:formatCode>General</c:formatCode>
                  <c:ptCount val="8"/>
                  <c:pt idx="0">
                    <c:v>0.4</c:v>
                  </c:pt>
                  <c:pt idx="1">
                    <c:v>1.37</c:v>
                  </c:pt>
                  <c:pt idx="2">
                    <c:v>0.87500000000000078</c:v>
                  </c:pt>
                  <c:pt idx="3">
                    <c:v>0.31500000000000034</c:v>
                  </c:pt>
                  <c:pt idx="4">
                    <c:v>0.4</c:v>
                  </c:pt>
                  <c:pt idx="5">
                    <c:v>1.8049999999999986</c:v>
                  </c:pt>
                  <c:pt idx="6">
                    <c:v>2.0000000000000011E-2</c:v>
                  </c:pt>
                  <c:pt idx="7">
                    <c:v>0.30000000000000032</c:v>
                  </c:pt>
                </c:numCache>
              </c:numRef>
            </c:minus>
            <c:spPr>
              <a:noFill/>
              <a:ln w="9525" cap="flat" cmpd="sng" algn="ctr">
                <a:solidFill>
                  <a:schemeClr val="tx1">
                    <a:lumMod val="65000"/>
                    <a:lumOff val="35000"/>
                  </a:schemeClr>
                </a:solidFill>
                <a:round/>
              </a:ln>
              <a:effectLst/>
            </c:spPr>
          </c:errBars>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Sheet1!$Q$119:$Q$126</c:f>
              <c:numCache>
                <c:formatCode>General</c:formatCode>
                <c:ptCount val="8"/>
                <c:pt idx="0">
                  <c:v>4</c:v>
                </c:pt>
                <c:pt idx="1">
                  <c:v>24</c:v>
                </c:pt>
                <c:pt idx="2">
                  <c:v>16</c:v>
                </c:pt>
                <c:pt idx="3">
                  <c:v>4</c:v>
                </c:pt>
                <c:pt idx="4">
                  <c:v>6</c:v>
                </c:pt>
                <c:pt idx="5">
                  <c:v>32</c:v>
                </c:pt>
                <c:pt idx="6">
                  <c:v>2</c:v>
                </c:pt>
                <c:pt idx="7">
                  <c:v>16</c:v>
                </c:pt>
              </c:numCache>
            </c:numRef>
          </c:val>
          <c:smooth val="0"/>
          <c:extLst>
            <c:ext xmlns:c16="http://schemas.microsoft.com/office/drawing/2014/chart" uri="{C3380CC4-5D6E-409C-BE32-E72D297353CC}">
              <c16:uniqueId val="{00000005-EF36-4E1E-8C62-502149570320}"/>
            </c:ext>
          </c:extLst>
        </c:ser>
        <c:dLbls>
          <c:showLegendKey val="0"/>
          <c:showVal val="0"/>
          <c:showCatName val="0"/>
          <c:showSerName val="0"/>
          <c:showPercent val="0"/>
          <c:showBubbleSize val="0"/>
        </c:dLbls>
        <c:marker val="1"/>
        <c:smooth val="0"/>
        <c:axId val="552691496"/>
        <c:axId val="721227488"/>
      </c:lineChart>
      <c:catAx>
        <c:axId val="552691496"/>
        <c:scaling>
          <c:orientation val="minMax"/>
        </c:scaling>
        <c:delete val="0"/>
        <c:axPos val="b"/>
        <c:title>
          <c:tx>
            <c:rich>
              <a:bodyPr rot="0" vert="horz"/>
              <a:lstStyle/>
              <a:p>
                <a:pPr>
                  <a:defRPr b="0"/>
                </a:pPr>
                <a:r>
                  <a:rPr lang="en-US" b="0"/>
                  <a:t>Site (bars are LSDs, p≤0.05)</a:t>
                </a:r>
              </a:p>
            </c:rich>
          </c:tx>
          <c:layout>
            <c:manualLayout>
              <c:xMode val="edge"/>
              <c:yMode val="edge"/>
              <c:x val="5.8020017756307538E-2"/>
              <c:y val="0.866997741659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27488"/>
        <c:crosses val="autoZero"/>
        <c:auto val="1"/>
        <c:lblAlgn val="ctr"/>
        <c:lblOffset val="100"/>
        <c:noMultiLvlLbl val="0"/>
      </c:catAx>
      <c:valAx>
        <c:axId val="721227488"/>
        <c:scaling>
          <c:orientation val="minMax"/>
          <c:max val="48"/>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91496"/>
        <c:crosses val="autoZero"/>
        <c:crossBetween val="between"/>
        <c:majorUnit val="4"/>
      </c:valAx>
      <c:spPr>
        <a:noFill/>
        <a:ln w="25400">
          <a:noFill/>
        </a:ln>
        <a:effectLst/>
      </c:spPr>
    </c:plotArea>
    <c:legend>
      <c:legendPos val="b"/>
      <c:layout>
        <c:manualLayout>
          <c:xMode val="edge"/>
          <c:yMode val="edge"/>
          <c:x val="4.5921437747720159E-2"/>
          <c:y val="0.92024501878773812"/>
          <c:w val="0.4997274971304233"/>
          <c:h val="5.958555805776395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4856435628473"/>
          <c:y val="4.8954161103693813E-2"/>
          <c:w val="0.80446529549659951"/>
          <c:h val="0.69113218324344972"/>
        </c:manualLayout>
      </c:layout>
      <c:barChart>
        <c:barDir val="col"/>
        <c:grouping val="clustered"/>
        <c:varyColors val="0"/>
        <c:ser>
          <c:idx val="0"/>
          <c:order val="0"/>
          <c:tx>
            <c:strRef>
              <c:f>Sheet1!$U$118</c:f>
              <c:strCache>
                <c:ptCount val="1"/>
                <c:pt idx="0">
                  <c:v>0</c:v>
                </c:pt>
              </c:strCache>
            </c:strRef>
          </c:tx>
          <c:spPr>
            <a:solidFill>
              <a:schemeClr val="accent1"/>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Sheet1!$U$119:$U$126</c:f>
              <c:numCache>
                <c:formatCode>General</c:formatCode>
                <c:ptCount val="8"/>
                <c:pt idx="0">
                  <c:v>1.22</c:v>
                </c:pt>
                <c:pt idx="1">
                  <c:v>8.44</c:v>
                </c:pt>
                <c:pt idx="2">
                  <c:v>12.56</c:v>
                </c:pt>
                <c:pt idx="3">
                  <c:v>1.1100000000000001</c:v>
                </c:pt>
                <c:pt idx="4">
                  <c:v>3.7800000000000002</c:v>
                </c:pt>
                <c:pt idx="5">
                  <c:v>15.89</c:v>
                </c:pt>
                <c:pt idx="6">
                  <c:v>0.18000000000000016</c:v>
                </c:pt>
                <c:pt idx="7">
                  <c:v>6.17</c:v>
                </c:pt>
              </c:numCache>
            </c:numRef>
          </c:val>
          <c:extLst>
            <c:ext xmlns:c16="http://schemas.microsoft.com/office/drawing/2014/chart" uri="{C3380CC4-5D6E-409C-BE32-E72D297353CC}">
              <c16:uniqueId val="{00000000-69E6-4166-B747-238C5A4A8F20}"/>
            </c:ext>
          </c:extLst>
        </c:ser>
        <c:ser>
          <c:idx val="1"/>
          <c:order val="1"/>
          <c:tx>
            <c:strRef>
              <c:f>Sheet1!$V$118</c:f>
              <c:strCache>
                <c:ptCount val="1"/>
                <c:pt idx="0">
                  <c:v>75</c:v>
                </c:pt>
              </c:strCache>
            </c:strRef>
          </c:tx>
          <c:spPr>
            <a:solidFill>
              <a:schemeClr val="accent2"/>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Sheet1!$V$119:$V$126</c:f>
              <c:numCache>
                <c:formatCode>General</c:formatCode>
                <c:ptCount val="8"/>
                <c:pt idx="0">
                  <c:v>1.6700000000000013</c:v>
                </c:pt>
                <c:pt idx="1">
                  <c:v>17.110000000000021</c:v>
                </c:pt>
                <c:pt idx="2">
                  <c:v>14.44</c:v>
                </c:pt>
                <c:pt idx="3">
                  <c:v>1.44</c:v>
                </c:pt>
                <c:pt idx="4">
                  <c:v>5.44</c:v>
                </c:pt>
                <c:pt idx="5">
                  <c:v>24.89</c:v>
                </c:pt>
                <c:pt idx="6">
                  <c:v>0.30000000000000032</c:v>
                </c:pt>
                <c:pt idx="7">
                  <c:v>9.33</c:v>
                </c:pt>
              </c:numCache>
            </c:numRef>
          </c:val>
          <c:extLst>
            <c:ext xmlns:c16="http://schemas.microsoft.com/office/drawing/2014/chart" uri="{C3380CC4-5D6E-409C-BE32-E72D297353CC}">
              <c16:uniqueId val="{00000001-69E6-4166-B747-238C5A4A8F20}"/>
            </c:ext>
          </c:extLst>
        </c:ser>
        <c:ser>
          <c:idx val="2"/>
          <c:order val="2"/>
          <c:tx>
            <c:strRef>
              <c:f>Sheet1!$W$118</c:f>
              <c:strCache>
                <c:ptCount val="1"/>
                <c:pt idx="0">
                  <c:v>150</c:v>
                </c:pt>
              </c:strCache>
            </c:strRef>
          </c:tx>
          <c:spPr>
            <a:solidFill>
              <a:schemeClr val="accent3"/>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Sheet1!$W$119:$W$126</c:f>
              <c:numCache>
                <c:formatCode>General</c:formatCode>
                <c:ptCount val="8"/>
                <c:pt idx="0">
                  <c:v>2.44</c:v>
                </c:pt>
                <c:pt idx="1">
                  <c:v>19.559999999999999</c:v>
                </c:pt>
                <c:pt idx="2">
                  <c:v>16.670000000000005</c:v>
                </c:pt>
                <c:pt idx="3">
                  <c:v>1.6700000000000013</c:v>
                </c:pt>
                <c:pt idx="4">
                  <c:v>6.56</c:v>
                </c:pt>
                <c:pt idx="5">
                  <c:v>31.439999999999987</c:v>
                </c:pt>
                <c:pt idx="6">
                  <c:v>0.44</c:v>
                </c:pt>
                <c:pt idx="7">
                  <c:v>11.25</c:v>
                </c:pt>
              </c:numCache>
            </c:numRef>
          </c:val>
          <c:extLst>
            <c:ext xmlns:c16="http://schemas.microsoft.com/office/drawing/2014/chart" uri="{C3380CC4-5D6E-409C-BE32-E72D297353CC}">
              <c16:uniqueId val="{00000002-69E6-4166-B747-238C5A4A8F20}"/>
            </c:ext>
          </c:extLst>
        </c:ser>
        <c:ser>
          <c:idx val="3"/>
          <c:order val="3"/>
          <c:tx>
            <c:strRef>
              <c:f>Sheet1!$X$118</c:f>
              <c:strCache>
                <c:ptCount val="1"/>
                <c:pt idx="0">
                  <c:v>225</c:v>
                </c:pt>
              </c:strCache>
            </c:strRef>
          </c:tx>
          <c:spPr>
            <a:solidFill>
              <a:schemeClr val="accent4"/>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Sheet1!$X$119:$X$126</c:f>
              <c:numCache>
                <c:formatCode>General</c:formatCode>
                <c:ptCount val="8"/>
                <c:pt idx="0">
                  <c:v>2.7800000000000002</c:v>
                </c:pt>
                <c:pt idx="1">
                  <c:v>32.11</c:v>
                </c:pt>
                <c:pt idx="2">
                  <c:v>16.559999999999999</c:v>
                </c:pt>
                <c:pt idx="3">
                  <c:v>2.11</c:v>
                </c:pt>
                <c:pt idx="4">
                  <c:v>7</c:v>
                </c:pt>
                <c:pt idx="5">
                  <c:v>46</c:v>
                </c:pt>
                <c:pt idx="6">
                  <c:v>0.55000000000000004</c:v>
                </c:pt>
                <c:pt idx="7">
                  <c:v>15.3</c:v>
                </c:pt>
              </c:numCache>
            </c:numRef>
          </c:val>
          <c:extLst>
            <c:ext xmlns:c16="http://schemas.microsoft.com/office/drawing/2014/chart" uri="{C3380CC4-5D6E-409C-BE32-E72D297353CC}">
              <c16:uniqueId val="{00000003-69E6-4166-B747-238C5A4A8F20}"/>
            </c:ext>
          </c:extLst>
        </c:ser>
        <c:ser>
          <c:idx val="4"/>
          <c:order val="4"/>
          <c:tx>
            <c:strRef>
              <c:f>Sheet1!$Y$118</c:f>
              <c:strCache>
                <c:ptCount val="1"/>
                <c:pt idx="0">
                  <c:v>300</c:v>
                </c:pt>
              </c:strCache>
            </c:strRef>
          </c:tx>
          <c:spPr>
            <a:solidFill>
              <a:schemeClr val="accent5"/>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Sheet1!$Y$119:$Y$126</c:f>
              <c:numCache>
                <c:formatCode>General</c:formatCode>
                <c:ptCount val="8"/>
                <c:pt idx="0">
                  <c:v>2.67</c:v>
                </c:pt>
                <c:pt idx="1">
                  <c:v>27.67</c:v>
                </c:pt>
                <c:pt idx="2">
                  <c:v>19.89</c:v>
                </c:pt>
                <c:pt idx="3">
                  <c:v>2.56</c:v>
                </c:pt>
                <c:pt idx="4">
                  <c:v>7</c:v>
                </c:pt>
                <c:pt idx="5">
                  <c:v>56.67</c:v>
                </c:pt>
                <c:pt idx="6">
                  <c:v>0.88</c:v>
                </c:pt>
                <c:pt idx="7">
                  <c:v>16.760000000000002</c:v>
                </c:pt>
              </c:numCache>
            </c:numRef>
          </c:val>
          <c:extLst>
            <c:ext xmlns:c16="http://schemas.microsoft.com/office/drawing/2014/chart" uri="{C3380CC4-5D6E-409C-BE32-E72D297353CC}">
              <c16:uniqueId val="{00000004-69E6-4166-B747-238C5A4A8F20}"/>
            </c:ext>
          </c:extLst>
        </c:ser>
        <c:dLbls>
          <c:showLegendKey val="0"/>
          <c:showVal val="0"/>
          <c:showCatName val="0"/>
          <c:showSerName val="0"/>
          <c:showPercent val="0"/>
          <c:showBubbleSize val="0"/>
        </c:dLbls>
        <c:gapWidth val="300"/>
        <c:axId val="721228664"/>
        <c:axId val="721224744"/>
      </c:barChart>
      <c:lineChart>
        <c:grouping val="standard"/>
        <c:varyColors val="0"/>
        <c:ser>
          <c:idx val="5"/>
          <c:order val="5"/>
          <c:tx>
            <c:strRef>
              <c:f>Sheet1!$Z$118</c:f>
              <c:strCache>
                <c:ptCount val="1"/>
              </c:strCache>
            </c:strRef>
          </c:tx>
          <c:spPr>
            <a:ln w="28575" cap="rnd">
              <a:noFill/>
              <a:round/>
            </a:ln>
            <a:effectLst/>
          </c:spPr>
          <c:marker>
            <c:symbol val="none"/>
          </c:marker>
          <c:errBars>
            <c:errDir val="y"/>
            <c:errBarType val="both"/>
            <c:errValType val="cust"/>
            <c:noEndCap val="0"/>
            <c:plus>
              <c:numRef>
                <c:f>Sheet1!$AA$119:$AA$126</c:f>
                <c:numCache>
                  <c:formatCode>General</c:formatCode>
                  <c:ptCount val="8"/>
                  <c:pt idx="0">
                    <c:v>0.34500000000000008</c:v>
                  </c:pt>
                  <c:pt idx="1">
                    <c:v>1.9500000000000013</c:v>
                  </c:pt>
                  <c:pt idx="2">
                    <c:v>0.55000000000000004</c:v>
                  </c:pt>
                  <c:pt idx="3">
                    <c:v>0.33000000000000046</c:v>
                  </c:pt>
                  <c:pt idx="4">
                    <c:v>0.36000000000000032</c:v>
                  </c:pt>
                  <c:pt idx="5">
                    <c:v>2</c:v>
                  </c:pt>
                  <c:pt idx="6">
                    <c:v>0.5</c:v>
                  </c:pt>
                  <c:pt idx="7">
                    <c:v>0.44</c:v>
                  </c:pt>
                </c:numCache>
              </c:numRef>
            </c:plus>
            <c:minus>
              <c:numRef>
                <c:f>Sheet1!$AA$119:$AA$126</c:f>
                <c:numCache>
                  <c:formatCode>General</c:formatCode>
                  <c:ptCount val="8"/>
                  <c:pt idx="0">
                    <c:v>0.34500000000000008</c:v>
                  </c:pt>
                  <c:pt idx="1">
                    <c:v>1.9500000000000013</c:v>
                  </c:pt>
                  <c:pt idx="2">
                    <c:v>0.55000000000000004</c:v>
                  </c:pt>
                  <c:pt idx="3">
                    <c:v>0.33000000000000046</c:v>
                  </c:pt>
                  <c:pt idx="4">
                    <c:v>0.36000000000000032</c:v>
                  </c:pt>
                  <c:pt idx="5">
                    <c:v>2</c:v>
                  </c:pt>
                  <c:pt idx="6">
                    <c:v>0.5</c:v>
                  </c:pt>
                  <c:pt idx="7">
                    <c:v>0.44</c:v>
                  </c:pt>
                </c:numCache>
              </c:numRef>
            </c:minus>
            <c:spPr>
              <a:noFill/>
              <a:ln w="9525" cap="flat" cmpd="sng" algn="ctr">
                <a:solidFill>
                  <a:schemeClr val="tx1">
                    <a:lumMod val="65000"/>
                    <a:lumOff val="35000"/>
                  </a:schemeClr>
                </a:solidFill>
                <a:round/>
              </a:ln>
              <a:effectLst/>
            </c:spPr>
          </c:errBars>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Sheet1!$Z$119:$Z$126</c:f>
              <c:numCache>
                <c:formatCode>General</c:formatCode>
                <c:ptCount val="8"/>
                <c:pt idx="0">
                  <c:v>5</c:v>
                </c:pt>
                <c:pt idx="1">
                  <c:v>25</c:v>
                </c:pt>
                <c:pt idx="2">
                  <c:v>20</c:v>
                </c:pt>
                <c:pt idx="3">
                  <c:v>5</c:v>
                </c:pt>
                <c:pt idx="4">
                  <c:v>10</c:v>
                </c:pt>
                <c:pt idx="5">
                  <c:v>48</c:v>
                </c:pt>
                <c:pt idx="6">
                  <c:v>5</c:v>
                </c:pt>
                <c:pt idx="7">
                  <c:v>15.5</c:v>
                </c:pt>
              </c:numCache>
            </c:numRef>
          </c:val>
          <c:smooth val="0"/>
          <c:extLst>
            <c:ext xmlns:c16="http://schemas.microsoft.com/office/drawing/2014/chart" uri="{C3380CC4-5D6E-409C-BE32-E72D297353CC}">
              <c16:uniqueId val="{00000005-69E6-4166-B747-238C5A4A8F20}"/>
            </c:ext>
          </c:extLst>
        </c:ser>
        <c:dLbls>
          <c:showLegendKey val="0"/>
          <c:showVal val="0"/>
          <c:showCatName val="0"/>
          <c:showSerName val="0"/>
          <c:showPercent val="0"/>
          <c:showBubbleSize val="0"/>
        </c:dLbls>
        <c:marker val="1"/>
        <c:smooth val="0"/>
        <c:axId val="721228664"/>
        <c:axId val="721224744"/>
      </c:lineChart>
      <c:catAx>
        <c:axId val="721228664"/>
        <c:scaling>
          <c:orientation val="minMax"/>
        </c:scaling>
        <c:delete val="0"/>
        <c:axPos val="b"/>
        <c:title>
          <c:tx>
            <c:rich>
              <a:bodyPr rot="0" vert="horz"/>
              <a:lstStyle/>
              <a:p>
                <a:pPr>
                  <a:defRPr b="0"/>
                </a:pPr>
                <a:r>
                  <a:rPr lang="en-US" b="0"/>
                  <a:t>Site (bars are LSDs, p≤0.05)</a:t>
                </a:r>
              </a:p>
            </c:rich>
          </c:tx>
          <c:layout>
            <c:manualLayout>
              <c:xMode val="edge"/>
              <c:yMode val="edge"/>
              <c:x val="1.370651839251801E-2"/>
              <c:y val="0.878284256524009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24744"/>
        <c:crosses val="autoZero"/>
        <c:auto val="1"/>
        <c:lblAlgn val="ctr"/>
        <c:lblOffset val="100"/>
        <c:noMultiLvlLbl val="0"/>
      </c:catAx>
      <c:valAx>
        <c:axId val="721224744"/>
        <c:scaling>
          <c:orientation val="minMax"/>
          <c:max val="58"/>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21228664"/>
        <c:crosses val="autoZero"/>
        <c:crossBetween val="between"/>
        <c:majorUnit val="4"/>
      </c:valAx>
      <c:spPr>
        <a:noFill/>
        <a:ln>
          <a:noFill/>
        </a:ln>
        <a:effectLst/>
      </c:spPr>
    </c:plotArea>
    <c:legend>
      <c:legendPos val="b"/>
      <c:layout>
        <c:manualLayout>
          <c:xMode val="edge"/>
          <c:yMode val="edge"/>
          <c:x val="2.1492740236738694E-2"/>
          <c:y val="0.92901856894056467"/>
          <c:w val="0.53115311805536503"/>
          <c:h val="7.0981431059435329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65593818478533"/>
          <c:y val="4.9594229035166817E-2"/>
          <c:w val="0.78054914545631826"/>
          <c:h val="0.68709378527864362"/>
        </c:manualLayout>
      </c:layout>
      <c:barChart>
        <c:barDir val="col"/>
        <c:grouping val="clustered"/>
        <c:varyColors val="0"/>
        <c:ser>
          <c:idx val="0"/>
          <c:order val="0"/>
          <c:tx>
            <c:strRef>
              <c:f>Sheet1!$AE$118</c:f>
              <c:strCache>
                <c:ptCount val="1"/>
                <c:pt idx="0">
                  <c:v>0</c:v>
                </c:pt>
              </c:strCache>
            </c:strRef>
          </c:tx>
          <c:spPr>
            <a:solidFill>
              <a:schemeClr val="accent1"/>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Sheet1!$AE$119:$AE$126</c:f>
              <c:numCache>
                <c:formatCode>General</c:formatCode>
                <c:ptCount val="8"/>
                <c:pt idx="0">
                  <c:v>1.56</c:v>
                </c:pt>
                <c:pt idx="1">
                  <c:v>4.78</c:v>
                </c:pt>
                <c:pt idx="2">
                  <c:v>23</c:v>
                </c:pt>
                <c:pt idx="3">
                  <c:v>0.78</c:v>
                </c:pt>
                <c:pt idx="4">
                  <c:v>4</c:v>
                </c:pt>
                <c:pt idx="5">
                  <c:v>23.22</c:v>
                </c:pt>
                <c:pt idx="6">
                  <c:v>0.42000000000000032</c:v>
                </c:pt>
                <c:pt idx="7">
                  <c:v>8.24</c:v>
                </c:pt>
              </c:numCache>
            </c:numRef>
          </c:val>
          <c:extLst>
            <c:ext xmlns:c16="http://schemas.microsoft.com/office/drawing/2014/chart" uri="{C3380CC4-5D6E-409C-BE32-E72D297353CC}">
              <c16:uniqueId val="{00000000-805C-4FCF-9362-1CCB0265F6DA}"/>
            </c:ext>
          </c:extLst>
        </c:ser>
        <c:ser>
          <c:idx val="1"/>
          <c:order val="1"/>
          <c:tx>
            <c:strRef>
              <c:f>Sheet1!$AF$118</c:f>
              <c:strCache>
                <c:ptCount val="1"/>
                <c:pt idx="0">
                  <c:v>75</c:v>
                </c:pt>
              </c:strCache>
            </c:strRef>
          </c:tx>
          <c:spPr>
            <a:solidFill>
              <a:schemeClr val="accent2"/>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Sheet1!$AF$119:$AF$126</c:f>
              <c:numCache>
                <c:formatCode>General</c:formatCode>
                <c:ptCount val="8"/>
                <c:pt idx="0">
                  <c:v>1.78</c:v>
                </c:pt>
                <c:pt idx="1">
                  <c:v>10</c:v>
                </c:pt>
                <c:pt idx="2">
                  <c:v>24</c:v>
                </c:pt>
                <c:pt idx="3">
                  <c:v>1</c:v>
                </c:pt>
                <c:pt idx="4">
                  <c:v>5</c:v>
                </c:pt>
                <c:pt idx="5">
                  <c:v>28.67</c:v>
                </c:pt>
                <c:pt idx="6">
                  <c:v>0.65000000000000091</c:v>
                </c:pt>
                <c:pt idx="7">
                  <c:v>10.16</c:v>
                </c:pt>
              </c:numCache>
            </c:numRef>
          </c:val>
          <c:extLst>
            <c:ext xmlns:c16="http://schemas.microsoft.com/office/drawing/2014/chart" uri="{C3380CC4-5D6E-409C-BE32-E72D297353CC}">
              <c16:uniqueId val="{00000001-805C-4FCF-9362-1CCB0265F6DA}"/>
            </c:ext>
          </c:extLst>
        </c:ser>
        <c:ser>
          <c:idx val="2"/>
          <c:order val="2"/>
          <c:tx>
            <c:strRef>
              <c:f>Sheet1!$AG$118</c:f>
              <c:strCache>
                <c:ptCount val="1"/>
                <c:pt idx="0">
                  <c:v>150</c:v>
                </c:pt>
              </c:strCache>
            </c:strRef>
          </c:tx>
          <c:spPr>
            <a:solidFill>
              <a:schemeClr val="accent3"/>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Sheet1!$AG$119:$AG$126</c:f>
              <c:numCache>
                <c:formatCode>General</c:formatCode>
                <c:ptCount val="8"/>
                <c:pt idx="0">
                  <c:v>2.11</c:v>
                </c:pt>
                <c:pt idx="1">
                  <c:v>10.78</c:v>
                </c:pt>
                <c:pt idx="2">
                  <c:v>23.56</c:v>
                </c:pt>
                <c:pt idx="3">
                  <c:v>1.33</c:v>
                </c:pt>
                <c:pt idx="4">
                  <c:v>6.78</c:v>
                </c:pt>
                <c:pt idx="5">
                  <c:v>35.44</c:v>
                </c:pt>
                <c:pt idx="6">
                  <c:v>0.75000000000000078</c:v>
                </c:pt>
                <c:pt idx="7">
                  <c:v>11.54</c:v>
                </c:pt>
              </c:numCache>
            </c:numRef>
          </c:val>
          <c:extLst>
            <c:ext xmlns:c16="http://schemas.microsoft.com/office/drawing/2014/chart" uri="{C3380CC4-5D6E-409C-BE32-E72D297353CC}">
              <c16:uniqueId val="{00000002-805C-4FCF-9362-1CCB0265F6DA}"/>
            </c:ext>
          </c:extLst>
        </c:ser>
        <c:ser>
          <c:idx val="3"/>
          <c:order val="3"/>
          <c:tx>
            <c:strRef>
              <c:f>Sheet1!$AH$118</c:f>
              <c:strCache>
                <c:ptCount val="1"/>
                <c:pt idx="0">
                  <c:v>225</c:v>
                </c:pt>
              </c:strCache>
            </c:strRef>
          </c:tx>
          <c:spPr>
            <a:solidFill>
              <a:schemeClr val="accent4"/>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Sheet1!$AH$119:$AH$126</c:f>
              <c:numCache>
                <c:formatCode>General</c:formatCode>
                <c:ptCount val="8"/>
                <c:pt idx="0">
                  <c:v>2.44</c:v>
                </c:pt>
                <c:pt idx="1">
                  <c:v>13.56</c:v>
                </c:pt>
                <c:pt idx="2">
                  <c:v>24.56</c:v>
                </c:pt>
                <c:pt idx="3">
                  <c:v>1.56</c:v>
                </c:pt>
                <c:pt idx="4">
                  <c:v>8</c:v>
                </c:pt>
                <c:pt idx="5">
                  <c:v>38.78</c:v>
                </c:pt>
                <c:pt idx="6">
                  <c:v>1.06</c:v>
                </c:pt>
                <c:pt idx="7">
                  <c:v>12.85000000000001</c:v>
                </c:pt>
              </c:numCache>
            </c:numRef>
          </c:val>
          <c:extLst>
            <c:ext xmlns:c16="http://schemas.microsoft.com/office/drawing/2014/chart" uri="{C3380CC4-5D6E-409C-BE32-E72D297353CC}">
              <c16:uniqueId val="{00000003-805C-4FCF-9362-1CCB0265F6DA}"/>
            </c:ext>
          </c:extLst>
        </c:ser>
        <c:ser>
          <c:idx val="4"/>
          <c:order val="4"/>
          <c:tx>
            <c:strRef>
              <c:f>Sheet1!$AI$118</c:f>
              <c:strCache>
                <c:ptCount val="1"/>
                <c:pt idx="0">
                  <c:v>300</c:v>
                </c:pt>
              </c:strCache>
            </c:strRef>
          </c:tx>
          <c:spPr>
            <a:solidFill>
              <a:schemeClr val="accent5"/>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Sheet1!$AI$119:$AI$126</c:f>
              <c:numCache>
                <c:formatCode>General</c:formatCode>
                <c:ptCount val="8"/>
                <c:pt idx="0">
                  <c:v>2.3299999999999987</c:v>
                </c:pt>
                <c:pt idx="1">
                  <c:v>13.56</c:v>
                </c:pt>
                <c:pt idx="2">
                  <c:v>25.22</c:v>
                </c:pt>
                <c:pt idx="3">
                  <c:v>1.6700000000000013</c:v>
                </c:pt>
                <c:pt idx="4">
                  <c:v>8.7800000000000011</c:v>
                </c:pt>
                <c:pt idx="5">
                  <c:v>55</c:v>
                </c:pt>
                <c:pt idx="6">
                  <c:v>1.26</c:v>
                </c:pt>
                <c:pt idx="7">
                  <c:v>15.4</c:v>
                </c:pt>
              </c:numCache>
            </c:numRef>
          </c:val>
          <c:extLst>
            <c:ext xmlns:c16="http://schemas.microsoft.com/office/drawing/2014/chart" uri="{C3380CC4-5D6E-409C-BE32-E72D297353CC}">
              <c16:uniqueId val="{00000004-805C-4FCF-9362-1CCB0265F6DA}"/>
            </c:ext>
          </c:extLst>
        </c:ser>
        <c:dLbls>
          <c:showLegendKey val="0"/>
          <c:showVal val="0"/>
          <c:showCatName val="0"/>
          <c:showSerName val="0"/>
          <c:showPercent val="0"/>
          <c:showBubbleSize val="0"/>
        </c:dLbls>
        <c:gapWidth val="300"/>
        <c:axId val="721227880"/>
        <c:axId val="721230624"/>
      </c:barChart>
      <c:lineChart>
        <c:grouping val="standard"/>
        <c:varyColors val="0"/>
        <c:ser>
          <c:idx val="5"/>
          <c:order val="5"/>
          <c:tx>
            <c:strRef>
              <c:f>Sheet1!$AJ$118</c:f>
              <c:strCache>
                <c:ptCount val="1"/>
              </c:strCache>
            </c:strRef>
          </c:tx>
          <c:spPr>
            <a:ln w="28575" cap="rnd">
              <a:noFill/>
              <a:round/>
            </a:ln>
            <a:effectLst/>
          </c:spPr>
          <c:marker>
            <c:symbol val="none"/>
          </c:marker>
          <c:errBars>
            <c:errDir val="y"/>
            <c:errBarType val="both"/>
            <c:errValType val="cust"/>
            <c:noEndCap val="0"/>
            <c:plus>
              <c:numRef>
                <c:f>Sheet1!$AK$119:$AK$126</c:f>
                <c:numCache>
                  <c:formatCode>General</c:formatCode>
                  <c:ptCount val="8"/>
                  <c:pt idx="0">
                    <c:v>0.43000000000000033</c:v>
                  </c:pt>
                  <c:pt idx="1">
                    <c:v>0.70000000000000062</c:v>
                  </c:pt>
                  <c:pt idx="2">
                    <c:v>0.5</c:v>
                  </c:pt>
                  <c:pt idx="3">
                    <c:v>0.36000000000000032</c:v>
                  </c:pt>
                  <c:pt idx="4">
                    <c:v>0.34</c:v>
                  </c:pt>
                  <c:pt idx="5">
                    <c:v>2.4</c:v>
                  </c:pt>
                  <c:pt idx="6">
                    <c:v>1.1000000000000001</c:v>
                  </c:pt>
                  <c:pt idx="7">
                    <c:v>0.43000000000000033</c:v>
                  </c:pt>
                </c:numCache>
              </c:numRef>
            </c:plus>
            <c:minus>
              <c:numRef>
                <c:f>Sheet1!$AK$119:$AK$126</c:f>
                <c:numCache>
                  <c:formatCode>General</c:formatCode>
                  <c:ptCount val="8"/>
                  <c:pt idx="0">
                    <c:v>0.43000000000000033</c:v>
                  </c:pt>
                  <c:pt idx="1">
                    <c:v>0.70000000000000062</c:v>
                  </c:pt>
                  <c:pt idx="2">
                    <c:v>0.5</c:v>
                  </c:pt>
                  <c:pt idx="3">
                    <c:v>0.36000000000000032</c:v>
                  </c:pt>
                  <c:pt idx="4">
                    <c:v>0.34</c:v>
                  </c:pt>
                  <c:pt idx="5">
                    <c:v>2.4</c:v>
                  </c:pt>
                  <c:pt idx="6">
                    <c:v>1.1000000000000001</c:v>
                  </c:pt>
                  <c:pt idx="7">
                    <c:v>0.43000000000000033</c:v>
                  </c:pt>
                </c:numCache>
              </c:numRef>
            </c:minus>
            <c:spPr>
              <a:noFill/>
              <a:ln w="9525" cap="flat" cmpd="sng" algn="ctr">
                <a:solidFill>
                  <a:schemeClr val="tx1">
                    <a:lumMod val="65000"/>
                    <a:lumOff val="35000"/>
                  </a:schemeClr>
                </a:solidFill>
                <a:round/>
              </a:ln>
              <a:effectLst/>
            </c:spPr>
          </c:errBars>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Sheet1!$AJ$119:$AJ$126</c:f>
              <c:numCache>
                <c:formatCode>General</c:formatCode>
                <c:ptCount val="8"/>
                <c:pt idx="0">
                  <c:v>5</c:v>
                </c:pt>
                <c:pt idx="1">
                  <c:v>14</c:v>
                </c:pt>
                <c:pt idx="2">
                  <c:v>26</c:v>
                </c:pt>
                <c:pt idx="3">
                  <c:v>4</c:v>
                </c:pt>
                <c:pt idx="4">
                  <c:v>9</c:v>
                </c:pt>
                <c:pt idx="5">
                  <c:v>40</c:v>
                </c:pt>
                <c:pt idx="6">
                  <c:v>5</c:v>
                </c:pt>
                <c:pt idx="7">
                  <c:v>14</c:v>
                </c:pt>
              </c:numCache>
            </c:numRef>
          </c:val>
          <c:smooth val="0"/>
          <c:extLst>
            <c:ext xmlns:c16="http://schemas.microsoft.com/office/drawing/2014/chart" uri="{C3380CC4-5D6E-409C-BE32-E72D297353CC}">
              <c16:uniqueId val="{00000005-805C-4FCF-9362-1CCB0265F6DA}"/>
            </c:ext>
          </c:extLst>
        </c:ser>
        <c:dLbls>
          <c:showLegendKey val="0"/>
          <c:showVal val="0"/>
          <c:showCatName val="0"/>
          <c:showSerName val="0"/>
          <c:showPercent val="0"/>
          <c:showBubbleSize val="0"/>
        </c:dLbls>
        <c:marker val="1"/>
        <c:smooth val="0"/>
        <c:axId val="721227880"/>
        <c:axId val="721230624"/>
      </c:lineChart>
      <c:catAx>
        <c:axId val="721227880"/>
        <c:scaling>
          <c:orientation val="minMax"/>
        </c:scaling>
        <c:delete val="0"/>
        <c:axPos val="b"/>
        <c:title>
          <c:tx>
            <c:rich>
              <a:bodyPr rot="0" vert="horz"/>
              <a:lstStyle/>
              <a:p>
                <a:pPr>
                  <a:defRPr b="0"/>
                </a:pPr>
                <a:r>
                  <a:rPr lang="en-US" b="0"/>
                  <a:t>Site (bars are LSDs, p≤0.05)</a:t>
                </a:r>
              </a:p>
            </c:rich>
          </c:tx>
          <c:layout>
            <c:manualLayout>
              <c:xMode val="edge"/>
              <c:yMode val="edge"/>
              <c:x val="2.7605070982464393E-2"/>
              <c:y val="0.8558554560752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30624"/>
        <c:crosses val="autoZero"/>
        <c:auto val="1"/>
        <c:lblAlgn val="ctr"/>
        <c:lblOffset val="100"/>
        <c:noMultiLvlLbl val="0"/>
      </c:catAx>
      <c:valAx>
        <c:axId val="721230624"/>
        <c:scaling>
          <c:orientation val="minMax"/>
          <c:max val="56"/>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21227880"/>
        <c:crosses val="autoZero"/>
        <c:crossBetween val="between"/>
        <c:majorUnit val="4"/>
      </c:valAx>
      <c:spPr>
        <a:noFill/>
        <a:ln>
          <a:noFill/>
        </a:ln>
        <a:effectLst/>
      </c:spPr>
    </c:plotArea>
    <c:legend>
      <c:legendPos val="b"/>
      <c:layout>
        <c:manualLayout>
          <c:xMode val="edge"/>
          <c:yMode val="edge"/>
          <c:x val="2.419647576640364E-2"/>
          <c:y val="0.906351398365556"/>
          <c:w val="0.4997274971304233"/>
          <c:h val="6.659720397889848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06390353957184E-2"/>
          <c:y val="5.030871255431054E-2"/>
          <c:w val="0.88020252805211496"/>
          <c:h val="0.7389229902173502"/>
        </c:manualLayout>
      </c:layout>
      <c:barChart>
        <c:barDir val="col"/>
        <c:grouping val="clustered"/>
        <c:varyColors val="0"/>
        <c:ser>
          <c:idx val="0"/>
          <c:order val="0"/>
          <c:tx>
            <c:strRef>
              <c:f>Sheet1!$AO$85</c:f>
              <c:strCache>
                <c:ptCount val="1"/>
                <c:pt idx="0">
                  <c:v>Timbilil</c:v>
                </c:pt>
              </c:strCache>
            </c:strRef>
          </c:tx>
          <c:spPr>
            <a:solidFill>
              <a:schemeClr val="accent1"/>
            </a:solidFill>
            <a:ln>
              <a:noFill/>
            </a:ln>
            <a:effectLst/>
          </c:spPr>
          <c:invertIfNegative val="0"/>
          <c:cat>
            <c:strRef>
              <c:f>Sheet1!$AN$86:$AN$89</c:f>
              <c:strCache>
                <c:ptCount val="4"/>
                <c:pt idx="0">
                  <c:v>0-10 cm</c:v>
                </c:pt>
                <c:pt idx="1">
                  <c:v>"10-20 cm</c:v>
                </c:pt>
                <c:pt idx="2">
                  <c:v>20-30 cm</c:v>
                </c:pt>
                <c:pt idx="3">
                  <c:v>40-60 cm</c:v>
                </c:pt>
              </c:strCache>
            </c:strRef>
          </c:cat>
          <c:val>
            <c:numRef>
              <c:f>Sheet1!$AO$86:$AO$89</c:f>
              <c:numCache>
                <c:formatCode>General</c:formatCode>
                <c:ptCount val="4"/>
                <c:pt idx="0">
                  <c:v>2.8</c:v>
                </c:pt>
                <c:pt idx="1">
                  <c:v>3.2</c:v>
                </c:pt>
                <c:pt idx="2">
                  <c:v>3.8</c:v>
                </c:pt>
                <c:pt idx="3">
                  <c:v>3</c:v>
                </c:pt>
              </c:numCache>
            </c:numRef>
          </c:val>
          <c:extLst>
            <c:ext xmlns:c16="http://schemas.microsoft.com/office/drawing/2014/chart" uri="{C3380CC4-5D6E-409C-BE32-E72D297353CC}">
              <c16:uniqueId val="{00000000-7DD9-48BB-8921-6EA1E2687D3F}"/>
            </c:ext>
          </c:extLst>
        </c:ser>
        <c:ser>
          <c:idx val="1"/>
          <c:order val="1"/>
          <c:tx>
            <c:strRef>
              <c:f>Sheet1!$AP$85</c:f>
              <c:strCache>
                <c:ptCount val="1"/>
                <c:pt idx="0">
                  <c:v>Changoi</c:v>
                </c:pt>
              </c:strCache>
            </c:strRef>
          </c:tx>
          <c:spPr>
            <a:solidFill>
              <a:schemeClr val="accent2"/>
            </a:solidFill>
            <a:ln>
              <a:noFill/>
            </a:ln>
            <a:effectLst/>
          </c:spPr>
          <c:invertIfNegative val="0"/>
          <c:cat>
            <c:strRef>
              <c:f>Sheet1!$AN$86:$AN$89</c:f>
              <c:strCache>
                <c:ptCount val="4"/>
                <c:pt idx="0">
                  <c:v>0-10 cm</c:v>
                </c:pt>
                <c:pt idx="1">
                  <c:v>"10-20 cm</c:v>
                </c:pt>
                <c:pt idx="2">
                  <c:v>20-30 cm</c:v>
                </c:pt>
                <c:pt idx="3">
                  <c:v>40-60 cm</c:v>
                </c:pt>
              </c:strCache>
            </c:strRef>
          </c:cat>
          <c:val>
            <c:numRef>
              <c:f>Sheet1!$AP$86:$AP$89</c:f>
              <c:numCache>
                <c:formatCode>General</c:formatCode>
                <c:ptCount val="4"/>
                <c:pt idx="0">
                  <c:v>3.2</c:v>
                </c:pt>
                <c:pt idx="1">
                  <c:v>2.9</c:v>
                </c:pt>
                <c:pt idx="2">
                  <c:v>2.6</c:v>
                </c:pt>
                <c:pt idx="3">
                  <c:v>3.7</c:v>
                </c:pt>
              </c:numCache>
            </c:numRef>
          </c:val>
          <c:extLst>
            <c:ext xmlns:c16="http://schemas.microsoft.com/office/drawing/2014/chart" uri="{C3380CC4-5D6E-409C-BE32-E72D297353CC}">
              <c16:uniqueId val="{00000001-7DD9-48BB-8921-6EA1E2687D3F}"/>
            </c:ext>
          </c:extLst>
        </c:ser>
        <c:ser>
          <c:idx val="2"/>
          <c:order val="2"/>
          <c:tx>
            <c:strRef>
              <c:f>Sheet1!$AQ$85</c:f>
              <c:strCache>
                <c:ptCount val="1"/>
                <c:pt idx="0">
                  <c:v>Arroket</c:v>
                </c:pt>
              </c:strCache>
            </c:strRef>
          </c:tx>
          <c:spPr>
            <a:solidFill>
              <a:schemeClr val="accent3"/>
            </a:solidFill>
            <a:ln>
              <a:noFill/>
            </a:ln>
            <a:effectLst/>
          </c:spPr>
          <c:invertIfNegative val="0"/>
          <c:cat>
            <c:strRef>
              <c:f>Sheet1!$AN$86:$AN$89</c:f>
              <c:strCache>
                <c:ptCount val="4"/>
                <c:pt idx="0">
                  <c:v>0-10 cm</c:v>
                </c:pt>
                <c:pt idx="1">
                  <c:v>"10-20 cm</c:v>
                </c:pt>
                <c:pt idx="2">
                  <c:v>20-30 cm</c:v>
                </c:pt>
                <c:pt idx="3">
                  <c:v>40-60 cm</c:v>
                </c:pt>
              </c:strCache>
            </c:strRef>
          </c:cat>
          <c:val>
            <c:numRef>
              <c:f>Sheet1!$AQ$86:$AQ$89</c:f>
              <c:numCache>
                <c:formatCode>General</c:formatCode>
                <c:ptCount val="4"/>
                <c:pt idx="0">
                  <c:v>11.3</c:v>
                </c:pt>
                <c:pt idx="1">
                  <c:v>12.5</c:v>
                </c:pt>
                <c:pt idx="2">
                  <c:v>9.5</c:v>
                </c:pt>
                <c:pt idx="3">
                  <c:v>7</c:v>
                </c:pt>
              </c:numCache>
            </c:numRef>
          </c:val>
          <c:extLst>
            <c:ext xmlns:c16="http://schemas.microsoft.com/office/drawing/2014/chart" uri="{C3380CC4-5D6E-409C-BE32-E72D297353CC}">
              <c16:uniqueId val="{00000002-7DD9-48BB-8921-6EA1E2687D3F}"/>
            </c:ext>
          </c:extLst>
        </c:ser>
        <c:ser>
          <c:idx val="3"/>
          <c:order val="3"/>
          <c:tx>
            <c:strRef>
              <c:f>Sheet1!$AR$85</c:f>
              <c:strCache>
                <c:ptCount val="1"/>
                <c:pt idx="0">
                  <c:v>Kitabi</c:v>
                </c:pt>
              </c:strCache>
            </c:strRef>
          </c:tx>
          <c:spPr>
            <a:solidFill>
              <a:schemeClr val="accent4"/>
            </a:solidFill>
            <a:ln>
              <a:noFill/>
            </a:ln>
            <a:effectLst/>
          </c:spPr>
          <c:invertIfNegative val="0"/>
          <c:cat>
            <c:strRef>
              <c:f>Sheet1!$AN$86:$AN$89</c:f>
              <c:strCache>
                <c:ptCount val="4"/>
                <c:pt idx="0">
                  <c:v>0-10 cm</c:v>
                </c:pt>
                <c:pt idx="1">
                  <c:v>"10-20 cm</c:v>
                </c:pt>
                <c:pt idx="2">
                  <c:v>20-30 cm</c:v>
                </c:pt>
                <c:pt idx="3">
                  <c:v>40-60 cm</c:v>
                </c:pt>
              </c:strCache>
            </c:strRef>
          </c:cat>
          <c:val>
            <c:numRef>
              <c:f>Sheet1!$AR$86:$AR$89</c:f>
              <c:numCache>
                <c:formatCode>General</c:formatCode>
                <c:ptCount val="4"/>
                <c:pt idx="0">
                  <c:v>2.1</c:v>
                </c:pt>
                <c:pt idx="1">
                  <c:v>2.1</c:v>
                </c:pt>
                <c:pt idx="2">
                  <c:v>1.9000000000000001</c:v>
                </c:pt>
                <c:pt idx="3">
                  <c:v>1.7</c:v>
                </c:pt>
              </c:numCache>
            </c:numRef>
          </c:val>
          <c:extLst>
            <c:ext xmlns:c16="http://schemas.microsoft.com/office/drawing/2014/chart" uri="{C3380CC4-5D6E-409C-BE32-E72D297353CC}">
              <c16:uniqueId val="{00000003-7DD9-48BB-8921-6EA1E2687D3F}"/>
            </c:ext>
          </c:extLst>
        </c:ser>
        <c:ser>
          <c:idx val="4"/>
          <c:order val="4"/>
          <c:tx>
            <c:strRef>
              <c:f>Sheet1!$AS$85</c:f>
              <c:strCache>
                <c:ptCount val="1"/>
                <c:pt idx="0">
                  <c:v>Mulindi</c:v>
                </c:pt>
              </c:strCache>
            </c:strRef>
          </c:tx>
          <c:spPr>
            <a:solidFill>
              <a:schemeClr val="accent5"/>
            </a:solidFill>
            <a:ln>
              <a:noFill/>
            </a:ln>
            <a:effectLst/>
          </c:spPr>
          <c:invertIfNegative val="0"/>
          <c:cat>
            <c:strRef>
              <c:f>Sheet1!$AN$86:$AN$89</c:f>
              <c:strCache>
                <c:ptCount val="4"/>
                <c:pt idx="0">
                  <c:v>0-10 cm</c:v>
                </c:pt>
                <c:pt idx="1">
                  <c:v>"10-20 cm</c:v>
                </c:pt>
                <c:pt idx="2">
                  <c:v>20-30 cm</c:v>
                </c:pt>
                <c:pt idx="3">
                  <c:v>40-60 cm</c:v>
                </c:pt>
              </c:strCache>
            </c:strRef>
          </c:cat>
          <c:val>
            <c:numRef>
              <c:f>Sheet1!$AS$86:$AS$89</c:f>
              <c:numCache>
                <c:formatCode>General</c:formatCode>
                <c:ptCount val="4"/>
                <c:pt idx="0">
                  <c:v>6.3</c:v>
                </c:pt>
                <c:pt idx="1">
                  <c:v>12.6</c:v>
                </c:pt>
                <c:pt idx="2">
                  <c:v>14.1</c:v>
                </c:pt>
                <c:pt idx="3">
                  <c:v>17.2</c:v>
                </c:pt>
              </c:numCache>
            </c:numRef>
          </c:val>
          <c:extLst>
            <c:ext xmlns:c16="http://schemas.microsoft.com/office/drawing/2014/chart" uri="{C3380CC4-5D6E-409C-BE32-E72D297353CC}">
              <c16:uniqueId val="{00000004-7DD9-48BB-8921-6EA1E2687D3F}"/>
            </c:ext>
          </c:extLst>
        </c:ser>
        <c:ser>
          <c:idx val="5"/>
          <c:order val="5"/>
          <c:tx>
            <c:strRef>
              <c:f>Sheet1!$AT$85</c:f>
              <c:strCache>
                <c:ptCount val="1"/>
                <c:pt idx="0">
                  <c:v>Katoke</c:v>
                </c:pt>
              </c:strCache>
            </c:strRef>
          </c:tx>
          <c:spPr>
            <a:solidFill>
              <a:schemeClr val="accent6"/>
            </a:solidFill>
            <a:ln>
              <a:noFill/>
            </a:ln>
            <a:effectLst/>
          </c:spPr>
          <c:invertIfNegative val="0"/>
          <c:cat>
            <c:strRef>
              <c:f>Sheet1!$AN$86:$AN$89</c:f>
              <c:strCache>
                <c:ptCount val="4"/>
                <c:pt idx="0">
                  <c:v>0-10 cm</c:v>
                </c:pt>
                <c:pt idx="1">
                  <c:v>"10-20 cm</c:v>
                </c:pt>
                <c:pt idx="2">
                  <c:v>20-30 cm</c:v>
                </c:pt>
                <c:pt idx="3">
                  <c:v>40-60 cm</c:v>
                </c:pt>
              </c:strCache>
            </c:strRef>
          </c:cat>
          <c:val>
            <c:numRef>
              <c:f>Sheet1!$AT$86:$AT$89</c:f>
              <c:numCache>
                <c:formatCode>General</c:formatCode>
                <c:ptCount val="4"/>
                <c:pt idx="0">
                  <c:v>1.9000000000000001</c:v>
                </c:pt>
                <c:pt idx="1">
                  <c:v>2.2999999999999998</c:v>
                </c:pt>
                <c:pt idx="2">
                  <c:v>2.8</c:v>
                </c:pt>
                <c:pt idx="3">
                  <c:v>3.2</c:v>
                </c:pt>
              </c:numCache>
            </c:numRef>
          </c:val>
          <c:extLst>
            <c:ext xmlns:c16="http://schemas.microsoft.com/office/drawing/2014/chart" uri="{C3380CC4-5D6E-409C-BE32-E72D297353CC}">
              <c16:uniqueId val="{00000005-7DD9-48BB-8921-6EA1E2687D3F}"/>
            </c:ext>
          </c:extLst>
        </c:ser>
        <c:ser>
          <c:idx val="6"/>
          <c:order val="6"/>
          <c:tx>
            <c:strRef>
              <c:f>Sheet1!$AU$85</c:f>
              <c:strCache>
                <c:ptCount val="1"/>
                <c:pt idx="0">
                  <c:v>Maruku</c:v>
                </c:pt>
              </c:strCache>
            </c:strRef>
          </c:tx>
          <c:spPr>
            <a:solidFill>
              <a:schemeClr val="accent1">
                <a:lumMod val="60000"/>
              </a:schemeClr>
            </a:solidFill>
            <a:ln>
              <a:noFill/>
            </a:ln>
            <a:effectLst/>
          </c:spPr>
          <c:invertIfNegative val="0"/>
          <c:cat>
            <c:strRef>
              <c:f>Sheet1!$AN$86:$AN$89</c:f>
              <c:strCache>
                <c:ptCount val="4"/>
                <c:pt idx="0">
                  <c:v>0-10 cm</c:v>
                </c:pt>
                <c:pt idx="1">
                  <c:v>"10-20 cm</c:v>
                </c:pt>
                <c:pt idx="2">
                  <c:v>20-30 cm</c:v>
                </c:pt>
                <c:pt idx="3">
                  <c:v>40-60 cm</c:v>
                </c:pt>
              </c:strCache>
            </c:strRef>
          </c:cat>
          <c:val>
            <c:numRef>
              <c:f>Sheet1!$AU$86:$AU$89</c:f>
              <c:numCache>
                <c:formatCode>General</c:formatCode>
                <c:ptCount val="4"/>
                <c:pt idx="0">
                  <c:v>2.4</c:v>
                </c:pt>
                <c:pt idx="1">
                  <c:v>3.6</c:v>
                </c:pt>
                <c:pt idx="2">
                  <c:v>2.8</c:v>
                </c:pt>
                <c:pt idx="3">
                  <c:v>2.6</c:v>
                </c:pt>
              </c:numCache>
            </c:numRef>
          </c:val>
          <c:extLst>
            <c:ext xmlns:c16="http://schemas.microsoft.com/office/drawing/2014/chart" uri="{C3380CC4-5D6E-409C-BE32-E72D297353CC}">
              <c16:uniqueId val="{00000006-7DD9-48BB-8921-6EA1E2687D3F}"/>
            </c:ext>
          </c:extLst>
        </c:ser>
        <c:dLbls>
          <c:showLegendKey val="0"/>
          <c:showVal val="0"/>
          <c:showCatName val="0"/>
          <c:showSerName val="0"/>
          <c:showPercent val="0"/>
          <c:showBubbleSize val="0"/>
        </c:dLbls>
        <c:gapWidth val="300"/>
        <c:axId val="721229056"/>
        <c:axId val="721225528"/>
      </c:barChart>
      <c:lineChart>
        <c:grouping val="standard"/>
        <c:varyColors val="0"/>
        <c:ser>
          <c:idx val="7"/>
          <c:order val="7"/>
          <c:tx>
            <c:strRef>
              <c:f>Sheet1!$AV$85</c:f>
              <c:strCache>
                <c:ptCount val="1"/>
              </c:strCache>
            </c:strRef>
          </c:tx>
          <c:spPr>
            <a:ln w="28575" cap="rnd">
              <a:noFill/>
              <a:round/>
            </a:ln>
            <a:effectLst/>
          </c:spPr>
          <c:marker>
            <c:symbol val="none"/>
          </c:marker>
          <c:errBars>
            <c:errDir val="y"/>
            <c:errBarType val="both"/>
            <c:errValType val="cust"/>
            <c:noEndCap val="0"/>
            <c:plus>
              <c:numRef>
                <c:f>Sheet1!$AW$86:$AW$89</c:f>
                <c:numCache>
                  <c:formatCode>General</c:formatCode>
                  <c:ptCount val="4"/>
                  <c:pt idx="0">
                    <c:v>0</c:v>
                  </c:pt>
                  <c:pt idx="1">
                    <c:v>0.30000000000000032</c:v>
                  </c:pt>
                  <c:pt idx="2">
                    <c:v>0.2</c:v>
                  </c:pt>
                  <c:pt idx="3">
                    <c:v>0.15000000000000016</c:v>
                  </c:pt>
                </c:numCache>
              </c:numRef>
            </c:plus>
            <c:minus>
              <c:numRef>
                <c:f>Sheet1!$AW$86:$AW$89</c:f>
                <c:numCache>
                  <c:formatCode>General</c:formatCode>
                  <c:ptCount val="4"/>
                  <c:pt idx="0">
                    <c:v>0</c:v>
                  </c:pt>
                  <c:pt idx="1">
                    <c:v>0.30000000000000032</c:v>
                  </c:pt>
                  <c:pt idx="2">
                    <c:v>0.2</c:v>
                  </c:pt>
                  <c:pt idx="3">
                    <c:v>0.15000000000000016</c:v>
                  </c:pt>
                </c:numCache>
              </c:numRef>
            </c:minus>
            <c:spPr>
              <a:noFill/>
              <a:ln w="9525" cap="flat" cmpd="sng" algn="ctr">
                <a:solidFill>
                  <a:schemeClr val="tx1">
                    <a:lumMod val="65000"/>
                    <a:lumOff val="35000"/>
                  </a:schemeClr>
                </a:solidFill>
                <a:round/>
              </a:ln>
              <a:effectLst/>
            </c:spPr>
          </c:errBars>
          <c:cat>
            <c:strRef>
              <c:f>Sheet1!$AN$86:$AN$89</c:f>
              <c:strCache>
                <c:ptCount val="4"/>
                <c:pt idx="0">
                  <c:v>0-10 cm</c:v>
                </c:pt>
                <c:pt idx="1">
                  <c:v>"10-20 cm</c:v>
                </c:pt>
                <c:pt idx="2">
                  <c:v>20-30 cm</c:v>
                </c:pt>
                <c:pt idx="3">
                  <c:v>40-60 cm</c:v>
                </c:pt>
              </c:strCache>
            </c:strRef>
          </c:cat>
          <c:val>
            <c:numRef>
              <c:f>Sheet1!$AV$86:$AV$89</c:f>
              <c:numCache>
                <c:formatCode>General</c:formatCode>
                <c:ptCount val="4"/>
                <c:pt idx="0">
                  <c:v>10</c:v>
                </c:pt>
                <c:pt idx="1">
                  <c:v>12</c:v>
                </c:pt>
                <c:pt idx="2">
                  <c:v>10</c:v>
                </c:pt>
                <c:pt idx="3">
                  <c:v>8</c:v>
                </c:pt>
              </c:numCache>
            </c:numRef>
          </c:val>
          <c:smooth val="0"/>
          <c:extLst>
            <c:ext xmlns:c16="http://schemas.microsoft.com/office/drawing/2014/chart" uri="{C3380CC4-5D6E-409C-BE32-E72D297353CC}">
              <c16:uniqueId val="{00000007-7DD9-48BB-8921-6EA1E2687D3F}"/>
            </c:ext>
          </c:extLst>
        </c:ser>
        <c:dLbls>
          <c:showLegendKey val="0"/>
          <c:showVal val="0"/>
          <c:showCatName val="0"/>
          <c:showSerName val="0"/>
          <c:showPercent val="0"/>
          <c:showBubbleSize val="0"/>
        </c:dLbls>
        <c:marker val="1"/>
        <c:smooth val="0"/>
        <c:axId val="721229056"/>
        <c:axId val="721225528"/>
      </c:lineChart>
      <c:catAx>
        <c:axId val="721229056"/>
        <c:scaling>
          <c:orientation val="minMax"/>
        </c:scaling>
        <c:delete val="0"/>
        <c:axPos val="b"/>
        <c:title>
          <c:tx>
            <c:rich>
              <a:bodyPr rot="0" vert="horz"/>
              <a:lstStyle/>
              <a:p>
                <a:pPr>
                  <a:defRPr b="0"/>
                </a:pPr>
                <a:r>
                  <a:rPr lang="en-US" b="0"/>
                  <a:t>Soil Depth (cm) (bars are LSDs, p≤0.05)</a:t>
                </a:r>
              </a:p>
            </c:rich>
          </c:tx>
          <c:layout>
            <c:manualLayout>
              <c:xMode val="edge"/>
              <c:yMode val="edge"/>
              <c:x val="0.24633716326256183"/>
              <c:y val="0.858352344648892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25528"/>
        <c:crosses val="autoZero"/>
        <c:auto val="1"/>
        <c:lblAlgn val="ctr"/>
        <c:lblOffset val="100"/>
        <c:noMultiLvlLbl val="0"/>
      </c:catAx>
      <c:valAx>
        <c:axId val="721225528"/>
        <c:scaling>
          <c:orientation val="minMax"/>
          <c:max val="15.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21229056"/>
        <c:crosses val="autoZero"/>
        <c:crossBetween val="between"/>
      </c:val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6421820511873"/>
          <c:y val="4.8704892627850341E-2"/>
          <c:w val="0.80239978805466217"/>
          <c:h val="0.6572831595076517"/>
        </c:manualLayout>
      </c:layout>
      <c:barChart>
        <c:barDir val="col"/>
        <c:grouping val="clustered"/>
        <c:varyColors val="0"/>
        <c:ser>
          <c:idx val="0"/>
          <c:order val="0"/>
          <c:tx>
            <c:strRef>
              <c:f>Sheet1!$C$86</c:f>
              <c:strCache>
                <c:ptCount val="1"/>
                <c:pt idx="0">
                  <c:v>0</c:v>
                </c:pt>
              </c:strCache>
            </c:strRef>
          </c:tx>
          <c:spPr>
            <a:solidFill>
              <a:schemeClr val="accent1"/>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Sheet1!$C$87:$C$94</c:f>
              <c:numCache>
                <c:formatCode>General</c:formatCode>
                <c:ptCount val="8"/>
                <c:pt idx="0">
                  <c:v>4.3</c:v>
                </c:pt>
                <c:pt idx="1">
                  <c:v>4.3</c:v>
                </c:pt>
                <c:pt idx="2">
                  <c:v>15.6</c:v>
                </c:pt>
                <c:pt idx="3">
                  <c:v>1.7</c:v>
                </c:pt>
                <c:pt idx="4">
                  <c:v>8.4</c:v>
                </c:pt>
                <c:pt idx="5">
                  <c:v>2.9</c:v>
                </c:pt>
                <c:pt idx="6">
                  <c:v>3.2</c:v>
                </c:pt>
                <c:pt idx="7">
                  <c:v>5.8</c:v>
                </c:pt>
              </c:numCache>
            </c:numRef>
          </c:val>
          <c:extLst>
            <c:ext xmlns:c16="http://schemas.microsoft.com/office/drawing/2014/chart" uri="{C3380CC4-5D6E-409C-BE32-E72D297353CC}">
              <c16:uniqueId val="{00000000-6809-4DEA-91CF-9B9CEC5BB4AF}"/>
            </c:ext>
          </c:extLst>
        </c:ser>
        <c:ser>
          <c:idx val="1"/>
          <c:order val="1"/>
          <c:tx>
            <c:strRef>
              <c:f>Sheet1!$D$86</c:f>
              <c:strCache>
                <c:ptCount val="1"/>
                <c:pt idx="0">
                  <c:v>75</c:v>
                </c:pt>
              </c:strCache>
            </c:strRef>
          </c:tx>
          <c:spPr>
            <a:solidFill>
              <a:schemeClr val="accent2"/>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Sheet1!$D$87:$D$94</c:f>
              <c:numCache>
                <c:formatCode>General</c:formatCode>
                <c:ptCount val="8"/>
                <c:pt idx="0">
                  <c:v>3.2</c:v>
                </c:pt>
                <c:pt idx="1">
                  <c:v>4.5999999999999996</c:v>
                </c:pt>
                <c:pt idx="2">
                  <c:v>12.6</c:v>
                </c:pt>
                <c:pt idx="3">
                  <c:v>1.9000000000000001</c:v>
                </c:pt>
                <c:pt idx="4">
                  <c:v>7</c:v>
                </c:pt>
                <c:pt idx="5">
                  <c:v>2</c:v>
                </c:pt>
                <c:pt idx="6">
                  <c:v>2.8</c:v>
                </c:pt>
                <c:pt idx="7">
                  <c:v>4.9000000000000004</c:v>
                </c:pt>
              </c:numCache>
            </c:numRef>
          </c:val>
          <c:extLst>
            <c:ext xmlns:c16="http://schemas.microsoft.com/office/drawing/2014/chart" uri="{C3380CC4-5D6E-409C-BE32-E72D297353CC}">
              <c16:uniqueId val="{00000001-6809-4DEA-91CF-9B9CEC5BB4AF}"/>
            </c:ext>
          </c:extLst>
        </c:ser>
        <c:ser>
          <c:idx val="2"/>
          <c:order val="2"/>
          <c:tx>
            <c:strRef>
              <c:f>Sheet1!$E$86</c:f>
              <c:strCache>
                <c:ptCount val="1"/>
                <c:pt idx="0">
                  <c:v>150</c:v>
                </c:pt>
              </c:strCache>
            </c:strRef>
          </c:tx>
          <c:spPr>
            <a:solidFill>
              <a:schemeClr val="accent3"/>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Sheet1!$E$87:$E$94</c:f>
              <c:numCache>
                <c:formatCode>General</c:formatCode>
                <c:ptCount val="8"/>
                <c:pt idx="0">
                  <c:v>2.2000000000000002</c:v>
                </c:pt>
                <c:pt idx="1">
                  <c:v>2.8</c:v>
                </c:pt>
                <c:pt idx="2">
                  <c:v>9.6</c:v>
                </c:pt>
                <c:pt idx="3">
                  <c:v>2.2000000000000002</c:v>
                </c:pt>
                <c:pt idx="4">
                  <c:v>6.2</c:v>
                </c:pt>
                <c:pt idx="5">
                  <c:v>1.7</c:v>
                </c:pt>
                <c:pt idx="6">
                  <c:v>2.5</c:v>
                </c:pt>
                <c:pt idx="7">
                  <c:v>3.9</c:v>
                </c:pt>
              </c:numCache>
            </c:numRef>
          </c:val>
          <c:extLst>
            <c:ext xmlns:c16="http://schemas.microsoft.com/office/drawing/2014/chart" uri="{C3380CC4-5D6E-409C-BE32-E72D297353CC}">
              <c16:uniqueId val="{00000002-6809-4DEA-91CF-9B9CEC5BB4AF}"/>
            </c:ext>
          </c:extLst>
        </c:ser>
        <c:ser>
          <c:idx val="3"/>
          <c:order val="3"/>
          <c:tx>
            <c:strRef>
              <c:f>Sheet1!$F$86</c:f>
              <c:strCache>
                <c:ptCount val="1"/>
                <c:pt idx="0">
                  <c:v>225</c:v>
                </c:pt>
              </c:strCache>
            </c:strRef>
          </c:tx>
          <c:spPr>
            <a:solidFill>
              <a:schemeClr val="accent4"/>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Sheet1!$F$87:$F$94</c:f>
              <c:numCache>
                <c:formatCode>General</c:formatCode>
                <c:ptCount val="8"/>
                <c:pt idx="0">
                  <c:v>2.1</c:v>
                </c:pt>
                <c:pt idx="1">
                  <c:v>2.2999999999999998</c:v>
                </c:pt>
                <c:pt idx="2">
                  <c:v>10</c:v>
                </c:pt>
                <c:pt idx="3">
                  <c:v>2.2999999999999998</c:v>
                </c:pt>
                <c:pt idx="4">
                  <c:v>5.3</c:v>
                </c:pt>
                <c:pt idx="5">
                  <c:v>1.5</c:v>
                </c:pt>
                <c:pt idx="6">
                  <c:v>2.2000000000000002</c:v>
                </c:pt>
                <c:pt idx="7">
                  <c:v>3.7</c:v>
                </c:pt>
              </c:numCache>
            </c:numRef>
          </c:val>
          <c:extLst>
            <c:ext xmlns:c16="http://schemas.microsoft.com/office/drawing/2014/chart" uri="{C3380CC4-5D6E-409C-BE32-E72D297353CC}">
              <c16:uniqueId val="{00000003-6809-4DEA-91CF-9B9CEC5BB4AF}"/>
            </c:ext>
          </c:extLst>
        </c:ser>
        <c:ser>
          <c:idx val="4"/>
          <c:order val="4"/>
          <c:tx>
            <c:strRef>
              <c:f>Sheet1!$G$86</c:f>
              <c:strCache>
                <c:ptCount val="1"/>
                <c:pt idx="0">
                  <c:v>300</c:v>
                </c:pt>
              </c:strCache>
            </c:strRef>
          </c:tx>
          <c:spPr>
            <a:solidFill>
              <a:schemeClr val="accent5"/>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Sheet1!$G$87:$G$94</c:f>
              <c:numCache>
                <c:formatCode>General</c:formatCode>
                <c:ptCount val="8"/>
                <c:pt idx="0">
                  <c:v>2</c:v>
                </c:pt>
                <c:pt idx="1">
                  <c:v>2.1</c:v>
                </c:pt>
                <c:pt idx="2">
                  <c:v>8.8000000000000007</c:v>
                </c:pt>
                <c:pt idx="3">
                  <c:v>2.4</c:v>
                </c:pt>
                <c:pt idx="4">
                  <c:v>4.4000000000000004</c:v>
                </c:pt>
                <c:pt idx="5">
                  <c:v>1.3</c:v>
                </c:pt>
                <c:pt idx="6">
                  <c:v>1.5</c:v>
                </c:pt>
                <c:pt idx="7">
                  <c:v>3.2</c:v>
                </c:pt>
              </c:numCache>
            </c:numRef>
          </c:val>
          <c:extLst>
            <c:ext xmlns:c16="http://schemas.microsoft.com/office/drawing/2014/chart" uri="{C3380CC4-5D6E-409C-BE32-E72D297353CC}">
              <c16:uniqueId val="{00000004-6809-4DEA-91CF-9B9CEC5BB4AF}"/>
            </c:ext>
          </c:extLst>
        </c:ser>
        <c:dLbls>
          <c:showLegendKey val="0"/>
          <c:showVal val="0"/>
          <c:showCatName val="0"/>
          <c:showSerName val="0"/>
          <c:showPercent val="0"/>
          <c:showBubbleSize val="0"/>
        </c:dLbls>
        <c:gapWidth val="300"/>
        <c:axId val="721223568"/>
        <c:axId val="721223960"/>
      </c:barChart>
      <c:lineChart>
        <c:grouping val="standard"/>
        <c:varyColors val="0"/>
        <c:ser>
          <c:idx val="5"/>
          <c:order val="5"/>
          <c:tx>
            <c:strRef>
              <c:f>Sheet1!$H$86</c:f>
              <c:strCache>
                <c:ptCount val="1"/>
              </c:strCache>
            </c:strRef>
          </c:tx>
          <c:spPr>
            <a:ln w="28575" cap="rnd">
              <a:noFill/>
              <a:round/>
            </a:ln>
            <a:effectLst/>
          </c:spPr>
          <c:marker>
            <c:symbol val="none"/>
          </c:marker>
          <c:errBars>
            <c:errDir val="y"/>
            <c:errBarType val="both"/>
            <c:errValType val="cust"/>
            <c:noEndCap val="0"/>
            <c:plus>
              <c:numRef>
                <c:f>Sheet1!$I$87:$I$94</c:f>
                <c:numCache>
                  <c:formatCode>General</c:formatCode>
                  <c:ptCount val="8"/>
                  <c:pt idx="0">
                    <c:v>0.4</c:v>
                  </c:pt>
                  <c:pt idx="1">
                    <c:v>0.35000000000000031</c:v>
                  </c:pt>
                  <c:pt idx="2">
                    <c:v>0.8</c:v>
                  </c:pt>
                  <c:pt idx="3">
                    <c:v>0.30000000000000032</c:v>
                  </c:pt>
                  <c:pt idx="4">
                    <c:v>0.35000000000000031</c:v>
                  </c:pt>
                  <c:pt idx="5">
                    <c:v>0.05</c:v>
                  </c:pt>
                  <c:pt idx="6">
                    <c:v>0.15000000000000016</c:v>
                  </c:pt>
                  <c:pt idx="7">
                    <c:v>0.15000000000000016</c:v>
                  </c:pt>
                </c:numCache>
              </c:numRef>
            </c:plus>
            <c:minus>
              <c:numRef>
                <c:f>Sheet1!$I$87:$I$94</c:f>
                <c:numCache>
                  <c:formatCode>General</c:formatCode>
                  <c:ptCount val="8"/>
                  <c:pt idx="0">
                    <c:v>0.4</c:v>
                  </c:pt>
                  <c:pt idx="1">
                    <c:v>0.35000000000000031</c:v>
                  </c:pt>
                  <c:pt idx="2">
                    <c:v>0.8</c:v>
                  </c:pt>
                  <c:pt idx="3">
                    <c:v>0.30000000000000032</c:v>
                  </c:pt>
                  <c:pt idx="4">
                    <c:v>0.35000000000000031</c:v>
                  </c:pt>
                  <c:pt idx="5">
                    <c:v>0.05</c:v>
                  </c:pt>
                  <c:pt idx="6">
                    <c:v>0.15000000000000016</c:v>
                  </c:pt>
                  <c:pt idx="7">
                    <c:v>0.15000000000000016</c:v>
                  </c:pt>
                </c:numCache>
              </c:numRef>
            </c:minus>
            <c:spPr>
              <a:noFill/>
              <a:ln w="9525" cap="flat" cmpd="sng" algn="ctr">
                <a:solidFill>
                  <a:schemeClr val="tx1">
                    <a:lumMod val="65000"/>
                    <a:lumOff val="35000"/>
                  </a:schemeClr>
                </a:solidFill>
                <a:round/>
              </a:ln>
              <a:effectLst/>
            </c:spPr>
          </c:errBars>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Sheet1!$H$87:$H$94</c:f>
              <c:numCache>
                <c:formatCode>General</c:formatCode>
                <c:ptCount val="8"/>
                <c:pt idx="0">
                  <c:v>3</c:v>
                </c:pt>
                <c:pt idx="1">
                  <c:v>4</c:v>
                </c:pt>
                <c:pt idx="2">
                  <c:v>12</c:v>
                </c:pt>
                <c:pt idx="3">
                  <c:v>3</c:v>
                </c:pt>
                <c:pt idx="4">
                  <c:v>7</c:v>
                </c:pt>
                <c:pt idx="5">
                  <c:v>2</c:v>
                </c:pt>
                <c:pt idx="6">
                  <c:v>3</c:v>
                </c:pt>
                <c:pt idx="7">
                  <c:v>5</c:v>
                </c:pt>
              </c:numCache>
            </c:numRef>
          </c:val>
          <c:smooth val="0"/>
          <c:extLst>
            <c:ext xmlns:c16="http://schemas.microsoft.com/office/drawing/2014/chart" uri="{C3380CC4-5D6E-409C-BE32-E72D297353CC}">
              <c16:uniqueId val="{00000005-6809-4DEA-91CF-9B9CEC5BB4AF}"/>
            </c:ext>
          </c:extLst>
        </c:ser>
        <c:dLbls>
          <c:showLegendKey val="0"/>
          <c:showVal val="0"/>
          <c:showCatName val="0"/>
          <c:showSerName val="0"/>
          <c:showPercent val="0"/>
          <c:showBubbleSize val="0"/>
        </c:dLbls>
        <c:marker val="1"/>
        <c:smooth val="0"/>
        <c:axId val="721223568"/>
        <c:axId val="721223960"/>
      </c:lineChart>
      <c:catAx>
        <c:axId val="721223568"/>
        <c:scaling>
          <c:orientation val="minMax"/>
        </c:scaling>
        <c:delete val="0"/>
        <c:axPos val="b"/>
        <c:title>
          <c:tx>
            <c:rich>
              <a:bodyPr rot="0" vert="horz"/>
              <a:lstStyle/>
              <a:p>
                <a:pPr>
                  <a:defRPr b="0"/>
                </a:pPr>
                <a:r>
                  <a:rPr lang="en-US" b="0"/>
                  <a:t>Site (bars are LSDs, p≤0.05)</a:t>
                </a:r>
              </a:p>
            </c:rich>
          </c:tx>
          <c:layout>
            <c:manualLayout>
              <c:xMode val="edge"/>
              <c:yMode val="edge"/>
              <c:x val="5.1166931598338947E-2"/>
              <c:y val="0.849584857903388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23960"/>
        <c:crosses val="autoZero"/>
        <c:auto val="1"/>
        <c:lblAlgn val="ctr"/>
        <c:lblOffset val="100"/>
        <c:noMultiLvlLbl val="0"/>
      </c:catAx>
      <c:valAx>
        <c:axId val="721223960"/>
        <c:scaling>
          <c:orientation val="minMax"/>
          <c:max val="16"/>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21223568"/>
        <c:crosses val="autoZero"/>
        <c:crossBetween val="between"/>
      </c:valAx>
      <c:spPr>
        <a:noFill/>
        <a:ln>
          <a:noFill/>
        </a:ln>
        <a:effectLst/>
      </c:spPr>
    </c:plotArea>
    <c:legend>
      <c:legendPos val="b"/>
      <c:layout>
        <c:manualLayout>
          <c:xMode val="edge"/>
          <c:yMode val="edge"/>
          <c:x val="3.2448584771973904E-2"/>
          <c:y val="0.91245844656843178"/>
          <c:w val="0.44996981011176418"/>
          <c:h val="6.540296587345444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3317231362828"/>
          <c:y val="4.8704892627850341E-2"/>
          <c:w val="0.75732611478106782"/>
          <c:h val="0.67056631204252004"/>
        </c:manualLayout>
      </c:layout>
      <c:barChart>
        <c:barDir val="col"/>
        <c:grouping val="clustered"/>
        <c:varyColors val="0"/>
        <c:ser>
          <c:idx val="0"/>
          <c:order val="0"/>
          <c:tx>
            <c:strRef>
              <c:f>Sheet1!$L$86</c:f>
              <c:strCache>
                <c:ptCount val="1"/>
                <c:pt idx="0">
                  <c:v>0</c:v>
                </c:pt>
              </c:strCache>
            </c:strRef>
          </c:tx>
          <c:spPr>
            <a:solidFill>
              <a:schemeClr val="accent1"/>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Sheet1!$L$87:$L$94</c:f>
              <c:numCache>
                <c:formatCode>General</c:formatCode>
                <c:ptCount val="8"/>
                <c:pt idx="0">
                  <c:v>4.8</c:v>
                </c:pt>
                <c:pt idx="1">
                  <c:v>3.2</c:v>
                </c:pt>
                <c:pt idx="2">
                  <c:v>16.399999999999999</c:v>
                </c:pt>
                <c:pt idx="3">
                  <c:v>1.3</c:v>
                </c:pt>
                <c:pt idx="4">
                  <c:v>15.9</c:v>
                </c:pt>
                <c:pt idx="5">
                  <c:v>2.8</c:v>
                </c:pt>
                <c:pt idx="6">
                  <c:v>5.4</c:v>
                </c:pt>
                <c:pt idx="7">
                  <c:v>7.1</c:v>
                </c:pt>
              </c:numCache>
            </c:numRef>
          </c:val>
          <c:extLst>
            <c:ext xmlns:c16="http://schemas.microsoft.com/office/drawing/2014/chart" uri="{C3380CC4-5D6E-409C-BE32-E72D297353CC}">
              <c16:uniqueId val="{00000000-25FC-4B76-8B51-347D3D933359}"/>
            </c:ext>
          </c:extLst>
        </c:ser>
        <c:ser>
          <c:idx val="1"/>
          <c:order val="1"/>
          <c:tx>
            <c:strRef>
              <c:f>Sheet1!$M$86</c:f>
              <c:strCache>
                <c:ptCount val="1"/>
                <c:pt idx="0">
                  <c:v>75</c:v>
                </c:pt>
              </c:strCache>
            </c:strRef>
          </c:tx>
          <c:spPr>
            <a:solidFill>
              <a:schemeClr val="accent2"/>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Sheet1!$M$87:$M$94</c:f>
              <c:numCache>
                <c:formatCode>General</c:formatCode>
                <c:ptCount val="8"/>
                <c:pt idx="0">
                  <c:v>3.4</c:v>
                </c:pt>
                <c:pt idx="1">
                  <c:v>3</c:v>
                </c:pt>
                <c:pt idx="2">
                  <c:v>13.8</c:v>
                </c:pt>
                <c:pt idx="3">
                  <c:v>1.9000000000000001</c:v>
                </c:pt>
                <c:pt idx="4">
                  <c:v>14</c:v>
                </c:pt>
                <c:pt idx="5">
                  <c:v>3.4</c:v>
                </c:pt>
                <c:pt idx="6">
                  <c:v>4</c:v>
                </c:pt>
                <c:pt idx="7">
                  <c:v>6.2</c:v>
                </c:pt>
              </c:numCache>
            </c:numRef>
          </c:val>
          <c:extLst>
            <c:ext xmlns:c16="http://schemas.microsoft.com/office/drawing/2014/chart" uri="{C3380CC4-5D6E-409C-BE32-E72D297353CC}">
              <c16:uniqueId val="{00000001-25FC-4B76-8B51-347D3D933359}"/>
            </c:ext>
          </c:extLst>
        </c:ser>
        <c:ser>
          <c:idx val="2"/>
          <c:order val="2"/>
          <c:tx>
            <c:strRef>
              <c:f>Sheet1!$N$86</c:f>
              <c:strCache>
                <c:ptCount val="1"/>
                <c:pt idx="0">
                  <c:v>150</c:v>
                </c:pt>
              </c:strCache>
            </c:strRef>
          </c:tx>
          <c:spPr>
            <a:solidFill>
              <a:schemeClr val="accent3"/>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Sheet1!$N$87:$N$94</c:f>
              <c:numCache>
                <c:formatCode>General</c:formatCode>
                <c:ptCount val="8"/>
                <c:pt idx="0">
                  <c:v>2.2999999999999998</c:v>
                </c:pt>
                <c:pt idx="1">
                  <c:v>3</c:v>
                </c:pt>
                <c:pt idx="2">
                  <c:v>10.7</c:v>
                </c:pt>
                <c:pt idx="3">
                  <c:v>2.2999999999999998</c:v>
                </c:pt>
                <c:pt idx="4">
                  <c:v>12.6</c:v>
                </c:pt>
                <c:pt idx="5">
                  <c:v>2.1</c:v>
                </c:pt>
                <c:pt idx="6">
                  <c:v>3.5</c:v>
                </c:pt>
                <c:pt idx="7">
                  <c:v>5.2</c:v>
                </c:pt>
              </c:numCache>
            </c:numRef>
          </c:val>
          <c:extLst>
            <c:ext xmlns:c16="http://schemas.microsoft.com/office/drawing/2014/chart" uri="{C3380CC4-5D6E-409C-BE32-E72D297353CC}">
              <c16:uniqueId val="{00000002-25FC-4B76-8B51-347D3D933359}"/>
            </c:ext>
          </c:extLst>
        </c:ser>
        <c:ser>
          <c:idx val="3"/>
          <c:order val="3"/>
          <c:tx>
            <c:strRef>
              <c:f>Sheet1!$O$86</c:f>
              <c:strCache>
                <c:ptCount val="1"/>
                <c:pt idx="0">
                  <c:v>225</c:v>
                </c:pt>
              </c:strCache>
            </c:strRef>
          </c:tx>
          <c:spPr>
            <a:solidFill>
              <a:schemeClr val="accent4"/>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Sheet1!$O$87:$O$94</c:f>
              <c:numCache>
                <c:formatCode>General</c:formatCode>
                <c:ptCount val="8"/>
                <c:pt idx="0">
                  <c:v>2.7</c:v>
                </c:pt>
                <c:pt idx="1">
                  <c:v>2.7</c:v>
                </c:pt>
                <c:pt idx="2">
                  <c:v>12.4</c:v>
                </c:pt>
                <c:pt idx="3">
                  <c:v>2.2999999999999998</c:v>
                </c:pt>
                <c:pt idx="4">
                  <c:v>12.2</c:v>
                </c:pt>
                <c:pt idx="5">
                  <c:v>1.7</c:v>
                </c:pt>
                <c:pt idx="6">
                  <c:v>2.8</c:v>
                </c:pt>
                <c:pt idx="7">
                  <c:v>5.3</c:v>
                </c:pt>
              </c:numCache>
            </c:numRef>
          </c:val>
          <c:extLst>
            <c:ext xmlns:c16="http://schemas.microsoft.com/office/drawing/2014/chart" uri="{C3380CC4-5D6E-409C-BE32-E72D297353CC}">
              <c16:uniqueId val="{00000003-25FC-4B76-8B51-347D3D933359}"/>
            </c:ext>
          </c:extLst>
        </c:ser>
        <c:ser>
          <c:idx val="4"/>
          <c:order val="4"/>
          <c:tx>
            <c:strRef>
              <c:f>Sheet1!$P$86</c:f>
              <c:strCache>
                <c:ptCount val="1"/>
                <c:pt idx="0">
                  <c:v>300</c:v>
                </c:pt>
              </c:strCache>
            </c:strRef>
          </c:tx>
          <c:spPr>
            <a:solidFill>
              <a:schemeClr val="accent5"/>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Sheet1!$P$87:$P$94</c:f>
              <c:numCache>
                <c:formatCode>General</c:formatCode>
                <c:ptCount val="8"/>
                <c:pt idx="0">
                  <c:v>2.8</c:v>
                </c:pt>
                <c:pt idx="1">
                  <c:v>2.7</c:v>
                </c:pt>
                <c:pt idx="2">
                  <c:v>9.1</c:v>
                </c:pt>
                <c:pt idx="3">
                  <c:v>2.7</c:v>
                </c:pt>
                <c:pt idx="4">
                  <c:v>8.3000000000000007</c:v>
                </c:pt>
                <c:pt idx="5">
                  <c:v>1.4</c:v>
                </c:pt>
                <c:pt idx="6">
                  <c:v>2.2999999999999998</c:v>
                </c:pt>
                <c:pt idx="7">
                  <c:v>4.2</c:v>
                </c:pt>
              </c:numCache>
            </c:numRef>
          </c:val>
          <c:extLst>
            <c:ext xmlns:c16="http://schemas.microsoft.com/office/drawing/2014/chart" uri="{C3380CC4-5D6E-409C-BE32-E72D297353CC}">
              <c16:uniqueId val="{00000004-25FC-4B76-8B51-347D3D933359}"/>
            </c:ext>
          </c:extLst>
        </c:ser>
        <c:dLbls>
          <c:showLegendKey val="0"/>
          <c:showVal val="0"/>
          <c:showCatName val="0"/>
          <c:showSerName val="0"/>
          <c:showPercent val="0"/>
          <c:showBubbleSize val="0"/>
        </c:dLbls>
        <c:gapWidth val="300"/>
        <c:axId val="721229448"/>
        <c:axId val="721224352"/>
      </c:barChart>
      <c:lineChart>
        <c:grouping val="standard"/>
        <c:varyColors val="0"/>
        <c:ser>
          <c:idx val="5"/>
          <c:order val="5"/>
          <c:tx>
            <c:strRef>
              <c:f>Sheet1!$Q$86</c:f>
              <c:strCache>
                <c:ptCount val="1"/>
              </c:strCache>
            </c:strRef>
          </c:tx>
          <c:spPr>
            <a:ln w="28575" cap="rnd">
              <a:noFill/>
              <a:round/>
            </a:ln>
            <a:effectLst/>
          </c:spPr>
          <c:marker>
            <c:symbol val="none"/>
          </c:marker>
          <c:errBars>
            <c:errDir val="y"/>
            <c:errBarType val="both"/>
            <c:errValType val="cust"/>
            <c:noEndCap val="0"/>
            <c:plus>
              <c:numRef>
                <c:f>Sheet1!$R$87:$R$94</c:f>
                <c:numCache>
                  <c:formatCode>General</c:formatCode>
                  <c:ptCount val="8"/>
                  <c:pt idx="0">
                    <c:v>0.60000000000000064</c:v>
                  </c:pt>
                  <c:pt idx="1">
                    <c:v>0.35000000000000031</c:v>
                  </c:pt>
                  <c:pt idx="2">
                    <c:v>1.85</c:v>
                  </c:pt>
                  <c:pt idx="3">
                    <c:v>0.30000000000000032</c:v>
                  </c:pt>
                  <c:pt idx="4">
                    <c:v>0.5</c:v>
                  </c:pt>
                  <c:pt idx="5">
                    <c:v>0.30000000000000032</c:v>
                  </c:pt>
                  <c:pt idx="6">
                    <c:v>0.05</c:v>
                  </c:pt>
                  <c:pt idx="7">
                    <c:v>0.30000000000000032</c:v>
                  </c:pt>
                </c:numCache>
              </c:numRef>
            </c:plus>
            <c:minus>
              <c:numRef>
                <c:f>Sheet1!$R$87:$R$94</c:f>
                <c:numCache>
                  <c:formatCode>General</c:formatCode>
                  <c:ptCount val="8"/>
                  <c:pt idx="0">
                    <c:v>0.60000000000000064</c:v>
                  </c:pt>
                  <c:pt idx="1">
                    <c:v>0.35000000000000031</c:v>
                  </c:pt>
                  <c:pt idx="2">
                    <c:v>1.85</c:v>
                  </c:pt>
                  <c:pt idx="3">
                    <c:v>0.30000000000000032</c:v>
                  </c:pt>
                  <c:pt idx="4">
                    <c:v>0.5</c:v>
                  </c:pt>
                  <c:pt idx="5">
                    <c:v>0.30000000000000032</c:v>
                  </c:pt>
                  <c:pt idx="6">
                    <c:v>0.05</c:v>
                  </c:pt>
                  <c:pt idx="7">
                    <c:v>0.30000000000000032</c:v>
                  </c:pt>
                </c:numCache>
              </c:numRef>
            </c:minus>
            <c:spPr>
              <a:noFill/>
              <a:ln w="9525" cap="flat" cmpd="sng" algn="ctr">
                <a:solidFill>
                  <a:schemeClr val="tx1">
                    <a:lumMod val="65000"/>
                    <a:lumOff val="35000"/>
                  </a:schemeClr>
                </a:solidFill>
                <a:round/>
              </a:ln>
              <a:effectLst/>
            </c:spPr>
          </c:errBars>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Sheet1!$Q$87:$Q$94</c:f>
              <c:numCache>
                <c:formatCode>General</c:formatCode>
                <c:ptCount val="8"/>
                <c:pt idx="0">
                  <c:v>4</c:v>
                </c:pt>
                <c:pt idx="1">
                  <c:v>3.5</c:v>
                </c:pt>
                <c:pt idx="2">
                  <c:v>14</c:v>
                </c:pt>
                <c:pt idx="3">
                  <c:v>3</c:v>
                </c:pt>
                <c:pt idx="4">
                  <c:v>13.5</c:v>
                </c:pt>
                <c:pt idx="5">
                  <c:v>3</c:v>
                </c:pt>
                <c:pt idx="6">
                  <c:v>4.5</c:v>
                </c:pt>
                <c:pt idx="7">
                  <c:v>6</c:v>
                </c:pt>
              </c:numCache>
            </c:numRef>
          </c:val>
          <c:smooth val="0"/>
          <c:extLst>
            <c:ext xmlns:c16="http://schemas.microsoft.com/office/drawing/2014/chart" uri="{C3380CC4-5D6E-409C-BE32-E72D297353CC}">
              <c16:uniqueId val="{00000005-25FC-4B76-8B51-347D3D933359}"/>
            </c:ext>
          </c:extLst>
        </c:ser>
        <c:dLbls>
          <c:showLegendKey val="0"/>
          <c:showVal val="0"/>
          <c:showCatName val="0"/>
          <c:showSerName val="0"/>
          <c:showPercent val="0"/>
          <c:showBubbleSize val="0"/>
        </c:dLbls>
        <c:marker val="1"/>
        <c:smooth val="0"/>
        <c:axId val="721229448"/>
        <c:axId val="721224352"/>
      </c:lineChart>
      <c:catAx>
        <c:axId val="721229448"/>
        <c:scaling>
          <c:orientation val="minMax"/>
        </c:scaling>
        <c:delete val="0"/>
        <c:axPos val="b"/>
        <c:title>
          <c:tx>
            <c:rich>
              <a:bodyPr rot="0" vert="horz"/>
              <a:lstStyle/>
              <a:p>
                <a:pPr>
                  <a:defRPr b="0"/>
                </a:pPr>
                <a:r>
                  <a:rPr lang="en-US" b="0"/>
                  <a:t>Site (bars are LSDs, p≤0.05)</a:t>
                </a:r>
              </a:p>
            </c:rich>
          </c:tx>
          <c:layout>
            <c:manualLayout>
              <c:xMode val="edge"/>
              <c:yMode val="edge"/>
              <c:x val="2.8140518295208809E-2"/>
              <c:y val="0.870048582868916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24352"/>
        <c:crosses val="autoZero"/>
        <c:auto val="1"/>
        <c:lblAlgn val="ctr"/>
        <c:lblOffset val="100"/>
        <c:noMultiLvlLbl val="0"/>
      </c:catAx>
      <c:valAx>
        <c:axId val="721224352"/>
        <c:scaling>
          <c:orientation val="minMax"/>
          <c:max val="16.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21229448"/>
        <c:crosses val="autoZero"/>
        <c:crossBetween val="between"/>
      </c:valAx>
      <c:spPr>
        <a:noFill/>
        <a:ln w="25400">
          <a:noFill/>
        </a:ln>
        <a:effectLst/>
      </c:spPr>
    </c:plotArea>
    <c:legend>
      <c:legendPos val="b"/>
      <c:layout>
        <c:manualLayout>
          <c:xMode val="edge"/>
          <c:yMode val="edge"/>
          <c:x val="4.2201139931590581E-2"/>
          <c:y val="0.92052456250141645"/>
          <c:w val="0.589207001905522"/>
          <c:h val="7.062000247533813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6421820511873"/>
          <c:y val="5.0389372423270726E-2"/>
          <c:w val="0.80239978805466217"/>
          <c:h val="0.63640009955237509"/>
        </c:manualLayout>
      </c:layout>
      <c:barChart>
        <c:barDir val="col"/>
        <c:grouping val="clustered"/>
        <c:varyColors val="0"/>
        <c:ser>
          <c:idx val="0"/>
          <c:order val="0"/>
          <c:tx>
            <c:strRef>
              <c:f>Sheet1!$U$86</c:f>
              <c:strCache>
                <c:ptCount val="1"/>
                <c:pt idx="0">
                  <c:v>0</c:v>
                </c:pt>
              </c:strCache>
            </c:strRef>
          </c:tx>
          <c:spPr>
            <a:solidFill>
              <a:schemeClr val="accent1"/>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Sheet1!$U$87:$U$94</c:f>
              <c:numCache>
                <c:formatCode>General</c:formatCode>
                <c:ptCount val="8"/>
                <c:pt idx="0">
                  <c:v>4.5999999999999996</c:v>
                </c:pt>
                <c:pt idx="1">
                  <c:v>3.6</c:v>
                </c:pt>
                <c:pt idx="2">
                  <c:v>11</c:v>
                </c:pt>
                <c:pt idx="3">
                  <c:v>1.2</c:v>
                </c:pt>
                <c:pt idx="4">
                  <c:v>15.2</c:v>
                </c:pt>
                <c:pt idx="5">
                  <c:v>4</c:v>
                </c:pt>
                <c:pt idx="6">
                  <c:v>3.5</c:v>
                </c:pt>
                <c:pt idx="7">
                  <c:v>6.2</c:v>
                </c:pt>
              </c:numCache>
            </c:numRef>
          </c:val>
          <c:extLst>
            <c:ext xmlns:c16="http://schemas.microsoft.com/office/drawing/2014/chart" uri="{C3380CC4-5D6E-409C-BE32-E72D297353CC}">
              <c16:uniqueId val="{00000000-1390-4363-A4D7-450457921DD6}"/>
            </c:ext>
          </c:extLst>
        </c:ser>
        <c:ser>
          <c:idx val="1"/>
          <c:order val="1"/>
          <c:tx>
            <c:strRef>
              <c:f>Sheet1!$V$86</c:f>
              <c:strCache>
                <c:ptCount val="1"/>
                <c:pt idx="0">
                  <c:v>75</c:v>
                </c:pt>
              </c:strCache>
            </c:strRef>
          </c:tx>
          <c:spPr>
            <a:solidFill>
              <a:schemeClr val="accent2"/>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Sheet1!$V$87:$V$94</c:f>
              <c:numCache>
                <c:formatCode>General</c:formatCode>
                <c:ptCount val="8"/>
                <c:pt idx="0">
                  <c:v>5.6</c:v>
                </c:pt>
                <c:pt idx="1">
                  <c:v>3.1</c:v>
                </c:pt>
                <c:pt idx="2">
                  <c:v>13</c:v>
                </c:pt>
                <c:pt idx="3">
                  <c:v>1.6</c:v>
                </c:pt>
                <c:pt idx="4">
                  <c:v>17.3</c:v>
                </c:pt>
                <c:pt idx="5">
                  <c:v>3.8</c:v>
                </c:pt>
                <c:pt idx="6">
                  <c:v>3</c:v>
                </c:pt>
                <c:pt idx="7">
                  <c:v>6.8</c:v>
                </c:pt>
              </c:numCache>
            </c:numRef>
          </c:val>
          <c:extLst>
            <c:ext xmlns:c16="http://schemas.microsoft.com/office/drawing/2014/chart" uri="{C3380CC4-5D6E-409C-BE32-E72D297353CC}">
              <c16:uniqueId val="{00000001-1390-4363-A4D7-450457921DD6}"/>
            </c:ext>
          </c:extLst>
        </c:ser>
        <c:ser>
          <c:idx val="2"/>
          <c:order val="2"/>
          <c:tx>
            <c:strRef>
              <c:f>Sheet1!$W$86</c:f>
              <c:strCache>
                <c:ptCount val="1"/>
                <c:pt idx="0">
                  <c:v>150</c:v>
                </c:pt>
              </c:strCache>
            </c:strRef>
          </c:tx>
          <c:spPr>
            <a:solidFill>
              <a:schemeClr val="accent3"/>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Sheet1!$W$87:$W$94</c:f>
              <c:numCache>
                <c:formatCode>General</c:formatCode>
                <c:ptCount val="8"/>
                <c:pt idx="0">
                  <c:v>3.7</c:v>
                </c:pt>
                <c:pt idx="1">
                  <c:v>2.7</c:v>
                </c:pt>
                <c:pt idx="2">
                  <c:v>10.3</c:v>
                </c:pt>
                <c:pt idx="3">
                  <c:v>1.9000000000000001</c:v>
                </c:pt>
                <c:pt idx="4">
                  <c:v>15.1</c:v>
                </c:pt>
                <c:pt idx="5">
                  <c:v>2.2000000000000002</c:v>
                </c:pt>
                <c:pt idx="6">
                  <c:v>2.6</c:v>
                </c:pt>
                <c:pt idx="7">
                  <c:v>5.5</c:v>
                </c:pt>
              </c:numCache>
            </c:numRef>
          </c:val>
          <c:extLst>
            <c:ext xmlns:c16="http://schemas.microsoft.com/office/drawing/2014/chart" uri="{C3380CC4-5D6E-409C-BE32-E72D297353CC}">
              <c16:uniqueId val="{00000002-1390-4363-A4D7-450457921DD6}"/>
            </c:ext>
          </c:extLst>
        </c:ser>
        <c:ser>
          <c:idx val="3"/>
          <c:order val="3"/>
          <c:tx>
            <c:strRef>
              <c:f>Sheet1!$X$86</c:f>
              <c:strCache>
                <c:ptCount val="1"/>
                <c:pt idx="0">
                  <c:v>225</c:v>
                </c:pt>
              </c:strCache>
            </c:strRef>
          </c:tx>
          <c:spPr>
            <a:solidFill>
              <a:schemeClr val="accent4"/>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Sheet1!$X$87:$X$94</c:f>
              <c:numCache>
                <c:formatCode>General</c:formatCode>
                <c:ptCount val="8"/>
                <c:pt idx="0">
                  <c:v>3.3</c:v>
                </c:pt>
                <c:pt idx="1">
                  <c:v>2</c:v>
                </c:pt>
                <c:pt idx="2">
                  <c:v>8.4</c:v>
                </c:pt>
                <c:pt idx="3">
                  <c:v>2.2000000000000002</c:v>
                </c:pt>
                <c:pt idx="4">
                  <c:v>12</c:v>
                </c:pt>
                <c:pt idx="5">
                  <c:v>2</c:v>
                </c:pt>
                <c:pt idx="6">
                  <c:v>3</c:v>
                </c:pt>
                <c:pt idx="7">
                  <c:v>4.7</c:v>
                </c:pt>
              </c:numCache>
            </c:numRef>
          </c:val>
          <c:extLst>
            <c:ext xmlns:c16="http://schemas.microsoft.com/office/drawing/2014/chart" uri="{C3380CC4-5D6E-409C-BE32-E72D297353CC}">
              <c16:uniqueId val="{00000003-1390-4363-A4D7-450457921DD6}"/>
            </c:ext>
          </c:extLst>
        </c:ser>
        <c:ser>
          <c:idx val="4"/>
          <c:order val="4"/>
          <c:tx>
            <c:strRef>
              <c:f>Sheet1!$Y$86</c:f>
              <c:strCache>
                <c:ptCount val="1"/>
                <c:pt idx="0">
                  <c:v>300</c:v>
                </c:pt>
              </c:strCache>
            </c:strRef>
          </c:tx>
          <c:spPr>
            <a:solidFill>
              <a:schemeClr val="accent5"/>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Sheet1!$Y$87:$Y$94</c:f>
              <c:numCache>
                <c:formatCode>General</c:formatCode>
                <c:ptCount val="8"/>
                <c:pt idx="0">
                  <c:v>2</c:v>
                </c:pt>
                <c:pt idx="1">
                  <c:v>1.7</c:v>
                </c:pt>
                <c:pt idx="2">
                  <c:v>4.9000000000000004</c:v>
                </c:pt>
                <c:pt idx="3">
                  <c:v>2.4</c:v>
                </c:pt>
                <c:pt idx="4">
                  <c:v>10.9</c:v>
                </c:pt>
                <c:pt idx="5">
                  <c:v>2.1</c:v>
                </c:pt>
                <c:pt idx="6">
                  <c:v>2</c:v>
                </c:pt>
                <c:pt idx="7">
                  <c:v>3.7</c:v>
                </c:pt>
              </c:numCache>
            </c:numRef>
          </c:val>
          <c:extLst>
            <c:ext xmlns:c16="http://schemas.microsoft.com/office/drawing/2014/chart" uri="{C3380CC4-5D6E-409C-BE32-E72D297353CC}">
              <c16:uniqueId val="{00000004-1390-4363-A4D7-450457921DD6}"/>
            </c:ext>
          </c:extLst>
        </c:ser>
        <c:ser>
          <c:idx val="5"/>
          <c:order val="5"/>
          <c:tx>
            <c:strRef>
              <c:f>Sheet1!$Z$86</c:f>
              <c:strCache>
                <c:ptCount val="1"/>
              </c:strCache>
            </c:strRef>
          </c:tx>
          <c:spPr>
            <a:solidFill>
              <a:schemeClr val="accent6"/>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Sheet1!$Z$87:$Z$94</c:f>
              <c:numCache>
                <c:formatCode>General</c:formatCode>
                <c:ptCount val="8"/>
                <c:pt idx="0">
                  <c:v>0.60000000000000064</c:v>
                </c:pt>
                <c:pt idx="1">
                  <c:v>0.30000000000000032</c:v>
                </c:pt>
                <c:pt idx="2">
                  <c:v>0.5</c:v>
                </c:pt>
                <c:pt idx="3">
                  <c:v>0.45</c:v>
                </c:pt>
                <c:pt idx="4">
                  <c:v>0.9</c:v>
                </c:pt>
                <c:pt idx="5">
                  <c:v>0.30000000000000032</c:v>
                </c:pt>
                <c:pt idx="6">
                  <c:v>0.05</c:v>
                </c:pt>
                <c:pt idx="7">
                  <c:v>0.2</c:v>
                </c:pt>
              </c:numCache>
            </c:numRef>
          </c:val>
          <c:extLst>
            <c:ext xmlns:c16="http://schemas.microsoft.com/office/drawing/2014/chart" uri="{C3380CC4-5D6E-409C-BE32-E72D297353CC}">
              <c16:uniqueId val="{00000005-1390-4363-A4D7-450457921DD6}"/>
            </c:ext>
          </c:extLst>
        </c:ser>
        <c:dLbls>
          <c:showLegendKey val="0"/>
          <c:showVal val="0"/>
          <c:showCatName val="0"/>
          <c:showSerName val="0"/>
          <c:showPercent val="0"/>
          <c:showBubbleSize val="0"/>
        </c:dLbls>
        <c:gapWidth val="300"/>
        <c:axId val="721226704"/>
        <c:axId val="721230232"/>
      </c:barChart>
      <c:lineChart>
        <c:grouping val="standard"/>
        <c:varyColors val="0"/>
        <c:ser>
          <c:idx val="6"/>
          <c:order val="6"/>
          <c:tx>
            <c:strRef>
              <c:f>Sheet1!$AA$86</c:f>
              <c:strCache>
                <c:ptCount val="1"/>
              </c:strCache>
            </c:strRef>
          </c:tx>
          <c:spPr>
            <a:ln w="28575" cap="rnd">
              <a:noFill/>
              <a:round/>
            </a:ln>
            <a:effectLst/>
          </c:spPr>
          <c:marker>
            <c:symbol val="none"/>
          </c:marker>
          <c:errBars>
            <c:errDir val="y"/>
            <c:errBarType val="both"/>
            <c:errValType val="cust"/>
            <c:noEndCap val="0"/>
            <c:plus>
              <c:numRef>
                <c:f>Sheet1!$AC$87:$AC$94</c:f>
                <c:numCache>
                  <c:formatCode>General</c:formatCode>
                  <c:ptCount val="8"/>
                  <c:pt idx="0">
                    <c:v>0.60000000000000064</c:v>
                  </c:pt>
                  <c:pt idx="1">
                    <c:v>0.30000000000000032</c:v>
                  </c:pt>
                  <c:pt idx="2">
                    <c:v>0.5</c:v>
                  </c:pt>
                  <c:pt idx="3">
                    <c:v>0.45</c:v>
                  </c:pt>
                  <c:pt idx="4">
                    <c:v>0.9</c:v>
                  </c:pt>
                  <c:pt idx="5">
                    <c:v>0.30000000000000032</c:v>
                  </c:pt>
                  <c:pt idx="6">
                    <c:v>0.05</c:v>
                  </c:pt>
                  <c:pt idx="7">
                    <c:v>0.2</c:v>
                  </c:pt>
                </c:numCache>
              </c:numRef>
            </c:plus>
            <c:minus>
              <c:numRef>
                <c:f>Sheet1!$AC$87:$AC$94</c:f>
                <c:numCache>
                  <c:formatCode>General</c:formatCode>
                  <c:ptCount val="8"/>
                  <c:pt idx="0">
                    <c:v>0.60000000000000064</c:v>
                  </c:pt>
                  <c:pt idx="1">
                    <c:v>0.30000000000000032</c:v>
                  </c:pt>
                  <c:pt idx="2">
                    <c:v>0.5</c:v>
                  </c:pt>
                  <c:pt idx="3">
                    <c:v>0.45</c:v>
                  </c:pt>
                  <c:pt idx="4">
                    <c:v>0.9</c:v>
                  </c:pt>
                  <c:pt idx="5">
                    <c:v>0.30000000000000032</c:v>
                  </c:pt>
                  <c:pt idx="6">
                    <c:v>0.05</c:v>
                  </c:pt>
                  <c:pt idx="7">
                    <c:v>0.2</c:v>
                  </c:pt>
                </c:numCache>
              </c:numRef>
            </c:minus>
            <c:spPr>
              <a:noFill/>
              <a:ln w="9525" cap="flat" cmpd="sng" algn="ctr">
                <a:solidFill>
                  <a:schemeClr val="tx1">
                    <a:lumMod val="65000"/>
                    <a:lumOff val="35000"/>
                  </a:schemeClr>
                </a:solidFill>
                <a:round/>
              </a:ln>
              <a:effectLst/>
            </c:spPr>
          </c:errBars>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Sheet1!$AA$87:$AA$94</c:f>
              <c:numCache>
                <c:formatCode>General</c:formatCode>
                <c:ptCount val="8"/>
                <c:pt idx="0">
                  <c:v>4.5</c:v>
                </c:pt>
                <c:pt idx="1">
                  <c:v>3</c:v>
                </c:pt>
                <c:pt idx="2">
                  <c:v>11</c:v>
                </c:pt>
                <c:pt idx="3">
                  <c:v>2.6</c:v>
                </c:pt>
                <c:pt idx="4">
                  <c:v>16</c:v>
                </c:pt>
                <c:pt idx="5">
                  <c:v>3.5</c:v>
                </c:pt>
                <c:pt idx="6">
                  <c:v>4</c:v>
                </c:pt>
                <c:pt idx="7">
                  <c:v>6</c:v>
                </c:pt>
              </c:numCache>
            </c:numRef>
          </c:val>
          <c:smooth val="0"/>
          <c:extLst>
            <c:ext xmlns:c16="http://schemas.microsoft.com/office/drawing/2014/chart" uri="{C3380CC4-5D6E-409C-BE32-E72D297353CC}">
              <c16:uniqueId val="{00000006-1390-4363-A4D7-450457921DD6}"/>
            </c:ext>
          </c:extLst>
        </c:ser>
        <c:dLbls>
          <c:showLegendKey val="0"/>
          <c:showVal val="0"/>
          <c:showCatName val="0"/>
          <c:showSerName val="0"/>
          <c:showPercent val="0"/>
          <c:showBubbleSize val="0"/>
        </c:dLbls>
        <c:marker val="1"/>
        <c:smooth val="0"/>
        <c:axId val="721226704"/>
        <c:axId val="721230232"/>
      </c:lineChart>
      <c:catAx>
        <c:axId val="721226704"/>
        <c:scaling>
          <c:orientation val="minMax"/>
        </c:scaling>
        <c:delete val="0"/>
        <c:axPos val="b"/>
        <c:title>
          <c:tx>
            <c:rich>
              <a:bodyPr rot="0" vert="horz"/>
              <a:lstStyle/>
              <a:p>
                <a:pPr>
                  <a:defRPr b="0"/>
                </a:pPr>
                <a:r>
                  <a:rPr lang="en-US" b="0"/>
                  <a:t>Site (bars are LSDs, p≤0.05)</a:t>
                </a:r>
              </a:p>
            </c:rich>
          </c:tx>
          <c:layout>
            <c:manualLayout>
              <c:xMode val="edge"/>
              <c:yMode val="edge"/>
              <c:x val="3.1983722105159373E-2"/>
              <c:y val="0.842649896660306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1230232"/>
        <c:crosses val="autoZero"/>
        <c:auto val="1"/>
        <c:lblAlgn val="ctr"/>
        <c:lblOffset val="100"/>
        <c:noMultiLvlLbl val="0"/>
      </c:catAx>
      <c:valAx>
        <c:axId val="721230232"/>
        <c:scaling>
          <c:orientation val="minMax"/>
          <c:max val="1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21226704"/>
        <c:crosses val="autoZero"/>
        <c:crossBetween val="between"/>
      </c:valAx>
      <c:spPr>
        <a:noFill/>
        <a:ln>
          <a:noFill/>
        </a:ln>
        <a:effectLst/>
      </c:spPr>
    </c:plotArea>
    <c:legend>
      <c:legendPos val="b"/>
      <c:layout>
        <c:manualLayout>
          <c:xMode val="edge"/>
          <c:yMode val="edge"/>
          <c:x val="1.8679839315860178E-2"/>
          <c:y val="0.90861416601440625"/>
          <c:w val="0.57922874077360054"/>
          <c:h val="7.306242583167713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631227434599"/>
          <c:y val="4.7485430606518456E-2"/>
          <c:w val="0.771100883516321"/>
          <c:h val="0.64427973915304615"/>
        </c:manualLayout>
      </c:layout>
      <c:barChart>
        <c:barDir val="col"/>
        <c:grouping val="clustered"/>
        <c:varyColors val="0"/>
        <c:ser>
          <c:idx val="0"/>
          <c:order val="0"/>
          <c:tx>
            <c:strRef>
              <c:f>Sheet1!$C$3</c:f>
              <c:strCache>
                <c:ptCount val="1"/>
                <c:pt idx="0">
                  <c:v>0</c:v>
                </c:pt>
              </c:strCache>
            </c:strRef>
          </c:tx>
          <c:spPr>
            <a:solidFill>
              <a:schemeClr val="accent1"/>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Sheet1!$C$4:$C$11</c:f>
              <c:numCache>
                <c:formatCode>General</c:formatCode>
                <c:ptCount val="8"/>
                <c:pt idx="0">
                  <c:v>1582</c:v>
                </c:pt>
                <c:pt idx="1">
                  <c:v>1755</c:v>
                </c:pt>
                <c:pt idx="2">
                  <c:v>1320</c:v>
                </c:pt>
                <c:pt idx="3">
                  <c:v>1420</c:v>
                </c:pt>
                <c:pt idx="4">
                  <c:v>967</c:v>
                </c:pt>
                <c:pt idx="5">
                  <c:v>1361</c:v>
                </c:pt>
                <c:pt idx="6">
                  <c:v>1146</c:v>
                </c:pt>
                <c:pt idx="7">
                  <c:v>1365</c:v>
                </c:pt>
              </c:numCache>
            </c:numRef>
          </c:val>
          <c:extLst>
            <c:ext xmlns:c16="http://schemas.microsoft.com/office/drawing/2014/chart" uri="{C3380CC4-5D6E-409C-BE32-E72D297353CC}">
              <c16:uniqueId val="{00000000-9519-4203-9A46-32AB0A0058A7}"/>
            </c:ext>
          </c:extLst>
        </c:ser>
        <c:ser>
          <c:idx val="1"/>
          <c:order val="1"/>
          <c:tx>
            <c:strRef>
              <c:f>Sheet1!$D$3</c:f>
              <c:strCache>
                <c:ptCount val="1"/>
                <c:pt idx="0">
                  <c:v>75</c:v>
                </c:pt>
              </c:strCache>
            </c:strRef>
          </c:tx>
          <c:spPr>
            <a:solidFill>
              <a:schemeClr val="accent2"/>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Sheet1!$D$4:$D$11</c:f>
              <c:numCache>
                <c:formatCode>General</c:formatCode>
                <c:ptCount val="8"/>
                <c:pt idx="0">
                  <c:v>1812</c:v>
                </c:pt>
                <c:pt idx="1">
                  <c:v>1973</c:v>
                </c:pt>
                <c:pt idx="2">
                  <c:v>1358</c:v>
                </c:pt>
                <c:pt idx="3">
                  <c:v>1424</c:v>
                </c:pt>
                <c:pt idx="4">
                  <c:v>1055</c:v>
                </c:pt>
                <c:pt idx="5">
                  <c:v>1340</c:v>
                </c:pt>
                <c:pt idx="6">
                  <c:v>1206</c:v>
                </c:pt>
                <c:pt idx="7">
                  <c:v>1452</c:v>
                </c:pt>
              </c:numCache>
            </c:numRef>
          </c:val>
          <c:extLst>
            <c:ext xmlns:c16="http://schemas.microsoft.com/office/drawing/2014/chart" uri="{C3380CC4-5D6E-409C-BE32-E72D297353CC}">
              <c16:uniqueId val="{00000001-9519-4203-9A46-32AB0A0058A7}"/>
            </c:ext>
          </c:extLst>
        </c:ser>
        <c:ser>
          <c:idx val="2"/>
          <c:order val="2"/>
          <c:tx>
            <c:strRef>
              <c:f>Sheet1!$E$3</c:f>
              <c:strCache>
                <c:ptCount val="1"/>
                <c:pt idx="0">
                  <c:v>150</c:v>
                </c:pt>
              </c:strCache>
            </c:strRef>
          </c:tx>
          <c:spPr>
            <a:solidFill>
              <a:schemeClr val="accent3"/>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Sheet1!$E$4:$E$11</c:f>
              <c:numCache>
                <c:formatCode>General</c:formatCode>
                <c:ptCount val="8"/>
                <c:pt idx="0">
                  <c:v>1916</c:v>
                </c:pt>
                <c:pt idx="1">
                  <c:v>2016</c:v>
                </c:pt>
                <c:pt idx="2">
                  <c:v>1567</c:v>
                </c:pt>
                <c:pt idx="3">
                  <c:v>1480</c:v>
                </c:pt>
                <c:pt idx="4">
                  <c:v>1171</c:v>
                </c:pt>
                <c:pt idx="5">
                  <c:v>1427</c:v>
                </c:pt>
                <c:pt idx="6">
                  <c:v>1241</c:v>
                </c:pt>
                <c:pt idx="7">
                  <c:v>1546</c:v>
                </c:pt>
              </c:numCache>
            </c:numRef>
          </c:val>
          <c:extLst>
            <c:ext xmlns:c16="http://schemas.microsoft.com/office/drawing/2014/chart" uri="{C3380CC4-5D6E-409C-BE32-E72D297353CC}">
              <c16:uniqueId val="{00000002-9519-4203-9A46-32AB0A0058A7}"/>
            </c:ext>
          </c:extLst>
        </c:ser>
        <c:ser>
          <c:idx val="3"/>
          <c:order val="3"/>
          <c:tx>
            <c:strRef>
              <c:f>Sheet1!$F$3</c:f>
              <c:strCache>
                <c:ptCount val="1"/>
                <c:pt idx="0">
                  <c:v>225</c:v>
                </c:pt>
              </c:strCache>
            </c:strRef>
          </c:tx>
          <c:spPr>
            <a:solidFill>
              <a:schemeClr val="accent4"/>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Sheet1!$F$4:$F$11</c:f>
              <c:numCache>
                <c:formatCode>General</c:formatCode>
                <c:ptCount val="8"/>
                <c:pt idx="0">
                  <c:v>1951</c:v>
                </c:pt>
                <c:pt idx="1">
                  <c:v>2002</c:v>
                </c:pt>
                <c:pt idx="2">
                  <c:v>1629</c:v>
                </c:pt>
                <c:pt idx="3">
                  <c:v>1530</c:v>
                </c:pt>
                <c:pt idx="4">
                  <c:v>1241</c:v>
                </c:pt>
                <c:pt idx="5">
                  <c:v>1513</c:v>
                </c:pt>
                <c:pt idx="6">
                  <c:v>1356</c:v>
                </c:pt>
                <c:pt idx="7">
                  <c:v>1603</c:v>
                </c:pt>
              </c:numCache>
            </c:numRef>
          </c:val>
          <c:extLst>
            <c:ext xmlns:c16="http://schemas.microsoft.com/office/drawing/2014/chart" uri="{C3380CC4-5D6E-409C-BE32-E72D297353CC}">
              <c16:uniqueId val="{00000003-9519-4203-9A46-32AB0A0058A7}"/>
            </c:ext>
          </c:extLst>
        </c:ser>
        <c:ser>
          <c:idx val="4"/>
          <c:order val="4"/>
          <c:tx>
            <c:strRef>
              <c:f>Sheet1!$G$3</c:f>
              <c:strCache>
                <c:ptCount val="1"/>
                <c:pt idx="0">
                  <c:v>300</c:v>
                </c:pt>
              </c:strCache>
            </c:strRef>
          </c:tx>
          <c:spPr>
            <a:solidFill>
              <a:schemeClr val="accent5"/>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Sheet1!$G$4:$G$11</c:f>
              <c:numCache>
                <c:formatCode>General</c:formatCode>
                <c:ptCount val="8"/>
                <c:pt idx="0">
                  <c:v>2044</c:v>
                </c:pt>
                <c:pt idx="1">
                  <c:v>2068</c:v>
                </c:pt>
                <c:pt idx="2">
                  <c:v>2178</c:v>
                </c:pt>
                <c:pt idx="3">
                  <c:v>1514</c:v>
                </c:pt>
                <c:pt idx="4">
                  <c:v>1353</c:v>
                </c:pt>
                <c:pt idx="5">
                  <c:v>1498</c:v>
                </c:pt>
                <c:pt idx="6">
                  <c:v>1397</c:v>
                </c:pt>
                <c:pt idx="7">
                  <c:v>1739</c:v>
                </c:pt>
              </c:numCache>
            </c:numRef>
          </c:val>
          <c:extLst>
            <c:ext xmlns:c16="http://schemas.microsoft.com/office/drawing/2014/chart" uri="{C3380CC4-5D6E-409C-BE32-E72D297353CC}">
              <c16:uniqueId val="{00000004-9519-4203-9A46-32AB0A0058A7}"/>
            </c:ext>
          </c:extLst>
        </c:ser>
        <c:dLbls>
          <c:showLegendKey val="0"/>
          <c:showVal val="0"/>
          <c:showCatName val="0"/>
          <c:showSerName val="0"/>
          <c:showPercent val="0"/>
          <c:showBubbleSize val="0"/>
        </c:dLbls>
        <c:gapWidth val="300"/>
        <c:axId val="404999880"/>
        <c:axId val="405002624"/>
      </c:barChart>
      <c:lineChart>
        <c:grouping val="standard"/>
        <c:varyColors val="0"/>
        <c:ser>
          <c:idx val="5"/>
          <c:order val="5"/>
          <c:tx>
            <c:strRef>
              <c:f>Sheet1!$H$3</c:f>
              <c:strCache>
                <c:ptCount val="1"/>
              </c:strCache>
            </c:strRef>
          </c:tx>
          <c:spPr>
            <a:ln w="28575" cap="rnd">
              <a:noFill/>
              <a:round/>
            </a:ln>
            <a:effectLst/>
          </c:spPr>
          <c:marker>
            <c:symbol val="none"/>
          </c:marker>
          <c:errBars>
            <c:errDir val="y"/>
            <c:errBarType val="both"/>
            <c:errValType val="cust"/>
            <c:noEndCap val="0"/>
            <c:plus>
              <c:numRef>
                <c:f>Sheet1!$J$4:$J$11</c:f>
                <c:numCache>
                  <c:formatCode>General</c:formatCode>
                  <c:ptCount val="8"/>
                  <c:pt idx="0">
                    <c:v>13</c:v>
                  </c:pt>
                  <c:pt idx="1">
                    <c:v>20</c:v>
                  </c:pt>
                  <c:pt idx="2">
                    <c:v>64</c:v>
                  </c:pt>
                  <c:pt idx="3">
                    <c:v>19</c:v>
                  </c:pt>
                  <c:pt idx="4">
                    <c:v>10</c:v>
                  </c:pt>
                  <c:pt idx="5">
                    <c:v>20</c:v>
                  </c:pt>
                  <c:pt idx="6">
                    <c:v>9</c:v>
                  </c:pt>
                  <c:pt idx="7">
                    <c:v>14</c:v>
                  </c:pt>
                </c:numCache>
              </c:numRef>
            </c:plus>
            <c:minus>
              <c:numRef>
                <c:f>Sheet1!$J$4:$J$11</c:f>
                <c:numCache>
                  <c:formatCode>General</c:formatCode>
                  <c:ptCount val="8"/>
                  <c:pt idx="0">
                    <c:v>13</c:v>
                  </c:pt>
                  <c:pt idx="1">
                    <c:v>20</c:v>
                  </c:pt>
                  <c:pt idx="2">
                    <c:v>64</c:v>
                  </c:pt>
                  <c:pt idx="3">
                    <c:v>19</c:v>
                  </c:pt>
                  <c:pt idx="4">
                    <c:v>10</c:v>
                  </c:pt>
                  <c:pt idx="5">
                    <c:v>20</c:v>
                  </c:pt>
                  <c:pt idx="6">
                    <c:v>9</c:v>
                  </c:pt>
                  <c:pt idx="7">
                    <c:v>14</c:v>
                  </c:pt>
                </c:numCache>
              </c:numRef>
            </c:minus>
            <c:spPr>
              <a:noFill/>
              <a:ln w="9525" cap="flat" cmpd="sng" algn="ctr">
                <a:solidFill>
                  <a:schemeClr val="tx1">
                    <a:lumMod val="65000"/>
                    <a:lumOff val="35000"/>
                  </a:schemeClr>
                </a:solidFill>
                <a:round/>
              </a:ln>
              <a:effectLst/>
            </c:spPr>
          </c:errBars>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Sheet1!$H$4:$H$11</c:f>
              <c:numCache>
                <c:formatCode>General</c:formatCode>
                <c:ptCount val="8"/>
                <c:pt idx="0">
                  <c:v>2000</c:v>
                </c:pt>
                <c:pt idx="1">
                  <c:v>2100</c:v>
                </c:pt>
                <c:pt idx="2">
                  <c:v>1700</c:v>
                </c:pt>
                <c:pt idx="3">
                  <c:v>1600</c:v>
                </c:pt>
                <c:pt idx="4">
                  <c:v>1300</c:v>
                </c:pt>
                <c:pt idx="5">
                  <c:v>1500</c:v>
                </c:pt>
                <c:pt idx="6">
                  <c:v>1400</c:v>
                </c:pt>
                <c:pt idx="7">
                  <c:v>1600</c:v>
                </c:pt>
              </c:numCache>
            </c:numRef>
          </c:val>
          <c:smooth val="0"/>
          <c:extLst>
            <c:ext xmlns:c16="http://schemas.microsoft.com/office/drawing/2014/chart" uri="{C3380CC4-5D6E-409C-BE32-E72D297353CC}">
              <c16:uniqueId val="{00000005-9519-4203-9A46-32AB0A0058A7}"/>
            </c:ext>
          </c:extLst>
        </c:ser>
        <c:dLbls>
          <c:showLegendKey val="0"/>
          <c:showVal val="0"/>
          <c:showCatName val="0"/>
          <c:showSerName val="0"/>
          <c:showPercent val="0"/>
          <c:showBubbleSize val="0"/>
        </c:dLbls>
        <c:marker val="1"/>
        <c:smooth val="0"/>
        <c:axId val="404999880"/>
        <c:axId val="405002624"/>
      </c:lineChart>
      <c:catAx>
        <c:axId val="404999880"/>
        <c:scaling>
          <c:orientation val="minMax"/>
        </c:scaling>
        <c:delete val="0"/>
        <c:axPos val="b"/>
        <c:title>
          <c:tx>
            <c:rich>
              <a:bodyPr rot="0" vert="horz"/>
              <a:lstStyle/>
              <a:p>
                <a:pPr>
                  <a:defRPr b="0"/>
                </a:pPr>
                <a:r>
                  <a:rPr lang="en-US" b="0"/>
                  <a:t>Site (bars are LSDs, p≤0.05)</a:t>
                </a:r>
              </a:p>
            </c:rich>
          </c:tx>
          <c:layout>
            <c:manualLayout>
              <c:xMode val="edge"/>
              <c:yMode val="edge"/>
              <c:x val="4.7254568531046301E-2"/>
              <c:y val="0.849034060684137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05002624"/>
        <c:crosses val="autoZero"/>
        <c:auto val="1"/>
        <c:lblAlgn val="ctr"/>
        <c:lblOffset val="100"/>
        <c:noMultiLvlLbl val="0"/>
      </c:catAx>
      <c:valAx>
        <c:axId val="405002624"/>
        <c:scaling>
          <c:orientation val="minMax"/>
          <c:max val="2200"/>
          <c:min val="9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4999880"/>
        <c:crosses val="autoZero"/>
        <c:crossBetween val="between"/>
        <c:majorUnit val="200"/>
      </c:valAx>
      <c:spPr>
        <a:noFill/>
        <a:ln>
          <a:noFill/>
        </a:ln>
        <a:effectLst/>
      </c:spPr>
    </c:plotArea>
    <c:legend>
      <c:legendPos val="b"/>
      <c:layout>
        <c:manualLayout>
          <c:xMode val="edge"/>
          <c:yMode val="edge"/>
          <c:x val="4.4185673973851841E-2"/>
          <c:y val="0.91465029206768966"/>
          <c:w val="0.44996981011176418"/>
          <c:h val="6.376542129298375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6551072891708"/>
          <c:y val="5.1067780872794802E-2"/>
          <c:w val="0.78309377636577904"/>
          <c:h val="0.63614736180261588"/>
        </c:manualLayout>
      </c:layout>
      <c:barChart>
        <c:barDir val="col"/>
        <c:grouping val="clustered"/>
        <c:varyColors val="0"/>
        <c:ser>
          <c:idx val="0"/>
          <c:order val="0"/>
          <c:tx>
            <c:strRef>
              <c:f>Sheet1!$AE$86</c:f>
              <c:strCache>
                <c:ptCount val="1"/>
                <c:pt idx="0">
                  <c:v>0</c:v>
                </c:pt>
              </c:strCache>
            </c:strRef>
          </c:tx>
          <c:spPr>
            <a:solidFill>
              <a:schemeClr val="accent1"/>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Sheet1!$AE$87:$AE$94</c:f>
              <c:numCache>
                <c:formatCode>General</c:formatCode>
                <c:ptCount val="8"/>
                <c:pt idx="0">
                  <c:v>4.8</c:v>
                </c:pt>
                <c:pt idx="1">
                  <c:v>5.9</c:v>
                </c:pt>
                <c:pt idx="2">
                  <c:v>8.7000000000000011</c:v>
                </c:pt>
                <c:pt idx="3">
                  <c:v>1.2</c:v>
                </c:pt>
                <c:pt idx="4">
                  <c:v>26</c:v>
                </c:pt>
                <c:pt idx="5">
                  <c:v>4.0999999999999996</c:v>
                </c:pt>
                <c:pt idx="6">
                  <c:v>3.9</c:v>
                </c:pt>
                <c:pt idx="7">
                  <c:v>7.8</c:v>
                </c:pt>
              </c:numCache>
            </c:numRef>
          </c:val>
          <c:extLst>
            <c:ext xmlns:c16="http://schemas.microsoft.com/office/drawing/2014/chart" uri="{C3380CC4-5D6E-409C-BE32-E72D297353CC}">
              <c16:uniqueId val="{00000000-AA5B-4F65-81BE-723D3D4C1200}"/>
            </c:ext>
          </c:extLst>
        </c:ser>
        <c:ser>
          <c:idx val="1"/>
          <c:order val="1"/>
          <c:tx>
            <c:strRef>
              <c:f>Sheet1!$AF$86</c:f>
              <c:strCache>
                <c:ptCount val="1"/>
                <c:pt idx="0">
                  <c:v>75</c:v>
                </c:pt>
              </c:strCache>
            </c:strRef>
          </c:tx>
          <c:spPr>
            <a:solidFill>
              <a:schemeClr val="accent2"/>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Sheet1!$AF$87:$AF$94</c:f>
              <c:numCache>
                <c:formatCode>General</c:formatCode>
                <c:ptCount val="8"/>
                <c:pt idx="0">
                  <c:v>3.2</c:v>
                </c:pt>
                <c:pt idx="1">
                  <c:v>4.2</c:v>
                </c:pt>
                <c:pt idx="2">
                  <c:v>6.8</c:v>
                </c:pt>
                <c:pt idx="3">
                  <c:v>1.6</c:v>
                </c:pt>
                <c:pt idx="4">
                  <c:v>20</c:v>
                </c:pt>
                <c:pt idx="5">
                  <c:v>3.8</c:v>
                </c:pt>
                <c:pt idx="6">
                  <c:v>3.3</c:v>
                </c:pt>
                <c:pt idx="7">
                  <c:v>6.1</c:v>
                </c:pt>
              </c:numCache>
            </c:numRef>
          </c:val>
          <c:extLst>
            <c:ext xmlns:c16="http://schemas.microsoft.com/office/drawing/2014/chart" uri="{C3380CC4-5D6E-409C-BE32-E72D297353CC}">
              <c16:uniqueId val="{00000001-AA5B-4F65-81BE-723D3D4C1200}"/>
            </c:ext>
          </c:extLst>
        </c:ser>
        <c:ser>
          <c:idx val="2"/>
          <c:order val="2"/>
          <c:tx>
            <c:strRef>
              <c:f>Sheet1!$AG$86</c:f>
              <c:strCache>
                <c:ptCount val="1"/>
                <c:pt idx="0">
                  <c:v>150</c:v>
                </c:pt>
              </c:strCache>
            </c:strRef>
          </c:tx>
          <c:spPr>
            <a:solidFill>
              <a:schemeClr val="accent3"/>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Sheet1!$AG$87:$AG$94</c:f>
              <c:numCache>
                <c:formatCode>General</c:formatCode>
                <c:ptCount val="8"/>
                <c:pt idx="0">
                  <c:v>2.4</c:v>
                </c:pt>
                <c:pt idx="1">
                  <c:v>3.3</c:v>
                </c:pt>
                <c:pt idx="2">
                  <c:v>7.4</c:v>
                </c:pt>
                <c:pt idx="3">
                  <c:v>1.7</c:v>
                </c:pt>
                <c:pt idx="4">
                  <c:v>16</c:v>
                </c:pt>
                <c:pt idx="5">
                  <c:v>3.1</c:v>
                </c:pt>
                <c:pt idx="6">
                  <c:v>2.5</c:v>
                </c:pt>
                <c:pt idx="7">
                  <c:v>5.2</c:v>
                </c:pt>
              </c:numCache>
            </c:numRef>
          </c:val>
          <c:extLst>
            <c:ext xmlns:c16="http://schemas.microsoft.com/office/drawing/2014/chart" uri="{C3380CC4-5D6E-409C-BE32-E72D297353CC}">
              <c16:uniqueId val="{00000002-AA5B-4F65-81BE-723D3D4C1200}"/>
            </c:ext>
          </c:extLst>
        </c:ser>
        <c:ser>
          <c:idx val="3"/>
          <c:order val="3"/>
          <c:tx>
            <c:strRef>
              <c:f>Sheet1!$AH$86</c:f>
              <c:strCache>
                <c:ptCount val="1"/>
                <c:pt idx="0">
                  <c:v>225</c:v>
                </c:pt>
              </c:strCache>
            </c:strRef>
          </c:tx>
          <c:spPr>
            <a:solidFill>
              <a:schemeClr val="accent4"/>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Sheet1!$AH$87:$AH$94</c:f>
              <c:numCache>
                <c:formatCode>General</c:formatCode>
                <c:ptCount val="8"/>
                <c:pt idx="0">
                  <c:v>2.2999999999999998</c:v>
                </c:pt>
                <c:pt idx="1">
                  <c:v>3</c:v>
                </c:pt>
                <c:pt idx="2">
                  <c:v>6.1</c:v>
                </c:pt>
                <c:pt idx="3">
                  <c:v>2</c:v>
                </c:pt>
                <c:pt idx="4">
                  <c:v>12.9</c:v>
                </c:pt>
                <c:pt idx="5">
                  <c:v>2.6</c:v>
                </c:pt>
                <c:pt idx="6">
                  <c:v>1.8</c:v>
                </c:pt>
                <c:pt idx="7">
                  <c:v>4.4000000000000004</c:v>
                </c:pt>
              </c:numCache>
            </c:numRef>
          </c:val>
          <c:extLst>
            <c:ext xmlns:c16="http://schemas.microsoft.com/office/drawing/2014/chart" uri="{C3380CC4-5D6E-409C-BE32-E72D297353CC}">
              <c16:uniqueId val="{00000003-AA5B-4F65-81BE-723D3D4C1200}"/>
            </c:ext>
          </c:extLst>
        </c:ser>
        <c:ser>
          <c:idx val="4"/>
          <c:order val="4"/>
          <c:tx>
            <c:strRef>
              <c:f>Sheet1!$AI$86</c:f>
              <c:strCache>
                <c:ptCount val="1"/>
                <c:pt idx="0">
                  <c:v>300</c:v>
                </c:pt>
              </c:strCache>
            </c:strRef>
          </c:tx>
          <c:spPr>
            <a:solidFill>
              <a:schemeClr val="accent5"/>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Sheet1!$AI$87:$AI$94</c:f>
              <c:numCache>
                <c:formatCode>General</c:formatCode>
                <c:ptCount val="8"/>
                <c:pt idx="0">
                  <c:v>2.1</c:v>
                </c:pt>
                <c:pt idx="1">
                  <c:v>2.1</c:v>
                </c:pt>
                <c:pt idx="2">
                  <c:v>6</c:v>
                </c:pt>
                <c:pt idx="3">
                  <c:v>2.1</c:v>
                </c:pt>
                <c:pt idx="4">
                  <c:v>10.9</c:v>
                </c:pt>
                <c:pt idx="5">
                  <c:v>2.2000000000000002</c:v>
                </c:pt>
                <c:pt idx="6">
                  <c:v>1.5</c:v>
                </c:pt>
                <c:pt idx="7">
                  <c:v>3.8</c:v>
                </c:pt>
              </c:numCache>
            </c:numRef>
          </c:val>
          <c:extLst>
            <c:ext xmlns:c16="http://schemas.microsoft.com/office/drawing/2014/chart" uri="{C3380CC4-5D6E-409C-BE32-E72D297353CC}">
              <c16:uniqueId val="{00000004-AA5B-4F65-81BE-723D3D4C1200}"/>
            </c:ext>
          </c:extLst>
        </c:ser>
        <c:dLbls>
          <c:showLegendKey val="0"/>
          <c:showVal val="0"/>
          <c:showCatName val="0"/>
          <c:showSerName val="0"/>
          <c:showPercent val="0"/>
          <c:showBubbleSize val="0"/>
        </c:dLbls>
        <c:gapWidth val="300"/>
        <c:axId val="552689928"/>
        <c:axId val="580800224"/>
      </c:barChart>
      <c:lineChart>
        <c:grouping val="standard"/>
        <c:varyColors val="0"/>
        <c:ser>
          <c:idx val="5"/>
          <c:order val="5"/>
          <c:tx>
            <c:strRef>
              <c:f>Sheet1!$AJ$86</c:f>
              <c:strCache>
                <c:ptCount val="1"/>
              </c:strCache>
            </c:strRef>
          </c:tx>
          <c:spPr>
            <a:ln w="28575" cap="rnd">
              <a:noFill/>
              <a:round/>
            </a:ln>
            <a:effectLst/>
          </c:spPr>
          <c:marker>
            <c:symbol val="none"/>
          </c:marker>
          <c:errBars>
            <c:errDir val="y"/>
            <c:errBarType val="both"/>
            <c:errValType val="cust"/>
            <c:noEndCap val="0"/>
            <c:plus>
              <c:numRef>
                <c:f>Sheet1!$AK$87:$AK$94</c:f>
                <c:numCache>
                  <c:formatCode>General</c:formatCode>
                  <c:ptCount val="8"/>
                  <c:pt idx="0">
                    <c:v>0.5</c:v>
                  </c:pt>
                  <c:pt idx="1">
                    <c:v>0.30000000000000032</c:v>
                  </c:pt>
                  <c:pt idx="2">
                    <c:v>0.65000000000000091</c:v>
                  </c:pt>
                  <c:pt idx="3">
                    <c:v>0.45</c:v>
                  </c:pt>
                  <c:pt idx="4">
                    <c:v>0.65000000000000091</c:v>
                  </c:pt>
                  <c:pt idx="5">
                    <c:v>0.05</c:v>
                  </c:pt>
                  <c:pt idx="6">
                    <c:v>0.05</c:v>
                  </c:pt>
                  <c:pt idx="7">
                    <c:v>0.2</c:v>
                  </c:pt>
                </c:numCache>
              </c:numRef>
            </c:plus>
            <c:minus>
              <c:numRef>
                <c:f>Sheet1!$AK$87:$AK$94</c:f>
                <c:numCache>
                  <c:formatCode>General</c:formatCode>
                  <c:ptCount val="8"/>
                  <c:pt idx="0">
                    <c:v>0.5</c:v>
                  </c:pt>
                  <c:pt idx="1">
                    <c:v>0.30000000000000032</c:v>
                  </c:pt>
                  <c:pt idx="2">
                    <c:v>0.65000000000000091</c:v>
                  </c:pt>
                  <c:pt idx="3">
                    <c:v>0.45</c:v>
                  </c:pt>
                  <c:pt idx="4">
                    <c:v>0.65000000000000091</c:v>
                  </c:pt>
                  <c:pt idx="5">
                    <c:v>0.05</c:v>
                  </c:pt>
                  <c:pt idx="6">
                    <c:v>0.05</c:v>
                  </c:pt>
                  <c:pt idx="7">
                    <c:v>0.2</c:v>
                  </c:pt>
                </c:numCache>
              </c:numRef>
            </c:minus>
            <c:spPr>
              <a:noFill/>
              <a:ln w="9525" cap="flat" cmpd="sng" algn="ctr">
                <a:solidFill>
                  <a:schemeClr val="tx1">
                    <a:lumMod val="65000"/>
                    <a:lumOff val="35000"/>
                  </a:schemeClr>
                </a:solidFill>
                <a:round/>
              </a:ln>
              <a:effectLst/>
            </c:spPr>
          </c:errBars>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Sheet1!$AJ$87:$AJ$94</c:f>
              <c:numCache>
                <c:formatCode>General</c:formatCode>
                <c:ptCount val="8"/>
                <c:pt idx="0">
                  <c:v>4</c:v>
                </c:pt>
                <c:pt idx="1">
                  <c:v>4.5</c:v>
                </c:pt>
                <c:pt idx="2">
                  <c:v>8.5</c:v>
                </c:pt>
                <c:pt idx="3">
                  <c:v>3</c:v>
                </c:pt>
                <c:pt idx="4">
                  <c:v>17</c:v>
                </c:pt>
                <c:pt idx="5">
                  <c:v>5</c:v>
                </c:pt>
                <c:pt idx="6">
                  <c:v>4.5</c:v>
                </c:pt>
                <c:pt idx="7">
                  <c:v>6.5</c:v>
                </c:pt>
              </c:numCache>
            </c:numRef>
          </c:val>
          <c:smooth val="0"/>
          <c:extLst>
            <c:ext xmlns:c16="http://schemas.microsoft.com/office/drawing/2014/chart" uri="{C3380CC4-5D6E-409C-BE32-E72D297353CC}">
              <c16:uniqueId val="{00000005-AA5B-4F65-81BE-723D3D4C1200}"/>
            </c:ext>
          </c:extLst>
        </c:ser>
        <c:dLbls>
          <c:showLegendKey val="0"/>
          <c:showVal val="0"/>
          <c:showCatName val="0"/>
          <c:showSerName val="0"/>
          <c:showPercent val="0"/>
          <c:showBubbleSize val="0"/>
        </c:dLbls>
        <c:marker val="1"/>
        <c:smooth val="0"/>
        <c:axId val="552689928"/>
        <c:axId val="580800224"/>
      </c:lineChart>
      <c:catAx>
        <c:axId val="552689928"/>
        <c:scaling>
          <c:orientation val="minMax"/>
        </c:scaling>
        <c:delete val="0"/>
        <c:axPos val="b"/>
        <c:title>
          <c:tx>
            <c:rich>
              <a:bodyPr rot="0" vert="horz"/>
              <a:lstStyle/>
              <a:p>
                <a:pPr>
                  <a:defRPr b="0"/>
                </a:pPr>
                <a:r>
                  <a:rPr lang="en-US" b="0"/>
                  <a:t>Site (barsare LSDs, ≤0.05)</a:t>
                </a:r>
              </a:p>
            </c:rich>
          </c:tx>
          <c:layout>
            <c:manualLayout>
              <c:xMode val="edge"/>
              <c:yMode val="edge"/>
              <c:x val="1.7049602748550569E-2"/>
              <c:y val="0.863744068899465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800224"/>
        <c:crosses val="autoZero"/>
        <c:auto val="1"/>
        <c:lblAlgn val="ctr"/>
        <c:lblOffset val="100"/>
        <c:noMultiLvlLbl val="0"/>
      </c:catAx>
      <c:valAx>
        <c:axId val="580800224"/>
        <c:scaling>
          <c:orientation val="minMax"/>
          <c:max val="28"/>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9928"/>
        <c:crosses val="autoZero"/>
        <c:crossBetween val="between"/>
      </c:valAx>
      <c:spPr>
        <a:noFill/>
        <a:ln>
          <a:noFill/>
        </a:ln>
        <a:effectLst/>
      </c:spPr>
    </c:plotArea>
    <c:legend>
      <c:legendPos val="b"/>
      <c:layout>
        <c:manualLayout>
          <c:xMode val="edge"/>
          <c:yMode val="edge"/>
          <c:x val="2.0728088610997921E-2"/>
          <c:y val="0.92595391105359737"/>
          <c:w val="0.589207001905522"/>
          <c:h val="7.404608894640259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2239284186535"/>
          <c:y val="4.7250859106529208E-2"/>
          <c:w val="0.74873689425283085"/>
          <c:h val="0.65475146792217986"/>
        </c:manualLayout>
      </c:layout>
      <c:barChart>
        <c:barDir val="col"/>
        <c:grouping val="clustered"/>
        <c:varyColors val="0"/>
        <c:ser>
          <c:idx val="0"/>
          <c:order val="0"/>
          <c:tx>
            <c:strRef>
              <c:f>Sheet1!$L$3</c:f>
              <c:strCache>
                <c:ptCount val="1"/>
                <c:pt idx="0">
                  <c:v>0</c:v>
                </c:pt>
              </c:strCache>
            </c:strRef>
          </c:tx>
          <c:spPr>
            <a:solidFill>
              <a:schemeClr val="accent1"/>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Sheet1!$L$4:$L$11</c:f>
              <c:numCache>
                <c:formatCode>General</c:formatCode>
                <c:ptCount val="8"/>
                <c:pt idx="0">
                  <c:v>1593</c:v>
                </c:pt>
                <c:pt idx="1">
                  <c:v>1467</c:v>
                </c:pt>
                <c:pt idx="2">
                  <c:v>1293</c:v>
                </c:pt>
                <c:pt idx="3">
                  <c:v>1293</c:v>
                </c:pt>
                <c:pt idx="4">
                  <c:v>989</c:v>
                </c:pt>
                <c:pt idx="5">
                  <c:v>1443</c:v>
                </c:pt>
                <c:pt idx="6">
                  <c:v>1164</c:v>
                </c:pt>
                <c:pt idx="7">
                  <c:v>1320</c:v>
                </c:pt>
              </c:numCache>
            </c:numRef>
          </c:val>
          <c:extLst>
            <c:ext xmlns:c16="http://schemas.microsoft.com/office/drawing/2014/chart" uri="{C3380CC4-5D6E-409C-BE32-E72D297353CC}">
              <c16:uniqueId val="{00000000-B5C2-4662-9589-59E5C0B141C5}"/>
            </c:ext>
          </c:extLst>
        </c:ser>
        <c:ser>
          <c:idx val="1"/>
          <c:order val="1"/>
          <c:tx>
            <c:strRef>
              <c:f>Sheet1!$M$3</c:f>
              <c:strCache>
                <c:ptCount val="1"/>
                <c:pt idx="0">
                  <c:v>75</c:v>
                </c:pt>
              </c:strCache>
            </c:strRef>
          </c:tx>
          <c:spPr>
            <a:solidFill>
              <a:schemeClr val="accent2"/>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Sheet1!$M$4:$M$11</c:f>
              <c:numCache>
                <c:formatCode>General</c:formatCode>
                <c:ptCount val="8"/>
                <c:pt idx="0">
                  <c:v>1779</c:v>
                </c:pt>
                <c:pt idx="1">
                  <c:v>1699</c:v>
                </c:pt>
                <c:pt idx="2">
                  <c:v>1466</c:v>
                </c:pt>
                <c:pt idx="3">
                  <c:v>1400</c:v>
                </c:pt>
                <c:pt idx="4">
                  <c:v>1257</c:v>
                </c:pt>
                <c:pt idx="5">
                  <c:v>1516</c:v>
                </c:pt>
                <c:pt idx="6">
                  <c:v>1199</c:v>
                </c:pt>
                <c:pt idx="7">
                  <c:v>1474</c:v>
                </c:pt>
              </c:numCache>
            </c:numRef>
          </c:val>
          <c:extLst>
            <c:ext xmlns:c16="http://schemas.microsoft.com/office/drawing/2014/chart" uri="{C3380CC4-5D6E-409C-BE32-E72D297353CC}">
              <c16:uniqueId val="{00000001-B5C2-4662-9589-59E5C0B141C5}"/>
            </c:ext>
          </c:extLst>
        </c:ser>
        <c:ser>
          <c:idx val="2"/>
          <c:order val="2"/>
          <c:tx>
            <c:strRef>
              <c:f>Sheet1!$N$3</c:f>
              <c:strCache>
                <c:ptCount val="1"/>
                <c:pt idx="0">
                  <c:v>150</c:v>
                </c:pt>
              </c:strCache>
            </c:strRef>
          </c:tx>
          <c:spPr>
            <a:solidFill>
              <a:schemeClr val="accent3"/>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Sheet1!$N$4:$N$11</c:f>
              <c:numCache>
                <c:formatCode>General</c:formatCode>
                <c:ptCount val="8"/>
                <c:pt idx="0">
                  <c:v>1736</c:v>
                </c:pt>
                <c:pt idx="1">
                  <c:v>1706</c:v>
                </c:pt>
                <c:pt idx="2">
                  <c:v>1502</c:v>
                </c:pt>
                <c:pt idx="3">
                  <c:v>1433</c:v>
                </c:pt>
                <c:pt idx="4">
                  <c:v>1455</c:v>
                </c:pt>
                <c:pt idx="5">
                  <c:v>1497</c:v>
                </c:pt>
                <c:pt idx="6">
                  <c:v>1271</c:v>
                </c:pt>
                <c:pt idx="7">
                  <c:v>1514</c:v>
                </c:pt>
              </c:numCache>
            </c:numRef>
          </c:val>
          <c:extLst>
            <c:ext xmlns:c16="http://schemas.microsoft.com/office/drawing/2014/chart" uri="{C3380CC4-5D6E-409C-BE32-E72D297353CC}">
              <c16:uniqueId val="{00000002-B5C2-4662-9589-59E5C0B141C5}"/>
            </c:ext>
          </c:extLst>
        </c:ser>
        <c:ser>
          <c:idx val="3"/>
          <c:order val="3"/>
          <c:tx>
            <c:strRef>
              <c:f>Sheet1!$O$3</c:f>
              <c:strCache>
                <c:ptCount val="1"/>
                <c:pt idx="0">
                  <c:v>225</c:v>
                </c:pt>
              </c:strCache>
            </c:strRef>
          </c:tx>
          <c:spPr>
            <a:solidFill>
              <a:schemeClr val="accent4"/>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Sheet1!$O$4:$O$11</c:f>
              <c:numCache>
                <c:formatCode>General</c:formatCode>
                <c:ptCount val="8"/>
                <c:pt idx="0">
                  <c:v>1822</c:v>
                </c:pt>
                <c:pt idx="1">
                  <c:v>1936</c:v>
                </c:pt>
                <c:pt idx="2">
                  <c:v>1518</c:v>
                </c:pt>
                <c:pt idx="3">
                  <c:v>1463</c:v>
                </c:pt>
                <c:pt idx="4">
                  <c:v>1619</c:v>
                </c:pt>
                <c:pt idx="5">
                  <c:v>1685</c:v>
                </c:pt>
                <c:pt idx="6">
                  <c:v>1336</c:v>
                </c:pt>
                <c:pt idx="7">
                  <c:v>1624</c:v>
                </c:pt>
              </c:numCache>
            </c:numRef>
          </c:val>
          <c:extLst>
            <c:ext xmlns:c16="http://schemas.microsoft.com/office/drawing/2014/chart" uri="{C3380CC4-5D6E-409C-BE32-E72D297353CC}">
              <c16:uniqueId val="{00000003-B5C2-4662-9589-59E5C0B141C5}"/>
            </c:ext>
          </c:extLst>
        </c:ser>
        <c:ser>
          <c:idx val="4"/>
          <c:order val="4"/>
          <c:tx>
            <c:strRef>
              <c:f>Sheet1!$P$3</c:f>
              <c:strCache>
                <c:ptCount val="1"/>
                <c:pt idx="0">
                  <c:v>300</c:v>
                </c:pt>
              </c:strCache>
            </c:strRef>
          </c:tx>
          <c:spPr>
            <a:solidFill>
              <a:schemeClr val="accent5"/>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Sheet1!$P$4:$P$11</c:f>
              <c:numCache>
                <c:formatCode>General</c:formatCode>
                <c:ptCount val="8"/>
                <c:pt idx="0">
                  <c:v>1838</c:v>
                </c:pt>
                <c:pt idx="1">
                  <c:v>2004</c:v>
                </c:pt>
                <c:pt idx="2">
                  <c:v>1575</c:v>
                </c:pt>
                <c:pt idx="3">
                  <c:v>1507</c:v>
                </c:pt>
                <c:pt idx="4">
                  <c:v>1888</c:v>
                </c:pt>
                <c:pt idx="5">
                  <c:v>1748</c:v>
                </c:pt>
                <c:pt idx="6">
                  <c:v>1365</c:v>
                </c:pt>
                <c:pt idx="7">
                  <c:v>1704</c:v>
                </c:pt>
              </c:numCache>
            </c:numRef>
          </c:val>
          <c:extLst>
            <c:ext xmlns:c16="http://schemas.microsoft.com/office/drawing/2014/chart" uri="{C3380CC4-5D6E-409C-BE32-E72D297353CC}">
              <c16:uniqueId val="{00000004-B5C2-4662-9589-59E5C0B141C5}"/>
            </c:ext>
          </c:extLst>
        </c:ser>
        <c:dLbls>
          <c:showLegendKey val="0"/>
          <c:showVal val="0"/>
          <c:showCatName val="0"/>
          <c:showSerName val="0"/>
          <c:showPercent val="0"/>
          <c:showBubbleSize val="0"/>
        </c:dLbls>
        <c:gapWidth val="300"/>
        <c:axId val="405000272"/>
        <c:axId val="527306464"/>
      </c:barChart>
      <c:lineChart>
        <c:grouping val="standard"/>
        <c:varyColors val="0"/>
        <c:ser>
          <c:idx val="5"/>
          <c:order val="5"/>
          <c:tx>
            <c:strRef>
              <c:f>Sheet1!$Q$3</c:f>
              <c:strCache>
                <c:ptCount val="1"/>
              </c:strCache>
            </c:strRef>
          </c:tx>
          <c:spPr>
            <a:ln w="28575" cap="rnd">
              <a:noFill/>
              <a:round/>
            </a:ln>
            <a:effectLst/>
          </c:spPr>
          <c:marker>
            <c:symbol val="none"/>
          </c:marker>
          <c:errBars>
            <c:errDir val="y"/>
            <c:errBarType val="both"/>
            <c:errValType val="cust"/>
            <c:noEndCap val="0"/>
            <c:plus>
              <c:numRef>
                <c:f>Sheet1!$R$4:$R$11</c:f>
                <c:numCache>
                  <c:formatCode>General</c:formatCode>
                  <c:ptCount val="8"/>
                  <c:pt idx="0">
                    <c:v>16</c:v>
                  </c:pt>
                  <c:pt idx="1">
                    <c:v>59</c:v>
                  </c:pt>
                  <c:pt idx="2">
                    <c:v>14</c:v>
                  </c:pt>
                  <c:pt idx="3">
                    <c:v>16</c:v>
                  </c:pt>
                  <c:pt idx="4">
                    <c:v>15</c:v>
                  </c:pt>
                  <c:pt idx="5">
                    <c:v>15.5</c:v>
                  </c:pt>
                  <c:pt idx="6">
                    <c:v>21</c:v>
                  </c:pt>
                  <c:pt idx="7">
                    <c:v>17</c:v>
                  </c:pt>
                </c:numCache>
              </c:numRef>
            </c:plus>
            <c:minus>
              <c:numRef>
                <c:f>Sheet1!$R$4:$R$11</c:f>
                <c:numCache>
                  <c:formatCode>General</c:formatCode>
                  <c:ptCount val="8"/>
                  <c:pt idx="0">
                    <c:v>16</c:v>
                  </c:pt>
                  <c:pt idx="1">
                    <c:v>59</c:v>
                  </c:pt>
                  <c:pt idx="2">
                    <c:v>14</c:v>
                  </c:pt>
                  <c:pt idx="3">
                    <c:v>16</c:v>
                  </c:pt>
                  <c:pt idx="4">
                    <c:v>15</c:v>
                  </c:pt>
                  <c:pt idx="5">
                    <c:v>15.5</c:v>
                  </c:pt>
                  <c:pt idx="6">
                    <c:v>21</c:v>
                  </c:pt>
                  <c:pt idx="7">
                    <c:v>17</c:v>
                  </c:pt>
                </c:numCache>
              </c:numRef>
            </c:minus>
            <c:spPr>
              <a:noFill/>
              <a:ln w="9525" cap="flat" cmpd="sng" algn="ctr">
                <a:solidFill>
                  <a:schemeClr val="tx1">
                    <a:lumMod val="65000"/>
                    <a:lumOff val="35000"/>
                  </a:schemeClr>
                </a:solidFill>
                <a:round/>
              </a:ln>
              <a:effectLst/>
            </c:spPr>
          </c:errBars>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Sheet1!$Q$4:$Q$11</c:f>
              <c:numCache>
                <c:formatCode>General</c:formatCode>
                <c:ptCount val="8"/>
                <c:pt idx="0">
                  <c:v>1900</c:v>
                </c:pt>
                <c:pt idx="1">
                  <c:v>1900</c:v>
                </c:pt>
                <c:pt idx="2">
                  <c:v>1600</c:v>
                </c:pt>
                <c:pt idx="3">
                  <c:v>1500</c:v>
                </c:pt>
                <c:pt idx="4">
                  <c:v>1600</c:v>
                </c:pt>
                <c:pt idx="5">
                  <c:v>1700</c:v>
                </c:pt>
                <c:pt idx="6">
                  <c:v>1400</c:v>
                </c:pt>
                <c:pt idx="7">
                  <c:v>1600</c:v>
                </c:pt>
              </c:numCache>
            </c:numRef>
          </c:val>
          <c:smooth val="0"/>
          <c:extLst>
            <c:ext xmlns:c16="http://schemas.microsoft.com/office/drawing/2014/chart" uri="{C3380CC4-5D6E-409C-BE32-E72D297353CC}">
              <c16:uniqueId val="{00000005-B5C2-4662-9589-59E5C0B141C5}"/>
            </c:ext>
          </c:extLst>
        </c:ser>
        <c:dLbls>
          <c:showLegendKey val="0"/>
          <c:showVal val="0"/>
          <c:showCatName val="0"/>
          <c:showSerName val="0"/>
          <c:showPercent val="0"/>
          <c:showBubbleSize val="0"/>
        </c:dLbls>
        <c:marker val="1"/>
        <c:smooth val="0"/>
        <c:axId val="405000272"/>
        <c:axId val="527306464"/>
      </c:lineChart>
      <c:catAx>
        <c:axId val="405000272"/>
        <c:scaling>
          <c:orientation val="minMax"/>
        </c:scaling>
        <c:delete val="0"/>
        <c:axPos val="b"/>
        <c:title>
          <c:tx>
            <c:rich>
              <a:bodyPr rot="0" vert="horz"/>
              <a:lstStyle/>
              <a:p>
                <a:pPr>
                  <a:defRPr b="0"/>
                </a:pPr>
                <a:r>
                  <a:rPr lang="en-US" b="0"/>
                  <a:t>Site (bars are LSDs, p≤0.05)</a:t>
                </a:r>
              </a:p>
            </c:rich>
          </c:tx>
          <c:layout>
            <c:manualLayout>
              <c:xMode val="edge"/>
              <c:yMode val="edge"/>
              <c:x val="5.0261142738304371E-2"/>
              <c:y val="0.85407534431907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27306464"/>
        <c:crosses val="autoZero"/>
        <c:auto val="1"/>
        <c:lblAlgn val="ctr"/>
        <c:lblOffset val="100"/>
        <c:noMultiLvlLbl val="0"/>
      </c:catAx>
      <c:valAx>
        <c:axId val="527306464"/>
        <c:scaling>
          <c:orientation val="minMax"/>
          <c:max val="2050"/>
          <c:min val="9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5000272"/>
        <c:crosses val="autoZero"/>
        <c:crossBetween val="between"/>
      </c:valAx>
      <c:spPr>
        <a:noFill/>
        <a:ln>
          <a:noFill/>
        </a:ln>
        <a:effectLst/>
      </c:spPr>
    </c:plotArea>
    <c:legend>
      <c:legendPos val="b"/>
      <c:layout>
        <c:manualLayout>
          <c:xMode val="edge"/>
          <c:yMode val="edge"/>
          <c:x val="5.5481292238083735E-2"/>
          <c:y val="0.91507190789295667"/>
          <c:w val="0.49393293306663916"/>
          <c:h val="6.345042887680277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631227434599"/>
          <c:y val="5.1764705882352942E-2"/>
          <c:w val="0.771100883516321"/>
          <c:h val="0.66412301991662803"/>
        </c:manualLayout>
      </c:layout>
      <c:barChart>
        <c:barDir val="col"/>
        <c:grouping val="clustered"/>
        <c:varyColors val="0"/>
        <c:ser>
          <c:idx val="0"/>
          <c:order val="0"/>
          <c:tx>
            <c:strRef>
              <c:f>Sheet1!$U$3</c:f>
              <c:strCache>
                <c:ptCount val="1"/>
                <c:pt idx="0">
                  <c:v>0</c:v>
                </c:pt>
              </c:strCache>
            </c:strRef>
          </c:tx>
          <c:spPr>
            <a:solidFill>
              <a:schemeClr val="accent1"/>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Sheet1!$U$4:$U$11</c:f>
              <c:numCache>
                <c:formatCode>General</c:formatCode>
                <c:ptCount val="8"/>
                <c:pt idx="0">
                  <c:v>1409</c:v>
                </c:pt>
                <c:pt idx="1">
                  <c:v>1175</c:v>
                </c:pt>
                <c:pt idx="2">
                  <c:v>884</c:v>
                </c:pt>
                <c:pt idx="3">
                  <c:v>1044</c:v>
                </c:pt>
                <c:pt idx="4">
                  <c:v>811</c:v>
                </c:pt>
                <c:pt idx="5">
                  <c:v>1202</c:v>
                </c:pt>
                <c:pt idx="6">
                  <c:v>1158</c:v>
                </c:pt>
                <c:pt idx="7">
                  <c:v>1233</c:v>
                </c:pt>
              </c:numCache>
            </c:numRef>
          </c:val>
          <c:extLst>
            <c:ext xmlns:c16="http://schemas.microsoft.com/office/drawing/2014/chart" uri="{C3380CC4-5D6E-409C-BE32-E72D297353CC}">
              <c16:uniqueId val="{00000000-361A-47D3-AE6A-DEF225A42E11}"/>
            </c:ext>
          </c:extLst>
        </c:ser>
        <c:ser>
          <c:idx val="1"/>
          <c:order val="1"/>
          <c:tx>
            <c:strRef>
              <c:f>Sheet1!$V$3</c:f>
              <c:strCache>
                <c:ptCount val="1"/>
                <c:pt idx="0">
                  <c:v>75</c:v>
                </c:pt>
              </c:strCache>
            </c:strRef>
          </c:tx>
          <c:spPr>
            <a:solidFill>
              <a:schemeClr val="accent2"/>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Sheet1!$V$4:$V$11</c:f>
              <c:numCache>
                <c:formatCode>General</c:formatCode>
                <c:ptCount val="8"/>
                <c:pt idx="0">
                  <c:v>1602</c:v>
                </c:pt>
                <c:pt idx="1">
                  <c:v>1352</c:v>
                </c:pt>
                <c:pt idx="2">
                  <c:v>1038</c:v>
                </c:pt>
                <c:pt idx="3">
                  <c:v>1168</c:v>
                </c:pt>
                <c:pt idx="4">
                  <c:v>1248</c:v>
                </c:pt>
                <c:pt idx="5">
                  <c:v>1223</c:v>
                </c:pt>
                <c:pt idx="6">
                  <c:v>1186</c:v>
                </c:pt>
                <c:pt idx="7">
                  <c:v>1261</c:v>
                </c:pt>
              </c:numCache>
            </c:numRef>
          </c:val>
          <c:extLst>
            <c:ext xmlns:c16="http://schemas.microsoft.com/office/drawing/2014/chart" uri="{C3380CC4-5D6E-409C-BE32-E72D297353CC}">
              <c16:uniqueId val="{00000001-361A-47D3-AE6A-DEF225A42E11}"/>
            </c:ext>
          </c:extLst>
        </c:ser>
        <c:ser>
          <c:idx val="2"/>
          <c:order val="2"/>
          <c:tx>
            <c:strRef>
              <c:f>Sheet1!$W$3</c:f>
              <c:strCache>
                <c:ptCount val="1"/>
                <c:pt idx="0">
                  <c:v>150</c:v>
                </c:pt>
              </c:strCache>
            </c:strRef>
          </c:tx>
          <c:spPr>
            <a:solidFill>
              <a:schemeClr val="accent3"/>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Sheet1!$W$4:$W$11</c:f>
              <c:numCache>
                <c:formatCode>General</c:formatCode>
                <c:ptCount val="8"/>
                <c:pt idx="0">
                  <c:v>1551</c:v>
                </c:pt>
                <c:pt idx="1">
                  <c:v>1461</c:v>
                </c:pt>
                <c:pt idx="2">
                  <c:v>1167</c:v>
                </c:pt>
                <c:pt idx="3">
                  <c:v>1268</c:v>
                </c:pt>
                <c:pt idx="4">
                  <c:v>1453</c:v>
                </c:pt>
                <c:pt idx="5">
                  <c:v>1266</c:v>
                </c:pt>
                <c:pt idx="6">
                  <c:v>1213</c:v>
                </c:pt>
                <c:pt idx="7">
                  <c:v>1346</c:v>
                </c:pt>
              </c:numCache>
            </c:numRef>
          </c:val>
          <c:extLst>
            <c:ext xmlns:c16="http://schemas.microsoft.com/office/drawing/2014/chart" uri="{C3380CC4-5D6E-409C-BE32-E72D297353CC}">
              <c16:uniqueId val="{00000002-361A-47D3-AE6A-DEF225A42E11}"/>
            </c:ext>
          </c:extLst>
        </c:ser>
        <c:ser>
          <c:idx val="3"/>
          <c:order val="3"/>
          <c:tx>
            <c:strRef>
              <c:f>Sheet1!$X$3</c:f>
              <c:strCache>
                <c:ptCount val="1"/>
                <c:pt idx="0">
                  <c:v>225</c:v>
                </c:pt>
              </c:strCache>
            </c:strRef>
          </c:tx>
          <c:spPr>
            <a:solidFill>
              <a:schemeClr val="accent4"/>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Sheet1!$X$4:$X$11</c:f>
              <c:numCache>
                <c:formatCode>General</c:formatCode>
                <c:ptCount val="8"/>
                <c:pt idx="0">
                  <c:v>1624</c:v>
                </c:pt>
                <c:pt idx="1">
                  <c:v>1728</c:v>
                </c:pt>
                <c:pt idx="2">
                  <c:v>1219</c:v>
                </c:pt>
                <c:pt idx="3">
                  <c:v>1369</c:v>
                </c:pt>
                <c:pt idx="4">
                  <c:v>1609</c:v>
                </c:pt>
                <c:pt idx="5">
                  <c:v>1346</c:v>
                </c:pt>
                <c:pt idx="6">
                  <c:v>1244</c:v>
                </c:pt>
                <c:pt idx="7">
                  <c:v>1448</c:v>
                </c:pt>
              </c:numCache>
            </c:numRef>
          </c:val>
          <c:extLst>
            <c:ext xmlns:c16="http://schemas.microsoft.com/office/drawing/2014/chart" uri="{C3380CC4-5D6E-409C-BE32-E72D297353CC}">
              <c16:uniqueId val="{00000003-361A-47D3-AE6A-DEF225A42E11}"/>
            </c:ext>
          </c:extLst>
        </c:ser>
        <c:ser>
          <c:idx val="4"/>
          <c:order val="4"/>
          <c:tx>
            <c:strRef>
              <c:f>Sheet1!$Y$3</c:f>
              <c:strCache>
                <c:ptCount val="1"/>
                <c:pt idx="0">
                  <c:v>300</c:v>
                </c:pt>
              </c:strCache>
            </c:strRef>
          </c:tx>
          <c:spPr>
            <a:solidFill>
              <a:schemeClr val="accent5"/>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Sheet1!$Y$4:$Y$11</c:f>
              <c:numCache>
                <c:formatCode>General</c:formatCode>
                <c:ptCount val="8"/>
                <c:pt idx="0">
                  <c:v>1691</c:v>
                </c:pt>
                <c:pt idx="1">
                  <c:v>1996</c:v>
                </c:pt>
                <c:pt idx="2">
                  <c:v>1248</c:v>
                </c:pt>
                <c:pt idx="3">
                  <c:v>1384</c:v>
                </c:pt>
                <c:pt idx="4">
                  <c:v>1777</c:v>
                </c:pt>
                <c:pt idx="5">
                  <c:v>1409</c:v>
                </c:pt>
                <c:pt idx="6">
                  <c:v>1274</c:v>
                </c:pt>
                <c:pt idx="7">
                  <c:v>1526</c:v>
                </c:pt>
              </c:numCache>
            </c:numRef>
          </c:val>
          <c:extLst>
            <c:ext xmlns:c16="http://schemas.microsoft.com/office/drawing/2014/chart" uri="{C3380CC4-5D6E-409C-BE32-E72D297353CC}">
              <c16:uniqueId val="{00000004-361A-47D3-AE6A-DEF225A42E11}"/>
            </c:ext>
          </c:extLst>
        </c:ser>
        <c:dLbls>
          <c:showLegendKey val="0"/>
          <c:showVal val="0"/>
          <c:showCatName val="0"/>
          <c:showSerName val="0"/>
          <c:showPercent val="0"/>
          <c:showBubbleSize val="0"/>
        </c:dLbls>
        <c:gapWidth val="300"/>
        <c:axId val="527307248"/>
        <c:axId val="569211776"/>
      </c:barChart>
      <c:lineChart>
        <c:grouping val="standard"/>
        <c:varyColors val="0"/>
        <c:ser>
          <c:idx val="5"/>
          <c:order val="5"/>
          <c:tx>
            <c:strRef>
              <c:f>Sheet1!$Z$3</c:f>
              <c:strCache>
                <c:ptCount val="1"/>
              </c:strCache>
            </c:strRef>
          </c:tx>
          <c:spPr>
            <a:ln w="28575" cap="rnd">
              <a:noFill/>
              <a:round/>
            </a:ln>
            <a:effectLst/>
          </c:spPr>
          <c:marker>
            <c:symbol val="none"/>
          </c:marker>
          <c:errBars>
            <c:errDir val="y"/>
            <c:errBarType val="both"/>
            <c:errValType val="cust"/>
            <c:noEndCap val="0"/>
            <c:plus>
              <c:numRef>
                <c:f>Sheet1!$AB$4:$AB$11</c:f>
                <c:numCache>
                  <c:formatCode>General</c:formatCode>
                  <c:ptCount val="8"/>
                  <c:pt idx="0">
                    <c:v>19</c:v>
                  </c:pt>
                  <c:pt idx="1">
                    <c:v>19</c:v>
                  </c:pt>
                  <c:pt idx="2">
                    <c:v>16</c:v>
                  </c:pt>
                  <c:pt idx="3">
                    <c:v>16</c:v>
                  </c:pt>
                  <c:pt idx="4">
                    <c:v>16</c:v>
                  </c:pt>
                  <c:pt idx="5">
                    <c:v>16</c:v>
                  </c:pt>
                  <c:pt idx="6">
                    <c:v>15</c:v>
                  </c:pt>
                  <c:pt idx="7">
                    <c:v>0</c:v>
                  </c:pt>
                </c:numCache>
              </c:numRef>
            </c:plus>
            <c:minus>
              <c:numRef>
                <c:f>Sheet1!$AB$4:$AB$11</c:f>
                <c:numCache>
                  <c:formatCode>General</c:formatCode>
                  <c:ptCount val="8"/>
                  <c:pt idx="0">
                    <c:v>19</c:v>
                  </c:pt>
                  <c:pt idx="1">
                    <c:v>19</c:v>
                  </c:pt>
                  <c:pt idx="2">
                    <c:v>16</c:v>
                  </c:pt>
                  <c:pt idx="3">
                    <c:v>16</c:v>
                  </c:pt>
                  <c:pt idx="4">
                    <c:v>16</c:v>
                  </c:pt>
                  <c:pt idx="5">
                    <c:v>16</c:v>
                  </c:pt>
                  <c:pt idx="6">
                    <c:v>15</c:v>
                  </c:pt>
                  <c:pt idx="7">
                    <c:v>0</c:v>
                  </c:pt>
                </c:numCache>
              </c:numRef>
            </c:minus>
            <c:spPr>
              <a:noFill/>
              <a:ln w="9525" cap="flat" cmpd="sng" algn="ctr">
                <a:solidFill>
                  <a:schemeClr val="tx1">
                    <a:lumMod val="65000"/>
                    <a:lumOff val="35000"/>
                  </a:schemeClr>
                </a:solidFill>
                <a:round/>
              </a:ln>
              <a:effectLst/>
            </c:spPr>
          </c:errBars>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Sheet1!$Z$4:$Z$11</c:f>
              <c:numCache>
                <c:formatCode>General</c:formatCode>
                <c:ptCount val="8"/>
                <c:pt idx="0">
                  <c:v>1700</c:v>
                </c:pt>
                <c:pt idx="1">
                  <c:v>1700</c:v>
                </c:pt>
                <c:pt idx="2">
                  <c:v>1300</c:v>
                </c:pt>
                <c:pt idx="3">
                  <c:v>1400</c:v>
                </c:pt>
                <c:pt idx="4">
                  <c:v>1600</c:v>
                </c:pt>
                <c:pt idx="5">
                  <c:v>1400</c:v>
                </c:pt>
                <c:pt idx="6">
                  <c:v>1300</c:v>
                </c:pt>
                <c:pt idx="7">
                  <c:v>1400</c:v>
                </c:pt>
              </c:numCache>
            </c:numRef>
          </c:val>
          <c:smooth val="0"/>
          <c:extLst>
            <c:ext xmlns:c16="http://schemas.microsoft.com/office/drawing/2014/chart" uri="{C3380CC4-5D6E-409C-BE32-E72D297353CC}">
              <c16:uniqueId val="{00000005-361A-47D3-AE6A-DEF225A42E11}"/>
            </c:ext>
          </c:extLst>
        </c:ser>
        <c:dLbls>
          <c:showLegendKey val="0"/>
          <c:showVal val="0"/>
          <c:showCatName val="0"/>
          <c:showSerName val="0"/>
          <c:showPercent val="0"/>
          <c:showBubbleSize val="0"/>
        </c:dLbls>
        <c:marker val="1"/>
        <c:smooth val="0"/>
        <c:axId val="527307248"/>
        <c:axId val="569211776"/>
      </c:lineChart>
      <c:catAx>
        <c:axId val="527307248"/>
        <c:scaling>
          <c:orientation val="minMax"/>
        </c:scaling>
        <c:delete val="0"/>
        <c:axPos val="b"/>
        <c:title>
          <c:tx>
            <c:rich>
              <a:bodyPr rot="0" vert="horz"/>
              <a:lstStyle/>
              <a:p>
                <a:pPr>
                  <a:defRPr b="0"/>
                </a:pPr>
                <a:r>
                  <a:rPr lang="en-US" b="0"/>
                  <a:t>Site (bars are LSDs, p≤0.05)</a:t>
                </a:r>
              </a:p>
            </c:rich>
          </c:tx>
          <c:layout>
            <c:manualLayout>
              <c:xMode val="edge"/>
              <c:yMode val="edge"/>
              <c:x val="4.7254568531046294E-2"/>
              <c:y val="0.85425289485873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69211776"/>
        <c:crosses val="autoZero"/>
        <c:auto val="1"/>
        <c:lblAlgn val="ctr"/>
        <c:lblOffset val="100"/>
        <c:noMultiLvlLbl val="0"/>
      </c:catAx>
      <c:valAx>
        <c:axId val="569211776"/>
        <c:scaling>
          <c:orientation val="minMax"/>
          <c:max val="2000"/>
          <c:min val="7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27307248"/>
        <c:crosses val="autoZero"/>
        <c:crossBetween val="between"/>
      </c:valAx>
      <c:spPr>
        <a:noFill/>
        <a:ln>
          <a:noFill/>
        </a:ln>
        <a:effectLst/>
      </c:spPr>
    </c:plotArea>
    <c:legend>
      <c:legendPos val="b"/>
      <c:layout>
        <c:manualLayout>
          <c:xMode val="edge"/>
          <c:yMode val="edge"/>
          <c:x val="3.6360947839266571E-2"/>
          <c:y val="0.91166465956461307"/>
          <c:w val="0.44996981011176418"/>
          <c:h val="6.951181102362204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2239284186535"/>
          <c:y val="5.0656228413539027E-2"/>
          <c:w val="0.74873689425283085"/>
          <c:h val="0.62526429533632721"/>
        </c:manualLayout>
      </c:layout>
      <c:barChart>
        <c:barDir val="col"/>
        <c:grouping val="clustered"/>
        <c:varyColors val="0"/>
        <c:ser>
          <c:idx val="0"/>
          <c:order val="0"/>
          <c:tx>
            <c:strRef>
              <c:f>Sheet1!$AE$3</c:f>
              <c:strCache>
                <c:ptCount val="1"/>
                <c:pt idx="0">
                  <c:v>0</c:v>
                </c:pt>
              </c:strCache>
            </c:strRef>
          </c:tx>
          <c:spPr>
            <a:solidFill>
              <a:schemeClr val="accent1"/>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Sheet1!$AE$4:$AE$11</c:f>
              <c:numCache>
                <c:formatCode>General</c:formatCode>
                <c:ptCount val="8"/>
                <c:pt idx="0">
                  <c:v>1469</c:v>
                </c:pt>
                <c:pt idx="1">
                  <c:v>1485</c:v>
                </c:pt>
                <c:pt idx="2">
                  <c:v>934</c:v>
                </c:pt>
                <c:pt idx="3">
                  <c:v>1058</c:v>
                </c:pt>
                <c:pt idx="4">
                  <c:v>997</c:v>
                </c:pt>
                <c:pt idx="5">
                  <c:v>1193</c:v>
                </c:pt>
                <c:pt idx="6">
                  <c:v>1061</c:v>
                </c:pt>
                <c:pt idx="7">
                  <c:v>1171</c:v>
                </c:pt>
              </c:numCache>
            </c:numRef>
          </c:val>
          <c:extLst>
            <c:ext xmlns:c16="http://schemas.microsoft.com/office/drawing/2014/chart" uri="{C3380CC4-5D6E-409C-BE32-E72D297353CC}">
              <c16:uniqueId val="{00000000-0DC4-42B6-9828-FDD2E39632D9}"/>
            </c:ext>
          </c:extLst>
        </c:ser>
        <c:ser>
          <c:idx val="1"/>
          <c:order val="1"/>
          <c:tx>
            <c:strRef>
              <c:f>Sheet1!$AF$3</c:f>
              <c:strCache>
                <c:ptCount val="1"/>
                <c:pt idx="0">
                  <c:v>75</c:v>
                </c:pt>
              </c:strCache>
            </c:strRef>
          </c:tx>
          <c:spPr>
            <a:solidFill>
              <a:schemeClr val="accent2"/>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Sheet1!$AF$4:$AF$11</c:f>
              <c:numCache>
                <c:formatCode>General</c:formatCode>
                <c:ptCount val="8"/>
                <c:pt idx="0">
                  <c:v>1525</c:v>
                </c:pt>
                <c:pt idx="1">
                  <c:v>1473</c:v>
                </c:pt>
                <c:pt idx="2">
                  <c:v>1000</c:v>
                </c:pt>
                <c:pt idx="3">
                  <c:v>1166</c:v>
                </c:pt>
                <c:pt idx="4">
                  <c:v>1064</c:v>
                </c:pt>
                <c:pt idx="5">
                  <c:v>1198</c:v>
                </c:pt>
                <c:pt idx="6">
                  <c:v>1092</c:v>
                </c:pt>
                <c:pt idx="7">
                  <c:v>1217</c:v>
                </c:pt>
              </c:numCache>
            </c:numRef>
          </c:val>
          <c:extLst>
            <c:ext xmlns:c16="http://schemas.microsoft.com/office/drawing/2014/chart" uri="{C3380CC4-5D6E-409C-BE32-E72D297353CC}">
              <c16:uniqueId val="{00000001-0DC4-42B6-9828-FDD2E39632D9}"/>
            </c:ext>
          </c:extLst>
        </c:ser>
        <c:ser>
          <c:idx val="2"/>
          <c:order val="2"/>
          <c:tx>
            <c:strRef>
              <c:f>Sheet1!$AG$3</c:f>
              <c:strCache>
                <c:ptCount val="1"/>
                <c:pt idx="0">
                  <c:v>150</c:v>
                </c:pt>
              </c:strCache>
            </c:strRef>
          </c:tx>
          <c:spPr>
            <a:solidFill>
              <a:schemeClr val="accent3"/>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Sheet1!$AG$4:$AG$11</c:f>
              <c:numCache>
                <c:formatCode>General</c:formatCode>
                <c:ptCount val="8"/>
                <c:pt idx="0">
                  <c:v>1587</c:v>
                </c:pt>
                <c:pt idx="1">
                  <c:v>1583</c:v>
                </c:pt>
                <c:pt idx="2">
                  <c:v>1130</c:v>
                </c:pt>
                <c:pt idx="3">
                  <c:v>1251</c:v>
                </c:pt>
                <c:pt idx="4">
                  <c:v>1225</c:v>
                </c:pt>
                <c:pt idx="5">
                  <c:v>1225</c:v>
                </c:pt>
                <c:pt idx="6">
                  <c:v>1118</c:v>
                </c:pt>
                <c:pt idx="7">
                  <c:v>1303</c:v>
                </c:pt>
              </c:numCache>
            </c:numRef>
          </c:val>
          <c:extLst>
            <c:ext xmlns:c16="http://schemas.microsoft.com/office/drawing/2014/chart" uri="{C3380CC4-5D6E-409C-BE32-E72D297353CC}">
              <c16:uniqueId val="{00000002-0DC4-42B6-9828-FDD2E39632D9}"/>
            </c:ext>
          </c:extLst>
        </c:ser>
        <c:ser>
          <c:idx val="3"/>
          <c:order val="3"/>
          <c:tx>
            <c:strRef>
              <c:f>Sheet1!$AH$3</c:f>
              <c:strCache>
                <c:ptCount val="1"/>
                <c:pt idx="0">
                  <c:v>225</c:v>
                </c:pt>
              </c:strCache>
            </c:strRef>
          </c:tx>
          <c:spPr>
            <a:solidFill>
              <a:schemeClr val="accent4"/>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Sheet1!$AH$4:$AH$11</c:f>
              <c:numCache>
                <c:formatCode>General</c:formatCode>
                <c:ptCount val="8"/>
                <c:pt idx="0">
                  <c:v>1586</c:v>
                </c:pt>
                <c:pt idx="1">
                  <c:v>1770</c:v>
                </c:pt>
                <c:pt idx="2">
                  <c:v>1070</c:v>
                </c:pt>
                <c:pt idx="3">
                  <c:v>1313</c:v>
                </c:pt>
                <c:pt idx="4">
                  <c:v>1257</c:v>
                </c:pt>
                <c:pt idx="5">
                  <c:v>1272</c:v>
                </c:pt>
                <c:pt idx="6">
                  <c:v>1181</c:v>
                </c:pt>
                <c:pt idx="7">
                  <c:v>1350</c:v>
                </c:pt>
              </c:numCache>
            </c:numRef>
          </c:val>
          <c:extLst>
            <c:ext xmlns:c16="http://schemas.microsoft.com/office/drawing/2014/chart" uri="{C3380CC4-5D6E-409C-BE32-E72D297353CC}">
              <c16:uniqueId val="{00000003-0DC4-42B6-9828-FDD2E39632D9}"/>
            </c:ext>
          </c:extLst>
        </c:ser>
        <c:ser>
          <c:idx val="4"/>
          <c:order val="4"/>
          <c:tx>
            <c:strRef>
              <c:f>Sheet1!$AI$3</c:f>
              <c:strCache>
                <c:ptCount val="1"/>
                <c:pt idx="0">
                  <c:v>300</c:v>
                </c:pt>
              </c:strCache>
            </c:strRef>
          </c:tx>
          <c:spPr>
            <a:solidFill>
              <a:schemeClr val="accent5"/>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Sheet1!$AI$4:$AI$11</c:f>
              <c:numCache>
                <c:formatCode>General</c:formatCode>
                <c:ptCount val="8"/>
                <c:pt idx="0">
                  <c:v>1642</c:v>
                </c:pt>
                <c:pt idx="1">
                  <c:v>1852</c:v>
                </c:pt>
                <c:pt idx="2">
                  <c:v>1178</c:v>
                </c:pt>
                <c:pt idx="3">
                  <c:v>1367</c:v>
                </c:pt>
                <c:pt idx="4">
                  <c:v>1330</c:v>
                </c:pt>
                <c:pt idx="5">
                  <c:v>1289</c:v>
                </c:pt>
                <c:pt idx="6">
                  <c:v>1230</c:v>
                </c:pt>
                <c:pt idx="7">
                  <c:v>1412</c:v>
                </c:pt>
              </c:numCache>
            </c:numRef>
          </c:val>
          <c:extLst>
            <c:ext xmlns:c16="http://schemas.microsoft.com/office/drawing/2014/chart" uri="{C3380CC4-5D6E-409C-BE32-E72D297353CC}">
              <c16:uniqueId val="{00000004-0DC4-42B6-9828-FDD2E39632D9}"/>
            </c:ext>
          </c:extLst>
        </c:ser>
        <c:dLbls>
          <c:showLegendKey val="0"/>
          <c:showVal val="0"/>
          <c:showCatName val="0"/>
          <c:showSerName val="0"/>
          <c:showPercent val="0"/>
          <c:showBubbleSize val="0"/>
        </c:dLbls>
        <c:gapWidth val="300"/>
        <c:axId val="569209424"/>
        <c:axId val="445769384"/>
      </c:barChart>
      <c:lineChart>
        <c:grouping val="standard"/>
        <c:varyColors val="0"/>
        <c:ser>
          <c:idx val="5"/>
          <c:order val="5"/>
          <c:tx>
            <c:strRef>
              <c:f>Sheet1!$AJ$3</c:f>
              <c:strCache>
                <c:ptCount val="1"/>
              </c:strCache>
            </c:strRef>
          </c:tx>
          <c:spPr>
            <a:ln w="28575" cap="rnd">
              <a:noFill/>
              <a:round/>
            </a:ln>
            <a:effectLst/>
          </c:spPr>
          <c:marker>
            <c:symbol val="none"/>
          </c:marker>
          <c:errBars>
            <c:errDir val="y"/>
            <c:errBarType val="both"/>
            <c:errValType val="cust"/>
            <c:noEndCap val="0"/>
            <c:plus>
              <c:numRef>
                <c:f>Sheet1!$AK$4:$AK$11</c:f>
                <c:numCache>
                  <c:formatCode>General</c:formatCode>
                  <c:ptCount val="8"/>
                  <c:pt idx="0">
                    <c:v>16</c:v>
                  </c:pt>
                  <c:pt idx="1">
                    <c:v>12</c:v>
                  </c:pt>
                  <c:pt idx="2">
                    <c:v>13</c:v>
                  </c:pt>
                  <c:pt idx="3">
                    <c:v>16</c:v>
                  </c:pt>
                  <c:pt idx="4">
                    <c:v>11.5</c:v>
                  </c:pt>
                  <c:pt idx="5">
                    <c:v>14</c:v>
                  </c:pt>
                  <c:pt idx="6">
                    <c:v>13.5</c:v>
                  </c:pt>
                  <c:pt idx="7">
                    <c:v>10</c:v>
                  </c:pt>
                </c:numCache>
              </c:numRef>
            </c:plus>
            <c:minus>
              <c:numRef>
                <c:f>Sheet1!$AK$4:$AK$11</c:f>
                <c:numCache>
                  <c:formatCode>General</c:formatCode>
                  <c:ptCount val="8"/>
                  <c:pt idx="0">
                    <c:v>16</c:v>
                  </c:pt>
                  <c:pt idx="1">
                    <c:v>12</c:v>
                  </c:pt>
                  <c:pt idx="2">
                    <c:v>13</c:v>
                  </c:pt>
                  <c:pt idx="3">
                    <c:v>16</c:v>
                  </c:pt>
                  <c:pt idx="4">
                    <c:v>11.5</c:v>
                  </c:pt>
                  <c:pt idx="5">
                    <c:v>14</c:v>
                  </c:pt>
                  <c:pt idx="6">
                    <c:v>13.5</c:v>
                  </c:pt>
                  <c:pt idx="7">
                    <c:v>10</c:v>
                  </c:pt>
                </c:numCache>
              </c:numRef>
            </c:minus>
            <c:spPr>
              <a:noFill/>
              <a:ln w="9525" cap="flat" cmpd="sng" algn="ctr">
                <a:solidFill>
                  <a:schemeClr val="tx1">
                    <a:lumMod val="65000"/>
                    <a:lumOff val="35000"/>
                  </a:schemeClr>
                </a:solidFill>
                <a:round/>
              </a:ln>
              <a:effectLst/>
            </c:spPr>
          </c:errBars>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Sheet1!$AJ$4:$AJ$11</c:f>
              <c:numCache>
                <c:formatCode>General</c:formatCode>
                <c:ptCount val="8"/>
                <c:pt idx="0">
                  <c:v>1700</c:v>
                </c:pt>
                <c:pt idx="1">
                  <c:v>1700</c:v>
                </c:pt>
                <c:pt idx="2">
                  <c:v>1200</c:v>
                </c:pt>
                <c:pt idx="3">
                  <c:v>1400</c:v>
                </c:pt>
                <c:pt idx="4">
                  <c:v>1300</c:v>
                </c:pt>
                <c:pt idx="5">
                  <c:v>1300</c:v>
                </c:pt>
                <c:pt idx="6">
                  <c:v>1200</c:v>
                </c:pt>
                <c:pt idx="7">
                  <c:v>1400</c:v>
                </c:pt>
              </c:numCache>
            </c:numRef>
          </c:val>
          <c:smooth val="0"/>
          <c:extLst>
            <c:ext xmlns:c16="http://schemas.microsoft.com/office/drawing/2014/chart" uri="{C3380CC4-5D6E-409C-BE32-E72D297353CC}">
              <c16:uniqueId val="{00000005-0DC4-42B6-9828-FDD2E39632D9}"/>
            </c:ext>
          </c:extLst>
        </c:ser>
        <c:dLbls>
          <c:showLegendKey val="0"/>
          <c:showVal val="0"/>
          <c:showCatName val="0"/>
          <c:showSerName val="0"/>
          <c:showPercent val="0"/>
          <c:showBubbleSize val="0"/>
        </c:dLbls>
        <c:marker val="1"/>
        <c:smooth val="0"/>
        <c:axId val="569209424"/>
        <c:axId val="445769384"/>
      </c:lineChart>
      <c:catAx>
        <c:axId val="569209424"/>
        <c:scaling>
          <c:orientation val="minMax"/>
        </c:scaling>
        <c:delete val="0"/>
        <c:axPos val="b"/>
        <c:title>
          <c:tx>
            <c:rich>
              <a:bodyPr rot="0" vert="horz"/>
              <a:lstStyle/>
              <a:p>
                <a:pPr>
                  <a:defRPr b="0"/>
                </a:pPr>
                <a:r>
                  <a:rPr lang="en-US" b="0"/>
                  <a:t>Site (bars are LSDs, p≤0.05)</a:t>
                </a:r>
              </a:p>
            </c:rich>
          </c:tx>
          <c:layout>
            <c:manualLayout>
              <c:xMode val="edge"/>
              <c:yMode val="edge"/>
              <c:x val="2.0198870889474658E-2"/>
              <c:y val="0.848163666394106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45769384"/>
        <c:crosses val="autoZero"/>
        <c:auto val="1"/>
        <c:lblAlgn val="ctr"/>
        <c:lblOffset val="100"/>
        <c:noMultiLvlLbl val="0"/>
      </c:catAx>
      <c:valAx>
        <c:axId val="445769384"/>
        <c:scaling>
          <c:orientation val="minMax"/>
          <c:max val="1860"/>
          <c:min val="8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69209424"/>
        <c:crosses val="autoZero"/>
        <c:crossBetween val="between"/>
      </c:valAx>
      <c:spPr>
        <a:noFill/>
        <a:ln>
          <a:noFill/>
        </a:ln>
        <a:effectLst/>
      </c:spPr>
    </c:plotArea>
    <c:legend>
      <c:legendPos val="b"/>
      <c:layout>
        <c:manualLayout>
          <c:xMode val="edge"/>
          <c:yMode val="edge"/>
          <c:x val="4.6892071709846682E-2"/>
          <c:y val="0.9135562521643118"/>
          <c:w val="0.49393293306663916"/>
          <c:h val="6.802330113985578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1686734909589"/>
          <c:y val="5.030871255431054E-2"/>
          <c:w val="0.84913751958696837"/>
          <c:h val="0.75721706750982676"/>
        </c:manualLayout>
      </c:layout>
      <c:barChart>
        <c:barDir val="col"/>
        <c:grouping val="clustered"/>
        <c:varyColors val="0"/>
        <c:ser>
          <c:idx val="0"/>
          <c:order val="0"/>
          <c:tx>
            <c:strRef>
              <c:f>Sheet1!$I$61</c:f>
              <c:strCache>
                <c:ptCount val="1"/>
                <c:pt idx="0">
                  <c:v>Timbilil</c:v>
                </c:pt>
              </c:strCache>
            </c:strRef>
          </c:tx>
          <c:spPr>
            <a:solidFill>
              <a:schemeClr val="accent1"/>
            </a:solidFill>
            <a:ln>
              <a:noFill/>
            </a:ln>
            <a:effectLst/>
          </c:spPr>
          <c:invertIfNegative val="0"/>
          <c:cat>
            <c:strRef>
              <c:f>Sheet1!$H$62:$H$65</c:f>
              <c:strCache>
                <c:ptCount val="4"/>
                <c:pt idx="0">
                  <c:v>0-10 cm</c:v>
                </c:pt>
                <c:pt idx="1">
                  <c:v>"10-20 cm</c:v>
                </c:pt>
                <c:pt idx="2">
                  <c:v>20-30 cm</c:v>
                </c:pt>
                <c:pt idx="3">
                  <c:v>40-60 cm</c:v>
                </c:pt>
              </c:strCache>
            </c:strRef>
          </c:cat>
          <c:val>
            <c:numRef>
              <c:f>Sheet1!$I$62:$I$65</c:f>
              <c:numCache>
                <c:formatCode>General</c:formatCode>
                <c:ptCount val="4"/>
                <c:pt idx="0">
                  <c:v>142</c:v>
                </c:pt>
                <c:pt idx="1">
                  <c:v>118</c:v>
                </c:pt>
                <c:pt idx="2">
                  <c:v>113</c:v>
                </c:pt>
                <c:pt idx="3">
                  <c:v>99</c:v>
                </c:pt>
              </c:numCache>
            </c:numRef>
          </c:val>
          <c:extLst>
            <c:ext xmlns:c16="http://schemas.microsoft.com/office/drawing/2014/chart" uri="{C3380CC4-5D6E-409C-BE32-E72D297353CC}">
              <c16:uniqueId val="{00000000-68F6-424B-B782-3D3CAB1D43AD}"/>
            </c:ext>
          </c:extLst>
        </c:ser>
        <c:ser>
          <c:idx val="1"/>
          <c:order val="1"/>
          <c:tx>
            <c:strRef>
              <c:f>Sheet1!$J$61</c:f>
              <c:strCache>
                <c:ptCount val="1"/>
                <c:pt idx="0">
                  <c:v>Changoi</c:v>
                </c:pt>
              </c:strCache>
            </c:strRef>
          </c:tx>
          <c:spPr>
            <a:solidFill>
              <a:schemeClr val="accent2"/>
            </a:solidFill>
            <a:ln>
              <a:noFill/>
            </a:ln>
            <a:effectLst/>
          </c:spPr>
          <c:invertIfNegative val="0"/>
          <c:cat>
            <c:strRef>
              <c:f>Sheet1!$H$62:$H$65</c:f>
              <c:strCache>
                <c:ptCount val="4"/>
                <c:pt idx="0">
                  <c:v>0-10 cm</c:v>
                </c:pt>
                <c:pt idx="1">
                  <c:v>"10-20 cm</c:v>
                </c:pt>
                <c:pt idx="2">
                  <c:v>20-30 cm</c:v>
                </c:pt>
                <c:pt idx="3">
                  <c:v>40-60 cm</c:v>
                </c:pt>
              </c:strCache>
            </c:strRef>
          </c:cat>
          <c:val>
            <c:numRef>
              <c:f>Sheet1!$J$62:$J$65</c:f>
              <c:numCache>
                <c:formatCode>General</c:formatCode>
                <c:ptCount val="4"/>
                <c:pt idx="0">
                  <c:v>109</c:v>
                </c:pt>
                <c:pt idx="1">
                  <c:v>107</c:v>
                </c:pt>
                <c:pt idx="2">
                  <c:v>89</c:v>
                </c:pt>
                <c:pt idx="3">
                  <c:v>55</c:v>
                </c:pt>
              </c:numCache>
            </c:numRef>
          </c:val>
          <c:extLst>
            <c:ext xmlns:c16="http://schemas.microsoft.com/office/drawing/2014/chart" uri="{C3380CC4-5D6E-409C-BE32-E72D297353CC}">
              <c16:uniqueId val="{00000001-68F6-424B-B782-3D3CAB1D43AD}"/>
            </c:ext>
          </c:extLst>
        </c:ser>
        <c:ser>
          <c:idx val="2"/>
          <c:order val="2"/>
          <c:tx>
            <c:strRef>
              <c:f>Sheet1!$K$61</c:f>
              <c:strCache>
                <c:ptCount val="1"/>
                <c:pt idx="0">
                  <c:v>Arroket</c:v>
                </c:pt>
              </c:strCache>
            </c:strRef>
          </c:tx>
          <c:spPr>
            <a:solidFill>
              <a:schemeClr val="accent3"/>
            </a:solidFill>
            <a:ln>
              <a:noFill/>
            </a:ln>
            <a:effectLst/>
          </c:spPr>
          <c:invertIfNegative val="0"/>
          <c:cat>
            <c:strRef>
              <c:f>Sheet1!$H$62:$H$65</c:f>
              <c:strCache>
                <c:ptCount val="4"/>
                <c:pt idx="0">
                  <c:v>0-10 cm</c:v>
                </c:pt>
                <c:pt idx="1">
                  <c:v>"10-20 cm</c:v>
                </c:pt>
                <c:pt idx="2">
                  <c:v>20-30 cm</c:v>
                </c:pt>
                <c:pt idx="3">
                  <c:v>40-60 cm</c:v>
                </c:pt>
              </c:strCache>
            </c:strRef>
          </c:cat>
          <c:val>
            <c:numRef>
              <c:f>Sheet1!$K$62:$K$65</c:f>
              <c:numCache>
                <c:formatCode>General</c:formatCode>
                <c:ptCount val="4"/>
                <c:pt idx="0">
                  <c:v>110</c:v>
                </c:pt>
                <c:pt idx="1">
                  <c:v>130</c:v>
                </c:pt>
                <c:pt idx="2">
                  <c:v>135</c:v>
                </c:pt>
                <c:pt idx="3">
                  <c:v>121</c:v>
                </c:pt>
              </c:numCache>
            </c:numRef>
          </c:val>
          <c:extLst>
            <c:ext xmlns:c16="http://schemas.microsoft.com/office/drawing/2014/chart" uri="{C3380CC4-5D6E-409C-BE32-E72D297353CC}">
              <c16:uniqueId val="{00000002-68F6-424B-B782-3D3CAB1D43AD}"/>
            </c:ext>
          </c:extLst>
        </c:ser>
        <c:ser>
          <c:idx val="3"/>
          <c:order val="3"/>
          <c:tx>
            <c:strRef>
              <c:f>Sheet1!$L$61</c:f>
              <c:strCache>
                <c:ptCount val="1"/>
                <c:pt idx="0">
                  <c:v>Kitabi</c:v>
                </c:pt>
              </c:strCache>
            </c:strRef>
          </c:tx>
          <c:spPr>
            <a:solidFill>
              <a:schemeClr val="accent4"/>
            </a:solidFill>
            <a:ln>
              <a:noFill/>
            </a:ln>
            <a:effectLst/>
          </c:spPr>
          <c:invertIfNegative val="0"/>
          <c:cat>
            <c:strRef>
              <c:f>Sheet1!$H$62:$H$65</c:f>
              <c:strCache>
                <c:ptCount val="4"/>
                <c:pt idx="0">
                  <c:v>0-10 cm</c:v>
                </c:pt>
                <c:pt idx="1">
                  <c:v>"10-20 cm</c:v>
                </c:pt>
                <c:pt idx="2">
                  <c:v>20-30 cm</c:v>
                </c:pt>
                <c:pt idx="3">
                  <c:v>40-60 cm</c:v>
                </c:pt>
              </c:strCache>
            </c:strRef>
          </c:cat>
          <c:val>
            <c:numRef>
              <c:f>Sheet1!$L$62:$L$65</c:f>
              <c:numCache>
                <c:formatCode>General</c:formatCode>
                <c:ptCount val="4"/>
                <c:pt idx="0">
                  <c:v>350</c:v>
                </c:pt>
                <c:pt idx="1">
                  <c:v>339</c:v>
                </c:pt>
                <c:pt idx="2">
                  <c:v>315</c:v>
                </c:pt>
                <c:pt idx="3">
                  <c:v>303</c:v>
                </c:pt>
              </c:numCache>
            </c:numRef>
          </c:val>
          <c:extLst>
            <c:ext xmlns:c16="http://schemas.microsoft.com/office/drawing/2014/chart" uri="{C3380CC4-5D6E-409C-BE32-E72D297353CC}">
              <c16:uniqueId val="{00000003-68F6-424B-B782-3D3CAB1D43AD}"/>
            </c:ext>
          </c:extLst>
        </c:ser>
        <c:ser>
          <c:idx val="4"/>
          <c:order val="4"/>
          <c:tx>
            <c:strRef>
              <c:f>Sheet1!$M$61</c:f>
              <c:strCache>
                <c:ptCount val="1"/>
                <c:pt idx="0">
                  <c:v>Mulindi</c:v>
                </c:pt>
              </c:strCache>
            </c:strRef>
          </c:tx>
          <c:spPr>
            <a:solidFill>
              <a:schemeClr val="accent5"/>
            </a:solidFill>
            <a:ln>
              <a:noFill/>
            </a:ln>
            <a:effectLst/>
          </c:spPr>
          <c:invertIfNegative val="0"/>
          <c:cat>
            <c:strRef>
              <c:f>Sheet1!$H$62:$H$65</c:f>
              <c:strCache>
                <c:ptCount val="4"/>
                <c:pt idx="0">
                  <c:v>0-10 cm</c:v>
                </c:pt>
                <c:pt idx="1">
                  <c:v>"10-20 cm</c:v>
                </c:pt>
                <c:pt idx="2">
                  <c:v>20-30 cm</c:v>
                </c:pt>
                <c:pt idx="3">
                  <c:v>40-60 cm</c:v>
                </c:pt>
              </c:strCache>
            </c:strRef>
          </c:cat>
          <c:val>
            <c:numRef>
              <c:f>Sheet1!$M$62:$M$65</c:f>
              <c:numCache>
                <c:formatCode>General</c:formatCode>
                <c:ptCount val="4"/>
                <c:pt idx="0">
                  <c:v>354</c:v>
                </c:pt>
                <c:pt idx="1">
                  <c:v>374</c:v>
                </c:pt>
                <c:pt idx="2">
                  <c:v>462</c:v>
                </c:pt>
                <c:pt idx="3">
                  <c:v>398</c:v>
                </c:pt>
              </c:numCache>
            </c:numRef>
          </c:val>
          <c:extLst>
            <c:ext xmlns:c16="http://schemas.microsoft.com/office/drawing/2014/chart" uri="{C3380CC4-5D6E-409C-BE32-E72D297353CC}">
              <c16:uniqueId val="{00000004-68F6-424B-B782-3D3CAB1D43AD}"/>
            </c:ext>
          </c:extLst>
        </c:ser>
        <c:ser>
          <c:idx val="5"/>
          <c:order val="5"/>
          <c:tx>
            <c:strRef>
              <c:f>Sheet1!$N$61</c:f>
              <c:strCache>
                <c:ptCount val="1"/>
                <c:pt idx="0">
                  <c:v>Katoke</c:v>
                </c:pt>
              </c:strCache>
            </c:strRef>
          </c:tx>
          <c:spPr>
            <a:solidFill>
              <a:schemeClr val="accent6"/>
            </a:solidFill>
            <a:ln>
              <a:noFill/>
            </a:ln>
            <a:effectLst/>
          </c:spPr>
          <c:invertIfNegative val="0"/>
          <c:cat>
            <c:strRef>
              <c:f>Sheet1!$H$62:$H$65</c:f>
              <c:strCache>
                <c:ptCount val="4"/>
                <c:pt idx="0">
                  <c:v>0-10 cm</c:v>
                </c:pt>
                <c:pt idx="1">
                  <c:v>"10-20 cm</c:v>
                </c:pt>
                <c:pt idx="2">
                  <c:v>20-30 cm</c:v>
                </c:pt>
                <c:pt idx="3">
                  <c:v>40-60 cm</c:v>
                </c:pt>
              </c:strCache>
            </c:strRef>
          </c:cat>
          <c:val>
            <c:numRef>
              <c:f>Sheet1!$N$62:$N$65</c:f>
              <c:numCache>
                <c:formatCode>General</c:formatCode>
                <c:ptCount val="4"/>
                <c:pt idx="0">
                  <c:v>59</c:v>
                </c:pt>
                <c:pt idx="1">
                  <c:v>55</c:v>
                </c:pt>
                <c:pt idx="2">
                  <c:v>55</c:v>
                </c:pt>
                <c:pt idx="3">
                  <c:v>57</c:v>
                </c:pt>
              </c:numCache>
            </c:numRef>
          </c:val>
          <c:extLst>
            <c:ext xmlns:c16="http://schemas.microsoft.com/office/drawing/2014/chart" uri="{C3380CC4-5D6E-409C-BE32-E72D297353CC}">
              <c16:uniqueId val="{00000005-68F6-424B-B782-3D3CAB1D43AD}"/>
            </c:ext>
          </c:extLst>
        </c:ser>
        <c:ser>
          <c:idx val="6"/>
          <c:order val="6"/>
          <c:tx>
            <c:strRef>
              <c:f>Sheet1!$O$61</c:f>
              <c:strCache>
                <c:ptCount val="1"/>
                <c:pt idx="0">
                  <c:v>Maruku</c:v>
                </c:pt>
              </c:strCache>
            </c:strRef>
          </c:tx>
          <c:spPr>
            <a:solidFill>
              <a:schemeClr val="accent1">
                <a:lumMod val="60000"/>
              </a:schemeClr>
            </a:solidFill>
            <a:ln>
              <a:noFill/>
            </a:ln>
            <a:effectLst/>
          </c:spPr>
          <c:invertIfNegative val="0"/>
          <c:cat>
            <c:strRef>
              <c:f>Sheet1!$H$62:$H$65</c:f>
              <c:strCache>
                <c:ptCount val="4"/>
                <c:pt idx="0">
                  <c:v>0-10 cm</c:v>
                </c:pt>
                <c:pt idx="1">
                  <c:v>"10-20 cm</c:v>
                </c:pt>
                <c:pt idx="2">
                  <c:v>20-30 cm</c:v>
                </c:pt>
                <c:pt idx="3">
                  <c:v>40-60 cm</c:v>
                </c:pt>
              </c:strCache>
            </c:strRef>
          </c:cat>
          <c:val>
            <c:numRef>
              <c:f>Sheet1!$O$62:$O$65</c:f>
              <c:numCache>
                <c:formatCode>General</c:formatCode>
                <c:ptCount val="4"/>
                <c:pt idx="0">
                  <c:v>60</c:v>
                </c:pt>
                <c:pt idx="1">
                  <c:v>59</c:v>
                </c:pt>
                <c:pt idx="2">
                  <c:v>44</c:v>
                </c:pt>
                <c:pt idx="3">
                  <c:v>32</c:v>
                </c:pt>
              </c:numCache>
            </c:numRef>
          </c:val>
          <c:extLst>
            <c:ext xmlns:c16="http://schemas.microsoft.com/office/drawing/2014/chart" uri="{C3380CC4-5D6E-409C-BE32-E72D297353CC}">
              <c16:uniqueId val="{00000006-68F6-424B-B782-3D3CAB1D43AD}"/>
            </c:ext>
          </c:extLst>
        </c:ser>
        <c:dLbls>
          <c:showLegendKey val="0"/>
          <c:showVal val="0"/>
          <c:showCatName val="0"/>
          <c:showSerName val="0"/>
          <c:showPercent val="0"/>
          <c:showBubbleSize val="0"/>
        </c:dLbls>
        <c:gapWidth val="300"/>
        <c:axId val="445767816"/>
        <c:axId val="524850168"/>
      </c:barChart>
      <c:lineChart>
        <c:grouping val="standard"/>
        <c:varyColors val="0"/>
        <c:ser>
          <c:idx val="7"/>
          <c:order val="7"/>
          <c:tx>
            <c:strRef>
              <c:f>Sheet1!$P$61</c:f>
              <c:strCache>
                <c:ptCount val="1"/>
              </c:strCache>
            </c:strRef>
          </c:tx>
          <c:spPr>
            <a:ln w="28575" cap="rnd">
              <a:noFill/>
              <a:round/>
            </a:ln>
            <a:effectLst/>
          </c:spPr>
          <c:marker>
            <c:symbol val="none"/>
          </c:marker>
          <c:errBars>
            <c:errDir val="y"/>
            <c:errBarType val="both"/>
            <c:errValType val="cust"/>
            <c:noEndCap val="0"/>
            <c:plus>
              <c:numRef>
                <c:f>Sheet1!$Q$62:$Q$65</c:f>
                <c:numCache>
                  <c:formatCode>General</c:formatCode>
                  <c:ptCount val="4"/>
                  <c:pt idx="0">
                    <c:v>2.5</c:v>
                  </c:pt>
                  <c:pt idx="1">
                    <c:v>14</c:v>
                  </c:pt>
                  <c:pt idx="2">
                    <c:v>2.5</c:v>
                  </c:pt>
                  <c:pt idx="3">
                    <c:v>0</c:v>
                  </c:pt>
                </c:numCache>
              </c:numRef>
            </c:plus>
            <c:minus>
              <c:numRef>
                <c:f>Sheet1!$Q$62:$Q$65</c:f>
                <c:numCache>
                  <c:formatCode>General</c:formatCode>
                  <c:ptCount val="4"/>
                  <c:pt idx="0">
                    <c:v>2.5</c:v>
                  </c:pt>
                  <c:pt idx="1">
                    <c:v>14</c:v>
                  </c:pt>
                  <c:pt idx="2">
                    <c:v>2.5</c:v>
                  </c:pt>
                  <c:pt idx="3">
                    <c:v>0</c:v>
                  </c:pt>
                </c:numCache>
              </c:numRef>
            </c:minus>
            <c:spPr>
              <a:noFill/>
              <a:ln w="9525" cap="flat" cmpd="sng" algn="ctr">
                <a:solidFill>
                  <a:schemeClr val="tx1">
                    <a:lumMod val="65000"/>
                    <a:lumOff val="35000"/>
                  </a:schemeClr>
                </a:solidFill>
                <a:round/>
              </a:ln>
              <a:effectLst/>
            </c:spPr>
          </c:errBars>
          <c:cat>
            <c:strRef>
              <c:f>Sheet1!$H$62:$H$65</c:f>
              <c:strCache>
                <c:ptCount val="4"/>
                <c:pt idx="0">
                  <c:v>0-10 cm</c:v>
                </c:pt>
                <c:pt idx="1">
                  <c:v>"10-20 cm</c:v>
                </c:pt>
                <c:pt idx="2">
                  <c:v>20-30 cm</c:v>
                </c:pt>
                <c:pt idx="3">
                  <c:v>40-60 cm</c:v>
                </c:pt>
              </c:strCache>
            </c:strRef>
          </c:cat>
          <c:val>
            <c:numRef>
              <c:f>Sheet1!$P$62:$P$65</c:f>
              <c:numCache>
                <c:formatCode>General</c:formatCode>
                <c:ptCount val="4"/>
                <c:pt idx="0">
                  <c:v>370</c:v>
                </c:pt>
                <c:pt idx="1">
                  <c:v>360</c:v>
                </c:pt>
                <c:pt idx="2">
                  <c:v>340</c:v>
                </c:pt>
                <c:pt idx="3">
                  <c:v>330</c:v>
                </c:pt>
              </c:numCache>
            </c:numRef>
          </c:val>
          <c:smooth val="0"/>
          <c:extLst>
            <c:ext xmlns:c16="http://schemas.microsoft.com/office/drawing/2014/chart" uri="{C3380CC4-5D6E-409C-BE32-E72D297353CC}">
              <c16:uniqueId val="{00000007-68F6-424B-B782-3D3CAB1D43AD}"/>
            </c:ext>
          </c:extLst>
        </c:ser>
        <c:dLbls>
          <c:showLegendKey val="0"/>
          <c:showVal val="0"/>
          <c:showCatName val="0"/>
          <c:showSerName val="0"/>
          <c:showPercent val="0"/>
          <c:showBubbleSize val="0"/>
        </c:dLbls>
        <c:marker val="1"/>
        <c:smooth val="0"/>
        <c:axId val="445767816"/>
        <c:axId val="524850168"/>
      </c:lineChart>
      <c:catAx>
        <c:axId val="445767816"/>
        <c:scaling>
          <c:orientation val="minMax"/>
        </c:scaling>
        <c:delete val="0"/>
        <c:axPos val="b"/>
        <c:title>
          <c:tx>
            <c:rich>
              <a:bodyPr rot="0" vert="horz"/>
              <a:lstStyle/>
              <a:p>
                <a:pPr>
                  <a:defRPr/>
                </a:pPr>
                <a:r>
                  <a:rPr lang="en-US"/>
                  <a:t>Soil Depths (cm) (bars are LSDs, p≤0.05)</a:t>
                </a:r>
              </a:p>
            </c:rich>
          </c:tx>
          <c:layout>
            <c:manualLayout>
              <c:xMode val="edge"/>
              <c:yMode val="edge"/>
              <c:x val="5.576603298238425E-2"/>
              <c:y val="0.862925863972011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24850168"/>
        <c:crosses val="autoZero"/>
        <c:auto val="1"/>
        <c:lblAlgn val="ctr"/>
        <c:lblOffset val="100"/>
        <c:noMultiLvlLbl val="0"/>
      </c:catAx>
      <c:valAx>
        <c:axId val="524850168"/>
        <c:scaling>
          <c:orientation val="minMax"/>
          <c:max val="480"/>
          <c:min val="4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4576781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7156903201837"/>
          <c:y val="4.7961630695443645E-2"/>
          <c:w val="0.78918346867828915"/>
          <c:h val="0.63211746994673401"/>
        </c:manualLayout>
      </c:layout>
      <c:barChart>
        <c:barDir val="col"/>
        <c:grouping val="clustered"/>
        <c:varyColors val="0"/>
        <c:ser>
          <c:idx val="0"/>
          <c:order val="0"/>
          <c:tx>
            <c:strRef>
              <c:f>Sheet1!$C$30</c:f>
              <c:strCache>
                <c:ptCount val="1"/>
                <c:pt idx="0">
                  <c:v>0</c:v>
                </c:pt>
              </c:strCache>
            </c:strRef>
          </c:tx>
          <c:spPr>
            <a:solidFill>
              <a:schemeClr val="accent1"/>
            </a:solidFill>
            <a:ln>
              <a:noFill/>
            </a:ln>
            <a:effectLst/>
          </c:spPr>
          <c:invertIfNegative val="0"/>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Sheet1!$C$31:$C$38</c:f>
              <c:numCache>
                <c:formatCode>General</c:formatCode>
                <c:ptCount val="8"/>
                <c:pt idx="0">
                  <c:v>108</c:v>
                </c:pt>
                <c:pt idx="1">
                  <c:v>86</c:v>
                </c:pt>
                <c:pt idx="2">
                  <c:v>51</c:v>
                </c:pt>
                <c:pt idx="3">
                  <c:v>273</c:v>
                </c:pt>
                <c:pt idx="4">
                  <c:v>312</c:v>
                </c:pt>
                <c:pt idx="5">
                  <c:v>19</c:v>
                </c:pt>
                <c:pt idx="6">
                  <c:v>32</c:v>
                </c:pt>
                <c:pt idx="7">
                  <c:v>126</c:v>
                </c:pt>
              </c:numCache>
            </c:numRef>
          </c:val>
          <c:extLst>
            <c:ext xmlns:c16="http://schemas.microsoft.com/office/drawing/2014/chart" uri="{C3380CC4-5D6E-409C-BE32-E72D297353CC}">
              <c16:uniqueId val="{00000000-72E7-4CC9-8D63-8276712F15EA}"/>
            </c:ext>
          </c:extLst>
        </c:ser>
        <c:ser>
          <c:idx val="1"/>
          <c:order val="1"/>
          <c:tx>
            <c:strRef>
              <c:f>Sheet1!$D$30</c:f>
              <c:strCache>
                <c:ptCount val="1"/>
                <c:pt idx="0">
                  <c:v>75</c:v>
                </c:pt>
              </c:strCache>
            </c:strRef>
          </c:tx>
          <c:spPr>
            <a:solidFill>
              <a:schemeClr val="accent2"/>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Sheet1!$D$31:$D$38</c:f>
              <c:numCache>
                <c:formatCode>General</c:formatCode>
                <c:ptCount val="8"/>
                <c:pt idx="0">
                  <c:v>124</c:v>
                </c:pt>
                <c:pt idx="1">
                  <c:v>90</c:v>
                </c:pt>
                <c:pt idx="2">
                  <c:v>101</c:v>
                </c:pt>
                <c:pt idx="3">
                  <c:v>287</c:v>
                </c:pt>
                <c:pt idx="4">
                  <c:v>333</c:v>
                </c:pt>
                <c:pt idx="5">
                  <c:v>45</c:v>
                </c:pt>
                <c:pt idx="6">
                  <c:v>30</c:v>
                </c:pt>
                <c:pt idx="7">
                  <c:v>144</c:v>
                </c:pt>
              </c:numCache>
            </c:numRef>
          </c:val>
          <c:extLst>
            <c:ext xmlns:c16="http://schemas.microsoft.com/office/drawing/2014/chart" uri="{C3380CC4-5D6E-409C-BE32-E72D297353CC}">
              <c16:uniqueId val="{00000001-72E7-4CC9-8D63-8276712F15EA}"/>
            </c:ext>
          </c:extLst>
        </c:ser>
        <c:ser>
          <c:idx val="2"/>
          <c:order val="2"/>
          <c:tx>
            <c:strRef>
              <c:f>Sheet1!$E$30</c:f>
              <c:strCache>
                <c:ptCount val="1"/>
                <c:pt idx="0">
                  <c:v>150</c:v>
                </c:pt>
              </c:strCache>
            </c:strRef>
          </c:tx>
          <c:spPr>
            <a:solidFill>
              <a:schemeClr val="accent3"/>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Sheet1!$E$31:$E$38</c:f>
              <c:numCache>
                <c:formatCode>General</c:formatCode>
                <c:ptCount val="8"/>
                <c:pt idx="0">
                  <c:v>151</c:v>
                </c:pt>
                <c:pt idx="1">
                  <c:v>101</c:v>
                </c:pt>
                <c:pt idx="2">
                  <c:v>114</c:v>
                </c:pt>
                <c:pt idx="3">
                  <c:v>382</c:v>
                </c:pt>
                <c:pt idx="4">
                  <c:v>356</c:v>
                </c:pt>
                <c:pt idx="5">
                  <c:v>70</c:v>
                </c:pt>
                <c:pt idx="6">
                  <c:v>46</c:v>
                </c:pt>
                <c:pt idx="7">
                  <c:v>174</c:v>
                </c:pt>
              </c:numCache>
            </c:numRef>
          </c:val>
          <c:extLst>
            <c:ext xmlns:c16="http://schemas.microsoft.com/office/drawing/2014/chart" uri="{C3380CC4-5D6E-409C-BE32-E72D297353CC}">
              <c16:uniqueId val="{00000002-72E7-4CC9-8D63-8276712F15EA}"/>
            </c:ext>
          </c:extLst>
        </c:ser>
        <c:ser>
          <c:idx val="3"/>
          <c:order val="3"/>
          <c:tx>
            <c:strRef>
              <c:f>Sheet1!$F$30</c:f>
              <c:strCache>
                <c:ptCount val="1"/>
                <c:pt idx="0">
                  <c:v>225</c:v>
                </c:pt>
              </c:strCache>
            </c:strRef>
          </c:tx>
          <c:spPr>
            <a:solidFill>
              <a:schemeClr val="accent4"/>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Sheet1!$F$31:$F$38</c:f>
              <c:numCache>
                <c:formatCode>General</c:formatCode>
                <c:ptCount val="8"/>
                <c:pt idx="0">
                  <c:v>164</c:v>
                </c:pt>
                <c:pt idx="1">
                  <c:v>117</c:v>
                </c:pt>
                <c:pt idx="2">
                  <c:v>122</c:v>
                </c:pt>
                <c:pt idx="3">
                  <c:v>403</c:v>
                </c:pt>
                <c:pt idx="4">
                  <c:v>366</c:v>
                </c:pt>
                <c:pt idx="5">
                  <c:v>70</c:v>
                </c:pt>
                <c:pt idx="6">
                  <c:v>75</c:v>
                </c:pt>
                <c:pt idx="7">
                  <c:v>188</c:v>
                </c:pt>
              </c:numCache>
            </c:numRef>
          </c:val>
          <c:extLst>
            <c:ext xmlns:c16="http://schemas.microsoft.com/office/drawing/2014/chart" uri="{C3380CC4-5D6E-409C-BE32-E72D297353CC}">
              <c16:uniqueId val="{00000003-72E7-4CC9-8D63-8276712F15EA}"/>
            </c:ext>
          </c:extLst>
        </c:ser>
        <c:ser>
          <c:idx val="4"/>
          <c:order val="4"/>
          <c:tx>
            <c:strRef>
              <c:f>Sheet1!$G$30</c:f>
              <c:strCache>
                <c:ptCount val="1"/>
                <c:pt idx="0">
                  <c:v>300</c:v>
                </c:pt>
              </c:strCache>
            </c:strRef>
          </c:tx>
          <c:spPr>
            <a:solidFill>
              <a:schemeClr val="accent5"/>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Sheet1!$G$31:$G$38</c:f>
              <c:numCache>
                <c:formatCode>General</c:formatCode>
                <c:ptCount val="8"/>
                <c:pt idx="0">
                  <c:v>161</c:v>
                </c:pt>
                <c:pt idx="1">
                  <c:v>151</c:v>
                </c:pt>
                <c:pt idx="2">
                  <c:v>159</c:v>
                </c:pt>
                <c:pt idx="3">
                  <c:v>404</c:v>
                </c:pt>
                <c:pt idx="4">
                  <c:v>401</c:v>
                </c:pt>
                <c:pt idx="5">
                  <c:v>90</c:v>
                </c:pt>
                <c:pt idx="6">
                  <c:v>116</c:v>
                </c:pt>
                <c:pt idx="7">
                  <c:v>212</c:v>
                </c:pt>
              </c:numCache>
            </c:numRef>
          </c:val>
          <c:extLst>
            <c:ext xmlns:c16="http://schemas.microsoft.com/office/drawing/2014/chart" uri="{C3380CC4-5D6E-409C-BE32-E72D297353CC}">
              <c16:uniqueId val="{00000004-72E7-4CC9-8D63-8276712F15EA}"/>
            </c:ext>
          </c:extLst>
        </c:ser>
        <c:dLbls>
          <c:showLegendKey val="0"/>
          <c:showVal val="0"/>
          <c:showCatName val="0"/>
          <c:showSerName val="0"/>
          <c:showPercent val="0"/>
          <c:showBubbleSize val="0"/>
        </c:dLbls>
        <c:gapWidth val="300"/>
        <c:axId val="552684440"/>
        <c:axId val="552685616"/>
      </c:barChart>
      <c:lineChart>
        <c:grouping val="standard"/>
        <c:varyColors val="0"/>
        <c:ser>
          <c:idx val="5"/>
          <c:order val="5"/>
          <c:tx>
            <c:strRef>
              <c:f>Sheet1!$H$30</c:f>
              <c:strCache>
                <c:ptCount val="1"/>
              </c:strCache>
            </c:strRef>
          </c:tx>
          <c:spPr>
            <a:ln w="28575" cap="rnd">
              <a:noFill/>
              <a:round/>
            </a:ln>
            <a:effectLst/>
          </c:spPr>
          <c:marker>
            <c:symbol val="none"/>
          </c:marker>
          <c:errBars>
            <c:errDir val="y"/>
            <c:errBarType val="both"/>
            <c:errValType val="cust"/>
            <c:noEndCap val="0"/>
            <c:plus>
              <c:numRef>
                <c:f>Sheet1!$I$31:$I$38</c:f>
                <c:numCache>
                  <c:formatCode>General</c:formatCode>
                  <c:ptCount val="8"/>
                  <c:pt idx="0">
                    <c:v>3</c:v>
                  </c:pt>
                  <c:pt idx="1">
                    <c:v>2.5</c:v>
                  </c:pt>
                  <c:pt idx="2">
                    <c:v>2</c:v>
                  </c:pt>
                  <c:pt idx="3">
                    <c:v>2.5</c:v>
                  </c:pt>
                  <c:pt idx="4">
                    <c:v>5.5</c:v>
                  </c:pt>
                  <c:pt idx="5">
                    <c:v>4</c:v>
                  </c:pt>
                  <c:pt idx="6">
                    <c:v>3.5</c:v>
                  </c:pt>
                  <c:pt idx="7">
                    <c:v>1.5</c:v>
                  </c:pt>
                </c:numCache>
              </c:numRef>
            </c:plus>
            <c:minus>
              <c:numRef>
                <c:f>Sheet1!$I$31:$I$38</c:f>
                <c:numCache>
                  <c:formatCode>General</c:formatCode>
                  <c:ptCount val="8"/>
                  <c:pt idx="0">
                    <c:v>3</c:v>
                  </c:pt>
                  <c:pt idx="1">
                    <c:v>2.5</c:v>
                  </c:pt>
                  <c:pt idx="2">
                    <c:v>2</c:v>
                  </c:pt>
                  <c:pt idx="3">
                    <c:v>2.5</c:v>
                  </c:pt>
                  <c:pt idx="4">
                    <c:v>5.5</c:v>
                  </c:pt>
                  <c:pt idx="5">
                    <c:v>4</c:v>
                  </c:pt>
                  <c:pt idx="6">
                    <c:v>3.5</c:v>
                  </c:pt>
                  <c:pt idx="7">
                    <c:v>1.5</c:v>
                  </c:pt>
                </c:numCache>
              </c:numRef>
            </c:minus>
            <c:spPr>
              <a:noFill/>
              <a:ln w="9525" cap="flat" cmpd="sng" algn="ctr">
                <a:solidFill>
                  <a:schemeClr val="tx1">
                    <a:lumMod val="65000"/>
                    <a:lumOff val="35000"/>
                  </a:schemeClr>
                </a:solidFill>
                <a:round/>
              </a:ln>
              <a:effectLst/>
            </c:spPr>
          </c:errBars>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Sheet1!$H$31:$H$38</c:f>
              <c:numCache>
                <c:formatCode>General</c:formatCode>
                <c:ptCount val="8"/>
                <c:pt idx="0">
                  <c:v>170</c:v>
                </c:pt>
                <c:pt idx="1">
                  <c:v>130</c:v>
                </c:pt>
                <c:pt idx="2">
                  <c:v>130</c:v>
                </c:pt>
                <c:pt idx="3">
                  <c:v>400</c:v>
                </c:pt>
                <c:pt idx="4">
                  <c:v>370</c:v>
                </c:pt>
                <c:pt idx="5">
                  <c:v>90</c:v>
                </c:pt>
                <c:pt idx="6">
                  <c:v>80</c:v>
                </c:pt>
                <c:pt idx="7">
                  <c:v>190</c:v>
                </c:pt>
              </c:numCache>
            </c:numRef>
          </c:val>
          <c:smooth val="0"/>
          <c:extLst>
            <c:ext xmlns:c16="http://schemas.microsoft.com/office/drawing/2014/chart" uri="{C3380CC4-5D6E-409C-BE32-E72D297353CC}">
              <c16:uniqueId val="{00000005-72E7-4CC9-8D63-8276712F15EA}"/>
            </c:ext>
          </c:extLst>
        </c:ser>
        <c:dLbls>
          <c:showLegendKey val="0"/>
          <c:showVal val="0"/>
          <c:showCatName val="0"/>
          <c:showSerName val="0"/>
          <c:showPercent val="0"/>
          <c:showBubbleSize val="0"/>
        </c:dLbls>
        <c:marker val="1"/>
        <c:smooth val="0"/>
        <c:axId val="552684440"/>
        <c:axId val="552685616"/>
      </c:lineChart>
      <c:catAx>
        <c:axId val="552684440"/>
        <c:scaling>
          <c:orientation val="minMax"/>
        </c:scaling>
        <c:delete val="0"/>
        <c:axPos val="b"/>
        <c:title>
          <c:tx>
            <c:rich>
              <a:bodyPr rot="0" vert="horz"/>
              <a:lstStyle/>
              <a:p>
                <a:pPr>
                  <a:defRPr b="0"/>
                </a:pPr>
                <a:r>
                  <a:rPr lang="en-US" b="0"/>
                  <a:t>Site (bars LSDs, p≤0.05)</a:t>
                </a:r>
              </a:p>
            </c:rich>
          </c:tx>
          <c:layout>
            <c:manualLayout>
              <c:xMode val="edge"/>
              <c:yMode val="edge"/>
              <c:x val="2.9028637906434583E-2"/>
              <c:y val="0.854591115940461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85616"/>
        <c:crosses val="autoZero"/>
        <c:auto val="1"/>
        <c:lblAlgn val="ctr"/>
        <c:lblOffset val="100"/>
        <c:noMultiLvlLbl val="0"/>
      </c:catAx>
      <c:valAx>
        <c:axId val="552685616"/>
        <c:scaling>
          <c:orientation val="minMax"/>
          <c:max val="420"/>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4440"/>
        <c:crosses val="autoZero"/>
        <c:crossBetween val="between"/>
        <c:majorUnit val="40"/>
      </c:valAx>
      <c:spPr>
        <a:noFill/>
        <a:ln>
          <a:noFill/>
        </a:ln>
        <a:effectLst/>
      </c:spPr>
    </c:plotArea>
    <c:legend>
      <c:legendPos val="b"/>
      <c:layout>
        <c:manualLayout>
          <c:xMode val="edge"/>
          <c:yMode val="edge"/>
          <c:x val="3.7426166826806682E-2"/>
          <c:y val="0.90865695417896175"/>
          <c:w val="0.53063952966041694"/>
          <c:h val="6.954230459583657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4147095793104"/>
          <c:y val="4.7722342733188719E-2"/>
          <c:w val="0.76291163908991588"/>
          <c:h val="0.63395289254786757"/>
        </c:manualLayout>
      </c:layout>
      <c:barChart>
        <c:barDir val="col"/>
        <c:grouping val="clustered"/>
        <c:varyColors val="0"/>
        <c:ser>
          <c:idx val="0"/>
          <c:order val="0"/>
          <c:tx>
            <c:strRef>
              <c:f>Sheet1!$L$30</c:f>
              <c:strCache>
                <c:ptCount val="1"/>
                <c:pt idx="0">
                  <c:v>0</c:v>
                </c:pt>
              </c:strCache>
            </c:strRef>
          </c:tx>
          <c:spPr>
            <a:solidFill>
              <a:schemeClr val="accent1"/>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Sheet1!$L$31:$L$38</c:f>
              <c:numCache>
                <c:formatCode>General</c:formatCode>
                <c:ptCount val="8"/>
                <c:pt idx="0">
                  <c:v>97</c:v>
                </c:pt>
                <c:pt idx="1">
                  <c:v>96</c:v>
                </c:pt>
                <c:pt idx="2">
                  <c:v>74</c:v>
                </c:pt>
                <c:pt idx="3">
                  <c:v>293</c:v>
                </c:pt>
                <c:pt idx="4">
                  <c:v>336</c:v>
                </c:pt>
                <c:pt idx="5">
                  <c:v>23</c:v>
                </c:pt>
                <c:pt idx="6">
                  <c:v>20</c:v>
                </c:pt>
                <c:pt idx="7">
                  <c:v>148</c:v>
                </c:pt>
              </c:numCache>
            </c:numRef>
          </c:val>
          <c:extLst>
            <c:ext xmlns:c16="http://schemas.microsoft.com/office/drawing/2014/chart" uri="{C3380CC4-5D6E-409C-BE32-E72D297353CC}">
              <c16:uniqueId val="{00000000-9C53-4417-8C33-FFAA0463D6B4}"/>
            </c:ext>
          </c:extLst>
        </c:ser>
        <c:ser>
          <c:idx val="1"/>
          <c:order val="1"/>
          <c:tx>
            <c:strRef>
              <c:f>Sheet1!$M$30</c:f>
              <c:strCache>
                <c:ptCount val="1"/>
                <c:pt idx="0">
                  <c:v>75</c:v>
                </c:pt>
              </c:strCache>
            </c:strRef>
          </c:tx>
          <c:spPr>
            <a:solidFill>
              <a:schemeClr val="accent2"/>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Sheet1!$M$31:$M$38</c:f>
              <c:numCache>
                <c:formatCode>General</c:formatCode>
                <c:ptCount val="8"/>
                <c:pt idx="0">
                  <c:v>104</c:v>
                </c:pt>
                <c:pt idx="1">
                  <c:v>88</c:v>
                </c:pt>
                <c:pt idx="2">
                  <c:v>120</c:v>
                </c:pt>
                <c:pt idx="3">
                  <c:v>330</c:v>
                </c:pt>
                <c:pt idx="4">
                  <c:v>359</c:v>
                </c:pt>
                <c:pt idx="5">
                  <c:v>42</c:v>
                </c:pt>
                <c:pt idx="6">
                  <c:v>41</c:v>
                </c:pt>
                <c:pt idx="7">
                  <c:v>155</c:v>
                </c:pt>
              </c:numCache>
            </c:numRef>
          </c:val>
          <c:extLst>
            <c:ext xmlns:c16="http://schemas.microsoft.com/office/drawing/2014/chart" uri="{C3380CC4-5D6E-409C-BE32-E72D297353CC}">
              <c16:uniqueId val="{00000001-9C53-4417-8C33-FFAA0463D6B4}"/>
            </c:ext>
          </c:extLst>
        </c:ser>
        <c:ser>
          <c:idx val="2"/>
          <c:order val="2"/>
          <c:tx>
            <c:strRef>
              <c:f>Sheet1!$N$30</c:f>
              <c:strCache>
                <c:ptCount val="1"/>
                <c:pt idx="0">
                  <c:v>150</c:v>
                </c:pt>
              </c:strCache>
            </c:strRef>
          </c:tx>
          <c:spPr>
            <a:solidFill>
              <a:schemeClr val="accent3"/>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Sheet1!$N$31:$N$38</c:f>
              <c:numCache>
                <c:formatCode>General</c:formatCode>
                <c:ptCount val="8"/>
                <c:pt idx="0">
                  <c:v>113</c:v>
                </c:pt>
                <c:pt idx="1">
                  <c:v>111</c:v>
                </c:pt>
                <c:pt idx="2">
                  <c:v>139</c:v>
                </c:pt>
                <c:pt idx="3">
                  <c:v>351</c:v>
                </c:pt>
                <c:pt idx="4">
                  <c:v>382</c:v>
                </c:pt>
                <c:pt idx="5">
                  <c:v>57</c:v>
                </c:pt>
                <c:pt idx="6">
                  <c:v>57</c:v>
                </c:pt>
                <c:pt idx="7">
                  <c:v>173</c:v>
                </c:pt>
              </c:numCache>
            </c:numRef>
          </c:val>
          <c:extLst>
            <c:ext xmlns:c16="http://schemas.microsoft.com/office/drawing/2014/chart" uri="{C3380CC4-5D6E-409C-BE32-E72D297353CC}">
              <c16:uniqueId val="{00000002-9C53-4417-8C33-FFAA0463D6B4}"/>
            </c:ext>
          </c:extLst>
        </c:ser>
        <c:ser>
          <c:idx val="3"/>
          <c:order val="3"/>
          <c:tx>
            <c:strRef>
              <c:f>Sheet1!$O$30</c:f>
              <c:strCache>
                <c:ptCount val="1"/>
                <c:pt idx="0">
                  <c:v>225</c:v>
                </c:pt>
              </c:strCache>
            </c:strRef>
          </c:tx>
          <c:spPr>
            <a:solidFill>
              <a:schemeClr val="accent4"/>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Sheet1!$O$31:$O$38</c:f>
              <c:numCache>
                <c:formatCode>General</c:formatCode>
                <c:ptCount val="8"/>
                <c:pt idx="0">
                  <c:v>137</c:v>
                </c:pt>
                <c:pt idx="1">
                  <c:v>109</c:v>
                </c:pt>
                <c:pt idx="2">
                  <c:v>149</c:v>
                </c:pt>
                <c:pt idx="3">
                  <c:v>365</c:v>
                </c:pt>
                <c:pt idx="4">
                  <c:v>389</c:v>
                </c:pt>
                <c:pt idx="5">
                  <c:v>71</c:v>
                </c:pt>
                <c:pt idx="6">
                  <c:v>82</c:v>
                </c:pt>
                <c:pt idx="7">
                  <c:v>186</c:v>
                </c:pt>
              </c:numCache>
            </c:numRef>
          </c:val>
          <c:extLst>
            <c:ext xmlns:c16="http://schemas.microsoft.com/office/drawing/2014/chart" uri="{C3380CC4-5D6E-409C-BE32-E72D297353CC}">
              <c16:uniqueId val="{00000003-9C53-4417-8C33-FFAA0463D6B4}"/>
            </c:ext>
          </c:extLst>
        </c:ser>
        <c:ser>
          <c:idx val="4"/>
          <c:order val="4"/>
          <c:tx>
            <c:strRef>
              <c:f>Sheet1!$P$30</c:f>
              <c:strCache>
                <c:ptCount val="1"/>
                <c:pt idx="0">
                  <c:v>300</c:v>
                </c:pt>
              </c:strCache>
            </c:strRef>
          </c:tx>
          <c:spPr>
            <a:solidFill>
              <a:schemeClr val="accent5"/>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Sheet1!$P$31:$P$38</c:f>
              <c:numCache>
                <c:formatCode>General</c:formatCode>
                <c:ptCount val="8"/>
                <c:pt idx="0">
                  <c:v>140</c:v>
                </c:pt>
                <c:pt idx="1">
                  <c:v>130</c:v>
                </c:pt>
                <c:pt idx="2">
                  <c:v>170</c:v>
                </c:pt>
                <c:pt idx="3">
                  <c:v>353</c:v>
                </c:pt>
                <c:pt idx="4">
                  <c:v>404</c:v>
                </c:pt>
                <c:pt idx="5">
                  <c:v>82</c:v>
                </c:pt>
                <c:pt idx="6">
                  <c:v>94</c:v>
                </c:pt>
                <c:pt idx="7">
                  <c:v>196</c:v>
                </c:pt>
              </c:numCache>
            </c:numRef>
          </c:val>
          <c:extLst>
            <c:ext xmlns:c16="http://schemas.microsoft.com/office/drawing/2014/chart" uri="{C3380CC4-5D6E-409C-BE32-E72D297353CC}">
              <c16:uniqueId val="{00000004-9C53-4417-8C33-FFAA0463D6B4}"/>
            </c:ext>
          </c:extLst>
        </c:ser>
        <c:dLbls>
          <c:showLegendKey val="0"/>
          <c:showVal val="0"/>
          <c:showCatName val="0"/>
          <c:showSerName val="0"/>
          <c:showPercent val="0"/>
          <c:showBubbleSize val="0"/>
        </c:dLbls>
        <c:gapWidth val="300"/>
        <c:axId val="552684832"/>
        <c:axId val="552686400"/>
      </c:barChart>
      <c:lineChart>
        <c:grouping val="standard"/>
        <c:varyColors val="0"/>
        <c:ser>
          <c:idx val="5"/>
          <c:order val="5"/>
          <c:tx>
            <c:strRef>
              <c:f>Sheet1!$Q$30</c:f>
              <c:strCache>
                <c:ptCount val="1"/>
              </c:strCache>
            </c:strRef>
          </c:tx>
          <c:spPr>
            <a:ln w="28575" cap="rnd">
              <a:noFill/>
              <a:round/>
            </a:ln>
            <a:effectLst/>
          </c:spPr>
          <c:marker>
            <c:symbol val="none"/>
          </c:marker>
          <c:errBars>
            <c:errDir val="y"/>
            <c:errBarType val="both"/>
            <c:errValType val="cust"/>
            <c:noEndCap val="0"/>
            <c:plus>
              <c:numRef>
                <c:f>Sheet1!$R$31:$R$38</c:f>
                <c:numCache>
                  <c:formatCode>General</c:formatCode>
                  <c:ptCount val="8"/>
                  <c:pt idx="0">
                    <c:v>6</c:v>
                  </c:pt>
                  <c:pt idx="1">
                    <c:v>4</c:v>
                  </c:pt>
                  <c:pt idx="2">
                    <c:v>4</c:v>
                  </c:pt>
                  <c:pt idx="3">
                    <c:v>17</c:v>
                  </c:pt>
                  <c:pt idx="4">
                    <c:v>5</c:v>
                  </c:pt>
                  <c:pt idx="5">
                    <c:v>3</c:v>
                  </c:pt>
                  <c:pt idx="6">
                    <c:v>5</c:v>
                  </c:pt>
                  <c:pt idx="7">
                    <c:v>13</c:v>
                  </c:pt>
                </c:numCache>
              </c:numRef>
            </c:plus>
            <c:minus>
              <c:numRef>
                <c:f>Sheet1!$R$31:$R$38</c:f>
                <c:numCache>
                  <c:formatCode>General</c:formatCode>
                  <c:ptCount val="8"/>
                  <c:pt idx="0">
                    <c:v>6</c:v>
                  </c:pt>
                  <c:pt idx="1">
                    <c:v>4</c:v>
                  </c:pt>
                  <c:pt idx="2">
                    <c:v>4</c:v>
                  </c:pt>
                  <c:pt idx="3">
                    <c:v>17</c:v>
                  </c:pt>
                  <c:pt idx="4">
                    <c:v>5</c:v>
                  </c:pt>
                  <c:pt idx="5">
                    <c:v>3</c:v>
                  </c:pt>
                  <c:pt idx="6">
                    <c:v>5</c:v>
                  </c:pt>
                  <c:pt idx="7">
                    <c:v>13</c:v>
                  </c:pt>
                </c:numCache>
              </c:numRef>
            </c:minus>
            <c:spPr>
              <a:noFill/>
              <a:ln w="9525" cap="flat" cmpd="sng" algn="ctr">
                <a:solidFill>
                  <a:schemeClr val="tx1">
                    <a:lumMod val="65000"/>
                    <a:lumOff val="35000"/>
                  </a:schemeClr>
                </a:solidFill>
                <a:round/>
              </a:ln>
              <a:effectLst/>
            </c:spPr>
          </c:errBars>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Sheet1!$Q$31:$Q$38</c:f>
              <c:numCache>
                <c:formatCode>General</c:formatCode>
                <c:ptCount val="8"/>
                <c:pt idx="0">
                  <c:v>150</c:v>
                </c:pt>
                <c:pt idx="1">
                  <c:v>120</c:v>
                </c:pt>
                <c:pt idx="2">
                  <c:v>150</c:v>
                </c:pt>
                <c:pt idx="3">
                  <c:v>380</c:v>
                </c:pt>
                <c:pt idx="4">
                  <c:v>400</c:v>
                </c:pt>
                <c:pt idx="5">
                  <c:v>80</c:v>
                </c:pt>
                <c:pt idx="6">
                  <c:v>80</c:v>
                </c:pt>
                <c:pt idx="7">
                  <c:v>200</c:v>
                </c:pt>
              </c:numCache>
            </c:numRef>
          </c:val>
          <c:smooth val="0"/>
          <c:extLst>
            <c:ext xmlns:c16="http://schemas.microsoft.com/office/drawing/2014/chart" uri="{C3380CC4-5D6E-409C-BE32-E72D297353CC}">
              <c16:uniqueId val="{00000005-9C53-4417-8C33-FFAA0463D6B4}"/>
            </c:ext>
          </c:extLst>
        </c:ser>
        <c:dLbls>
          <c:showLegendKey val="0"/>
          <c:showVal val="0"/>
          <c:showCatName val="0"/>
          <c:showSerName val="0"/>
          <c:showPercent val="0"/>
          <c:showBubbleSize val="0"/>
        </c:dLbls>
        <c:marker val="1"/>
        <c:smooth val="0"/>
        <c:axId val="552684832"/>
        <c:axId val="552686400"/>
      </c:lineChart>
      <c:catAx>
        <c:axId val="552684832"/>
        <c:scaling>
          <c:orientation val="minMax"/>
        </c:scaling>
        <c:delete val="0"/>
        <c:axPos val="b"/>
        <c:title>
          <c:tx>
            <c:rich>
              <a:bodyPr rot="0" vert="horz"/>
              <a:lstStyle/>
              <a:p>
                <a:pPr>
                  <a:defRPr b="0"/>
                </a:pPr>
                <a:r>
                  <a:rPr lang="en-US" b="0"/>
                  <a:t>Site (bars are LSDs, p≤0.05</a:t>
                </a:r>
              </a:p>
            </c:rich>
          </c:tx>
          <c:layout>
            <c:manualLayout>
              <c:xMode val="edge"/>
              <c:yMode val="edge"/>
              <c:x val="6.3335308401804277E-2"/>
              <c:y val="0.869972842331801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86400"/>
        <c:crosses val="autoZero"/>
        <c:auto val="1"/>
        <c:lblAlgn val="ctr"/>
        <c:lblOffset val="100"/>
        <c:noMultiLvlLbl val="0"/>
      </c:catAx>
      <c:valAx>
        <c:axId val="552686400"/>
        <c:scaling>
          <c:orientation val="minMax"/>
          <c:max val="420"/>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4832"/>
        <c:crosses val="autoZero"/>
        <c:crossBetween val="between"/>
        <c:majorUnit val="40"/>
      </c:valAx>
      <c:spPr>
        <a:noFill/>
        <a:ln>
          <a:noFill/>
        </a:ln>
        <a:effectLst/>
      </c:spPr>
    </c:plotArea>
    <c:legend>
      <c:legendPos val="b"/>
      <c:layout>
        <c:manualLayout>
          <c:xMode val="edge"/>
          <c:yMode val="edge"/>
          <c:x val="2.80289615820641E-2"/>
          <c:y val="0.9272396536116283"/>
          <c:w val="0.50027091546136115"/>
          <c:h val="6.408355680051923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7156903201837"/>
          <c:y val="5.348893751519572E-2"/>
          <c:w val="0.78918346867828915"/>
          <c:h val="0.58485845724426677"/>
        </c:manualLayout>
      </c:layout>
      <c:barChart>
        <c:barDir val="col"/>
        <c:grouping val="clustered"/>
        <c:varyColors val="0"/>
        <c:ser>
          <c:idx val="0"/>
          <c:order val="0"/>
          <c:tx>
            <c:strRef>
              <c:f>Sheet1!$U$30</c:f>
              <c:strCache>
                <c:ptCount val="1"/>
                <c:pt idx="0">
                  <c:v>0</c:v>
                </c:pt>
              </c:strCache>
            </c:strRef>
          </c:tx>
          <c:spPr>
            <a:solidFill>
              <a:schemeClr val="accent1"/>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Sheet1!$U$31:$U$38</c:f>
              <c:numCache>
                <c:formatCode>General</c:formatCode>
                <c:ptCount val="8"/>
                <c:pt idx="0">
                  <c:v>95</c:v>
                </c:pt>
                <c:pt idx="1">
                  <c:v>62</c:v>
                </c:pt>
                <c:pt idx="2">
                  <c:v>114</c:v>
                </c:pt>
                <c:pt idx="3">
                  <c:v>243</c:v>
                </c:pt>
                <c:pt idx="4">
                  <c:v>356</c:v>
                </c:pt>
                <c:pt idx="5">
                  <c:v>20</c:v>
                </c:pt>
                <c:pt idx="6">
                  <c:v>20</c:v>
                </c:pt>
                <c:pt idx="7">
                  <c:v>130</c:v>
                </c:pt>
              </c:numCache>
            </c:numRef>
          </c:val>
          <c:extLst>
            <c:ext xmlns:c16="http://schemas.microsoft.com/office/drawing/2014/chart" uri="{C3380CC4-5D6E-409C-BE32-E72D297353CC}">
              <c16:uniqueId val="{00000000-AC63-41E0-A0BC-C07A055200D2}"/>
            </c:ext>
          </c:extLst>
        </c:ser>
        <c:ser>
          <c:idx val="1"/>
          <c:order val="1"/>
          <c:tx>
            <c:strRef>
              <c:f>Sheet1!$V$30</c:f>
              <c:strCache>
                <c:ptCount val="1"/>
                <c:pt idx="0">
                  <c:v>75</c:v>
                </c:pt>
              </c:strCache>
            </c:strRef>
          </c:tx>
          <c:spPr>
            <a:solidFill>
              <a:schemeClr val="accent2"/>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Sheet1!$V$31:$V$38</c:f>
              <c:numCache>
                <c:formatCode>General</c:formatCode>
                <c:ptCount val="8"/>
                <c:pt idx="0">
                  <c:v>99</c:v>
                </c:pt>
                <c:pt idx="1">
                  <c:v>80</c:v>
                </c:pt>
                <c:pt idx="2">
                  <c:v>123</c:v>
                </c:pt>
                <c:pt idx="3">
                  <c:v>277</c:v>
                </c:pt>
                <c:pt idx="4">
                  <c:v>390</c:v>
                </c:pt>
                <c:pt idx="5">
                  <c:v>31</c:v>
                </c:pt>
                <c:pt idx="6">
                  <c:v>29</c:v>
                </c:pt>
                <c:pt idx="7">
                  <c:v>147</c:v>
                </c:pt>
              </c:numCache>
            </c:numRef>
          </c:val>
          <c:extLst>
            <c:ext xmlns:c16="http://schemas.microsoft.com/office/drawing/2014/chart" uri="{C3380CC4-5D6E-409C-BE32-E72D297353CC}">
              <c16:uniqueId val="{00000001-AC63-41E0-A0BC-C07A055200D2}"/>
            </c:ext>
          </c:extLst>
        </c:ser>
        <c:ser>
          <c:idx val="2"/>
          <c:order val="2"/>
          <c:tx>
            <c:strRef>
              <c:f>Sheet1!$W$30</c:f>
              <c:strCache>
                <c:ptCount val="1"/>
                <c:pt idx="0">
                  <c:v>150</c:v>
                </c:pt>
              </c:strCache>
            </c:strRef>
          </c:tx>
          <c:spPr>
            <a:solidFill>
              <a:schemeClr val="accent3"/>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Sheet1!$W$31:$W$38</c:f>
              <c:numCache>
                <c:formatCode>General</c:formatCode>
                <c:ptCount val="8"/>
                <c:pt idx="0">
                  <c:v>113</c:v>
                </c:pt>
                <c:pt idx="1">
                  <c:v>89</c:v>
                </c:pt>
                <c:pt idx="2">
                  <c:v>137</c:v>
                </c:pt>
                <c:pt idx="3">
                  <c:v>326</c:v>
                </c:pt>
                <c:pt idx="4">
                  <c:v>463</c:v>
                </c:pt>
                <c:pt idx="5">
                  <c:v>56</c:v>
                </c:pt>
                <c:pt idx="6">
                  <c:v>45</c:v>
                </c:pt>
                <c:pt idx="7">
                  <c:v>176</c:v>
                </c:pt>
              </c:numCache>
            </c:numRef>
          </c:val>
          <c:extLst>
            <c:ext xmlns:c16="http://schemas.microsoft.com/office/drawing/2014/chart" uri="{C3380CC4-5D6E-409C-BE32-E72D297353CC}">
              <c16:uniqueId val="{00000002-AC63-41E0-A0BC-C07A055200D2}"/>
            </c:ext>
          </c:extLst>
        </c:ser>
        <c:ser>
          <c:idx val="3"/>
          <c:order val="3"/>
          <c:tx>
            <c:strRef>
              <c:f>Sheet1!$X$30</c:f>
              <c:strCache>
                <c:ptCount val="1"/>
                <c:pt idx="0">
                  <c:v>225</c:v>
                </c:pt>
              </c:strCache>
            </c:strRef>
          </c:tx>
          <c:spPr>
            <a:solidFill>
              <a:schemeClr val="accent4"/>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Sheet1!$X$31:$X$38</c:f>
              <c:numCache>
                <c:formatCode>General</c:formatCode>
                <c:ptCount val="8"/>
                <c:pt idx="0">
                  <c:v>119</c:v>
                </c:pt>
                <c:pt idx="1">
                  <c:v>104</c:v>
                </c:pt>
                <c:pt idx="2">
                  <c:v>137</c:v>
                </c:pt>
                <c:pt idx="3">
                  <c:v>366</c:v>
                </c:pt>
                <c:pt idx="4">
                  <c:v>546</c:v>
                </c:pt>
                <c:pt idx="5">
                  <c:v>86</c:v>
                </c:pt>
                <c:pt idx="6">
                  <c:v>55</c:v>
                </c:pt>
                <c:pt idx="7">
                  <c:v>202</c:v>
                </c:pt>
              </c:numCache>
            </c:numRef>
          </c:val>
          <c:extLst>
            <c:ext xmlns:c16="http://schemas.microsoft.com/office/drawing/2014/chart" uri="{C3380CC4-5D6E-409C-BE32-E72D297353CC}">
              <c16:uniqueId val="{00000003-AC63-41E0-A0BC-C07A055200D2}"/>
            </c:ext>
          </c:extLst>
        </c:ser>
        <c:ser>
          <c:idx val="4"/>
          <c:order val="4"/>
          <c:tx>
            <c:strRef>
              <c:f>Sheet1!$Y$30</c:f>
              <c:strCache>
                <c:ptCount val="1"/>
                <c:pt idx="0">
                  <c:v>300</c:v>
                </c:pt>
              </c:strCache>
            </c:strRef>
          </c:tx>
          <c:spPr>
            <a:solidFill>
              <a:schemeClr val="accent5"/>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Sheet1!$Y$31:$Y$38</c:f>
              <c:numCache>
                <c:formatCode>General</c:formatCode>
                <c:ptCount val="8"/>
                <c:pt idx="0">
                  <c:v>138</c:v>
                </c:pt>
                <c:pt idx="1">
                  <c:v>109</c:v>
                </c:pt>
                <c:pt idx="2">
                  <c:v>162</c:v>
                </c:pt>
                <c:pt idx="3">
                  <c:v>364</c:v>
                </c:pt>
                <c:pt idx="4">
                  <c:v>553</c:v>
                </c:pt>
                <c:pt idx="5">
                  <c:v>82</c:v>
                </c:pt>
                <c:pt idx="6">
                  <c:v>68</c:v>
                </c:pt>
                <c:pt idx="7">
                  <c:v>211</c:v>
                </c:pt>
              </c:numCache>
            </c:numRef>
          </c:val>
          <c:extLst>
            <c:ext xmlns:c16="http://schemas.microsoft.com/office/drawing/2014/chart" uri="{C3380CC4-5D6E-409C-BE32-E72D297353CC}">
              <c16:uniqueId val="{00000004-AC63-41E0-A0BC-C07A055200D2}"/>
            </c:ext>
          </c:extLst>
        </c:ser>
        <c:dLbls>
          <c:showLegendKey val="0"/>
          <c:showVal val="0"/>
          <c:showCatName val="0"/>
          <c:showSerName val="0"/>
          <c:showPercent val="0"/>
          <c:showBubbleSize val="0"/>
        </c:dLbls>
        <c:gapWidth val="300"/>
        <c:axId val="552686792"/>
        <c:axId val="552688752"/>
      </c:barChart>
      <c:lineChart>
        <c:grouping val="standard"/>
        <c:varyColors val="0"/>
        <c:ser>
          <c:idx val="5"/>
          <c:order val="5"/>
          <c:tx>
            <c:strRef>
              <c:f>Sheet1!$Z$30</c:f>
              <c:strCache>
                <c:ptCount val="1"/>
              </c:strCache>
            </c:strRef>
          </c:tx>
          <c:spPr>
            <a:ln w="28575" cap="rnd">
              <a:noFill/>
              <a:round/>
            </a:ln>
            <a:effectLst/>
          </c:spPr>
          <c:marker>
            <c:symbol val="none"/>
          </c:marker>
          <c:errBars>
            <c:errDir val="y"/>
            <c:errBarType val="both"/>
            <c:errValType val="cust"/>
            <c:noEndCap val="0"/>
            <c:plus>
              <c:numRef>
                <c:f>Sheet1!$AB$31:$AB$38</c:f>
                <c:numCache>
                  <c:formatCode>General</c:formatCode>
                  <c:ptCount val="8"/>
                  <c:pt idx="0">
                    <c:v>6</c:v>
                  </c:pt>
                  <c:pt idx="1">
                    <c:v>3</c:v>
                  </c:pt>
                  <c:pt idx="2">
                    <c:v>4</c:v>
                  </c:pt>
                  <c:pt idx="3">
                    <c:v>11</c:v>
                  </c:pt>
                  <c:pt idx="4">
                    <c:v>4.5</c:v>
                  </c:pt>
                  <c:pt idx="5">
                    <c:v>4</c:v>
                  </c:pt>
                  <c:pt idx="6">
                    <c:v>3.5</c:v>
                  </c:pt>
                  <c:pt idx="7">
                    <c:v>2</c:v>
                  </c:pt>
                </c:numCache>
              </c:numRef>
            </c:plus>
            <c:minus>
              <c:numRef>
                <c:f>Sheet1!$AB$31:$AB$38</c:f>
                <c:numCache>
                  <c:formatCode>General</c:formatCode>
                  <c:ptCount val="8"/>
                  <c:pt idx="0">
                    <c:v>6</c:v>
                  </c:pt>
                  <c:pt idx="1">
                    <c:v>3</c:v>
                  </c:pt>
                  <c:pt idx="2">
                    <c:v>4</c:v>
                  </c:pt>
                  <c:pt idx="3">
                    <c:v>11</c:v>
                  </c:pt>
                  <c:pt idx="4">
                    <c:v>4.5</c:v>
                  </c:pt>
                  <c:pt idx="5">
                    <c:v>4</c:v>
                  </c:pt>
                  <c:pt idx="6">
                    <c:v>3.5</c:v>
                  </c:pt>
                  <c:pt idx="7">
                    <c:v>2</c:v>
                  </c:pt>
                </c:numCache>
              </c:numRef>
            </c:minus>
            <c:spPr>
              <a:noFill/>
              <a:ln w="9525" cap="flat" cmpd="sng" algn="ctr">
                <a:solidFill>
                  <a:schemeClr val="tx1">
                    <a:lumMod val="65000"/>
                    <a:lumOff val="35000"/>
                  </a:schemeClr>
                </a:solidFill>
                <a:round/>
              </a:ln>
              <a:effectLst/>
            </c:spPr>
          </c:errBars>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Sheet1!$Z$31:$Z$38</c:f>
              <c:numCache>
                <c:formatCode>General</c:formatCode>
                <c:ptCount val="8"/>
                <c:pt idx="0">
                  <c:v>140</c:v>
                </c:pt>
                <c:pt idx="1">
                  <c:v>120</c:v>
                </c:pt>
                <c:pt idx="2">
                  <c:v>150</c:v>
                </c:pt>
                <c:pt idx="3">
                  <c:v>380</c:v>
                </c:pt>
                <c:pt idx="4">
                  <c:v>570</c:v>
                </c:pt>
                <c:pt idx="5">
                  <c:v>90</c:v>
                </c:pt>
                <c:pt idx="6">
                  <c:v>70</c:v>
                </c:pt>
                <c:pt idx="7">
                  <c:v>220</c:v>
                </c:pt>
              </c:numCache>
            </c:numRef>
          </c:val>
          <c:smooth val="0"/>
          <c:extLst>
            <c:ext xmlns:c16="http://schemas.microsoft.com/office/drawing/2014/chart" uri="{C3380CC4-5D6E-409C-BE32-E72D297353CC}">
              <c16:uniqueId val="{00000005-AC63-41E0-A0BC-C07A055200D2}"/>
            </c:ext>
          </c:extLst>
        </c:ser>
        <c:dLbls>
          <c:showLegendKey val="0"/>
          <c:showVal val="0"/>
          <c:showCatName val="0"/>
          <c:showSerName val="0"/>
          <c:showPercent val="0"/>
          <c:showBubbleSize val="0"/>
        </c:dLbls>
        <c:marker val="1"/>
        <c:smooth val="0"/>
        <c:axId val="552686792"/>
        <c:axId val="552688752"/>
      </c:lineChart>
      <c:catAx>
        <c:axId val="552686792"/>
        <c:scaling>
          <c:orientation val="minMax"/>
        </c:scaling>
        <c:delete val="0"/>
        <c:axPos val="b"/>
        <c:title>
          <c:tx>
            <c:rich>
              <a:bodyPr rot="0" vert="horz"/>
              <a:lstStyle/>
              <a:p>
                <a:pPr>
                  <a:defRPr b="0"/>
                </a:pPr>
                <a:r>
                  <a:rPr lang="en-US" b="0"/>
                  <a:t>Site (bars are LSDs, p≤0.05)</a:t>
                </a:r>
              </a:p>
            </c:rich>
          </c:tx>
          <c:layout>
            <c:manualLayout>
              <c:xMode val="edge"/>
              <c:yMode val="edge"/>
              <c:x val="3.6949553612895647E-2"/>
              <c:y val="0.834810309542816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88752"/>
        <c:crosses val="autoZero"/>
        <c:auto val="1"/>
        <c:lblAlgn val="ctr"/>
        <c:lblOffset val="100"/>
        <c:noMultiLvlLbl val="0"/>
      </c:catAx>
      <c:valAx>
        <c:axId val="552688752"/>
        <c:scaling>
          <c:orientation val="minMax"/>
          <c:max val="580"/>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2686792"/>
        <c:crosses val="autoZero"/>
        <c:crossBetween val="between"/>
        <c:majorUnit val="50"/>
      </c:valAx>
      <c:spPr>
        <a:noFill/>
        <a:ln>
          <a:noFill/>
        </a:ln>
        <a:effectLst/>
      </c:spPr>
    </c:plotArea>
    <c:legend>
      <c:legendPos val="b"/>
      <c:layout>
        <c:manualLayout>
          <c:xMode val="edge"/>
          <c:yMode val="edge"/>
          <c:x val="2.2312198405096885E-2"/>
          <c:y val="0.89899703456105184"/>
          <c:w val="0.44483575116831148"/>
          <c:h val="7.182718133975046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14</Pages>
  <Words>17702</Words>
  <Characters>100905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5</cp:revision>
  <dcterms:created xsi:type="dcterms:W3CDTF">2025-11-25T19:10:00Z</dcterms:created>
  <dcterms:modified xsi:type="dcterms:W3CDTF">2025-11-27T12:18:00Z</dcterms:modified>
</cp:coreProperties>
</file>