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C6406" w14:textId="77777777" w:rsidR="00534421" w:rsidRPr="00582808" w:rsidRDefault="00534421" w:rsidP="00534421">
      <w:pPr>
        <w:tabs>
          <w:tab w:val="left" w:pos="180"/>
          <w:tab w:val="left" w:pos="360"/>
        </w:tabs>
        <w:spacing w:line="276" w:lineRule="auto"/>
        <w:jc w:val="center"/>
        <w:rPr>
          <w:b/>
          <w:szCs w:val="24"/>
          <w:lang w:val="en-GB"/>
        </w:rPr>
      </w:pPr>
      <w:bookmarkStart w:id="0" w:name="_Toc532602639"/>
      <w:r w:rsidRPr="00582808">
        <w:rPr>
          <w:b/>
          <w:szCs w:val="24"/>
          <w:lang w:val="en-GB"/>
        </w:rPr>
        <w:t>Nitrogenous Fertilizer Application Rates and Plucking Intervals on Tea (</w:t>
      </w:r>
      <w:r w:rsidRPr="00582808">
        <w:rPr>
          <w:b/>
          <w:i/>
          <w:szCs w:val="24"/>
          <w:lang w:val="en-GB"/>
        </w:rPr>
        <w:t>Camellia sinensis</w:t>
      </w:r>
      <w:r w:rsidRPr="00582808">
        <w:rPr>
          <w:b/>
          <w:szCs w:val="24"/>
          <w:lang w:val="en-GB"/>
        </w:rPr>
        <w:t xml:space="preserve"> (L.) in Eastern Africa</w:t>
      </w:r>
      <w:r w:rsidR="00677121">
        <w:rPr>
          <w:b/>
          <w:szCs w:val="24"/>
          <w:lang w:val="en-GB"/>
        </w:rPr>
        <w:t>: I</w:t>
      </w:r>
      <w:r w:rsidR="00C61744">
        <w:rPr>
          <w:b/>
          <w:szCs w:val="24"/>
          <w:lang w:val="en-GB"/>
        </w:rPr>
        <w:t>I</w:t>
      </w:r>
      <w:r w:rsidR="00677121">
        <w:rPr>
          <w:b/>
          <w:szCs w:val="24"/>
          <w:lang w:val="en-GB"/>
        </w:rPr>
        <w:t xml:space="preserve">. Effects on </w:t>
      </w:r>
      <w:r w:rsidR="00677121" w:rsidRPr="00582808">
        <w:rPr>
          <w:b/>
          <w:szCs w:val="24"/>
          <w:lang w:val="en-GB"/>
        </w:rPr>
        <w:t>Soil Nitrogen, Phosphorous, and Potassium</w:t>
      </w:r>
    </w:p>
    <w:p w14:paraId="53D5FCDD" w14:textId="77777777" w:rsidR="00534421" w:rsidRPr="00582808" w:rsidRDefault="00534421" w:rsidP="00534421">
      <w:pPr>
        <w:tabs>
          <w:tab w:val="left" w:pos="180"/>
          <w:tab w:val="left" w:pos="360"/>
        </w:tabs>
        <w:spacing w:line="276" w:lineRule="auto"/>
        <w:jc w:val="center"/>
        <w:rPr>
          <w:b/>
          <w:szCs w:val="24"/>
          <w:lang w:val="en-GB"/>
        </w:rPr>
      </w:pPr>
    </w:p>
    <w:bookmarkEnd w:id="0"/>
    <w:p w14:paraId="649B7589" w14:textId="7089D960" w:rsidR="00624E3F" w:rsidRDefault="00624E3F" w:rsidP="00624E3F">
      <w:pPr>
        <w:tabs>
          <w:tab w:val="left" w:pos="360"/>
          <w:tab w:val="left" w:pos="450"/>
          <w:tab w:val="left" w:pos="540"/>
        </w:tabs>
        <w:rPr>
          <w:rFonts w:ascii="Calibri" w:hAnsi="Calibri" w:cs="Calibri"/>
          <w:sz w:val="20"/>
          <w:szCs w:val="20"/>
          <w:lang w:val="en-GB"/>
        </w:rPr>
      </w:pPr>
    </w:p>
    <w:p w14:paraId="73653886" w14:textId="77777777" w:rsidR="00F72B07" w:rsidRPr="00582808" w:rsidRDefault="00F72B07" w:rsidP="00624E3F">
      <w:pPr>
        <w:tabs>
          <w:tab w:val="left" w:pos="360"/>
          <w:tab w:val="left" w:pos="450"/>
          <w:tab w:val="left" w:pos="540"/>
        </w:tabs>
        <w:rPr>
          <w:rFonts w:ascii="Calibri" w:hAnsi="Calibri" w:cs="Calibri"/>
          <w:sz w:val="20"/>
          <w:szCs w:val="20"/>
          <w:lang w:val="en-GB"/>
        </w:rPr>
      </w:pPr>
    </w:p>
    <w:p w14:paraId="77C5D471" w14:textId="77777777" w:rsidR="00534421" w:rsidRPr="00582808" w:rsidRDefault="00534421" w:rsidP="00624E3F">
      <w:pPr>
        <w:pStyle w:val="Heading1"/>
        <w:spacing w:before="0" w:after="0"/>
        <w:jc w:val="center"/>
        <w:rPr>
          <w:rFonts w:ascii="Times New Roman" w:hAnsi="Times New Roman"/>
          <w:sz w:val="24"/>
          <w:szCs w:val="24"/>
          <w:lang w:val="en-GB"/>
        </w:rPr>
      </w:pPr>
      <w:bookmarkStart w:id="1" w:name="_Toc532602642"/>
      <w:r w:rsidRPr="00582808">
        <w:rPr>
          <w:rFonts w:ascii="Times New Roman" w:hAnsi="Times New Roman"/>
          <w:sz w:val="24"/>
          <w:szCs w:val="24"/>
          <w:lang w:val="en-GB"/>
        </w:rPr>
        <w:t>ABSTRACT</w:t>
      </w:r>
      <w:bookmarkEnd w:id="1"/>
    </w:p>
    <w:p w14:paraId="7B73F2F3" w14:textId="007DE488" w:rsidR="00534421" w:rsidRPr="00582808" w:rsidRDefault="00534421" w:rsidP="00624E3F">
      <w:pPr>
        <w:tabs>
          <w:tab w:val="left" w:pos="2610"/>
        </w:tabs>
        <w:rPr>
          <w:szCs w:val="24"/>
          <w:lang w:val="en-GB"/>
        </w:rPr>
      </w:pPr>
      <w:r w:rsidRPr="00582808">
        <w:rPr>
          <w:color w:val="000000"/>
          <w:szCs w:val="24"/>
          <w:lang w:val="en-GB"/>
        </w:rPr>
        <w:t xml:space="preserve">Eastern Africa tea grows in high rainfall areas where nutrients depletion through leaching, surface run-off and removal with crop can be high. Nutrients replenishment through fertilizer applications is therefore necessary. Inappropriate nitrogen </w:t>
      </w:r>
      <w:r w:rsidR="00582808" w:rsidRPr="00582808">
        <w:rPr>
          <w:color w:val="000000"/>
          <w:szCs w:val="24"/>
          <w:lang w:val="en-GB"/>
        </w:rPr>
        <w:t>fertilizer</w:t>
      </w:r>
      <w:r w:rsidRPr="00582808">
        <w:rPr>
          <w:color w:val="000000"/>
          <w:szCs w:val="24"/>
          <w:lang w:val="en-GB"/>
        </w:rPr>
        <w:t xml:space="preserve"> use </w:t>
      </w:r>
      <w:r w:rsidR="00A96491">
        <w:rPr>
          <w:color w:val="000000"/>
          <w:szCs w:val="24"/>
          <w:lang w:val="en-GB"/>
        </w:rPr>
        <w:t xml:space="preserve">can </w:t>
      </w:r>
      <w:r w:rsidRPr="00582808">
        <w:rPr>
          <w:color w:val="000000"/>
          <w:szCs w:val="24"/>
          <w:lang w:val="en-GB"/>
        </w:rPr>
        <w:t>cause nutrients imbalance</w:t>
      </w:r>
      <w:r w:rsidR="008D7A44" w:rsidRPr="00582808">
        <w:rPr>
          <w:color w:val="000000"/>
          <w:szCs w:val="24"/>
          <w:lang w:val="en-GB"/>
        </w:rPr>
        <w:t xml:space="preserve"> in the soil</w:t>
      </w:r>
      <w:r w:rsidR="00A96491">
        <w:rPr>
          <w:color w:val="000000"/>
          <w:szCs w:val="24"/>
          <w:lang w:val="en-GB"/>
        </w:rPr>
        <w:t xml:space="preserve"> which could reduce productivity</w:t>
      </w:r>
      <w:r w:rsidRPr="00582808">
        <w:rPr>
          <w:color w:val="000000"/>
          <w:szCs w:val="24"/>
          <w:lang w:val="en-GB"/>
        </w:rPr>
        <w:t>.</w:t>
      </w:r>
      <w:r w:rsidRPr="00582808">
        <w:rPr>
          <w:szCs w:val="24"/>
          <w:lang w:val="en-GB"/>
        </w:rPr>
        <w:t xml:space="preserve"> </w:t>
      </w:r>
      <w:r w:rsidRPr="00582808">
        <w:rPr>
          <w:color w:val="000000"/>
          <w:szCs w:val="24"/>
          <w:lang w:val="en-GB"/>
        </w:rPr>
        <w:t xml:space="preserve">Recommended fertilizer </w:t>
      </w:r>
      <w:r w:rsidR="008D7A44" w:rsidRPr="00582808">
        <w:rPr>
          <w:color w:val="000000"/>
          <w:szCs w:val="24"/>
          <w:lang w:val="en-GB"/>
        </w:rPr>
        <w:t xml:space="preserve">tea </w:t>
      </w:r>
      <w:r w:rsidRPr="00582808">
        <w:rPr>
          <w:color w:val="000000"/>
          <w:szCs w:val="24"/>
          <w:lang w:val="en-GB"/>
        </w:rPr>
        <w:t xml:space="preserve">in Eastern Africa and harvesting intervals are uniform despite varying environmental factors. The effects of NPKS 25:5:5:5 fertilizer rates and plucking intervals on soil </w:t>
      </w:r>
      <w:r w:rsidR="008D7A44" w:rsidRPr="00582808">
        <w:rPr>
          <w:color w:val="000000"/>
          <w:szCs w:val="24"/>
          <w:lang w:val="en-GB"/>
        </w:rPr>
        <w:t xml:space="preserve">nitrogen, phosphorous and potassium </w:t>
      </w:r>
      <w:r w:rsidRPr="00582808">
        <w:rPr>
          <w:color w:val="000000"/>
          <w:szCs w:val="24"/>
          <w:lang w:val="en-GB"/>
        </w:rPr>
        <w:t>and the</w:t>
      </w:r>
      <w:r w:rsidR="008D7A44" w:rsidRPr="00582808">
        <w:rPr>
          <w:color w:val="000000"/>
          <w:szCs w:val="24"/>
          <w:lang w:val="en-GB"/>
        </w:rPr>
        <w:t>ir</w:t>
      </w:r>
      <w:r w:rsidRPr="00582808">
        <w:rPr>
          <w:color w:val="000000"/>
          <w:szCs w:val="24"/>
          <w:lang w:val="en-GB"/>
        </w:rPr>
        <w:t xml:space="preserve"> relationship </w:t>
      </w:r>
      <w:r w:rsidR="008D7A44" w:rsidRPr="00582808">
        <w:rPr>
          <w:color w:val="000000"/>
          <w:szCs w:val="24"/>
          <w:lang w:val="en-GB"/>
        </w:rPr>
        <w:t>with</w:t>
      </w:r>
      <w:r w:rsidRPr="00582808">
        <w:rPr>
          <w:color w:val="000000"/>
          <w:szCs w:val="24"/>
          <w:lang w:val="en-GB"/>
        </w:rPr>
        <w:t xml:space="preserve"> tea yields in Eastern Africa were evaluated. Soil samples were collected from fertilizer trials on clone TRFK 6/8 at </w:t>
      </w:r>
      <w:proofErr w:type="spellStart"/>
      <w:r w:rsidRPr="00582808">
        <w:rPr>
          <w:color w:val="000000"/>
          <w:szCs w:val="24"/>
          <w:lang w:val="en-GB"/>
        </w:rPr>
        <w:t>Timbilil</w:t>
      </w:r>
      <w:proofErr w:type="spellEnd"/>
      <w:r w:rsidRPr="00582808">
        <w:rPr>
          <w:color w:val="000000"/>
          <w:szCs w:val="24"/>
          <w:lang w:val="en-GB"/>
        </w:rPr>
        <w:t xml:space="preserve">, </w:t>
      </w:r>
      <w:proofErr w:type="spellStart"/>
      <w:r w:rsidRPr="00582808">
        <w:rPr>
          <w:color w:val="000000"/>
          <w:szCs w:val="24"/>
          <w:lang w:val="en-GB"/>
        </w:rPr>
        <w:t>Changoi</w:t>
      </w:r>
      <w:proofErr w:type="spellEnd"/>
      <w:r w:rsidRPr="00582808">
        <w:rPr>
          <w:color w:val="000000"/>
          <w:szCs w:val="24"/>
          <w:lang w:val="en-GB"/>
        </w:rPr>
        <w:t xml:space="preserve">, </w:t>
      </w:r>
      <w:proofErr w:type="spellStart"/>
      <w:r w:rsidRPr="00582808">
        <w:rPr>
          <w:color w:val="000000"/>
          <w:szCs w:val="24"/>
          <w:lang w:val="en-GB"/>
        </w:rPr>
        <w:t>Arroket</w:t>
      </w:r>
      <w:proofErr w:type="spellEnd"/>
      <w:r w:rsidRPr="00582808">
        <w:rPr>
          <w:color w:val="000000"/>
          <w:szCs w:val="24"/>
          <w:lang w:val="en-GB"/>
        </w:rPr>
        <w:t xml:space="preserve"> (Kenya), </w:t>
      </w:r>
      <w:proofErr w:type="spellStart"/>
      <w:r w:rsidRPr="00582808">
        <w:rPr>
          <w:color w:val="000000"/>
          <w:szCs w:val="24"/>
          <w:lang w:val="en-GB"/>
        </w:rPr>
        <w:t>Maruku</w:t>
      </w:r>
      <w:proofErr w:type="spellEnd"/>
      <w:r w:rsidRPr="00582808">
        <w:rPr>
          <w:color w:val="000000"/>
          <w:szCs w:val="24"/>
          <w:lang w:val="en-GB"/>
        </w:rPr>
        <w:t xml:space="preserve">, </w:t>
      </w:r>
      <w:proofErr w:type="spellStart"/>
      <w:r w:rsidRPr="00582808">
        <w:rPr>
          <w:color w:val="000000"/>
          <w:szCs w:val="24"/>
          <w:lang w:val="en-GB"/>
        </w:rPr>
        <w:t>Katoke</w:t>
      </w:r>
      <w:proofErr w:type="spellEnd"/>
      <w:r w:rsidRPr="00582808">
        <w:rPr>
          <w:color w:val="000000"/>
          <w:szCs w:val="24"/>
          <w:lang w:val="en-GB"/>
        </w:rPr>
        <w:t xml:space="preserve"> (Tanzania), </w:t>
      </w:r>
      <w:proofErr w:type="spellStart"/>
      <w:r w:rsidRPr="00582808">
        <w:rPr>
          <w:color w:val="000000"/>
          <w:szCs w:val="24"/>
          <w:lang w:val="en-GB"/>
        </w:rPr>
        <w:t>Kitabi</w:t>
      </w:r>
      <w:proofErr w:type="spellEnd"/>
      <w:r w:rsidRPr="00582808">
        <w:rPr>
          <w:color w:val="000000"/>
          <w:szCs w:val="24"/>
          <w:lang w:val="en-GB"/>
        </w:rPr>
        <w:t xml:space="preserve"> and </w:t>
      </w:r>
      <w:proofErr w:type="spellStart"/>
      <w:r w:rsidRPr="00582808">
        <w:rPr>
          <w:color w:val="000000"/>
          <w:szCs w:val="24"/>
          <w:lang w:val="en-GB"/>
        </w:rPr>
        <w:t>Mulindi</w:t>
      </w:r>
      <w:proofErr w:type="spellEnd"/>
      <w:r w:rsidRPr="00582808">
        <w:rPr>
          <w:color w:val="000000"/>
          <w:szCs w:val="24"/>
          <w:lang w:val="en-GB"/>
        </w:rPr>
        <w:t xml:space="preserve"> (Rwanda), </w:t>
      </w:r>
      <w:r w:rsidR="00A96491">
        <w:rPr>
          <w:color w:val="000000"/>
          <w:szCs w:val="24"/>
          <w:lang w:val="en-GB"/>
        </w:rPr>
        <w:t xml:space="preserve">evaluating the effect </w:t>
      </w:r>
      <w:r w:rsidRPr="00582808">
        <w:rPr>
          <w:color w:val="000000"/>
          <w:szCs w:val="24"/>
          <w:lang w:val="en-GB"/>
        </w:rPr>
        <w:t xml:space="preserve">nitrogen fertilizer rates (0, 75, 150, 225 and 300Kg N/ha/year) and plucking intervals (7, 14 and 21 days) at 0-10, 10-20, 20-30, 40-60 cm soil depths. Soil </w:t>
      </w:r>
      <w:r w:rsidR="008D7A44" w:rsidRPr="00582808">
        <w:rPr>
          <w:color w:val="000000"/>
          <w:szCs w:val="24"/>
          <w:lang w:val="en-GB"/>
        </w:rPr>
        <w:t>N</w:t>
      </w:r>
      <w:r w:rsidRPr="00582808">
        <w:rPr>
          <w:color w:val="000000"/>
          <w:szCs w:val="24"/>
          <w:lang w:val="en-GB"/>
        </w:rPr>
        <w:t xml:space="preserve"> was determined by </w:t>
      </w:r>
      <w:proofErr w:type="spellStart"/>
      <w:r w:rsidRPr="00582808">
        <w:rPr>
          <w:color w:val="000000"/>
          <w:szCs w:val="24"/>
          <w:lang w:val="en-GB"/>
        </w:rPr>
        <w:t>Kjeldhal</w:t>
      </w:r>
      <w:proofErr w:type="spellEnd"/>
      <w:r w:rsidRPr="00582808">
        <w:rPr>
          <w:color w:val="000000"/>
          <w:szCs w:val="24"/>
          <w:lang w:val="en-GB"/>
        </w:rPr>
        <w:t xml:space="preserve"> method </w:t>
      </w:r>
      <w:r w:rsidR="008D7A44" w:rsidRPr="00582808">
        <w:rPr>
          <w:color w:val="000000"/>
          <w:szCs w:val="24"/>
          <w:lang w:val="en-GB"/>
        </w:rPr>
        <w:t xml:space="preserve">while P and K </w:t>
      </w:r>
      <w:r w:rsidRPr="00582808">
        <w:rPr>
          <w:color w:val="000000"/>
          <w:szCs w:val="24"/>
          <w:lang w:val="en-GB"/>
        </w:rPr>
        <w:t>using ICP</w:t>
      </w:r>
      <w:r w:rsidR="00A96491">
        <w:rPr>
          <w:color w:val="000000"/>
          <w:szCs w:val="24"/>
          <w:lang w:val="en-GB"/>
        </w:rPr>
        <w:t>-</w:t>
      </w:r>
      <w:r w:rsidRPr="00582808">
        <w:rPr>
          <w:color w:val="000000"/>
          <w:szCs w:val="24"/>
          <w:lang w:val="en-GB"/>
        </w:rPr>
        <w:t>AES.</w:t>
      </w:r>
      <w:r w:rsidR="00A96491">
        <w:rPr>
          <w:color w:val="000000"/>
          <w:szCs w:val="24"/>
          <w:lang w:val="en-GB"/>
        </w:rPr>
        <w:t xml:space="preserve"> </w:t>
      </w:r>
      <w:r w:rsidR="00A96491" w:rsidRPr="00582808">
        <w:rPr>
          <w:color w:val="000000"/>
          <w:szCs w:val="24"/>
          <w:lang w:val="en-GB"/>
        </w:rPr>
        <w:t xml:space="preserve">Plucking intervals had no influence on the </w:t>
      </w:r>
      <w:r w:rsidR="00A96491">
        <w:rPr>
          <w:color w:val="000000"/>
          <w:szCs w:val="24"/>
          <w:lang w:val="en-GB"/>
        </w:rPr>
        <w:t xml:space="preserve">nutrients </w:t>
      </w:r>
      <w:r w:rsidR="00A96491" w:rsidRPr="00582808">
        <w:rPr>
          <w:color w:val="000000"/>
          <w:szCs w:val="24"/>
          <w:lang w:val="en-GB"/>
        </w:rPr>
        <w:t>levels at all sites.</w:t>
      </w:r>
      <w:r w:rsidRPr="00582808">
        <w:rPr>
          <w:color w:val="000000"/>
          <w:szCs w:val="24"/>
          <w:lang w:val="en-GB"/>
        </w:rPr>
        <w:t xml:space="preserve"> Increasing nitrogen rates increased (p≤0.05) soil N and P levels but lowered (p≤0.05) soil K</w:t>
      </w:r>
      <w:r w:rsidRPr="00582808">
        <w:rPr>
          <w:szCs w:val="24"/>
          <w:lang w:val="en-GB"/>
        </w:rPr>
        <w:t>.</w:t>
      </w:r>
      <w:r w:rsidRPr="00582808">
        <w:rPr>
          <w:color w:val="000000"/>
          <w:szCs w:val="24"/>
          <w:lang w:val="en-GB"/>
        </w:rPr>
        <w:t xml:space="preserve"> </w:t>
      </w:r>
      <w:r w:rsidR="008D7A44" w:rsidRPr="00582808">
        <w:rPr>
          <w:color w:val="000000"/>
          <w:szCs w:val="24"/>
          <w:lang w:val="en-GB"/>
        </w:rPr>
        <w:t>L</w:t>
      </w:r>
      <w:r w:rsidRPr="00582808">
        <w:rPr>
          <w:color w:val="000000"/>
          <w:szCs w:val="24"/>
          <w:lang w:val="en-GB"/>
        </w:rPr>
        <w:t xml:space="preserve">ong term use of nitrogenous </w:t>
      </w:r>
      <w:r w:rsidR="00582808" w:rsidRPr="00582808">
        <w:rPr>
          <w:color w:val="000000"/>
          <w:szCs w:val="24"/>
          <w:lang w:val="en-GB"/>
        </w:rPr>
        <w:t>fertilizers</w:t>
      </w:r>
      <w:r w:rsidR="008D7A44" w:rsidRPr="00582808">
        <w:rPr>
          <w:color w:val="000000"/>
          <w:szCs w:val="24"/>
          <w:lang w:val="en-GB"/>
        </w:rPr>
        <w:t xml:space="preserve"> may therefore require </w:t>
      </w:r>
      <w:r w:rsidRPr="00582808">
        <w:rPr>
          <w:color w:val="000000"/>
          <w:szCs w:val="24"/>
          <w:lang w:val="en-GB"/>
        </w:rPr>
        <w:t xml:space="preserve">remedial application of </w:t>
      </w:r>
      <w:r w:rsidR="008D7A44" w:rsidRPr="00582808">
        <w:rPr>
          <w:color w:val="000000"/>
          <w:szCs w:val="24"/>
          <w:lang w:val="en-GB"/>
        </w:rPr>
        <w:t>K</w:t>
      </w:r>
      <w:r w:rsidRPr="00582808">
        <w:rPr>
          <w:color w:val="000000"/>
          <w:szCs w:val="24"/>
          <w:lang w:val="en-GB"/>
        </w:rPr>
        <w:t xml:space="preserve">. Soil nutrients levels varied significantly (p≤0.05) from location to location. However, levels were optimal and therefore were not constraining tea </w:t>
      </w:r>
      <w:proofErr w:type="gramStart"/>
      <w:r w:rsidRPr="00582808">
        <w:rPr>
          <w:color w:val="000000"/>
          <w:szCs w:val="24"/>
          <w:lang w:val="en-GB"/>
        </w:rPr>
        <w:t>production.</w:t>
      </w:r>
      <w:r w:rsidR="00F76ABF">
        <w:rPr>
          <w:szCs w:val="24"/>
          <w:lang w:val="en-GB"/>
        </w:rPr>
        <w:t>.</w:t>
      </w:r>
      <w:proofErr w:type="gramEnd"/>
      <w:r w:rsidRPr="00582808">
        <w:rPr>
          <w:szCs w:val="24"/>
          <w:lang w:val="en-GB"/>
        </w:rPr>
        <w:t xml:space="preserve"> </w:t>
      </w:r>
    </w:p>
    <w:p w14:paraId="2A3C56E1" w14:textId="77777777" w:rsidR="00534421" w:rsidRPr="00582808" w:rsidRDefault="00534421" w:rsidP="00534421">
      <w:pPr>
        <w:tabs>
          <w:tab w:val="left" w:pos="2610"/>
        </w:tabs>
        <w:rPr>
          <w:szCs w:val="24"/>
          <w:lang w:val="en-GB"/>
        </w:rPr>
      </w:pPr>
    </w:p>
    <w:p w14:paraId="4126CCD2" w14:textId="77777777" w:rsidR="00534421" w:rsidRPr="00582808" w:rsidRDefault="00534421" w:rsidP="00534421">
      <w:pPr>
        <w:tabs>
          <w:tab w:val="left" w:pos="2610"/>
        </w:tabs>
        <w:rPr>
          <w:szCs w:val="24"/>
          <w:lang w:val="en-GB"/>
        </w:rPr>
      </w:pPr>
    </w:p>
    <w:p w14:paraId="088C6A63" w14:textId="77777777" w:rsidR="00534421" w:rsidRPr="00582808" w:rsidRDefault="00534421" w:rsidP="00534421">
      <w:pPr>
        <w:tabs>
          <w:tab w:val="left" w:pos="2610"/>
        </w:tabs>
        <w:spacing w:line="276" w:lineRule="auto"/>
        <w:rPr>
          <w:szCs w:val="24"/>
          <w:lang w:val="en-GB"/>
        </w:rPr>
      </w:pPr>
      <w:r w:rsidRPr="00582808">
        <w:rPr>
          <w:b/>
          <w:szCs w:val="24"/>
          <w:lang w:val="en-GB"/>
        </w:rPr>
        <w:t>KEY WORDS</w:t>
      </w:r>
      <w:r w:rsidRPr="00582808">
        <w:rPr>
          <w:szCs w:val="24"/>
          <w:lang w:val="en-GB"/>
        </w:rPr>
        <w:t xml:space="preserve">: Nitrogen </w:t>
      </w:r>
      <w:proofErr w:type="gramStart"/>
      <w:r w:rsidRPr="00582808">
        <w:rPr>
          <w:szCs w:val="24"/>
          <w:lang w:val="en-GB"/>
        </w:rPr>
        <w:t>rates;  Plucking</w:t>
      </w:r>
      <w:proofErr w:type="gramEnd"/>
      <w:r w:rsidRPr="00582808">
        <w:rPr>
          <w:szCs w:val="24"/>
          <w:lang w:val="en-GB"/>
        </w:rPr>
        <w:t xml:space="preserve"> intervals; Location of Production; </w:t>
      </w:r>
      <w:r w:rsidR="008D7A44" w:rsidRPr="00582808">
        <w:rPr>
          <w:szCs w:val="24"/>
          <w:lang w:val="en-GB"/>
        </w:rPr>
        <w:t>Soil nitrogen, phosphorous and potassium</w:t>
      </w:r>
      <w:r w:rsidRPr="00582808">
        <w:rPr>
          <w:szCs w:val="24"/>
          <w:lang w:val="en-GB"/>
        </w:rPr>
        <w:t>; Clone TRFK 6/8; Kenya; Rwanda; Tanzania</w:t>
      </w:r>
    </w:p>
    <w:p w14:paraId="0DDA0021" w14:textId="77777777" w:rsidR="007E5E50" w:rsidRPr="00582808" w:rsidRDefault="007E5E50" w:rsidP="007C7BD2">
      <w:pPr>
        <w:pStyle w:val="Heading1"/>
        <w:tabs>
          <w:tab w:val="center" w:pos="4635"/>
        </w:tabs>
        <w:rPr>
          <w:rFonts w:ascii="Times New Roman" w:hAnsi="Times New Roman"/>
          <w:sz w:val="24"/>
          <w:szCs w:val="24"/>
          <w:lang w:val="en-GB"/>
        </w:rPr>
      </w:pPr>
    </w:p>
    <w:p w14:paraId="7F43B33F" w14:textId="77777777" w:rsidR="006F2215" w:rsidRPr="00582808" w:rsidRDefault="006F2215" w:rsidP="006F2215">
      <w:pPr>
        <w:tabs>
          <w:tab w:val="left" w:pos="2610"/>
        </w:tabs>
        <w:spacing w:line="276" w:lineRule="auto"/>
        <w:jc w:val="left"/>
        <w:rPr>
          <w:rFonts w:ascii="Calibri" w:hAnsi="Calibri"/>
          <w:b/>
          <w:sz w:val="28"/>
          <w:szCs w:val="28"/>
          <w:lang w:val="en-GB"/>
        </w:rPr>
      </w:pPr>
      <w:r w:rsidRPr="00582808">
        <w:rPr>
          <w:rFonts w:ascii="Calibri" w:hAnsi="Calibri"/>
          <w:b/>
          <w:sz w:val="28"/>
          <w:szCs w:val="28"/>
          <w:lang w:val="en-GB"/>
        </w:rPr>
        <w:t>Introduction</w:t>
      </w:r>
    </w:p>
    <w:p w14:paraId="6340801B" w14:textId="709793F4" w:rsidR="006F2215" w:rsidRPr="00582808" w:rsidRDefault="006F2215" w:rsidP="006F2215">
      <w:pPr>
        <w:autoSpaceDE w:val="0"/>
        <w:autoSpaceDN w:val="0"/>
        <w:adjustRightInd w:val="0"/>
        <w:spacing w:line="360" w:lineRule="auto"/>
        <w:rPr>
          <w:szCs w:val="24"/>
          <w:lang w:val="en-GB"/>
        </w:rPr>
      </w:pPr>
      <w:r w:rsidRPr="00582808">
        <w:rPr>
          <w:szCs w:val="24"/>
          <w:lang w:val="en-GB"/>
        </w:rPr>
        <w:t>Tea (</w:t>
      </w:r>
      <w:r w:rsidRPr="00582808">
        <w:rPr>
          <w:i/>
          <w:iCs/>
          <w:szCs w:val="24"/>
          <w:lang w:val="en-GB"/>
        </w:rPr>
        <w:t xml:space="preserve">Camellia sinensis, </w:t>
      </w:r>
      <w:r w:rsidRPr="00582808">
        <w:rPr>
          <w:iCs/>
          <w:szCs w:val="24"/>
          <w:lang w:val="en-GB"/>
        </w:rPr>
        <w:t>(L) O. Kuntze</w:t>
      </w:r>
      <w:r w:rsidRPr="00582808">
        <w:rPr>
          <w:szCs w:val="24"/>
          <w:lang w:val="en-GB"/>
        </w:rPr>
        <w:t xml:space="preserve">) is .commercially </w:t>
      </w:r>
      <w:r w:rsidR="00582808" w:rsidRPr="00582808">
        <w:rPr>
          <w:szCs w:val="24"/>
          <w:lang w:val="en-GB"/>
        </w:rPr>
        <w:t xml:space="preserve">exploited </w:t>
      </w:r>
      <w:r w:rsidRPr="00582808">
        <w:rPr>
          <w:szCs w:val="24"/>
          <w:lang w:val="en-GB"/>
        </w:rPr>
        <w:t xml:space="preserve">for its beverages </w:t>
      </w:r>
      <w:r w:rsidRPr="00582808">
        <w:rPr>
          <w:szCs w:val="24"/>
          <w:lang w:val="en-GB"/>
        </w:rPr>
        <w:fldChar w:fldCharType="begin"/>
      </w:r>
      <w:r w:rsidR="00175EB1">
        <w:rPr>
          <w:szCs w:val="24"/>
          <w:lang w:val="en-GB"/>
        </w:rPr>
        <w:instrText xml:space="preserve"> ADDIN EN.CITE &lt;EndNote&gt;&lt;Cite&gt;&lt;Author&gt;Monirul&lt;/Author&gt;&lt;Year&gt;2012&lt;/Year&gt;&lt;RecNum&gt;70&lt;/RecNum&gt;&lt;DisplayText&gt;(Gardner et al., 2007; Monirul &amp;amp; Han, 2012)&lt;/DisplayText&gt;&lt;record&gt;&lt;rec-number&gt;70&lt;/rec-number&gt;&lt;foreign-keys&gt;&lt;key app="EN" db-id="zx5vprwxa0rsabew9f9xp5fcs9tz0dzwa2fa" timestamp="1595612198"&gt;70&lt;/key&gt;&lt;/foreign-keys&gt;&lt;ref-type name="Journal Article"&gt;17&lt;/ref-type&gt;&lt;contributors&gt;&lt;authors&gt;&lt;author&gt;Monirul, I. M.&lt;/author&gt;&lt;author&gt;Han, J. H.&lt;/author&gt;&lt;/authors&gt;&lt;/contributors&gt;&lt;titles&gt;&lt;title&gt;Perceived quality and attitude toward tea and coffee by consumers&lt;/title&gt;&lt;secondary-title&gt;International Journal of Business Research and Management (IJBRM)&lt;/secondary-title&gt;&lt;/titles&gt;&lt;periodical&gt;&lt;full-title&gt;International Journal of Business Research and Management (IJBRM)&lt;/full-title&gt;&lt;/periodical&gt;&lt;pages&gt;17-25&lt;/pages&gt;&lt;volume&gt;3&lt;/volume&gt;&lt;number&gt;3&lt;/number&gt;&lt;dates&gt;&lt;year&gt;2012&lt;/year&gt;&lt;/dates&gt;&lt;urls&gt;&lt;/urls&gt;&lt;/record&gt;&lt;/Cite&gt;&lt;Cite&gt;&lt;Author&gt;Gardner&lt;/Author&gt;&lt;Year&gt;2007&lt;/Year&gt;&lt;RecNum&gt;126&lt;/RecNum&gt;&lt;record&gt;&lt;rec-number&gt;126&lt;/rec-number&gt;&lt;foreign-keys&gt;&lt;key app="EN" db-id="zx5vprwxa0rsabew9f9xp5fcs9tz0dzwa2fa" timestamp="1595747829"&gt;126&lt;/key&gt;&lt;/foreign-keys&gt;&lt;ref-type name="Journal Article"&gt;17&lt;/ref-type&gt;&lt;contributors&gt;&lt;authors&gt;&lt;author&gt;Gardner, E. J.&lt;/author&gt;&lt;author&gt;Ruxton, C. H.&lt;/author&gt;&lt;author&gt;Leeds, A. R.&lt;/author&gt;&lt;/authors&gt;&lt;/contributors&gt;&lt;titles&gt;&lt;title&gt;Black tea--helpful or harmful? A review of the evidence&lt;/title&gt;&lt;secondary-title&gt;European Journal of Clinical Nutrition&lt;/secondary-title&gt;&lt;/titles&gt;&lt;periodical&gt;&lt;full-title&gt;European Journal of Clinical Nutrition&lt;/full-title&gt;&lt;/periodical&gt;&lt;pages&gt;3-18&lt;/pages&gt;&lt;volume&gt;61&lt;/volume&gt;&lt;dates&gt;&lt;year&gt;2007&lt;/year&gt;&lt;/dates&gt;&lt;urls&gt;&lt;/urls&gt;&lt;electronic-resource-num&gt;https://doi.org/10.1038/sj.ejcn.1602489&lt;/electronic-resource-num&gt;&lt;/record&gt;&lt;/Cite&gt;&lt;/EndNote&gt;</w:instrText>
      </w:r>
      <w:r w:rsidRPr="00582808">
        <w:rPr>
          <w:szCs w:val="24"/>
          <w:lang w:val="en-GB"/>
        </w:rPr>
        <w:fldChar w:fldCharType="separate"/>
      </w:r>
      <w:r w:rsidR="00175EB1">
        <w:rPr>
          <w:noProof/>
          <w:szCs w:val="24"/>
          <w:lang w:val="en-GB"/>
        </w:rPr>
        <w:t>(Gardner et al., 2007; Monirul &amp; Han, 2012)</w:t>
      </w:r>
      <w:r w:rsidRPr="00582808">
        <w:rPr>
          <w:szCs w:val="24"/>
          <w:lang w:val="en-GB"/>
        </w:rPr>
        <w:fldChar w:fldCharType="end"/>
      </w:r>
      <w:r w:rsidRPr="00582808">
        <w:rPr>
          <w:szCs w:val="24"/>
          <w:lang w:val="en-GB"/>
        </w:rPr>
        <w:t xml:space="preserve"> in latitudes ranging from 45</w:t>
      </w:r>
      <w:r w:rsidRPr="00582808">
        <w:rPr>
          <w:szCs w:val="24"/>
          <w:vertAlign w:val="superscript"/>
          <w:lang w:val="en-GB"/>
        </w:rPr>
        <w:t>o</w:t>
      </w:r>
      <w:r w:rsidRPr="00582808">
        <w:rPr>
          <w:szCs w:val="24"/>
          <w:lang w:val="en-GB"/>
        </w:rPr>
        <w:t>N (Russia) to 30</w:t>
      </w:r>
      <w:r w:rsidRPr="00582808">
        <w:rPr>
          <w:szCs w:val="24"/>
          <w:vertAlign w:val="superscript"/>
          <w:lang w:val="en-GB"/>
        </w:rPr>
        <w:t>o</w:t>
      </w:r>
      <w:r w:rsidRPr="00582808">
        <w:rPr>
          <w:szCs w:val="24"/>
          <w:lang w:val="en-GB"/>
        </w:rPr>
        <w:t>S (South Africa), and longitudes from 150</w:t>
      </w:r>
      <w:r w:rsidRPr="00582808">
        <w:rPr>
          <w:szCs w:val="24"/>
          <w:vertAlign w:val="superscript"/>
          <w:lang w:val="en-GB"/>
        </w:rPr>
        <w:t>o</w:t>
      </w:r>
      <w:r w:rsidRPr="00582808">
        <w:rPr>
          <w:szCs w:val="24"/>
          <w:lang w:val="en-GB"/>
        </w:rPr>
        <w:t>E (New Guinea) to 60</w:t>
      </w:r>
      <w:r w:rsidRPr="00582808">
        <w:rPr>
          <w:szCs w:val="24"/>
          <w:vertAlign w:val="superscript"/>
          <w:lang w:val="en-GB"/>
        </w:rPr>
        <w:t>o</w:t>
      </w:r>
      <w:r w:rsidRPr="00582808">
        <w:rPr>
          <w:szCs w:val="24"/>
          <w:lang w:val="en-GB"/>
        </w:rPr>
        <w:t xml:space="preserve">W (Argentina) </w:t>
      </w:r>
      <w:r w:rsidRPr="00582808">
        <w:rPr>
          <w:szCs w:val="24"/>
          <w:lang w:val="en-GB"/>
        </w:rPr>
        <w:fldChar w:fldCharType="begin"/>
      </w:r>
      <w:r w:rsidR="00F238DC">
        <w:rPr>
          <w:szCs w:val="24"/>
          <w:lang w:val="en-GB"/>
        </w:rPr>
        <w:instrText xml:space="preserve"> ADDIN EN.CITE &lt;EndNote&gt;&lt;Cite&gt;&lt;Author&gt;Shoubo&lt;/Author&gt;&lt;Year&gt;1989&lt;/Year&gt;&lt;RecNum&gt;62&lt;/RecNum&gt;&lt;DisplayText&gt;(Shoubo, 1989)&lt;/DisplayText&gt;&lt;record&gt;&lt;rec-number&gt;62&lt;/rec-number&gt;&lt;foreign-keys&gt;&lt;key app="EN" db-id="zx5vprwxa0rsabew9f9xp5fcs9tz0dzwa2fa" timestamp="1573483245"&gt;62&lt;/key&gt;&lt;/foreign-keys&gt;&lt;ref-type name="Journal Article"&gt;17&lt;/ref-type&gt;&lt;contributors&gt;&lt;authors&gt;&lt;author&gt;Shoubo, H.&lt;/author&gt;&lt;/authors&gt;&lt;/contributors&gt;&lt;titles&gt;&lt;title&gt;Meteorology of the tea plant in China: a review&lt;/title&gt;&lt;secondary-title&gt;Agricultural and Forest Meteorology&lt;/secondary-title&gt;&lt;/titles&gt;&lt;periodical&gt;&lt;full-title&gt;Agricultural and Forest Meteorology&lt;/full-title&gt;&lt;/periodical&gt;&lt;pages&gt;19-30&lt;/pages&gt;&lt;volume&gt;47&lt;/volume&gt;&lt;number&gt;1&lt;/number&gt;&lt;dates&gt;&lt;year&gt;1989&lt;/year&gt;&lt;/dates&gt;&lt;isbn&gt;0168-1923&lt;/isbn&gt;&lt;urls&gt;&lt;related-urls&gt;&lt;url&gt;&lt;style face="underline" font="default" size="100%"&gt;https://www.sciencedirect.com/science/article/pii/016819238990083X&lt;/style&gt;&lt;/url&gt;&lt;/related-urls&gt;&lt;/urls&gt;&lt;/record&gt;&lt;/Cite&gt;&lt;/EndNote&gt;</w:instrText>
      </w:r>
      <w:r w:rsidRPr="00582808">
        <w:rPr>
          <w:szCs w:val="24"/>
          <w:lang w:val="en-GB"/>
        </w:rPr>
        <w:fldChar w:fldCharType="separate"/>
      </w:r>
      <w:r w:rsidR="00F238DC">
        <w:rPr>
          <w:noProof/>
          <w:szCs w:val="24"/>
          <w:lang w:val="en-GB"/>
        </w:rPr>
        <w:t>(Shoubo, 1989)</w:t>
      </w:r>
      <w:r w:rsidRPr="00582808">
        <w:rPr>
          <w:szCs w:val="24"/>
          <w:lang w:val="en-GB"/>
        </w:rPr>
        <w:fldChar w:fldCharType="end"/>
      </w:r>
      <w:r w:rsidRPr="00582808">
        <w:rPr>
          <w:szCs w:val="24"/>
          <w:lang w:val="en-GB"/>
        </w:rPr>
        <w:t xml:space="preserve">, and altitudes ranging from sea level </w:t>
      </w:r>
      <w:r w:rsidRPr="00582808">
        <w:rPr>
          <w:szCs w:val="24"/>
          <w:lang w:val="en-GB"/>
        </w:rPr>
        <w:fldChar w:fldCharType="begin"/>
      </w:r>
      <w:r w:rsidR="00175EB1">
        <w:rPr>
          <w:szCs w:val="24"/>
          <w:lang w:val="en-GB"/>
        </w:rPr>
        <w:instrText xml:space="preserve"> ADDIN EN.CITE &lt;EndNote&gt;&lt;Cite&gt;&lt;Author&gt;Anandacoomaraswamy&lt;/Author&gt;&lt;Year&gt;2000&lt;/Year&gt;&lt;RecNum&gt;3&lt;/RecNum&gt;&lt;DisplayText&gt;(Anandacoomaraswamy et al., 2000)&lt;/DisplayText&gt;&lt;record&gt;&lt;rec-number&gt;3&lt;/rec-number&gt;&lt;foreign-keys&gt;&lt;key app="EN" db-id="zx5vprwxa0rsabew9f9xp5fcs9tz0dzwa2fa" timestamp="0"&gt;3&lt;/key&gt;&lt;/foreign-keys&gt;&lt;ref-type name="Journal Article"&gt;17&lt;/ref-type&gt;&lt;contributors&gt;&lt;authors&gt;&lt;author&gt;Anandacoomaraswamy, A.&lt;/author&gt;&lt;author&gt;De Costa, W. A. J. M.&lt;/author&gt;&lt;author&gt;Shyamalie, H. W.&lt;/author&gt;&lt;author&gt;Campbell, G. S.&lt;/author&gt;&lt;/authors&gt;&lt;/contributors&gt;&lt;titles&gt;&lt;title&gt;Factors controlling transpiration of mature field-grown tea and its relationship with yield&lt;/title&gt;&lt;secondary-title&gt;Agricultural and Forest Meteorology&lt;/secondary-title&gt;&lt;/titles&gt;&lt;periodical&gt;&lt;full-title&gt;Agricultural and Forest Meteorology&lt;/full-title&gt;&lt;/periodical&gt;&lt;pages&gt;375-386.&lt;/pages&gt;&lt;volume&gt;103&lt;/volume&gt;&lt;number&gt;4&lt;/number&gt;&lt;dates&gt;&lt;year&gt;2000&lt;/year&gt;&lt;/dates&gt;&lt;urls&gt;&lt;related-urls&gt;&lt;url&gt;&lt;style face="underline" font="default" size="100%"&gt;https://www.sciencedirect.com/science/article/pii/S0168192300001349&lt;/style&gt;&lt;/url&gt;&lt;/related-urls&gt;&lt;/urls&gt;&lt;/record&gt;&lt;/Cite&gt;&lt;/EndNote&gt;</w:instrText>
      </w:r>
      <w:r w:rsidRPr="00582808">
        <w:rPr>
          <w:szCs w:val="24"/>
          <w:lang w:val="en-GB"/>
        </w:rPr>
        <w:fldChar w:fldCharType="separate"/>
      </w:r>
      <w:r w:rsidR="00175EB1">
        <w:rPr>
          <w:noProof/>
          <w:szCs w:val="24"/>
          <w:lang w:val="en-GB"/>
        </w:rPr>
        <w:t>(Anandacoomaraswamy et al., 2000)</w:t>
      </w:r>
      <w:r w:rsidRPr="00582808">
        <w:rPr>
          <w:szCs w:val="24"/>
          <w:lang w:val="en-GB"/>
        </w:rPr>
        <w:fldChar w:fldCharType="end"/>
      </w:r>
      <w:r w:rsidRPr="00582808">
        <w:rPr>
          <w:szCs w:val="24"/>
          <w:lang w:val="en-GB"/>
        </w:rPr>
        <w:t xml:space="preserve"> to about 2,700 m above mean sea level (</w:t>
      </w:r>
      <w:proofErr w:type="spellStart"/>
      <w:r w:rsidRPr="00582808">
        <w:rPr>
          <w:szCs w:val="24"/>
          <w:lang w:val="en-GB"/>
        </w:rPr>
        <w:t>amsl</w:t>
      </w:r>
      <w:proofErr w:type="spellEnd"/>
      <w:r w:rsidRPr="00582808">
        <w:rPr>
          <w:szCs w:val="24"/>
          <w:lang w:val="en-GB"/>
        </w:rPr>
        <w:t xml:space="preserve">) </w:t>
      </w:r>
      <w:r w:rsidRPr="00582808">
        <w:rPr>
          <w:szCs w:val="24"/>
          <w:lang w:val="en-GB"/>
        </w:rPr>
        <w:fldChar w:fldCharType="begin"/>
      </w:r>
      <w:r w:rsidR="00175EB1">
        <w:rPr>
          <w:szCs w:val="24"/>
          <w:lang w:val="en-GB"/>
        </w:rPr>
        <w:instrText xml:space="preserve"> ADDIN EN.CITE &lt;EndNote&gt;&lt;Cite&gt;&lt;Author&gt;Owuor&lt;/Author&gt;&lt;Year&gt;2008&lt;/Year&gt;&lt;RecNum&gt;38&lt;/RecNum&gt;&lt;DisplayText&gt;(Owuor, Obanda, et al., 2008)&lt;/DisplayText&gt;&lt;record&gt;&lt;rec-number&gt;38&lt;/rec-number&gt;&lt;foreign-keys&gt;&lt;key app="EN" db-id="zx5vprwxa0rsabew9f9xp5fcs9tz0dzwa2fa" timestamp="1573221593"&gt;38&lt;/key&gt;&lt;/foreign-keys&gt;&lt;ref-type name="Journal Article"&gt;17&lt;/ref-type&gt;&lt;contributors&gt;&lt;authors&gt;&lt;author&gt;Owuor, P. O.&lt;/author&gt;&lt;author&gt;Obanda, M.&lt;/author&gt;&lt;author&gt;Nyirenda, H. E.&lt;/author&gt;&lt;author&gt;Mandala, W. L.&lt;/author&gt;&lt;/authors&gt;&lt;/contributors&gt;&lt;titles&gt;&lt;title&gt;Influence of region of production on clonal black tea chemical characteristics&lt;/title&gt;&lt;secondary-title&gt;Food Chemistry&lt;/secondary-title&gt;&lt;/titles&gt;&lt;periodical&gt;&lt;full-title&gt;Food Chemistry&lt;/full-title&gt;&lt;/periodical&gt;&lt;pages&gt;263-271&lt;/pages&gt;&lt;volume&gt;108&lt;/volume&gt;&lt;number&gt;1&lt;/number&gt;&lt;dates&gt;&lt;year&gt;2008&lt;/year&gt;&lt;/dates&gt;&lt;isbn&gt;0308-8146&lt;/isbn&gt;&lt;urls&gt;&lt;related-urls&gt;&lt;url&gt;&lt;style face="underline" font="default" size="100%"&gt;https://www.sciencedirect.com/science/article/abs/pii/S030881460700934X&lt;/style&gt;&lt;/url&gt;&lt;/related-urls&gt;&lt;/urls&gt;&lt;electronic-resource-num&gt;https://doi.org/10.1016/j.foodchem.2007.09.017&lt;/electronic-resource-num&gt;&lt;/record&gt;&lt;/Cite&gt;&lt;/EndNote&gt;</w:instrText>
      </w:r>
      <w:r w:rsidRPr="00582808">
        <w:rPr>
          <w:szCs w:val="24"/>
          <w:lang w:val="en-GB"/>
        </w:rPr>
        <w:fldChar w:fldCharType="separate"/>
      </w:r>
      <w:r w:rsidR="00175EB1">
        <w:rPr>
          <w:noProof/>
          <w:szCs w:val="24"/>
          <w:lang w:val="en-GB"/>
        </w:rPr>
        <w:t>(Owuor, Obanda, et al., 2008)</w:t>
      </w:r>
      <w:r w:rsidRPr="00582808">
        <w:rPr>
          <w:szCs w:val="24"/>
          <w:lang w:val="en-GB"/>
        </w:rPr>
        <w:fldChar w:fldCharType="end"/>
      </w:r>
      <w:r w:rsidRPr="00582808">
        <w:rPr>
          <w:szCs w:val="24"/>
          <w:lang w:val="en-GB"/>
        </w:rPr>
        <w:t>. In the East Africa, tea is cultivated in locations with suitable temperatures (15-25</w:t>
      </w:r>
      <w:r w:rsidRPr="00582808">
        <w:rPr>
          <w:szCs w:val="24"/>
          <w:vertAlign w:val="superscript"/>
          <w:lang w:val="en-GB"/>
        </w:rPr>
        <w:t>0</w:t>
      </w:r>
      <w:r w:rsidRPr="00582808">
        <w:rPr>
          <w:szCs w:val="24"/>
          <w:lang w:val="en-GB"/>
        </w:rPr>
        <w:t xml:space="preserve">C), high humidity (80-90%), medium to high well distributed annual rainfall (1200-2000mm) and acidic soils (pH 4.5-5.6) </w:t>
      </w:r>
      <w:r w:rsidRPr="00582808">
        <w:rPr>
          <w:szCs w:val="24"/>
          <w:lang w:val="en-GB"/>
        </w:rPr>
        <w:fldChar w:fldCharType="begin"/>
      </w:r>
      <w:r w:rsidR="00F238DC">
        <w:rPr>
          <w:szCs w:val="24"/>
          <w:lang w:val="en-GB"/>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Pr="00582808">
        <w:rPr>
          <w:szCs w:val="24"/>
          <w:lang w:val="en-GB"/>
        </w:rPr>
        <w:fldChar w:fldCharType="separate"/>
      </w:r>
      <w:r w:rsidR="00F238DC">
        <w:rPr>
          <w:noProof/>
          <w:szCs w:val="24"/>
          <w:lang w:val="en-GB"/>
        </w:rPr>
        <w:t>(TRFK, 2002)</w:t>
      </w:r>
      <w:r w:rsidRPr="00582808">
        <w:rPr>
          <w:szCs w:val="24"/>
          <w:lang w:val="en-GB"/>
        </w:rPr>
        <w:fldChar w:fldCharType="end"/>
      </w:r>
      <w:r w:rsidRPr="00582808">
        <w:rPr>
          <w:szCs w:val="24"/>
          <w:lang w:val="en-GB"/>
        </w:rPr>
        <w:t xml:space="preserve">. The crop is adaptable to environmental factors, which influence growth, soil quality and nutrients supply </w:t>
      </w:r>
      <w:r w:rsidRPr="00582808">
        <w:rPr>
          <w:szCs w:val="24"/>
          <w:lang w:val="en-GB"/>
        </w:rPr>
        <w:fldChar w:fldCharType="begin">
          <w:fldData xml:space="preserve">PEVuZE5vdGU+PENpdGU+PEF1dGhvcj5BbmFuZGFjb29tYXJhc3dhbXk8L0F1dGhvcj48WWVhcj4y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</w:fldData>
        </w:fldChar>
      </w:r>
      <w:r w:rsidR="00175EB1">
        <w:rPr>
          <w:szCs w:val="24"/>
          <w:lang w:val="en-GB"/>
        </w:rPr>
        <w:instrText xml:space="preserve"> ADDIN EN.CITE </w:instrText>
      </w:r>
      <w:r w:rsidR="00175EB1">
        <w:rPr>
          <w:szCs w:val="24"/>
          <w:lang w:val="en-GB"/>
        </w:rPr>
        <w:fldChar w:fldCharType="begin">
          <w:fldData xml:space="preserve">PEVuZE5vdGU+PENpdGU+PEF1dGhvcj5BbmFuZGFjb29tYXJhc3dhbXk8L0F1dGhvcj48WWVhcj4y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</w:fldData>
        </w:fldChar>
      </w:r>
      <w:r w:rsidR="00175EB1">
        <w:rPr>
          <w:szCs w:val="24"/>
          <w:lang w:val="en-GB"/>
        </w:rPr>
        <w:instrText xml:space="preserve"> ADDIN EN.CITE.DATA </w:instrText>
      </w:r>
      <w:r w:rsidR="00175EB1">
        <w:rPr>
          <w:szCs w:val="24"/>
          <w:lang w:val="en-GB"/>
        </w:rPr>
      </w:r>
      <w:r w:rsidR="00175EB1">
        <w:rPr>
          <w:szCs w:val="24"/>
          <w:lang w:val="en-GB"/>
        </w:rPr>
        <w:fldChar w:fldCharType="end"/>
      </w:r>
      <w:r w:rsidRPr="00582808">
        <w:rPr>
          <w:szCs w:val="24"/>
          <w:lang w:val="en-GB"/>
        </w:rPr>
      </w:r>
      <w:r w:rsidRPr="00582808">
        <w:rPr>
          <w:szCs w:val="24"/>
          <w:lang w:val="en-GB"/>
        </w:rPr>
        <w:fldChar w:fldCharType="separate"/>
      </w:r>
      <w:r w:rsidR="00175EB1">
        <w:rPr>
          <w:noProof/>
          <w:szCs w:val="24"/>
          <w:lang w:val="en-GB"/>
        </w:rPr>
        <w:t>(Anandacoomaraswamy et al., 2000; Shoubo, 1989; TRFK, 2002)</w:t>
      </w:r>
      <w:r w:rsidRPr="00582808">
        <w:rPr>
          <w:szCs w:val="24"/>
          <w:lang w:val="en-GB"/>
        </w:rPr>
        <w:fldChar w:fldCharType="end"/>
      </w:r>
      <w:r w:rsidRPr="00582808">
        <w:rPr>
          <w:szCs w:val="24"/>
          <w:lang w:val="en-GB"/>
        </w:rPr>
        <w:t xml:space="preserve">. Tea plant tolerates large deviations in nutrients requirements before first visible signs of deficiency/toxicity begin to appear on the foliage. Periodic soil quality tests to detect nutrients deficiency/toxicity that may affect yields </w:t>
      </w:r>
      <w:r w:rsidRPr="00582808">
        <w:rPr>
          <w:szCs w:val="24"/>
          <w:lang w:val="en-GB"/>
        </w:rPr>
        <w:fldChar w:fldCharType="begin">
          <w:fldData xml:space="preserve">PEVuZE5vdGU+PENpdGU+PEF1dGhvcj5UaHU8L0F1dGhvcj48WWVhcj4yMDEzPC9ZZWFyPjxSZWNO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</w:fldData>
        </w:fldChar>
      </w:r>
      <w:r w:rsidR="00175EB1">
        <w:rPr>
          <w:szCs w:val="24"/>
          <w:lang w:val="en-GB"/>
        </w:rPr>
        <w:instrText xml:space="preserve"> ADDIN EN.CITE </w:instrText>
      </w:r>
      <w:r w:rsidR="00175EB1">
        <w:rPr>
          <w:szCs w:val="24"/>
          <w:lang w:val="en-GB"/>
        </w:rPr>
        <w:fldChar w:fldCharType="begin">
          <w:fldData xml:space="preserve">PEVuZE5vdGU+PENpdGU+PEF1dGhvcj5UaHU8L0F1dGhvcj48WWVhcj4yMDEzPC9ZZWFyPjxSZWNO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</w:fldData>
        </w:fldChar>
      </w:r>
      <w:r w:rsidR="00175EB1">
        <w:rPr>
          <w:szCs w:val="24"/>
          <w:lang w:val="en-GB"/>
        </w:rPr>
        <w:instrText xml:space="preserve"> ADDIN EN.CITE.DATA </w:instrText>
      </w:r>
      <w:r w:rsidR="00175EB1">
        <w:rPr>
          <w:szCs w:val="24"/>
          <w:lang w:val="en-GB"/>
        </w:rPr>
      </w:r>
      <w:r w:rsidR="00175EB1">
        <w:rPr>
          <w:szCs w:val="24"/>
          <w:lang w:val="en-GB"/>
        </w:rPr>
        <w:fldChar w:fldCharType="end"/>
      </w:r>
      <w:r w:rsidRPr="00582808">
        <w:rPr>
          <w:szCs w:val="24"/>
          <w:lang w:val="en-GB"/>
        </w:rPr>
      </w:r>
      <w:r w:rsidRPr="00582808">
        <w:rPr>
          <w:szCs w:val="24"/>
          <w:lang w:val="en-GB"/>
        </w:rPr>
        <w:fldChar w:fldCharType="separate"/>
      </w:r>
      <w:r w:rsidR="00175EB1">
        <w:rPr>
          <w:noProof/>
          <w:szCs w:val="24"/>
          <w:lang w:val="en-GB"/>
        </w:rPr>
        <w:t>(Owuor, Othieno, et al., 2008; Thu et al., 2013; TRFK, 2002)</w:t>
      </w:r>
      <w:r w:rsidRPr="00582808">
        <w:rPr>
          <w:szCs w:val="24"/>
          <w:lang w:val="en-GB"/>
        </w:rPr>
        <w:fldChar w:fldCharType="end"/>
      </w:r>
      <w:r w:rsidRPr="00582808">
        <w:rPr>
          <w:szCs w:val="24"/>
          <w:lang w:val="en-GB"/>
        </w:rPr>
        <w:t xml:space="preserve"> are necessary to invoke implementation of corrective measures for avoiding production losses.</w:t>
      </w:r>
    </w:p>
    <w:p w14:paraId="3C7F6E57" w14:textId="035B7FBA" w:rsidR="006F2215" w:rsidRPr="00582808" w:rsidRDefault="006F2215" w:rsidP="006F2215">
      <w:pPr>
        <w:autoSpaceDE w:val="0"/>
        <w:autoSpaceDN w:val="0"/>
        <w:adjustRightInd w:val="0"/>
        <w:spacing w:line="360" w:lineRule="auto"/>
        <w:rPr>
          <w:szCs w:val="24"/>
          <w:lang w:val="en-GB"/>
        </w:rPr>
      </w:pPr>
      <w:r w:rsidRPr="00582808">
        <w:rPr>
          <w:szCs w:val="24"/>
          <w:lang w:val="en-GB"/>
        </w:rPr>
        <w:t>Uniform a</w:t>
      </w:r>
      <w:r w:rsidRPr="00582808">
        <w:rPr>
          <w:color w:val="000000"/>
          <w:szCs w:val="24"/>
          <w:lang w:val="en-GB"/>
        </w:rPr>
        <w:t>gronomic recomm</w:t>
      </w:r>
      <w:r w:rsidRPr="00582808">
        <w:rPr>
          <w:szCs w:val="24"/>
          <w:lang w:val="en-GB"/>
        </w:rPr>
        <w:t xml:space="preserve">endations </w:t>
      </w:r>
      <w:r w:rsidRPr="00582808">
        <w:rPr>
          <w:szCs w:val="24"/>
          <w:lang w:val="en-GB"/>
        </w:rPr>
        <w:fldChar w:fldCharType="begin"/>
      </w:r>
      <w:r w:rsidR="00F238DC">
        <w:rPr>
          <w:szCs w:val="24"/>
          <w:lang w:val="en-GB"/>
        </w:rPr>
        <w:instrText xml:space="preserve"> ADDIN EN.CITE &lt;EndNote&gt;&lt;Cite&gt;&lt;Author&gt;Othieno&lt;/Author&gt;&lt;Year&gt;1988&lt;/Year&gt;&lt;RecNum&gt;35&lt;/RecNum&gt;&lt;DisplayText&gt;(Othieno, 1988; TRFK, 2002)&lt;/DisplayText&gt;&lt;record&gt;&lt;rec-number&gt;35&lt;/rec-number&gt;&lt;foreign-keys&gt;&lt;key app="EN" db-id="zx5vprwxa0rsabew9f9xp5fcs9tz0dzwa2fa" timestamp="0"&gt;35&lt;/key&gt;&lt;/foreign-keys&gt;&lt;ref-type name="Journal Article"&gt;17&lt;/ref-type&gt;&lt;contributors&gt;&lt;authors&gt;&lt;author&gt;Othieno, C. O.&lt;/author&gt;&lt;/authors&gt;&lt;/contributors&gt;&lt;titles&gt;&lt;title&gt;Summary of observations and recommendations from TRFK&lt;/title&gt;&lt;secondary-title&gt;Tea&lt;/secondary-title&gt;&lt;/titles&gt;&lt;periodical&gt;&lt;full-title&gt;Tea&lt;/full-title&gt;&lt;/periodical&gt;&lt;pages&gt;50-65.&lt;/pages&gt;&lt;volume&gt;9&lt;/volume&gt;&lt;dates&gt;&lt;year&gt;1988&lt;/year&gt;&lt;/dates&gt;&lt;urls&gt;&lt;/urls&gt;&lt;/record&gt;&lt;/Cite&gt;&lt;Cite&gt;&lt;Author&gt;TRFK&lt;/Author&gt;&lt;Year&gt;2002&lt;/Year&gt;&lt;RecNum&gt;71&lt;/RecNum&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Pr="00582808">
        <w:rPr>
          <w:szCs w:val="24"/>
          <w:lang w:val="en-GB"/>
        </w:rPr>
        <w:fldChar w:fldCharType="separate"/>
      </w:r>
      <w:r w:rsidR="00F238DC">
        <w:rPr>
          <w:noProof/>
          <w:szCs w:val="24"/>
          <w:lang w:val="en-GB"/>
        </w:rPr>
        <w:t>(Othieno, 1988; TRFK, 2002)</w:t>
      </w:r>
      <w:r w:rsidRPr="00582808">
        <w:rPr>
          <w:szCs w:val="24"/>
          <w:lang w:val="en-GB"/>
        </w:rPr>
        <w:fldChar w:fldCharType="end"/>
      </w:r>
      <w:r w:rsidRPr="00582808">
        <w:rPr>
          <w:szCs w:val="24"/>
          <w:lang w:val="en-GB"/>
        </w:rPr>
        <w:t>, are applied in eastern Africa tea growing locations</w:t>
      </w:r>
      <w:r w:rsidR="00896658" w:rsidRPr="00582808">
        <w:rPr>
          <w:szCs w:val="24"/>
          <w:lang w:val="en-GB"/>
        </w:rPr>
        <w:t>. F</w:t>
      </w:r>
      <w:r w:rsidR="00582808" w:rsidRPr="00582808">
        <w:rPr>
          <w:szCs w:val="24"/>
          <w:lang w:val="en-GB"/>
        </w:rPr>
        <w:t>or example, recommended ni</w:t>
      </w:r>
      <w:r w:rsidRPr="00582808">
        <w:rPr>
          <w:szCs w:val="24"/>
          <w:lang w:val="en-GB"/>
        </w:rPr>
        <w:t xml:space="preserve">trogenous fertilizer rates vary between 100 and 250 kg N/ha/year </w:t>
      </w:r>
      <w:r w:rsidRPr="00582808">
        <w:rPr>
          <w:szCs w:val="24"/>
          <w:lang w:val="en-GB"/>
        </w:rPr>
        <w:fldChar w:fldCharType="begin"/>
      </w:r>
      <w:r w:rsidR="00F238DC">
        <w:rPr>
          <w:szCs w:val="24"/>
          <w:lang w:val="en-GB"/>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Pr="00582808">
        <w:rPr>
          <w:szCs w:val="24"/>
          <w:lang w:val="en-GB"/>
        </w:rPr>
        <w:fldChar w:fldCharType="separate"/>
      </w:r>
      <w:r w:rsidR="00F238DC">
        <w:rPr>
          <w:noProof/>
          <w:szCs w:val="24"/>
          <w:lang w:val="en-GB"/>
        </w:rPr>
        <w:t>(TRFK, 2002)</w:t>
      </w:r>
      <w:r w:rsidRPr="00582808">
        <w:rPr>
          <w:szCs w:val="24"/>
          <w:lang w:val="en-GB"/>
        </w:rPr>
        <w:fldChar w:fldCharType="end"/>
      </w:r>
      <w:r w:rsidR="0055529B" w:rsidRPr="00582808">
        <w:rPr>
          <w:szCs w:val="24"/>
          <w:lang w:val="en-GB"/>
        </w:rPr>
        <w:t xml:space="preserve">. </w:t>
      </w:r>
      <w:r w:rsidRPr="00582808">
        <w:rPr>
          <w:szCs w:val="24"/>
          <w:lang w:val="en-GB"/>
        </w:rPr>
        <w:t xml:space="preserve">Moreover, clone TRFK 6/8 is widely grown, constituting about 80% </w:t>
      </w:r>
      <w:r w:rsidRPr="00582808">
        <w:rPr>
          <w:szCs w:val="24"/>
          <w:lang w:val="en-GB"/>
        </w:rPr>
        <w:lastRenderedPageBreak/>
        <w:t xml:space="preserve">of tea in Rwanda, 60% of clonal tea in Kenya and 35-40% of tea in Tanzania </w:t>
      </w:r>
      <w:r w:rsidRPr="00582808">
        <w:rPr>
          <w:szCs w:val="24"/>
          <w:lang w:val="en-GB"/>
        </w:rPr>
        <w:fldChar w:fldCharType="begin"/>
      </w:r>
      <w:r w:rsidR="00175EB1">
        <w:rPr>
          <w:szCs w:val="24"/>
          <w:lang w:val="en-GB"/>
        </w:rPr>
        <w:instrText xml:space="preserve"> ADDIN EN.CITE &lt;EndNote&gt;&lt;Cite&gt;&lt;Author&gt;Owuor&lt;/Author&gt;&lt;Year&gt;2011&lt;/Year&gt;&lt;RecNum&gt;20&lt;/RecNum&gt;&lt;DisplayText&gt;(P.O. Owuor et al., 2011)&lt;/DisplayText&gt;&lt;record&gt;&lt;rec-number&gt;20&lt;/rec-number&gt;&lt;foreign-keys&gt;&lt;key app="EN" db-id="vffwavds85eww1etetk50eahser5zdra00zs" timestamp="0"&gt;20&lt;/key&gt;&lt;/foreign-keys&gt;&lt;ref-type name="Book Section"&gt;5&lt;/ref-type&gt;&lt;contributors&gt;&lt;authors&gt;&lt;author&gt;Owuor, P.O.&lt;/author&gt;&lt;author&gt;Kamau, D.M.&lt;/author&gt;&lt;author&gt;Kamunya, S.M.&lt;/author&gt;&lt;author&gt;Msomba, S.W.&lt;/author&gt;&lt;author&gt;Uwimana, M.A.&lt;/author&gt;&lt;author&gt;Okal, A.W.&lt;/author&gt;&lt;author&gt;Kwach, B.O.&lt;/author&gt;&lt;/authors&gt;&lt;secondary-authors&gt;&lt;author&gt;Lichtfouse, E.&lt;/author&gt;&lt;/secondary-authors&gt;&lt;/contributors&gt;&lt;titles&gt;&lt;title&gt;Effects of genotype, environment and management on yields and quality of black tea&lt;/title&gt;&lt;secondary-title&gt;Genetics, Biofuels and Local Farming Systems: Sustainable Agriculture Reviews&lt;/secondary-title&gt;&lt;/titles&gt;&lt;pages&gt;277-307&lt;/pages&gt;&lt;volume&gt;7&lt;/volume&gt;&lt;dates&gt;&lt;year&gt;2011&lt;/year&gt;&lt;/dates&gt;&lt;pub-location&gt;Heidelberg&lt;/pub-location&gt;&lt;publisher&gt;Springer&lt;/publisher&gt;&lt;urls&gt;&lt;/urls&gt;&lt;electronic-resource-num&gt;DOI: 10.1007/978-94-007-1521-9_10&lt;/electronic-resource-num&gt;&lt;/record&gt;&lt;/Cite&gt;&lt;/EndNote&gt;</w:instrText>
      </w:r>
      <w:r w:rsidRPr="00582808">
        <w:rPr>
          <w:szCs w:val="24"/>
          <w:lang w:val="en-GB"/>
        </w:rPr>
        <w:fldChar w:fldCharType="separate"/>
      </w:r>
      <w:r w:rsidR="00175EB1">
        <w:rPr>
          <w:noProof/>
          <w:szCs w:val="24"/>
          <w:lang w:val="en-GB"/>
        </w:rPr>
        <w:t>(P.O. Owuor et al., 2011)</w:t>
      </w:r>
      <w:r w:rsidRPr="00582808">
        <w:rPr>
          <w:szCs w:val="24"/>
          <w:lang w:val="en-GB"/>
        </w:rPr>
        <w:fldChar w:fldCharType="end"/>
      </w:r>
      <w:r w:rsidRPr="00582808">
        <w:rPr>
          <w:szCs w:val="24"/>
          <w:lang w:val="en-GB"/>
        </w:rPr>
        <w:t xml:space="preserve">. Despite the uniform inputs, yields vary from location to location even in same clone under similar management </w:t>
      </w:r>
      <w:r w:rsidRPr="00582808">
        <w:rPr>
          <w:szCs w:val="24"/>
          <w:lang w:val="en-GB"/>
        </w:rPr>
        <w:fldChar w:fldCharType="begin"/>
      </w:r>
      <w:r w:rsidR="00175EB1">
        <w:rPr>
          <w:szCs w:val="24"/>
          <w:lang w:val="en-GB"/>
        </w:rPr>
        <w:instrText xml:space="preserve"> ADDIN EN.CITE &lt;EndNote&gt;&lt;Cite&gt;&lt;Author&gt;Msomba&lt;/Author&gt;&lt;Year&gt;2014&lt;/Year&gt;&lt;RecNum&gt;26&lt;/RecNum&gt;&lt;DisplayText&gt;(Msomba et al., 2014)&lt;/DisplayText&gt;&lt;record&gt;&lt;rec-number&gt;26&lt;/rec-number&gt;&lt;foreign-keys&gt;&lt;key app="EN" db-id="zx5vprwxa0rsabew9f9xp5fcs9tz0dzwa2fa" timestamp="0"&gt;26&lt;/key&gt;&lt;/foreign-keys&gt;&lt;ref-type name="Journal Article"&gt;17&lt;/ref-type&gt;&lt;contributors&gt;&lt;authors&gt;&lt;author&gt;Msomba, S. W.&lt;/author&gt;&lt;author&gt;Kamau, D. M.&lt;/author&gt;&lt;author&gt;Uwimana, M. A.&lt;/author&gt;&lt;author&gt;Muhoza, C.&lt;/author&gt;&lt;author&gt;Owuor, P. O.&lt;/author&gt;&lt;/authors&gt;&lt;/contributors&gt;&lt;titles&gt;&lt;title&gt;Effects of location of production, nitrogenous fertilizer rates and plucking intervals on tea clone TRFK 6/8 tea in East Africa: I. Yields&lt;/title&gt;&lt;secondary-title&gt;International Journal of Tea Science (IJTS)&lt;/secondary-title&gt;&lt;/titles&gt;&lt;periodical&gt;&lt;full-title&gt;International Journal of Tea Science (IJTS)&lt;/full-title&gt;&lt;/periodical&gt;&lt;pages&gt;14-24&lt;/pages&gt;&lt;volume&gt;10&lt;/volume&gt;&lt;number&gt;3/4&lt;/number&gt;&lt;dates&gt;&lt;year&gt;2014&lt;/year&gt;&lt;/dates&gt;&lt;isbn&gt;0972-544X&lt;/isbn&gt;&lt;urls&gt;&lt;related-urls&gt;&lt;url&gt;&lt;style face="underline" font="default" size="100%"&gt;https://www.cabdirect.org/cabdirect/abstract/20153099581&lt;/style&gt;&lt;/url&gt;&lt;/related-urls&gt;&lt;/urls&gt;&lt;electronic-resource-num&gt;10.20425/ijts.v10i3and4.4739&lt;/electronic-resource-num&gt;&lt;/record&gt;&lt;/Cite&gt;&lt;/EndNote&gt;</w:instrText>
      </w:r>
      <w:r w:rsidRPr="00582808">
        <w:rPr>
          <w:szCs w:val="24"/>
          <w:lang w:val="en-GB"/>
        </w:rPr>
        <w:fldChar w:fldCharType="separate"/>
      </w:r>
      <w:r w:rsidR="00175EB1">
        <w:rPr>
          <w:noProof/>
          <w:szCs w:val="24"/>
          <w:lang w:val="en-GB"/>
        </w:rPr>
        <w:t>(Msomba et al., 2014)</w:t>
      </w:r>
      <w:r w:rsidRPr="00582808">
        <w:rPr>
          <w:szCs w:val="24"/>
          <w:lang w:val="en-GB"/>
        </w:rPr>
        <w:fldChar w:fldCharType="end"/>
      </w:r>
      <w:r w:rsidRPr="00582808">
        <w:rPr>
          <w:szCs w:val="24"/>
          <w:lang w:val="en-GB"/>
        </w:rPr>
        <w:t>. Some recommendations may therefore be inappropriate in some locations. Varying responses in yields, quality</w:t>
      </w:r>
      <w:r w:rsidR="00896658" w:rsidRPr="00582808">
        <w:rPr>
          <w:szCs w:val="24"/>
          <w:lang w:val="en-GB"/>
        </w:rPr>
        <w:t xml:space="preserve"> </w:t>
      </w:r>
      <w:r w:rsidRPr="00582808">
        <w:rPr>
          <w:szCs w:val="24"/>
          <w:lang w:val="en-GB"/>
        </w:rPr>
        <w:t>and leaf nutrients</w:t>
      </w:r>
      <w:r w:rsidR="009B453E" w:rsidRPr="00582808">
        <w:rPr>
          <w:szCs w:val="24"/>
          <w:lang w:val="en-GB"/>
        </w:rPr>
        <w:t xml:space="preserve"> </w:t>
      </w:r>
      <w:r w:rsidR="009B453E" w:rsidRPr="00582808">
        <w:rPr>
          <w:szCs w:val="24"/>
          <w:lang w:val="en-GB"/>
        </w:rPr>
        <w:fldChar w:fldCharType="begin">
          <w:fldData xml:space="preserve">PEVuZE5vdGU+PENpdGU+PEF1dGhvcj5Pd3VvcjwvQXV0aG9yPjxZZWFyPjIwMTE8L1llYXI+PFJl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</w:fldData>
        </w:fldChar>
      </w:r>
      <w:r w:rsidR="00175EB1">
        <w:rPr>
          <w:szCs w:val="24"/>
          <w:lang w:val="en-GB"/>
        </w:rPr>
        <w:instrText xml:space="preserve"> ADDIN EN.CITE </w:instrText>
      </w:r>
      <w:r w:rsidR="00175EB1">
        <w:rPr>
          <w:szCs w:val="24"/>
          <w:lang w:val="en-GB"/>
        </w:rPr>
        <w:fldChar w:fldCharType="begin">
          <w:fldData xml:space="preserve">PEVuZE5vdGU+PENpdGU+PEF1dGhvcj5Pd3VvcjwvQXV0aG9yPjxZZWFyPjIwMTE8L1llYXI+PFJl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</w:fldData>
        </w:fldChar>
      </w:r>
      <w:r w:rsidR="00175EB1">
        <w:rPr>
          <w:szCs w:val="24"/>
          <w:lang w:val="en-GB"/>
        </w:rPr>
        <w:instrText xml:space="preserve"> ADDIN EN.CITE.DATA </w:instrText>
      </w:r>
      <w:r w:rsidR="00175EB1">
        <w:rPr>
          <w:szCs w:val="24"/>
          <w:lang w:val="en-GB"/>
        </w:rPr>
      </w:r>
      <w:r w:rsidR="00175EB1">
        <w:rPr>
          <w:szCs w:val="24"/>
          <w:lang w:val="en-GB"/>
        </w:rPr>
        <w:fldChar w:fldCharType="end"/>
      </w:r>
      <w:r w:rsidR="009B453E" w:rsidRPr="00582808">
        <w:rPr>
          <w:szCs w:val="24"/>
          <w:lang w:val="en-GB"/>
        </w:rPr>
      </w:r>
      <w:r w:rsidR="009B453E" w:rsidRPr="00582808">
        <w:rPr>
          <w:szCs w:val="24"/>
          <w:lang w:val="en-GB"/>
        </w:rPr>
        <w:fldChar w:fldCharType="separate"/>
      </w:r>
      <w:r w:rsidR="00175EB1">
        <w:rPr>
          <w:noProof/>
          <w:szCs w:val="24"/>
          <w:lang w:val="en-GB"/>
        </w:rPr>
        <w:t>(Owuor, 2018; P. O. Owuor, D. M. Kamau, et al., 2011)</w:t>
      </w:r>
      <w:r w:rsidR="009B453E" w:rsidRPr="00582808">
        <w:rPr>
          <w:szCs w:val="24"/>
          <w:lang w:val="en-GB"/>
        </w:rPr>
        <w:fldChar w:fldCharType="end"/>
      </w:r>
      <w:r w:rsidR="009B453E" w:rsidRPr="00582808">
        <w:rPr>
          <w:szCs w:val="24"/>
          <w:lang w:val="en-GB"/>
        </w:rPr>
        <w:t xml:space="preserve"> </w:t>
      </w:r>
      <w:r w:rsidRPr="00582808">
        <w:rPr>
          <w:szCs w:val="24"/>
          <w:lang w:val="en-GB"/>
        </w:rPr>
        <w:t xml:space="preserve">with geographical area of production have been observed in the same cultivars. These differences could in part arise from the differences in variations of soil macro nutrients with locations. The variations in soil </w:t>
      </w:r>
      <w:r w:rsidR="009B453E" w:rsidRPr="00582808">
        <w:rPr>
          <w:szCs w:val="24"/>
          <w:lang w:val="en-GB"/>
        </w:rPr>
        <w:t>NPK</w:t>
      </w:r>
      <w:r w:rsidRPr="00582808">
        <w:rPr>
          <w:szCs w:val="24"/>
          <w:lang w:val="en-GB"/>
        </w:rPr>
        <w:t xml:space="preserve"> levels in different locations receiving similar agronomic inputs in eastern Africa in not documented.</w:t>
      </w:r>
    </w:p>
    <w:p w14:paraId="7FB8D3F9" w14:textId="495BA88A" w:rsidR="00420B4F" w:rsidRPr="00582808" w:rsidRDefault="006F2215" w:rsidP="0057578E">
      <w:pPr>
        <w:autoSpaceDE w:val="0"/>
        <w:autoSpaceDN w:val="0"/>
        <w:adjustRightInd w:val="0"/>
        <w:spacing w:line="360" w:lineRule="auto"/>
        <w:rPr>
          <w:szCs w:val="24"/>
          <w:lang w:val="en-GB"/>
        </w:rPr>
      </w:pPr>
      <w:r w:rsidRPr="00582808">
        <w:rPr>
          <w:szCs w:val="24"/>
          <w:lang w:val="en-GB"/>
        </w:rPr>
        <w:t xml:space="preserve">Nutrient requirements in tea production are high due to removal with crop </w:t>
      </w:r>
      <w:r w:rsidRPr="00582808">
        <w:rPr>
          <w:szCs w:val="24"/>
          <w:lang w:val="en-GB"/>
        </w:rPr>
        <w:fldChar w:fldCharType="begin"/>
      </w:r>
      <w:r w:rsidR="00175EB1">
        <w:rPr>
          <w:szCs w:val="24"/>
          <w:lang w:val="en-GB"/>
        </w:rPr>
        <w:instrText xml:space="preserve"> ADDIN EN.CITE &lt;EndNote&gt;&lt;Cite&gt;&lt;Author&gt;Do&lt;/Author&gt;&lt;Year&gt;1980&lt;/Year&gt;&lt;RecNum&gt;14&lt;/RecNum&gt;&lt;DisplayText&gt;(Do et al., 1980; Ranganathan &amp;amp; Natesam, 1985)&lt;/DisplayText&gt;&lt;record&gt;&lt;rec-number&gt;14&lt;/rec-number&gt;&lt;foreign-keys&gt;&lt;key app="EN" db-id="zx5vprwxa0rsabew9f9xp5fcs9tz0dzwa2fa" timestamp="0"&gt;14&lt;/key&gt;&lt;/foreign-keys&gt;&lt;ref-type name="Book Section"&gt;5&lt;/ref-type&gt;&lt;contributors&gt;&lt;authors&gt;&lt;author&gt;Do, N. Q.&lt;/author&gt;&lt;author&gt;Vo, T. T. N.&lt;/author&gt;&lt;author&gt;Vi, K. T.&lt;/author&gt;&lt;/authors&gt;&lt;secondary-authors&gt;&lt;author&gt;Do, N.Q.&lt;/author&gt;&lt;author&gt;Vo, T.T.N.&lt;/author&gt;&lt;author&gt;Vi, K.T.&lt;/author&gt;&lt;/secondary-authors&gt;&lt;/contributors&gt;&lt;titles&gt;&lt;title&gt;Results of experiment: Chemical fertilizers (NPK) on tea crop in Phu Ho&lt;/title&gt;&lt;secondary-title&gt;Agricultural Research&lt;/secondary-title&gt;&lt;/titles&gt;&lt;pages&gt;127-146&lt;/pages&gt;&lt;dates&gt;&lt;year&gt;1980&lt;/year&gt;&lt;/dates&gt;&lt;pub-location&gt;Hanoi&lt;/pub-location&gt;&lt;publisher&gt;Agricultural Publishing House (in Vietnamese) &lt;/publisher&gt;&lt;urls&gt;&lt;related-urls&gt;&lt;url&gt;&lt;style face="underline" font="default" size="100%"&gt;https://www.publish.csiro.au/sr/SR9870461&lt;/style&gt;&lt;/url&gt;&lt;/related-urls&gt;&lt;/urls&gt;&lt;/record&gt;&lt;/Cite&gt;&lt;Cite&gt;&lt;Author&gt;Ranganathan&lt;/Author&gt;&lt;Year&gt;1985&lt;/Year&gt;&lt;RecNum&gt;48&lt;/RecNum&gt;&lt;record&gt;&lt;rec-number&gt;48&lt;/rec-number&gt;&lt;foreign-keys&gt;&lt;key app="EN" db-id="zx5vprwxa0rsabew9f9xp5fcs9tz0dzwa2fa" timestamp="1573335806"&gt;48&lt;/key&gt;&lt;/foreign-keys&gt;&lt;ref-type name="Conference Proceedings"&gt;10&lt;/ref-type&gt;&lt;contributors&gt;&lt;authors&gt;&lt;author&gt;Ranganathan, V.&lt;/author&gt;&lt;author&gt;Natesam, S.&lt;/author&gt;&lt;/authors&gt;&lt;/contributors&gt;&lt;titles&gt;&lt;title&gt;Nutrition of tea&lt;/title&gt;&lt;secondary-title&gt;Proceedings of International Symposium, Potassium in Agriculture&lt;/secondary-title&gt;&lt;/titles&gt;&lt;pages&gt;981-1022&lt;/pages&gt;&lt;dates&gt;&lt;year&gt;1985&lt;/year&gt;&lt;/dates&gt;&lt;pub-location&gt;Madison, Wisconsin, USA&lt;/pub-location&gt;&lt;publisher&gt;ASA-CSSA-SSSA&lt;/publisher&gt;&lt;urls&gt;&lt;/urls&gt;&lt;/record&gt;&lt;/Cite&gt;&lt;/EndNote&gt;</w:instrText>
      </w:r>
      <w:r w:rsidRPr="00582808">
        <w:rPr>
          <w:szCs w:val="24"/>
          <w:lang w:val="en-GB"/>
        </w:rPr>
        <w:fldChar w:fldCharType="separate"/>
      </w:r>
      <w:r w:rsidR="00175EB1">
        <w:rPr>
          <w:noProof/>
          <w:szCs w:val="24"/>
          <w:lang w:val="en-GB"/>
        </w:rPr>
        <w:t>(Do et al., 1980; Ranganathan &amp; Natesam, 1985)</w:t>
      </w:r>
      <w:r w:rsidRPr="00582808">
        <w:rPr>
          <w:szCs w:val="24"/>
          <w:lang w:val="en-GB"/>
        </w:rPr>
        <w:fldChar w:fldCharType="end"/>
      </w:r>
      <w:r w:rsidRPr="00582808">
        <w:rPr>
          <w:szCs w:val="24"/>
          <w:lang w:val="en-GB"/>
        </w:rPr>
        <w:t xml:space="preserve">, leaching and surface run offs </w:t>
      </w:r>
      <w:r w:rsidRPr="00582808">
        <w:rPr>
          <w:szCs w:val="24"/>
          <w:lang w:val="en-GB"/>
        </w:rPr>
        <w:fldChar w:fldCharType="begin"/>
      </w:r>
      <w:r w:rsidR="00F238DC">
        <w:rPr>
          <w:szCs w:val="24"/>
          <w:lang w:val="en-GB"/>
        </w:rPr>
        <w:instrText xml:space="preserve"> ADDIN EN.CITE &lt;EndNote&gt;&lt;Cite&gt;&lt;Author&gt;Othieno&lt;/Author&gt;&lt;Year&gt;1975&lt;/Year&gt;&lt;RecNum&gt;33&lt;/RecNum&gt;&lt;DisplayText&gt;(Othieno, 1975)&lt;/DisplayText&gt;&lt;record&gt;&lt;rec-number&gt;33&lt;/rec-number&gt;&lt;foreign-keys&gt;&lt;key app="EN" db-id="zx5vprwxa0rsabew9f9xp5fcs9tz0dzwa2fa" timestamp="0"&gt;33&lt;/key&gt;&lt;/foreign-keys&gt;&lt;ref-type name="Journal Article"&gt;17&lt;/ref-type&gt;&lt;contributors&gt;&lt;authors&gt;&lt;author&gt;Othieno, C. O.&lt;/author&gt;&lt;/authors&gt;&lt;/contributors&gt;&lt;titles&gt;&lt;title&gt;Surface run-off and soil erosion on fields of young tea&lt;/title&gt;&lt;secondary-title&gt;Tropical Agriculture&lt;/secondary-title&gt;&lt;/titles&gt;&lt;periodical&gt;&lt;full-title&gt;Tropical Agriculture&lt;/full-title&gt;&lt;/periodical&gt;&lt;pages&gt;299-308&lt;/pages&gt;&lt;volume&gt;52&lt;/volume&gt;&lt;dates&gt;&lt;year&gt;1975&lt;/year&gt;&lt;/dates&gt;&lt;urls&gt;&lt;related-urls&gt;&lt;url&gt;&lt;style face="underline" font="default" size="100%"&gt;https://agris.fao.org/agris-search/search.do?recordID=XE7533693&lt;/style&gt;&lt;/url&gt;&lt;/related-urls&gt;&lt;/urls&gt;&lt;/record&gt;&lt;/Cite&gt;&lt;/EndNote&gt;</w:instrText>
      </w:r>
      <w:r w:rsidRPr="00582808">
        <w:rPr>
          <w:szCs w:val="24"/>
          <w:lang w:val="en-GB"/>
        </w:rPr>
        <w:fldChar w:fldCharType="separate"/>
      </w:r>
      <w:r w:rsidR="00F238DC">
        <w:rPr>
          <w:noProof/>
          <w:szCs w:val="24"/>
          <w:lang w:val="en-GB"/>
        </w:rPr>
        <w:t>(Othieno, 1975)</w:t>
      </w:r>
      <w:r w:rsidRPr="00582808">
        <w:rPr>
          <w:szCs w:val="24"/>
          <w:lang w:val="en-GB"/>
        </w:rPr>
        <w:fldChar w:fldCharType="end"/>
      </w:r>
      <w:r w:rsidRPr="00582808">
        <w:rPr>
          <w:szCs w:val="24"/>
          <w:lang w:val="en-GB"/>
        </w:rPr>
        <w:t xml:space="preserve">. </w:t>
      </w:r>
      <w:r w:rsidR="009B453E" w:rsidRPr="00582808">
        <w:rPr>
          <w:szCs w:val="24"/>
          <w:lang w:val="en-GB"/>
        </w:rPr>
        <w:t>N</w:t>
      </w:r>
      <w:r w:rsidRPr="00582808">
        <w:rPr>
          <w:szCs w:val="24"/>
          <w:lang w:val="en-GB"/>
        </w:rPr>
        <w:t xml:space="preserve">itrogen, phosphorus, </w:t>
      </w:r>
      <w:r w:rsidR="009B453E" w:rsidRPr="00582808">
        <w:rPr>
          <w:szCs w:val="24"/>
          <w:lang w:val="en-GB"/>
        </w:rPr>
        <w:t xml:space="preserve">and </w:t>
      </w:r>
      <w:r w:rsidRPr="00582808">
        <w:rPr>
          <w:szCs w:val="24"/>
          <w:lang w:val="en-GB"/>
        </w:rPr>
        <w:t xml:space="preserve">potassium </w:t>
      </w:r>
      <w:r w:rsidRPr="00582808">
        <w:rPr>
          <w:szCs w:val="24"/>
          <w:lang w:val="en-GB"/>
        </w:rPr>
        <w:fldChar w:fldCharType="begin"/>
      </w:r>
      <w:r w:rsidR="00175EB1">
        <w:rPr>
          <w:szCs w:val="24"/>
          <w:lang w:val="en-GB"/>
        </w:rPr>
        <w:instrText xml:space="preserve"> ADDIN EN.CITE &lt;EndNote&gt;&lt;Cite&gt;&lt;Author&gt;Bonheure&lt;/Author&gt;&lt;Year&gt;1992&lt;/Year&gt;&lt;RecNum&gt;7&lt;/RecNum&gt;&lt;DisplayText&gt;(Bonheure &amp;amp; Willson, 1992)&lt;/DisplayText&gt;&lt;record&gt;&lt;rec-number&gt;7&lt;/rec-number&gt;&lt;foreign-keys&gt;&lt;key app="EN" db-id="zx5vprwxa0rsabew9f9xp5fcs9tz0dzwa2fa" timestamp="0"&gt;7&lt;/key&gt;&lt;/foreign-keys&gt;&lt;ref-type name="Book Section"&gt;5&lt;/ref-type&gt;&lt;contributors&gt;&lt;authors&gt;&lt;author&gt;Bonheure, D.&lt;/author&gt;&lt;author&gt;Willson, K. C.&lt;/author&gt;&lt;/authors&gt;&lt;secondary-authors&gt;&lt;author&gt;Willson, K.C.&lt;/author&gt;&lt;author&gt;Clifford, M.N.&lt;/author&gt;&lt;/secondary-authors&gt;&lt;/contributors&gt;&lt;titles&gt;&lt;title&gt;Mineral nutrition and fertilizers &lt;/title&gt;&lt;secondary-title&gt;Tea: Cultivation to Consumption&lt;/secondary-title&gt;&lt;/titles&gt;&lt;pages&gt;269-329&lt;/pages&gt;&lt;section&gt;4&lt;/section&gt;&lt;dates&gt;&lt;year&gt;1992&lt;/year&gt;&lt;/dates&gt;&lt;pub-location&gt;London&lt;/pub-location&gt;&lt;publisher&gt;Chapman and Hall&lt;/publisher&gt;&lt;urls&gt;&lt;/urls&gt;&lt;electronic-resource-num&gt;https://doi.org/10.1007/978-94-011-2326-6_9&lt;/electronic-resource-num&gt;&lt;/record&gt;&lt;/Cite&gt;&lt;/EndNote&gt;</w:instrText>
      </w:r>
      <w:r w:rsidRPr="00582808">
        <w:rPr>
          <w:szCs w:val="24"/>
          <w:lang w:val="en-GB"/>
        </w:rPr>
        <w:fldChar w:fldCharType="separate"/>
      </w:r>
      <w:r w:rsidR="00175EB1">
        <w:rPr>
          <w:noProof/>
          <w:szCs w:val="24"/>
          <w:lang w:val="en-GB"/>
        </w:rPr>
        <w:t>(Bonheure &amp; Willson, 1992)</w:t>
      </w:r>
      <w:r w:rsidRPr="00582808">
        <w:rPr>
          <w:szCs w:val="24"/>
          <w:lang w:val="en-GB"/>
        </w:rPr>
        <w:fldChar w:fldCharType="end"/>
      </w:r>
      <w:r w:rsidRPr="00582808">
        <w:rPr>
          <w:szCs w:val="24"/>
          <w:lang w:val="en-GB"/>
        </w:rPr>
        <w:t xml:space="preserve"> play important functions in plants, which affect yields </w:t>
      </w:r>
      <w:r w:rsidRPr="00582808">
        <w:rPr>
          <w:szCs w:val="24"/>
          <w:lang w:val="en-GB"/>
        </w:rPr>
        <w:fldChar w:fldCharType="begin"/>
      </w:r>
      <w:r w:rsidR="00175EB1">
        <w:rPr>
          <w:szCs w:val="24"/>
          <w:lang w:val="en-GB"/>
        </w:rPr>
        <w:instrText xml:space="preserve"> ADDIN EN.CITE &lt;EndNote&gt;&lt;Cite&gt;&lt;Author&gt;Bonheure&lt;/Author&gt;&lt;Year&gt;1992&lt;/Year&gt;&lt;RecNum&gt;7&lt;/RecNum&gt;&lt;DisplayText&gt;(Bonheure &amp;amp; Willson, 1992; Roy et al., 2006)&lt;/DisplayText&gt;&lt;record&gt;&lt;rec-number&gt;7&lt;/rec-number&gt;&lt;foreign-keys&gt;&lt;key app="EN" db-id="zx5vprwxa0rsabew9f9xp5fcs9tz0dzwa2fa" timestamp="0"&gt;7&lt;/key&gt;&lt;/foreign-keys&gt;&lt;ref-type name="Book Section"&gt;5&lt;/ref-type&gt;&lt;contributors&gt;&lt;authors&gt;&lt;author&gt;Bonheure, D.&lt;/author&gt;&lt;author&gt;Willson, K. C.&lt;/author&gt;&lt;/authors&gt;&lt;secondary-authors&gt;&lt;author&gt;Willson, K.C.&lt;/author&gt;&lt;author&gt;Clifford, M.N.&lt;/author&gt;&lt;/secondary-authors&gt;&lt;/contributors&gt;&lt;titles&gt;&lt;title&gt;Mineral nutrition and fertilizers &lt;/title&gt;&lt;secondary-title&gt;Tea: Cultivation to Consumption&lt;/secondary-title&gt;&lt;/titles&gt;&lt;pages&gt;269-329&lt;/pages&gt;&lt;section&gt;4&lt;/section&gt;&lt;dates&gt;&lt;year&gt;1992&lt;/year&gt;&lt;/dates&gt;&lt;pub-location&gt;London&lt;/pub-location&gt;&lt;publisher&gt;Chapman and Hall&lt;/publisher&gt;&lt;urls&gt;&lt;/urls&gt;&lt;electronic-resource-num&gt;https://doi.org/10.1007/978-94-011-2326-6_9&lt;/electronic-resource-num&gt;&lt;/record&gt;&lt;/Cite&gt;&lt;Cite&gt;&lt;Author&gt;Roy&lt;/Author&gt;&lt;Year&gt;2006&lt;/Year&gt;&lt;RecNum&gt;73&lt;/RecNum&gt;&lt;record&gt;&lt;rec-number&gt;73&lt;/rec-number&gt;&lt;foreign-keys&gt;&lt;key app="EN" db-id="zx5vprwxa0rsabew9f9xp5fcs9tz0dzwa2fa" timestamp="1595614090"&gt;73&lt;/key&gt;&lt;/foreign-keys&gt;&lt;ref-type name="Book Section"&gt;5&lt;/ref-type&gt;&lt;contributors&gt;&lt;authors&gt;&lt;author&gt;Roy, R. N.&lt;/author&gt;&lt;author&gt;Finck, A.&lt;/author&gt;&lt;author&gt;Blair, G. J.&lt;/author&gt;&lt;author&gt;Tandon, H. L. S.&lt;/author&gt;&lt;/authors&gt;&lt;secondary-authors&gt;&lt;author&gt;FAO&lt;/author&gt;&lt;/secondary-authors&gt;&lt;/contributors&gt;&lt;titles&gt;&lt;title&gt;Plant nutrition for food security&lt;/title&gt;&lt;secondary-title&gt;Fertilizer and Plant Nutrition Bulletin, Number 16&lt;/secondary-title&gt;&lt;/titles&gt;&lt;pages&gt;25-42&lt;/pages&gt;&lt;dates&gt;&lt;year&gt;2006&lt;/year&gt;&lt;/dates&gt;&lt;pub-location&gt;Rome&lt;/pub-location&gt;&lt;publisher&gt;FAO&lt;/publisher&gt;&lt;urls&gt;&lt;/urls&gt;&lt;/record&gt;&lt;/Cite&gt;&lt;/EndNote&gt;</w:instrText>
      </w:r>
      <w:r w:rsidRPr="00582808">
        <w:rPr>
          <w:szCs w:val="24"/>
          <w:lang w:val="en-GB"/>
        </w:rPr>
        <w:fldChar w:fldCharType="separate"/>
      </w:r>
      <w:r w:rsidR="00175EB1">
        <w:rPr>
          <w:noProof/>
          <w:szCs w:val="24"/>
          <w:lang w:val="en-GB"/>
        </w:rPr>
        <w:t>(Bonheure &amp; Willson, 1992; Roy et al., 2006)</w:t>
      </w:r>
      <w:r w:rsidRPr="00582808">
        <w:rPr>
          <w:szCs w:val="24"/>
          <w:lang w:val="en-GB"/>
        </w:rPr>
        <w:fldChar w:fldCharType="end"/>
      </w:r>
      <w:r w:rsidRPr="00582808">
        <w:rPr>
          <w:szCs w:val="24"/>
          <w:lang w:val="en-GB"/>
        </w:rPr>
        <w:t xml:space="preserve">. Nitrogen is the major nutrient for </w:t>
      </w:r>
      <w:r w:rsidR="00582808" w:rsidRPr="00582808">
        <w:rPr>
          <w:szCs w:val="24"/>
          <w:lang w:val="en-GB"/>
        </w:rPr>
        <w:t>tea;</w:t>
      </w:r>
      <w:r w:rsidRPr="00582808">
        <w:rPr>
          <w:szCs w:val="24"/>
          <w:lang w:val="en-GB"/>
        </w:rPr>
        <w:t xml:space="preserve"> consequently fertilizer use in tea cultivation is based on nitrogenous fertilizers </w:t>
      </w:r>
      <w:r w:rsidRPr="00582808">
        <w:rPr>
          <w:szCs w:val="24"/>
          <w:lang w:val="en-GB"/>
        </w:rPr>
        <w:fldChar w:fldCharType="begin"/>
      </w:r>
      <w:r w:rsidR="00175EB1">
        <w:rPr>
          <w:szCs w:val="24"/>
          <w:lang w:val="en-GB"/>
        </w:rPr>
        <w:instrText xml:space="preserve"> ADDIN EN.CITE &lt;EndNote&gt;&lt;Cite&gt;&lt;Author&gt;Verma&lt;/Author&gt;&lt;Year&gt;2001&lt;/Year&gt;&lt;RecNum&gt;77&lt;/RecNum&gt;&lt;DisplayText&gt;(Bonheure &amp;amp; Willson, 1992; Verma et al., 2001)&lt;/DisplayText&gt;&lt;record&gt;&lt;rec-number&gt;77&lt;/rec-number&gt;&lt;foreign-keys&gt;&lt;key app="EN" db-id="zx5vprwxa0rsabew9f9xp5fcs9tz0dzwa2fa" timestamp="1595615005"&gt;77&lt;/key&gt;&lt;/foreign-keys&gt;&lt;ref-type name="Journal Article"&gt;17&lt;/ref-type&gt;&lt;contributors&gt;&lt;authors&gt;&lt;author&gt;Verma, D. P.&lt;/author&gt;&lt;author&gt;Palani, N.&lt;/author&gt;&lt;author&gt;Balasubramaniam, K.&lt;/author&gt;&lt;author&gt;Kumaraguru, R.&lt;/author&gt;&lt;author&gt;Venkatesan, S.&lt;/author&gt;&lt;author&gt;Ganapathy, M. N. K.&lt;/author&gt;&lt;/authors&gt;&lt;/contributors&gt;&lt;titles&gt;&lt;title&gt;Nutritional management of tea for sustainable productivity in South India&lt;/title&gt;&lt;secondary-title&gt;The Planters Chronicle&lt;/secondary-title&gt;&lt;/titles&gt;&lt;periodical&gt;&lt;full-title&gt;The Planters Chronicle&lt;/full-title&gt;&lt;/periodical&gt;&lt;pages&gt;215-227&lt;/pages&gt;&lt;dates&gt;&lt;year&gt;2001&lt;/year&gt;&lt;/dates&gt;&lt;urls&gt;&lt;/urls&gt;&lt;/record&gt;&lt;/Cite&gt;&lt;Cite&gt;&lt;Author&gt;Bonheure&lt;/Author&gt;&lt;Year&gt;1992&lt;/Year&gt;&lt;RecNum&gt;7&lt;/RecNum&gt;&lt;record&gt;&lt;rec-number&gt;7&lt;/rec-number&gt;&lt;foreign-keys&gt;&lt;key app="EN" db-id="zx5vprwxa0rsabew9f9xp5fcs9tz0dzwa2fa" timestamp="0"&gt;7&lt;/key&gt;&lt;/foreign-keys&gt;&lt;ref-type name="Book Section"&gt;5&lt;/ref-type&gt;&lt;contributors&gt;&lt;authors&gt;&lt;author&gt;Bonheure, D.&lt;/author&gt;&lt;author&gt;Willson, K. C.&lt;/author&gt;&lt;/authors&gt;&lt;secondary-authors&gt;&lt;author&gt;Willson, K.C.&lt;/author&gt;&lt;author&gt;Clifford, M.N.&lt;/author&gt;&lt;/secondary-authors&gt;&lt;/contributors&gt;&lt;titles&gt;&lt;title&gt;Mineral nutrition and fertilizers &lt;/title&gt;&lt;secondary-title&gt;Tea: Cultivation to Consumption&lt;/secondary-title&gt;&lt;/titles&gt;&lt;pages&gt;269-329&lt;/pages&gt;&lt;section&gt;4&lt;/section&gt;&lt;dates&gt;&lt;year&gt;1992&lt;/year&gt;&lt;/dates&gt;&lt;pub-location&gt;London&lt;/pub-location&gt;&lt;publisher&gt;Chapman and Hall&lt;/publisher&gt;&lt;urls&gt;&lt;/urls&gt;&lt;electronic-resource-num&gt;https://doi.org/10.1007/978-94-011-2326-6_9&lt;/electronic-resource-num&gt;&lt;/record&gt;&lt;/Cite&gt;&lt;/EndNote&gt;</w:instrText>
      </w:r>
      <w:r w:rsidRPr="00582808">
        <w:rPr>
          <w:szCs w:val="24"/>
          <w:lang w:val="en-GB"/>
        </w:rPr>
        <w:fldChar w:fldCharType="separate"/>
      </w:r>
      <w:r w:rsidR="00175EB1">
        <w:rPr>
          <w:noProof/>
          <w:szCs w:val="24"/>
          <w:lang w:val="en-GB"/>
        </w:rPr>
        <w:t>(Bonheure &amp; Willson, 1992; Verma et al., 2001)</w:t>
      </w:r>
      <w:r w:rsidRPr="00582808">
        <w:rPr>
          <w:szCs w:val="24"/>
          <w:lang w:val="en-GB"/>
        </w:rPr>
        <w:fldChar w:fldCharType="end"/>
      </w:r>
      <w:r w:rsidRPr="00582808">
        <w:rPr>
          <w:szCs w:val="24"/>
          <w:lang w:val="en-GB"/>
        </w:rPr>
        <w:t xml:space="preserve">. Use of nitrogen fertilizers varies with tea growing countries, the lowest rate being in Vietnam at 36-40 kg N/ha/year and the highest in Japan at 800 Kg N/ha/year </w:t>
      </w:r>
      <w:r w:rsidRPr="00582808">
        <w:rPr>
          <w:szCs w:val="24"/>
          <w:lang w:val="en-GB"/>
        </w:rPr>
        <w:fldChar w:fldCharType="begin"/>
      </w:r>
      <w:r w:rsidR="00175EB1">
        <w:rPr>
          <w:szCs w:val="24"/>
          <w:lang w:val="en-GB"/>
        </w:rPr>
        <w:instrText xml:space="preserve"> ADDIN EN.CITE &lt;EndNote&gt;&lt;Cite&gt;&lt;Author&gt;Bonheure&lt;/Author&gt;&lt;Year&gt;1992&lt;/Year&gt;&lt;RecNum&gt;7&lt;/RecNum&gt;&lt;DisplayText&gt;(Bonheure &amp;amp; Willson, 1992)&lt;/DisplayText&gt;&lt;record&gt;&lt;rec-number&gt;7&lt;/rec-number&gt;&lt;foreign-keys&gt;&lt;key app="EN" db-id="zx5vprwxa0rsabew9f9xp5fcs9tz0dzwa2fa" timestamp="0"&gt;7&lt;/key&gt;&lt;/foreign-keys&gt;&lt;ref-type name="Book Section"&gt;5&lt;/ref-type&gt;&lt;contributors&gt;&lt;authors&gt;&lt;author&gt;Bonheure, D.&lt;/author&gt;&lt;author&gt;Willson, K. C.&lt;/author&gt;&lt;/authors&gt;&lt;secondary-authors&gt;&lt;author&gt;Willson, K.C.&lt;/author&gt;&lt;author&gt;Clifford, M.N.&lt;/author&gt;&lt;/secondary-authors&gt;&lt;/contributors&gt;&lt;titles&gt;&lt;title&gt;Mineral nutrition and fertilizers &lt;/title&gt;&lt;secondary-title&gt;Tea: Cultivation to Consumption&lt;/secondary-title&gt;&lt;/titles&gt;&lt;pages&gt;269-329&lt;/pages&gt;&lt;section&gt;4&lt;/section&gt;&lt;dates&gt;&lt;year&gt;1992&lt;/year&gt;&lt;/dates&gt;&lt;pub-location&gt;London&lt;/pub-location&gt;&lt;publisher&gt;Chapman and Hall&lt;/publisher&gt;&lt;urls&gt;&lt;/urls&gt;&lt;electronic-resource-num&gt;https://doi.org/10.1007/978-94-011-2326-6_9&lt;/electronic-resource-num&gt;&lt;/record&gt;&lt;/Cite&gt;&lt;/EndNote&gt;</w:instrText>
      </w:r>
      <w:r w:rsidRPr="00582808">
        <w:rPr>
          <w:szCs w:val="24"/>
          <w:lang w:val="en-GB"/>
        </w:rPr>
        <w:fldChar w:fldCharType="separate"/>
      </w:r>
      <w:r w:rsidR="00175EB1">
        <w:rPr>
          <w:noProof/>
          <w:szCs w:val="24"/>
          <w:lang w:val="en-GB"/>
        </w:rPr>
        <w:t>(Bonheure &amp; Willson, 1992)</w:t>
      </w:r>
      <w:r w:rsidRPr="00582808">
        <w:rPr>
          <w:szCs w:val="24"/>
          <w:lang w:val="en-GB"/>
        </w:rPr>
        <w:fldChar w:fldCharType="end"/>
      </w:r>
      <w:r w:rsidRPr="00582808">
        <w:rPr>
          <w:szCs w:val="24"/>
          <w:lang w:val="en-GB"/>
        </w:rPr>
        <w:t xml:space="preserve">. </w:t>
      </w:r>
      <w:r w:rsidR="009B453E" w:rsidRPr="00582808">
        <w:rPr>
          <w:szCs w:val="24"/>
          <w:lang w:val="en-GB"/>
        </w:rPr>
        <w:t>S</w:t>
      </w:r>
      <w:r w:rsidRPr="00582808">
        <w:rPr>
          <w:szCs w:val="24"/>
          <w:lang w:val="en-GB"/>
        </w:rPr>
        <w:t>ingle locations studies demonstrated that nitrogen rates increased mature leaf nitrogen content but reduced mature leaf phosphorus,</w:t>
      </w:r>
      <w:r w:rsidR="009B453E" w:rsidRPr="00582808">
        <w:rPr>
          <w:szCs w:val="24"/>
          <w:lang w:val="en-GB"/>
        </w:rPr>
        <w:t xml:space="preserve"> and </w:t>
      </w:r>
      <w:r w:rsidRPr="00582808">
        <w:rPr>
          <w:szCs w:val="24"/>
          <w:lang w:val="en-GB"/>
        </w:rPr>
        <w:t xml:space="preserve">potassium, contents. It is not documented if these variations are related to soil macro-nutrients levels. </w:t>
      </w:r>
      <w:r w:rsidR="009B453E" w:rsidRPr="00582808">
        <w:rPr>
          <w:szCs w:val="24"/>
          <w:lang w:val="en-GB"/>
        </w:rPr>
        <w:t>I</w:t>
      </w:r>
      <w:r w:rsidRPr="00582808">
        <w:rPr>
          <w:szCs w:val="24"/>
          <w:lang w:val="en-GB"/>
        </w:rPr>
        <w:t xml:space="preserve">ndeed the relationship between tea soil nutrients levels and yields </w:t>
      </w:r>
      <w:r w:rsidR="009B453E" w:rsidRPr="00582808">
        <w:rPr>
          <w:szCs w:val="24"/>
          <w:lang w:val="en-GB"/>
        </w:rPr>
        <w:t xml:space="preserve">has </w:t>
      </w:r>
      <w:r w:rsidRPr="00582808">
        <w:rPr>
          <w:szCs w:val="24"/>
          <w:lang w:val="en-GB"/>
        </w:rPr>
        <w:t xml:space="preserve">not </w:t>
      </w:r>
      <w:r w:rsidR="009B453E" w:rsidRPr="00582808">
        <w:rPr>
          <w:szCs w:val="24"/>
          <w:lang w:val="en-GB"/>
        </w:rPr>
        <w:t xml:space="preserve">been </w:t>
      </w:r>
      <w:r w:rsidRPr="00582808">
        <w:rPr>
          <w:szCs w:val="24"/>
          <w:lang w:val="en-GB"/>
        </w:rPr>
        <w:t xml:space="preserve">established </w:t>
      </w:r>
      <w:r w:rsidR="009B453E" w:rsidRPr="00582808">
        <w:rPr>
          <w:szCs w:val="24"/>
          <w:lang w:val="en-GB"/>
        </w:rPr>
        <w:t>with</w:t>
      </w:r>
      <w:r w:rsidRPr="00582808">
        <w:rPr>
          <w:szCs w:val="24"/>
          <w:lang w:val="en-GB"/>
        </w:rPr>
        <w:t xml:space="preserve">in different locations in Eastern Africa. Nitrogen fertilizer use and plucking are the most costly agronomic inputs in tea production. This study evaluated </w:t>
      </w:r>
      <w:r w:rsidR="00582808" w:rsidRPr="00582808">
        <w:rPr>
          <w:szCs w:val="24"/>
          <w:lang w:val="en-GB"/>
        </w:rPr>
        <w:t>variations</w:t>
      </w:r>
      <w:r w:rsidR="009B453E" w:rsidRPr="00582808">
        <w:rPr>
          <w:szCs w:val="24"/>
          <w:lang w:val="en-GB"/>
        </w:rPr>
        <w:t xml:space="preserve"> in</w:t>
      </w:r>
      <w:r w:rsidRPr="00582808">
        <w:rPr>
          <w:szCs w:val="24"/>
          <w:lang w:val="en-GB"/>
        </w:rPr>
        <w:t xml:space="preserve"> soil </w:t>
      </w:r>
      <w:r w:rsidR="009B453E" w:rsidRPr="00582808">
        <w:rPr>
          <w:szCs w:val="24"/>
          <w:lang w:val="en-GB"/>
        </w:rPr>
        <w:t xml:space="preserve">nitrogen, phosphorous </w:t>
      </w:r>
      <w:r w:rsidR="00582808" w:rsidRPr="00582808">
        <w:rPr>
          <w:szCs w:val="24"/>
          <w:lang w:val="en-GB"/>
        </w:rPr>
        <w:t>and</w:t>
      </w:r>
      <w:r w:rsidR="009B453E" w:rsidRPr="00582808">
        <w:rPr>
          <w:szCs w:val="24"/>
          <w:lang w:val="en-GB"/>
        </w:rPr>
        <w:t xml:space="preserve"> potassium </w:t>
      </w:r>
      <w:r w:rsidRPr="00582808">
        <w:rPr>
          <w:szCs w:val="24"/>
          <w:lang w:val="en-GB"/>
        </w:rPr>
        <w:t xml:space="preserve">levels with location of production, nitrogen fertilizer rates and plucking intervals and if the </w:t>
      </w:r>
      <w:r w:rsidR="009B453E" w:rsidRPr="00582808">
        <w:rPr>
          <w:szCs w:val="24"/>
          <w:lang w:val="en-GB"/>
        </w:rPr>
        <w:t xml:space="preserve">variations </w:t>
      </w:r>
      <w:r w:rsidRPr="00582808">
        <w:rPr>
          <w:szCs w:val="24"/>
          <w:lang w:val="en-GB"/>
        </w:rPr>
        <w:t>are related to the tea production.</w:t>
      </w:r>
    </w:p>
    <w:p w14:paraId="70A8E586" w14:textId="77777777" w:rsidR="00C20C12" w:rsidRPr="00582808" w:rsidRDefault="00C20C12" w:rsidP="0057578E">
      <w:pPr>
        <w:autoSpaceDE w:val="0"/>
        <w:autoSpaceDN w:val="0"/>
        <w:adjustRightInd w:val="0"/>
        <w:spacing w:line="360" w:lineRule="auto"/>
        <w:rPr>
          <w:szCs w:val="24"/>
          <w:lang w:val="en-GB"/>
        </w:rPr>
      </w:pPr>
    </w:p>
    <w:p w14:paraId="1A7A3F71" w14:textId="77777777" w:rsidR="0057578E" w:rsidRPr="00582808" w:rsidRDefault="0057578E" w:rsidP="0057578E">
      <w:pPr>
        <w:tabs>
          <w:tab w:val="left" w:pos="1155"/>
        </w:tabs>
        <w:spacing w:line="360" w:lineRule="auto"/>
        <w:rPr>
          <w:rFonts w:eastAsia="Times New Roman"/>
          <w:b/>
          <w:bCs/>
          <w:kern w:val="32"/>
          <w:szCs w:val="24"/>
          <w:lang w:val="en-GB"/>
        </w:rPr>
      </w:pPr>
      <w:bookmarkStart w:id="2" w:name="_Toc515416435"/>
      <w:r w:rsidRPr="00582808">
        <w:rPr>
          <w:rFonts w:eastAsia="Times New Roman"/>
          <w:b/>
          <w:bCs/>
          <w:kern w:val="32"/>
          <w:szCs w:val="24"/>
          <w:lang w:val="en-GB"/>
        </w:rPr>
        <w:t>METHODOLOGY</w:t>
      </w:r>
    </w:p>
    <w:p w14:paraId="5EE08BF8" w14:textId="5A45418F" w:rsidR="0057578E" w:rsidRDefault="0057578E" w:rsidP="0057578E">
      <w:pPr>
        <w:tabs>
          <w:tab w:val="left" w:pos="1350"/>
        </w:tabs>
        <w:spacing w:line="360" w:lineRule="auto"/>
        <w:rPr>
          <w:szCs w:val="24"/>
          <w:lang w:val="en-GB"/>
        </w:rPr>
      </w:pPr>
      <w:r w:rsidRPr="00582808">
        <w:rPr>
          <w:szCs w:val="24"/>
          <w:lang w:val="en-GB"/>
        </w:rPr>
        <w:t xml:space="preserve">The study was set up as nitrogenous fertilizer trial on clone TRFK 6/8 in seven locations within the eastern Africa tea growing regions </w:t>
      </w:r>
      <w:r w:rsidRPr="00582808">
        <w:rPr>
          <w:szCs w:val="24"/>
          <w:lang w:val="en-GB"/>
        </w:rPr>
        <w:fldChar w:fldCharType="begin">
          <w:fldData xml:space="preserve">PEVuZE5vdGU+PENpdGU+PEF1dGhvcj5Nc29tYmE8L0F1dGhvcj48WWVhcj4yMDE0PC9ZZWFyPjxS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dW0+PC9yZWNvcmQ+PC9DaXRlPjxDaXRlPjxBdXRob3I+S3dhY2g8L0F1dGhvcj48WWVhcj4yMDE0
PC9ZZWFyPjxSZWNOdW0+MjI8L1JlY051bT48cmVjb3JkPjxyZWMtbnVtYmVyPjIyPC9yZWMtbnVt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IEMuPC9hdXRob3I+PGF1dGhvcj5Pd3VvciwgIFAuIE8uPC9hdXRob3I+PC9hdXRob3JzPjwvY29u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</w:fldData>
        </w:fldChar>
      </w:r>
      <w:r w:rsidR="00175EB1">
        <w:rPr>
          <w:szCs w:val="24"/>
          <w:lang w:val="en-GB"/>
        </w:rPr>
        <w:instrText xml:space="preserve"> ADDIN EN.CITE </w:instrText>
      </w:r>
      <w:r w:rsidR="00175EB1">
        <w:rPr>
          <w:szCs w:val="24"/>
          <w:lang w:val="en-GB"/>
        </w:rPr>
        <w:fldChar w:fldCharType="begin">
          <w:fldData xml:space="preserve">PEVuZE5vdGU+PENpdGU+PEF1dGhvcj5Nc29tYmE8L0F1dGhvcj48WWVhcj4yMDE0PC9ZZWFyPjxS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dW0+PC9yZWNvcmQ+PC9DaXRlPjxDaXRlPjxBdXRob3I+S3dhY2g8L0F1dGhvcj48WWVhcj4yMDE0
PC9ZZWFyPjxSZWNOdW0+MjI8L1JlY051bT48cmVjb3JkPjxyZWMtbnVtYmVyPjIyPC9yZWMtbnVt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IEMuPC9hdXRob3I+PGF1dGhvcj5Pd3VvciwgIFAuIE8uPC9hdXRob3I+PC9hdXRob3JzPjwvY29u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</w:fldData>
        </w:fldChar>
      </w:r>
      <w:r w:rsidR="00175EB1">
        <w:rPr>
          <w:szCs w:val="24"/>
          <w:lang w:val="en-GB"/>
        </w:rPr>
        <w:instrText xml:space="preserve"> ADDIN EN.CITE.DATA </w:instrText>
      </w:r>
      <w:r w:rsidR="00175EB1">
        <w:rPr>
          <w:szCs w:val="24"/>
          <w:lang w:val="en-GB"/>
        </w:rPr>
      </w:r>
      <w:r w:rsidR="00175EB1">
        <w:rPr>
          <w:szCs w:val="24"/>
          <w:lang w:val="en-GB"/>
        </w:rPr>
        <w:fldChar w:fldCharType="end"/>
      </w:r>
      <w:r w:rsidRPr="00582808">
        <w:rPr>
          <w:szCs w:val="24"/>
          <w:lang w:val="en-GB"/>
        </w:rPr>
      </w:r>
      <w:r w:rsidRPr="00582808">
        <w:rPr>
          <w:szCs w:val="24"/>
          <w:lang w:val="en-GB"/>
        </w:rPr>
        <w:fldChar w:fldCharType="separate"/>
      </w:r>
      <w:r w:rsidR="00175EB1">
        <w:rPr>
          <w:noProof/>
          <w:szCs w:val="24"/>
          <w:lang w:val="en-GB"/>
        </w:rPr>
        <w:t>(Kwach et al., 2014; Msomba et al., 2014; Ombori et al., 2020)</w:t>
      </w:r>
      <w:r w:rsidRPr="00582808">
        <w:rPr>
          <w:szCs w:val="24"/>
          <w:lang w:val="en-GB"/>
        </w:rPr>
        <w:fldChar w:fldCharType="end"/>
      </w:r>
      <w:r w:rsidRPr="00582808">
        <w:rPr>
          <w:szCs w:val="24"/>
          <w:lang w:val="en-GB"/>
        </w:rPr>
        <w:t xml:space="preserve">. The locations </w:t>
      </w:r>
      <w:r w:rsidR="009B453E" w:rsidRPr="00582808">
        <w:rPr>
          <w:szCs w:val="24"/>
          <w:lang w:val="en-GB"/>
        </w:rPr>
        <w:t xml:space="preserve">details </w:t>
      </w:r>
      <w:r w:rsidRPr="00582808">
        <w:rPr>
          <w:szCs w:val="24"/>
          <w:lang w:val="en-GB"/>
        </w:rPr>
        <w:t>are listed in Table 1</w:t>
      </w:r>
      <w:r w:rsidR="009B453E" w:rsidRPr="00582808">
        <w:rPr>
          <w:szCs w:val="24"/>
          <w:lang w:val="en-GB"/>
        </w:rPr>
        <w:t xml:space="preserve">, while their </w:t>
      </w:r>
      <w:r w:rsidRPr="00582808">
        <w:rPr>
          <w:szCs w:val="24"/>
          <w:lang w:val="en-GB"/>
        </w:rPr>
        <w:t>soil physical characteristics are presented in Table 2.</w:t>
      </w:r>
    </w:p>
    <w:p w14:paraId="67669297" w14:textId="77777777" w:rsidR="00F4315E" w:rsidRDefault="00F4315E" w:rsidP="0057578E">
      <w:pPr>
        <w:tabs>
          <w:tab w:val="left" w:pos="1350"/>
        </w:tabs>
        <w:spacing w:line="360" w:lineRule="auto"/>
        <w:rPr>
          <w:szCs w:val="24"/>
          <w:lang w:val="en-GB"/>
        </w:rPr>
      </w:pPr>
    </w:p>
    <w:p w14:paraId="6512A177" w14:textId="77777777" w:rsidR="00C20C12" w:rsidRPr="00582808" w:rsidRDefault="00C20C12" w:rsidP="00C20C12">
      <w:pPr>
        <w:rPr>
          <w:bCs/>
          <w:szCs w:val="24"/>
          <w:lang w:val="en-GB"/>
        </w:rPr>
      </w:pPr>
      <w:r w:rsidRPr="00582808">
        <w:rPr>
          <w:bCs/>
          <w:szCs w:val="24"/>
          <w:lang w:val="en-GB"/>
        </w:rPr>
        <w:t xml:space="preserve">Table 1: The study sites and coordinates  </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2341"/>
        <w:gridCol w:w="1078"/>
        <w:gridCol w:w="1203"/>
        <w:gridCol w:w="1684"/>
        <w:gridCol w:w="1190"/>
        <w:gridCol w:w="1474"/>
      </w:tblGrid>
      <w:tr w:rsidR="00C20C12" w:rsidRPr="00582808" w14:paraId="5D2D6B03" w14:textId="77777777" w:rsidTr="00D568D7">
        <w:tc>
          <w:tcPr>
            <w:tcW w:w="1097" w:type="dxa"/>
            <w:tcBorders>
              <w:top w:val="single" w:sz="4" w:space="0" w:color="auto"/>
              <w:left w:val="nil"/>
              <w:bottom w:val="single" w:sz="4" w:space="0" w:color="auto"/>
              <w:right w:val="nil"/>
            </w:tcBorders>
          </w:tcPr>
          <w:p w14:paraId="16C940AD" w14:textId="77777777" w:rsidR="00C20C12" w:rsidRPr="00582808" w:rsidRDefault="00C20C12" w:rsidP="00D568D7">
            <w:pPr>
              <w:rPr>
                <w:bCs/>
                <w:szCs w:val="24"/>
                <w:lang w:val="en-GB"/>
              </w:rPr>
            </w:pPr>
            <w:r w:rsidRPr="00582808">
              <w:rPr>
                <w:bCs/>
                <w:szCs w:val="24"/>
                <w:lang w:val="en-GB"/>
              </w:rPr>
              <w:t>Country</w:t>
            </w:r>
          </w:p>
        </w:tc>
        <w:tc>
          <w:tcPr>
            <w:tcW w:w="2341" w:type="dxa"/>
            <w:tcBorders>
              <w:top w:val="single" w:sz="4" w:space="0" w:color="auto"/>
              <w:left w:val="nil"/>
              <w:bottom w:val="single" w:sz="4" w:space="0" w:color="auto"/>
              <w:right w:val="nil"/>
            </w:tcBorders>
          </w:tcPr>
          <w:p w14:paraId="41C2FCA6" w14:textId="77777777" w:rsidR="00C20C12" w:rsidRPr="00582808" w:rsidRDefault="00C20C12" w:rsidP="00D568D7">
            <w:pPr>
              <w:ind w:right="-18"/>
              <w:rPr>
                <w:bCs/>
                <w:szCs w:val="24"/>
                <w:lang w:val="en-GB"/>
              </w:rPr>
            </w:pPr>
            <w:r w:rsidRPr="00582808">
              <w:rPr>
                <w:bCs/>
                <w:szCs w:val="24"/>
                <w:lang w:val="en-GB"/>
              </w:rPr>
              <w:t>Site</w:t>
            </w:r>
          </w:p>
        </w:tc>
        <w:tc>
          <w:tcPr>
            <w:tcW w:w="1078" w:type="dxa"/>
            <w:tcBorders>
              <w:top w:val="single" w:sz="4" w:space="0" w:color="auto"/>
              <w:left w:val="nil"/>
              <w:bottom w:val="single" w:sz="4" w:space="0" w:color="auto"/>
              <w:right w:val="nil"/>
            </w:tcBorders>
          </w:tcPr>
          <w:p w14:paraId="706330F0" w14:textId="77777777" w:rsidR="00C20C12" w:rsidRPr="00582808" w:rsidRDefault="00C20C12" w:rsidP="00D568D7">
            <w:pPr>
              <w:rPr>
                <w:bCs/>
                <w:szCs w:val="24"/>
                <w:lang w:val="en-GB"/>
              </w:rPr>
            </w:pPr>
            <w:r w:rsidRPr="00582808">
              <w:rPr>
                <w:bCs/>
                <w:szCs w:val="24"/>
                <w:lang w:val="en-GB"/>
              </w:rPr>
              <w:t>Latitude</w:t>
            </w:r>
          </w:p>
        </w:tc>
        <w:tc>
          <w:tcPr>
            <w:tcW w:w="1203" w:type="dxa"/>
            <w:tcBorders>
              <w:top w:val="single" w:sz="4" w:space="0" w:color="auto"/>
              <w:left w:val="nil"/>
              <w:bottom w:val="single" w:sz="4" w:space="0" w:color="auto"/>
              <w:right w:val="nil"/>
            </w:tcBorders>
          </w:tcPr>
          <w:p w14:paraId="28594FB7" w14:textId="77777777" w:rsidR="00C20C12" w:rsidRPr="00582808" w:rsidRDefault="00C20C12" w:rsidP="00D568D7">
            <w:pPr>
              <w:rPr>
                <w:bCs/>
                <w:szCs w:val="24"/>
                <w:lang w:val="en-GB"/>
              </w:rPr>
            </w:pPr>
            <w:r w:rsidRPr="00582808">
              <w:rPr>
                <w:bCs/>
                <w:szCs w:val="24"/>
                <w:lang w:val="en-GB"/>
              </w:rPr>
              <w:t>Longitude</w:t>
            </w:r>
          </w:p>
        </w:tc>
        <w:tc>
          <w:tcPr>
            <w:tcW w:w="1684" w:type="dxa"/>
            <w:tcBorders>
              <w:top w:val="single" w:sz="4" w:space="0" w:color="auto"/>
              <w:left w:val="nil"/>
              <w:bottom w:val="single" w:sz="4" w:space="0" w:color="auto"/>
              <w:right w:val="nil"/>
            </w:tcBorders>
          </w:tcPr>
          <w:p w14:paraId="0553E1F2" w14:textId="77777777" w:rsidR="00C20C12" w:rsidRPr="00582808" w:rsidRDefault="00C20C12" w:rsidP="00D568D7">
            <w:pPr>
              <w:rPr>
                <w:bCs/>
                <w:szCs w:val="24"/>
                <w:lang w:val="en-GB"/>
              </w:rPr>
            </w:pPr>
            <w:r w:rsidRPr="00582808">
              <w:rPr>
                <w:bCs/>
                <w:szCs w:val="24"/>
                <w:lang w:val="en-GB"/>
              </w:rPr>
              <w:t>Altitude (</w:t>
            </w:r>
            <w:proofErr w:type="spellStart"/>
            <w:r w:rsidRPr="00582808">
              <w:rPr>
                <w:bCs/>
                <w:szCs w:val="24"/>
                <w:lang w:val="en-GB"/>
              </w:rPr>
              <w:t>amsl</w:t>
            </w:r>
            <w:proofErr w:type="spellEnd"/>
            <w:r w:rsidRPr="00582808">
              <w:rPr>
                <w:bCs/>
                <w:szCs w:val="24"/>
                <w:lang w:val="en-GB"/>
              </w:rPr>
              <w:t>)</w:t>
            </w:r>
          </w:p>
        </w:tc>
        <w:tc>
          <w:tcPr>
            <w:tcW w:w="1190" w:type="dxa"/>
            <w:tcBorders>
              <w:top w:val="single" w:sz="4" w:space="0" w:color="auto"/>
              <w:left w:val="nil"/>
              <w:bottom w:val="single" w:sz="4" w:space="0" w:color="auto"/>
              <w:right w:val="nil"/>
            </w:tcBorders>
          </w:tcPr>
          <w:p w14:paraId="7E0FB8CF" w14:textId="77777777" w:rsidR="00C20C12" w:rsidRPr="00582808" w:rsidRDefault="00C20C12" w:rsidP="00D568D7">
            <w:pPr>
              <w:rPr>
                <w:bCs/>
                <w:szCs w:val="24"/>
                <w:lang w:val="en-GB"/>
              </w:rPr>
            </w:pPr>
            <w:r w:rsidRPr="00582808">
              <w:rPr>
                <w:bCs/>
                <w:szCs w:val="24"/>
                <w:lang w:val="en-GB"/>
              </w:rPr>
              <w:t>Rainfall</w:t>
            </w:r>
          </w:p>
        </w:tc>
        <w:tc>
          <w:tcPr>
            <w:tcW w:w="1474" w:type="dxa"/>
            <w:tcBorders>
              <w:top w:val="single" w:sz="4" w:space="0" w:color="auto"/>
              <w:left w:val="nil"/>
              <w:bottom w:val="single" w:sz="4" w:space="0" w:color="auto"/>
              <w:right w:val="nil"/>
            </w:tcBorders>
          </w:tcPr>
          <w:p w14:paraId="3C31CA5F" w14:textId="77777777" w:rsidR="00C20C12" w:rsidRPr="00582808" w:rsidRDefault="00C20C12" w:rsidP="00D568D7">
            <w:pPr>
              <w:rPr>
                <w:bCs/>
                <w:szCs w:val="24"/>
                <w:lang w:val="en-GB"/>
              </w:rPr>
            </w:pPr>
            <w:r w:rsidRPr="00582808">
              <w:rPr>
                <w:bCs/>
                <w:szCs w:val="24"/>
                <w:lang w:val="en-GB"/>
              </w:rPr>
              <w:t>Temperature</w:t>
            </w:r>
          </w:p>
        </w:tc>
      </w:tr>
      <w:tr w:rsidR="00C20C12" w:rsidRPr="00582808" w14:paraId="3F234BC0" w14:textId="77777777" w:rsidTr="00D568D7">
        <w:tc>
          <w:tcPr>
            <w:tcW w:w="1097" w:type="dxa"/>
            <w:vMerge w:val="restart"/>
            <w:tcBorders>
              <w:top w:val="single" w:sz="4" w:space="0" w:color="auto"/>
              <w:left w:val="nil"/>
              <w:bottom w:val="nil"/>
              <w:right w:val="nil"/>
            </w:tcBorders>
          </w:tcPr>
          <w:p w14:paraId="326F3D63" w14:textId="77777777" w:rsidR="00C20C12" w:rsidRPr="00582808" w:rsidRDefault="00C20C12" w:rsidP="00D568D7">
            <w:pPr>
              <w:rPr>
                <w:bCs/>
                <w:szCs w:val="24"/>
                <w:lang w:val="en-GB"/>
              </w:rPr>
            </w:pPr>
            <w:r w:rsidRPr="00582808">
              <w:rPr>
                <w:bCs/>
                <w:szCs w:val="24"/>
                <w:lang w:val="en-GB"/>
              </w:rPr>
              <w:t>Kenya</w:t>
            </w:r>
          </w:p>
        </w:tc>
        <w:tc>
          <w:tcPr>
            <w:tcW w:w="2341" w:type="dxa"/>
            <w:tcBorders>
              <w:top w:val="single" w:sz="4" w:space="0" w:color="auto"/>
              <w:left w:val="nil"/>
              <w:bottom w:val="nil"/>
              <w:right w:val="nil"/>
            </w:tcBorders>
          </w:tcPr>
          <w:p w14:paraId="7092DCFF" w14:textId="77777777" w:rsidR="00C20C12" w:rsidRPr="00582808" w:rsidRDefault="00C20C12" w:rsidP="00D568D7">
            <w:pPr>
              <w:ind w:left="-106"/>
              <w:rPr>
                <w:b/>
                <w:bCs/>
                <w:szCs w:val="24"/>
                <w:lang w:val="en-GB"/>
              </w:rPr>
            </w:pPr>
            <w:proofErr w:type="spellStart"/>
            <w:r w:rsidRPr="00582808">
              <w:rPr>
                <w:bCs/>
                <w:szCs w:val="24"/>
                <w:lang w:val="en-GB"/>
              </w:rPr>
              <w:t>Timbilil</w:t>
            </w:r>
            <w:proofErr w:type="spellEnd"/>
            <w:r w:rsidRPr="00582808">
              <w:rPr>
                <w:bCs/>
                <w:szCs w:val="24"/>
                <w:lang w:val="en-GB"/>
              </w:rPr>
              <w:t xml:space="preserve"> Estate (TRI)</w:t>
            </w:r>
          </w:p>
        </w:tc>
        <w:tc>
          <w:tcPr>
            <w:tcW w:w="1078" w:type="dxa"/>
            <w:tcBorders>
              <w:top w:val="single" w:sz="4" w:space="0" w:color="auto"/>
              <w:left w:val="nil"/>
              <w:bottom w:val="nil"/>
              <w:right w:val="nil"/>
            </w:tcBorders>
          </w:tcPr>
          <w:p w14:paraId="4D352144" w14:textId="77777777" w:rsidR="00C20C12" w:rsidRPr="00582808" w:rsidRDefault="00C20C12" w:rsidP="00D568D7">
            <w:pPr>
              <w:jc w:val="center"/>
              <w:rPr>
                <w:b/>
                <w:bCs/>
                <w:szCs w:val="24"/>
                <w:lang w:val="en-GB"/>
              </w:rPr>
            </w:pPr>
            <w:r w:rsidRPr="00582808">
              <w:rPr>
                <w:szCs w:val="24"/>
                <w:lang w:val="en-GB"/>
              </w:rPr>
              <w:t>0</w:t>
            </w:r>
            <w:r w:rsidRPr="00582808">
              <w:rPr>
                <w:szCs w:val="24"/>
                <w:vertAlign w:val="superscript"/>
                <w:lang w:val="en-GB"/>
              </w:rPr>
              <w:t>o</w:t>
            </w:r>
            <w:r w:rsidRPr="00582808">
              <w:rPr>
                <w:szCs w:val="24"/>
                <w:lang w:val="en-GB"/>
              </w:rPr>
              <w:t xml:space="preserve"> 22’S</w:t>
            </w:r>
          </w:p>
        </w:tc>
        <w:tc>
          <w:tcPr>
            <w:tcW w:w="1203" w:type="dxa"/>
            <w:tcBorders>
              <w:top w:val="single" w:sz="4" w:space="0" w:color="auto"/>
              <w:left w:val="nil"/>
              <w:bottom w:val="nil"/>
              <w:right w:val="nil"/>
            </w:tcBorders>
          </w:tcPr>
          <w:p w14:paraId="0A4A06A6" w14:textId="77777777" w:rsidR="00C20C12" w:rsidRPr="00582808" w:rsidRDefault="00C20C12" w:rsidP="00D568D7">
            <w:pPr>
              <w:jc w:val="center"/>
              <w:rPr>
                <w:b/>
                <w:bCs/>
                <w:szCs w:val="24"/>
                <w:lang w:val="en-GB"/>
              </w:rPr>
            </w:pPr>
            <w:r w:rsidRPr="00582808">
              <w:rPr>
                <w:szCs w:val="24"/>
                <w:lang w:val="en-GB"/>
              </w:rPr>
              <w:t>35</w:t>
            </w:r>
            <w:r w:rsidRPr="00582808">
              <w:rPr>
                <w:szCs w:val="24"/>
                <w:vertAlign w:val="superscript"/>
                <w:lang w:val="en-GB"/>
              </w:rPr>
              <w:t>o</w:t>
            </w:r>
            <w:r w:rsidRPr="00582808">
              <w:rPr>
                <w:szCs w:val="24"/>
                <w:lang w:val="en-GB"/>
              </w:rPr>
              <w:t xml:space="preserve"> 21’E</w:t>
            </w:r>
          </w:p>
        </w:tc>
        <w:tc>
          <w:tcPr>
            <w:tcW w:w="1684" w:type="dxa"/>
            <w:tcBorders>
              <w:top w:val="single" w:sz="4" w:space="0" w:color="auto"/>
              <w:left w:val="nil"/>
              <w:bottom w:val="nil"/>
              <w:right w:val="nil"/>
            </w:tcBorders>
          </w:tcPr>
          <w:p w14:paraId="54EDB2B8" w14:textId="77777777" w:rsidR="00C20C12" w:rsidRPr="00582808" w:rsidRDefault="00C20C12" w:rsidP="00D568D7">
            <w:pPr>
              <w:jc w:val="center"/>
              <w:rPr>
                <w:b/>
                <w:bCs/>
                <w:szCs w:val="24"/>
                <w:lang w:val="en-GB"/>
              </w:rPr>
            </w:pPr>
            <w:r w:rsidRPr="00582808">
              <w:rPr>
                <w:szCs w:val="24"/>
                <w:lang w:val="en-GB"/>
              </w:rPr>
              <w:t>2180m</w:t>
            </w:r>
          </w:p>
        </w:tc>
        <w:tc>
          <w:tcPr>
            <w:tcW w:w="1190" w:type="dxa"/>
            <w:tcBorders>
              <w:top w:val="single" w:sz="4" w:space="0" w:color="auto"/>
              <w:left w:val="nil"/>
              <w:bottom w:val="nil"/>
              <w:right w:val="nil"/>
            </w:tcBorders>
          </w:tcPr>
          <w:p w14:paraId="3DEE2153" w14:textId="77777777" w:rsidR="00C20C12" w:rsidRPr="00582808" w:rsidRDefault="00C20C12" w:rsidP="00D568D7">
            <w:pPr>
              <w:jc w:val="center"/>
              <w:rPr>
                <w:b/>
                <w:bCs/>
                <w:szCs w:val="24"/>
                <w:lang w:val="en-GB"/>
              </w:rPr>
            </w:pPr>
            <w:r w:rsidRPr="00582808">
              <w:rPr>
                <w:szCs w:val="24"/>
                <w:lang w:val="en-GB"/>
              </w:rPr>
              <w:t>2175mm</w:t>
            </w:r>
          </w:p>
        </w:tc>
        <w:tc>
          <w:tcPr>
            <w:tcW w:w="1474" w:type="dxa"/>
            <w:tcBorders>
              <w:top w:val="single" w:sz="4" w:space="0" w:color="auto"/>
              <w:left w:val="nil"/>
              <w:bottom w:val="nil"/>
              <w:right w:val="nil"/>
            </w:tcBorders>
          </w:tcPr>
          <w:p w14:paraId="738136E1" w14:textId="77777777" w:rsidR="00C20C12" w:rsidRPr="00582808" w:rsidRDefault="00C20C12" w:rsidP="00D568D7">
            <w:pPr>
              <w:jc w:val="center"/>
              <w:rPr>
                <w:b/>
                <w:bCs/>
                <w:szCs w:val="24"/>
                <w:vertAlign w:val="superscript"/>
                <w:lang w:val="en-GB"/>
              </w:rPr>
            </w:pPr>
            <w:r w:rsidRPr="00582808">
              <w:rPr>
                <w:szCs w:val="24"/>
                <w:lang w:val="en-GB"/>
              </w:rPr>
              <w:t>19.5</w:t>
            </w:r>
            <w:r w:rsidRPr="00582808">
              <w:rPr>
                <w:szCs w:val="24"/>
                <w:vertAlign w:val="superscript"/>
                <w:lang w:val="en-GB"/>
              </w:rPr>
              <w:t>o</w:t>
            </w:r>
            <w:r w:rsidRPr="00582808">
              <w:rPr>
                <w:szCs w:val="24"/>
                <w:lang w:val="en-GB"/>
              </w:rPr>
              <w:t>C</w:t>
            </w:r>
          </w:p>
        </w:tc>
      </w:tr>
      <w:tr w:rsidR="00C20C12" w:rsidRPr="00582808" w14:paraId="5D4B8126" w14:textId="77777777" w:rsidTr="00D568D7">
        <w:tc>
          <w:tcPr>
            <w:tcW w:w="1097" w:type="dxa"/>
            <w:vMerge/>
            <w:tcBorders>
              <w:top w:val="nil"/>
              <w:left w:val="nil"/>
              <w:bottom w:val="nil"/>
              <w:right w:val="nil"/>
            </w:tcBorders>
          </w:tcPr>
          <w:p w14:paraId="481DE1E3" w14:textId="77777777" w:rsidR="00C20C12" w:rsidRPr="00582808" w:rsidRDefault="00C20C12" w:rsidP="00D568D7">
            <w:pPr>
              <w:rPr>
                <w:bCs/>
                <w:szCs w:val="24"/>
                <w:lang w:val="en-GB"/>
              </w:rPr>
            </w:pPr>
          </w:p>
        </w:tc>
        <w:tc>
          <w:tcPr>
            <w:tcW w:w="2341" w:type="dxa"/>
            <w:tcBorders>
              <w:top w:val="nil"/>
              <w:left w:val="nil"/>
              <w:bottom w:val="nil"/>
              <w:right w:val="nil"/>
            </w:tcBorders>
          </w:tcPr>
          <w:p w14:paraId="3D6F92D6" w14:textId="77777777" w:rsidR="00C20C12" w:rsidRPr="00582808" w:rsidRDefault="00C20C12" w:rsidP="00D568D7">
            <w:pPr>
              <w:rPr>
                <w:bCs/>
                <w:szCs w:val="24"/>
                <w:lang w:val="en-GB"/>
              </w:rPr>
            </w:pPr>
            <w:proofErr w:type="spellStart"/>
            <w:r w:rsidRPr="00582808">
              <w:rPr>
                <w:bCs/>
                <w:szCs w:val="24"/>
                <w:lang w:val="en-GB"/>
              </w:rPr>
              <w:t>Changoi</w:t>
            </w:r>
            <w:proofErr w:type="spellEnd"/>
            <w:r w:rsidRPr="00582808">
              <w:rPr>
                <w:bCs/>
                <w:szCs w:val="24"/>
                <w:lang w:val="en-GB"/>
              </w:rPr>
              <w:t xml:space="preserve"> Estate</w:t>
            </w:r>
          </w:p>
        </w:tc>
        <w:tc>
          <w:tcPr>
            <w:tcW w:w="1078" w:type="dxa"/>
            <w:tcBorders>
              <w:top w:val="nil"/>
              <w:left w:val="nil"/>
              <w:bottom w:val="nil"/>
              <w:right w:val="nil"/>
            </w:tcBorders>
          </w:tcPr>
          <w:p w14:paraId="7C60FF9E" w14:textId="77777777" w:rsidR="00C20C12" w:rsidRPr="00582808" w:rsidRDefault="00C20C12" w:rsidP="00D568D7">
            <w:pPr>
              <w:jc w:val="center"/>
              <w:rPr>
                <w:bCs/>
                <w:szCs w:val="24"/>
                <w:lang w:val="en-GB"/>
              </w:rPr>
            </w:pPr>
            <w:r w:rsidRPr="00582808">
              <w:rPr>
                <w:szCs w:val="24"/>
                <w:lang w:val="en-GB"/>
              </w:rPr>
              <w:t>0</w:t>
            </w:r>
            <w:r w:rsidRPr="00582808">
              <w:rPr>
                <w:szCs w:val="24"/>
                <w:vertAlign w:val="superscript"/>
                <w:lang w:val="en-GB"/>
              </w:rPr>
              <w:t>0</w:t>
            </w:r>
            <w:r w:rsidRPr="00582808">
              <w:rPr>
                <w:szCs w:val="24"/>
                <w:lang w:val="en-GB"/>
              </w:rPr>
              <w:t>30’S</w:t>
            </w:r>
          </w:p>
        </w:tc>
        <w:tc>
          <w:tcPr>
            <w:tcW w:w="1203" w:type="dxa"/>
            <w:tcBorders>
              <w:top w:val="nil"/>
              <w:left w:val="nil"/>
              <w:bottom w:val="nil"/>
              <w:right w:val="nil"/>
            </w:tcBorders>
          </w:tcPr>
          <w:p w14:paraId="303B5579" w14:textId="77777777" w:rsidR="00C20C12" w:rsidRPr="00582808" w:rsidRDefault="00C20C12" w:rsidP="00D568D7">
            <w:pPr>
              <w:jc w:val="center"/>
              <w:rPr>
                <w:bCs/>
                <w:szCs w:val="24"/>
                <w:lang w:val="en-GB"/>
              </w:rPr>
            </w:pPr>
            <w:r w:rsidRPr="00582808">
              <w:rPr>
                <w:szCs w:val="24"/>
                <w:lang w:val="en-GB"/>
              </w:rPr>
              <w:t>35</w:t>
            </w:r>
            <w:r w:rsidRPr="00582808">
              <w:rPr>
                <w:szCs w:val="24"/>
                <w:vertAlign w:val="superscript"/>
                <w:lang w:val="en-GB"/>
              </w:rPr>
              <w:t>0</w:t>
            </w:r>
            <w:r w:rsidRPr="00582808">
              <w:rPr>
                <w:szCs w:val="24"/>
                <w:lang w:val="en-GB"/>
              </w:rPr>
              <w:t>13’E</w:t>
            </w:r>
          </w:p>
        </w:tc>
        <w:tc>
          <w:tcPr>
            <w:tcW w:w="1684" w:type="dxa"/>
            <w:tcBorders>
              <w:top w:val="nil"/>
              <w:left w:val="nil"/>
              <w:bottom w:val="nil"/>
              <w:right w:val="nil"/>
            </w:tcBorders>
          </w:tcPr>
          <w:p w14:paraId="6F4ACD35" w14:textId="77777777" w:rsidR="00C20C12" w:rsidRPr="00582808" w:rsidRDefault="00C20C12" w:rsidP="00D568D7">
            <w:pPr>
              <w:jc w:val="center"/>
              <w:rPr>
                <w:bCs/>
                <w:szCs w:val="24"/>
                <w:lang w:val="en-GB"/>
              </w:rPr>
            </w:pPr>
            <w:r w:rsidRPr="00582808">
              <w:rPr>
                <w:szCs w:val="24"/>
                <w:lang w:val="en-GB"/>
              </w:rPr>
              <w:t>1860m</w:t>
            </w:r>
          </w:p>
        </w:tc>
        <w:tc>
          <w:tcPr>
            <w:tcW w:w="1190" w:type="dxa"/>
            <w:tcBorders>
              <w:top w:val="nil"/>
              <w:left w:val="nil"/>
              <w:bottom w:val="nil"/>
              <w:right w:val="nil"/>
            </w:tcBorders>
          </w:tcPr>
          <w:p w14:paraId="23AF6AAF" w14:textId="77777777" w:rsidR="00C20C12" w:rsidRPr="00582808" w:rsidRDefault="00C20C12" w:rsidP="00D568D7">
            <w:pPr>
              <w:jc w:val="center"/>
              <w:rPr>
                <w:bCs/>
                <w:szCs w:val="24"/>
                <w:lang w:val="en-GB"/>
              </w:rPr>
            </w:pPr>
            <w:r w:rsidRPr="00582808">
              <w:rPr>
                <w:szCs w:val="24"/>
                <w:lang w:val="en-GB"/>
              </w:rPr>
              <w:t>2130mm</w:t>
            </w:r>
          </w:p>
        </w:tc>
        <w:tc>
          <w:tcPr>
            <w:tcW w:w="1474" w:type="dxa"/>
            <w:tcBorders>
              <w:top w:val="nil"/>
              <w:left w:val="nil"/>
              <w:bottom w:val="nil"/>
              <w:right w:val="nil"/>
            </w:tcBorders>
          </w:tcPr>
          <w:p w14:paraId="1B9C7BF1" w14:textId="77777777" w:rsidR="00C20C12" w:rsidRPr="00582808" w:rsidRDefault="00C20C12" w:rsidP="00D568D7">
            <w:pPr>
              <w:jc w:val="center"/>
              <w:rPr>
                <w:bCs/>
                <w:szCs w:val="24"/>
                <w:lang w:val="en-GB"/>
              </w:rPr>
            </w:pPr>
            <w:r w:rsidRPr="00582808">
              <w:rPr>
                <w:szCs w:val="24"/>
                <w:lang w:val="en-GB"/>
              </w:rPr>
              <w:t>19.0</w:t>
            </w:r>
            <w:r w:rsidRPr="00582808">
              <w:rPr>
                <w:szCs w:val="24"/>
                <w:vertAlign w:val="superscript"/>
                <w:lang w:val="en-GB"/>
              </w:rPr>
              <w:t>o</w:t>
            </w:r>
            <w:r w:rsidRPr="00582808">
              <w:rPr>
                <w:szCs w:val="24"/>
                <w:lang w:val="en-GB"/>
              </w:rPr>
              <w:t>C</w:t>
            </w:r>
          </w:p>
        </w:tc>
      </w:tr>
      <w:tr w:rsidR="00C20C12" w:rsidRPr="00582808" w14:paraId="1E0D7F2A" w14:textId="77777777" w:rsidTr="00D568D7">
        <w:tc>
          <w:tcPr>
            <w:tcW w:w="1097" w:type="dxa"/>
            <w:vMerge/>
            <w:tcBorders>
              <w:top w:val="nil"/>
              <w:left w:val="nil"/>
              <w:bottom w:val="nil"/>
              <w:right w:val="nil"/>
            </w:tcBorders>
          </w:tcPr>
          <w:p w14:paraId="34A67C47" w14:textId="77777777" w:rsidR="00C20C12" w:rsidRPr="00582808" w:rsidRDefault="00C20C12" w:rsidP="00D568D7">
            <w:pPr>
              <w:rPr>
                <w:bCs/>
                <w:szCs w:val="24"/>
                <w:lang w:val="en-GB"/>
              </w:rPr>
            </w:pPr>
          </w:p>
        </w:tc>
        <w:tc>
          <w:tcPr>
            <w:tcW w:w="2341" w:type="dxa"/>
            <w:tcBorders>
              <w:top w:val="nil"/>
              <w:left w:val="nil"/>
              <w:bottom w:val="nil"/>
              <w:right w:val="nil"/>
            </w:tcBorders>
          </w:tcPr>
          <w:p w14:paraId="71FA71BA" w14:textId="77777777" w:rsidR="00C20C12" w:rsidRPr="00582808" w:rsidRDefault="00C20C12" w:rsidP="00D568D7">
            <w:pPr>
              <w:ind w:hanging="106"/>
              <w:rPr>
                <w:bCs/>
                <w:szCs w:val="24"/>
                <w:lang w:val="en-GB"/>
              </w:rPr>
            </w:pPr>
            <w:proofErr w:type="spellStart"/>
            <w:r w:rsidRPr="00582808">
              <w:rPr>
                <w:bCs/>
                <w:szCs w:val="24"/>
                <w:lang w:val="en-GB"/>
              </w:rPr>
              <w:t>Arroket</w:t>
            </w:r>
            <w:proofErr w:type="spellEnd"/>
            <w:r w:rsidRPr="00582808">
              <w:rPr>
                <w:bCs/>
                <w:szCs w:val="24"/>
                <w:lang w:val="en-GB"/>
              </w:rPr>
              <w:t xml:space="preserve"> Estate (</w:t>
            </w:r>
            <w:proofErr w:type="spellStart"/>
            <w:r w:rsidRPr="00582808">
              <w:rPr>
                <w:bCs/>
                <w:szCs w:val="24"/>
                <w:lang w:val="en-GB"/>
              </w:rPr>
              <w:t>Sotik</w:t>
            </w:r>
            <w:proofErr w:type="spellEnd"/>
            <w:r w:rsidRPr="00582808">
              <w:rPr>
                <w:bCs/>
                <w:szCs w:val="24"/>
                <w:lang w:val="en-GB"/>
              </w:rPr>
              <w:t xml:space="preserve">) </w:t>
            </w:r>
          </w:p>
        </w:tc>
        <w:tc>
          <w:tcPr>
            <w:tcW w:w="1078" w:type="dxa"/>
            <w:tcBorders>
              <w:top w:val="nil"/>
              <w:left w:val="nil"/>
              <w:bottom w:val="nil"/>
              <w:right w:val="nil"/>
            </w:tcBorders>
          </w:tcPr>
          <w:p w14:paraId="2FE9E6C8" w14:textId="77777777" w:rsidR="00C20C12" w:rsidRPr="00582808" w:rsidRDefault="00C20C12" w:rsidP="00D568D7">
            <w:pPr>
              <w:jc w:val="center"/>
              <w:rPr>
                <w:bCs/>
                <w:szCs w:val="24"/>
                <w:lang w:val="en-GB"/>
              </w:rPr>
            </w:pPr>
            <w:r w:rsidRPr="00582808">
              <w:rPr>
                <w:szCs w:val="24"/>
                <w:lang w:val="en-GB"/>
              </w:rPr>
              <w:t>0</w:t>
            </w:r>
            <w:r w:rsidRPr="00582808">
              <w:rPr>
                <w:szCs w:val="24"/>
                <w:vertAlign w:val="superscript"/>
                <w:lang w:val="en-GB"/>
              </w:rPr>
              <w:t xml:space="preserve">o </w:t>
            </w:r>
            <w:r w:rsidRPr="00582808">
              <w:rPr>
                <w:szCs w:val="24"/>
                <w:lang w:val="en-GB"/>
              </w:rPr>
              <w:t>36’S</w:t>
            </w:r>
          </w:p>
        </w:tc>
        <w:tc>
          <w:tcPr>
            <w:tcW w:w="1203" w:type="dxa"/>
            <w:tcBorders>
              <w:top w:val="nil"/>
              <w:left w:val="nil"/>
              <w:bottom w:val="nil"/>
              <w:right w:val="nil"/>
            </w:tcBorders>
          </w:tcPr>
          <w:p w14:paraId="3B474406" w14:textId="77777777" w:rsidR="00C20C12" w:rsidRPr="00582808" w:rsidRDefault="00C20C12" w:rsidP="00D568D7">
            <w:pPr>
              <w:jc w:val="center"/>
              <w:rPr>
                <w:bCs/>
                <w:szCs w:val="24"/>
                <w:lang w:val="en-GB"/>
              </w:rPr>
            </w:pPr>
            <w:r w:rsidRPr="00582808">
              <w:rPr>
                <w:szCs w:val="24"/>
                <w:lang w:val="en-GB"/>
              </w:rPr>
              <w:t>35</w:t>
            </w:r>
            <w:r w:rsidRPr="00582808">
              <w:rPr>
                <w:szCs w:val="24"/>
                <w:vertAlign w:val="superscript"/>
                <w:lang w:val="en-GB"/>
              </w:rPr>
              <w:t>o</w:t>
            </w:r>
            <w:r w:rsidRPr="00582808">
              <w:rPr>
                <w:szCs w:val="24"/>
                <w:lang w:val="en-GB"/>
              </w:rPr>
              <w:t xml:space="preserve"> 04’E</w:t>
            </w:r>
          </w:p>
        </w:tc>
        <w:tc>
          <w:tcPr>
            <w:tcW w:w="1684" w:type="dxa"/>
            <w:tcBorders>
              <w:top w:val="nil"/>
              <w:left w:val="nil"/>
              <w:bottom w:val="nil"/>
              <w:right w:val="nil"/>
            </w:tcBorders>
          </w:tcPr>
          <w:p w14:paraId="38096AF4" w14:textId="77777777" w:rsidR="00C20C12" w:rsidRPr="00582808" w:rsidRDefault="00C20C12" w:rsidP="00D568D7">
            <w:pPr>
              <w:jc w:val="center"/>
              <w:rPr>
                <w:bCs/>
                <w:szCs w:val="24"/>
                <w:lang w:val="en-GB"/>
              </w:rPr>
            </w:pPr>
            <w:r w:rsidRPr="00582808">
              <w:rPr>
                <w:szCs w:val="24"/>
                <w:lang w:val="en-GB"/>
              </w:rPr>
              <w:t>1800m</w:t>
            </w:r>
          </w:p>
        </w:tc>
        <w:tc>
          <w:tcPr>
            <w:tcW w:w="1190" w:type="dxa"/>
            <w:tcBorders>
              <w:top w:val="nil"/>
              <w:left w:val="nil"/>
              <w:bottom w:val="nil"/>
              <w:right w:val="nil"/>
            </w:tcBorders>
          </w:tcPr>
          <w:p w14:paraId="5C58E523" w14:textId="77777777" w:rsidR="00C20C12" w:rsidRPr="00582808" w:rsidRDefault="00C20C12" w:rsidP="00D568D7">
            <w:pPr>
              <w:jc w:val="center"/>
              <w:rPr>
                <w:bCs/>
                <w:szCs w:val="24"/>
                <w:lang w:val="en-GB"/>
              </w:rPr>
            </w:pPr>
            <w:r w:rsidRPr="00582808">
              <w:rPr>
                <w:szCs w:val="24"/>
                <w:lang w:val="en-GB"/>
              </w:rPr>
              <w:t>2000mm</w:t>
            </w:r>
          </w:p>
        </w:tc>
        <w:tc>
          <w:tcPr>
            <w:tcW w:w="1474" w:type="dxa"/>
            <w:tcBorders>
              <w:top w:val="nil"/>
              <w:left w:val="nil"/>
              <w:bottom w:val="nil"/>
              <w:right w:val="nil"/>
            </w:tcBorders>
          </w:tcPr>
          <w:p w14:paraId="595B4907" w14:textId="77777777" w:rsidR="00C20C12" w:rsidRPr="00582808" w:rsidRDefault="00C20C12" w:rsidP="00D568D7">
            <w:pPr>
              <w:jc w:val="center"/>
              <w:rPr>
                <w:bCs/>
                <w:szCs w:val="24"/>
                <w:lang w:val="en-GB"/>
              </w:rPr>
            </w:pPr>
            <w:r w:rsidRPr="00582808">
              <w:rPr>
                <w:szCs w:val="24"/>
                <w:lang w:val="en-GB"/>
              </w:rPr>
              <w:t>20.5</w:t>
            </w:r>
            <w:r w:rsidRPr="00582808">
              <w:rPr>
                <w:szCs w:val="24"/>
                <w:vertAlign w:val="superscript"/>
                <w:lang w:val="en-GB"/>
              </w:rPr>
              <w:t>o</w:t>
            </w:r>
            <w:r w:rsidRPr="00582808">
              <w:rPr>
                <w:szCs w:val="24"/>
                <w:lang w:val="en-GB"/>
              </w:rPr>
              <w:t>C</w:t>
            </w:r>
          </w:p>
        </w:tc>
      </w:tr>
      <w:tr w:rsidR="00C20C12" w:rsidRPr="00582808" w14:paraId="79F4F7AE" w14:textId="77777777" w:rsidTr="00D568D7">
        <w:tc>
          <w:tcPr>
            <w:tcW w:w="1097" w:type="dxa"/>
            <w:vMerge w:val="restart"/>
            <w:tcBorders>
              <w:top w:val="nil"/>
              <w:left w:val="nil"/>
              <w:bottom w:val="nil"/>
              <w:right w:val="nil"/>
            </w:tcBorders>
          </w:tcPr>
          <w:p w14:paraId="06D43E23" w14:textId="77777777" w:rsidR="00C20C12" w:rsidRPr="00582808" w:rsidRDefault="00C20C12" w:rsidP="00D568D7">
            <w:pPr>
              <w:rPr>
                <w:bCs/>
                <w:szCs w:val="24"/>
                <w:lang w:val="en-GB"/>
              </w:rPr>
            </w:pPr>
            <w:r w:rsidRPr="00582808">
              <w:rPr>
                <w:bCs/>
                <w:szCs w:val="24"/>
                <w:lang w:val="en-GB"/>
              </w:rPr>
              <w:t>Tanzania</w:t>
            </w:r>
          </w:p>
        </w:tc>
        <w:tc>
          <w:tcPr>
            <w:tcW w:w="2341" w:type="dxa"/>
            <w:tcBorders>
              <w:top w:val="nil"/>
              <w:left w:val="nil"/>
              <w:bottom w:val="nil"/>
              <w:right w:val="nil"/>
            </w:tcBorders>
          </w:tcPr>
          <w:p w14:paraId="176069F5" w14:textId="77777777" w:rsidR="00C20C12" w:rsidRPr="00582808" w:rsidRDefault="00C20C12" w:rsidP="00D568D7">
            <w:pPr>
              <w:rPr>
                <w:bCs/>
                <w:szCs w:val="24"/>
                <w:lang w:val="en-GB"/>
              </w:rPr>
            </w:pPr>
            <w:proofErr w:type="spellStart"/>
            <w:r w:rsidRPr="00582808">
              <w:rPr>
                <w:bCs/>
                <w:szCs w:val="24"/>
                <w:lang w:val="en-GB"/>
              </w:rPr>
              <w:t>Maruku</w:t>
            </w:r>
            <w:proofErr w:type="spellEnd"/>
            <w:r w:rsidRPr="00582808">
              <w:rPr>
                <w:bCs/>
                <w:szCs w:val="24"/>
                <w:lang w:val="en-GB"/>
              </w:rPr>
              <w:t xml:space="preserve"> Tea Estate</w:t>
            </w:r>
          </w:p>
        </w:tc>
        <w:tc>
          <w:tcPr>
            <w:tcW w:w="1078" w:type="dxa"/>
            <w:tcBorders>
              <w:top w:val="nil"/>
              <w:left w:val="nil"/>
              <w:bottom w:val="nil"/>
              <w:right w:val="nil"/>
            </w:tcBorders>
          </w:tcPr>
          <w:p w14:paraId="68CD9A0B" w14:textId="77777777" w:rsidR="00C20C12" w:rsidRPr="00582808" w:rsidRDefault="00C20C12" w:rsidP="00D568D7">
            <w:pPr>
              <w:jc w:val="center"/>
              <w:rPr>
                <w:bCs/>
                <w:szCs w:val="24"/>
                <w:lang w:val="en-GB"/>
              </w:rPr>
            </w:pPr>
            <w:r w:rsidRPr="00582808">
              <w:rPr>
                <w:szCs w:val="24"/>
                <w:lang w:val="en-GB"/>
              </w:rPr>
              <w:t>1º23’ S</w:t>
            </w:r>
          </w:p>
        </w:tc>
        <w:tc>
          <w:tcPr>
            <w:tcW w:w="1203" w:type="dxa"/>
            <w:tcBorders>
              <w:top w:val="nil"/>
              <w:left w:val="nil"/>
              <w:bottom w:val="nil"/>
              <w:right w:val="nil"/>
            </w:tcBorders>
          </w:tcPr>
          <w:p w14:paraId="329B811F" w14:textId="77777777" w:rsidR="00C20C12" w:rsidRPr="00582808" w:rsidRDefault="00C20C12" w:rsidP="00D568D7">
            <w:pPr>
              <w:jc w:val="center"/>
              <w:rPr>
                <w:bCs/>
                <w:szCs w:val="24"/>
                <w:lang w:val="en-GB"/>
              </w:rPr>
            </w:pPr>
            <w:r w:rsidRPr="00582808">
              <w:rPr>
                <w:szCs w:val="24"/>
                <w:lang w:val="en-GB"/>
              </w:rPr>
              <w:t>31º 45’E</w:t>
            </w:r>
          </w:p>
        </w:tc>
        <w:tc>
          <w:tcPr>
            <w:tcW w:w="1684" w:type="dxa"/>
            <w:tcBorders>
              <w:top w:val="nil"/>
              <w:left w:val="nil"/>
              <w:bottom w:val="nil"/>
              <w:right w:val="nil"/>
            </w:tcBorders>
          </w:tcPr>
          <w:p w14:paraId="12B55609" w14:textId="77777777" w:rsidR="00C20C12" w:rsidRPr="00582808" w:rsidRDefault="00C20C12" w:rsidP="00D568D7">
            <w:pPr>
              <w:jc w:val="center"/>
              <w:rPr>
                <w:bCs/>
                <w:szCs w:val="24"/>
                <w:lang w:val="en-GB"/>
              </w:rPr>
            </w:pPr>
            <w:r w:rsidRPr="00582808">
              <w:rPr>
                <w:szCs w:val="24"/>
                <w:lang w:val="en-GB"/>
              </w:rPr>
              <w:t>1488m</w:t>
            </w:r>
          </w:p>
        </w:tc>
        <w:tc>
          <w:tcPr>
            <w:tcW w:w="1190" w:type="dxa"/>
            <w:tcBorders>
              <w:top w:val="nil"/>
              <w:left w:val="nil"/>
              <w:bottom w:val="nil"/>
              <w:right w:val="nil"/>
            </w:tcBorders>
          </w:tcPr>
          <w:p w14:paraId="51B24D97" w14:textId="77777777" w:rsidR="00C20C12" w:rsidRPr="00582808" w:rsidRDefault="00C20C12" w:rsidP="00D568D7">
            <w:pPr>
              <w:jc w:val="center"/>
              <w:rPr>
                <w:bCs/>
                <w:szCs w:val="24"/>
                <w:lang w:val="en-GB"/>
              </w:rPr>
            </w:pPr>
            <w:r w:rsidRPr="00582808">
              <w:rPr>
                <w:szCs w:val="24"/>
                <w:lang w:val="en-GB"/>
              </w:rPr>
              <w:t>2100mm</w:t>
            </w:r>
          </w:p>
        </w:tc>
        <w:tc>
          <w:tcPr>
            <w:tcW w:w="1474" w:type="dxa"/>
            <w:tcBorders>
              <w:top w:val="nil"/>
              <w:left w:val="nil"/>
              <w:bottom w:val="nil"/>
              <w:right w:val="nil"/>
            </w:tcBorders>
          </w:tcPr>
          <w:p w14:paraId="40578E25" w14:textId="77777777" w:rsidR="00C20C12" w:rsidRPr="00582808" w:rsidRDefault="00C20C12" w:rsidP="00D568D7">
            <w:pPr>
              <w:jc w:val="center"/>
              <w:rPr>
                <w:bCs/>
                <w:szCs w:val="24"/>
                <w:lang w:val="en-GB"/>
              </w:rPr>
            </w:pPr>
            <w:r w:rsidRPr="00582808">
              <w:rPr>
                <w:szCs w:val="24"/>
                <w:lang w:val="en-GB"/>
              </w:rPr>
              <w:t>19.5</w:t>
            </w:r>
            <w:r w:rsidRPr="00582808">
              <w:rPr>
                <w:szCs w:val="24"/>
                <w:vertAlign w:val="superscript"/>
                <w:lang w:val="en-GB"/>
              </w:rPr>
              <w:t>o</w:t>
            </w:r>
            <w:r w:rsidRPr="00582808">
              <w:rPr>
                <w:szCs w:val="24"/>
                <w:lang w:val="en-GB"/>
              </w:rPr>
              <w:t>C</w:t>
            </w:r>
          </w:p>
        </w:tc>
      </w:tr>
      <w:tr w:rsidR="00C20C12" w:rsidRPr="00582808" w14:paraId="513446EC" w14:textId="77777777" w:rsidTr="00D568D7">
        <w:tc>
          <w:tcPr>
            <w:tcW w:w="1097" w:type="dxa"/>
            <w:vMerge/>
            <w:tcBorders>
              <w:top w:val="nil"/>
              <w:left w:val="nil"/>
              <w:bottom w:val="nil"/>
              <w:right w:val="nil"/>
            </w:tcBorders>
          </w:tcPr>
          <w:p w14:paraId="45CED109" w14:textId="77777777" w:rsidR="00C20C12" w:rsidRPr="00582808" w:rsidRDefault="00C20C12" w:rsidP="00D568D7">
            <w:pPr>
              <w:rPr>
                <w:bCs/>
                <w:szCs w:val="24"/>
                <w:lang w:val="en-GB"/>
              </w:rPr>
            </w:pPr>
          </w:p>
        </w:tc>
        <w:tc>
          <w:tcPr>
            <w:tcW w:w="2341" w:type="dxa"/>
            <w:tcBorders>
              <w:top w:val="nil"/>
              <w:left w:val="nil"/>
              <w:bottom w:val="nil"/>
              <w:right w:val="nil"/>
            </w:tcBorders>
          </w:tcPr>
          <w:p w14:paraId="2A3625CE" w14:textId="77777777" w:rsidR="00C20C12" w:rsidRPr="00582808" w:rsidRDefault="00C20C12" w:rsidP="00D568D7">
            <w:pPr>
              <w:rPr>
                <w:bCs/>
                <w:szCs w:val="24"/>
                <w:lang w:val="en-GB"/>
              </w:rPr>
            </w:pPr>
            <w:proofErr w:type="spellStart"/>
            <w:r w:rsidRPr="00582808">
              <w:rPr>
                <w:bCs/>
                <w:szCs w:val="24"/>
                <w:lang w:val="en-GB"/>
              </w:rPr>
              <w:t>Katoke</w:t>
            </w:r>
            <w:proofErr w:type="spellEnd"/>
            <w:r w:rsidRPr="00582808">
              <w:rPr>
                <w:bCs/>
                <w:szCs w:val="24"/>
                <w:lang w:val="en-GB"/>
              </w:rPr>
              <w:t xml:space="preserve"> Tea Estate</w:t>
            </w:r>
          </w:p>
        </w:tc>
        <w:tc>
          <w:tcPr>
            <w:tcW w:w="1078" w:type="dxa"/>
            <w:tcBorders>
              <w:top w:val="nil"/>
              <w:left w:val="nil"/>
              <w:bottom w:val="nil"/>
              <w:right w:val="nil"/>
            </w:tcBorders>
          </w:tcPr>
          <w:p w14:paraId="7A551A03" w14:textId="77777777" w:rsidR="00C20C12" w:rsidRPr="00582808" w:rsidRDefault="00C20C12" w:rsidP="00D568D7">
            <w:pPr>
              <w:jc w:val="center"/>
              <w:rPr>
                <w:bCs/>
                <w:szCs w:val="24"/>
                <w:lang w:val="en-GB"/>
              </w:rPr>
            </w:pPr>
            <w:r w:rsidRPr="00582808">
              <w:rPr>
                <w:szCs w:val="24"/>
                <w:lang w:val="en-GB"/>
              </w:rPr>
              <w:t>1º 36’S</w:t>
            </w:r>
          </w:p>
        </w:tc>
        <w:tc>
          <w:tcPr>
            <w:tcW w:w="1203" w:type="dxa"/>
            <w:tcBorders>
              <w:top w:val="nil"/>
              <w:left w:val="nil"/>
              <w:bottom w:val="nil"/>
              <w:right w:val="nil"/>
            </w:tcBorders>
          </w:tcPr>
          <w:p w14:paraId="2DD3DE8D" w14:textId="77777777" w:rsidR="00C20C12" w:rsidRPr="00582808" w:rsidRDefault="00C20C12" w:rsidP="00D568D7">
            <w:pPr>
              <w:jc w:val="center"/>
              <w:rPr>
                <w:bCs/>
                <w:szCs w:val="24"/>
                <w:lang w:val="en-GB"/>
              </w:rPr>
            </w:pPr>
            <w:r w:rsidRPr="00582808">
              <w:rPr>
                <w:szCs w:val="24"/>
                <w:lang w:val="en-GB"/>
              </w:rPr>
              <w:t>31º 41’E</w:t>
            </w:r>
          </w:p>
        </w:tc>
        <w:tc>
          <w:tcPr>
            <w:tcW w:w="1684" w:type="dxa"/>
            <w:tcBorders>
              <w:top w:val="nil"/>
              <w:left w:val="nil"/>
              <w:bottom w:val="nil"/>
              <w:right w:val="nil"/>
            </w:tcBorders>
          </w:tcPr>
          <w:p w14:paraId="340D8BA2" w14:textId="77777777" w:rsidR="00C20C12" w:rsidRPr="00582808" w:rsidRDefault="00C20C12" w:rsidP="00D568D7">
            <w:pPr>
              <w:jc w:val="center"/>
              <w:rPr>
                <w:bCs/>
                <w:szCs w:val="24"/>
                <w:lang w:val="en-GB"/>
              </w:rPr>
            </w:pPr>
            <w:r w:rsidRPr="00582808">
              <w:rPr>
                <w:szCs w:val="24"/>
                <w:lang w:val="en-GB"/>
              </w:rPr>
              <w:t>1217m</w:t>
            </w:r>
          </w:p>
        </w:tc>
        <w:tc>
          <w:tcPr>
            <w:tcW w:w="1190" w:type="dxa"/>
            <w:tcBorders>
              <w:top w:val="nil"/>
              <w:left w:val="nil"/>
              <w:bottom w:val="nil"/>
              <w:right w:val="nil"/>
            </w:tcBorders>
          </w:tcPr>
          <w:p w14:paraId="06B2997A" w14:textId="77777777" w:rsidR="00C20C12" w:rsidRPr="00582808" w:rsidRDefault="00C20C12" w:rsidP="00D568D7">
            <w:pPr>
              <w:jc w:val="center"/>
              <w:rPr>
                <w:bCs/>
                <w:szCs w:val="24"/>
                <w:lang w:val="en-GB"/>
              </w:rPr>
            </w:pPr>
            <w:r w:rsidRPr="00582808">
              <w:rPr>
                <w:szCs w:val="24"/>
                <w:lang w:val="en-GB"/>
              </w:rPr>
              <w:t>1950mm</w:t>
            </w:r>
          </w:p>
        </w:tc>
        <w:tc>
          <w:tcPr>
            <w:tcW w:w="1474" w:type="dxa"/>
            <w:tcBorders>
              <w:top w:val="nil"/>
              <w:left w:val="nil"/>
              <w:bottom w:val="nil"/>
              <w:right w:val="nil"/>
            </w:tcBorders>
          </w:tcPr>
          <w:p w14:paraId="0CB685B6" w14:textId="77777777" w:rsidR="00C20C12" w:rsidRPr="00582808" w:rsidRDefault="00C20C12" w:rsidP="00D568D7">
            <w:pPr>
              <w:jc w:val="center"/>
              <w:rPr>
                <w:bCs/>
                <w:szCs w:val="24"/>
                <w:lang w:val="en-GB"/>
              </w:rPr>
            </w:pPr>
            <w:r w:rsidRPr="00582808">
              <w:rPr>
                <w:szCs w:val="24"/>
                <w:lang w:val="en-GB"/>
              </w:rPr>
              <w:t>21.5</w:t>
            </w:r>
            <w:r w:rsidRPr="00582808">
              <w:rPr>
                <w:szCs w:val="24"/>
                <w:vertAlign w:val="superscript"/>
                <w:lang w:val="en-GB"/>
              </w:rPr>
              <w:t>o</w:t>
            </w:r>
            <w:r w:rsidRPr="00582808">
              <w:rPr>
                <w:szCs w:val="24"/>
                <w:lang w:val="en-GB"/>
              </w:rPr>
              <w:t>C</w:t>
            </w:r>
          </w:p>
        </w:tc>
      </w:tr>
      <w:tr w:rsidR="00C20C12" w:rsidRPr="00582808" w14:paraId="4BEDF1ED" w14:textId="77777777" w:rsidTr="00D568D7">
        <w:tc>
          <w:tcPr>
            <w:tcW w:w="1097" w:type="dxa"/>
            <w:vMerge w:val="restart"/>
            <w:tcBorders>
              <w:top w:val="nil"/>
              <w:left w:val="nil"/>
              <w:bottom w:val="nil"/>
              <w:right w:val="nil"/>
            </w:tcBorders>
          </w:tcPr>
          <w:p w14:paraId="5D91A13A" w14:textId="77777777" w:rsidR="00C20C12" w:rsidRPr="00582808" w:rsidRDefault="00C20C12" w:rsidP="00D568D7">
            <w:pPr>
              <w:rPr>
                <w:bCs/>
                <w:szCs w:val="24"/>
                <w:lang w:val="en-GB"/>
              </w:rPr>
            </w:pPr>
            <w:r w:rsidRPr="00582808">
              <w:rPr>
                <w:bCs/>
                <w:szCs w:val="24"/>
                <w:lang w:val="en-GB"/>
              </w:rPr>
              <w:t>Rwanda</w:t>
            </w:r>
          </w:p>
        </w:tc>
        <w:tc>
          <w:tcPr>
            <w:tcW w:w="2341" w:type="dxa"/>
            <w:tcBorders>
              <w:top w:val="nil"/>
              <w:left w:val="nil"/>
              <w:bottom w:val="nil"/>
              <w:right w:val="nil"/>
            </w:tcBorders>
          </w:tcPr>
          <w:p w14:paraId="36E31193" w14:textId="77777777" w:rsidR="00C20C12" w:rsidRPr="00582808" w:rsidRDefault="00C20C12" w:rsidP="00D568D7">
            <w:pPr>
              <w:rPr>
                <w:bCs/>
                <w:szCs w:val="24"/>
                <w:lang w:val="en-GB"/>
              </w:rPr>
            </w:pPr>
            <w:proofErr w:type="spellStart"/>
            <w:r w:rsidRPr="00582808">
              <w:rPr>
                <w:bCs/>
                <w:szCs w:val="24"/>
                <w:lang w:val="en-GB"/>
              </w:rPr>
              <w:t>Kitabi</w:t>
            </w:r>
            <w:proofErr w:type="spellEnd"/>
            <w:r w:rsidRPr="00582808">
              <w:rPr>
                <w:bCs/>
                <w:szCs w:val="24"/>
                <w:lang w:val="en-GB"/>
              </w:rPr>
              <w:t xml:space="preserve"> Estate</w:t>
            </w:r>
          </w:p>
        </w:tc>
        <w:tc>
          <w:tcPr>
            <w:tcW w:w="1078" w:type="dxa"/>
            <w:tcBorders>
              <w:top w:val="nil"/>
              <w:left w:val="nil"/>
              <w:bottom w:val="nil"/>
              <w:right w:val="nil"/>
            </w:tcBorders>
          </w:tcPr>
          <w:p w14:paraId="402616A2" w14:textId="77777777" w:rsidR="00C20C12" w:rsidRPr="00582808" w:rsidRDefault="00C20C12" w:rsidP="00D568D7">
            <w:pPr>
              <w:jc w:val="center"/>
              <w:rPr>
                <w:bCs/>
                <w:szCs w:val="24"/>
                <w:lang w:val="en-GB"/>
              </w:rPr>
            </w:pPr>
            <w:r w:rsidRPr="00582808">
              <w:rPr>
                <w:szCs w:val="24"/>
                <w:lang w:val="en-GB"/>
              </w:rPr>
              <w:t>2</w:t>
            </w:r>
            <w:r w:rsidRPr="00582808">
              <w:rPr>
                <w:szCs w:val="24"/>
                <w:vertAlign w:val="superscript"/>
                <w:lang w:val="en-GB"/>
              </w:rPr>
              <w:t>0</w:t>
            </w:r>
            <w:r w:rsidRPr="00582808">
              <w:rPr>
                <w:szCs w:val="24"/>
                <w:lang w:val="en-GB"/>
              </w:rPr>
              <w:t>32’S</w:t>
            </w:r>
          </w:p>
        </w:tc>
        <w:tc>
          <w:tcPr>
            <w:tcW w:w="1203" w:type="dxa"/>
            <w:tcBorders>
              <w:top w:val="nil"/>
              <w:left w:val="nil"/>
              <w:bottom w:val="nil"/>
              <w:right w:val="nil"/>
            </w:tcBorders>
          </w:tcPr>
          <w:p w14:paraId="103F23B7" w14:textId="77777777" w:rsidR="00C20C12" w:rsidRPr="00582808" w:rsidRDefault="00C20C12" w:rsidP="00D568D7">
            <w:pPr>
              <w:jc w:val="center"/>
              <w:rPr>
                <w:bCs/>
                <w:szCs w:val="24"/>
                <w:lang w:val="en-GB"/>
              </w:rPr>
            </w:pPr>
            <w:r w:rsidRPr="00582808">
              <w:rPr>
                <w:szCs w:val="24"/>
                <w:lang w:val="en-GB"/>
              </w:rPr>
              <w:t>29</w:t>
            </w:r>
            <w:r w:rsidRPr="00582808">
              <w:rPr>
                <w:szCs w:val="24"/>
                <w:vertAlign w:val="superscript"/>
                <w:lang w:val="en-GB"/>
              </w:rPr>
              <w:t>0</w:t>
            </w:r>
            <w:r w:rsidRPr="00582808">
              <w:rPr>
                <w:szCs w:val="24"/>
                <w:lang w:val="en-GB"/>
              </w:rPr>
              <w:t>26’E</w:t>
            </w:r>
          </w:p>
        </w:tc>
        <w:tc>
          <w:tcPr>
            <w:tcW w:w="1684" w:type="dxa"/>
            <w:tcBorders>
              <w:top w:val="nil"/>
              <w:left w:val="nil"/>
              <w:bottom w:val="nil"/>
              <w:right w:val="nil"/>
            </w:tcBorders>
          </w:tcPr>
          <w:p w14:paraId="6149D54E" w14:textId="77777777" w:rsidR="00C20C12" w:rsidRPr="00582808" w:rsidRDefault="00C20C12" w:rsidP="00D568D7">
            <w:pPr>
              <w:jc w:val="center"/>
              <w:rPr>
                <w:bCs/>
                <w:szCs w:val="24"/>
                <w:lang w:val="en-GB"/>
              </w:rPr>
            </w:pPr>
            <w:r w:rsidRPr="00582808">
              <w:rPr>
                <w:szCs w:val="24"/>
                <w:lang w:val="en-GB"/>
              </w:rPr>
              <w:t>2231m</w:t>
            </w:r>
          </w:p>
        </w:tc>
        <w:tc>
          <w:tcPr>
            <w:tcW w:w="1190" w:type="dxa"/>
            <w:tcBorders>
              <w:top w:val="nil"/>
              <w:left w:val="nil"/>
              <w:bottom w:val="nil"/>
              <w:right w:val="nil"/>
            </w:tcBorders>
          </w:tcPr>
          <w:p w14:paraId="68890985" w14:textId="77777777" w:rsidR="00C20C12" w:rsidRPr="00582808" w:rsidRDefault="00C20C12" w:rsidP="00D568D7">
            <w:pPr>
              <w:jc w:val="center"/>
              <w:rPr>
                <w:bCs/>
                <w:szCs w:val="24"/>
                <w:lang w:val="en-GB"/>
              </w:rPr>
            </w:pPr>
            <w:r w:rsidRPr="00582808">
              <w:rPr>
                <w:szCs w:val="24"/>
                <w:lang w:val="en-GB"/>
              </w:rPr>
              <w:t>1500mm</w:t>
            </w:r>
          </w:p>
        </w:tc>
        <w:tc>
          <w:tcPr>
            <w:tcW w:w="1474" w:type="dxa"/>
            <w:tcBorders>
              <w:top w:val="nil"/>
              <w:left w:val="nil"/>
              <w:bottom w:val="nil"/>
              <w:right w:val="nil"/>
            </w:tcBorders>
          </w:tcPr>
          <w:p w14:paraId="6C3F1AA4" w14:textId="77777777" w:rsidR="00C20C12" w:rsidRPr="00582808" w:rsidRDefault="00C20C12" w:rsidP="00D568D7">
            <w:pPr>
              <w:jc w:val="center"/>
              <w:rPr>
                <w:bCs/>
                <w:szCs w:val="24"/>
                <w:lang w:val="en-GB"/>
              </w:rPr>
            </w:pPr>
            <w:r w:rsidRPr="00582808">
              <w:rPr>
                <w:szCs w:val="24"/>
                <w:lang w:val="en-GB"/>
              </w:rPr>
              <w:t>23.5</w:t>
            </w:r>
            <w:r w:rsidRPr="00582808">
              <w:rPr>
                <w:szCs w:val="24"/>
                <w:vertAlign w:val="superscript"/>
                <w:lang w:val="en-GB"/>
              </w:rPr>
              <w:t>o</w:t>
            </w:r>
            <w:r w:rsidRPr="00582808">
              <w:rPr>
                <w:szCs w:val="24"/>
                <w:lang w:val="en-GB"/>
              </w:rPr>
              <w:t>C</w:t>
            </w:r>
          </w:p>
        </w:tc>
      </w:tr>
      <w:tr w:rsidR="00C20C12" w:rsidRPr="00582808" w14:paraId="0EFCE6EA" w14:textId="77777777" w:rsidTr="00D568D7">
        <w:tc>
          <w:tcPr>
            <w:tcW w:w="1097" w:type="dxa"/>
            <w:vMerge/>
            <w:tcBorders>
              <w:top w:val="nil"/>
              <w:left w:val="nil"/>
              <w:bottom w:val="single" w:sz="4" w:space="0" w:color="auto"/>
              <w:right w:val="nil"/>
            </w:tcBorders>
          </w:tcPr>
          <w:p w14:paraId="0266DDC1" w14:textId="77777777" w:rsidR="00C20C12" w:rsidRPr="00582808" w:rsidRDefault="00C20C12" w:rsidP="00D568D7">
            <w:pPr>
              <w:rPr>
                <w:bCs/>
                <w:szCs w:val="24"/>
                <w:lang w:val="en-GB"/>
              </w:rPr>
            </w:pPr>
          </w:p>
        </w:tc>
        <w:tc>
          <w:tcPr>
            <w:tcW w:w="2341" w:type="dxa"/>
            <w:tcBorders>
              <w:top w:val="nil"/>
              <w:left w:val="nil"/>
              <w:bottom w:val="single" w:sz="4" w:space="0" w:color="auto"/>
              <w:right w:val="nil"/>
            </w:tcBorders>
          </w:tcPr>
          <w:p w14:paraId="3F55E19F" w14:textId="77777777" w:rsidR="00C20C12" w:rsidRPr="00582808" w:rsidRDefault="00C20C12" w:rsidP="00D568D7">
            <w:pPr>
              <w:rPr>
                <w:bCs/>
                <w:szCs w:val="24"/>
                <w:lang w:val="en-GB"/>
              </w:rPr>
            </w:pPr>
            <w:proofErr w:type="spellStart"/>
            <w:r w:rsidRPr="00582808">
              <w:rPr>
                <w:bCs/>
                <w:szCs w:val="24"/>
                <w:lang w:val="en-GB"/>
              </w:rPr>
              <w:t>Mulindi</w:t>
            </w:r>
            <w:proofErr w:type="spellEnd"/>
            <w:r w:rsidRPr="00582808">
              <w:rPr>
                <w:bCs/>
                <w:szCs w:val="24"/>
                <w:lang w:val="en-GB"/>
              </w:rPr>
              <w:t xml:space="preserve"> Estate</w:t>
            </w:r>
          </w:p>
        </w:tc>
        <w:tc>
          <w:tcPr>
            <w:tcW w:w="1078" w:type="dxa"/>
            <w:tcBorders>
              <w:top w:val="nil"/>
              <w:left w:val="nil"/>
              <w:bottom w:val="single" w:sz="4" w:space="0" w:color="auto"/>
              <w:right w:val="nil"/>
            </w:tcBorders>
          </w:tcPr>
          <w:p w14:paraId="5CBD668E" w14:textId="77777777" w:rsidR="00C20C12" w:rsidRPr="00582808" w:rsidRDefault="00C20C12" w:rsidP="00D568D7">
            <w:pPr>
              <w:jc w:val="center"/>
              <w:rPr>
                <w:bCs/>
                <w:szCs w:val="24"/>
                <w:lang w:val="en-GB"/>
              </w:rPr>
            </w:pPr>
            <w:r w:rsidRPr="00582808">
              <w:rPr>
                <w:szCs w:val="24"/>
                <w:lang w:val="en-GB"/>
              </w:rPr>
              <w:t>1</w:t>
            </w:r>
            <w:r w:rsidRPr="00582808">
              <w:rPr>
                <w:szCs w:val="24"/>
                <w:vertAlign w:val="superscript"/>
                <w:lang w:val="en-GB"/>
              </w:rPr>
              <w:t>0</w:t>
            </w:r>
            <w:r w:rsidRPr="00582808">
              <w:rPr>
                <w:szCs w:val="24"/>
                <w:lang w:val="en-GB"/>
              </w:rPr>
              <w:t>27’S</w:t>
            </w:r>
          </w:p>
        </w:tc>
        <w:tc>
          <w:tcPr>
            <w:tcW w:w="1203" w:type="dxa"/>
            <w:tcBorders>
              <w:top w:val="nil"/>
              <w:left w:val="nil"/>
              <w:bottom w:val="single" w:sz="4" w:space="0" w:color="auto"/>
              <w:right w:val="nil"/>
            </w:tcBorders>
          </w:tcPr>
          <w:p w14:paraId="6914459A" w14:textId="77777777" w:rsidR="00C20C12" w:rsidRPr="00582808" w:rsidRDefault="00C20C12" w:rsidP="00D568D7">
            <w:pPr>
              <w:jc w:val="center"/>
              <w:rPr>
                <w:bCs/>
                <w:szCs w:val="24"/>
                <w:lang w:val="en-GB"/>
              </w:rPr>
            </w:pPr>
            <w:r w:rsidRPr="00582808">
              <w:rPr>
                <w:szCs w:val="24"/>
                <w:lang w:val="en-GB"/>
              </w:rPr>
              <w:t>30</w:t>
            </w:r>
            <w:r w:rsidRPr="00582808">
              <w:rPr>
                <w:szCs w:val="24"/>
                <w:vertAlign w:val="superscript"/>
                <w:lang w:val="en-GB"/>
              </w:rPr>
              <w:t>0</w:t>
            </w:r>
            <w:r w:rsidRPr="00582808">
              <w:rPr>
                <w:szCs w:val="24"/>
                <w:lang w:val="en-GB"/>
              </w:rPr>
              <w:t>01’E</w:t>
            </w:r>
          </w:p>
        </w:tc>
        <w:tc>
          <w:tcPr>
            <w:tcW w:w="1684" w:type="dxa"/>
            <w:tcBorders>
              <w:top w:val="nil"/>
              <w:left w:val="nil"/>
              <w:bottom w:val="single" w:sz="4" w:space="0" w:color="auto"/>
              <w:right w:val="nil"/>
            </w:tcBorders>
          </w:tcPr>
          <w:p w14:paraId="49BF13FD" w14:textId="77777777" w:rsidR="00C20C12" w:rsidRPr="00582808" w:rsidRDefault="00C20C12" w:rsidP="00D568D7">
            <w:pPr>
              <w:jc w:val="center"/>
              <w:rPr>
                <w:bCs/>
                <w:szCs w:val="24"/>
                <w:lang w:val="en-GB"/>
              </w:rPr>
            </w:pPr>
            <w:r w:rsidRPr="00582808">
              <w:rPr>
                <w:szCs w:val="24"/>
                <w:lang w:val="en-GB"/>
              </w:rPr>
              <w:t>1800m</w:t>
            </w:r>
          </w:p>
        </w:tc>
        <w:tc>
          <w:tcPr>
            <w:tcW w:w="1190" w:type="dxa"/>
            <w:tcBorders>
              <w:top w:val="nil"/>
              <w:left w:val="nil"/>
              <w:bottom w:val="single" w:sz="4" w:space="0" w:color="auto"/>
              <w:right w:val="nil"/>
            </w:tcBorders>
          </w:tcPr>
          <w:p w14:paraId="426EB218" w14:textId="77777777" w:rsidR="00C20C12" w:rsidRPr="00582808" w:rsidRDefault="00C20C12" w:rsidP="00D568D7">
            <w:pPr>
              <w:jc w:val="center"/>
              <w:rPr>
                <w:bCs/>
                <w:szCs w:val="24"/>
                <w:lang w:val="en-GB"/>
              </w:rPr>
            </w:pPr>
            <w:r w:rsidRPr="00582808">
              <w:rPr>
                <w:szCs w:val="24"/>
                <w:lang w:val="en-GB"/>
              </w:rPr>
              <w:t>1400mm</w:t>
            </w:r>
          </w:p>
        </w:tc>
        <w:tc>
          <w:tcPr>
            <w:tcW w:w="1474" w:type="dxa"/>
            <w:tcBorders>
              <w:top w:val="nil"/>
              <w:left w:val="nil"/>
              <w:bottom w:val="single" w:sz="4" w:space="0" w:color="auto"/>
              <w:right w:val="nil"/>
            </w:tcBorders>
          </w:tcPr>
          <w:p w14:paraId="2BB30CC0" w14:textId="77777777" w:rsidR="00C20C12" w:rsidRPr="00582808" w:rsidRDefault="00C20C12" w:rsidP="00D568D7">
            <w:pPr>
              <w:jc w:val="center"/>
              <w:rPr>
                <w:bCs/>
                <w:szCs w:val="24"/>
                <w:lang w:val="en-GB"/>
              </w:rPr>
            </w:pPr>
            <w:r w:rsidRPr="00582808">
              <w:rPr>
                <w:szCs w:val="24"/>
                <w:lang w:val="en-GB"/>
              </w:rPr>
              <w:t>18.5</w:t>
            </w:r>
            <w:r w:rsidRPr="00582808">
              <w:rPr>
                <w:szCs w:val="24"/>
                <w:vertAlign w:val="superscript"/>
                <w:lang w:val="en-GB"/>
              </w:rPr>
              <w:t>o</w:t>
            </w:r>
            <w:r w:rsidRPr="00582808">
              <w:rPr>
                <w:szCs w:val="24"/>
                <w:lang w:val="en-GB"/>
              </w:rPr>
              <w:t>C</w:t>
            </w:r>
          </w:p>
        </w:tc>
      </w:tr>
    </w:tbl>
    <w:p w14:paraId="17334539" w14:textId="77777777" w:rsidR="00C20C12" w:rsidRPr="00582808" w:rsidRDefault="00C20C12" w:rsidP="00C20C12">
      <w:pPr>
        <w:rPr>
          <w:bCs/>
          <w:szCs w:val="24"/>
          <w:lang w:val="en-GB"/>
        </w:rPr>
      </w:pPr>
      <w:r w:rsidRPr="00582808">
        <w:rPr>
          <w:bCs/>
          <w:szCs w:val="24"/>
          <w:lang w:val="en-GB"/>
        </w:rPr>
        <w:lastRenderedPageBreak/>
        <w:t xml:space="preserve">  </w:t>
      </w:r>
    </w:p>
    <w:p w14:paraId="24F3679D" w14:textId="77777777" w:rsidR="00C20C12" w:rsidRPr="00582808" w:rsidRDefault="00C20C12" w:rsidP="00C20C12">
      <w:pPr>
        <w:rPr>
          <w:szCs w:val="24"/>
          <w:lang w:val="en-GB"/>
        </w:rPr>
      </w:pPr>
      <w:r w:rsidRPr="00582808">
        <w:rPr>
          <w:szCs w:val="24"/>
          <w:lang w:val="en-GB"/>
        </w:rPr>
        <w:t xml:space="preserve">Table 2: Soil characteristics at the study sites </w:t>
      </w:r>
    </w:p>
    <w:tbl>
      <w:tblPr>
        <w:tblW w:w="99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791"/>
        <w:gridCol w:w="1221"/>
        <w:gridCol w:w="711"/>
        <w:gridCol w:w="711"/>
        <w:gridCol w:w="711"/>
        <w:gridCol w:w="999"/>
        <w:gridCol w:w="976"/>
        <w:gridCol w:w="2610"/>
      </w:tblGrid>
      <w:tr w:rsidR="00C20C12" w:rsidRPr="00582808" w14:paraId="00E3BA1F" w14:textId="77777777" w:rsidTr="00D568D7">
        <w:tc>
          <w:tcPr>
            <w:tcW w:w="1170" w:type="dxa"/>
            <w:tcBorders>
              <w:top w:val="single" w:sz="4" w:space="0" w:color="auto"/>
              <w:left w:val="nil"/>
              <w:bottom w:val="single" w:sz="4" w:space="0" w:color="auto"/>
              <w:right w:val="nil"/>
            </w:tcBorders>
          </w:tcPr>
          <w:p w14:paraId="28DAA596"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Location</w:t>
            </w:r>
          </w:p>
        </w:tc>
        <w:tc>
          <w:tcPr>
            <w:tcW w:w="791" w:type="dxa"/>
            <w:tcBorders>
              <w:top w:val="single" w:sz="4" w:space="0" w:color="auto"/>
              <w:left w:val="nil"/>
              <w:bottom w:val="single" w:sz="4" w:space="0" w:color="auto"/>
              <w:right w:val="nil"/>
            </w:tcBorders>
          </w:tcPr>
          <w:p w14:paraId="670F4421"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Depth (cm)</w:t>
            </w:r>
          </w:p>
        </w:tc>
        <w:tc>
          <w:tcPr>
            <w:tcW w:w="1221" w:type="dxa"/>
            <w:tcBorders>
              <w:top w:val="single" w:sz="4" w:space="0" w:color="auto"/>
              <w:left w:val="nil"/>
              <w:bottom w:val="single" w:sz="4" w:space="0" w:color="auto"/>
              <w:right w:val="nil"/>
            </w:tcBorders>
          </w:tcPr>
          <w:p w14:paraId="4FB5A19F"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CEC (</w:t>
            </w:r>
            <w:proofErr w:type="spellStart"/>
            <w:r w:rsidRPr="00582808">
              <w:rPr>
                <w:bCs/>
                <w:sz w:val="22"/>
                <w:lang w:val="en-GB"/>
              </w:rPr>
              <w:t>Cmols</w:t>
            </w:r>
            <w:proofErr w:type="spellEnd"/>
            <w:r w:rsidRPr="00582808">
              <w:rPr>
                <w:bCs/>
                <w:sz w:val="22"/>
                <w:lang w:val="en-GB"/>
              </w:rPr>
              <w:t>/kg)</w:t>
            </w:r>
          </w:p>
        </w:tc>
        <w:tc>
          <w:tcPr>
            <w:tcW w:w="711" w:type="dxa"/>
            <w:tcBorders>
              <w:top w:val="single" w:sz="4" w:space="0" w:color="auto"/>
              <w:left w:val="nil"/>
              <w:bottom w:val="single" w:sz="4" w:space="0" w:color="auto"/>
              <w:right w:val="nil"/>
            </w:tcBorders>
          </w:tcPr>
          <w:p w14:paraId="06061F5E"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Sand (%)</w:t>
            </w:r>
          </w:p>
        </w:tc>
        <w:tc>
          <w:tcPr>
            <w:tcW w:w="711" w:type="dxa"/>
            <w:tcBorders>
              <w:top w:val="single" w:sz="4" w:space="0" w:color="auto"/>
              <w:left w:val="nil"/>
              <w:bottom w:val="single" w:sz="4" w:space="0" w:color="auto"/>
              <w:right w:val="nil"/>
            </w:tcBorders>
          </w:tcPr>
          <w:p w14:paraId="33EDFB04"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Clay (%)</w:t>
            </w:r>
          </w:p>
        </w:tc>
        <w:tc>
          <w:tcPr>
            <w:tcW w:w="711" w:type="dxa"/>
            <w:tcBorders>
              <w:top w:val="single" w:sz="4" w:space="0" w:color="auto"/>
              <w:left w:val="nil"/>
              <w:bottom w:val="single" w:sz="4" w:space="0" w:color="auto"/>
              <w:right w:val="nil"/>
            </w:tcBorders>
          </w:tcPr>
          <w:p w14:paraId="4BC3A63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Silt (%)</w:t>
            </w:r>
          </w:p>
        </w:tc>
        <w:tc>
          <w:tcPr>
            <w:tcW w:w="999" w:type="dxa"/>
            <w:tcBorders>
              <w:top w:val="single" w:sz="4" w:space="0" w:color="auto"/>
              <w:left w:val="nil"/>
              <w:bottom w:val="single" w:sz="4" w:space="0" w:color="auto"/>
              <w:right w:val="nil"/>
            </w:tcBorders>
          </w:tcPr>
          <w:p w14:paraId="2BCB6232"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Porosity (%)</w:t>
            </w:r>
          </w:p>
        </w:tc>
        <w:tc>
          <w:tcPr>
            <w:tcW w:w="976" w:type="dxa"/>
            <w:tcBorders>
              <w:top w:val="single" w:sz="4" w:space="0" w:color="auto"/>
              <w:left w:val="nil"/>
              <w:bottom w:val="single" w:sz="4" w:space="0" w:color="auto"/>
              <w:right w:val="nil"/>
            </w:tcBorders>
          </w:tcPr>
          <w:p w14:paraId="3482DB13"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Textural class</w:t>
            </w:r>
          </w:p>
        </w:tc>
        <w:tc>
          <w:tcPr>
            <w:tcW w:w="2610" w:type="dxa"/>
            <w:tcBorders>
              <w:top w:val="single" w:sz="4" w:space="0" w:color="auto"/>
              <w:left w:val="nil"/>
              <w:bottom w:val="single" w:sz="4" w:space="0" w:color="auto"/>
              <w:right w:val="nil"/>
            </w:tcBorders>
          </w:tcPr>
          <w:p w14:paraId="1B1B499D"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Soil description</w:t>
            </w:r>
          </w:p>
        </w:tc>
      </w:tr>
      <w:tr w:rsidR="00C20C12" w:rsidRPr="00582808" w14:paraId="198B815D" w14:textId="77777777" w:rsidTr="00D568D7">
        <w:tc>
          <w:tcPr>
            <w:tcW w:w="1170" w:type="dxa"/>
            <w:vMerge w:val="restart"/>
            <w:tcBorders>
              <w:top w:val="single" w:sz="4" w:space="0" w:color="auto"/>
              <w:left w:val="nil"/>
              <w:bottom w:val="nil"/>
              <w:right w:val="nil"/>
            </w:tcBorders>
          </w:tcPr>
          <w:p w14:paraId="3B67DF93" w14:textId="77777777" w:rsidR="00C20C12" w:rsidRPr="00582808" w:rsidRDefault="00C20C12" w:rsidP="00D568D7">
            <w:pPr>
              <w:tabs>
                <w:tab w:val="left" w:pos="1800"/>
                <w:tab w:val="left" w:pos="1890"/>
                <w:tab w:val="left" w:pos="2160"/>
              </w:tabs>
              <w:jc w:val="left"/>
              <w:rPr>
                <w:b/>
                <w:bCs/>
                <w:sz w:val="22"/>
                <w:lang w:val="en-GB"/>
              </w:rPr>
            </w:pPr>
            <w:proofErr w:type="spellStart"/>
            <w:r w:rsidRPr="00582808">
              <w:rPr>
                <w:sz w:val="22"/>
                <w:lang w:val="en-GB"/>
              </w:rPr>
              <w:t>Timbilil</w:t>
            </w:r>
            <w:proofErr w:type="spellEnd"/>
            <w:r w:rsidRPr="00582808">
              <w:rPr>
                <w:b/>
                <w:bCs/>
                <w:sz w:val="22"/>
                <w:lang w:val="en-GB"/>
              </w:rPr>
              <w:t xml:space="preserve"> </w:t>
            </w:r>
          </w:p>
        </w:tc>
        <w:tc>
          <w:tcPr>
            <w:tcW w:w="791" w:type="dxa"/>
            <w:tcBorders>
              <w:top w:val="single" w:sz="4" w:space="0" w:color="auto"/>
              <w:left w:val="nil"/>
              <w:bottom w:val="nil"/>
              <w:right w:val="nil"/>
            </w:tcBorders>
          </w:tcPr>
          <w:p w14:paraId="1AF8D99B"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0-10</w:t>
            </w:r>
          </w:p>
        </w:tc>
        <w:tc>
          <w:tcPr>
            <w:tcW w:w="1221" w:type="dxa"/>
            <w:tcBorders>
              <w:top w:val="single" w:sz="4" w:space="0" w:color="auto"/>
              <w:left w:val="nil"/>
              <w:bottom w:val="nil"/>
              <w:right w:val="nil"/>
            </w:tcBorders>
          </w:tcPr>
          <w:p w14:paraId="57C0CE06" w14:textId="77777777" w:rsidR="00C20C12" w:rsidRPr="00582808" w:rsidRDefault="00C20C12" w:rsidP="00D568D7">
            <w:pPr>
              <w:tabs>
                <w:tab w:val="left" w:pos="1800"/>
                <w:tab w:val="left" w:pos="1890"/>
                <w:tab w:val="left" w:pos="2160"/>
              </w:tabs>
              <w:jc w:val="left"/>
              <w:rPr>
                <w:b/>
                <w:bCs/>
                <w:sz w:val="22"/>
                <w:lang w:val="en-GB"/>
              </w:rPr>
            </w:pPr>
          </w:p>
        </w:tc>
        <w:tc>
          <w:tcPr>
            <w:tcW w:w="711" w:type="dxa"/>
            <w:tcBorders>
              <w:top w:val="single" w:sz="4" w:space="0" w:color="auto"/>
              <w:left w:val="nil"/>
              <w:bottom w:val="nil"/>
              <w:right w:val="nil"/>
            </w:tcBorders>
          </w:tcPr>
          <w:p w14:paraId="1AAC974C"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41.4</w:t>
            </w:r>
          </w:p>
        </w:tc>
        <w:tc>
          <w:tcPr>
            <w:tcW w:w="711" w:type="dxa"/>
            <w:tcBorders>
              <w:top w:val="single" w:sz="4" w:space="0" w:color="auto"/>
              <w:left w:val="nil"/>
              <w:bottom w:val="nil"/>
              <w:right w:val="nil"/>
            </w:tcBorders>
          </w:tcPr>
          <w:p w14:paraId="6A34ED4A"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49.8</w:t>
            </w:r>
          </w:p>
        </w:tc>
        <w:tc>
          <w:tcPr>
            <w:tcW w:w="711" w:type="dxa"/>
            <w:tcBorders>
              <w:top w:val="single" w:sz="4" w:space="0" w:color="auto"/>
              <w:left w:val="nil"/>
              <w:bottom w:val="nil"/>
              <w:right w:val="nil"/>
            </w:tcBorders>
          </w:tcPr>
          <w:p w14:paraId="0B800FF2"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8.8</w:t>
            </w:r>
          </w:p>
        </w:tc>
        <w:tc>
          <w:tcPr>
            <w:tcW w:w="999" w:type="dxa"/>
            <w:tcBorders>
              <w:top w:val="single" w:sz="4" w:space="0" w:color="auto"/>
              <w:left w:val="nil"/>
              <w:bottom w:val="nil"/>
              <w:right w:val="nil"/>
            </w:tcBorders>
          </w:tcPr>
          <w:p w14:paraId="4AF06525"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37.6</w:t>
            </w:r>
          </w:p>
        </w:tc>
        <w:tc>
          <w:tcPr>
            <w:tcW w:w="976" w:type="dxa"/>
            <w:tcBorders>
              <w:top w:val="single" w:sz="4" w:space="0" w:color="auto"/>
              <w:left w:val="nil"/>
              <w:bottom w:val="nil"/>
              <w:right w:val="nil"/>
            </w:tcBorders>
          </w:tcPr>
          <w:p w14:paraId="0365190F"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C</w:t>
            </w:r>
          </w:p>
        </w:tc>
        <w:tc>
          <w:tcPr>
            <w:tcW w:w="2610" w:type="dxa"/>
            <w:vMerge w:val="restart"/>
            <w:tcBorders>
              <w:top w:val="single" w:sz="4" w:space="0" w:color="auto"/>
              <w:left w:val="nil"/>
              <w:bottom w:val="nil"/>
              <w:right w:val="nil"/>
            </w:tcBorders>
          </w:tcPr>
          <w:p w14:paraId="587EF50B"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 xml:space="preserve">Volcanic dark red, deep, friable clays, a dusky red, top soil, with kaolinite classified </w:t>
            </w:r>
            <w:proofErr w:type="spellStart"/>
            <w:r w:rsidRPr="00582808">
              <w:rPr>
                <w:sz w:val="22"/>
                <w:lang w:val="en-GB"/>
              </w:rPr>
              <w:t>humic</w:t>
            </w:r>
            <w:proofErr w:type="spellEnd"/>
            <w:r w:rsidRPr="00582808">
              <w:rPr>
                <w:sz w:val="22"/>
                <w:lang w:val="en-GB"/>
              </w:rPr>
              <w:t xml:space="preserve"> </w:t>
            </w:r>
            <w:proofErr w:type="spellStart"/>
            <w:r w:rsidRPr="00582808">
              <w:rPr>
                <w:sz w:val="22"/>
                <w:lang w:val="en-GB"/>
              </w:rPr>
              <w:t>nitosols</w:t>
            </w:r>
            <w:proofErr w:type="spellEnd"/>
          </w:p>
        </w:tc>
      </w:tr>
      <w:tr w:rsidR="00C20C12" w:rsidRPr="00582808" w14:paraId="4D9DB3A7" w14:textId="77777777" w:rsidTr="00D568D7">
        <w:tc>
          <w:tcPr>
            <w:tcW w:w="1170" w:type="dxa"/>
            <w:vMerge/>
            <w:tcBorders>
              <w:top w:val="nil"/>
              <w:left w:val="nil"/>
              <w:bottom w:val="nil"/>
              <w:right w:val="nil"/>
            </w:tcBorders>
          </w:tcPr>
          <w:p w14:paraId="17EE8283"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34119822"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10-20</w:t>
            </w:r>
          </w:p>
        </w:tc>
        <w:tc>
          <w:tcPr>
            <w:tcW w:w="1221" w:type="dxa"/>
            <w:tcBorders>
              <w:top w:val="nil"/>
              <w:left w:val="nil"/>
              <w:bottom w:val="nil"/>
              <w:right w:val="nil"/>
            </w:tcBorders>
          </w:tcPr>
          <w:p w14:paraId="22062134"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25.64</w:t>
            </w:r>
          </w:p>
        </w:tc>
        <w:tc>
          <w:tcPr>
            <w:tcW w:w="711" w:type="dxa"/>
            <w:tcBorders>
              <w:top w:val="nil"/>
              <w:left w:val="nil"/>
              <w:bottom w:val="nil"/>
              <w:right w:val="nil"/>
            </w:tcBorders>
          </w:tcPr>
          <w:p w14:paraId="60347AFD"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41.4</w:t>
            </w:r>
          </w:p>
        </w:tc>
        <w:tc>
          <w:tcPr>
            <w:tcW w:w="711" w:type="dxa"/>
            <w:tcBorders>
              <w:top w:val="nil"/>
              <w:left w:val="nil"/>
              <w:bottom w:val="nil"/>
              <w:right w:val="nil"/>
            </w:tcBorders>
          </w:tcPr>
          <w:p w14:paraId="585F3777"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49.8</w:t>
            </w:r>
          </w:p>
        </w:tc>
        <w:tc>
          <w:tcPr>
            <w:tcW w:w="711" w:type="dxa"/>
            <w:tcBorders>
              <w:top w:val="nil"/>
              <w:left w:val="nil"/>
              <w:bottom w:val="nil"/>
              <w:right w:val="nil"/>
            </w:tcBorders>
          </w:tcPr>
          <w:p w14:paraId="57DFBE39"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8.8</w:t>
            </w:r>
          </w:p>
        </w:tc>
        <w:tc>
          <w:tcPr>
            <w:tcW w:w="999" w:type="dxa"/>
            <w:tcBorders>
              <w:top w:val="nil"/>
              <w:left w:val="nil"/>
              <w:bottom w:val="nil"/>
              <w:right w:val="nil"/>
            </w:tcBorders>
          </w:tcPr>
          <w:p w14:paraId="3D91836C"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37.6</w:t>
            </w:r>
          </w:p>
        </w:tc>
        <w:tc>
          <w:tcPr>
            <w:tcW w:w="976" w:type="dxa"/>
            <w:tcBorders>
              <w:top w:val="nil"/>
              <w:left w:val="nil"/>
              <w:bottom w:val="nil"/>
              <w:right w:val="nil"/>
            </w:tcBorders>
          </w:tcPr>
          <w:p w14:paraId="126BA399"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C</w:t>
            </w:r>
          </w:p>
        </w:tc>
        <w:tc>
          <w:tcPr>
            <w:tcW w:w="2610" w:type="dxa"/>
            <w:vMerge/>
            <w:tcBorders>
              <w:top w:val="nil"/>
              <w:left w:val="nil"/>
              <w:bottom w:val="nil"/>
              <w:right w:val="nil"/>
            </w:tcBorders>
          </w:tcPr>
          <w:p w14:paraId="466FE47F"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3F3601AA" w14:textId="77777777" w:rsidTr="00D568D7">
        <w:tc>
          <w:tcPr>
            <w:tcW w:w="1170" w:type="dxa"/>
            <w:vMerge/>
            <w:tcBorders>
              <w:top w:val="nil"/>
              <w:left w:val="nil"/>
              <w:bottom w:val="nil"/>
              <w:right w:val="nil"/>
            </w:tcBorders>
          </w:tcPr>
          <w:p w14:paraId="3601ED81"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03012D8E"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20-30</w:t>
            </w:r>
          </w:p>
        </w:tc>
        <w:tc>
          <w:tcPr>
            <w:tcW w:w="1221" w:type="dxa"/>
            <w:tcBorders>
              <w:top w:val="nil"/>
              <w:left w:val="nil"/>
              <w:bottom w:val="nil"/>
              <w:right w:val="nil"/>
            </w:tcBorders>
          </w:tcPr>
          <w:p w14:paraId="5F3D6332" w14:textId="77777777" w:rsidR="00C20C12" w:rsidRPr="00582808" w:rsidRDefault="00C20C12" w:rsidP="00D568D7">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5113615D"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42.2</w:t>
            </w:r>
          </w:p>
        </w:tc>
        <w:tc>
          <w:tcPr>
            <w:tcW w:w="711" w:type="dxa"/>
            <w:tcBorders>
              <w:top w:val="nil"/>
              <w:left w:val="nil"/>
              <w:bottom w:val="nil"/>
              <w:right w:val="nil"/>
            </w:tcBorders>
          </w:tcPr>
          <w:p w14:paraId="6F8B025A"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44.1</w:t>
            </w:r>
          </w:p>
        </w:tc>
        <w:tc>
          <w:tcPr>
            <w:tcW w:w="711" w:type="dxa"/>
            <w:tcBorders>
              <w:top w:val="nil"/>
              <w:left w:val="nil"/>
              <w:bottom w:val="nil"/>
              <w:right w:val="nil"/>
            </w:tcBorders>
          </w:tcPr>
          <w:p w14:paraId="42E6212B"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13.7</w:t>
            </w:r>
          </w:p>
        </w:tc>
        <w:tc>
          <w:tcPr>
            <w:tcW w:w="999" w:type="dxa"/>
            <w:tcBorders>
              <w:top w:val="nil"/>
              <w:left w:val="nil"/>
              <w:bottom w:val="nil"/>
              <w:right w:val="nil"/>
            </w:tcBorders>
          </w:tcPr>
          <w:p w14:paraId="11934CCF"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45.2</w:t>
            </w:r>
          </w:p>
        </w:tc>
        <w:tc>
          <w:tcPr>
            <w:tcW w:w="976" w:type="dxa"/>
            <w:tcBorders>
              <w:top w:val="nil"/>
              <w:left w:val="nil"/>
              <w:bottom w:val="nil"/>
              <w:right w:val="nil"/>
            </w:tcBorders>
          </w:tcPr>
          <w:p w14:paraId="5AF66109"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C</w:t>
            </w:r>
          </w:p>
        </w:tc>
        <w:tc>
          <w:tcPr>
            <w:tcW w:w="2610" w:type="dxa"/>
            <w:vMerge/>
            <w:tcBorders>
              <w:top w:val="nil"/>
              <w:left w:val="nil"/>
              <w:bottom w:val="nil"/>
              <w:right w:val="nil"/>
            </w:tcBorders>
          </w:tcPr>
          <w:p w14:paraId="38F58D2E"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768C9A7F" w14:textId="77777777" w:rsidTr="00D568D7">
        <w:tc>
          <w:tcPr>
            <w:tcW w:w="1170" w:type="dxa"/>
            <w:vMerge/>
            <w:tcBorders>
              <w:top w:val="nil"/>
              <w:left w:val="nil"/>
              <w:bottom w:val="nil"/>
              <w:right w:val="nil"/>
            </w:tcBorders>
          </w:tcPr>
          <w:p w14:paraId="15EABC70"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694BDAD1"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40-60</w:t>
            </w:r>
          </w:p>
        </w:tc>
        <w:tc>
          <w:tcPr>
            <w:tcW w:w="1221" w:type="dxa"/>
            <w:tcBorders>
              <w:top w:val="nil"/>
              <w:left w:val="nil"/>
              <w:bottom w:val="nil"/>
              <w:right w:val="nil"/>
            </w:tcBorders>
          </w:tcPr>
          <w:p w14:paraId="1E1684BB"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16.27</w:t>
            </w:r>
          </w:p>
        </w:tc>
        <w:tc>
          <w:tcPr>
            <w:tcW w:w="711" w:type="dxa"/>
            <w:tcBorders>
              <w:top w:val="nil"/>
              <w:left w:val="nil"/>
              <w:bottom w:val="nil"/>
              <w:right w:val="nil"/>
            </w:tcBorders>
          </w:tcPr>
          <w:p w14:paraId="60EEB6A0"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38.1</w:t>
            </w:r>
          </w:p>
        </w:tc>
        <w:tc>
          <w:tcPr>
            <w:tcW w:w="711" w:type="dxa"/>
            <w:tcBorders>
              <w:top w:val="nil"/>
              <w:left w:val="nil"/>
              <w:bottom w:val="nil"/>
              <w:right w:val="nil"/>
            </w:tcBorders>
          </w:tcPr>
          <w:p w14:paraId="40E0F6E9"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48.4</w:t>
            </w:r>
          </w:p>
        </w:tc>
        <w:tc>
          <w:tcPr>
            <w:tcW w:w="711" w:type="dxa"/>
            <w:tcBorders>
              <w:top w:val="nil"/>
              <w:left w:val="nil"/>
              <w:bottom w:val="nil"/>
              <w:right w:val="nil"/>
            </w:tcBorders>
          </w:tcPr>
          <w:p w14:paraId="116D19DF"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13.5</w:t>
            </w:r>
          </w:p>
        </w:tc>
        <w:tc>
          <w:tcPr>
            <w:tcW w:w="999" w:type="dxa"/>
            <w:tcBorders>
              <w:top w:val="nil"/>
              <w:left w:val="nil"/>
              <w:bottom w:val="nil"/>
              <w:right w:val="nil"/>
            </w:tcBorders>
          </w:tcPr>
          <w:p w14:paraId="21862F98"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47.0</w:t>
            </w:r>
          </w:p>
        </w:tc>
        <w:tc>
          <w:tcPr>
            <w:tcW w:w="976" w:type="dxa"/>
            <w:tcBorders>
              <w:top w:val="nil"/>
              <w:left w:val="nil"/>
              <w:bottom w:val="nil"/>
              <w:right w:val="nil"/>
            </w:tcBorders>
          </w:tcPr>
          <w:p w14:paraId="33DC9ACF"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C</w:t>
            </w:r>
          </w:p>
        </w:tc>
        <w:tc>
          <w:tcPr>
            <w:tcW w:w="2610" w:type="dxa"/>
            <w:vMerge/>
            <w:tcBorders>
              <w:top w:val="nil"/>
              <w:left w:val="nil"/>
              <w:bottom w:val="nil"/>
              <w:right w:val="nil"/>
            </w:tcBorders>
          </w:tcPr>
          <w:p w14:paraId="312BC0B5"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56DE5142" w14:textId="77777777" w:rsidTr="00D568D7">
        <w:tc>
          <w:tcPr>
            <w:tcW w:w="1170" w:type="dxa"/>
            <w:vMerge w:val="restart"/>
            <w:tcBorders>
              <w:top w:val="nil"/>
              <w:left w:val="nil"/>
              <w:right w:val="nil"/>
            </w:tcBorders>
          </w:tcPr>
          <w:p w14:paraId="0B0FE390" w14:textId="77777777" w:rsidR="00C20C12" w:rsidRPr="00582808" w:rsidRDefault="00C20C12" w:rsidP="00D568D7">
            <w:pPr>
              <w:tabs>
                <w:tab w:val="left" w:pos="1800"/>
                <w:tab w:val="left" w:pos="1890"/>
                <w:tab w:val="left" w:pos="2160"/>
              </w:tabs>
              <w:jc w:val="left"/>
              <w:rPr>
                <w:bCs/>
                <w:sz w:val="22"/>
                <w:lang w:val="en-GB"/>
              </w:rPr>
            </w:pPr>
            <w:proofErr w:type="spellStart"/>
            <w:r w:rsidRPr="00582808">
              <w:rPr>
                <w:bCs/>
                <w:sz w:val="22"/>
                <w:lang w:val="en-GB"/>
              </w:rPr>
              <w:t>Changoi</w:t>
            </w:r>
            <w:proofErr w:type="spellEnd"/>
          </w:p>
        </w:tc>
        <w:tc>
          <w:tcPr>
            <w:tcW w:w="791" w:type="dxa"/>
            <w:tcBorders>
              <w:top w:val="nil"/>
              <w:left w:val="nil"/>
              <w:bottom w:val="nil"/>
              <w:right w:val="nil"/>
            </w:tcBorders>
          </w:tcPr>
          <w:p w14:paraId="7B99D4AA"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0-10</w:t>
            </w:r>
          </w:p>
        </w:tc>
        <w:tc>
          <w:tcPr>
            <w:tcW w:w="1221" w:type="dxa"/>
            <w:tcBorders>
              <w:top w:val="nil"/>
              <w:left w:val="nil"/>
              <w:bottom w:val="nil"/>
              <w:right w:val="nil"/>
            </w:tcBorders>
          </w:tcPr>
          <w:p w14:paraId="5780774A" w14:textId="77777777" w:rsidR="00C20C12" w:rsidRPr="00582808" w:rsidRDefault="00C20C12" w:rsidP="00D568D7">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766D43B2"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23.8</w:t>
            </w:r>
          </w:p>
        </w:tc>
        <w:tc>
          <w:tcPr>
            <w:tcW w:w="711" w:type="dxa"/>
            <w:tcBorders>
              <w:top w:val="nil"/>
              <w:left w:val="nil"/>
              <w:bottom w:val="nil"/>
              <w:right w:val="nil"/>
            </w:tcBorders>
          </w:tcPr>
          <w:p w14:paraId="58CB007E"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68.8</w:t>
            </w:r>
          </w:p>
        </w:tc>
        <w:tc>
          <w:tcPr>
            <w:tcW w:w="711" w:type="dxa"/>
            <w:tcBorders>
              <w:top w:val="nil"/>
              <w:left w:val="nil"/>
              <w:bottom w:val="nil"/>
              <w:right w:val="nil"/>
            </w:tcBorders>
          </w:tcPr>
          <w:p w14:paraId="7EDED349"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7.4</w:t>
            </w:r>
          </w:p>
        </w:tc>
        <w:tc>
          <w:tcPr>
            <w:tcW w:w="999" w:type="dxa"/>
            <w:tcBorders>
              <w:top w:val="nil"/>
              <w:left w:val="nil"/>
              <w:bottom w:val="nil"/>
              <w:right w:val="nil"/>
            </w:tcBorders>
          </w:tcPr>
          <w:p w14:paraId="455C9ED7"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43.3</w:t>
            </w:r>
          </w:p>
        </w:tc>
        <w:tc>
          <w:tcPr>
            <w:tcW w:w="976" w:type="dxa"/>
            <w:tcBorders>
              <w:top w:val="nil"/>
              <w:left w:val="nil"/>
              <w:bottom w:val="nil"/>
              <w:right w:val="nil"/>
            </w:tcBorders>
          </w:tcPr>
          <w:p w14:paraId="0D4679BF"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C</w:t>
            </w:r>
          </w:p>
        </w:tc>
        <w:tc>
          <w:tcPr>
            <w:tcW w:w="2610" w:type="dxa"/>
            <w:vMerge w:val="restart"/>
            <w:tcBorders>
              <w:top w:val="nil"/>
              <w:left w:val="nil"/>
              <w:bottom w:val="nil"/>
              <w:right w:val="nil"/>
            </w:tcBorders>
          </w:tcPr>
          <w:p w14:paraId="63B94D7B"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 xml:space="preserve">Volcanic derived, deep, free draining, dark red with dark reddish top soil, classified as </w:t>
            </w:r>
            <w:proofErr w:type="spellStart"/>
            <w:r w:rsidRPr="00582808">
              <w:rPr>
                <w:sz w:val="22"/>
                <w:lang w:val="en-GB"/>
              </w:rPr>
              <w:t>nitosols</w:t>
            </w:r>
            <w:proofErr w:type="spellEnd"/>
          </w:p>
        </w:tc>
      </w:tr>
      <w:tr w:rsidR="00C20C12" w:rsidRPr="00582808" w14:paraId="52F9B04A" w14:textId="77777777" w:rsidTr="00D568D7">
        <w:tc>
          <w:tcPr>
            <w:tcW w:w="1170" w:type="dxa"/>
            <w:vMerge/>
            <w:tcBorders>
              <w:left w:val="nil"/>
              <w:right w:val="nil"/>
            </w:tcBorders>
          </w:tcPr>
          <w:p w14:paraId="29E02832"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1772CA2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10-20</w:t>
            </w:r>
          </w:p>
        </w:tc>
        <w:tc>
          <w:tcPr>
            <w:tcW w:w="1221" w:type="dxa"/>
            <w:tcBorders>
              <w:top w:val="nil"/>
              <w:left w:val="nil"/>
              <w:bottom w:val="nil"/>
              <w:right w:val="nil"/>
            </w:tcBorders>
          </w:tcPr>
          <w:p w14:paraId="29C0FDCD"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25.42</w:t>
            </w:r>
          </w:p>
        </w:tc>
        <w:tc>
          <w:tcPr>
            <w:tcW w:w="711" w:type="dxa"/>
            <w:tcBorders>
              <w:top w:val="nil"/>
              <w:left w:val="nil"/>
              <w:bottom w:val="nil"/>
              <w:right w:val="nil"/>
            </w:tcBorders>
          </w:tcPr>
          <w:p w14:paraId="6BD56295"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23.8</w:t>
            </w:r>
          </w:p>
        </w:tc>
        <w:tc>
          <w:tcPr>
            <w:tcW w:w="711" w:type="dxa"/>
            <w:tcBorders>
              <w:top w:val="nil"/>
              <w:left w:val="nil"/>
              <w:bottom w:val="nil"/>
              <w:right w:val="nil"/>
            </w:tcBorders>
          </w:tcPr>
          <w:p w14:paraId="7433E869"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68.8</w:t>
            </w:r>
          </w:p>
        </w:tc>
        <w:tc>
          <w:tcPr>
            <w:tcW w:w="711" w:type="dxa"/>
            <w:tcBorders>
              <w:top w:val="nil"/>
              <w:left w:val="nil"/>
              <w:bottom w:val="nil"/>
              <w:right w:val="nil"/>
            </w:tcBorders>
          </w:tcPr>
          <w:p w14:paraId="0667EEC5"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7.4</w:t>
            </w:r>
          </w:p>
        </w:tc>
        <w:tc>
          <w:tcPr>
            <w:tcW w:w="999" w:type="dxa"/>
            <w:tcBorders>
              <w:top w:val="nil"/>
              <w:left w:val="nil"/>
              <w:bottom w:val="nil"/>
              <w:right w:val="nil"/>
            </w:tcBorders>
          </w:tcPr>
          <w:p w14:paraId="5C3FC153"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43.3</w:t>
            </w:r>
          </w:p>
        </w:tc>
        <w:tc>
          <w:tcPr>
            <w:tcW w:w="976" w:type="dxa"/>
            <w:tcBorders>
              <w:top w:val="nil"/>
              <w:left w:val="nil"/>
              <w:bottom w:val="nil"/>
              <w:right w:val="nil"/>
            </w:tcBorders>
          </w:tcPr>
          <w:p w14:paraId="14E86B1E"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C</w:t>
            </w:r>
          </w:p>
        </w:tc>
        <w:tc>
          <w:tcPr>
            <w:tcW w:w="2610" w:type="dxa"/>
            <w:vMerge/>
            <w:tcBorders>
              <w:top w:val="nil"/>
              <w:left w:val="nil"/>
              <w:bottom w:val="nil"/>
              <w:right w:val="nil"/>
            </w:tcBorders>
          </w:tcPr>
          <w:p w14:paraId="336208D5"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7B3729F2" w14:textId="77777777" w:rsidTr="00D568D7">
        <w:tc>
          <w:tcPr>
            <w:tcW w:w="1170" w:type="dxa"/>
            <w:vMerge/>
            <w:tcBorders>
              <w:left w:val="nil"/>
              <w:right w:val="nil"/>
            </w:tcBorders>
          </w:tcPr>
          <w:p w14:paraId="4FECE9B6"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4ECEDB5C"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20-30</w:t>
            </w:r>
          </w:p>
        </w:tc>
        <w:tc>
          <w:tcPr>
            <w:tcW w:w="1221" w:type="dxa"/>
            <w:tcBorders>
              <w:top w:val="nil"/>
              <w:left w:val="nil"/>
              <w:bottom w:val="nil"/>
              <w:right w:val="nil"/>
            </w:tcBorders>
          </w:tcPr>
          <w:p w14:paraId="70C23601" w14:textId="77777777" w:rsidR="00C20C12" w:rsidRPr="00582808" w:rsidRDefault="00C20C12" w:rsidP="00D568D7">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659EBF8B"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17.2</w:t>
            </w:r>
          </w:p>
        </w:tc>
        <w:tc>
          <w:tcPr>
            <w:tcW w:w="711" w:type="dxa"/>
            <w:tcBorders>
              <w:top w:val="nil"/>
              <w:left w:val="nil"/>
              <w:bottom w:val="nil"/>
              <w:right w:val="nil"/>
            </w:tcBorders>
          </w:tcPr>
          <w:p w14:paraId="16272904"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72.1</w:t>
            </w:r>
          </w:p>
        </w:tc>
        <w:tc>
          <w:tcPr>
            <w:tcW w:w="711" w:type="dxa"/>
            <w:tcBorders>
              <w:top w:val="nil"/>
              <w:left w:val="nil"/>
              <w:bottom w:val="nil"/>
              <w:right w:val="nil"/>
            </w:tcBorders>
          </w:tcPr>
          <w:p w14:paraId="775D390B"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10.7</w:t>
            </w:r>
          </w:p>
        </w:tc>
        <w:tc>
          <w:tcPr>
            <w:tcW w:w="999" w:type="dxa"/>
            <w:tcBorders>
              <w:top w:val="nil"/>
              <w:left w:val="nil"/>
              <w:bottom w:val="nil"/>
              <w:right w:val="nil"/>
            </w:tcBorders>
          </w:tcPr>
          <w:p w14:paraId="4E625CD9"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31.7</w:t>
            </w:r>
          </w:p>
        </w:tc>
        <w:tc>
          <w:tcPr>
            <w:tcW w:w="976" w:type="dxa"/>
            <w:tcBorders>
              <w:top w:val="nil"/>
              <w:left w:val="nil"/>
              <w:bottom w:val="nil"/>
              <w:right w:val="nil"/>
            </w:tcBorders>
          </w:tcPr>
          <w:p w14:paraId="2E90C26E"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C</w:t>
            </w:r>
          </w:p>
        </w:tc>
        <w:tc>
          <w:tcPr>
            <w:tcW w:w="2610" w:type="dxa"/>
            <w:vMerge/>
            <w:tcBorders>
              <w:top w:val="nil"/>
              <w:left w:val="nil"/>
              <w:bottom w:val="nil"/>
              <w:right w:val="nil"/>
            </w:tcBorders>
          </w:tcPr>
          <w:p w14:paraId="027FC863"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6086B8A0" w14:textId="77777777" w:rsidTr="00D568D7">
        <w:tc>
          <w:tcPr>
            <w:tcW w:w="1170" w:type="dxa"/>
            <w:vMerge/>
            <w:tcBorders>
              <w:left w:val="nil"/>
              <w:bottom w:val="nil"/>
              <w:right w:val="nil"/>
            </w:tcBorders>
          </w:tcPr>
          <w:p w14:paraId="0E511AA9"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5878859B"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40-60</w:t>
            </w:r>
          </w:p>
        </w:tc>
        <w:tc>
          <w:tcPr>
            <w:tcW w:w="1221" w:type="dxa"/>
            <w:tcBorders>
              <w:top w:val="nil"/>
              <w:left w:val="nil"/>
              <w:bottom w:val="nil"/>
              <w:right w:val="nil"/>
            </w:tcBorders>
          </w:tcPr>
          <w:p w14:paraId="22AA7EB3"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17.34</w:t>
            </w:r>
          </w:p>
        </w:tc>
        <w:tc>
          <w:tcPr>
            <w:tcW w:w="711" w:type="dxa"/>
            <w:tcBorders>
              <w:top w:val="nil"/>
              <w:left w:val="nil"/>
              <w:bottom w:val="nil"/>
              <w:right w:val="nil"/>
            </w:tcBorders>
          </w:tcPr>
          <w:p w14:paraId="01CB6861"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23.1</w:t>
            </w:r>
          </w:p>
        </w:tc>
        <w:tc>
          <w:tcPr>
            <w:tcW w:w="711" w:type="dxa"/>
            <w:tcBorders>
              <w:top w:val="nil"/>
              <w:left w:val="nil"/>
              <w:bottom w:val="nil"/>
              <w:right w:val="nil"/>
            </w:tcBorders>
          </w:tcPr>
          <w:p w14:paraId="7370126C"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67.3</w:t>
            </w:r>
          </w:p>
        </w:tc>
        <w:tc>
          <w:tcPr>
            <w:tcW w:w="711" w:type="dxa"/>
            <w:tcBorders>
              <w:top w:val="nil"/>
              <w:left w:val="nil"/>
              <w:bottom w:val="nil"/>
              <w:right w:val="nil"/>
            </w:tcBorders>
          </w:tcPr>
          <w:p w14:paraId="2D7FBA7D"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9.6</w:t>
            </w:r>
          </w:p>
        </w:tc>
        <w:tc>
          <w:tcPr>
            <w:tcW w:w="999" w:type="dxa"/>
            <w:tcBorders>
              <w:top w:val="nil"/>
              <w:left w:val="nil"/>
              <w:bottom w:val="nil"/>
              <w:right w:val="nil"/>
            </w:tcBorders>
          </w:tcPr>
          <w:p w14:paraId="1822248E"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31.7</w:t>
            </w:r>
          </w:p>
        </w:tc>
        <w:tc>
          <w:tcPr>
            <w:tcW w:w="976" w:type="dxa"/>
            <w:tcBorders>
              <w:top w:val="nil"/>
              <w:left w:val="nil"/>
              <w:bottom w:val="nil"/>
              <w:right w:val="nil"/>
            </w:tcBorders>
          </w:tcPr>
          <w:p w14:paraId="70E11893"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C</w:t>
            </w:r>
          </w:p>
        </w:tc>
        <w:tc>
          <w:tcPr>
            <w:tcW w:w="2610" w:type="dxa"/>
            <w:vMerge/>
            <w:tcBorders>
              <w:top w:val="nil"/>
              <w:left w:val="nil"/>
              <w:bottom w:val="nil"/>
              <w:right w:val="nil"/>
            </w:tcBorders>
          </w:tcPr>
          <w:p w14:paraId="0678BA10"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1A442D98" w14:textId="77777777" w:rsidTr="00D568D7">
        <w:tc>
          <w:tcPr>
            <w:tcW w:w="1170" w:type="dxa"/>
            <w:vMerge w:val="restart"/>
            <w:tcBorders>
              <w:top w:val="nil"/>
              <w:left w:val="nil"/>
              <w:right w:val="nil"/>
            </w:tcBorders>
          </w:tcPr>
          <w:p w14:paraId="2B65B089" w14:textId="77777777" w:rsidR="00C20C12" w:rsidRPr="00582808" w:rsidRDefault="00C20C12" w:rsidP="00D568D7">
            <w:pPr>
              <w:tabs>
                <w:tab w:val="left" w:pos="1800"/>
                <w:tab w:val="left" w:pos="1890"/>
                <w:tab w:val="left" w:pos="2160"/>
              </w:tabs>
              <w:jc w:val="left"/>
              <w:rPr>
                <w:bCs/>
                <w:sz w:val="22"/>
                <w:lang w:val="en-GB"/>
              </w:rPr>
            </w:pPr>
            <w:proofErr w:type="spellStart"/>
            <w:r w:rsidRPr="00582808">
              <w:rPr>
                <w:sz w:val="22"/>
                <w:lang w:val="en-GB"/>
              </w:rPr>
              <w:t>Arroket</w:t>
            </w:r>
            <w:proofErr w:type="spellEnd"/>
          </w:p>
        </w:tc>
        <w:tc>
          <w:tcPr>
            <w:tcW w:w="791" w:type="dxa"/>
            <w:tcBorders>
              <w:top w:val="nil"/>
              <w:left w:val="nil"/>
              <w:bottom w:val="nil"/>
              <w:right w:val="nil"/>
            </w:tcBorders>
          </w:tcPr>
          <w:p w14:paraId="77324C83"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0-10</w:t>
            </w:r>
          </w:p>
        </w:tc>
        <w:tc>
          <w:tcPr>
            <w:tcW w:w="1221" w:type="dxa"/>
            <w:tcBorders>
              <w:top w:val="nil"/>
              <w:left w:val="nil"/>
              <w:bottom w:val="nil"/>
              <w:right w:val="nil"/>
            </w:tcBorders>
          </w:tcPr>
          <w:p w14:paraId="5FAE2823" w14:textId="77777777" w:rsidR="00C20C12" w:rsidRPr="00582808" w:rsidRDefault="00C20C12" w:rsidP="00D568D7">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3746ABF2"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29.8</w:t>
            </w:r>
          </w:p>
        </w:tc>
        <w:tc>
          <w:tcPr>
            <w:tcW w:w="711" w:type="dxa"/>
            <w:tcBorders>
              <w:top w:val="nil"/>
              <w:left w:val="nil"/>
              <w:bottom w:val="nil"/>
              <w:right w:val="nil"/>
            </w:tcBorders>
          </w:tcPr>
          <w:p w14:paraId="2D3F259A"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48.6</w:t>
            </w:r>
          </w:p>
        </w:tc>
        <w:tc>
          <w:tcPr>
            <w:tcW w:w="711" w:type="dxa"/>
            <w:tcBorders>
              <w:top w:val="nil"/>
              <w:left w:val="nil"/>
              <w:bottom w:val="nil"/>
              <w:right w:val="nil"/>
            </w:tcBorders>
          </w:tcPr>
          <w:p w14:paraId="6A9251BF"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21.6</w:t>
            </w:r>
          </w:p>
        </w:tc>
        <w:tc>
          <w:tcPr>
            <w:tcW w:w="999" w:type="dxa"/>
            <w:tcBorders>
              <w:top w:val="nil"/>
              <w:left w:val="nil"/>
              <w:bottom w:val="nil"/>
              <w:right w:val="nil"/>
            </w:tcBorders>
          </w:tcPr>
          <w:p w14:paraId="0A56ED33"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51.3</w:t>
            </w:r>
          </w:p>
        </w:tc>
        <w:tc>
          <w:tcPr>
            <w:tcW w:w="976" w:type="dxa"/>
            <w:tcBorders>
              <w:top w:val="nil"/>
              <w:left w:val="nil"/>
              <w:bottom w:val="nil"/>
              <w:right w:val="nil"/>
            </w:tcBorders>
          </w:tcPr>
          <w:p w14:paraId="43D664B7"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C</w:t>
            </w:r>
          </w:p>
        </w:tc>
        <w:tc>
          <w:tcPr>
            <w:tcW w:w="2610" w:type="dxa"/>
            <w:vMerge w:val="restart"/>
            <w:tcBorders>
              <w:top w:val="nil"/>
              <w:left w:val="nil"/>
              <w:bottom w:val="nil"/>
              <w:right w:val="nil"/>
            </w:tcBorders>
          </w:tcPr>
          <w:p w14:paraId="12E29A3F"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 xml:space="preserve">Dark reddish brown, moderately deep, firm clay, moderately deep, firm clay, loam humic top soil classified as </w:t>
            </w:r>
            <w:proofErr w:type="spellStart"/>
            <w:r w:rsidRPr="00582808">
              <w:rPr>
                <w:sz w:val="22"/>
                <w:lang w:val="en-GB"/>
              </w:rPr>
              <w:t>chromoluvic</w:t>
            </w:r>
            <w:proofErr w:type="spellEnd"/>
            <w:r w:rsidRPr="00582808">
              <w:rPr>
                <w:sz w:val="22"/>
                <w:lang w:val="en-GB"/>
              </w:rPr>
              <w:t xml:space="preserve"> phaeozems</w:t>
            </w:r>
          </w:p>
        </w:tc>
      </w:tr>
      <w:tr w:rsidR="00C20C12" w:rsidRPr="00582808" w14:paraId="7E3365D4" w14:textId="77777777" w:rsidTr="00D568D7">
        <w:tc>
          <w:tcPr>
            <w:tcW w:w="1170" w:type="dxa"/>
            <w:vMerge/>
            <w:tcBorders>
              <w:left w:val="nil"/>
              <w:right w:val="nil"/>
            </w:tcBorders>
          </w:tcPr>
          <w:p w14:paraId="4495D75E"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4373FF0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10-20</w:t>
            </w:r>
          </w:p>
        </w:tc>
        <w:tc>
          <w:tcPr>
            <w:tcW w:w="1221" w:type="dxa"/>
            <w:tcBorders>
              <w:top w:val="nil"/>
              <w:left w:val="nil"/>
              <w:bottom w:val="nil"/>
              <w:right w:val="nil"/>
            </w:tcBorders>
          </w:tcPr>
          <w:p w14:paraId="540A7246"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25.75</w:t>
            </w:r>
          </w:p>
        </w:tc>
        <w:tc>
          <w:tcPr>
            <w:tcW w:w="711" w:type="dxa"/>
            <w:tcBorders>
              <w:top w:val="nil"/>
              <w:left w:val="nil"/>
              <w:bottom w:val="nil"/>
              <w:right w:val="nil"/>
            </w:tcBorders>
          </w:tcPr>
          <w:p w14:paraId="2FCEC803"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29.8</w:t>
            </w:r>
          </w:p>
        </w:tc>
        <w:tc>
          <w:tcPr>
            <w:tcW w:w="711" w:type="dxa"/>
            <w:tcBorders>
              <w:top w:val="nil"/>
              <w:left w:val="nil"/>
              <w:bottom w:val="nil"/>
              <w:right w:val="nil"/>
            </w:tcBorders>
          </w:tcPr>
          <w:p w14:paraId="2ADBFA1A"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48.6</w:t>
            </w:r>
          </w:p>
        </w:tc>
        <w:tc>
          <w:tcPr>
            <w:tcW w:w="711" w:type="dxa"/>
            <w:tcBorders>
              <w:top w:val="nil"/>
              <w:left w:val="nil"/>
              <w:bottom w:val="nil"/>
              <w:right w:val="nil"/>
            </w:tcBorders>
          </w:tcPr>
          <w:p w14:paraId="54167735"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21.6</w:t>
            </w:r>
          </w:p>
        </w:tc>
        <w:tc>
          <w:tcPr>
            <w:tcW w:w="999" w:type="dxa"/>
            <w:tcBorders>
              <w:top w:val="nil"/>
              <w:left w:val="nil"/>
              <w:bottom w:val="nil"/>
              <w:right w:val="nil"/>
            </w:tcBorders>
          </w:tcPr>
          <w:p w14:paraId="7CE81C32"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51.3</w:t>
            </w:r>
          </w:p>
        </w:tc>
        <w:tc>
          <w:tcPr>
            <w:tcW w:w="976" w:type="dxa"/>
            <w:tcBorders>
              <w:top w:val="nil"/>
              <w:left w:val="nil"/>
              <w:bottom w:val="nil"/>
              <w:right w:val="nil"/>
            </w:tcBorders>
          </w:tcPr>
          <w:p w14:paraId="6F8E923D"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C</w:t>
            </w:r>
          </w:p>
        </w:tc>
        <w:tc>
          <w:tcPr>
            <w:tcW w:w="2610" w:type="dxa"/>
            <w:vMerge/>
            <w:tcBorders>
              <w:top w:val="nil"/>
              <w:left w:val="nil"/>
              <w:bottom w:val="nil"/>
              <w:right w:val="nil"/>
            </w:tcBorders>
          </w:tcPr>
          <w:p w14:paraId="4B8D138A"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279AD421" w14:textId="77777777" w:rsidTr="00D568D7">
        <w:tc>
          <w:tcPr>
            <w:tcW w:w="1170" w:type="dxa"/>
            <w:vMerge/>
            <w:tcBorders>
              <w:left w:val="nil"/>
              <w:right w:val="nil"/>
            </w:tcBorders>
          </w:tcPr>
          <w:p w14:paraId="14D667E9"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005D0CB9"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20-30</w:t>
            </w:r>
          </w:p>
        </w:tc>
        <w:tc>
          <w:tcPr>
            <w:tcW w:w="1221" w:type="dxa"/>
            <w:tcBorders>
              <w:top w:val="nil"/>
              <w:left w:val="nil"/>
              <w:bottom w:val="nil"/>
              <w:right w:val="nil"/>
            </w:tcBorders>
          </w:tcPr>
          <w:p w14:paraId="0CBDB5BB" w14:textId="77777777" w:rsidR="00C20C12" w:rsidRPr="00582808" w:rsidRDefault="00C20C12" w:rsidP="00D568D7">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64F173F7"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27.8</w:t>
            </w:r>
          </w:p>
        </w:tc>
        <w:tc>
          <w:tcPr>
            <w:tcW w:w="711" w:type="dxa"/>
            <w:tcBorders>
              <w:top w:val="nil"/>
              <w:left w:val="nil"/>
              <w:bottom w:val="nil"/>
              <w:right w:val="nil"/>
            </w:tcBorders>
          </w:tcPr>
          <w:p w14:paraId="1DFAB951"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49.6</w:t>
            </w:r>
          </w:p>
        </w:tc>
        <w:tc>
          <w:tcPr>
            <w:tcW w:w="711" w:type="dxa"/>
            <w:tcBorders>
              <w:top w:val="nil"/>
              <w:left w:val="nil"/>
              <w:bottom w:val="nil"/>
              <w:right w:val="nil"/>
            </w:tcBorders>
          </w:tcPr>
          <w:p w14:paraId="36A426E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22.6</w:t>
            </w:r>
          </w:p>
        </w:tc>
        <w:tc>
          <w:tcPr>
            <w:tcW w:w="999" w:type="dxa"/>
            <w:tcBorders>
              <w:top w:val="nil"/>
              <w:left w:val="nil"/>
              <w:bottom w:val="nil"/>
              <w:right w:val="nil"/>
            </w:tcBorders>
          </w:tcPr>
          <w:p w14:paraId="52744008"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42.0</w:t>
            </w:r>
          </w:p>
        </w:tc>
        <w:tc>
          <w:tcPr>
            <w:tcW w:w="976" w:type="dxa"/>
            <w:tcBorders>
              <w:top w:val="nil"/>
              <w:left w:val="nil"/>
              <w:bottom w:val="nil"/>
              <w:right w:val="nil"/>
            </w:tcBorders>
          </w:tcPr>
          <w:p w14:paraId="50C958E2"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C</w:t>
            </w:r>
          </w:p>
        </w:tc>
        <w:tc>
          <w:tcPr>
            <w:tcW w:w="2610" w:type="dxa"/>
            <w:vMerge/>
            <w:tcBorders>
              <w:top w:val="nil"/>
              <w:left w:val="nil"/>
              <w:bottom w:val="nil"/>
              <w:right w:val="nil"/>
            </w:tcBorders>
          </w:tcPr>
          <w:p w14:paraId="5763B81B"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03844119" w14:textId="77777777" w:rsidTr="00D568D7">
        <w:tc>
          <w:tcPr>
            <w:tcW w:w="1170" w:type="dxa"/>
            <w:vMerge/>
            <w:tcBorders>
              <w:left w:val="nil"/>
              <w:bottom w:val="nil"/>
              <w:right w:val="nil"/>
            </w:tcBorders>
          </w:tcPr>
          <w:p w14:paraId="79C8B42D"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23B51969"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40-60</w:t>
            </w:r>
          </w:p>
        </w:tc>
        <w:tc>
          <w:tcPr>
            <w:tcW w:w="1221" w:type="dxa"/>
            <w:tcBorders>
              <w:top w:val="nil"/>
              <w:left w:val="nil"/>
              <w:bottom w:val="nil"/>
              <w:right w:val="nil"/>
            </w:tcBorders>
          </w:tcPr>
          <w:p w14:paraId="759C9CBF"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18.13</w:t>
            </w:r>
          </w:p>
        </w:tc>
        <w:tc>
          <w:tcPr>
            <w:tcW w:w="711" w:type="dxa"/>
            <w:tcBorders>
              <w:top w:val="nil"/>
              <w:left w:val="nil"/>
              <w:bottom w:val="nil"/>
              <w:right w:val="nil"/>
            </w:tcBorders>
          </w:tcPr>
          <w:p w14:paraId="14362FCB"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28.2</w:t>
            </w:r>
          </w:p>
        </w:tc>
        <w:tc>
          <w:tcPr>
            <w:tcW w:w="711" w:type="dxa"/>
            <w:tcBorders>
              <w:top w:val="nil"/>
              <w:left w:val="nil"/>
              <w:bottom w:val="nil"/>
              <w:right w:val="nil"/>
            </w:tcBorders>
          </w:tcPr>
          <w:p w14:paraId="7DD44181"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50.2</w:t>
            </w:r>
          </w:p>
        </w:tc>
        <w:tc>
          <w:tcPr>
            <w:tcW w:w="711" w:type="dxa"/>
            <w:tcBorders>
              <w:top w:val="nil"/>
              <w:left w:val="nil"/>
              <w:bottom w:val="nil"/>
              <w:right w:val="nil"/>
            </w:tcBorders>
          </w:tcPr>
          <w:p w14:paraId="52E1EBFF"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21.6</w:t>
            </w:r>
          </w:p>
        </w:tc>
        <w:tc>
          <w:tcPr>
            <w:tcW w:w="999" w:type="dxa"/>
            <w:tcBorders>
              <w:top w:val="nil"/>
              <w:left w:val="nil"/>
              <w:bottom w:val="nil"/>
              <w:right w:val="nil"/>
            </w:tcBorders>
          </w:tcPr>
          <w:p w14:paraId="40277279"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44.0</w:t>
            </w:r>
          </w:p>
        </w:tc>
        <w:tc>
          <w:tcPr>
            <w:tcW w:w="976" w:type="dxa"/>
            <w:tcBorders>
              <w:top w:val="nil"/>
              <w:left w:val="nil"/>
              <w:bottom w:val="nil"/>
              <w:right w:val="nil"/>
            </w:tcBorders>
          </w:tcPr>
          <w:p w14:paraId="445F67D2"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C</w:t>
            </w:r>
          </w:p>
        </w:tc>
        <w:tc>
          <w:tcPr>
            <w:tcW w:w="2610" w:type="dxa"/>
            <w:vMerge/>
            <w:tcBorders>
              <w:top w:val="nil"/>
              <w:left w:val="nil"/>
              <w:bottom w:val="nil"/>
              <w:right w:val="nil"/>
            </w:tcBorders>
          </w:tcPr>
          <w:p w14:paraId="1B1EB14B"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1D55DBFF" w14:textId="77777777" w:rsidTr="00D568D7">
        <w:tc>
          <w:tcPr>
            <w:tcW w:w="1170" w:type="dxa"/>
            <w:vMerge w:val="restart"/>
            <w:tcBorders>
              <w:top w:val="nil"/>
              <w:left w:val="nil"/>
              <w:right w:val="nil"/>
            </w:tcBorders>
          </w:tcPr>
          <w:p w14:paraId="03C20E10" w14:textId="77777777" w:rsidR="00C20C12" w:rsidRPr="00582808" w:rsidRDefault="00C20C12" w:rsidP="00D568D7">
            <w:pPr>
              <w:tabs>
                <w:tab w:val="left" w:pos="1800"/>
                <w:tab w:val="left" w:pos="1890"/>
                <w:tab w:val="left" w:pos="2160"/>
              </w:tabs>
              <w:jc w:val="left"/>
              <w:rPr>
                <w:bCs/>
                <w:sz w:val="22"/>
                <w:lang w:val="en-GB"/>
              </w:rPr>
            </w:pPr>
            <w:proofErr w:type="spellStart"/>
            <w:r w:rsidRPr="00582808">
              <w:rPr>
                <w:sz w:val="22"/>
                <w:lang w:val="en-GB"/>
              </w:rPr>
              <w:t>Kitabi</w:t>
            </w:r>
            <w:proofErr w:type="spellEnd"/>
          </w:p>
        </w:tc>
        <w:tc>
          <w:tcPr>
            <w:tcW w:w="791" w:type="dxa"/>
            <w:tcBorders>
              <w:top w:val="nil"/>
              <w:left w:val="nil"/>
              <w:bottom w:val="nil"/>
              <w:right w:val="nil"/>
            </w:tcBorders>
          </w:tcPr>
          <w:p w14:paraId="46A23535"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0-10</w:t>
            </w:r>
          </w:p>
        </w:tc>
        <w:tc>
          <w:tcPr>
            <w:tcW w:w="1221" w:type="dxa"/>
            <w:tcBorders>
              <w:top w:val="nil"/>
              <w:left w:val="nil"/>
              <w:bottom w:val="nil"/>
              <w:right w:val="nil"/>
            </w:tcBorders>
          </w:tcPr>
          <w:p w14:paraId="57E01156" w14:textId="77777777" w:rsidR="00C20C12" w:rsidRPr="00582808" w:rsidRDefault="00C20C12" w:rsidP="00D568D7">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4A05FD56"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35.9</w:t>
            </w:r>
          </w:p>
        </w:tc>
        <w:tc>
          <w:tcPr>
            <w:tcW w:w="711" w:type="dxa"/>
            <w:tcBorders>
              <w:top w:val="nil"/>
              <w:left w:val="nil"/>
              <w:bottom w:val="nil"/>
              <w:right w:val="nil"/>
            </w:tcBorders>
          </w:tcPr>
          <w:p w14:paraId="62D4B81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36.6</w:t>
            </w:r>
          </w:p>
        </w:tc>
        <w:tc>
          <w:tcPr>
            <w:tcW w:w="711" w:type="dxa"/>
            <w:tcBorders>
              <w:top w:val="nil"/>
              <w:left w:val="nil"/>
              <w:bottom w:val="nil"/>
              <w:right w:val="nil"/>
            </w:tcBorders>
          </w:tcPr>
          <w:p w14:paraId="15A62644"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27.5</w:t>
            </w:r>
          </w:p>
        </w:tc>
        <w:tc>
          <w:tcPr>
            <w:tcW w:w="999" w:type="dxa"/>
            <w:tcBorders>
              <w:top w:val="nil"/>
              <w:left w:val="nil"/>
              <w:bottom w:val="nil"/>
              <w:right w:val="nil"/>
            </w:tcBorders>
          </w:tcPr>
          <w:p w14:paraId="2216BA2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59.9</w:t>
            </w:r>
          </w:p>
        </w:tc>
        <w:tc>
          <w:tcPr>
            <w:tcW w:w="976" w:type="dxa"/>
            <w:tcBorders>
              <w:top w:val="nil"/>
              <w:left w:val="nil"/>
              <w:bottom w:val="nil"/>
              <w:right w:val="nil"/>
            </w:tcBorders>
          </w:tcPr>
          <w:p w14:paraId="5CEF12AC"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SC</w:t>
            </w:r>
          </w:p>
        </w:tc>
        <w:tc>
          <w:tcPr>
            <w:tcW w:w="2610" w:type="dxa"/>
            <w:vMerge w:val="restart"/>
            <w:tcBorders>
              <w:top w:val="nil"/>
              <w:left w:val="nil"/>
              <w:bottom w:val="nil"/>
              <w:right w:val="nil"/>
            </w:tcBorders>
          </w:tcPr>
          <w:p w14:paraId="5AAC4166"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 xml:space="preserve">Dark brown, reddish- brown top soil, clay- rich, classified as </w:t>
            </w:r>
            <w:proofErr w:type="spellStart"/>
            <w:r w:rsidRPr="00582808">
              <w:rPr>
                <w:sz w:val="22"/>
                <w:lang w:val="en-GB"/>
              </w:rPr>
              <w:t>nitosols</w:t>
            </w:r>
            <w:proofErr w:type="spellEnd"/>
          </w:p>
        </w:tc>
      </w:tr>
      <w:tr w:rsidR="00C20C12" w:rsidRPr="00582808" w14:paraId="4F940344" w14:textId="77777777" w:rsidTr="00D568D7">
        <w:tc>
          <w:tcPr>
            <w:tcW w:w="1170" w:type="dxa"/>
            <w:vMerge/>
            <w:tcBorders>
              <w:left w:val="nil"/>
              <w:right w:val="nil"/>
            </w:tcBorders>
          </w:tcPr>
          <w:p w14:paraId="01E5755F"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5AD465AC"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10-20</w:t>
            </w:r>
          </w:p>
        </w:tc>
        <w:tc>
          <w:tcPr>
            <w:tcW w:w="1221" w:type="dxa"/>
            <w:tcBorders>
              <w:top w:val="nil"/>
              <w:left w:val="nil"/>
              <w:bottom w:val="nil"/>
              <w:right w:val="nil"/>
            </w:tcBorders>
          </w:tcPr>
          <w:p w14:paraId="214D5F1D"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36.09</w:t>
            </w:r>
          </w:p>
        </w:tc>
        <w:tc>
          <w:tcPr>
            <w:tcW w:w="711" w:type="dxa"/>
            <w:tcBorders>
              <w:top w:val="nil"/>
              <w:left w:val="nil"/>
              <w:bottom w:val="nil"/>
              <w:right w:val="nil"/>
            </w:tcBorders>
          </w:tcPr>
          <w:p w14:paraId="3046AE08"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35.9</w:t>
            </w:r>
          </w:p>
        </w:tc>
        <w:tc>
          <w:tcPr>
            <w:tcW w:w="711" w:type="dxa"/>
            <w:tcBorders>
              <w:top w:val="nil"/>
              <w:left w:val="nil"/>
              <w:bottom w:val="nil"/>
              <w:right w:val="nil"/>
            </w:tcBorders>
          </w:tcPr>
          <w:p w14:paraId="228F4239"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36.6</w:t>
            </w:r>
          </w:p>
        </w:tc>
        <w:tc>
          <w:tcPr>
            <w:tcW w:w="711" w:type="dxa"/>
            <w:tcBorders>
              <w:top w:val="nil"/>
              <w:left w:val="nil"/>
              <w:bottom w:val="nil"/>
              <w:right w:val="nil"/>
            </w:tcBorders>
          </w:tcPr>
          <w:p w14:paraId="6CEC4BF6"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27.5</w:t>
            </w:r>
          </w:p>
        </w:tc>
        <w:tc>
          <w:tcPr>
            <w:tcW w:w="999" w:type="dxa"/>
            <w:tcBorders>
              <w:top w:val="nil"/>
              <w:left w:val="nil"/>
              <w:bottom w:val="nil"/>
              <w:right w:val="nil"/>
            </w:tcBorders>
          </w:tcPr>
          <w:p w14:paraId="402B129B"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59.9</w:t>
            </w:r>
          </w:p>
        </w:tc>
        <w:tc>
          <w:tcPr>
            <w:tcW w:w="976" w:type="dxa"/>
            <w:tcBorders>
              <w:top w:val="nil"/>
              <w:left w:val="nil"/>
              <w:bottom w:val="nil"/>
              <w:right w:val="nil"/>
            </w:tcBorders>
          </w:tcPr>
          <w:p w14:paraId="4F75900F"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SC</w:t>
            </w:r>
          </w:p>
        </w:tc>
        <w:tc>
          <w:tcPr>
            <w:tcW w:w="2610" w:type="dxa"/>
            <w:vMerge/>
            <w:tcBorders>
              <w:top w:val="nil"/>
              <w:left w:val="nil"/>
              <w:bottom w:val="nil"/>
              <w:right w:val="nil"/>
            </w:tcBorders>
          </w:tcPr>
          <w:p w14:paraId="6C2481CA"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024E5446" w14:textId="77777777" w:rsidTr="00D568D7">
        <w:tc>
          <w:tcPr>
            <w:tcW w:w="1170" w:type="dxa"/>
            <w:vMerge/>
            <w:tcBorders>
              <w:left w:val="nil"/>
              <w:right w:val="nil"/>
            </w:tcBorders>
          </w:tcPr>
          <w:p w14:paraId="7C4E1C4B"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5BA06C38"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20-30</w:t>
            </w:r>
          </w:p>
        </w:tc>
        <w:tc>
          <w:tcPr>
            <w:tcW w:w="1221" w:type="dxa"/>
            <w:tcBorders>
              <w:top w:val="nil"/>
              <w:left w:val="nil"/>
              <w:bottom w:val="nil"/>
              <w:right w:val="nil"/>
            </w:tcBorders>
          </w:tcPr>
          <w:p w14:paraId="34648DAA" w14:textId="77777777" w:rsidR="00C20C12" w:rsidRPr="00582808" w:rsidRDefault="00C20C12" w:rsidP="00D568D7">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109B8D20"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41.8</w:t>
            </w:r>
          </w:p>
        </w:tc>
        <w:tc>
          <w:tcPr>
            <w:tcW w:w="711" w:type="dxa"/>
            <w:tcBorders>
              <w:top w:val="nil"/>
              <w:left w:val="nil"/>
              <w:bottom w:val="nil"/>
              <w:right w:val="nil"/>
            </w:tcBorders>
          </w:tcPr>
          <w:p w14:paraId="3A81BA59"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44.5</w:t>
            </w:r>
          </w:p>
        </w:tc>
        <w:tc>
          <w:tcPr>
            <w:tcW w:w="711" w:type="dxa"/>
            <w:tcBorders>
              <w:top w:val="nil"/>
              <w:left w:val="nil"/>
              <w:bottom w:val="nil"/>
              <w:right w:val="nil"/>
            </w:tcBorders>
          </w:tcPr>
          <w:p w14:paraId="1DD6CB3D"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13.7</w:t>
            </w:r>
          </w:p>
        </w:tc>
        <w:tc>
          <w:tcPr>
            <w:tcW w:w="999" w:type="dxa"/>
            <w:tcBorders>
              <w:top w:val="nil"/>
              <w:left w:val="nil"/>
              <w:bottom w:val="nil"/>
              <w:right w:val="nil"/>
            </w:tcBorders>
          </w:tcPr>
          <w:p w14:paraId="543FB402"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44.8</w:t>
            </w:r>
          </w:p>
        </w:tc>
        <w:tc>
          <w:tcPr>
            <w:tcW w:w="976" w:type="dxa"/>
            <w:tcBorders>
              <w:top w:val="nil"/>
              <w:left w:val="nil"/>
              <w:bottom w:val="nil"/>
              <w:right w:val="nil"/>
            </w:tcBorders>
          </w:tcPr>
          <w:p w14:paraId="2AE98A31"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SC</w:t>
            </w:r>
          </w:p>
        </w:tc>
        <w:tc>
          <w:tcPr>
            <w:tcW w:w="2610" w:type="dxa"/>
            <w:vMerge/>
            <w:tcBorders>
              <w:top w:val="nil"/>
              <w:left w:val="nil"/>
              <w:bottom w:val="nil"/>
              <w:right w:val="nil"/>
            </w:tcBorders>
          </w:tcPr>
          <w:p w14:paraId="5C674EFE"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169003C7" w14:textId="77777777" w:rsidTr="00D568D7">
        <w:tc>
          <w:tcPr>
            <w:tcW w:w="1170" w:type="dxa"/>
            <w:vMerge/>
            <w:tcBorders>
              <w:left w:val="nil"/>
              <w:bottom w:val="nil"/>
              <w:right w:val="nil"/>
            </w:tcBorders>
          </w:tcPr>
          <w:p w14:paraId="1203A76C"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313A913C"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40-60</w:t>
            </w:r>
          </w:p>
        </w:tc>
        <w:tc>
          <w:tcPr>
            <w:tcW w:w="1221" w:type="dxa"/>
            <w:tcBorders>
              <w:top w:val="nil"/>
              <w:left w:val="nil"/>
              <w:bottom w:val="nil"/>
              <w:right w:val="nil"/>
            </w:tcBorders>
          </w:tcPr>
          <w:p w14:paraId="2EE281B7"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17.96</w:t>
            </w:r>
          </w:p>
        </w:tc>
        <w:tc>
          <w:tcPr>
            <w:tcW w:w="711" w:type="dxa"/>
            <w:tcBorders>
              <w:top w:val="nil"/>
              <w:left w:val="nil"/>
              <w:bottom w:val="nil"/>
              <w:right w:val="nil"/>
            </w:tcBorders>
          </w:tcPr>
          <w:p w14:paraId="429717EE"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42.0</w:t>
            </w:r>
          </w:p>
        </w:tc>
        <w:tc>
          <w:tcPr>
            <w:tcW w:w="711" w:type="dxa"/>
            <w:tcBorders>
              <w:top w:val="nil"/>
              <w:left w:val="nil"/>
              <w:bottom w:val="nil"/>
              <w:right w:val="nil"/>
            </w:tcBorders>
          </w:tcPr>
          <w:p w14:paraId="397DE61F"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40.8</w:t>
            </w:r>
          </w:p>
        </w:tc>
        <w:tc>
          <w:tcPr>
            <w:tcW w:w="711" w:type="dxa"/>
            <w:tcBorders>
              <w:top w:val="nil"/>
              <w:left w:val="nil"/>
              <w:bottom w:val="nil"/>
              <w:right w:val="nil"/>
            </w:tcBorders>
          </w:tcPr>
          <w:p w14:paraId="2DF1F2E1"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17.2</w:t>
            </w:r>
          </w:p>
        </w:tc>
        <w:tc>
          <w:tcPr>
            <w:tcW w:w="999" w:type="dxa"/>
            <w:tcBorders>
              <w:top w:val="nil"/>
              <w:left w:val="nil"/>
              <w:bottom w:val="nil"/>
              <w:right w:val="nil"/>
            </w:tcBorders>
          </w:tcPr>
          <w:p w14:paraId="35FF5D62"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51.9</w:t>
            </w:r>
          </w:p>
        </w:tc>
        <w:tc>
          <w:tcPr>
            <w:tcW w:w="976" w:type="dxa"/>
            <w:tcBorders>
              <w:top w:val="nil"/>
              <w:left w:val="nil"/>
              <w:bottom w:val="nil"/>
              <w:right w:val="nil"/>
            </w:tcBorders>
          </w:tcPr>
          <w:p w14:paraId="20AE428F"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SC</w:t>
            </w:r>
          </w:p>
        </w:tc>
        <w:tc>
          <w:tcPr>
            <w:tcW w:w="2610" w:type="dxa"/>
            <w:vMerge/>
            <w:tcBorders>
              <w:top w:val="nil"/>
              <w:left w:val="nil"/>
              <w:bottom w:val="nil"/>
              <w:right w:val="nil"/>
            </w:tcBorders>
          </w:tcPr>
          <w:p w14:paraId="583C2623"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575D4D7E" w14:textId="77777777" w:rsidTr="00D568D7">
        <w:tc>
          <w:tcPr>
            <w:tcW w:w="1170" w:type="dxa"/>
            <w:vMerge w:val="restart"/>
            <w:tcBorders>
              <w:top w:val="nil"/>
              <w:left w:val="nil"/>
              <w:right w:val="nil"/>
            </w:tcBorders>
          </w:tcPr>
          <w:p w14:paraId="2DEDB4D2" w14:textId="77777777" w:rsidR="00C20C12" w:rsidRPr="00582808" w:rsidRDefault="00C20C12" w:rsidP="00D568D7">
            <w:pPr>
              <w:tabs>
                <w:tab w:val="left" w:pos="1800"/>
                <w:tab w:val="left" w:pos="1890"/>
                <w:tab w:val="left" w:pos="2160"/>
              </w:tabs>
              <w:jc w:val="left"/>
              <w:rPr>
                <w:bCs/>
                <w:sz w:val="22"/>
                <w:lang w:val="en-GB"/>
              </w:rPr>
            </w:pPr>
            <w:proofErr w:type="spellStart"/>
            <w:r w:rsidRPr="00582808">
              <w:rPr>
                <w:sz w:val="22"/>
                <w:lang w:val="en-GB"/>
              </w:rPr>
              <w:t>Mulindi</w:t>
            </w:r>
            <w:proofErr w:type="spellEnd"/>
          </w:p>
        </w:tc>
        <w:tc>
          <w:tcPr>
            <w:tcW w:w="791" w:type="dxa"/>
            <w:tcBorders>
              <w:top w:val="nil"/>
              <w:left w:val="nil"/>
              <w:bottom w:val="nil"/>
              <w:right w:val="nil"/>
            </w:tcBorders>
          </w:tcPr>
          <w:p w14:paraId="133EB9BA"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0-10</w:t>
            </w:r>
          </w:p>
        </w:tc>
        <w:tc>
          <w:tcPr>
            <w:tcW w:w="1221" w:type="dxa"/>
            <w:tcBorders>
              <w:top w:val="nil"/>
              <w:left w:val="nil"/>
              <w:bottom w:val="nil"/>
              <w:right w:val="nil"/>
            </w:tcBorders>
          </w:tcPr>
          <w:p w14:paraId="6867DB73" w14:textId="77777777" w:rsidR="00C20C12" w:rsidRPr="00582808" w:rsidRDefault="00C20C12" w:rsidP="00D568D7">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735AC488"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35.1</w:t>
            </w:r>
          </w:p>
        </w:tc>
        <w:tc>
          <w:tcPr>
            <w:tcW w:w="711" w:type="dxa"/>
            <w:tcBorders>
              <w:top w:val="nil"/>
              <w:left w:val="nil"/>
              <w:bottom w:val="nil"/>
              <w:right w:val="nil"/>
            </w:tcBorders>
          </w:tcPr>
          <w:p w14:paraId="7C329BF9"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51.8</w:t>
            </w:r>
          </w:p>
        </w:tc>
        <w:tc>
          <w:tcPr>
            <w:tcW w:w="711" w:type="dxa"/>
            <w:tcBorders>
              <w:top w:val="nil"/>
              <w:left w:val="nil"/>
              <w:bottom w:val="nil"/>
              <w:right w:val="nil"/>
            </w:tcBorders>
          </w:tcPr>
          <w:p w14:paraId="3C96A85A"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13.1</w:t>
            </w:r>
          </w:p>
        </w:tc>
        <w:tc>
          <w:tcPr>
            <w:tcW w:w="999" w:type="dxa"/>
            <w:tcBorders>
              <w:top w:val="nil"/>
              <w:left w:val="nil"/>
              <w:bottom w:val="nil"/>
              <w:right w:val="nil"/>
            </w:tcBorders>
          </w:tcPr>
          <w:p w14:paraId="7AC55923"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59.0</w:t>
            </w:r>
          </w:p>
        </w:tc>
        <w:tc>
          <w:tcPr>
            <w:tcW w:w="976" w:type="dxa"/>
            <w:tcBorders>
              <w:top w:val="nil"/>
              <w:left w:val="nil"/>
              <w:bottom w:val="nil"/>
              <w:right w:val="nil"/>
            </w:tcBorders>
          </w:tcPr>
          <w:p w14:paraId="7FF988C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C</w:t>
            </w:r>
          </w:p>
        </w:tc>
        <w:tc>
          <w:tcPr>
            <w:tcW w:w="2610" w:type="dxa"/>
            <w:vMerge w:val="restart"/>
            <w:tcBorders>
              <w:top w:val="nil"/>
              <w:left w:val="nil"/>
              <w:bottom w:val="nil"/>
              <w:right w:val="nil"/>
            </w:tcBorders>
          </w:tcPr>
          <w:p w14:paraId="23002377"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Dark, metasedimentary, deep dark clay- rich top soil, with loam feel classified as peat</w:t>
            </w:r>
          </w:p>
        </w:tc>
      </w:tr>
      <w:tr w:rsidR="00C20C12" w:rsidRPr="00582808" w14:paraId="18BB3435" w14:textId="77777777" w:rsidTr="00D568D7">
        <w:tc>
          <w:tcPr>
            <w:tcW w:w="1170" w:type="dxa"/>
            <w:vMerge/>
            <w:tcBorders>
              <w:left w:val="nil"/>
              <w:right w:val="nil"/>
            </w:tcBorders>
          </w:tcPr>
          <w:p w14:paraId="3172BCA2"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19BB4EDF"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10-20</w:t>
            </w:r>
          </w:p>
        </w:tc>
        <w:tc>
          <w:tcPr>
            <w:tcW w:w="1221" w:type="dxa"/>
            <w:tcBorders>
              <w:top w:val="nil"/>
              <w:left w:val="nil"/>
              <w:bottom w:val="nil"/>
              <w:right w:val="nil"/>
            </w:tcBorders>
          </w:tcPr>
          <w:p w14:paraId="41CD8772"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22.85</w:t>
            </w:r>
          </w:p>
        </w:tc>
        <w:tc>
          <w:tcPr>
            <w:tcW w:w="711" w:type="dxa"/>
            <w:tcBorders>
              <w:top w:val="nil"/>
              <w:left w:val="nil"/>
              <w:bottom w:val="nil"/>
              <w:right w:val="nil"/>
            </w:tcBorders>
          </w:tcPr>
          <w:p w14:paraId="04D1F05E"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35.1</w:t>
            </w:r>
          </w:p>
        </w:tc>
        <w:tc>
          <w:tcPr>
            <w:tcW w:w="711" w:type="dxa"/>
            <w:tcBorders>
              <w:top w:val="nil"/>
              <w:left w:val="nil"/>
              <w:bottom w:val="nil"/>
              <w:right w:val="nil"/>
            </w:tcBorders>
          </w:tcPr>
          <w:p w14:paraId="04FEF25C"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51.8</w:t>
            </w:r>
          </w:p>
        </w:tc>
        <w:tc>
          <w:tcPr>
            <w:tcW w:w="711" w:type="dxa"/>
            <w:tcBorders>
              <w:top w:val="nil"/>
              <w:left w:val="nil"/>
              <w:bottom w:val="nil"/>
              <w:right w:val="nil"/>
            </w:tcBorders>
          </w:tcPr>
          <w:p w14:paraId="43A46D57"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13.1</w:t>
            </w:r>
          </w:p>
        </w:tc>
        <w:tc>
          <w:tcPr>
            <w:tcW w:w="999" w:type="dxa"/>
            <w:tcBorders>
              <w:top w:val="nil"/>
              <w:left w:val="nil"/>
              <w:bottom w:val="nil"/>
              <w:right w:val="nil"/>
            </w:tcBorders>
          </w:tcPr>
          <w:p w14:paraId="16038C1B"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59.0</w:t>
            </w:r>
          </w:p>
        </w:tc>
        <w:tc>
          <w:tcPr>
            <w:tcW w:w="976" w:type="dxa"/>
            <w:tcBorders>
              <w:top w:val="nil"/>
              <w:left w:val="nil"/>
              <w:bottom w:val="nil"/>
              <w:right w:val="nil"/>
            </w:tcBorders>
          </w:tcPr>
          <w:p w14:paraId="2122B80F"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C</w:t>
            </w:r>
          </w:p>
        </w:tc>
        <w:tc>
          <w:tcPr>
            <w:tcW w:w="2610" w:type="dxa"/>
            <w:vMerge/>
            <w:tcBorders>
              <w:top w:val="nil"/>
              <w:left w:val="nil"/>
              <w:bottom w:val="nil"/>
              <w:right w:val="nil"/>
            </w:tcBorders>
          </w:tcPr>
          <w:p w14:paraId="4BFBDF88"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3A7837E7" w14:textId="77777777" w:rsidTr="00D568D7">
        <w:tc>
          <w:tcPr>
            <w:tcW w:w="1170" w:type="dxa"/>
            <w:vMerge/>
            <w:tcBorders>
              <w:left w:val="nil"/>
              <w:right w:val="nil"/>
            </w:tcBorders>
          </w:tcPr>
          <w:p w14:paraId="60CE99E3"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70F281FD"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20-30</w:t>
            </w:r>
          </w:p>
        </w:tc>
        <w:tc>
          <w:tcPr>
            <w:tcW w:w="1221" w:type="dxa"/>
            <w:tcBorders>
              <w:top w:val="nil"/>
              <w:left w:val="nil"/>
              <w:bottom w:val="nil"/>
              <w:right w:val="nil"/>
            </w:tcBorders>
          </w:tcPr>
          <w:p w14:paraId="2271AFA9" w14:textId="77777777" w:rsidR="00C20C12" w:rsidRPr="00582808" w:rsidRDefault="00C20C12" w:rsidP="00D568D7">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7E6CBDD5"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39.5</w:t>
            </w:r>
          </w:p>
        </w:tc>
        <w:tc>
          <w:tcPr>
            <w:tcW w:w="711" w:type="dxa"/>
            <w:tcBorders>
              <w:top w:val="nil"/>
              <w:left w:val="nil"/>
              <w:bottom w:val="nil"/>
              <w:right w:val="nil"/>
            </w:tcBorders>
          </w:tcPr>
          <w:p w14:paraId="2CBB939C"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32.3</w:t>
            </w:r>
          </w:p>
        </w:tc>
        <w:tc>
          <w:tcPr>
            <w:tcW w:w="711" w:type="dxa"/>
            <w:tcBorders>
              <w:top w:val="nil"/>
              <w:left w:val="nil"/>
              <w:bottom w:val="nil"/>
              <w:right w:val="nil"/>
            </w:tcBorders>
          </w:tcPr>
          <w:p w14:paraId="331A8BA2"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28.2</w:t>
            </w:r>
          </w:p>
        </w:tc>
        <w:tc>
          <w:tcPr>
            <w:tcW w:w="999" w:type="dxa"/>
            <w:tcBorders>
              <w:top w:val="nil"/>
              <w:left w:val="nil"/>
              <w:bottom w:val="nil"/>
              <w:right w:val="nil"/>
            </w:tcBorders>
          </w:tcPr>
          <w:p w14:paraId="1C6B9607"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51.1</w:t>
            </w:r>
          </w:p>
        </w:tc>
        <w:tc>
          <w:tcPr>
            <w:tcW w:w="976" w:type="dxa"/>
            <w:tcBorders>
              <w:top w:val="nil"/>
              <w:left w:val="nil"/>
              <w:bottom w:val="nil"/>
              <w:right w:val="nil"/>
            </w:tcBorders>
          </w:tcPr>
          <w:p w14:paraId="66674BA7"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C</w:t>
            </w:r>
          </w:p>
        </w:tc>
        <w:tc>
          <w:tcPr>
            <w:tcW w:w="2610" w:type="dxa"/>
            <w:vMerge/>
            <w:tcBorders>
              <w:top w:val="nil"/>
              <w:left w:val="nil"/>
              <w:bottom w:val="nil"/>
              <w:right w:val="nil"/>
            </w:tcBorders>
          </w:tcPr>
          <w:p w14:paraId="23CE3FF4"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5DCAB184" w14:textId="77777777" w:rsidTr="00D568D7">
        <w:tc>
          <w:tcPr>
            <w:tcW w:w="1170" w:type="dxa"/>
            <w:vMerge/>
            <w:tcBorders>
              <w:left w:val="nil"/>
              <w:bottom w:val="nil"/>
              <w:right w:val="nil"/>
            </w:tcBorders>
          </w:tcPr>
          <w:p w14:paraId="31055E9A"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360B10F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40-60</w:t>
            </w:r>
          </w:p>
        </w:tc>
        <w:tc>
          <w:tcPr>
            <w:tcW w:w="1221" w:type="dxa"/>
            <w:tcBorders>
              <w:top w:val="nil"/>
              <w:left w:val="nil"/>
              <w:bottom w:val="nil"/>
              <w:right w:val="nil"/>
            </w:tcBorders>
          </w:tcPr>
          <w:p w14:paraId="61959C9B"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18.24</w:t>
            </w:r>
          </w:p>
        </w:tc>
        <w:tc>
          <w:tcPr>
            <w:tcW w:w="711" w:type="dxa"/>
            <w:tcBorders>
              <w:top w:val="nil"/>
              <w:left w:val="nil"/>
              <w:bottom w:val="nil"/>
              <w:right w:val="nil"/>
            </w:tcBorders>
          </w:tcPr>
          <w:p w14:paraId="43A5C2D8"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42.4</w:t>
            </w:r>
          </w:p>
        </w:tc>
        <w:tc>
          <w:tcPr>
            <w:tcW w:w="711" w:type="dxa"/>
            <w:tcBorders>
              <w:top w:val="nil"/>
              <w:left w:val="nil"/>
              <w:bottom w:val="nil"/>
              <w:right w:val="nil"/>
            </w:tcBorders>
          </w:tcPr>
          <w:p w14:paraId="4930BED2"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29.6</w:t>
            </w:r>
          </w:p>
        </w:tc>
        <w:tc>
          <w:tcPr>
            <w:tcW w:w="711" w:type="dxa"/>
            <w:tcBorders>
              <w:top w:val="nil"/>
              <w:left w:val="nil"/>
              <w:bottom w:val="nil"/>
              <w:right w:val="nil"/>
            </w:tcBorders>
          </w:tcPr>
          <w:p w14:paraId="6E155CC5"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28.0</w:t>
            </w:r>
          </w:p>
        </w:tc>
        <w:tc>
          <w:tcPr>
            <w:tcW w:w="999" w:type="dxa"/>
            <w:tcBorders>
              <w:top w:val="nil"/>
              <w:left w:val="nil"/>
              <w:bottom w:val="nil"/>
              <w:right w:val="nil"/>
            </w:tcBorders>
          </w:tcPr>
          <w:p w14:paraId="4494F3A4"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37.5</w:t>
            </w:r>
          </w:p>
        </w:tc>
        <w:tc>
          <w:tcPr>
            <w:tcW w:w="976" w:type="dxa"/>
            <w:tcBorders>
              <w:top w:val="nil"/>
              <w:left w:val="nil"/>
              <w:bottom w:val="nil"/>
              <w:right w:val="nil"/>
            </w:tcBorders>
          </w:tcPr>
          <w:p w14:paraId="2153C102"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SC</w:t>
            </w:r>
          </w:p>
        </w:tc>
        <w:tc>
          <w:tcPr>
            <w:tcW w:w="2610" w:type="dxa"/>
            <w:vMerge/>
            <w:tcBorders>
              <w:top w:val="nil"/>
              <w:left w:val="nil"/>
              <w:bottom w:val="nil"/>
              <w:right w:val="nil"/>
            </w:tcBorders>
          </w:tcPr>
          <w:p w14:paraId="252028D1"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462BF26A" w14:textId="77777777" w:rsidTr="00D568D7">
        <w:tc>
          <w:tcPr>
            <w:tcW w:w="1170" w:type="dxa"/>
            <w:vMerge w:val="restart"/>
            <w:tcBorders>
              <w:top w:val="nil"/>
              <w:left w:val="nil"/>
              <w:right w:val="nil"/>
            </w:tcBorders>
          </w:tcPr>
          <w:p w14:paraId="4408FBC1" w14:textId="77777777" w:rsidR="00C20C12" w:rsidRPr="00582808" w:rsidRDefault="00C20C12" w:rsidP="00D568D7">
            <w:pPr>
              <w:tabs>
                <w:tab w:val="left" w:pos="1800"/>
                <w:tab w:val="left" w:pos="1890"/>
                <w:tab w:val="left" w:pos="2160"/>
              </w:tabs>
              <w:jc w:val="left"/>
              <w:rPr>
                <w:bCs/>
                <w:sz w:val="22"/>
                <w:lang w:val="en-GB"/>
              </w:rPr>
            </w:pPr>
            <w:proofErr w:type="spellStart"/>
            <w:r w:rsidRPr="00582808">
              <w:rPr>
                <w:sz w:val="22"/>
                <w:lang w:val="en-GB"/>
              </w:rPr>
              <w:t>Katoke</w:t>
            </w:r>
            <w:proofErr w:type="spellEnd"/>
          </w:p>
        </w:tc>
        <w:tc>
          <w:tcPr>
            <w:tcW w:w="791" w:type="dxa"/>
            <w:tcBorders>
              <w:top w:val="nil"/>
              <w:left w:val="nil"/>
              <w:bottom w:val="nil"/>
              <w:right w:val="nil"/>
            </w:tcBorders>
          </w:tcPr>
          <w:p w14:paraId="27AEFD0C"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0-10</w:t>
            </w:r>
          </w:p>
        </w:tc>
        <w:tc>
          <w:tcPr>
            <w:tcW w:w="1221" w:type="dxa"/>
            <w:tcBorders>
              <w:top w:val="nil"/>
              <w:left w:val="nil"/>
              <w:bottom w:val="nil"/>
              <w:right w:val="nil"/>
            </w:tcBorders>
          </w:tcPr>
          <w:p w14:paraId="7F2E7857" w14:textId="77777777" w:rsidR="00C20C12" w:rsidRPr="00582808" w:rsidRDefault="00C20C12" w:rsidP="00D568D7">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34CBB0A5"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47.4</w:t>
            </w:r>
          </w:p>
        </w:tc>
        <w:tc>
          <w:tcPr>
            <w:tcW w:w="711" w:type="dxa"/>
            <w:tcBorders>
              <w:top w:val="nil"/>
              <w:left w:val="nil"/>
              <w:bottom w:val="nil"/>
              <w:right w:val="nil"/>
            </w:tcBorders>
          </w:tcPr>
          <w:p w14:paraId="05447A58"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43.4</w:t>
            </w:r>
          </w:p>
        </w:tc>
        <w:tc>
          <w:tcPr>
            <w:tcW w:w="711" w:type="dxa"/>
            <w:tcBorders>
              <w:top w:val="nil"/>
              <w:left w:val="nil"/>
              <w:bottom w:val="nil"/>
              <w:right w:val="nil"/>
            </w:tcBorders>
          </w:tcPr>
          <w:p w14:paraId="2F1631A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9.2</w:t>
            </w:r>
          </w:p>
        </w:tc>
        <w:tc>
          <w:tcPr>
            <w:tcW w:w="999" w:type="dxa"/>
            <w:tcBorders>
              <w:top w:val="nil"/>
              <w:left w:val="nil"/>
              <w:bottom w:val="nil"/>
              <w:right w:val="nil"/>
            </w:tcBorders>
          </w:tcPr>
          <w:p w14:paraId="017A8EB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43.1</w:t>
            </w:r>
          </w:p>
        </w:tc>
        <w:tc>
          <w:tcPr>
            <w:tcW w:w="976" w:type="dxa"/>
            <w:tcBorders>
              <w:top w:val="nil"/>
              <w:left w:val="nil"/>
              <w:bottom w:val="nil"/>
              <w:right w:val="nil"/>
            </w:tcBorders>
          </w:tcPr>
          <w:p w14:paraId="55C094F5"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SC</w:t>
            </w:r>
          </w:p>
        </w:tc>
        <w:tc>
          <w:tcPr>
            <w:tcW w:w="2610" w:type="dxa"/>
            <w:vMerge w:val="restart"/>
            <w:tcBorders>
              <w:top w:val="nil"/>
              <w:left w:val="nil"/>
              <w:bottom w:val="nil"/>
              <w:right w:val="nil"/>
            </w:tcBorders>
          </w:tcPr>
          <w:p w14:paraId="581F5C7C"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 xml:space="preserve">Volcanic dark red, friable clay with dusk top soil, classified as </w:t>
            </w:r>
            <w:proofErr w:type="spellStart"/>
            <w:r w:rsidRPr="00582808">
              <w:rPr>
                <w:sz w:val="22"/>
                <w:lang w:val="en-GB"/>
              </w:rPr>
              <w:t>nitosols</w:t>
            </w:r>
            <w:proofErr w:type="spellEnd"/>
          </w:p>
        </w:tc>
      </w:tr>
      <w:tr w:rsidR="00C20C12" w:rsidRPr="00582808" w14:paraId="1628CDDE" w14:textId="77777777" w:rsidTr="00D568D7">
        <w:tc>
          <w:tcPr>
            <w:tcW w:w="1170" w:type="dxa"/>
            <w:vMerge/>
            <w:tcBorders>
              <w:left w:val="nil"/>
              <w:right w:val="nil"/>
            </w:tcBorders>
          </w:tcPr>
          <w:p w14:paraId="1EFF9F88"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4F97E1C6"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10-20</w:t>
            </w:r>
          </w:p>
        </w:tc>
        <w:tc>
          <w:tcPr>
            <w:tcW w:w="1221" w:type="dxa"/>
            <w:tcBorders>
              <w:top w:val="nil"/>
              <w:left w:val="nil"/>
              <w:bottom w:val="nil"/>
              <w:right w:val="nil"/>
            </w:tcBorders>
          </w:tcPr>
          <w:p w14:paraId="10BD39B5"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25.96</w:t>
            </w:r>
          </w:p>
        </w:tc>
        <w:tc>
          <w:tcPr>
            <w:tcW w:w="711" w:type="dxa"/>
            <w:tcBorders>
              <w:top w:val="nil"/>
              <w:left w:val="nil"/>
              <w:bottom w:val="nil"/>
              <w:right w:val="nil"/>
            </w:tcBorders>
          </w:tcPr>
          <w:p w14:paraId="465B80E3"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47.5</w:t>
            </w:r>
          </w:p>
        </w:tc>
        <w:tc>
          <w:tcPr>
            <w:tcW w:w="711" w:type="dxa"/>
            <w:tcBorders>
              <w:top w:val="nil"/>
              <w:left w:val="nil"/>
              <w:bottom w:val="nil"/>
              <w:right w:val="nil"/>
            </w:tcBorders>
          </w:tcPr>
          <w:p w14:paraId="3F6C5DC8"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43.3</w:t>
            </w:r>
          </w:p>
        </w:tc>
        <w:tc>
          <w:tcPr>
            <w:tcW w:w="711" w:type="dxa"/>
            <w:tcBorders>
              <w:top w:val="nil"/>
              <w:left w:val="nil"/>
              <w:bottom w:val="nil"/>
              <w:right w:val="nil"/>
            </w:tcBorders>
          </w:tcPr>
          <w:p w14:paraId="3B5688EA"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9.2</w:t>
            </w:r>
          </w:p>
        </w:tc>
        <w:tc>
          <w:tcPr>
            <w:tcW w:w="999" w:type="dxa"/>
            <w:tcBorders>
              <w:top w:val="nil"/>
              <w:left w:val="nil"/>
              <w:bottom w:val="nil"/>
              <w:right w:val="nil"/>
            </w:tcBorders>
          </w:tcPr>
          <w:p w14:paraId="01CF48E3"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42.1</w:t>
            </w:r>
          </w:p>
        </w:tc>
        <w:tc>
          <w:tcPr>
            <w:tcW w:w="976" w:type="dxa"/>
            <w:tcBorders>
              <w:top w:val="nil"/>
              <w:left w:val="nil"/>
              <w:bottom w:val="nil"/>
              <w:right w:val="nil"/>
            </w:tcBorders>
          </w:tcPr>
          <w:p w14:paraId="082BD1B5"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SC</w:t>
            </w:r>
          </w:p>
        </w:tc>
        <w:tc>
          <w:tcPr>
            <w:tcW w:w="2610" w:type="dxa"/>
            <w:vMerge/>
            <w:tcBorders>
              <w:top w:val="nil"/>
              <w:left w:val="nil"/>
              <w:bottom w:val="nil"/>
              <w:right w:val="nil"/>
            </w:tcBorders>
          </w:tcPr>
          <w:p w14:paraId="1418CACD"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656378D5" w14:textId="77777777" w:rsidTr="00D568D7">
        <w:tc>
          <w:tcPr>
            <w:tcW w:w="1170" w:type="dxa"/>
            <w:vMerge/>
            <w:tcBorders>
              <w:left w:val="nil"/>
              <w:right w:val="nil"/>
            </w:tcBorders>
          </w:tcPr>
          <w:p w14:paraId="366E791B"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4728CC86"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20-30</w:t>
            </w:r>
          </w:p>
        </w:tc>
        <w:tc>
          <w:tcPr>
            <w:tcW w:w="1221" w:type="dxa"/>
            <w:tcBorders>
              <w:top w:val="nil"/>
              <w:left w:val="nil"/>
              <w:bottom w:val="nil"/>
              <w:right w:val="nil"/>
            </w:tcBorders>
          </w:tcPr>
          <w:p w14:paraId="033B0C65" w14:textId="77777777" w:rsidR="00C20C12" w:rsidRPr="00582808" w:rsidRDefault="00C20C12" w:rsidP="00D568D7">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0B573EC2"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40.1</w:t>
            </w:r>
          </w:p>
        </w:tc>
        <w:tc>
          <w:tcPr>
            <w:tcW w:w="711" w:type="dxa"/>
            <w:tcBorders>
              <w:top w:val="nil"/>
              <w:left w:val="nil"/>
              <w:bottom w:val="nil"/>
              <w:right w:val="nil"/>
            </w:tcBorders>
          </w:tcPr>
          <w:p w14:paraId="2D0F5792"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39.4</w:t>
            </w:r>
          </w:p>
        </w:tc>
        <w:tc>
          <w:tcPr>
            <w:tcW w:w="711" w:type="dxa"/>
            <w:tcBorders>
              <w:top w:val="nil"/>
              <w:left w:val="nil"/>
              <w:bottom w:val="nil"/>
              <w:right w:val="nil"/>
            </w:tcBorders>
          </w:tcPr>
          <w:p w14:paraId="409F4443"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20.5</w:t>
            </w:r>
          </w:p>
        </w:tc>
        <w:tc>
          <w:tcPr>
            <w:tcW w:w="999" w:type="dxa"/>
            <w:tcBorders>
              <w:top w:val="nil"/>
              <w:left w:val="nil"/>
              <w:bottom w:val="nil"/>
              <w:right w:val="nil"/>
            </w:tcBorders>
          </w:tcPr>
          <w:p w14:paraId="390A8CD4"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43.0</w:t>
            </w:r>
          </w:p>
        </w:tc>
        <w:tc>
          <w:tcPr>
            <w:tcW w:w="976" w:type="dxa"/>
            <w:tcBorders>
              <w:top w:val="nil"/>
              <w:left w:val="nil"/>
              <w:bottom w:val="nil"/>
              <w:right w:val="nil"/>
            </w:tcBorders>
          </w:tcPr>
          <w:p w14:paraId="64C971F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SC</w:t>
            </w:r>
          </w:p>
        </w:tc>
        <w:tc>
          <w:tcPr>
            <w:tcW w:w="2610" w:type="dxa"/>
            <w:vMerge/>
            <w:tcBorders>
              <w:top w:val="nil"/>
              <w:left w:val="nil"/>
              <w:bottom w:val="nil"/>
              <w:right w:val="nil"/>
            </w:tcBorders>
          </w:tcPr>
          <w:p w14:paraId="1F24E49F"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0570F349" w14:textId="77777777" w:rsidTr="00D568D7">
        <w:tc>
          <w:tcPr>
            <w:tcW w:w="1170" w:type="dxa"/>
            <w:vMerge/>
            <w:tcBorders>
              <w:left w:val="nil"/>
              <w:bottom w:val="nil"/>
              <w:right w:val="nil"/>
            </w:tcBorders>
          </w:tcPr>
          <w:p w14:paraId="341F71C0"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355B9B95"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40-60</w:t>
            </w:r>
          </w:p>
        </w:tc>
        <w:tc>
          <w:tcPr>
            <w:tcW w:w="1221" w:type="dxa"/>
            <w:tcBorders>
              <w:top w:val="nil"/>
              <w:left w:val="nil"/>
              <w:bottom w:val="nil"/>
              <w:right w:val="nil"/>
            </w:tcBorders>
          </w:tcPr>
          <w:p w14:paraId="166C6BE3"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16.93</w:t>
            </w:r>
          </w:p>
        </w:tc>
        <w:tc>
          <w:tcPr>
            <w:tcW w:w="711" w:type="dxa"/>
            <w:tcBorders>
              <w:top w:val="nil"/>
              <w:left w:val="nil"/>
              <w:bottom w:val="nil"/>
              <w:right w:val="nil"/>
            </w:tcBorders>
          </w:tcPr>
          <w:p w14:paraId="5873A54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39.6</w:t>
            </w:r>
          </w:p>
        </w:tc>
        <w:tc>
          <w:tcPr>
            <w:tcW w:w="711" w:type="dxa"/>
            <w:tcBorders>
              <w:top w:val="nil"/>
              <w:left w:val="nil"/>
              <w:bottom w:val="nil"/>
              <w:right w:val="nil"/>
            </w:tcBorders>
          </w:tcPr>
          <w:p w14:paraId="67977485"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34.5</w:t>
            </w:r>
          </w:p>
        </w:tc>
        <w:tc>
          <w:tcPr>
            <w:tcW w:w="711" w:type="dxa"/>
            <w:tcBorders>
              <w:top w:val="nil"/>
              <w:left w:val="nil"/>
              <w:bottom w:val="nil"/>
              <w:right w:val="nil"/>
            </w:tcBorders>
          </w:tcPr>
          <w:p w14:paraId="385DFE37"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25.9</w:t>
            </w:r>
          </w:p>
        </w:tc>
        <w:tc>
          <w:tcPr>
            <w:tcW w:w="999" w:type="dxa"/>
            <w:tcBorders>
              <w:top w:val="nil"/>
              <w:left w:val="nil"/>
              <w:bottom w:val="nil"/>
              <w:right w:val="nil"/>
            </w:tcBorders>
          </w:tcPr>
          <w:p w14:paraId="08EE4D0A"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48.9</w:t>
            </w:r>
          </w:p>
        </w:tc>
        <w:tc>
          <w:tcPr>
            <w:tcW w:w="976" w:type="dxa"/>
            <w:tcBorders>
              <w:top w:val="nil"/>
              <w:left w:val="nil"/>
              <w:bottom w:val="nil"/>
              <w:right w:val="nil"/>
            </w:tcBorders>
          </w:tcPr>
          <w:p w14:paraId="390E2FEE"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SC</w:t>
            </w:r>
          </w:p>
        </w:tc>
        <w:tc>
          <w:tcPr>
            <w:tcW w:w="2610" w:type="dxa"/>
            <w:vMerge/>
            <w:tcBorders>
              <w:top w:val="nil"/>
              <w:left w:val="nil"/>
              <w:bottom w:val="nil"/>
              <w:right w:val="nil"/>
            </w:tcBorders>
          </w:tcPr>
          <w:p w14:paraId="7051993F"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6FAF4921" w14:textId="77777777" w:rsidTr="00D568D7">
        <w:tc>
          <w:tcPr>
            <w:tcW w:w="1170" w:type="dxa"/>
            <w:vMerge w:val="restart"/>
            <w:tcBorders>
              <w:top w:val="nil"/>
              <w:left w:val="nil"/>
              <w:right w:val="nil"/>
            </w:tcBorders>
          </w:tcPr>
          <w:p w14:paraId="5931F27D" w14:textId="77777777" w:rsidR="00C20C12" w:rsidRPr="00582808" w:rsidRDefault="00C20C12" w:rsidP="00D568D7">
            <w:pPr>
              <w:tabs>
                <w:tab w:val="left" w:pos="1800"/>
                <w:tab w:val="left" w:pos="1890"/>
                <w:tab w:val="left" w:pos="2160"/>
              </w:tabs>
              <w:jc w:val="left"/>
              <w:rPr>
                <w:bCs/>
                <w:sz w:val="22"/>
                <w:lang w:val="en-GB"/>
              </w:rPr>
            </w:pPr>
            <w:proofErr w:type="spellStart"/>
            <w:r w:rsidRPr="00582808">
              <w:rPr>
                <w:sz w:val="22"/>
                <w:lang w:val="en-GB"/>
              </w:rPr>
              <w:t>Maruku</w:t>
            </w:r>
            <w:proofErr w:type="spellEnd"/>
          </w:p>
        </w:tc>
        <w:tc>
          <w:tcPr>
            <w:tcW w:w="791" w:type="dxa"/>
            <w:tcBorders>
              <w:top w:val="nil"/>
              <w:left w:val="nil"/>
              <w:bottom w:val="nil"/>
              <w:right w:val="nil"/>
            </w:tcBorders>
          </w:tcPr>
          <w:p w14:paraId="6C307D60"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0-10</w:t>
            </w:r>
          </w:p>
        </w:tc>
        <w:tc>
          <w:tcPr>
            <w:tcW w:w="1221" w:type="dxa"/>
            <w:tcBorders>
              <w:top w:val="nil"/>
              <w:left w:val="nil"/>
              <w:bottom w:val="nil"/>
              <w:right w:val="nil"/>
            </w:tcBorders>
          </w:tcPr>
          <w:p w14:paraId="1B46AF28" w14:textId="77777777" w:rsidR="00C20C12" w:rsidRPr="00582808" w:rsidRDefault="00C20C12" w:rsidP="00D568D7">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01BA5EF0"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45.6</w:t>
            </w:r>
          </w:p>
        </w:tc>
        <w:tc>
          <w:tcPr>
            <w:tcW w:w="711" w:type="dxa"/>
            <w:tcBorders>
              <w:top w:val="nil"/>
              <w:left w:val="nil"/>
              <w:bottom w:val="nil"/>
              <w:right w:val="nil"/>
            </w:tcBorders>
          </w:tcPr>
          <w:p w14:paraId="65D8C2A6"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25.4</w:t>
            </w:r>
          </w:p>
        </w:tc>
        <w:tc>
          <w:tcPr>
            <w:tcW w:w="711" w:type="dxa"/>
            <w:tcBorders>
              <w:top w:val="nil"/>
              <w:left w:val="nil"/>
              <w:bottom w:val="nil"/>
              <w:right w:val="nil"/>
            </w:tcBorders>
          </w:tcPr>
          <w:p w14:paraId="47B0539E"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29.0</w:t>
            </w:r>
          </w:p>
        </w:tc>
        <w:tc>
          <w:tcPr>
            <w:tcW w:w="999" w:type="dxa"/>
            <w:tcBorders>
              <w:top w:val="nil"/>
              <w:left w:val="nil"/>
              <w:bottom w:val="nil"/>
              <w:right w:val="nil"/>
            </w:tcBorders>
          </w:tcPr>
          <w:p w14:paraId="5284A1CC"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49.9</w:t>
            </w:r>
          </w:p>
        </w:tc>
        <w:tc>
          <w:tcPr>
            <w:tcW w:w="976" w:type="dxa"/>
            <w:tcBorders>
              <w:top w:val="nil"/>
              <w:left w:val="nil"/>
              <w:bottom w:val="nil"/>
              <w:right w:val="nil"/>
            </w:tcBorders>
          </w:tcPr>
          <w:p w14:paraId="4540014D"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SCL</w:t>
            </w:r>
          </w:p>
        </w:tc>
        <w:tc>
          <w:tcPr>
            <w:tcW w:w="2610" w:type="dxa"/>
            <w:vMerge w:val="restart"/>
            <w:tcBorders>
              <w:top w:val="nil"/>
              <w:left w:val="nil"/>
              <w:bottom w:val="nil"/>
              <w:right w:val="nil"/>
            </w:tcBorders>
          </w:tcPr>
          <w:p w14:paraId="437EB9EB"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 xml:space="preserve">Volcanic dark red, moderately deep clay loam humic top soil classified as </w:t>
            </w:r>
            <w:proofErr w:type="spellStart"/>
            <w:r w:rsidRPr="00582808">
              <w:rPr>
                <w:sz w:val="22"/>
                <w:lang w:val="en-GB"/>
              </w:rPr>
              <w:t>nitosols</w:t>
            </w:r>
            <w:proofErr w:type="spellEnd"/>
          </w:p>
        </w:tc>
      </w:tr>
      <w:tr w:rsidR="00C20C12" w:rsidRPr="00582808" w14:paraId="69B81E39" w14:textId="77777777" w:rsidTr="00D568D7">
        <w:tc>
          <w:tcPr>
            <w:tcW w:w="1170" w:type="dxa"/>
            <w:vMerge/>
            <w:tcBorders>
              <w:left w:val="nil"/>
              <w:right w:val="nil"/>
            </w:tcBorders>
          </w:tcPr>
          <w:p w14:paraId="3295723F"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2A4CAD16"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10-20</w:t>
            </w:r>
          </w:p>
        </w:tc>
        <w:tc>
          <w:tcPr>
            <w:tcW w:w="1221" w:type="dxa"/>
            <w:tcBorders>
              <w:top w:val="nil"/>
              <w:left w:val="nil"/>
              <w:bottom w:val="nil"/>
              <w:right w:val="nil"/>
            </w:tcBorders>
          </w:tcPr>
          <w:p w14:paraId="5A98E26F"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34.80</w:t>
            </w:r>
          </w:p>
        </w:tc>
        <w:tc>
          <w:tcPr>
            <w:tcW w:w="711" w:type="dxa"/>
            <w:tcBorders>
              <w:top w:val="nil"/>
              <w:left w:val="nil"/>
              <w:bottom w:val="nil"/>
              <w:right w:val="nil"/>
            </w:tcBorders>
          </w:tcPr>
          <w:p w14:paraId="36339411"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45.6</w:t>
            </w:r>
          </w:p>
        </w:tc>
        <w:tc>
          <w:tcPr>
            <w:tcW w:w="711" w:type="dxa"/>
            <w:tcBorders>
              <w:top w:val="nil"/>
              <w:left w:val="nil"/>
              <w:bottom w:val="nil"/>
              <w:right w:val="nil"/>
            </w:tcBorders>
          </w:tcPr>
          <w:p w14:paraId="73C41E8C"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25.4</w:t>
            </w:r>
          </w:p>
        </w:tc>
        <w:tc>
          <w:tcPr>
            <w:tcW w:w="711" w:type="dxa"/>
            <w:tcBorders>
              <w:top w:val="nil"/>
              <w:left w:val="nil"/>
              <w:bottom w:val="nil"/>
              <w:right w:val="nil"/>
            </w:tcBorders>
          </w:tcPr>
          <w:p w14:paraId="45D4E0E9"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29.0</w:t>
            </w:r>
          </w:p>
        </w:tc>
        <w:tc>
          <w:tcPr>
            <w:tcW w:w="999" w:type="dxa"/>
            <w:tcBorders>
              <w:top w:val="nil"/>
              <w:left w:val="nil"/>
              <w:bottom w:val="nil"/>
              <w:right w:val="nil"/>
            </w:tcBorders>
          </w:tcPr>
          <w:p w14:paraId="12C534D2"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56.2</w:t>
            </w:r>
          </w:p>
        </w:tc>
        <w:tc>
          <w:tcPr>
            <w:tcW w:w="976" w:type="dxa"/>
            <w:tcBorders>
              <w:top w:val="nil"/>
              <w:left w:val="nil"/>
              <w:bottom w:val="nil"/>
              <w:right w:val="nil"/>
            </w:tcBorders>
          </w:tcPr>
          <w:p w14:paraId="32881E87"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SCL</w:t>
            </w:r>
          </w:p>
        </w:tc>
        <w:tc>
          <w:tcPr>
            <w:tcW w:w="2610" w:type="dxa"/>
            <w:vMerge/>
            <w:tcBorders>
              <w:top w:val="nil"/>
              <w:left w:val="nil"/>
              <w:bottom w:val="nil"/>
              <w:right w:val="nil"/>
            </w:tcBorders>
          </w:tcPr>
          <w:p w14:paraId="2B07EA66"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79629A5E" w14:textId="77777777" w:rsidTr="00D568D7">
        <w:tc>
          <w:tcPr>
            <w:tcW w:w="1170" w:type="dxa"/>
            <w:vMerge/>
            <w:tcBorders>
              <w:left w:val="nil"/>
              <w:right w:val="nil"/>
            </w:tcBorders>
          </w:tcPr>
          <w:p w14:paraId="576C625F"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nil"/>
              <w:right w:val="nil"/>
            </w:tcBorders>
          </w:tcPr>
          <w:p w14:paraId="7406C567"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20-30</w:t>
            </w:r>
          </w:p>
        </w:tc>
        <w:tc>
          <w:tcPr>
            <w:tcW w:w="1221" w:type="dxa"/>
            <w:tcBorders>
              <w:top w:val="nil"/>
              <w:left w:val="nil"/>
              <w:bottom w:val="nil"/>
              <w:right w:val="nil"/>
            </w:tcBorders>
          </w:tcPr>
          <w:p w14:paraId="42CFFA07" w14:textId="77777777" w:rsidR="00C20C12" w:rsidRPr="00582808" w:rsidRDefault="00C20C12" w:rsidP="00D568D7">
            <w:pPr>
              <w:tabs>
                <w:tab w:val="left" w:pos="1800"/>
                <w:tab w:val="left" w:pos="1890"/>
                <w:tab w:val="left" w:pos="2160"/>
              </w:tabs>
              <w:jc w:val="left"/>
              <w:rPr>
                <w:bCs/>
                <w:sz w:val="22"/>
                <w:lang w:val="en-GB"/>
              </w:rPr>
            </w:pPr>
          </w:p>
        </w:tc>
        <w:tc>
          <w:tcPr>
            <w:tcW w:w="711" w:type="dxa"/>
            <w:tcBorders>
              <w:top w:val="nil"/>
              <w:left w:val="nil"/>
              <w:bottom w:val="nil"/>
              <w:right w:val="nil"/>
            </w:tcBorders>
          </w:tcPr>
          <w:p w14:paraId="3FB7B0E4"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55.1</w:t>
            </w:r>
          </w:p>
        </w:tc>
        <w:tc>
          <w:tcPr>
            <w:tcW w:w="711" w:type="dxa"/>
            <w:tcBorders>
              <w:top w:val="nil"/>
              <w:left w:val="nil"/>
              <w:bottom w:val="nil"/>
              <w:right w:val="nil"/>
            </w:tcBorders>
          </w:tcPr>
          <w:p w14:paraId="0509E636"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18.5</w:t>
            </w:r>
          </w:p>
        </w:tc>
        <w:tc>
          <w:tcPr>
            <w:tcW w:w="711" w:type="dxa"/>
            <w:tcBorders>
              <w:top w:val="nil"/>
              <w:left w:val="nil"/>
              <w:bottom w:val="nil"/>
              <w:right w:val="nil"/>
            </w:tcBorders>
          </w:tcPr>
          <w:p w14:paraId="67D14EC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26.4</w:t>
            </w:r>
          </w:p>
        </w:tc>
        <w:tc>
          <w:tcPr>
            <w:tcW w:w="999" w:type="dxa"/>
            <w:tcBorders>
              <w:top w:val="nil"/>
              <w:left w:val="nil"/>
              <w:bottom w:val="nil"/>
              <w:right w:val="nil"/>
            </w:tcBorders>
          </w:tcPr>
          <w:p w14:paraId="63C7113C"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52.8</w:t>
            </w:r>
          </w:p>
        </w:tc>
        <w:tc>
          <w:tcPr>
            <w:tcW w:w="976" w:type="dxa"/>
            <w:tcBorders>
              <w:top w:val="nil"/>
              <w:left w:val="nil"/>
              <w:bottom w:val="nil"/>
              <w:right w:val="nil"/>
            </w:tcBorders>
          </w:tcPr>
          <w:p w14:paraId="66ED23CE"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SC</w:t>
            </w:r>
          </w:p>
        </w:tc>
        <w:tc>
          <w:tcPr>
            <w:tcW w:w="2610" w:type="dxa"/>
            <w:vMerge/>
            <w:tcBorders>
              <w:top w:val="nil"/>
              <w:left w:val="nil"/>
              <w:bottom w:val="nil"/>
              <w:right w:val="nil"/>
            </w:tcBorders>
          </w:tcPr>
          <w:p w14:paraId="32837D17"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502BFA53" w14:textId="77777777" w:rsidTr="00D568D7">
        <w:tc>
          <w:tcPr>
            <w:tcW w:w="1170" w:type="dxa"/>
            <w:vMerge/>
            <w:tcBorders>
              <w:left w:val="nil"/>
              <w:bottom w:val="single" w:sz="4" w:space="0" w:color="auto"/>
              <w:right w:val="nil"/>
            </w:tcBorders>
          </w:tcPr>
          <w:p w14:paraId="56C8FF22" w14:textId="77777777" w:rsidR="00C20C12" w:rsidRPr="00582808" w:rsidRDefault="00C20C12" w:rsidP="00D568D7">
            <w:pPr>
              <w:tabs>
                <w:tab w:val="left" w:pos="1800"/>
                <w:tab w:val="left" w:pos="1890"/>
                <w:tab w:val="left" w:pos="2160"/>
              </w:tabs>
              <w:jc w:val="left"/>
              <w:rPr>
                <w:bCs/>
                <w:sz w:val="22"/>
                <w:lang w:val="en-GB"/>
              </w:rPr>
            </w:pPr>
          </w:p>
        </w:tc>
        <w:tc>
          <w:tcPr>
            <w:tcW w:w="791" w:type="dxa"/>
            <w:tcBorders>
              <w:top w:val="nil"/>
              <w:left w:val="nil"/>
              <w:bottom w:val="single" w:sz="4" w:space="0" w:color="auto"/>
              <w:right w:val="nil"/>
            </w:tcBorders>
          </w:tcPr>
          <w:p w14:paraId="77F0A645"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40-60</w:t>
            </w:r>
          </w:p>
        </w:tc>
        <w:tc>
          <w:tcPr>
            <w:tcW w:w="1221" w:type="dxa"/>
            <w:tcBorders>
              <w:top w:val="nil"/>
              <w:left w:val="nil"/>
              <w:bottom w:val="single" w:sz="4" w:space="0" w:color="auto"/>
              <w:right w:val="nil"/>
            </w:tcBorders>
          </w:tcPr>
          <w:p w14:paraId="6627ACFC" w14:textId="77777777" w:rsidR="00C20C12" w:rsidRPr="00582808" w:rsidRDefault="00C20C12" w:rsidP="00D568D7">
            <w:pPr>
              <w:tabs>
                <w:tab w:val="left" w:pos="1800"/>
                <w:tab w:val="left" w:pos="1890"/>
                <w:tab w:val="left" w:pos="2160"/>
              </w:tabs>
              <w:jc w:val="left"/>
              <w:rPr>
                <w:bCs/>
                <w:sz w:val="22"/>
                <w:lang w:val="en-GB"/>
              </w:rPr>
            </w:pPr>
            <w:r w:rsidRPr="00582808">
              <w:rPr>
                <w:sz w:val="22"/>
                <w:lang w:val="en-GB"/>
              </w:rPr>
              <w:t>25.85</w:t>
            </w:r>
          </w:p>
        </w:tc>
        <w:tc>
          <w:tcPr>
            <w:tcW w:w="711" w:type="dxa"/>
            <w:tcBorders>
              <w:top w:val="nil"/>
              <w:left w:val="nil"/>
              <w:bottom w:val="single" w:sz="4" w:space="0" w:color="auto"/>
              <w:right w:val="nil"/>
            </w:tcBorders>
          </w:tcPr>
          <w:p w14:paraId="1B242C92"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56.9</w:t>
            </w:r>
          </w:p>
        </w:tc>
        <w:tc>
          <w:tcPr>
            <w:tcW w:w="711" w:type="dxa"/>
            <w:tcBorders>
              <w:top w:val="nil"/>
              <w:left w:val="nil"/>
              <w:bottom w:val="single" w:sz="4" w:space="0" w:color="auto"/>
              <w:right w:val="nil"/>
            </w:tcBorders>
          </w:tcPr>
          <w:p w14:paraId="55CE9B87"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18.4</w:t>
            </w:r>
          </w:p>
        </w:tc>
        <w:tc>
          <w:tcPr>
            <w:tcW w:w="711" w:type="dxa"/>
            <w:tcBorders>
              <w:top w:val="nil"/>
              <w:left w:val="nil"/>
              <w:bottom w:val="single" w:sz="4" w:space="0" w:color="auto"/>
              <w:right w:val="nil"/>
            </w:tcBorders>
          </w:tcPr>
          <w:p w14:paraId="7231769C"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24.7</w:t>
            </w:r>
          </w:p>
        </w:tc>
        <w:tc>
          <w:tcPr>
            <w:tcW w:w="999" w:type="dxa"/>
            <w:tcBorders>
              <w:top w:val="nil"/>
              <w:left w:val="nil"/>
              <w:bottom w:val="single" w:sz="4" w:space="0" w:color="auto"/>
              <w:right w:val="nil"/>
            </w:tcBorders>
          </w:tcPr>
          <w:p w14:paraId="6EA04670"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47.7</w:t>
            </w:r>
          </w:p>
        </w:tc>
        <w:tc>
          <w:tcPr>
            <w:tcW w:w="976" w:type="dxa"/>
            <w:tcBorders>
              <w:top w:val="nil"/>
              <w:left w:val="nil"/>
              <w:bottom w:val="single" w:sz="4" w:space="0" w:color="auto"/>
              <w:right w:val="nil"/>
            </w:tcBorders>
          </w:tcPr>
          <w:p w14:paraId="15BB3BFD" w14:textId="77777777" w:rsidR="00C20C12" w:rsidRPr="00582808" w:rsidRDefault="00C20C12" w:rsidP="00D568D7">
            <w:pPr>
              <w:tabs>
                <w:tab w:val="left" w:pos="1800"/>
                <w:tab w:val="left" w:pos="1890"/>
                <w:tab w:val="left" w:pos="2160"/>
              </w:tabs>
              <w:jc w:val="left"/>
              <w:rPr>
                <w:bCs/>
                <w:sz w:val="22"/>
                <w:lang w:val="en-GB"/>
              </w:rPr>
            </w:pPr>
            <w:r w:rsidRPr="00582808">
              <w:rPr>
                <w:bCs/>
                <w:sz w:val="22"/>
                <w:lang w:val="en-GB"/>
              </w:rPr>
              <w:t>SC</w:t>
            </w:r>
          </w:p>
        </w:tc>
        <w:tc>
          <w:tcPr>
            <w:tcW w:w="2610" w:type="dxa"/>
            <w:vMerge/>
            <w:tcBorders>
              <w:top w:val="nil"/>
              <w:left w:val="nil"/>
              <w:bottom w:val="single" w:sz="4" w:space="0" w:color="auto"/>
              <w:right w:val="nil"/>
            </w:tcBorders>
          </w:tcPr>
          <w:p w14:paraId="4AF911C8" w14:textId="77777777" w:rsidR="00C20C12" w:rsidRPr="00582808" w:rsidRDefault="00C20C12" w:rsidP="00D568D7">
            <w:pPr>
              <w:tabs>
                <w:tab w:val="left" w:pos="1800"/>
                <w:tab w:val="left" w:pos="1890"/>
                <w:tab w:val="left" w:pos="2160"/>
              </w:tabs>
              <w:jc w:val="left"/>
              <w:rPr>
                <w:b/>
                <w:bCs/>
                <w:sz w:val="22"/>
                <w:lang w:val="en-GB"/>
              </w:rPr>
            </w:pPr>
          </w:p>
        </w:tc>
      </w:tr>
      <w:tr w:rsidR="00C20C12" w:rsidRPr="00582808" w14:paraId="25C76023" w14:textId="77777777" w:rsidTr="00D568D7">
        <w:tc>
          <w:tcPr>
            <w:tcW w:w="9900" w:type="dxa"/>
            <w:gridSpan w:val="9"/>
            <w:tcBorders>
              <w:top w:val="single" w:sz="4" w:space="0" w:color="auto"/>
              <w:left w:val="nil"/>
              <w:bottom w:val="nil"/>
              <w:right w:val="nil"/>
            </w:tcBorders>
          </w:tcPr>
          <w:p w14:paraId="422F25BB" w14:textId="77777777" w:rsidR="00C20C12" w:rsidRPr="00582808" w:rsidRDefault="00C20C12" w:rsidP="00D568D7">
            <w:pPr>
              <w:tabs>
                <w:tab w:val="left" w:pos="1800"/>
                <w:tab w:val="left" w:pos="1890"/>
                <w:tab w:val="left" w:pos="2160"/>
              </w:tabs>
              <w:jc w:val="left"/>
              <w:rPr>
                <w:b/>
                <w:bCs/>
                <w:sz w:val="22"/>
                <w:lang w:val="en-GB"/>
              </w:rPr>
            </w:pPr>
            <w:r w:rsidRPr="00582808">
              <w:rPr>
                <w:sz w:val="22"/>
                <w:lang w:val="en-GB"/>
              </w:rPr>
              <w:t>CEC =Cation Exchange Capacity, C = Clay, SC = Sandy Clay, SCL = Sandy Clay Loam</w:t>
            </w:r>
          </w:p>
        </w:tc>
      </w:tr>
    </w:tbl>
    <w:p w14:paraId="6CBFD316" w14:textId="77777777" w:rsidR="00F4315E" w:rsidRPr="00582808" w:rsidRDefault="00F4315E" w:rsidP="0057578E">
      <w:pPr>
        <w:tabs>
          <w:tab w:val="left" w:pos="1350"/>
        </w:tabs>
        <w:spacing w:line="360" w:lineRule="auto"/>
        <w:rPr>
          <w:szCs w:val="24"/>
          <w:lang w:val="en-GB"/>
        </w:rPr>
      </w:pPr>
    </w:p>
    <w:p w14:paraId="1611F1EC" w14:textId="77777777" w:rsidR="0057578E" w:rsidRPr="00582808" w:rsidRDefault="0057578E" w:rsidP="0057578E">
      <w:pPr>
        <w:autoSpaceDE w:val="0"/>
        <w:autoSpaceDN w:val="0"/>
        <w:adjustRightInd w:val="0"/>
        <w:spacing w:line="360" w:lineRule="auto"/>
        <w:rPr>
          <w:szCs w:val="24"/>
          <w:lang w:val="en-GB"/>
        </w:rPr>
      </w:pPr>
      <w:r w:rsidRPr="00582808">
        <w:rPr>
          <w:szCs w:val="24"/>
          <w:lang w:val="en-GB"/>
        </w:rPr>
        <w:t xml:space="preserve">At each site, trial was laid out as factorial two (5x3) in randomized complete block design and replicated 3 times. The main treatments were the seven sites with five nitrogen rates (0, 75, 150, 225 and 300 kg N/ha/year) as NPKS 25:5:5:5 and sub-treatments were three plucking intervals (7, 14 and 21 days). Each plot comprised of 50 bushes of clone TRFK 6/8. Tea </w:t>
      </w:r>
      <w:r w:rsidR="00582808" w:rsidRPr="00582808">
        <w:rPr>
          <w:szCs w:val="24"/>
          <w:lang w:val="en-GB"/>
        </w:rPr>
        <w:t xml:space="preserve">plants </w:t>
      </w:r>
      <w:r w:rsidRPr="00582808">
        <w:rPr>
          <w:szCs w:val="24"/>
          <w:lang w:val="en-GB"/>
        </w:rPr>
        <w:t xml:space="preserve">at </w:t>
      </w:r>
      <w:r w:rsidR="009B453E" w:rsidRPr="00582808">
        <w:rPr>
          <w:szCs w:val="24"/>
          <w:lang w:val="en-GB"/>
        </w:rPr>
        <w:t>all</w:t>
      </w:r>
      <w:r w:rsidRPr="00582808">
        <w:rPr>
          <w:szCs w:val="24"/>
          <w:lang w:val="en-GB"/>
        </w:rPr>
        <w:t xml:space="preserve"> site</w:t>
      </w:r>
      <w:r w:rsidR="009B453E" w:rsidRPr="00582808">
        <w:rPr>
          <w:szCs w:val="24"/>
          <w:lang w:val="en-GB"/>
        </w:rPr>
        <w:t>s</w:t>
      </w:r>
      <w:r w:rsidRPr="00582808">
        <w:rPr>
          <w:szCs w:val="24"/>
          <w:lang w:val="en-GB"/>
        </w:rPr>
        <w:t xml:space="preserve"> w</w:t>
      </w:r>
      <w:r w:rsidR="009B453E" w:rsidRPr="00582808">
        <w:rPr>
          <w:szCs w:val="24"/>
          <w:lang w:val="en-GB"/>
        </w:rPr>
        <w:t>ere</w:t>
      </w:r>
      <w:r w:rsidRPr="00582808">
        <w:rPr>
          <w:szCs w:val="24"/>
          <w:lang w:val="en-GB"/>
        </w:rPr>
        <w:t xml:space="preserve"> pruned </w:t>
      </w:r>
      <w:r w:rsidR="009B453E" w:rsidRPr="00582808">
        <w:rPr>
          <w:szCs w:val="24"/>
          <w:lang w:val="en-GB"/>
        </w:rPr>
        <w:t>at the same time and</w:t>
      </w:r>
      <w:r w:rsidRPr="00582808">
        <w:rPr>
          <w:szCs w:val="24"/>
          <w:lang w:val="en-GB"/>
        </w:rPr>
        <w:t xml:space="preserve"> all plants were in same pruning cycle life.</w:t>
      </w:r>
      <w:r w:rsidRPr="00582808">
        <w:rPr>
          <w:color w:val="000000"/>
          <w:szCs w:val="24"/>
          <w:lang w:val="en-GB"/>
        </w:rPr>
        <w:t xml:space="preserve"> </w:t>
      </w:r>
      <w:r w:rsidRPr="00582808">
        <w:rPr>
          <w:szCs w:val="24"/>
          <w:lang w:val="en-GB"/>
        </w:rPr>
        <w:t>The treatments commenced in September/October 2012 on when there was adequate soil moisture. In subsequent years, the trials received fertilizers in September/October in single annual dose.</w:t>
      </w:r>
    </w:p>
    <w:bookmarkEnd w:id="2"/>
    <w:p w14:paraId="497AB92F" w14:textId="4820FC59" w:rsidR="003F6229" w:rsidRPr="00582808" w:rsidRDefault="003F6229" w:rsidP="003F6229">
      <w:pPr>
        <w:spacing w:line="360" w:lineRule="auto"/>
        <w:rPr>
          <w:szCs w:val="24"/>
          <w:lang w:val="en-GB"/>
        </w:rPr>
      </w:pPr>
      <w:r w:rsidRPr="00582808">
        <w:rPr>
          <w:color w:val="000000"/>
          <w:szCs w:val="24"/>
          <w:lang w:val="en-GB"/>
        </w:rPr>
        <w:t xml:space="preserve">Yields data </w:t>
      </w:r>
      <w:r w:rsidR="00914B75" w:rsidRPr="00582808">
        <w:rPr>
          <w:color w:val="000000"/>
          <w:szCs w:val="24"/>
          <w:lang w:val="en-GB"/>
        </w:rPr>
        <w:t>for the regressions</w:t>
      </w:r>
      <w:r w:rsidRPr="00582808">
        <w:rPr>
          <w:color w:val="000000"/>
          <w:szCs w:val="24"/>
          <w:lang w:val="en-GB"/>
        </w:rPr>
        <w:t xml:space="preserve"> obtained from fertilizer trials </w:t>
      </w:r>
      <w:r w:rsidRPr="00582808">
        <w:rPr>
          <w:szCs w:val="24"/>
          <w:lang w:val="en-GB"/>
        </w:rPr>
        <w:t xml:space="preserve">on clone TRFK 6/8 at the scheduled experimental plucking regime have been reported in previous studies </w:t>
      </w:r>
      <w:r w:rsidRPr="00582808">
        <w:rPr>
          <w:szCs w:val="24"/>
          <w:lang w:val="en-GB"/>
        </w:rPr>
        <w:fldChar w:fldCharType="begin">
          <w:fldData xml:space="preserve">PEVuZE5vdGU+PENpdGU+PEF1dGhvcj5PbWJvcmk8L0F1dGhvcj48WWVhcj4yMDIwPC9ZZWFyPjxS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</w:fldData>
        </w:fldChar>
      </w:r>
      <w:r w:rsidR="00175EB1">
        <w:rPr>
          <w:szCs w:val="24"/>
          <w:lang w:val="en-GB"/>
        </w:rPr>
        <w:instrText xml:space="preserve"> ADDIN EN.CITE </w:instrText>
      </w:r>
      <w:r w:rsidR="00175EB1">
        <w:rPr>
          <w:szCs w:val="24"/>
          <w:lang w:val="en-GB"/>
        </w:rPr>
        <w:fldChar w:fldCharType="begin">
          <w:fldData xml:space="preserve">PEVuZE5vdGU+PENpdGU+PEF1dGhvcj5PbWJvcmk8L0F1dGhvcj48WWVhcj4yMDIwPC9ZZWFyPjxS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</w:fldData>
        </w:fldChar>
      </w:r>
      <w:r w:rsidR="00175EB1">
        <w:rPr>
          <w:szCs w:val="24"/>
          <w:lang w:val="en-GB"/>
        </w:rPr>
        <w:instrText xml:space="preserve"> ADDIN EN.CITE.DATA </w:instrText>
      </w:r>
      <w:r w:rsidR="00175EB1">
        <w:rPr>
          <w:szCs w:val="24"/>
          <w:lang w:val="en-GB"/>
        </w:rPr>
      </w:r>
      <w:r w:rsidR="00175EB1">
        <w:rPr>
          <w:szCs w:val="24"/>
          <w:lang w:val="en-GB"/>
        </w:rPr>
        <w:fldChar w:fldCharType="end"/>
      </w:r>
      <w:r w:rsidRPr="00582808">
        <w:rPr>
          <w:szCs w:val="24"/>
          <w:lang w:val="en-GB"/>
        </w:rPr>
      </w:r>
      <w:r w:rsidRPr="00582808">
        <w:rPr>
          <w:szCs w:val="24"/>
          <w:lang w:val="en-GB"/>
        </w:rPr>
        <w:fldChar w:fldCharType="separate"/>
      </w:r>
      <w:r w:rsidR="00175EB1">
        <w:rPr>
          <w:noProof/>
          <w:szCs w:val="24"/>
          <w:lang w:val="en-GB"/>
        </w:rPr>
        <w:t>(Msomba et al., 2014; Ombori et al., 2020)</w:t>
      </w:r>
      <w:r w:rsidRPr="00582808">
        <w:rPr>
          <w:szCs w:val="24"/>
          <w:lang w:val="en-GB"/>
        </w:rPr>
        <w:fldChar w:fldCharType="end"/>
      </w:r>
      <w:r w:rsidRPr="00582808">
        <w:rPr>
          <w:color w:val="000000"/>
          <w:szCs w:val="24"/>
          <w:lang w:val="en-GB"/>
        </w:rPr>
        <w:t>.</w:t>
      </w:r>
      <w:r w:rsidRPr="00582808">
        <w:rPr>
          <w:szCs w:val="24"/>
          <w:lang w:val="en-GB"/>
        </w:rPr>
        <w:t xml:space="preserve"> Soil was sampled before annual fertilizer application. The sampling was done from 3 points within a plot using calibrated steel auger then mixed, at depths of 0-10cm, 10-20cm, 20-30cm, 40-60cm from all plots. Part of the freshly sampled soils was used for soil nitrogen determination. </w:t>
      </w:r>
      <w:r w:rsidRPr="00582808">
        <w:rPr>
          <w:szCs w:val="24"/>
          <w:lang w:val="en-GB"/>
        </w:rPr>
        <w:lastRenderedPageBreak/>
        <w:t>The remaining samples were air-dried, ground into fine powder (&lt;2mm) using a ceramic mortar and pestle before processing and chemical analysis.</w:t>
      </w:r>
    </w:p>
    <w:p w14:paraId="041F20BC" w14:textId="77777777" w:rsidR="00B63D24" w:rsidRPr="00582808" w:rsidRDefault="00B63D24" w:rsidP="00B63D24">
      <w:pPr>
        <w:rPr>
          <w:szCs w:val="24"/>
          <w:lang w:val="en-GB"/>
        </w:rPr>
      </w:pPr>
    </w:p>
    <w:p w14:paraId="39378BE9" w14:textId="77777777" w:rsidR="00F064B0" w:rsidRPr="00582808" w:rsidRDefault="00F064B0" w:rsidP="00F064B0">
      <w:pPr>
        <w:pStyle w:val="Heading2"/>
        <w:spacing w:before="0" w:after="0" w:line="360" w:lineRule="auto"/>
        <w:rPr>
          <w:rFonts w:ascii="Times New Roman" w:hAnsi="Times New Roman"/>
          <w:i w:val="0"/>
          <w:sz w:val="24"/>
          <w:szCs w:val="24"/>
          <w:lang w:val="en-GB"/>
        </w:rPr>
      </w:pPr>
      <w:bookmarkStart w:id="3" w:name="_Toc532602675"/>
      <w:r w:rsidRPr="00582808">
        <w:rPr>
          <w:rFonts w:ascii="Times New Roman" w:hAnsi="Times New Roman"/>
          <w:i w:val="0"/>
          <w:sz w:val="24"/>
          <w:szCs w:val="24"/>
          <w:lang w:val="en-GB"/>
        </w:rPr>
        <w:t>Soil Nutrient Extraction and Determination</w:t>
      </w:r>
      <w:bookmarkEnd w:id="3"/>
    </w:p>
    <w:p w14:paraId="22FF4BA7" w14:textId="77777777" w:rsidR="00F064B0" w:rsidRPr="00582808" w:rsidRDefault="00F064B0" w:rsidP="00F064B0">
      <w:pPr>
        <w:autoSpaceDE w:val="0"/>
        <w:autoSpaceDN w:val="0"/>
        <w:adjustRightInd w:val="0"/>
        <w:spacing w:line="360" w:lineRule="auto"/>
        <w:rPr>
          <w:b/>
          <w:szCs w:val="24"/>
          <w:lang w:val="en-GB"/>
        </w:rPr>
      </w:pPr>
      <w:r w:rsidRPr="00582808">
        <w:rPr>
          <w:b/>
          <w:szCs w:val="24"/>
          <w:lang w:val="en-GB"/>
        </w:rPr>
        <w:t>Nitrogen-</w:t>
      </w:r>
      <w:r w:rsidRPr="00582808">
        <w:rPr>
          <w:szCs w:val="24"/>
          <w:lang w:val="en-GB"/>
        </w:rPr>
        <w:t xml:space="preserve"> </w:t>
      </w:r>
      <w:proofErr w:type="spellStart"/>
      <w:r w:rsidRPr="00582808">
        <w:rPr>
          <w:b/>
          <w:szCs w:val="24"/>
          <w:lang w:val="en-GB"/>
        </w:rPr>
        <w:t>Kjeldhal</w:t>
      </w:r>
      <w:proofErr w:type="spellEnd"/>
      <w:r w:rsidRPr="00582808">
        <w:rPr>
          <w:b/>
          <w:szCs w:val="24"/>
          <w:lang w:val="en-GB"/>
        </w:rPr>
        <w:t xml:space="preserve"> Method</w:t>
      </w:r>
    </w:p>
    <w:p w14:paraId="37060FA0" w14:textId="75008D4A" w:rsidR="00F064B0" w:rsidRPr="00582808" w:rsidRDefault="00F064B0" w:rsidP="00F064B0">
      <w:pPr>
        <w:autoSpaceDE w:val="0"/>
        <w:autoSpaceDN w:val="0"/>
        <w:adjustRightInd w:val="0"/>
        <w:spacing w:line="360" w:lineRule="auto"/>
        <w:rPr>
          <w:szCs w:val="24"/>
          <w:lang w:val="en-GB"/>
        </w:rPr>
      </w:pPr>
      <w:r w:rsidRPr="00582808">
        <w:rPr>
          <w:szCs w:val="24"/>
          <w:lang w:val="en-GB"/>
        </w:rPr>
        <w:t xml:space="preserve">Total nitrogen concentrations in the soils were determined by extraction of 10 grams of freshly sampled soils using 50 mL of 2M potassium chloride (KCl) solution </w:t>
      </w:r>
      <w:r w:rsidRPr="00582808">
        <w:rPr>
          <w:szCs w:val="24"/>
          <w:lang w:val="en-GB"/>
        </w:rPr>
        <w:fldChar w:fldCharType="begin"/>
      </w:r>
      <w:r w:rsidR="00175EB1">
        <w:rPr>
          <w:szCs w:val="24"/>
          <w:lang w:val="en-GB"/>
        </w:rPr>
        <w:instrText xml:space="preserve"> ADDIN EN.CITE &lt;EndNote&gt;&lt;Cite&gt;&lt;Author&gt;Bremner&lt;/Author&gt;&lt;Year&gt;1982&lt;/Year&gt;&lt;RecNum&gt;81&lt;/RecNum&gt;&lt;DisplayText&gt;(Bremner &amp;amp; Mulveney, 1982)&lt;/DisplayText&gt;&lt;record&gt;&lt;rec-number&gt;81&lt;/rec-number&gt;&lt;foreign-keys&gt;&lt;key app="EN" db-id="zx5vprwxa0rsabew9f9xp5fcs9tz0dzwa2fa" timestamp="1595616476"&gt;81&lt;/key&gt;&lt;/foreign-keys&gt;&lt;ref-type name="Book Section"&gt;5&lt;/ref-type&gt;&lt;contributors&gt;&lt;authors&gt;&lt;author&gt;Bremner, J. M.&lt;/author&gt;&lt;author&gt;Mulveney, C. S.&lt;/author&gt;&lt;/authors&gt;&lt;secondary-authors&gt;&lt;author&gt;Page, A.L.&lt;/author&gt;&lt;/secondary-authors&gt;&lt;/contributors&gt;&lt;titles&gt;&lt;title&gt;Nitrogen total&lt;/title&gt;&lt;secondary-title&gt;Methods of Soil Analysis. Agronomy No 9. Part 2; Chemicals and Microbiological Properties&lt;/secondary-title&gt;&lt;/titles&gt;&lt;pages&gt;595-624&lt;/pages&gt;&lt;number&gt;2nd&lt;/number&gt;&lt;dates&gt;&lt;year&gt;1982&lt;/year&gt;&lt;/dates&gt;&lt;pub-location&gt;Madison&lt;/pub-location&gt;&lt;publisher&gt;American Society of Agronomy&lt;/publisher&gt;&lt;urls&gt;&lt;/urls&gt;&lt;/record&gt;&lt;/Cite&gt;&lt;/EndNote&gt;</w:instrText>
      </w:r>
      <w:r w:rsidRPr="00582808">
        <w:rPr>
          <w:szCs w:val="24"/>
          <w:lang w:val="en-GB"/>
        </w:rPr>
        <w:fldChar w:fldCharType="separate"/>
      </w:r>
      <w:r w:rsidR="00175EB1">
        <w:rPr>
          <w:noProof/>
          <w:szCs w:val="24"/>
          <w:lang w:val="en-GB"/>
        </w:rPr>
        <w:t>(Bremner &amp; Mulveney, 1982)</w:t>
      </w:r>
      <w:r w:rsidRPr="00582808">
        <w:rPr>
          <w:szCs w:val="24"/>
          <w:lang w:val="en-GB"/>
        </w:rPr>
        <w:fldChar w:fldCharType="end"/>
      </w:r>
      <w:r w:rsidRPr="00582808">
        <w:rPr>
          <w:szCs w:val="24"/>
          <w:lang w:val="en-GB"/>
        </w:rPr>
        <w:t xml:space="preserve">. After shaking in a reciprocal shaker for one hour, the </w:t>
      </w:r>
      <w:r w:rsidR="00582808" w:rsidRPr="00582808">
        <w:rPr>
          <w:szCs w:val="24"/>
          <w:lang w:val="en-GB"/>
        </w:rPr>
        <w:t>extracts were filtered through W</w:t>
      </w:r>
      <w:r w:rsidRPr="00582808">
        <w:rPr>
          <w:szCs w:val="24"/>
          <w:lang w:val="en-GB"/>
        </w:rPr>
        <w:t>hatman No.2 filter paper and the filtrates used for the analysis of ammonium and nitrate-N. The distillates of NH</w:t>
      </w:r>
      <w:r w:rsidRPr="00582808">
        <w:rPr>
          <w:szCs w:val="24"/>
          <w:vertAlign w:val="subscript"/>
          <w:lang w:val="en-GB"/>
        </w:rPr>
        <w:t>4</w:t>
      </w:r>
      <w:r w:rsidRPr="00582808">
        <w:rPr>
          <w:szCs w:val="24"/>
          <w:lang w:val="en-GB"/>
        </w:rPr>
        <w:t>-N were generated by digesting 10 mL of the soil sample filtrates using magnesium oxide and NH</w:t>
      </w:r>
      <w:r w:rsidRPr="00582808">
        <w:rPr>
          <w:szCs w:val="24"/>
          <w:vertAlign w:val="subscript"/>
          <w:lang w:val="en-GB"/>
        </w:rPr>
        <w:t>3</w:t>
      </w:r>
      <w:r w:rsidRPr="00582808">
        <w:rPr>
          <w:szCs w:val="24"/>
          <w:lang w:val="en-GB"/>
        </w:rPr>
        <w:t xml:space="preserve">-N after addition of </w:t>
      </w:r>
      <w:proofErr w:type="spellStart"/>
      <w:r w:rsidRPr="00582808">
        <w:rPr>
          <w:szCs w:val="24"/>
          <w:lang w:val="en-GB"/>
        </w:rPr>
        <w:t>devarda’s</w:t>
      </w:r>
      <w:proofErr w:type="spellEnd"/>
      <w:r w:rsidRPr="00582808">
        <w:rPr>
          <w:szCs w:val="24"/>
          <w:lang w:val="en-GB"/>
        </w:rPr>
        <w:t xml:space="preserve"> alloy. The distillates were collected in 50 mL conical flasks before being titrated using 0.005M </w:t>
      </w:r>
      <w:r w:rsidR="00582808" w:rsidRPr="00582808">
        <w:rPr>
          <w:szCs w:val="24"/>
          <w:lang w:val="en-GB"/>
        </w:rPr>
        <w:t>sul</w:t>
      </w:r>
      <w:r w:rsidR="00582808">
        <w:rPr>
          <w:szCs w:val="24"/>
          <w:lang w:val="en-GB"/>
        </w:rPr>
        <w:t>ph</w:t>
      </w:r>
      <w:r w:rsidR="00582808" w:rsidRPr="00582808">
        <w:rPr>
          <w:szCs w:val="24"/>
          <w:lang w:val="en-GB"/>
        </w:rPr>
        <w:t>uric</w:t>
      </w:r>
      <w:r w:rsidRPr="00582808">
        <w:rPr>
          <w:szCs w:val="24"/>
          <w:lang w:val="en-GB"/>
        </w:rPr>
        <w:t xml:space="preserve"> (VI) acid (H</w:t>
      </w:r>
      <w:r w:rsidRPr="00582808">
        <w:rPr>
          <w:szCs w:val="24"/>
          <w:vertAlign w:val="subscript"/>
          <w:lang w:val="en-GB"/>
        </w:rPr>
        <w:t>2</w:t>
      </w:r>
      <w:r w:rsidRPr="00582808">
        <w:rPr>
          <w:szCs w:val="24"/>
          <w:lang w:val="en-GB"/>
        </w:rPr>
        <w:t>SO</w:t>
      </w:r>
      <w:r w:rsidRPr="00582808">
        <w:rPr>
          <w:szCs w:val="24"/>
          <w:vertAlign w:val="subscript"/>
          <w:lang w:val="en-GB"/>
        </w:rPr>
        <w:t>4</w:t>
      </w:r>
      <w:r w:rsidRPr="00582808">
        <w:rPr>
          <w:szCs w:val="24"/>
          <w:lang w:val="en-GB"/>
        </w:rPr>
        <w:t>)</w:t>
      </w:r>
      <w:r w:rsidRPr="00582808">
        <w:rPr>
          <w:szCs w:val="24"/>
          <w:vertAlign w:val="subscript"/>
          <w:lang w:val="en-GB"/>
        </w:rPr>
        <w:t xml:space="preserve">. </w:t>
      </w:r>
      <w:r w:rsidRPr="00582808">
        <w:rPr>
          <w:szCs w:val="24"/>
          <w:lang w:val="en-GB"/>
        </w:rPr>
        <w:t>The percentage of nitrogen was calculated using the formula.</w:t>
      </w:r>
    </w:p>
    <w:p w14:paraId="7E922B50" w14:textId="77777777" w:rsidR="00F064B0" w:rsidRPr="00582808" w:rsidRDefault="00F064B0" w:rsidP="00F064B0">
      <w:pPr>
        <w:autoSpaceDE w:val="0"/>
        <w:autoSpaceDN w:val="0"/>
        <w:adjustRightInd w:val="0"/>
        <w:spacing w:line="360" w:lineRule="auto"/>
        <w:rPr>
          <w:szCs w:val="24"/>
          <w:u w:val="single"/>
          <w:lang w:val="en-GB"/>
        </w:rPr>
      </w:pPr>
      <w:r w:rsidRPr="00582808">
        <w:rPr>
          <w:szCs w:val="24"/>
          <w:lang w:val="en-GB"/>
        </w:rPr>
        <w:t xml:space="preserve">         % N in soil sample = </w:t>
      </w:r>
      <w:r w:rsidRPr="00582808">
        <w:rPr>
          <w:szCs w:val="24"/>
          <w:u w:val="single"/>
          <w:lang w:val="en-GB"/>
        </w:rPr>
        <w:t>V x N x 14</w:t>
      </w:r>
      <w:r w:rsidRPr="00582808">
        <w:rPr>
          <w:szCs w:val="24"/>
          <w:lang w:val="en-GB"/>
        </w:rPr>
        <w:t xml:space="preserve">   </w:t>
      </w:r>
    </w:p>
    <w:p w14:paraId="48949320" w14:textId="77777777" w:rsidR="00F064B0" w:rsidRPr="00582808" w:rsidRDefault="00F064B0" w:rsidP="00F064B0">
      <w:pPr>
        <w:autoSpaceDE w:val="0"/>
        <w:autoSpaceDN w:val="0"/>
        <w:adjustRightInd w:val="0"/>
        <w:spacing w:line="360" w:lineRule="auto"/>
        <w:rPr>
          <w:szCs w:val="24"/>
          <w:lang w:val="en-GB"/>
        </w:rPr>
      </w:pPr>
      <w:r w:rsidRPr="00582808">
        <w:rPr>
          <w:szCs w:val="24"/>
          <w:lang w:val="en-GB"/>
        </w:rPr>
        <w:t xml:space="preserve">                                              10 x </w:t>
      </w:r>
      <w:proofErr w:type="spellStart"/>
      <w:r w:rsidRPr="00582808">
        <w:rPr>
          <w:szCs w:val="24"/>
          <w:lang w:val="en-GB"/>
        </w:rPr>
        <w:t>wt</w:t>
      </w:r>
      <w:proofErr w:type="spellEnd"/>
      <w:r w:rsidRPr="00582808">
        <w:rPr>
          <w:szCs w:val="24"/>
          <w:lang w:val="en-GB"/>
        </w:rPr>
        <w:t xml:space="preserve">     </w:t>
      </w:r>
    </w:p>
    <w:p w14:paraId="06DCFE3B" w14:textId="77777777" w:rsidR="00F064B0" w:rsidRPr="00582808" w:rsidRDefault="00F064B0" w:rsidP="00F064B0">
      <w:pPr>
        <w:autoSpaceDE w:val="0"/>
        <w:autoSpaceDN w:val="0"/>
        <w:adjustRightInd w:val="0"/>
        <w:spacing w:line="360" w:lineRule="auto"/>
        <w:rPr>
          <w:szCs w:val="24"/>
          <w:lang w:val="en-GB"/>
        </w:rPr>
      </w:pPr>
      <w:r w:rsidRPr="00582808">
        <w:rPr>
          <w:szCs w:val="24"/>
          <w:lang w:val="en-GB"/>
        </w:rPr>
        <w:t xml:space="preserve">            Where    V= titre value, N= Normality of H</w:t>
      </w:r>
      <w:r w:rsidRPr="00582808">
        <w:rPr>
          <w:szCs w:val="24"/>
          <w:vertAlign w:val="subscript"/>
          <w:lang w:val="en-GB"/>
        </w:rPr>
        <w:t>2</w:t>
      </w:r>
      <w:r w:rsidRPr="00582808">
        <w:rPr>
          <w:szCs w:val="24"/>
          <w:lang w:val="en-GB"/>
        </w:rPr>
        <w:t>SO</w:t>
      </w:r>
      <w:r w:rsidRPr="00582808">
        <w:rPr>
          <w:szCs w:val="24"/>
          <w:vertAlign w:val="subscript"/>
          <w:lang w:val="en-GB"/>
        </w:rPr>
        <w:t>4</w:t>
      </w:r>
      <w:r w:rsidRPr="00582808">
        <w:rPr>
          <w:szCs w:val="24"/>
          <w:lang w:val="en-GB"/>
        </w:rPr>
        <w:t xml:space="preserve">, </w:t>
      </w:r>
      <w:proofErr w:type="spellStart"/>
      <w:r w:rsidRPr="00582808">
        <w:rPr>
          <w:szCs w:val="24"/>
          <w:lang w:val="en-GB"/>
        </w:rPr>
        <w:t>Wt</w:t>
      </w:r>
      <w:proofErr w:type="spellEnd"/>
      <w:r w:rsidRPr="00582808">
        <w:rPr>
          <w:szCs w:val="24"/>
          <w:lang w:val="en-GB"/>
        </w:rPr>
        <w:t>= weight of the soil sample</w:t>
      </w:r>
    </w:p>
    <w:p w14:paraId="6711DB79" w14:textId="77777777" w:rsidR="00A17CDD" w:rsidRPr="00582808" w:rsidRDefault="00A17CDD" w:rsidP="00912620">
      <w:pPr>
        <w:autoSpaceDE w:val="0"/>
        <w:autoSpaceDN w:val="0"/>
        <w:adjustRightInd w:val="0"/>
        <w:spacing w:line="360" w:lineRule="auto"/>
        <w:rPr>
          <w:szCs w:val="24"/>
          <w:lang w:val="en-GB"/>
        </w:rPr>
      </w:pPr>
    </w:p>
    <w:p w14:paraId="331D9A15" w14:textId="77777777" w:rsidR="00243EB4" w:rsidRPr="00582808" w:rsidRDefault="008C18CA" w:rsidP="00243EB4">
      <w:pPr>
        <w:autoSpaceDE w:val="0"/>
        <w:autoSpaceDN w:val="0"/>
        <w:adjustRightInd w:val="0"/>
        <w:spacing w:line="360" w:lineRule="auto"/>
        <w:rPr>
          <w:b/>
          <w:szCs w:val="24"/>
          <w:lang w:val="en-GB"/>
        </w:rPr>
      </w:pPr>
      <w:bookmarkStart w:id="4" w:name="_Toc532602678"/>
      <w:r w:rsidRPr="00582808">
        <w:rPr>
          <w:b/>
          <w:szCs w:val="24"/>
          <w:lang w:val="en-GB"/>
        </w:rPr>
        <w:t>Phosphorus</w:t>
      </w:r>
      <w:r w:rsidR="009B453E" w:rsidRPr="00582808">
        <w:rPr>
          <w:b/>
          <w:szCs w:val="24"/>
          <w:lang w:val="en-GB"/>
        </w:rPr>
        <w:t xml:space="preserve"> and</w:t>
      </w:r>
      <w:r w:rsidRPr="00582808">
        <w:rPr>
          <w:b/>
          <w:szCs w:val="24"/>
          <w:lang w:val="en-GB"/>
        </w:rPr>
        <w:t xml:space="preserve"> Potassium</w:t>
      </w:r>
    </w:p>
    <w:p w14:paraId="11ACEB67" w14:textId="77777777" w:rsidR="00243EB4" w:rsidRPr="00582808" w:rsidRDefault="00243EB4" w:rsidP="00243EB4">
      <w:pPr>
        <w:autoSpaceDE w:val="0"/>
        <w:autoSpaceDN w:val="0"/>
        <w:adjustRightInd w:val="0"/>
        <w:spacing w:line="360" w:lineRule="auto"/>
        <w:rPr>
          <w:b/>
          <w:szCs w:val="24"/>
          <w:lang w:val="en-GB"/>
        </w:rPr>
      </w:pPr>
      <w:r w:rsidRPr="00582808">
        <w:rPr>
          <w:spacing w:val="-2"/>
          <w:szCs w:val="24"/>
          <w:lang w:val="en-GB"/>
        </w:rPr>
        <w:t>Mehlich-3 extracting solution (</w:t>
      </w:r>
      <w:proofErr w:type="spellStart"/>
      <w:r w:rsidRPr="00582808">
        <w:rPr>
          <w:spacing w:val="-2"/>
          <w:szCs w:val="24"/>
          <w:lang w:val="en-GB"/>
        </w:rPr>
        <w:t>Mehlich</w:t>
      </w:r>
      <w:proofErr w:type="spellEnd"/>
      <w:r w:rsidRPr="00582808">
        <w:rPr>
          <w:spacing w:val="-2"/>
          <w:szCs w:val="24"/>
          <w:lang w:val="en-GB"/>
        </w:rPr>
        <w:t>, 1984), a mixture of 0.2 N C</w:t>
      </w:r>
      <w:r w:rsidRPr="00582808">
        <w:rPr>
          <w:szCs w:val="24"/>
          <w:lang w:val="en-GB"/>
        </w:rPr>
        <w:t>H</w:t>
      </w:r>
      <w:r w:rsidRPr="00582808">
        <w:rPr>
          <w:spacing w:val="-2"/>
          <w:szCs w:val="24"/>
          <w:vertAlign w:val="subscript"/>
          <w:lang w:val="en-GB"/>
        </w:rPr>
        <w:t>3</w:t>
      </w:r>
      <w:r w:rsidRPr="00582808">
        <w:rPr>
          <w:spacing w:val="-2"/>
          <w:szCs w:val="24"/>
          <w:lang w:val="en-GB"/>
        </w:rPr>
        <w:t>COOH</w:t>
      </w:r>
      <w:r w:rsidRPr="00582808">
        <w:rPr>
          <w:spacing w:val="-4"/>
          <w:szCs w:val="24"/>
          <w:lang w:val="en-GB"/>
        </w:rPr>
        <w:t xml:space="preserve">, </w:t>
      </w:r>
      <w:r w:rsidRPr="00582808">
        <w:rPr>
          <w:spacing w:val="-2"/>
          <w:szCs w:val="24"/>
          <w:lang w:val="en-GB"/>
        </w:rPr>
        <w:t>0.25N N</w:t>
      </w:r>
      <w:r w:rsidRPr="00582808">
        <w:rPr>
          <w:szCs w:val="24"/>
          <w:lang w:val="en-GB"/>
        </w:rPr>
        <w:t>H</w:t>
      </w:r>
      <w:r w:rsidRPr="00582808">
        <w:rPr>
          <w:spacing w:val="-2"/>
          <w:szCs w:val="24"/>
          <w:vertAlign w:val="subscript"/>
          <w:lang w:val="en-GB"/>
        </w:rPr>
        <w:t>4</w:t>
      </w:r>
      <w:r w:rsidRPr="00582808">
        <w:rPr>
          <w:spacing w:val="-2"/>
          <w:szCs w:val="24"/>
          <w:lang w:val="en-GB"/>
        </w:rPr>
        <w:t>N</w:t>
      </w:r>
      <w:r w:rsidRPr="00582808">
        <w:rPr>
          <w:szCs w:val="24"/>
          <w:lang w:val="en-GB"/>
        </w:rPr>
        <w:t>O</w:t>
      </w:r>
      <w:r w:rsidRPr="00582808">
        <w:rPr>
          <w:spacing w:val="-2"/>
          <w:szCs w:val="24"/>
          <w:vertAlign w:val="subscript"/>
          <w:lang w:val="en-GB"/>
        </w:rPr>
        <w:t>3</w:t>
      </w:r>
      <w:r w:rsidRPr="00582808">
        <w:rPr>
          <w:spacing w:val="-2"/>
          <w:szCs w:val="24"/>
          <w:lang w:val="en-GB"/>
        </w:rPr>
        <w:t>, 0.015N N</w:t>
      </w:r>
      <w:r w:rsidRPr="00582808">
        <w:rPr>
          <w:szCs w:val="24"/>
          <w:lang w:val="en-GB"/>
        </w:rPr>
        <w:t>H</w:t>
      </w:r>
      <w:r w:rsidRPr="00582808">
        <w:rPr>
          <w:spacing w:val="-2"/>
          <w:szCs w:val="24"/>
          <w:vertAlign w:val="subscript"/>
          <w:lang w:val="en-GB"/>
        </w:rPr>
        <w:t>4</w:t>
      </w:r>
      <w:r w:rsidRPr="00582808">
        <w:rPr>
          <w:spacing w:val="-2"/>
          <w:szCs w:val="24"/>
          <w:lang w:val="en-GB"/>
        </w:rPr>
        <w:t>F, 0.013N HN</w:t>
      </w:r>
      <w:r w:rsidRPr="00582808">
        <w:rPr>
          <w:szCs w:val="24"/>
          <w:lang w:val="en-GB"/>
        </w:rPr>
        <w:t>O</w:t>
      </w:r>
      <w:r w:rsidRPr="00582808">
        <w:rPr>
          <w:spacing w:val="-2"/>
          <w:szCs w:val="24"/>
          <w:vertAlign w:val="subscript"/>
          <w:lang w:val="en-GB"/>
        </w:rPr>
        <w:t>3</w:t>
      </w:r>
      <w:r w:rsidRPr="00582808">
        <w:rPr>
          <w:spacing w:val="-2"/>
          <w:szCs w:val="24"/>
          <w:lang w:val="en-GB"/>
        </w:rPr>
        <w:t xml:space="preserve"> and 0.001 M EDTA at pH of 2.50</w:t>
      </w:r>
      <w:r w:rsidRPr="00582808">
        <w:rPr>
          <w:spacing w:val="-3"/>
          <w:szCs w:val="24"/>
          <w:lang w:val="en-GB"/>
        </w:rPr>
        <w:t xml:space="preserve"> was used. This solution was made by dissolving 40.03 g ammonium nitrate (N</w:t>
      </w:r>
      <w:r w:rsidRPr="00582808">
        <w:rPr>
          <w:szCs w:val="24"/>
          <w:lang w:val="en-GB"/>
        </w:rPr>
        <w:t>H</w:t>
      </w:r>
      <w:r w:rsidRPr="00582808">
        <w:rPr>
          <w:spacing w:val="-3"/>
          <w:szCs w:val="24"/>
          <w:vertAlign w:val="subscript"/>
          <w:lang w:val="en-GB"/>
        </w:rPr>
        <w:t>4</w:t>
      </w:r>
      <w:r w:rsidRPr="00582808">
        <w:rPr>
          <w:spacing w:val="-3"/>
          <w:szCs w:val="24"/>
          <w:lang w:val="en-GB"/>
        </w:rPr>
        <w:t>N</w:t>
      </w:r>
      <w:r w:rsidRPr="00582808">
        <w:rPr>
          <w:szCs w:val="24"/>
          <w:lang w:val="en-GB"/>
        </w:rPr>
        <w:t>O</w:t>
      </w:r>
      <w:r w:rsidRPr="00582808">
        <w:rPr>
          <w:spacing w:val="-3"/>
          <w:szCs w:val="24"/>
          <w:vertAlign w:val="subscript"/>
          <w:lang w:val="en-GB"/>
        </w:rPr>
        <w:t xml:space="preserve">3) </w:t>
      </w:r>
      <w:r w:rsidRPr="00582808">
        <w:rPr>
          <w:spacing w:val="-3"/>
          <w:szCs w:val="24"/>
          <w:lang w:val="en-GB"/>
        </w:rPr>
        <w:t>in about 1,000 mL of deionized water. This was followed by addition of 8.0 mL of 3.75M ammonium fluoride (N</w:t>
      </w:r>
      <w:r w:rsidRPr="00582808">
        <w:rPr>
          <w:szCs w:val="24"/>
          <w:lang w:val="en-GB"/>
        </w:rPr>
        <w:t>H</w:t>
      </w:r>
      <w:r w:rsidRPr="00582808">
        <w:rPr>
          <w:spacing w:val="-3"/>
          <w:szCs w:val="24"/>
          <w:vertAlign w:val="subscript"/>
          <w:lang w:val="en-GB"/>
        </w:rPr>
        <w:t>4</w:t>
      </w:r>
      <w:r w:rsidRPr="00582808">
        <w:rPr>
          <w:spacing w:val="-3"/>
          <w:szCs w:val="24"/>
          <w:lang w:val="en-GB"/>
        </w:rPr>
        <w:t xml:space="preserve">F)-0.25M </w:t>
      </w:r>
      <w:r w:rsidRPr="00582808">
        <w:rPr>
          <w:szCs w:val="24"/>
          <w:lang w:val="en-GB"/>
        </w:rPr>
        <w:t xml:space="preserve">Ethylenediamine </w:t>
      </w:r>
      <w:proofErr w:type="spellStart"/>
      <w:r w:rsidRPr="00582808">
        <w:rPr>
          <w:szCs w:val="24"/>
          <w:lang w:val="en-GB"/>
        </w:rPr>
        <w:t>tetraacetic</w:t>
      </w:r>
      <w:proofErr w:type="spellEnd"/>
      <w:r w:rsidRPr="00582808">
        <w:rPr>
          <w:szCs w:val="24"/>
          <w:lang w:val="en-GB"/>
        </w:rPr>
        <w:t xml:space="preserve"> acid (EDTA)</w:t>
      </w:r>
      <w:r w:rsidRPr="00582808">
        <w:rPr>
          <w:spacing w:val="-3"/>
          <w:szCs w:val="24"/>
          <w:lang w:val="en-GB"/>
        </w:rPr>
        <w:t xml:space="preserve"> stock</w:t>
      </w:r>
      <w:r w:rsidRPr="00582808">
        <w:rPr>
          <w:szCs w:val="24"/>
          <w:lang w:val="en-GB"/>
        </w:rPr>
        <w:t xml:space="preserve"> </w:t>
      </w:r>
      <w:r w:rsidRPr="00582808">
        <w:rPr>
          <w:spacing w:val="-3"/>
          <w:szCs w:val="24"/>
          <w:lang w:val="en-GB"/>
        </w:rPr>
        <w:t>solution and mixed well. Then 23 mL of concentrated glacial acetic acid and 2</w:t>
      </w:r>
      <w:r w:rsidR="00BE0BB5" w:rsidRPr="00582808">
        <w:rPr>
          <w:spacing w:val="-3"/>
          <w:szCs w:val="24"/>
          <w:lang w:val="en-GB"/>
        </w:rPr>
        <w:t xml:space="preserve"> mL of concentrated nitric acid</w:t>
      </w:r>
      <w:r w:rsidRPr="00582808">
        <w:rPr>
          <w:spacing w:val="-3"/>
          <w:szCs w:val="24"/>
          <w:vertAlign w:val="subscript"/>
          <w:lang w:val="en-GB"/>
        </w:rPr>
        <w:t xml:space="preserve"> </w:t>
      </w:r>
      <w:r w:rsidRPr="00582808">
        <w:rPr>
          <w:spacing w:val="-3"/>
          <w:szCs w:val="24"/>
          <w:lang w:val="en-GB"/>
        </w:rPr>
        <w:t>were added to the mixture and the final volume brought to 2,000 mL</w:t>
      </w:r>
      <w:r w:rsidRPr="00582808">
        <w:rPr>
          <w:szCs w:val="24"/>
          <w:lang w:val="en-GB"/>
        </w:rPr>
        <w:t xml:space="preserve"> with a pH of 2.50. Calibration standards </w:t>
      </w:r>
      <w:r w:rsidRPr="00582808">
        <w:rPr>
          <w:spacing w:val="-2"/>
          <w:szCs w:val="24"/>
          <w:lang w:val="en-GB"/>
        </w:rPr>
        <w:t>in</w:t>
      </w:r>
      <w:r w:rsidRPr="00582808">
        <w:rPr>
          <w:szCs w:val="24"/>
          <w:lang w:val="en-GB"/>
        </w:rPr>
        <w:t xml:space="preserve"> </w:t>
      </w:r>
      <w:proofErr w:type="spellStart"/>
      <w:r w:rsidRPr="00582808">
        <w:rPr>
          <w:spacing w:val="-3"/>
          <w:szCs w:val="24"/>
          <w:lang w:val="en-GB"/>
        </w:rPr>
        <w:t>Mehlich</w:t>
      </w:r>
      <w:proofErr w:type="spellEnd"/>
      <w:r w:rsidRPr="00582808">
        <w:rPr>
          <w:spacing w:val="-3"/>
          <w:szCs w:val="24"/>
          <w:lang w:val="en-GB"/>
        </w:rPr>
        <w:t>- 3 extracting solution were used to quantify the concentrations of the micronutrients.</w:t>
      </w:r>
    </w:p>
    <w:p w14:paraId="31CF84BE" w14:textId="678410A6" w:rsidR="00243EB4" w:rsidRPr="00582808" w:rsidRDefault="00243EB4" w:rsidP="00243EB4">
      <w:pPr>
        <w:autoSpaceDE w:val="0"/>
        <w:autoSpaceDN w:val="0"/>
        <w:adjustRightInd w:val="0"/>
        <w:spacing w:line="360" w:lineRule="auto"/>
        <w:rPr>
          <w:szCs w:val="24"/>
          <w:lang w:val="en-GB"/>
        </w:rPr>
      </w:pPr>
      <w:r w:rsidRPr="00582808">
        <w:rPr>
          <w:szCs w:val="24"/>
          <w:lang w:val="en-GB"/>
        </w:rPr>
        <w:t xml:space="preserve">Exactly 5.0g of the powdered and dry soil sample was accurately weighed on a digital analytical balance (Mettler Toledo, Switzerland) with ±0.0001g precision and transferred into a 200mL plastic shaking bottles. Fifty (50) </w:t>
      </w:r>
      <w:r w:rsidR="00582808" w:rsidRPr="00582808">
        <w:rPr>
          <w:szCs w:val="24"/>
          <w:lang w:val="en-GB"/>
        </w:rPr>
        <w:t>millilitres</w:t>
      </w:r>
      <w:r w:rsidRPr="00582808">
        <w:rPr>
          <w:szCs w:val="24"/>
          <w:lang w:val="en-GB"/>
        </w:rPr>
        <w:t xml:space="preserve"> of the extractant solution (Mehlich3) </w:t>
      </w:r>
      <w:r w:rsidRPr="00582808">
        <w:rPr>
          <w:szCs w:val="24"/>
          <w:lang w:val="en-GB"/>
        </w:rPr>
        <w:fldChar w:fldCharType="begin"/>
      </w:r>
      <w:r w:rsidR="00F238DC">
        <w:rPr>
          <w:szCs w:val="24"/>
          <w:lang w:val="en-GB"/>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sidRPr="00582808">
        <w:rPr>
          <w:szCs w:val="24"/>
          <w:lang w:val="en-GB"/>
        </w:rPr>
        <w:fldChar w:fldCharType="separate"/>
      </w:r>
      <w:r w:rsidR="00F238DC">
        <w:rPr>
          <w:noProof/>
          <w:szCs w:val="24"/>
          <w:lang w:val="en-GB"/>
        </w:rPr>
        <w:t>(Mehlich, 1984)</w:t>
      </w:r>
      <w:r w:rsidRPr="00582808">
        <w:rPr>
          <w:szCs w:val="24"/>
          <w:lang w:val="en-GB"/>
        </w:rPr>
        <w:fldChar w:fldCharType="end"/>
      </w:r>
      <w:r w:rsidRPr="00582808">
        <w:rPr>
          <w:szCs w:val="24"/>
          <w:lang w:val="en-GB"/>
        </w:rPr>
        <w:t xml:space="preserve"> was added to the soil samples and put on a reciprocating mechanical shaker for 10 minutes. This mixture was then immediately filtered into 40 mL Teflon tubes through Whatman No.2 filter paper. Two blanks without soil samples were prepared in the same way. Samples with concentrations above the highest standard were diluted using dilution factors </w:t>
      </w:r>
      <w:r w:rsidRPr="00582808">
        <w:rPr>
          <w:szCs w:val="24"/>
          <w:lang w:val="en-GB"/>
        </w:rPr>
        <w:fldChar w:fldCharType="begin"/>
      </w:r>
      <w:r w:rsidR="00F238DC">
        <w:rPr>
          <w:szCs w:val="24"/>
          <w:lang w:val="en-GB"/>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sidRPr="00582808">
        <w:rPr>
          <w:szCs w:val="24"/>
          <w:lang w:val="en-GB"/>
        </w:rPr>
        <w:fldChar w:fldCharType="separate"/>
      </w:r>
      <w:r w:rsidR="00F238DC">
        <w:rPr>
          <w:noProof/>
          <w:szCs w:val="24"/>
          <w:lang w:val="en-GB"/>
        </w:rPr>
        <w:t>(Mehlich, 1984)</w:t>
      </w:r>
      <w:r w:rsidRPr="00582808">
        <w:rPr>
          <w:szCs w:val="24"/>
          <w:lang w:val="en-GB"/>
        </w:rPr>
        <w:fldChar w:fldCharType="end"/>
      </w:r>
      <w:r w:rsidRPr="00582808">
        <w:rPr>
          <w:szCs w:val="24"/>
          <w:lang w:val="en-GB"/>
        </w:rPr>
        <w:t xml:space="preserve">. Inductively Coupled Plasma Atomic Emission Spectrophotometer (ICP- AES 9000) was used to </w:t>
      </w:r>
      <w:r w:rsidR="00582808" w:rsidRPr="00582808">
        <w:rPr>
          <w:szCs w:val="24"/>
          <w:lang w:val="en-GB"/>
        </w:rPr>
        <w:t>analyse</w:t>
      </w:r>
      <w:r w:rsidRPr="00582808">
        <w:rPr>
          <w:szCs w:val="24"/>
          <w:lang w:val="en-GB"/>
        </w:rPr>
        <w:t xml:space="preserve"> phosphorus, potassium, calcium and magnesium. The macronutrients were measured to 0.1ppm </w:t>
      </w:r>
      <w:r w:rsidRPr="00582808">
        <w:rPr>
          <w:szCs w:val="24"/>
          <w:lang w:val="en-GB"/>
        </w:rPr>
        <w:fldChar w:fldCharType="begin"/>
      </w:r>
      <w:r w:rsidR="00175EB1">
        <w:rPr>
          <w:szCs w:val="24"/>
          <w:lang w:val="en-GB"/>
        </w:rPr>
        <w:instrText xml:space="preserve"> ADDIN EN.CITE &lt;EndNote&gt;&lt;Cite&gt;&lt;Author&gt;Schroder&lt;/Author&gt;&lt;Year&gt;2010&lt;/Year&gt;&lt;RecNum&gt;84&lt;/RecNum&gt;&lt;DisplayText&gt;(Schroder et al., 2010)&lt;/DisplayText&gt;&lt;record&gt;&lt;rec-number&gt;84&lt;/rec-number&gt;&lt;foreign-keys&gt;&lt;key app="EN" db-id="zx5vprwxa0rsabew9f9xp5fcs9tz0dzwa2fa" timestamp="1595617346"&gt;84&lt;/key&gt;&lt;/foreign-keys&gt;&lt;ref-type name="Journal Article"&gt;17&lt;/ref-type&gt;&lt;contributors&gt;&lt;authors&gt;&lt;author&gt;Schroder, J. L.&lt;/author&gt;&lt;author&gt;Zhang, H.&lt;/author&gt;&lt;author&gt;Richards, J. R.&lt;/author&gt;&lt;author&gt;Payton, M. E.&lt;/author&gt;&lt;/authors&gt;&lt;/contributors&gt;&lt;titles&gt;&lt;title&gt;An inter-laboratory validation of Mehlich- 3 as a universal extractant for plant nutrients&lt;/title&gt;&lt;secondary-title&gt;Journal of AOAC International.&lt;/secondary-title&gt;&lt;/titles&gt;&lt;periodical&gt;&lt;full-title&gt;Journal of Aoac International.&lt;/full-title&gt;&lt;/periodical&gt;&lt;dates&gt;&lt;year&gt;2010&lt;/year&gt;&lt;/dates&gt;&lt;urls&gt;&lt;/urls&gt;&lt;/record&gt;&lt;/Cite&gt;&lt;/EndNote&gt;</w:instrText>
      </w:r>
      <w:r w:rsidRPr="00582808">
        <w:rPr>
          <w:szCs w:val="24"/>
          <w:lang w:val="en-GB"/>
        </w:rPr>
        <w:fldChar w:fldCharType="separate"/>
      </w:r>
      <w:r w:rsidR="00175EB1">
        <w:rPr>
          <w:noProof/>
          <w:szCs w:val="24"/>
          <w:lang w:val="en-GB"/>
        </w:rPr>
        <w:t>(Schroder et al., 2010)</w:t>
      </w:r>
      <w:r w:rsidRPr="00582808">
        <w:rPr>
          <w:szCs w:val="24"/>
          <w:lang w:val="en-GB"/>
        </w:rPr>
        <w:fldChar w:fldCharType="end"/>
      </w:r>
      <w:r w:rsidRPr="00582808">
        <w:rPr>
          <w:szCs w:val="24"/>
          <w:lang w:val="en-GB"/>
        </w:rPr>
        <w:t xml:space="preserve">. The data was </w:t>
      </w:r>
      <w:r w:rsidR="00582808" w:rsidRPr="00582808">
        <w:rPr>
          <w:szCs w:val="24"/>
          <w:lang w:val="en-GB"/>
        </w:rPr>
        <w:lastRenderedPageBreak/>
        <w:t>analysed</w:t>
      </w:r>
      <w:r w:rsidRPr="00582808">
        <w:rPr>
          <w:szCs w:val="24"/>
          <w:lang w:val="en-GB"/>
        </w:rPr>
        <w:t xml:space="preserve"> using MSTATC, version 2.10 (1993), software package for ANOVAs. Student t-test was used and significant means were separated </w:t>
      </w:r>
      <w:r w:rsidR="009B453E" w:rsidRPr="00582808">
        <w:rPr>
          <w:szCs w:val="24"/>
          <w:lang w:val="en-GB"/>
        </w:rPr>
        <w:t>at</w:t>
      </w:r>
      <w:r w:rsidRPr="00582808">
        <w:rPr>
          <w:szCs w:val="24"/>
          <w:lang w:val="en-GB"/>
        </w:rPr>
        <w:t xml:space="preserve"> LSDs (p≤0.05)</w:t>
      </w:r>
    </w:p>
    <w:bookmarkEnd w:id="4"/>
    <w:p w14:paraId="01243AF4" w14:textId="77777777" w:rsidR="009B453E" w:rsidRPr="00582808" w:rsidRDefault="009B453E" w:rsidP="00B91EC8">
      <w:pPr>
        <w:keepNext/>
        <w:spacing w:line="360" w:lineRule="auto"/>
        <w:outlineLvl w:val="0"/>
        <w:rPr>
          <w:rFonts w:eastAsia="Times New Roman"/>
          <w:b/>
          <w:bCs/>
          <w:kern w:val="32"/>
          <w:szCs w:val="24"/>
          <w:lang w:val="en-GB"/>
        </w:rPr>
      </w:pPr>
    </w:p>
    <w:p w14:paraId="65F65285" w14:textId="77777777" w:rsidR="00B91EC8" w:rsidRPr="00582808" w:rsidRDefault="00B91EC8" w:rsidP="00B91EC8">
      <w:pPr>
        <w:keepNext/>
        <w:spacing w:line="360" w:lineRule="auto"/>
        <w:outlineLvl w:val="0"/>
        <w:rPr>
          <w:rFonts w:eastAsia="Times New Roman"/>
          <w:b/>
          <w:bCs/>
          <w:kern w:val="32"/>
          <w:szCs w:val="24"/>
          <w:lang w:val="en-GB"/>
        </w:rPr>
      </w:pPr>
      <w:r w:rsidRPr="00582808">
        <w:rPr>
          <w:rFonts w:eastAsia="Times New Roman"/>
          <w:b/>
          <w:bCs/>
          <w:kern w:val="32"/>
          <w:szCs w:val="24"/>
          <w:lang w:val="en-GB"/>
        </w:rPr>
        <w:t>RESULTS AND DISCUSSION</w:t>
      </w:r>
    </w:p>
    <w:p w14:paraId="35C894C8" w14:textId="6E103020" w:rsidR="009B453E" w:rsidRPr="00582808" w:rsidRDefault="009B453E" w:rsidP="00B91EC8">
      <w:pPr>
        <w:spacing w:line="360" w:lineRule="auto"/>
        <w:rPr>
          <w:szCs w:val="24"/>
          <w:lang w:val="en-GB"/>
        </w:rPr>
      </w:pPr>
      <w:r w:rsidRPr="00582808">
        <w:rPr>
          <w:szCs w:val="24"/>
          <w:lang w:val="en-GB"/>
        </w:rPr>
        <w:t>P</w:t>
      </w:r>
      <w:r w:rsidR="00B91EC8" w:rsidRPr="00582808">
        <w:rPr>
          <w:szCs w:val="24"/>
          <w:lang w:val="en-GB"/>
        </w:rPr>
        <w:t xml:space="preserve">lucking standards had no significant effects </w:t>
      </w:r>
      <w:r w:rsidRPr="00582808">
        <w:rPr>
          <w:szCs w:val="24"/>
          <w:lang w:val="en-GB"/>
        </w:rPr>
        <w:t xml:space="preserve">on soil N, P and K </w:t>
      </w:r>
      <w:r w:rsidR="00B91EC8" w:rsidRPr="00582808">
        <w:rPr>
          <w:szCs w:val="24"/>
          <w:lang w:val="en-GB"/>
        </w:rPr>
        <w:t xml:space="preserve">in all locations. </w:t>
      </w:r>
      <w:r w:rsidRPr="00582808">
        <w:rPr>
          <w:szCs w:val="24"/>
          <w:lang w:val="en-GB"/>
        </w:rPr>
        <w:t>This was s</w:t>
      </w:r>
      <w:r w:rsidR="00B91EC8" w:rsidRPr="00582808">
        <w:rPr>
          <w:szCs w:val="24"/>
          <w:lang w:val="en-GB"/>
        </w:rPr>
        <w:t xml:space="preserve">imilar </w:t>
      </w:r>
      <w:r w:rsidRPr="00582808">
        <w:rPr>
          <w:szCs w:val="24"/>
          <w:lang w:val="en-GB"/>
        </w:rPr>
        <w:t xml:space="preserve">to previous </w:t>
      </w:r>
      <w:r w:rsidR="00B91EC8" w:rsidRPr="00582808">
        <w:rPr>
          <w:szCs w:val="24"/>
          <w:lang w:val="en-GB"/>
        </w:rPr>
        <w:t xml:space="preserve">observations on mature leaf contents </w:t>
      </w:r>
      <w:r w:rsidR="00B91EC8" w:rsidRPr="00582808">
        <w:rPr>
          <w:szCs w:val="24"/>
          <w:lang w:val="en-GB"/>
        </w:rPr>
        <w:fldChar w:fldCharType="begin"/>
      </w:r>
      <w:r w:rsidR="00175EB1">
        <w:rPr>
          <w:szCs w:val="24"/>
          <w:lang w:val="en-GB"/>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00B91EC8" w:rsidRPr="00582808">
        <w:rPr>
          <w:szCs w:val="24"/>
          <w:lang w:val="en-GB"/>
        </w:rPr>
        <w:fldChar w:fldCharType="separate"/>
      </w:r>
      <w:r w:rsidR="00175EB1">
        <w:rPr>
          <w:noProof/>
          <w:szCs w:val="24"/>
          <w:lang w:val="en-GB"/>
        </w:rPr>
        <w:t>(Kwach et al., 2014)</w:t>
      </w:r>
      <w:r w:rsidR="00B91EC8" w:rsidRPr="00582808">
        <w:rPr>
          <w:szCs w:val="24"/>
          <w:lang w:val="en-GB"/>
        </w:rPr>
        <w:fldChar w:fldCharType="end"/>
      </w:r>
      <w:r w:rsidR="00B91EC8" w:rsidRPr="00582808">
        <w:rPr>
          <w:szCs w:val="24"/>
          <w:lang w:val="en-GB"/>
        </w:rPr>
        <w:t xml:space="preserve">. </w:t>
      </w:r>
      <w:r w:rsidRPr="00582808">
        <w:rPr>
          <w:szCs w:val="24"/>
          <w:lang w:val="en-GB"/>
        </w:rPr>
        <w:t>Since</w:t>
      </w:r>
      <w:r w:rsidR="00B91EC8" w:rsidRPr="00582808">
        <w:rPr>
          <w:szCs w:val="24"/>
          <w:lang w:val="en-GB"/>
        </w:rPr>
        <w:t xml:space="preserve"> plucking intervals ha</w:t>
      </w:r>
      <w:r w:rsidRPr="00582808">
        <w:rPr>
          <w:szCs w:val="24"/>
          <w:lang w:val="en-GB"/>
        </w:rPr>
        <w:t>d</w:t>
      </w:r>
      <w:r w:rsidR="00B91EC8" w:rsidRPr="00582808">
        <w:rPr>
          <w:szCs w:val="24"/>
          <w:lang w:val="en-GB"/>
        </w:rPr>
        <w:t xml:space="preserve"> no influence on soil </w:t>
      </w:r>
      <w:r w:rsidRPr="00582808">
        <w:rPr>
          <w:szCs w:val="24"/>
          <w:lang w:val="en-GB"/>
        </w:rPr>
        <w:t>N. P and K,</w:t>
      </w:r>
      <w:r w:rsidR="00B91EC8" w:rsidRPr="00582808">
        <w:rPr>
          <w:szCs w:val="24"/>
          <w:lang w:val="en-GB"/>
        </w:rPr>
        <w:t xml:space="preserve"> the plucking intervals data </w:t>
      </w:r>
      <w:r w:rsidRPr="00582808">
        <w:rPr>
          <w:szCs w:val="24"/>
          <w:lang w:val="en-GB"/>
        </w:rPr>
        <w:t>a</w:t>
      </w:r>
      <w:r w:rsidR="00B91EC8" w:rsidRPr="00582808">
        <w:rPr>
          <w:szCs w:val="24"/>
          <w:lang w:val="en-GB"/>
        </w:rPr>
        <w:t>re not presented.</w:t>
      </w:r>
      <w:r w:rsidRPr="00582808">
        <w:rPr>
          <w:szCs w:val="24"/>
          <w:lang w:val="en-GB"/>
        </w:rPr>
        <w:t xml:space="preserve"> </w:t>
      </w:r>
      <w:r w:rsidR="00B91EC8" w:rsidRPr="00582808">
        <w:rPr>
          <w:szCs w:val="24"/>
          <w:lang w:val="en-GB"/>
        </w:rPr>
        <w:t xml:space="preserve">The effects of sites, NPK(S) fertilizer rates on soil nitrogen levels are presented in Figure 1. Soil nitrogen levels in the range 0.12 to 0.40%  are considered optimal for tea growing </w:t>
      </w:r>
      <w:r w:rsidR="00B91EC8" w:rsidRPr="00582808">
        <w:rPr>
          <w:szCs w:val="24"/>
          <w:lang w:val="en-GB"/>
        </w:rPr>
        <w:fldChar w:fldCharType="begin"/>
      </w:r>
      <w:r w:rsidR="00175EB1">
        <w:rPr>
          <w:szCs w:val="24"/>
          <w:lang w:val="en-GB"/>
        </w:rPr>
        <w:instrText xml:space="preserve"> ADDIN EN.CITE &lt;EndNote&gt;&lt;Cite&gt;&lt;Author&gt;Adiloğlu&lt;/Author&gt;&lt;Year&gt;2006&lt;/Year&gt;&lt;RecNum&gt;86&lt;/RecNum&gt;&lt;DisplayText&gt;(Adiloğlu &amp;amp; Adiloğlu, 2006)&lt;/DisplayText&gt;&lt;record&gt;&lt;rec-number&gt;86&lt;/rec-number&gt;&lt;foreign-keys&gt;&lt;key app="EN" db-id="zx5vprwxa0rsabew9f9xp5fcs9tz0dzwa2fa" timestamp="1595618004"&gt;86&lt;/key&gt;&lt;/foreign-keys&gt;&lt;ref-type name="Journal Article"&gt;17&lt;/ref-type&gt;&lt;contributors&gt;&lt;authors&gt;&lt;author&gt;&lt;style face="normal" font="default" size="100%"&gt;Adilo&lt;/style&gt;&lt;style face="normal" font="default" charset="162" size="100%"&gt;ğlu, A.&lt;/style&gt;&lt;/author&gt;&lt;author&gt;&lt;style face="normal" font="default" charset="162" size="100%"&gt;Adiloğlu, S.&lt;/style&gt;&lt;/author&gt;&lt;/authors&gt;&lt;/contributors&gt;&lt;titles&gt;&lt;title&gt;&lt;style face="normal" font="default" charset="162" size="100%"&gt;An investigation on nutritional status of tea (&lt;/style&gt;&lt;style face="italic" font="default" charset="162" size="100%"&gt;Camellia sinensis&lt;/style&gt;&lt;style face="normal" font="default" charset="162" size="100%"&gt; L.) grown in eastern Black Sea region of Turkey&lt;/style&gt;&lt;/title&gt;&lt;secondary-title&gt;&lt;style face="normal" font="default" charset="162" size="100%"&gt;Pakistan Journal of Biological Sciences&lt;/style&gt;&lt;/secondary-title&gt;&lt;/titles&gt;&lt;periodical&gt;&lt;full-title&gt;Pakistan Journal of Biological Sciences&lt;/full-title&gt;&lt;/periodical&gt;&lt;pages&gt;&lt;style face="normal" font="default" charset="162" size="100%"&gt;365-370.&lt;/style&gt;&lt;/pages&gt;&lt;volume&gt;9&lt;/volume&gt;&lt;number&gt;3&lt;/number&gt;&lt;dates&gt;&lt;year&gt;2006&lt;/year&gt;&lt;/dates&gt;&lt;urls&gt;&lt;/urls&gt;&lt;/record&gt;&lt;/Cite&gt;&lt;/EndNote&gt;</w:instrText>
      </w:r>
      <w:r w:rsidR="00B91EC8" w:rsidRPr="00582808">
        <w:rPr>
          <w:szCs w:val="24"/>
          <w:lang w:val="en-GB"/>
        </w:rPr>
        <w:fldChar w:fldCharType="separate"/>
      </w:r>
      <w:r w:rsidR="00175EB1">
        <w:rPr>
          <w:noProof/>
          <w:szCs w:val="24"/>
          <w:lang w:val="en-GB"/>
        </w:rPr>
        <w:t>(Adiloğlu &amp; Adiloğlu, 2006)</w:t>
      </w:r>
      <w:r w:rsidR="00B91EC8" w:rsidRPr="00582808">
        <w:rPr>
          <w:szCs w:val="24"/>
          <w:lang w:val="en-GB"/>
        </w:rPr>
        <w:fldChar w:fldCharType="end"/>
      </w:r>
      <w:r w:rsidR="00B91EC8" w:rsidRPr="00582808">
        <w:rPr>
          <w:szCs w:val="24"/>
          <w:lang w:val="en-GB"/>
        </w:rPr>
        <w:t xml:space="preserve">. The values were within the optimal levels at all sites and depths (Figure 1a). In all locations, soil nitrogen levels were higher in the surface layer and decreased with the depths, as had been observed in previous results </w:t>
      </w:r>
      <w:r w:rsidR="00B91EC8" w:rsidRPr="00582808">
        <w:rPr>
          <w:szCs w:val="24"/>
          <w:lang w:val="en-GB"/>
        </w:rPr>
        <w:fldChar w:fldCharType="begin"/>
      </w:r>
      <w:r w:rsidR="00175EB1">
        <w:rPr>
          <w:szCs w:val="24"/>
          <w:lang w:val="en-GB"/>
        </w:rPr>
        <w:instrText xml:space="preserve"> ADDIN EN.CITE &lt;EndNote&gt;&lt;Cite&gt;&lt;Author&gt;Hamid&lt;/Author&gt;&lt;Year&gt;2006&lt;/Year&gt;&lt;RecNum&gt;19&lt;/RecNum&gt;&lt;DisplayText&gt;(Hamid, 2006; Kebeney et al., 2010)&lt;/DisplayText&gt;&lt;record&gt;&lt;rec-number&gt;19&lt;/rec-number&gt;&lt;foreign-keys&gt;&lt;key app="EN" db-id="zx5vprwxa0rsabew9f9xp5fcs9tz0dzwa2fa" timestamp="0"&gt;19&lt;/key&gt;&lt;/foreign-keys&gt;&lt;ref-type name="Thesis"&gt;32&lt;/ref-type&gt;&lt;contributors&gt;&lt;authors&gt;&lt;author&gt;Hamid, F. S.&lt;/author&gt;&lt;/authors&gt;&lt;/contributors&gt;&lt;titles&gt;&lt;title&gt;Yield and quality of tea under varying conditions of soil and nitrogen availability&lt;/title&gt;&lt;/titles&gt;&lt;volume&gt;PhD&lt;/volume&gt;&lt;dates&gt;&lt;year&gt;2006&lt;/year&gt;&lt;/dates&gt;&lt;pub-location&gt; Islamabad, Pakistan&lt;/pub-location&gt;&lt;publisher&gt;Quid-I-Azam University&lt;/publisher&gt;&lt;urls&gt;&lt;related-urls&gt;&lt;url&gt;&lt;style face="underline" font="default" size="100%"&gt;http://prr.hec.gov.pk/jspui/bitstream/123456789/5147/1/2203.pdf&lt;/style&gt;&lt;/url&gt;&lt;/related-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00B91EC8" w:rsidRPr="00582808">
        <w:rPr>
          <w:szCs w:val="24"/>
          <w:lang w:val="en-GB"/>
        </w:rPr>
        <w:fldChar w:fldCharType="separate"/>
      </w:r>
      <w:r w:rsidR="00175EB1">
        <w:rPr>
          <w:noProof/>
          <w:szCs w:val="24"/>
          <w:lang w:val="en-GB"/>
        </w:rPr>
        <w:t>(Hamid, 2006; Kebeney et al., 2010)</w:t>
      </w:r>
      <w:r w:rsidR="00B91EC8" w:rsidRPr="00582808">
        <w:rPr>
          <w:szCs w:val="24"/>
          <w:lang w:val="en-GB"/>
        </w:rPr>
        <w:fldChar w:fldCharType="end"/>
      </w:r>
      <w:r w:rsidR="00B91EC8" w:rsidRPr="00582808">
        <w:rPr>
          <w:szCs w:val="24"/>
          <w:lang w:val="en-GB"/>
        </w:rPr>
        <w:t xml:space="preserve">. The soil nitrogen contents were closely related with soil organic carbon </w:t>
      </w:r>
      <w:r w:rsidR="00B91EC8" w:rsidRPr="00582808">
        <w:rPr>
          <w:szCs w:val="24"/>
          <w:lang w:val="en-GB"/>
        </w:rPr>
        <w:fldChar w:fldCharType="begin"/>
      </w:r>
      <w:r w:rsidR="00175EB1">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B91EC8" w:rsidRPr="00582808">
        <w:rPr>
          <w:szCs w:val="24"/>
          <w:lang w:val="en-GB"/>
        </w:rPr>
        <w:fldChar w:fldCharType="separate"/>
      </w:r>
      <w:r w:rsidR="00175EB1">
        <w:rPr>
          <w:noProof/>
          <w:szCs w:val="24"/>
          <w:lang w:val="en-GB"/>
        </w:rPr>
        <w:t>(Ombori et al., 2020)</w:t>
      </w:r>
      <w:r w:rsidR="00B91EC8" w:rsidRPr="00582808">
        <w:rPr>
          <w:szCs w:val="24"/>
          <w:lang w:val="en-GB"/>
        </w:rPr>
        <w:fldChar w:fldCharType="end"/>
      </w:r>
      <w:r w:rsidR="00B91EC8" w:rsidRPr="00582808">
        <w:rPr>
          <w:szCs w:val="24"/>
          <w:lang w:val="en-GB"/>
        </w:rPr>
        <w:t xml:space="preserve"> and soil texture (Table 2). Soil organic carbon may therefore be a good indicator of soil nitrogen status </w:t>
      </w:r>
      <w:r w:rsidR="00B91EC8" w:rsidRPr="00582808">
        <w:rPr>
          <w:szCs w:val="24"/>
          <w:lang w:val="en-GB"/>
        </w:rPr>
        <w:fldChar w:fldCharType="begin"/>
      </w:r>
      <w:r w:rsidR="00175EB1">
        <w:rPr>
          <w:szCs w:val="24"/>
          <w:lang w:val="en-GB"/>
        </w:rPr>
        <w:instrText xml:space="preserve"> ADDIN EN.CITE &lt;EndNote&gt;&lt;Cite&gt;&lt;Author&gt;Hamid&lt;/Author&gt;&lt;Year&gt;2006&lt;/Year&gt;&lt;RecNum&gt;19&lt;/RecNum&gt;&lt;DisplayText&gt;(Hamid, 2006; Kamau et al., 2008)&lt;/DisplayText&gt;&lt;record&gt;&lt;rec-number&gt;19&lt;/rec-number&gt;&lt;foreign-keys&gt;&lt;key app="EN" db-id="zx5vprwxa0rsabew9f9xp5fcs9tz0dzwa2fa" timestamp="0"&gt;19&lt;/key&gt;&lt;/foreign-keys&gt;&lt;ref-type name="Thesis"&gt;32&lt;/ref-type&gt;&lt;contributors&gt;&lt;authors&gt;&lt;author&gt;Hamid, F. S.&lt;/author&gt;&lt;/authors&gt;&lt;/contributors&gt;&lt;titles&gt;&lt;title&gt;Yield and quality of tea under varying conditions of soil and nitrogen availability&lt;/title&gt;&lt;/titles&gt;&lt;volume&gt;PhD&lt;/volume&gt;&lt;dates&gt;&lt;year&gt;2006&lt;/year&gt;&lt;/dates&gt;&lt;pub-location&gt; Islamabad, Pakistan&lt;/pub-location&gt;&lt;publisher&gt;Quid-I-Azam University&lt;/publisher&gt;&lt;urls&gt;&lt;related-urls&gt;&lt;url&gt;&lt;style face="underline" font="default" size="100%"&gt;http://prr.hec.gov.pk/jspui/bitstream/123456789/5147/1/2203.pdf&lt;/style&gt;&lt;/url&gt;&lt;/related-urls&gt;&lt;/urls&gt;&lt;/record&gt;&lt;/Cite&gt;&lt;Cite&gt;&lt;Author&gt;Kamau&lt;/Author&gt;&lt;Year&gt;2008&lt;/Year&gt;&lt;RecNum&gt;21&lt;/RecNum&gt;&lt;record&gt;&lt;rec-number&gt;21&lt;/rec-number&gt;&lt;foreign-keys&gt;&lt;key app="EN" db-id="zx5vprwxa0rsabew9f9xp5fcs9tz0dzwa2fa" timestamp="0"&gt;21&lt;/key&gt;&lt;/foreign-keys&gt;&lt;ref-type name="Journal Article"&gt;17&lt;/ref-type&gt;&lt;contributors&gt;&lt;authors&gt;&lt;author&gt;Kamau, D. M.&lt;/author&gt;&lt;author&gt;Wanyoko, J. K.&lt;/author&gt;&lt;author&gt;Owuor, P. O.&lt;/author&gt;&lt;author&gt;Ng&amp;apos;etich, W. K.&lt;/author&gt;&lt;/authors&gt;&lt;/contributors&gt;&lt;titles&gt;&lt;title&gt;NPK (S) fertilizer use in commercially cultivated clone BBK 35 in different tea growing regions of Kenya: II. Effects of nitrogen rates and plucking intervals on soil chemical properties.&lt;/title&gt;&lt;secondary-title&gt;Tea&lt;/secondary-title&gt;&lt;/titles&gt;&lt;periodical&gt;&lt;full-title&gt;Tea&lt;/full-title&gt;&lt;/periodical&gt;&lt;pages&gt;8-18.&lt;/pages&gt;&lt;volume&gt;29&lt;/volume&gt;&lt;number&gt;2&lt;/number&gt;&lt;dates&gt;&lt;year&gt;2008&lt;/year&gt;&lt;/dates&gt;&lt;urls&gt;&lt;related-urls&gt;&lt;url&gt;&lt;style face="underline" font="default" size="100%"&gt;https://www.cabdirect.org/cabdirect/abstract/20103355379&lt;/style&gt;&lt;/url&gt;&lt;/related-urls&gt;&lt;/urls&gt;&lt;/record&gt;&lt;/Cite&gt;&lt;/EndNote&gt;</w:instrText>
      </w:r>
      <w:r w:rsidR="00B91EC8" w:rsidRPr="00582808">
        <w:rPr>
          <w:szCs w:val="24"/>
          <w:lang w:val="en-GB"/>
        </w:rPr>
        <w:fldChar w:fldCharType="separate"/>
      </w:r>
      <w:r w:rsidR="00175EB1">
        <w:rPr>
          <w:noProof/>
          <w:szCs w:val="24"/>
          <w:lang w:val="en-GB"/>
        </w:rPr>
        <w:t>(Hamid, 2006; Kamau et al., 2008)</w:t>
      </w:r>
      <w:r w:rsidR="00B91EC8" w:rsidRPr="00582808">
        <w:rPr>
          <w:szCs w:val="24"/>
          <w:lang w:val="en-GB"/>
        </w:rPr>
        <w:fldChar w:fldCharType="end"/>
      </w:r>
      <w:r w:rsidR="00B91EC8" w:rsidRPr="00582808">
        <w:rPr>
          <w:szCs w:val="24"/>
          <w:lang w:val="en-GB"/>
        </w:rPr>
        <w:t xml:space="preserve"> in well managed tea farms.</w:t>
      </w:r>
    </w:p>
    <w:p w14:paraId="6B008123" w14:textId="6A214263" w:rsidR="009B453E" w:rsidRDefault="00C20C12" w:rsidP="00B91EC8">
      <w:pPr>
        <w:spacing w:line="360" w:lineRule="auto"/>
        <w:rPr>
          <w:szCs w:val="24"/>
          <w:lang w:val="en-GB"/>
        </w:rPr>
      </w:pPr>
      <w:r w:rsidRPr="00582808">
        <w:rPr>
          <w:szCs w:val="24"/>
          <w:lang w:val="en-GB"/>
        </w:rPr>
        <w:t xml:space="preserve">Soil nitrogen levels varied (p≤0.05) with location of production. </w:t>
      </w:r>
      <w:proofErr w:type="spellStart"/>
      <w:r w:rsidRPr="00582808">
        <w:rPr>
          <w:szCs w:val="24"/>
          <w:lang w:val="en-GB"/>
        </w:rPr>
        <w:t>Timbilil</w:t>
      </w:r>
      <w:proofErr w:type="spellEnd"/>
      <w:r w:rsidRPr="00582808">
        <w:rPr>
          <w:szCs w:val="24"/>
          <w:lang w:val="en-GB"/>
        </w:rPr>
        <w:t xml:space="preserve"> recorded the highest soil organic nitrogen followed by </w:t>
      </w:r>
      <w:proofErr w:type="spellStart"/>
      <w:r w:rsidRPr="00582808">
        <w:rPr>
          <w:szCs w:val="24"/>
          <w:lang w:val="en-GB"/>
        </w:rPr>
        <w:t>Katoke</w:t>
      </w:r>
      <w:proofErr w:type="spellEnd"/>
      <w:r w:rsidRPr="00582808">
        <w:rPr>
          <w:szCs w:val="24"/>
          <w:lang w:val="en-GB"/>
        </w:rPr>
        <w:t xml:space="preserve"> and </w:t>
      </w:r>
      <w:proofErr w:type="spellStart"/>
      <w:r w:rsidRPr="00582808">
        <w:rPr>
          <w:szCs w:val="24"/>
          <w:lang w:val="en-GB"/>
        </w:rPr>
        <w:t>Kitabi</w:t>
      </w:r>
      <w:proofErr w:type="spellEnd"/>
      <w:r w:rsidRPr="00582808">
        <w:rPr>
          <w:szCs w:val="24"/>
          <w:lang w:val="en-GB"/>
        </w:rPr>
        <w:t xml:space="preserve">, in that order at 0 to 30 cm soil depths (Figure 1a). The variations could be related to the soil characteristics, the mineralization process and rates of conversion to nitrate by nitrification </w:t>
      </w:r>
      <w:r w:rsidRPr="00582808">
        <w:rPr>
          <w:szCs w:val="24"/>
          <w:lang w:val="en-GB"/>
        </w:rPr>
        <w:fldChar w:fldCharType="begin"/>
      </w:r>
      <w:r w:rsidR="00F238DC">
        <w:rPr>
          <w:szCs w:val="24"/>
          <w:lang w:val="en-GB"/>
        </w:rPr>
        <w:instrText xml:space="preserve"> ADDIN EN.CITE &lt;EndNote&gt;&lt;Cite&gt;&lt;Author&gt;Banerjee&lt;/Author&gt;&lt;Year&gt;1993&lt;/Year&gt;&lt;RecNum&gt;90&lt;/RecNum&gt;&lt;DisplayText&gt;(Banerjee, 1993)&lt;/DisplayText&gt;&lt;record&gt;&lt;rec-number&gt;90&lt;/rec-number&gt;&lt;foreign-keys&gt;&lt;key app="EN" db-id="zx5vprwxa0rsabew9f9xp5fcs9tz0dzwa2fa" timestamp="1595618889"&gt;90&lt;/key&gt;&lt;/foreign-keys&gt;&lt;ref-type name="Book"&gt;6&lt;/ref-type&gt;&lt;contributors&gt;&lt;authors&gt;&lt;author&gt;Banerjee, B.&lt;/author&gt;&lt;/authors&gt;&lt;/contributors&gt;&lt;titles&gt;&lt;title&gt; Tea: Production and Processing&lt;/title&gt;&lt;/titles&gt;&lt;section&gt;1-2&lt;/section&gt;&lt;dates&gt;&lt;year&gt;1993&lt;/year&gt;&lt;/dates&gt;&lt;pub-location&gt;New Dhelhi&lt;/pub-location&gt;&lt;publisher&gt;Oxford &amp;amp; IBN Publishing Co. Pvt. Limited&lt;/publisher&gt;&lt;urls&gt;&lt;/urls&gt;&lt;/record&gt;&lt;/Cite&gt;&lt;/EndNote&gt;</w:instrText>
      </w:r>
      <w:r w:rsidRPr="00582808">
        <w:rPr>
          <w:szCs w:val="24"/>
          <w:lang w:val="en-GB"/>
        </w:rPr>
        <w:fldChar w:fldCharType="separate"/>
      </w:r>
      <w:r w:rsidR="00F238DC">
        <w:rPr>
          <w:noProof/>
          <w:szCs w:val="24"/>
          <w:lang w:val="en-GB"/>
        </w:rPr>
        <w:t>(Banerjee, 1993)</w:t>
      </w:r>
      <w:r w:rsidRPr="00582808">
        <w:rPr>
          <w:szCs w:val="24"/>
          <w:lang w:val="en-GB"/>
        </w:rPr>
        <w:fldChar w:fldCharType="end"/>
      </w:r>
      <w:r w:rsidRPr="00582808">
        <w:rPr>
          <w:szCs w:val="24"/>
          <w:lang w:val="en-GB"/>
        </w:rPr>
        <w:t xml:space="preserve">. These variations suggest that uniform nutrients inputs in eastern Africa tea growing regions may be inappropriate for some regions. This could be one of the causes of yield differences observed in the regions even in the same clone under uniform management </w:t>
      </w:r>
      <w:r w:rsidRPr="00582808">
        <w:rPr>
          <w:szCs w:val="24"/>
          <w:lang w:val="en-GB"/>
        </w:rPr>
        <w:fldChar w:fldCharType="begin"/>
      </w:r>
      <w:r w:rsidR="00175EB1">
        <w:rPr>
          <w:szCs w:val="24"/>
          <w:lang w:val="en-GB"/>
        </w:rPr>
        <w:instrText xml:space="preserve"> ADDIN EN.CITE &lt;EndNote&gt;&lt;Cite&gt;&lt;Author&gt;Msomba&lt;/Author&gt;&lt;Year&gt;2014&lt;/Year&gt;&lt;RecNum&gt;26&lt;/RecNum&gt;&lt;DisplayText&gt;(Msomba et al., 2014)&lt;/DisplayText&gt;&lt;record&gt;&lt;rec-number&gt;26&lt;/rec-number&gt;&lt;foreign-keys&gt;&lt;key app="EN" db-id="zx5vprwxa0rsabew9f9xp5fcs9tz0dzwa2fa" timestamp="0"&gt;26&lt;/key&gt;&lt;/foreign-keys&gt;&lt;ref-type name="Journal Article"&gt;17&lt;/ref-type&gt;&lt;contributors&gt;&lt;authors&gt;&lt;author&gt;Msomba, S. W.&lt;/author&gt;&lt;author&gt;Kamau, D. M.&lt;/author&gt;&lt;author&gt;Uwimana, M. A.&lt;/author&gt;&lt;author&gt;Muhoza, C.&lt;/author&gt;&lt;author&gt;Owuor, P. O.&lt;/author&gt;&lt;/authors&gt;&lt;/contributors&gt;&lt;titles&gt;&lt;title&gt;Effects of location of production, nitrogenous fertilizer rates and plucking intervals on tea clone TRFK 6/8 tea in East Africa: I. Yields&lt;/title&gt;&lt;secondary-title&gt;International Journal of Tea Science (IJTS)&lt;/secondary-title&gt;&lt;/titles&gt;&lt;periodical&gt;&lt;full-title&gt;International Journal of Tea Science (IJTS)&lt;/full-title&gt;&lt;/periodical&gt;&lt;pages&gt;14-24&lt;/pages&gt;&lt;volume&gt;10&lt;/volume&gt;&lt;number&gt;3/4&lt;/number&gt;&lt;dates&gt;&lt;year&gt;2014&lt;/year&gt;&lt;/dates&gt;&lt;isbn&gt;0972-544X&lt;/isbn&gt;&lt;urls&gt;&lt;related-urls&gt;&lt;url&gt;&lt;style face="underline" font="default" size="100%"&gt;https://www.cabdirect.org/cabdirect/abstract/20153099581&lt;/style&gt;&lt;/url&gt;&lt;/related-urls&gt;&lt;/urls&gt;&lt;electronic-resource-num&gt;10.20425/ijts.v10i3and4.4739&lt;/electronic-resource-num&gt;&lt;/record&gt;&lt;/Cite&gt;&lt;/EndNote&gt;</w:instrText>
      </w:r>
      <w:r w:rsidRPr="00582808">
        <w:rPr>
          <w:szCs w:val="24"/>
          <w:lang w:val="en-GB"/>
        </w:rPr>
        <w:fldChar w:fldCharType="separate"/>
      </w:r>
      <w:r w:rsidR="00175EB1">
        <w:rPr>
          <w:noProof/>
          <w:szCs w:val="24"/>
          <w:lang w:val="en-GB"/>
        </w:rPr>
        <w:t>(Msomba et al., 2014)</w:t>
      </w:r>
      <w:r w:rsidRPr="00582808">
        <w:rPr>
          <w:szCs w:val="24"/>
          <w:lang w:val="en-GB"/>
        </w:rPr>
        <w:fldChar w:fldCharType="end"/>
      </w:r>
      <w:r w:rsidRPr="00582808">
        <w:rPr>
          <w:szCs w:val="24"/>
          <w:lang w:val="en-GB"/>
        </w:rPr>
        <w:t>. The results suggest that each site may require specific fertilizer recommendation for realization of optimal yields, when other factors are not limiting.</w:t>
      </w:r>
    </w:p>
    <w:tbl>
      <w:tblPr>
        <w:tblW w:w="10710" w:type="dxa"/>
        <w:tblInd w:w="-252" w:type="dxa"/>
        <w:tblLayout w:type="fixed"/>
        <w:tblLook w:val="04A0" w:firstRow="1" w:lastRow="0" w:firstColumn="1" w:lastColumn="0" w:noHBand="0" w:noVBand="1"/>
      </w:tblPr>
      <w:tblGrid>
        <w:gridCol w:w="5400"/>
        <w:gridCol w:w="5310"/>
      </w:tblGrid>
      <w:tr w:rsidR="00E6409C" w:rsidRPr="00582808" w14:paraId="47C396D3" w14:textId="77777777" w:rsidTr="00046694">
        <w:trPr>
          <w:trHeight w:val="3410"/>
        </w:trPr>
        <w:tc>
          <w:tcPr>
            <w:tcW w:w="10710" w:type="dxa"/>
            <w:gridSpan w:val="2"/>
          </w:tcPr>
          <w:p w14:paraId="0D671CAB" w14:textId="19F8D3C3" w:rsidR="00E6409C" w:rsidRPr="00582808" w:rsidRDefault="009D4837" w:rsidP="00D568D7">
            <w:pPr>
              <w:jc w:val="center"/>
              <w:rPr>
                <w:sz w:val="20"/>
                <w:szCs w:val="20"/>
                <w:lang w:val="en-GB"/>
              </w:rPr>
            </w:pPr>
            <w:r>
              <w:rPr>
                <w:noProof/>
              </w:rPr>
              <w:drawing>
                <wp:inline distT="0" distB="0" distL="0" distR="0" wp14:anchorId="79E09F60" wp14:editId="394F2747">
                  <wp:extent cx="4572000" cy="2743200"/>
                  <wp:effectExtent l="0" t="0" r="0" b="0"/>
                  <wp:docPr id="16" name="Chart 16">
                    <a:extLst xmlns:a="http://schemas.openxmlformats.org/drawingml/2006/main">
                      <a:ext uri="{FF2B5EF4-FFF2-40B4-BE49-F238E27FC236}">
                        <a16:creationId xmlns:a16="http://schemas.microsoft.com/office/drawing/2014/main" id="{E46C20C3-74B0-035D-53CF-B0FC83673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E6409C" w:rsidRPr="00582808" w14:paraId="3CF2EB1C" w14:textId="77777777" w:rsidTr="00046694">
        <w:tc>
          <w:tcPr>
            <w:tcW w:w="10710" w:type="dxa"/>
            <w:gridSpan w:val="2"/>
          </w:tcPr>
          <w:p w14:paraId="357DFA2A" w14:textId="77777777" w:rsidR="00E6409C" w:rsidRPr="00582808" w:rsidRDefault="00E6409C" w:rsidP="00D568D7">
            <w:pPr>
              <w:rPr>
                <w:sz w:val="20"/>
                <w:szCs w:val="20"/>
                <w:lang w:val="en-GB"/>
              </w:rPr>
            </w:pPr>
            <w:r w:rsidRPr="00582808">
              <w:rPr>
                <w:sz w:val="20"/>
                <w:szCs w:val="20"/>
                <w:lang w:val="en-GB"/>
              </w:rPr>
              <w:t>Figure 1 a: Soil nitrogen levels (%) in different locations at various soil depths</w:t>
            </w:r>
          </w:p>
        </w:tc>
      </w:tr>
      <w:tr w:rsidR="00E6409C" w:rsidRPr="00582808" w14:paraId="1DE076A6" w14:textId="77777777" w:rsidTr="00046694">
        <w:tc>
          <w:tcPr>
            <w:tcW w:w="5400" w:type="dxa"/>
          </w:tcPr>
          <w:p w14:paraId="4E326072" w14:textId="225003E0" w:rsidR="00E6409C" w:rsidRPr="00582808" w:rsidRDefault="009D4837" w:rsidP="00D568D7">
            <w:pPr>
              <w:rPr>
                <w:sz w:val="20"/>
                <w:szCs w:val="20"/>
                <w:lang w:val="en-GB"/>
              </w:rPr>
            </w:pPr>
            <w:r>
              <w:rPr>
                <w:noProof/>
              </w:rPr>
              <w:lastRenderedPageBreak/>
              <w:drawing>
                <wp:inline distT="0" distB="0" distL="0" distR="0" wp14:anchorId="72B163F1" wp14:editId="5E578DDA">
                  <wp:extent cx="3291840" cy="3074670"/>
                  <wp:effectExtent l="0" t="0" r="3810" b="11430"/>
                  <wp:docPr id="17" name="Chart 17">
                    <a:extLst xmlns:a="http://schemas.openxmlformats.org/drawingml/2006/main">
                      <a:ext uri="{FF2B5EF4-FFF2-40B4-BE49-F238E27FC236}">
                        <a16:creationId xmlns:a16="http://schemas.microsoft.com/office/drawing/2014/main" id="{62F09550-9C5B-FD9E-C4D6-0646EC45E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5310" w:type="dxa"/>
          </w:tcPr>
          <w:p w14:paraId="7DAAD5FE" w14:textId="30275961" w:rsidR="00E6409C" w:rsidRPr="00582808" w:rsidRDefault="009D4837" w:rsidP="00D568D7">
            <w:pPr>
              <w:rPr>
                <w:sz w:val="20"/>
                <w:szCs w:val="20"/>
                <w:lang w:val="en-GB"/>
              </w:rPr>
            </w:pPr>
            <w:r>
              <w:rPr>
                <w:noProof/>
              </w:rPr>
              <w:drawing>
                <wp:inline distT="0" distB="0" distL="0" distR="0" wp14:anchorId="709CAD5C" wp14:editId="5FE9C2D4">
                  <wp:extent cx="3234690" cy="3097162"/>
                  <wp:effectExtent l="0" t="0" r="3810" b="8255"/>
                  <wp:docPr id="18" name="Chart 18">
                    <a:extLst xmlns:a="http://schemas.openxmlformats.org/drawingml/2006/main">
                      <a:ext uri="{FF2B5EF4-FFF2-40B4-BE49-F238E27FC236}">
                        <a16:creationId xmlns:a16="http://schemas.microsoft.com/office/drawing/2014/main" id="{62F09550-9C5B-FD9E-C4D6-0646EC45E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E6409C" w:rsidRPr="00582808" w14:paraId="675660F9" w14:textId="77777777" w:rsidTr="00046694">
        <w:tc>
          <w:tcPr>
            <w:tcW w:w="5400" w:type="dxa"/>
          </w:tcPr>
          <w:p w14:paraId="47347E12" w14:textId="77777777" w:rsidR="00E6409C" w:rsidRPr="00582808" w:rsidRDefault="00E6409C" w:rsidP="00D568D7">
            <w:pPr>
              <w:rPr>
                <w:sz w:val="20"/>
                <w:szCs w:val="20"/>
                <w:lang w:val="en-GB"/>
              </w:rPr>
            </w:pPr>
            <w:r w:rsidRPr="00582808">
              <w:rPr>
                <w:sz w:val="20"/>
                <w:szCs w:val="20"/>
                <w:lang w:val="en-GB"/>
              </w:rPr>
              <w:t>Figure 1 b: Changes in % soil nitrogen at 0-10 cm depth</w:t>
            </w:r>
          </w:p>
        </w:tc>
        <w:tc>
          <w:tcPr>
            <w:tcW w:w="5310" w:type="dxa"/>
          </w:tcPr>
          <w:p w14:paraId="43D5421E" w14:textId="77777777" w:rsidR="00E6409C" w:rsidRPr="00582808" w:rsidRDefault="00E6409C" w:rsidP="00D568D7">
            <w:pPr>
              <w:rPr>
                <w:sz w:val="20"/>
                <w:szCs w:val="20"/>
                <w:lang w:val="en-GB"/>
              </w:rPr>
            </w:pPr>
            <w:r w:rsidRPr="00582808">
              <w:rPr>
                <w:sz w:val="20"/>
                <w:szCs w:val="20"/>
                <w:lang w:val="en-GB"/>
              </w:rPr>
              <w:t>Figure 1 c Changes in % soil nitrogen at 10-20 cm depth</w:t>
            </w:r>
          </w:p>
        </w:tc>
      </w:tr>
      <w:tr w:rsidR="00E6409C" w:rsidRPr="00582808" w14:paraId="4BEB07E4" w14:textId="77777777" w:rsidTr="00046694">
        <w:tc>
          <w:tcPr>
            <w:tcW w:w="5400" w:type="dxa"/>
          </w:tcPr>
          <w:p w14:paraId="77D315C2" w14:textId="6D2CFCA1" w:rsidR="00E6409C" w:rsidRPr="00582808" w:rsidRDefault="00E879E7" w:rsidP="00D568D7">
            <w:pPr>
              <w:rPr>
                <w:sz w:val="20"/>
                <w:szCs w:val="20"/>
                <w:lang w:val="en-GB"/>
              </w:rPr>
            </w:pPr>
            <w:r>
              <w:rPr>
                <w:noProof/>
              </w:rPr>
              <w:drawing>
                <wp:inline distT="0" distB="0" distL="0" distR="0" wp14:anchorId="71E49E74" wp14:editId="32B406C1">
                  <wp:extent cx="3291840" cy="2403987"/>
                  <wp:effectExtent l="0" t="0" r="3810" b="15875"/>
                  <wp:docPr id="20" name="Chart 20">
                    <a:extLst xmlns:a="http://schemas.openxmlformats.org/drawingml/2006/main">
                      <a:ext uri="{FF2B5EF4-FFF2-40B4-BE49-F238E27FC236}">
                        <a16:creationId xmlns:a16="http://schemas.microsoft.com/office/drawing/2014/main" id="{9333F200-C3B3-98EE-DBBB-98ECA54E7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5310" w:type="dxa"/>
          </w:tcPr>
          <w:p w14:paraId="77F6A37E" w14:textId="45E0DA1A" w:rsidR="00E6409C" w:rsidRPr="00582808" w:rsidRDefault="009D4837" w:rsidP="00D568D7">
            <w:pPr>
              <w:rPr>
                <w:sz w:val="20"/>
                <w:szCs w:val="20"/>
                <w:lang w:val="en-GB"/>
              </w:rPr>
            </w:pPr>
            <w:r>
              <w:rPr>
                <w:noProof/>
              </w:rPr>
              <w:drawing>
                <wp:inline distT="0" distB="0" distL="0" distR="0" wp14:anchorId="5E1BF002" wp14:editId="1FEAF103">
                  <wp:extent cx="3234690" cy="2447925"/>
                  <wp:effectExtent l="0" t="0" r="3810" b="9525"/>
                  <wp:docPr id="1" name="Chart 1">
                    <a:extLst xmlns:a="http://schemas.openxmlformats.org/drawingml/2006/main">
                      <a:ext uri="{FF2B5EF4-FFF2-40B4-BE49-F238E27FC236}">
                        <a16:creationId xmlns:a16="http://schemas.microsoft.com/office/drawing/2014/main" id="{D08452B3-19CB-25D5-19D6-D145F44B6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E6409C" w:rsidRPr="00582808" w14:paraId="49A50425" w14:textId="77777777" w:rsidTr="00046694">
        <w:trPr>
          <w:trHeight w:val="141"/>
        </w:trPr>
        <w:tc>
          <w:tcPr>
            <w:tcW w:w="5400" w:type="dxa"/>
          </w:tcPr>
          <w:p w14:paraId="129A9E0E" w14:textId="77777777" w:rsidR="00E6409C" w:rsidRPr="00582808" w:rsidRDefault="00E6409C" w:rsidP="00D568D7">
            <w:pPr>
              <w:rPr>
                <w:sz w:val="20"/>
                <w:szCs w:val="20"/>
                <w:lang w:val="en-GB"/>
              </w:rPr>
            </w:pPr>
            <w:r>
              <w:rPr>
                <w:sz w:val="20"/>
                <w:szCs w:val="20"/>
                <w:lang w:val="en-GB"/>
              </w:rPr>
              <w:t>`</w:t>
            </w:r>
            <w:r w:rsidRPr="00582808">
              <w:rPr>
                <w:sz w:val="20"/>
                <w:szCs w:val="20"/>
                <w:lang w:val="en-GB"/>
              </w:rPr>
              <w:t>Figure 1d: Changes in % soil nitrogen at 20-30 cm depth</w:t>
            </w:r>
          </w:p>
        </w:tc>
        <w:tc>
          <w:tcPr>
            <w:tcW w:w="5310" w:type="dxa"/>
          </w:tcPr>
          <w:p w14:paraId="50AE4BF6" w14:textId="77777777" w:rsidR="00E6409C" w:rsidRPr="00582808" w:rsidRDefault="00E6409C" w:rsidP="00D568D7">
            <w:pPr>
              <w:rPr>
                <w:sz w:val="20"/>
                <w:szCs w:val="20"/>
                <w:lang w:val="en-GB"/>
              </w:rPr>
            </w:pPr>
            <w:r w:rsidRPr="00582808">
              <w:rPr>
                <w:sz w:val="20"/>
                <w:szCs w:val="20"/>
                <w:lang w:val="en-GB"/>
              </w:rPr>
              <w:t>Figure 1e: Changes in % soil nitrogen at 40-60 cm depth</w:t>
            </w:r>
          </w:p>
        </w:tc>
      </w:tr>
    </w:tbl>
    <w:p w14:paraId="5A9CC8DF" w14:textId="77777777" w:rsidR="00C20C12" w:rsidRPr="00582808" w:rsidRDefault="00C20C12" w:rsidP="00C20C12">
      <w:pPr>
        <w:rPr>
          <w:sz w:val="20"/>
          <w:szCs w:val="20"/>
          <w:lang w:val="en-GB"/>
        </w:rPr>
      </w:pPr>
      <w:r w:rsidRPr="00582808">
        <w:rPr>
          <w:sz w:val="20"/>
          <w:szCs w:val="20"/>
          <w:lang w:val="en-GB"/>
        </w:rPr>
        <w:t xml:space="preserve">Figure </w:t>
      </w:r>
      <w:r>
        <w:rPr>
          <w:sz w:val="20"/>
          <w:szCs w:val="20"/>
          <w:lang w:val="en-GB"/>
        </w:rPr>
        <w:t>1</w:t>
      </w:r>
      <w:r w:rsidRPr="00582808">
        <w:rPr>
          <w:sz w:val="20"/>
          <w:szCs w:val="20"/>
          <w:lang w:val="en-GB"/>
        </w:rPr>
        <w:t xml:space="preserve">: Changes in soil </w:t>
      </w:r>
      <w:r>
        <w:rPr>
          <w:sz w:val="20"/>
          <w:szCs w:val="20"/>
          <w:lang w:val="en-GB"/>
        </w:rPr>
        <w:t>nitrogen l</w:t>
      </w:r>
      <w:r w:rsidRPr="00582808">
        <w:rPr>
          <w:sz w:val="20"/>
          <w:szCs w:val="20"/>
          <w:lang w:val="en-GB"/>
        </w:rPr>
        <w:t>evels (ppm) at different soil depths and nitrogen fertilizer rates in different locations</w:t>
      </w:r>
    </w:p>
    <w:p w14:paraId="4BD2ED26" w14:textId="77777777" w:rsidR="00E6409C" w:rsidRDefault="00E6409C" w:rsidP="00E6409C">
      <w:pPr>
        <w:rPr>
          <w:b/>
          <w:szCs w:val="24"/>
          <w:lang w:val="en-GB"/>
        </w:rPr>
      </w:pPr>
    </w:p>
    <w:p w14:paraId="3BF8FE68" w14:textId="77777777" w:rsidR="00BB263C" w:rsidRDefault="00BB263C" w:rsidP="00E6409C">
      <w:pPr>
        <w:rPr>
          <w:b/>
          <w:szCs w:val="24"/>
          <w:lang w:val="en-GB"/>
        </w:rPr>
      </w:pPr>
    </w:p>
    <w:p w14:paraId="75E0B859" w14:textId="4D9A739D" w:rsidR="00C20C12" w:rsidRPr="00582808" w:rsidRDefault="00C20C12" w:rsidP="00C20C12">
      <w:pPr>
        <w:spacing w:line="360" w:lineRule="auto"/>
        <w:rPr>
          <w:szCs w:val="24"/>
          <w:lang w:val="en-GB"/>
        </w:rPr>
      </w:pPr>
      <w:proofErr w:type="spellStart"/>
      <w:r w:rsidRPr="00582808">
        <w:rPr>
          <w:szCs w:val="24"/>
          <w:lang w:val="en-GB"/>
        </w:rPr>
        <w:t>Mulindi</w:t>
      </w:r>
      <w:proofErr w:type="spellEnd"/>
      <w:r w:rsidRPr="00582808">
        <w:rPr>
          <w:szCs w:val="24"/>
          <w:lang w:val="en-GB"/>
        </w:rPr>
        <w:t xml:space="preserve"> with exceptionally high levels of SOC </w:t>
      </w:r>
      <w:r w:rsidRPr="00582808">
        <w:rPr>
          <w:szCs w:val="24"/>
          <w:lang w:val="en-GB"/>
        </w:rPr>
        <w:fldChar w:fldCharType="begin"/>
      </w:r>
      <w:r w:rsidR="00175EB1">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Pr="00582808">
        <w:rPr>
          <w:szCs w:val="24"/>
          <w:lang w:val="en-GB"/>
        </w:rPr>
        <w:fldChar w:fldCharType="separate"/>
      </w:r>
      <w:r w:rsidR="00175EB1">
        <w:rPr>
          <w:noProof/>
          <w:szCs w:val="24"/>
          <w:lang w:val="en-GB"/>
        </w:rPr>
        <w:t>(Ombori et al., 2020)</w:t>
      </w:r>
      <w:r w:rsidRPr="00582808">
        <w:rPr>
          <w:szCs w:val="24"/>
          <w:lang w:val="en-GB"/>
        </w:rPr>
        <w:fldChar w:fldCharType="end"/>
      </w:r>
      <w:r w:rsidRPr="00582808">
        <w:rPr>
          <w:szCs w:val="24"/>
          <w:lang w:val="en-GB"/>
        </w:rPr>
        <w:t xml:space="preserve"> and clay (Table 2) was expected to have highest soil nitrogen content. However, the levels were within the limits observed in other locations. The </w:t>
      </w:r>
      <w:proofErr w:type="spellStart"/>
      <w:r w:rsidRPr="00582808">
        <w:rPr>
          <w:szCs w:val="24"/>
          <w:lang w:val="en-GB"/>
        </w:rPr>
        <w:t>Mulindi</w:t>
      </w:r>
      <w:proofErr w:type="spellEnd"/>
      <w:r w:rsidRPr="00582808">
        <w:rPr>
          <w:szCs w:val="24"/>
          <w:lang w:val="en-GB"/>
        </w:rPr>
        <w:t xml:space="preserve"> site has peat soil and a very high water table. This could be causing leaching and washing away of nitrogen in the waterlogged site. In all the locations, </w:t>
      </w:r>
      <w:proofErr w:type="spellStart"/>
      <w:r w:rsidRPr="00582808">
        <w:rPr>
          <w:szCs w:val="24"/>
          <w:lang w:val="en-GB"/>
        </w:rPr>
        <w:t>prunings</w:t>
      </w:r>
      <w:proofErr w:type="spellEnd"/>
      <w:r w:rsidRPr="00582808">
        <w:rPr>
          <w:szCs w:val="24"/>
          <w:lang w:val="en-GB"/>
        </w:rPr>
        <w:t xml:space="preserve"> were left </w:t>
      </w:r>
      <w:r w:rsidRPr="00582808">
        <w:rPr>
          <w:i/>
          <w:szCs w:val="24"/>
          <w:lang w:val="en-GB"/>
        </w:rPr>
        <w:t>in situ</w:t>
      </w:r>
      <w:r w:rsidRPr="00582808">
        <w:rPr>
          <w:szCs w:val="24"/>
          <w:lang w:val="en-GB"/>
        </w:rPr>
        <w:t xml:space="preserve"> and most of the feeder roots were within 0-10 cm soil depth. The decomposition and mineralization of the organic matter enhanced percentage nitrogen in the tea surface soils, even in the control plots. The results therefore suggested that in the short term, nitrogen may not be a limiting factor in tea production in well managed plantations, provided there is adequate moisture in the soil. The east African tea soils may therefore require longer intervals of nitrogen application than one year. Indeed single sites had demonstrated lack of yield benefits from splitting annual nitrogen fertilizer application </w:t>
      </w:r>
      <w:r w:rsidRPr="00582808">
        <w:rPr>
          <w:szCs w:val="24"/>
          <w:lang w:val="en-GB"/>
        </w:rPr>
        <w:fldChar w:fldCharType="begin">
          <w:fldData xml:space="preserve">PEVuZE5vdGU+PENpdGU+PEF1dGhvcj5Pd3VvcjwvQXV0aG9yPjxZZWFyPjIwMTE8L1llYXI+PFJl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</w:fldData>
        </w:fldChar>
      </w:r>
      <w:r w:rsidR="00175EB1">
        <w:rPr>
          <w:szCs w:val="24"/>
          <w:lang w:val="en-GB"/>
        </w:rPr>
        <w:instrText xml:space="preserve"> ADDIN EN.CITE </w:instrText>
      </w:r>
      <w:r w:rsidR="00175EB1">
        <w:rPr>
          <w:szCs w:val="24"/>
          <w:lang w:val="en-GB"/>
        </w:rPr>
        <w:fldChar w:fldCharType="begin">
          <w:fldData xml:space="preserve">PEVuZE5vdGU+PENpdGU+PEF1dGhvcj5Pd3VvcjwvQXV0aG9yPjxZZWFyPjIwMTE8L1llYXI+PFJl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</w:fldData>
        </w:fldChar>
      </w:r>
      <w:r w:rsidR="00175EB1">
        <w:rPr>
          <w:szCs w:val="24"/>
          <w:lang w:val="en-GB"/>
        </w:rPr>
        <w:instrText xml:space="preserve"> ADDIN EN.CITE.DATA </w:instrText>
      </w:r>
      <w:r w:rsidR="00175EB1">
        <w:rPr>
          <w:szCs w:val="24"/>
          <w:lang w:val="en-GB"/>
        </w:rPr>
      </w:r>
      <w:r w:rsidR="00175EB1">
        <w:rPr>
          <w:szCs w:val="24"/>
          <w:lang w:val="en-GB"/>
        </w:rPr>
        <w:fldChar w:fldCharType="end"/>
      </w:r>
      <w:r w:rsidRPr="00582808">
        <w:rPr>
          <w:szCs w:val="24"/>
          <w:lang w:val="en-GB"/>
        </w:rPr>
      </w:r>
      <w:r w:rsidRPr="00582808">
        <w:rPr>
          <w:szCs w:val="24"/>
          <w:lang w:val="en-GB"/>
        </w:rPr>
        <w:fldChar w:fldCharType="separate"/>
      </w:r>
      <w:r w:rsidR="00175EB1">
        <w:rPr>
          <w:noProof/>
          <w:szCs w:val="24"/>
          <w:lang w:val="en-GB"/>
        </w:rPr>
        <w:t>(P. O. Owuor, D. M. Kamau, et al., 2011; Owuor &amp; Wanyoko, 1996)</w:t>
      </w:r>
      <w:r w:rsidRPr="00582808">
        <w:rPr>
          <w:szCs w:val="24"/>
          <w:lang w:val="en-GB"/>
        </w:rPr>
        <w:fldChar w:fldCharType="end"/>
      </w:r>
      <w:r w:rsidRPr="00582808">
        <w:rPr>
          <w:szCs w:val="24"/>
          <w:lang w:val="en-GB"/>
        </w:rPr>
        <w:t xml:space="preserve">. </w:t>
      </w:r>
    </w:p>
    <w:p w14:paraId="490D1D9A" w14:textId="77777777" w:rsidR="00C20C12" w:rsidRPr="00582808" w:rsidRDefault="00C20C12" w:rsidP="00E6409C">
      <w:pPr>
        <w:rPr>
          <w:b/>
          <w:szCs w:val="24"/>
          <w:lang w:val="en-GB"/>
        </w:rPr>
      </w:pPr>
    </w:p>
    <w:p w14:paraId="17356CBF" w14:textId="276551C7" w:rsidR="00B91EC8" w:rsidRPr="00582808" w:rsidRDefault="00B91EC8" w:rsidP="00B91EC8">
      <w:pPr>
        <w:spacing w:line="360" w:lineRule="auto"/>
        <w:rPr>
          <w:szCs w:val="24"/>
          <w:lang w:val="en-GB"/>
        </w:rPr>
      </w:pPr>
      <w:r w:rsidRPr="00582808">
        <w:rPr>
          <w:szCs w:val="24"/>
          <w:lang w:val="en-GB"/>
        </w:rPr>
        <w:t xml:space="preserve">The levels of soil nitrogen increased (p≤0.05) with nitrogen rates (Figures 1b to 1e) at all sites except at </w:t>
      </w:r>
      <w:proofErr w:type="spellStart"/>
      <w:r w:rsidRPr="00582808">
        <w:rPr>
          <w:szCs w:val="24"/>
          <w:lang w:val="en-GB"/>
        </w:rPr>
        <w:t>Arroket</w:t>
      </w:r>
      <w:proofErr w:type="spellEnd"/>
      <w:r w:rsidRPr="00582808">
        <w:rPr>
          <w:szCs w:val="24"/>
          <w:lang w:val="en-GB"/>
        </w:rPr>
        <w:t xml:space="preserve"> (depths 0-10 cm and 20-30cm), </w:t>
      </w:r>
      <w:proofErr w:type="spellStart"/>
      <w:r w:rsidRPr="00582808">
        <w:rPr>
          <w:szCs w:val="24"/>
          <w:lang w:val="en-GB"/>
        </w:rPr>
        <w:t>Changoi</w:t>
      </w:r>
      <w:proofErr w:type="spellEnd"/>
      <w:r w:rsidRPr="00582808">
        <w:rPr>
          <w:szCs w:val="24"/>
          <w:lang w:val="en-GB"/>
        </w:rPr>
        <w:t xml:space="preserve"> (40-60cm). Generally, these responses showed the same pattern observed in previous studies </w:t>
      </w:r>
      <w:r w:rsidRPr="00582808">
        <w:rPr>
          <w:szCs w:val="24"/>
          <w:lang w:val="en-GB"/>
        </w:rPr>
        <w:fldChar w:fldCharType="begin"/>
      </w:r>
      <w:r w:rsidR="00175EB1">
        <w:rPr>
          <w:szCs w:val="24"/>
          <w:lang w:val="en-GB"/>
        </w:rPr>
        <w:instrText xml:space="preserve"> ADDIN EN.CITE &lt;EndNote&gt;&lt;Cite&gt;&lt;Author&gt;Hamid&lt;/Author&gt;&lt;Year&gt;2006&lt;/Year&gt;&lt;RecNum&gt;19&lt;/RecNum&gt;&lt;DisplayText&gt;(Hamid, 2006; Hamid et al., 1993)&lt;/DisplayText&gt;&lt;record&gt;&lt;rec-number&gt;19&lt;/rec-number&gt;&lt;foreign-keys&gt;&lt;key app="EN" db-id="zx5vprwxa0rsabew9f9xp5fcs9tz0dzwa2fa" timestamp="0"&gt;19&lt;/key&gt;&lt;/foreign-keys&gt;&lt;ref-type name="Thesis"&gt;32&lt;/ref-type&gt;&lt;contributors&gt;&lt;authors&gt;&lt;author&gt;Hamid, F. S.&lt;/author&gt;&lt;/authors&gt;&lt;/contributors&gt;&lt;titles&gt;&lt;title&gt;Yield and quality of tea under varying conditions of soil and nitrogen availability&lt;/title&gt;&lt;/titles&gt;&lt;volume&gt;PhD&lt;/volume&gt;&lt;dates&gt;&lt;year&gt;2006&lt;/year&gt;&lt;/dates&gt;&lt;pub-location&gt; Islamabad, Pakistan&lt;/pub-location&gt;&lt;publisher&gt;Quid-I-Azam University&lt;/publisher&gt;&lt;urls&gt;&lt;related-urls&gt;&lt;url&gt;&lt;style face="underline" font="default" size="100%"&gt;http://prr.hec.gov.pk/jspui/bitstream/123456789/5147/1/2203.pdf&lt;/style&gt;&lt;/url&gt;&lt;/related-urls&gt;&lt;/urls&gt;&lt;/record&gt;&lt;/Cite&gt;&lt;Cite&gt;&lt;Author&gt;Hamid&lt;/Author&gt;&lt;Year&gt;1993&lt;/Year&gt;&lt;RecNum&gt;87&lt;/RecNum&gt;&lt;record&gt;&lt;rec-number&gt;87&lt;/rec-number&gt;&lt;foreign-keys&gt;&lt;key app="EN" db-id="zx5vprwxa0rsabew9f9xp5fcs9tz0dzwa2fa" timestamp="1595618223"&gt;87&lt;/key&gt;&lt;/foreign-keys&gt;&lt;ref-type name="Journal Article"&gt;17&lt;/ref-type&gt;&lt;contributors&gt;&lt;authors&gt;&lt;author&gt;Hamid, F S.&lt;/author&gt;&lt;author&gt;Ahmad, N.&lt;/author&gt;&lt;author&gt;Waheed, A.&lt;/author&gt;&lt;author&gt;Rauf, A.&lt;/author&gt;&lt;/authors&gt;&lt;/contributors&gt;&lt;titles&gt;&lt;title&gt;The mineral status and physical composition of prospective tea growing areas of North West Frontier Province&lt;/title&gt;&lt;secondary-title&gt;Sarhad Journal of Agriculture&lt;/secondary-title&gt;&lt;/titles&gt;&lt;periodical&gt;&lt;full-title&gt;Sarhad Journal of Agriculture&lt;/full-title&gt;&lt;/periodical&gt;&lt;pages&gt;608-614&lt;/pages&gt;&lt;volume&gt;IX&lt;/volume&gt;&lt;num-vols&gt;6&lt;/num-vols&gt;&lt;dates&gt;&lt;year&gt;1993&lt;/year&gt;&lt;/dates&gt;&lt;urls&gt;&lt;/urls&gt;&lt;/record&gt;&lt;/Cite&gt;&lt;/EndNote&gt;</w:instrText>
      </w:r>
      <w:r w:rsidRPr="00582808">
        <w:rPr>
          <w:szCs w:val="24"/>
          <w:lang w:val="en-GB"/>
        </w:rPr>
        <w:fldChar w:fldCharType="separate"/>
      </w:r>
      <w:r w:rsidR="00175EB1">
        <w:rPr>
          <w:noProof/>
          <w:szCs w:val="24"/>
          <w:lang w:val="en-GB"/>
        </w:rPr>
        <w:t>(Hamid, 2006; Hamid et al., 1993)</w:t>
      </w:r>
      <w:r w:rsidRPr="00582808">
        <w:rPr>
          <w:szCs w:val="24"/>
          <w:lang w:val="en-GB"/>
        </w:rPr>
        <w:fldChar w:fldCharType="end"/>
      </w:r>
      <w:r w:rsidRPr="00582808">
        <w:rPr>
          <w:szCs w:val="24"/>
          <w:lang w:val="en-GB"/>
        </w:rPr>
        <w:t xml:space="preserve"> and were also similar to responses in mature leaf nitrogen content </w:t>
      </w:r>
      <w:r w:rsidRPr="00582808">
        <w:rPr>
          <w:szCs w:val="24"/>
          <w:lang w:val="en-GB"/>
        </w:rPr>
        <w:fldChar w:fldCharType="begin"/>
      </w:r>
      <w:r w:rsidR="00175EB1">
        <w:rPr>
          <w:szCs w:val="24"/>
          <w:lang w:val="en-GB"/>
        </w:rPr>
        <w:instrText xml:space="preserve"> ADDIN EN.CITE &lt;EndNote&gt;&lt;Cite&gt;&lt;Author&gt;Kebeney&lt;/Author&gt;&lt;Year&gt;2010&lt;/Year&gt;&lt;RecNum&gt;88&lt;/RecNum&gt;&lt;DisplayText&gt;(Kebeney et al., 2010; Kwach et al., 2014)&lt;/DisplayText&gt;&lt;record&gt;&lt;rec-number&gt;88&lt;/rec-number&gt;&lt;foreign-keys&gt;&lt;key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Cite&gt;&lt;Author&gt;Kwach&lt;/Author&gt;&lt;Year&gt;2014&lt;/Year&gt;&lt;RecNum&gt;22&lt;/RecNum&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Pr="00582808">
        <w:rPr>
          <w:szCs w:val="24"/>
          <w:lang w:val="en-GB"/>
        </w:rPr>
        <w:fldChar w:fldCharType="separate"/>
      </w:r>
      <w:r w:rsidR="00175EB1">
        <w:rPr>
          <w:noProof/>
          <w:szCs w:val="24"/>
          <w:lang w:val="en-GB"/>
        </w:rPr>
        <w:t>(Kebeney et al., 2010; Kwach et al., 2014)</w:t>
      </w:r>
      <w:r w:rsidRPr="00582808">
        <w:rPr>
          <w:szCs w:val="24"/>
          <w:lang w:val="en-GB"/>
        </w:rPr>
        <w:fldChar w:fldCharType="end"/>
      </w:r>
      <w:r w:rsidRPr="00582808">
        <w:rPr>
          <w:szCs w:val="24"/>
          <w:lang w:val="en-GB"/>
        </w:rPr>
        <w:t xml:space="preserve">. The results demonstrated that nitrogen </w:t>
      </w:r>
      <w:r w:rsidR="00582808" w:rsidRPr="00582808">
        <w:rPr>
          <w:szCs w:val="24"/>
          <w:lang w:val="en-GB"/>
        </w:rPr>
        <w:t>deficiency</w:t>
      </w:r>
      <w:r w:rsidRPr="00582808">
        <w:rPr>
          <w:szCs w:val="24"/>
          <w:lang w:val="en-GB"/>
        </w:rPr>
        <w:t xml:space="preserve"> in tea plants can be corrected by surface application of the nutrient in all tea growing regions in East Africa and the mature leaf analysis alone may be adequate in predicting tea plants nitrogen requirements.</w:t>
      </w:r>
    </w:p>
    <w:p w14:paraId="7799A005" w14:textId="2FE09571" w:rsidR="00DC45D1" w:rsidRPr="00582808" w:rsidRDefault="00B91EC8" w:rsidP="009B453E">
      <w:pPr>
        <w:pStyle w:val="ListParagraph"/>
        <w:kinsoku w:val="0"/>
        <w:overflowPunct w:val="0"/>
        <w:spacing w:line="360" w:lineRule="auto"/>
        <w:ind w:left="0"/>
        <w:jc w:val="both"/>
        <w:textAlignment w:val="baseline"/>
        <w:rPr>
          <w:sz w:val="20"/>
          <w:szCs w:val="20"/>
          <w:lang w:val="en-GB"/>
        </w:rPr>
      </w:pPr>
      <w:r w:rsidRPr="00582808">
        <w:rPr>
          <w:lang w:val="en-GB"/>
        </w:rPr>
        <w:t>The soil phosphorus levels (Figure 2a) varied (p≤0.05) with site</w:t>
      </w:r>
      <w:r w:rsidR="009B453E" w:rsidRPr="00582808">
        <w:rPr>
          <w:lang w:val="en-GB"/>
        </w:rPr>
        <w:t>s</w:t>
      </w:r>
      <w:r w:rsidRPr="00582808">
        <w:rPr>
          <w:lang w:val="en-GB"/>
        </w:rPr>
        <w:t xml:space="preserve">. All soils at the depth of up to 20cm had soil phosphorus levels of at least 10 ppm, considered the critical level </w:t>
      </w:r>
      <w:r w:rsidRPr="00582808">
        <w:rPr>
          <w:lang w:val="en-GB"/>
        </w:rPr>
        <w:fldChar w:fldCharType="begin"/>
      </w:r>
      <w:r w:rsidR="00175EB1">
        <w:rPr>
          <w:lang w:val="en-GB"/>
        </w:rPr>
        <w:instrText xml:space="preserve"> ADDIN EN.CITE &lt;EndNote&gt;&lt;Cite&gt;&lt;Author&gt;Nazrul&lt;/Author&gt;&lt;Year&gt;2013&lt;/Year&gt;&lt;RecNum&gt;93&lt;/RecNum&gt;&lt;DisplayText&gt;(Nazrul et al., 2013)&lt;/DisplayText&gt;&lt;record&gt;&lt;rec-number&gt;93&lt;/rec-number&gt;&lt;foreign-keys&gt;&lt;key app="EN" db-id="zx5vprwxa0rsabew9f9xp5fcs9tz0dzwa2fa" timestamp="1595619925"&gt;93&lt;/key&gt;&lt;/foreign-keys&gt;&lt;ref-type name="Journal Article"&gt;17&lt;/ref-type&gt;&lt;contributors&gt;&lt;authors&gt;&lt;author&gt;Nazrul, I. M.&lt;/author&gt;&lt;author&gt;Abu, R. M. T.&lt;/author&gt;&lt;author&gt;Ahmed, M. S.&lt;/author&gt;&lt;/authors&gt;&lt;/contributors&gt;&lt;titles&gt;&lt;title&gt;Primary nutrient status and some related physical properties of the soils of Karnaphuli tea estate, Chittagong&lt;/title&gt;&lt;secondary-title&gt;Analytical Chemistry: An Indian Journal (ACAIL)&lt;/secondary-title&gt;&lt;/titles&gt;&lt;periodical&gt;&lt;full-title&gt;Analytical Chemistry: An Indian Journal (ACAIL)&lt;/full-title&gt;&lt;/periodical&gt;&lt;pages&gt;191-196&lt;/pages&gt;&lt;volume&gt;13&lt;/volume&gt;&lt;number&gt;5&lt;/number&gt;&lt;dates&gt;&lt;year&gt;2013&lt;/year&gt;&lt;/dates&gt;&lt;urls&gt;&lt;/urls&gt;&lt;/record&gt;&lt;/Cite&gt;&lt;/EndNote&gt;</w:instrText>
      </w:r>
      <w:r w:rsidRPr="00582808">
        <w:rPr>
          <w:lang w:val="en-GB"/>
        </w:rPr>
        <w:fldChar w:fldCharType="separate"/>
      </w:r>
      <w:r w:rsidR="00175EB1">
        <w:rPr>
          <w:noProof/>
          <w:lang w:val="en-GB"/>
        </w:rPr>
        <w:t>(Nazrul et al., 2013)</w:t>
      </w:r>
      <w:r w:rsidRPr="00582808">
        <w:rPr>
          <w:lang w:val="en-GB"/>
        </w:rPr>
        <w:fldChar w:fldCharType="end"/>
      </w:r>
      <w:r w:rsidRPr="00582808">
        <w:rPr>
          <w:lang w:val="en-GB"/>
        </w:rPr>
        <w:t xml:space="preserve">. The lower profiles (20-30 cm and 40-60 cm) had levels slightly below the critical value, except at </w:t>
      </w:r>
      <w:proofErr w:type="spellStart"/>
      <w:r w:rsidRPr="00582808">
        <w:rPr>
          <w:lang w:val="en-GB"/>
        </w:rPr>
        <w:t>Changoi</w:t>
      </w:r>
      <w:proofErr w:type="spellEnd"/>
      <w:r w:rsidRPr="00582808">
        <w:rPr>
          <w:lang w:val="en-GB"/>
        </w:rPr>
        <w:t xml:space="preserve">, </w:t>
      </w:r>
      <w:proofErr w:type="spellStart"/>
      <w:r w:rsidRPr="00582808">
        <w:rPr>
          <w:lang w:val="en-GB"/>
        </w:rPr>
        <w:t>Arroket</w:t>
      </w:r>
      <w:proofErr w:type="spellEnd"/>
      <w:r w:rsidRPr="00582808">
        <w:rPr>
          <w:lang w:val="en-GB"/>
        </w:rPr>
        <w:t xml:space="preserve"> and </w:t>
      </w:r>
      <w:proofErr w:type="spellStart"/>
      <w:r w:rsidRPr="00582808">
        <w:rPr>
          <w:lang w:val="en-GB"/>
        </w:rPr>
        <w:t>Mulindi</w:t>
      </w:r>
      <w:proofErr w:type="spellEnd"/>
      <w:r w:rsidRPr="00582808">
        <w:rPr>
          <w:lang w:val="en-GB"/>
        </w:rPr>
        <w:t xml:space="preserve"> as had also been recorded in other studies </w:t>
      </w:r>
      <w:r w:rsidRPr="00582808">
        <w:rPr>
          <w:lang w:val="en-GB"/>
        </w:rPr>
        <w:fldChar w:fldCharType="begin"/>
      </w:r>
      <w:r w:rsidR="00175EB1">
        <w:rPr>
          <w:lang w:val="en-GB"/>
        </w:rPr>
        <w:instrText xml:space="preserve"> ADDIN EN.CITE &lt;EndNote&gt;&lt;Cite&gt;&lt;Author&gt;Owuor&lt;/Author&gt;&lt;Year&gt;2011&lt;/Year&gt;&lt;RecNum&gt;40&lt;/RecNum&gt;&lt;DisplayText&gt;(Nazrul et al., 2013; P. O. Owuor, C. O. Othieno, et al., 2011)&lt;/DisplayText&gt;&lt;record&gt;&lt;rec-number&gt;40&lt;/rec-number&gt;&lt;foreign-keys&gt;&lt;key app="EN" db-id="zx5vprwxa0rsabew9f9xp5fcs9tz0dzwa2fa" timestamp="1573333989"&gt;40&lt;/key&gt;&lt;/foreign-keys&gt;&lt;ref-type name="Journal Article"&gt;17&lt;/ref-type&gt;&lt;contributors&gt;&lt;authors&gt;&lt;author&gt;Owuor, P. O.&lt;/author&gt;&lt;author&gt;Othieno, C. O.&lt;/author&gt;&lt;author&gt;Kamau, D. M.&lt;/author&gt;&lt;author&gt;Wanyoko, J. K.&lt;/author&gt;&lt;/authors&gt;&lt;/contributors&gt;&lt;titles&gt;&lt;title&gt;Effects of long-term fertilizer use on a high-yielding tea clone AHPS15/10: soil pH, mature leaf nitrogen, mature leaf and soil phosphorus and potassium&lt;/title&gt;&lt;secondary-title&gt;International Journal of Tea Science (IJTS)&lt;/secondary-title&gt;&lt;/titles&gt;&lt;periodical&gt;&lt;full-title&gt;International Journal of Tea Science (IJTS)&lt;/full-title&gt;&lt;/periodical&gt;&lt;pages&gt;15-51&lt;/pages&gt;&lt;volume&gt;8&lt;/volume&gt;&lt;number&gt;1&lt;/number&gt;&lt;dates&gt;&lt;year&gt;2011&lt;/year&gt;&lt;/dates&gt;&lt;isbn&gt;0972-544X&lt;/isbn&gt;&lt;urls&gt;&lt;related-urls&gt;&lt;url&gt;&lt;style face="underline" font="default" size="100%"&gt;https://www.cabdirect.org/cabdirect/abstract/20123079622&lt;/style&gt;&lt;/url&gt;&lt;/related-urls&gt;&lt;/urls&gt;&lt;/record&gt;&lt;/Cite&gt;&lt;Cite&gt;&lt;Author&gt;Nazrul&lt;/Author&gt;&lt;Year&gt;2013&lt;/Year&gt;&lt;RecNum&gt;93&lt;/RecNum&gt;&lt;record&gt;&lt;rec-number&gt;93&lt;/rec-number&gt;&lt;foreign-keys&gt;&lt;key app="EN" db-id="zx5vprwxa0rsabew9f9xp5fcs9tz0dzwa2fa" timestamp="1595619925"&gt;93&lt;/key&gt;&lt;/foreign-keys&gt;&lt;ref-type name="Journal Article"&gt;17&lt;/ref-type&gt;&lt;contributors&gt;&lt;authors&gt;&lt;author&gt;Nazrul, I. M.&lt;/author&gt;&lt;author&gt;Abu, R. M. T.&lt;/author&gt;&lt;author&gt;Ahmed, M. S.&lt;/author&gt;&lt;/authors&gt;&lt;/contributors&gt;&lt;titles&gt;&lt;title&gt;Primary nutrient status and some related physical properties of the soils of Karnaphuli tea estate, Chittagong&lt;/title&gt;&lt;secondary-title&gt;Analytical Chemistry: An Indian Journal (ACAIL)&lt;/secondary-title&gt;&lt;/titles&gt;&lt;periodical&gt;&lt;full-title&gt;Analytical Chemistry: An Indian Journal (ACAIL)&lt;/full-title&gt;&lt;/periodical&gt;&lt;pages&gt;191-196&lt;/pages&gt;&lt;volume&gt;13&lt;/volume&gt;&lt;number&gt;5&lt;/number&gt;&lt;dates&gt;&lt;year&gt;2013&lt;/year&gt;&lt;/dates&gt;&lt;urls&gt;&lt;/urls&gt;&lt;/record&gt;&lt;/Cite&gt;&lt;/EndNote&gt;</w:instrText>
      </w:r>
      <w:r w:rsidRPr="00582808">
        <w:rPr>
          <w:lang w:val="en-GB"/>
        </w:rPr>
        <w:fldChar w:fldCharType="separate"/>
      </w:r>
      <w:r w:rsidR="00175EB1">
        <w:rPr>
          <w:noProof/>
          <w:lang w:val="en-GB"/>
        </w:rPr>
        <w:t>(Nazrul et al., 2013; P. O. Owuor, C. O. Othieno, et al., 2011)</w:t>
      </w:r>
      <w:r w:rsidRPr="00582808">
        <w:rPr>
          <w:lang w:val="en-GB"/>
        </w:rPr>
        <w:fldChar w:fldCharType="end"/>
      </w:r>
      <w:r w:rsidRPr="00582808">
        <w:rPr>
          <w:lang w:val="en-GB"/>
        </w:rPr>
        <w:t xml:space="preserve">. </w:t>
      </w:r>
      <w:proofErr w:type="spellStart"/>
      <w:r w:rsidRPr="00582808">
        <w:rPr>
          <w:lang w:val="en-GB"/>
        </w:rPr>
        <w:t>Arroket</w:t>
      </w:r>
      <w:proofErr w:type="spellEnd"/>
      <w:r w:rsidRPr="00582808">
        <w:rPr>
          <w:lang w:val="en-GB"/>
        </w:rPr>
        <w:t xml:space="preserve"> recorded the highest soil phosphorus levels. While other sites showed decrease in soil phosphorus levels with depths, </w:t>
      </w:r>
      <w:proofErr w:type="spellStart"/>
      <w:r w:rsidRPr="00582808">
        <w:rPr>
          <w:lang w:val="en-GB"/>
        </w:rPr>
        <w:t>Mulindi</w:t>
      </w:r>
      <w:proofErr w:type="spellEnd"/>
      <w:r w:rsidRPr="00582808">
        <w:rPr>
          <w:lang w:val="en-GB"/>
        </w:rPr>
        <w:t xml:space="preserve"> recorded an increasing trend. This observation at </w:t>
      </w:r>
      <w:proofErr w:type="spellStart"/>
      <w:r w:rsidRPr="00582808">
        <w:rPr>
          <w:lang w:val="en-GB"/>
        </w:rPr>
        <w:t>Mulindi</w:t>
      </w:r>
      <w:proofErr w:type="spellEnd"/>
      <w:r w:rsidRPr="00582808">
        <w:rPr>
          <w:lang w:val="en-GB"/>
        </w:rPr>
        <w:t xml:space="preserve"> could be attributed to the peat soil with high accumulation of soil organic carbon, even to the lower soil depths at the region. </w:t>
      </w:r>
      <w:r w:rsidRPr="00582808">
        <w:rPr>
          <w:color w:val="000000"/>
          <w:kern w:val="24"/>
          <w:lang w:val="en-GB"/>
        </w:rPr>
        <w:t xml:space="preserve">Variations with location in soil phosphorus </w:t>
      </w:r>
      <w:r w:rsidRPr="00582808">
        <w:rPr>
          <w:color w:val="000000"/>
          <w:kern w:val="24"/>
          <w:lang w:val="en-GB"/>
        </w:rPr>
        <w:fldChar w:fldCharType="begin"/>
      </w:r>
      <w:r w:rsidR="00175EB1">
        <w:rPr>
          <w:color w:val="000000"/>
          <w:kern w:val="24"/>
          <w:lang w:val="en-GB"/>
        </w:rPr>
        <w:instrText xml:space="preserve"> ADDIN EN.CITE &lt;EndNote&gt;&lt;Cite&gt;&lt;Author&gt;Nazrul&lt;/Author&gt;&lt;Year&gt;2013&lt;/Year&gt;&lt;RecNum&gt;93&lt;/RecNum&gt;&lt;DisplayText&gt;(Nazrul et al., 2013; Wang et al., 1997)&lt;/DisplayText&gt;&lt;record&gt;&lt;rec-number&gt;93&lt;/rec-number&gt;&lt;foreign-keys&gt;&lt;key app="EN" db-id="zx5vprwxa0rsabew9f9xp5fcs9tz0dzwa2fa" timestamp="1595619925"&gt;93&lt;/key&gt;&lt;/foreign-keys&gt;&lt;ref-type name="Journal Article"&gt;17&lt;/ref-type&gt;&lt;contributors&gt;&lt;authors&gt;&lt;author&gt;Nazrul, I. M.&lt;/author&gt;&lt;author&gt;Abu, R. M. T.&lt;/author&gt;&lt;author&gt;Ahmed, M. S.&lt;/author&gt;&lt;/authors&gt;&lt;/contributors&gt;&lt;titles&gt;&lt;title&gt;Primary nutrient status and some related physical properties of the soils of Karnaphuli tea estate, Chittagong&lt;/title&gt;&lt;secondary-title&gt;Analytical Chemistry: An Indian Journal (ACAIL)&lt;/secondary-title&gt;&lt;/titles&gt;&lt;periodical&gt;&lt;full-title&gt;Analytical Chemistry: An Indian Journal (ACAIL)&lt;/full-title&gt;&lt;/periodical&gt;&lt;pages&gt;191-196&lt;/pages&gt;&lt;volume&gt;13&lt;/volume&gt;&lt;number&gt;5&lt;/number&gt;&lt;dates&gt;&lt;year&gt;2013&lt;/year&gt;&lt;/dates&gt;&lt;urls&gt;&lt;/urls&gt;&lt;/record&gt;&lt;/Cite&gt;&lt;Cite&gt;&lt;Author&gt;Wang&lt;/Author&gt;&lt;Year&gt;1997&lt;/Year&gt;&lt;RecNum&gt;94&lt;/RecNum&gt;&lt;record&gt;&lt;rec-number&gt;94&lt;/rec-number&gt;&lt;foreign-keys&gt;&lt;key app="EN" db-id="zx5vprwxa0rsabew9f9xp5fcs9tz0dzwa2fa" timestamp="1595620888"&gt;94&lt;/key&gt;&lt;/foreign-keys&gt;&lt;ref-type name="Journal Article"&gt;17&lt;/ref-type&gt;&lt;contributors&gt;&lt;authors&gt;&lt;author&gt;Wang, X .J.&lt;/author&gt;&lt;author&gt;Hu, X. F.&lt;/author&gt;&lt;author&gt;Chen, H. Z.&lt;/author&gt;&lt;/authors&gt;&lt;/contributors&gt;&lt;titles&gt;&lt;title&gt;Some biogeochemical characteristics of tea soils&lt;/title&gt;&lt;secondary-title&gt;Pedosphere&lt;/secondary-title&gt;&lt;/titles&gt;&lt;periodical&gt;&lt;full-title&gt;Pedosphere&lt;/full-title&gt;&lt;/periodical&gt;&lt;pages&gt;275-280&lt;/pages&gt;&lt;volume&gt;7&lt;/volume&gt;&lt;number&gt;3&lt;/number&gt;&lt;dates&gt;&lt;year&gt;1997&lt;/year&gt;&lt;/dates&gt;&lt;urls&gt;&lt;/urls&gt;&lt;/record&gt;&lt;/Cite&gt;&lt;/EndNote&gt;</w:instrText>
      </w:r>
      <w:r w:rsidRPr="00582808">
        <w:rPr>
          <w:color w:val="000000"/>
          <w:kern w:val="24"/>
          <w:lang w:val="en-GB"/>
        </w:rPr>
        <w:fldChar w:fldCharType="separate"/>
      </w:r>
      <w:r w:rsidR="00175EB1">
        <w:rPr>
          <w:noProof/>
          <w:color w:val="000000"/>
          <w:kern w:val="24"/>
          <w:lang w:val="en-GB"/>
        </w:rPr>
        <w:t>(Nazrul et al., 2013; Wang et al., 1997)</w:t>
      </w:r>
      <w:r w:rsidRPr="00582808">
        <w:rPr>
          <w:color w:val="000000"/>
          <w:kern w:val="24"/>
          <w:lang w:val="en-GB"/>
        </w:rPr>
        <w:fldChar w:fldCharType="end"/>
      </w:r>
      <w:r w:rsidRPr="00582808">
        <w:rPr>
          <w:rFonts w:eastAsia="Calibri"/>
          <w:color w:val="000000"/>
          <w:kern w:val="24"/>
          <w:lang w:val="en-GB"/>
        </w:rPr>
        <w:t xml:space="preserve"> and mature leaf phosphorus </w:t>
      </w:r>
      <w:r w:rsidRPr="00582808">
        <w:rPr>
          <w:rFonts w:eastAsia="Calibri"/>
          <w:color w:val="000000"/>
          <w:kern w:val="24"/>
          <w:lang w:val="en-GB"/>
        </w:rPr>
        <w:fldChar w:fldCharType="begin">
          <w:fldData xml:space="preserve">PEVuZE5vdGU+PENpdGU+PEF1dGhvcj5BZGlsb8SfbHU8L0F1dGhvcj48WWVhcj4yMDA2PC9ZZWFy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</w:fldData>
        </w:fldChar>
      </w:r>
      <w:r w:rsidR="00175EB1">
        <w:rPr>
          <w:rFonts w:eastAsia="Calibri"/>
          <w:color w:val="000000"/>
          <w:kern w:val="24"/>
          <w:lang w:val="en-GB"/>
        </w:rPr>
        <w:instrText xml:space="preserve"> ADDIN EN.CITE </w:instrText>
      </w:r>
      <w:r w:rsidR="00175EB1">
        <w:rPr>
          <w:rFonts w:eastAsia="Calibri"/>
          <w:color w:val="000000"/>
          <w:kern w:val="24"/>
          <w:lang w:val="en-GB"/>
        </w:rPr>
        <w:fldChar w:fldCharType="begin">
          <w:fldData xml:space="preserve">PEVuZE5vdGU+PENpdGU+PEF1dGhvcj5BZGlsb8SfbHU8L0F1dGhvcj48WWVhcj4yMDA2PC9ZZWFy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</w:fldData>
        </w:fldChar>
      </w:r>
      <w:r w:rsidR="00175EB1">
        <w:rPr>
          <w:rFonts w:eastAsia="Calibri"/>
          <w:color w:val="000000"/>
          <w:kern w:val="24"/>
          <w:lang w:val="en-GB"/>
        </w:rPr>
        <w:instrText xml:space="preserve"> ADDIN EN.CITE.DATA </w:instrText>
      </w:r>
      <w:r w:rsidR="00175EB1">
        <w:rPr>
          <w:rFonts w:eastAsia="Calibri"/>
          <w:color w:val="000000"/>
          <w:kern w:val="24"/>
          <w:lang w:val="en-GB"/>
        </w:rPr>
      </w:r>
      <w:r w:rsidR="00175EB1">
        <w:rPr>
          <w:rFonts w:eastAsia="Calibri"/>
          <w:color w:val="000000"/>
          <w:kern w:val="24"/>
          <w:lang w:val="en-GB"/>
        </w:rPr>
        <w:fldChar w:fldCharType="end"/>
      </w:r>
      <w:r w:rsidRPr="00582808">
        <w:rPr>
          <w:rFonts w:eastAsia="Calibri"/>
          <w:color w:val="000000"/>
          <w:kern w:val="24"/>
          <w:lang w:val="en-GB"/>
        </w:rPr>
      </w:r>
      <w:r w:rsidRPr="00582808">
        <w:rPr>
          <w:rFonts w:eastAsia="Calibri"/>
          <w:color w:val="000000"/>
          <w:kern w:val="24"/>
          <w:lang w:val="en-GB"/>
        </w:rPr>
        <w:fldChar w:fldCharType="separate"/>
      </w:r>
      <w:r w:rsidR="00175EB1">
        <w:rPr>
          <w:rFonts w:eastAsia="Calibri"/>
          <w:noProof/>
          <w:color w:val="000000"/>
          <w:kern w:val="24"/>
          <w:lang w:val="en-GB"/>
        </w:rPr>
        <w:t>(Adiloğlu &amp; Adiloğlu, 2006; Kwach et al., 2014)</w:t>
      </w:r>
      <w:r w:rsidRPr="00582808">
        <w:rPr>
          <w:rFonts w:eastAsia="Calibri"/>
          <w:color w:val="000000"/>
          <w:kern w:val="24"/>
          <w:lang w:val="en-GB"/>
        </w:rPr>
        <w:fldChar w:fldCharType="end"/>
      </w:r>
      <w:r w:rsidRPr="00582808">
        <w:rPr>
          <w:rFonts w:eastAsia="Calibri"/>
          <w:color w:val="000000"/>
          <w:kern w:val="24"/>
          <w:lang w:val="en-GB"/>
        </w:rPr>
        <w:t xml:space="preserve"> </w:t>
      </w:r>
      <w:r w:rsidRPr="00582808">
        <w:rPr>
          <w:color w:val="000000"/>
          <w:kern w:val="24"/>
          <w:lang w:val="en-GB"/>
        </w:rPr>
        <w:t>had also been recorded in previous studies. These variations with location demonstrate that even with same agronomic practices, the nutrient levels will be different in eastern Africa tea farms</w:t>
      </w:r>
      <w:r w:rsidRPr="00582808">
        <w:rPr>
          <w:lang w:val="en-GB"/>
        </w:rPr>
        <w:t>.</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8"/>
        <w:gridCol w:w="5040"/>
      </w:tblGrid>
      <w:tr w:rsidR="00E6409C" w:rsidRPr="00582808" w14:paraId="28BE9A6F" w14:textId="77777777" w:rsidTr="00046694">
        <w:tc>
          <w:tcPr>
            <w:tcW w:w="10458" w:type="dxa"/>
            <w:gridSpan w:val="2"/>
            <w:tcBorders>
              <w:top w:val="nil"/>
              <w:left w:val="nil"/>
              <w:bottom w:val="nil"/>
              <w:right w:val="nil"/>
            </w:tcBorders>
          </w:tcPr>
          <w:p w14:paraId="5B9CC857" w14:textId="4E11DF2A" w:rsidR="00E6409C" w:rsidRPr="00582808" w:rsidRDefault="00E879E7" w:rsidP="00D568D7">
            <w:pPr>
              <w:jc w:val="center"/>
              <w:rPr>
                <w:sz w:val="20"/>
                <w:szCs w:val="20"/>
                <w:lang w:val="en-GB"/>
              </w:rPr>
            </w:pPr>
            <w:r>
              <w:rPr>
                <w:noProof/>
              </w:rPr>
              <w:drawing>
                <wp:inline distT="0" distB="0" distL="0" distR="0" wp14:anchorId="1EAB1CB6" wp14:editId="25792C6A">
                  <wp:extent cx="4572000" cy="2743200"/>
                  <wp:effectExtent l="0" t="0" r="0" b="0"/>
                  <wp:docPr id="21" name="Chart 21">
                    <a:extLst xmlns:a="http://schemas.openxmlformats.org/drawingml/2006/main">
                      <a:ext uri="{FF2B5EF4-FFF2-40B4-BE49-F238E27FC236}">
                        <a16:creationId xmlns:a16="http://schemas.microsoft.com/office/drawing/2014/main" id="{2384FE07-318A-E71C-998A-D2B543B64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E6409C" w:rsidRPr="00582808" w14:paraId="6B73ED83" w14:textId="77777777" w:rsidTr="00046694">
        <w:tc>
          <w:tcPr>
            <w:tcW w:w="10458" w:type="dxa"/>
            <w:gridSpan w:val="2"/>
            <w:tcBorders>
              <w:top w:val="nil"/>
              <w:left w:val="nil"/>
              <w:bottom w:val="nil"/>
              <w:right w:val="nil"/>
            </w:tcBorders>
          </w:tcPr>
          <w:p w14:paraId="33374C39" w14:textId="77777777" w:rsidR="00E6409C" w:rsidRPr="00582808" w:rsidRDefault="00E6409C" w:rsidP="00D568D7">
            <w:pPr>
              <w:rPr>
                <w:sz w:val="20"/>
                <w:szCs w:val="20"/>
                <w:lang w:val="en-GB"/>
              </w:rPr>
            </w:pPr>
            <w:r w:rsidRPr="00582808">
              <w:rPr>
                <w:sz w:val="20"/>
                <w:szCs w:val="20"/>
                <w:lang w:val="en-GB"/>
              </w:rPr>
              <w:t>Figure 2a: Soil extractable phosphorus levels (ppm) in different locations at various soil depths</w:t>
            </w:r>
          </w:p>
        </w:tc>
      </w:tr>
      <w:tr w:rsidR="00E6409C" w:rsidRPr="00582808" w14:paraId="4D8B0AD5" w14:textId="77777777" w:rsidTr="00046694">
        <w:tc>
          <w:tcPr>
            <w:tcW w:w="5418" w:type="dxa"/>
            <w:tcBorders>
              <w:top w:val="nil"/>
              <w:left w:val="nil"/>
              <w:bottom w:val="nil"/>
              <w:right w:val="nil"/>
            </w:tcBorders>
          </w:tcPr>
          <w:p w14:paraId="596BAD61" w14:textId="7B07EBFD" w:rsidR="00E6409C" w:rsidRPr="00582808" w:rsidRDefault="00E879E7" w:rsidP="00D568D7">
            <w:pPr>
              <w:rPr>
                <w:sz w:val="20"/>
                <w:szCs w:val="20"/>
                <w:lang w:val="en-GB"/>
              </w:rPr>
            </w:pPr>
            <w:r>
              <w:rPr>
                <w:noProof/>
              </w:rPr>
              <w:lastRenderedPageBreak/>
              <w:drawing>
                <wp:inline distT="0" distB="0" distL="0" distR="0" wp14:anchorId="79F53BB2" wp14:editId="132CC63A">
                  <wp:extent cx="3303270" cy="2794820"/>
                  <wp:effectExtent l="0" t="0" r="11430" b="5715"/>
                  <wp:docPr id="22" name="Chart 22">
                    <a:extLst xmlns:a="http://schemas.openxmlformats.org/drawingml/2006/main">
                      <a:ext uri="{FF2B5EF4-FFF2-40B4-BE49-F238E27FC236}">
                        <a16:creationId xmlns:a16="http://schemas.microsoft.com/office/drawing/2014/main" id="{6D557BB2-0FA5-1DCC-C5C4-4EB9D424D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5040" w:type="dxa"/>
            <w:tcBorders>
              <w:top w:val="nil"/>
              <w:left w:val="nil"/>
              <w:bottom w:val="nil"/>
              <w:right w:val="nil"/>
            </w:tcBorders>
          </w:tcPr>
          <w:p w14:paraId="12E74692" w14:textId="3C6ED42D" w:rsidR="00E6409C" w:rsidRPr="00582808" w:rsidRDefault="001B26E5" w:rsidP="00D568D7">
            <w:pPr>
              <w:rPr>
                <w:sz w:val="20"/>
                <w:szCs w:val="20"/>
                <w:lang w:val="en-GB"/>
              </w:rPr>
            </w:pPr>
            <w:r>
              <w:rPr>
                <w:noProof/>
              </w:rPr>
              <w:drawing>
                <wp:inline distT="0" distB="0" distL="0" distR="0" wp14:anchorId="02CE8A5C" wp14:editId="37BD5325">
                  <wp:extent cx="3063240" cy="2794635"/>
                  <wp:effectExtent l="0" t="0" r="3810" b="5715"/>
                  <wp:docPr id="24" name="Chart 24">
                    <a:extLst xmlns:a="http://schemas.openxmlformats.org/drawingml/2006/main">
                      <a:ext uri="{FF2B5EF4-FFF2-40B4-BE49-F238E27FC236}">
                        <a16:creationId xmlns:a16="http://schemas.microsoft.com/office/drawing/2014/main" id="{A415C3CF-79F8-179E-D6CB-85B1BB4D8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E6409C" w:rsidRPr="00582808" w14:paraId="24BE2EB0" w14:textId="77777777" w:rsidTr="00046694">
        <w:tc>
          <w:tcPr>
            <w:tcW w:w="5418" w:type="dxa"/>
            <w:tcBorders>
              <w:top w:val="nil"/>
              <w:left w:val="nil"/>
              <w:bottom w:val="nil"/>
              <w:right w:val="nil"/>
            </w:tcBorders>
          </w:tcPr>
          <w:p w14:paraId="6A2B6544" w14:textId="77777777" w:rsidR="00E6409C" w:rsidRPr="00582808" w:rsidRDefault="00E6409C" w:rsidP="00D568D7">
            <w:pPr>
              <w:rPr>
                <w:sz w:val="20"/>
                <w:szCs w:val="20"/>
                <w:lang w:val="en-GB"/>
              </w:rPr>
            </w:pPr>
            <w:r w:rsidRPr="00582808">
              <w:rPr>
                <w:sz w:val="20"/>
                <w:szCs w:val="20"/>
                <w:lang w:val="en-GB"/>
              </w:rPr>
              <w:t>Figure 2b: Changes in soil extractable phosphorus (ppm) at 0-10 cm depth</w:t>
            </w:r>
          </w:p>
        </w:tc>
        <w:tc>
          <w:tcPr>
            <w:tcW w:w="5040" w:type="dxa"/>
            <w:tcBorders>
              <w:top w:val="nil"/>
              <w:left w:val="nil"/>
              <w:bottom w:val="nil"/>
              <w:right w:val="nil"/>
            </w:tcBorders>
          </w:tcPr>
          <w:p w14:paraId="1DD8E461" w14:textId="77777777" w:rsidR="00E6409C" w:rsidRPr="00582808" w:rsidRDefault="00E6409C" w:rsidP="00D568D7">
            <w:pPr>
              <w:rPr>
                <w:sz w:val="20"/>
                <w:szCs w:val="20"/>
                <w:lang w:val="en-GB"/>
              </w:rPr>
            </w:pPr>
            <w:r w:rsidRPr="00582808">
              <w:rPr>
                <w:sz w:val="20"/>
                <w:szCs w:val="20"/>
                <w:lang w:val="en-GB"/>
              </w:rPr>
              <w:t>Figure 2c Changes in soil extractable phosphorus (ppm) at 10-20 cm depth</w:t>
            </w:r>
          </w:p>
        </w:tc>
      </w:tr>
      <w:tr w:rsidR="00E6409C" w:rsidRPr="00582808" w14:paraId="0D04D849" w14:textId="77777777" w:rsidTr="00046694">
        <w:tc>
          <w:tcPr>
            <w:tcW w:w="5418" w:type="dxa"/>
            <w:tcBorders>
              <w:top w:val="nil"/>
              <w:left w:val="nil"/>
              <w:bottom w:val="nil"/>
              <w:right w:val="nil"/>
            </w:tcBorders>
          </w:tcPr>
          <w:p w14:paraId="2F11DA6C" w14:textId="32FF35CB" w:rsidR="00E6409C" w:rsidRPr="00582808" w:rsidRDefault="001B26E5" w:rsidP="00D568D7">
            <w:pPr>
              <w:rPr>
                <w:sz w:val="20"/>
                <w:szCs w:val="20"/>
                <w:lang w:val="en-GB"/>
              </w:rPr>
            </w:pPr>
            <w:r>
              <w:rPr>
                <w:noProof/>
              </w:rPr>
              <w:drawing>
                <wp:inline distT="0" distB="0" distL="0" distR="0" wp14:anchorId="03BF79DA" wp14:editId="4C7153C7">
                  <wp:extent cx="3303270" cy="2717800"/>
                  <wp:effectExtent l="0" t="0" r="11430" b="6350"/>
                  <wp:docPr id="25" name="Chart 25">
                    <a:extLst xmlns:a="http://schemas.openxmlformats.org/drawingml/2006/main">
                      <a:ext uri="{FF2B5EF4-FFF2-40B4-BE49-F238E27FC236}">
                        <a16:creationId xmlns:a16="http://schemas.microsoft.com/office/drawing/2014/main" id="{2B410D1D-DF13-4638-28B2-36F74AC2A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040" w:type="dxa"/>
            <w:tcBorders>
              <w:top w:val="nil"/>
              <w:left w:val="nil"/>
              <w:bottom w:val="nil"/>
              <w:right w:val="nil"/>
            </w:tcBorders>
          </w:tcPr>
          <w:p w14:paraId="5AF53BD2" w14:textId="394B9F7E" w:rsidR="00E6409C" w:rsidRPr="00582808" w:rsidRDefault="001B26E5" w:rsidP="00D568D7">
            <w:pPr>
              <w:rPr>
                <w:sz w:val="20"/>
                <w:szCs w:val="20"/>
                <w:lang w:val="en-GB"/>
              </w:rPr>
            </w:pPr>
            <w:r>
              <w:rPr>
                <w:noProof/>
              </w:rPr>
              <w:drawing>
                <wp:inline distT="0" distB="0" distL="0" distR="0" wp14:anchorId="25326D3B" wp14:editId="0989E6FF">
                  <wp:extent cx="3063240" cy="2639961"/>
                  <wp:effectExtent l="0" t="0" r="3810" b="8255"/>
                  <wp:docPr id="26" name="Chart 26">
                    <a:extLst xmlns:a="http://schemas.openxmlformats.org/drawingml/2006/main">
                      <a:ext uri="{FF2B5EF4-FFF2-40B4-BE49-F238E27FC236}">
                        <a16:creationId xmlns:a16="http://schemas.microsoft.com/office/drawing/2014/main" id="{55A345FA-5141-B72F-3B2E-2A72EF0B2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E6409C" w:rsidRPr="00582808" w14:paraId="037697E7" w14:textId="77777777" w:rsidTr="00046694">
        <w:tc>
          <w:tcPr>
            <w:tcW w:w="5418" w:type="dxa"/>
            <w:tcBorders>
              <w:top w:val="nil"/>
            </w:tcBorders>
          </w:tcPr>
          <w:p w14:paraId="5449138C" w14:textId="77777777" w:rsidR="00E6409C" w:rsidRDefault="00E6409C" w:rsidP="00D568D7">
            <w:pPr>
              <w:rPr>
                <w:sz w:val="20"/>
                <w:szCs w:val="20"/>
                <w:lang w:val="en-GB"/>
              </w:rPr>
            </w:pPr>
            <w:r w:rsidRPr="00582808">
              <w:rPr>
                <w:sz w:val="20"/>
                <w:szCs w:val="20"/>
                <w:lang w:val="en-GB"/>
              </w:rPr>
              <w:t>Figure 2d: Changes in soil extractable phosphorus (ppm) at 20-30 cm depth</w:t>
            </w:r>
          </w:p>
          <w:p w14:paraId="0DEA18B4" w14:textId="77777777" w:rsidR="00F94262" w:rsidRPr="00582808" w:rsidRDefault="00F94262" w:rsidP="00D568D7">
            <w:pPr>
              <w:rPr>
                <w:sz w:val="20"/>
                <w:szCs w:val="20"/>
                <w:lang w:val="en-GB"/>
              </w:rPr>
            </w:pPr>
          </w:p>
        </w:tc>
        <w:tc>
          <w:tcPr>
            <w:tcW w:w="5040" w:type="dxa"/>
            <w:tcBorders>
              <w:top w:val="nil"/>
            </w:tcBorders>
          </w:tcPr>
          <w:p w14:paraId="4ACC02A1" w14:textId="77777777" w:rsidR="00F94262" w:rsidRDefault="00E6409C" w:rsidP="00D568D7">
            <w:pPr>
              <w:rPr>
                <w:sz w:val="20"/>
                <w:szCs w:val="20"/>
                <w:lang w:val="en-GB"/>
              </w:rPr>
            </w:pPr>
            <w:r w:rsidRPr="00582808">
              <w:rPr>
                <w:sz w:val="20"/>
                <w:szCs w:val="20"/>
                <w:lang w:val="en-GB"/>
              </w:rPr>
              <w:t>Figure 2e: Changes in soil extractable phosphorus (ppm) at 40-60 cm</w:t>
            </w:r>
          </w:p>
          <w:p w14:paraId="68C25CFF" w14:textId="127FC598" w:rsidR="00E6409C" w:rsidRPr="00582808" w:rsidRDefault="00E6409C" w:rsidP="00D568D7">
            <w:pPr>
              <w:rPr>
                <w:sz w:val="20"/>
                <w:szCs w:val="20"/>
                <w:lang w:val="en-GB"/>
              </w:rPr>
            </w:pPr>
            <w:r w:rsidRPr="00582808">
              <w:rPr>
                <w:sz w:val="20"/>
                <w:szCs w:val="20"/>
                <w:lang w:val="en-GB"/>
              </w:rPr>
              <w:t xml:space="preserve"> depth</w:t>
            </w:r>
          </w:p>
        </w:tc>
      </w:tr>
    </w:tbl>
    <w:p w14:paraId="77AE36A8" w14:textId="77777777" w:rsidR="00E6409C" w:rsidRPr="00582808" w:rsidRDefault="00E6409C" w:rsidP="00E6409C">
      <w:pPr>
        <w:rPr>
          <w:sz w:val="20"/>
          <w:szCs w:val="20"/>
          <w:lang w:val="en-GB"/>
        </w:rPr>
      </w:pPr>
      <w:r w:rsidRPr="00582808">
        <w:rPr>
          <w:sz w:val="20"/>
          <w:szCs w:val="20"/>
          <w:lang w:val="en-GB"/>
        </w:rPr>
        <w:t>Figure 2: Changes in soil extractable phosphorus levels (ppm) at different soil depths and nitrogen fertilizer rates in different locations</w:t>
      </w:r>
    </w:p>
    <w:p w14:paraId="7173BEA5" w14:textId="6E89115B" w:rsidR="00E12CF0" w:rsidRPr="00582808" w:rsidRDefault="00085680" w:rsidP="00E12CF0">
      <w:pPr>
        <w:spacing w:line="360" w:lineRule="auto"/>
        <w:rPr>
          <w:color w:val="000000"/>
          <w:kern w:val="24"/>
          <w:lang w:val="en-GB"/>
        </w:rPr>
      </w:pPr>
      <w:r w:rsidRPr="00582808">
        <w:rPr>
          <w:szCs w:val="24"/>
          <w:lang w:val="en-GB"/>
        </w:rPr>
        <w:t xml:space="preserve">The effects of NPK(S) fertilizer rates and locations on the soil extractable phosphorus levels are presented in Figure 2(b-e). Increasing nitrogenous </w:t>
      </w:r>
      <w:r w:rsidR="00582808" w:rsidRPr="00582808">
        <w:rPr>
          <w:szCs w:val="24"/>
          <w:lang w:val="en-GB"/>
        </w:rPr>
        <w:t>fertilizer</w:t>
      </w:r>
      <w:r w:rsidRPr="00582808">
        <w:rPr>
          <w:szCs w:val="24"/>
          <w:lang w:val="en-GB"/>
        </w:rPr>
        <w:t xml:space="preserve"> rates generally causes soil acidity</w:t>
      </w:r>
      <w:r w:rsidR="00DF7E8A" w:rsidRPr="00582808">
        <w:rPr>
          <w:szCs w:val="24"/>
          <w:lang w:val="en-GB"/>
        </w:rPr>
        <w:t xml:space="preserve"> </w:t>
      </w:r>
      <w:r w:rsidR="00DF7E8A" w:rsidRPr="00582808">
        <w:rPr>
          <w:szCs w:val="24"/>
          <w:lang w:val="en-GB"/>
        </w:rPr>
        <w:fldChar w:fldCharType="begin">
          <w:fldData xml:space="preserve">PEVuZE5vdGU+PENpdGU+PEF1dGhvcj5Pd3VvcjwvQXV0aG9yPjxZZWFyPjIwMTE8L1llYXI+PFJl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</w:fldData>
        </w:fldChar>
      </w:r>
      <w:r w:rsidR="00175EB1">
        <w:rPr>
          <w:szCs w:val="24"/>
          <w:lang w:val="en-GB"/>
        </w:rPr>
        <w:instrText xml:space="preserve"> ADDIN EN.CITE </w:instrText>
      </w:r>
      <w:r w:rsidR="00175EB1">
        <w:rPr>
          <w:szCs w:val="24"/>
          <w:lang w:val="en-GB"/>
        </w:rPr>
        <w:fldChar w:fldCharType="begin">
          <w:fldData xml:space="preserve">PEVuZE5vdGU+PENpdGU+PEF1dGhvcj5Pd3VvcjwvQXV0aG9yPjxZZWFyPjIwMTE8L1llYXI+PFJl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</w:fldData>
        </w:fldChar>
      </w:r>
      <w:r w:rsidR="00175EB1">
        <w:rPr>
          <w:szCs w:val="24"/>
          <w:lang w:val="en-GB"/>
        </w:rPr>
        <w:instrText xml:space="preserve"> ADDIN EN.CITE.DATA </w:instrText>
      </w:r>
      <w:r w:rsidR="00175EB1">
        <w:rPr>
          <w:szCs w:val="24"/>
          <w:lang w:val="en-GB"/>
        </w:rPr>
      </w:r>
      <w:r w:rsidR="00175EB1">
        <w:rPr>
          <w:szCs w:val="24"/>
          <w:lang w:val="en-GB"/>
        </w:rPr>
        <w:fldChar w:fldCharType="end"/>
      </w:r>
      <w:r w:rsidR="00DF7E8A" w:rsidRPr="00582808">
        <w:rPr>
          <w:szCs w:val="24"/>
          <w:lang w:val="en-GB"/>
        </w:rPr>
      </w:r>
      <w:r w:rsidR="00DF7E8A" w:rsidRPr="00582808">
        <w:rPr>
          <w:szCs w:val="24"/>
          <w:lang w:val="en-GB"/>
        </w:rPr>
        <w:fldChar w:fldCharType="separate"/>
      </w:r>
      <w:r w:rsidR="00175EB1">
        <w:rPr>
          <w:noProof/>
          <w:szCs w:val="24"/>
          <w:lang w:val="en-GB"/>
        </w:rPr>
        <w:t>(Kamau et al., 2008; P. O. Owuor, C. O. Othieno, et al., 2011)</w:t>
      </w:r>
      <w:r w:rsidR="00DF7E8A" w:rsidRPr="00582808">
        <w:rPr>
          <w:szCs w:val="24"/>
          <w:lang w:val="en-GB"/>
        </w:rPr>
        <w:fldChar w:fldCharType="end"/>
      </w:r>
      <w:r w:rsidRPr="00582808">
        <w:rPr>
          <w:szCs w:val="24"/>
          <w:lang w:val="en-GB"/>
        </w:rPr>
        <w:t xml:space="preserve"> </w:t>
      </w:r>
      <w:r w:rsidR="00582808" w:rsidRPr="00582808">
        <w:rPr>
          <w:szCs w:val="24"/>
          <w:lang w:val="en-GB"/>
        </w:rPr>
        <w:t>build</w:t>
      </w:r>
      <w:r w:rsidRPr="00582808">
        <w:rPr>
          <w:szCs w:val="24"/>
          <w:lang w:val="en-GB"/>
        </w:rPr>
        <w:t xml:space="preserve"> up and at low soil pH phosphate (H</w:t>
      </w:r>
      <w:r w:rsidRPr="00582808">
        <w:rPr>
          <w:szCs w:val="24"/>
          <w:vertAlign w:val="subscript"/>
          <w:lang w:val="en-GB"/>
        </w:rPr>
        <w:t>2</w:t>
      </w:r>
      <w:r w:rsidRPr="00582808">
        <w:rPr>
          <w:szCs w:val="24"/>
          <w:lang w:val="en-GB"/>
        </w:rPr>
        <w:t>PO</w:t>
      </w:r>
      <w:r w:rsidRPr="00582808">
        <w:rPr>
          <w:szCs w:val="24"/>
          <w:vertAlign w:val="subscript"/>
          <w:lang w:val="en-GB"/>
        </w:rPr>
        <w:t>4</w:t>
      </w:r>
      <w:r w:rsidRPr="00582808">
        <w:rPr>
          <w:szCs w:val="24"/>
          <w:vertAlign w:val="superscript"/>
          <w:lang w:val="en-GB"/>
        </w:rPr>
        <w:t>-</w:t>
      </w:r>
      <w:r w:rsidRPr="00582808">
        <w:rPr>
          <w:szCs w:val="24"/>
          <w:lang w:val="en-GB"/>
        </w:rPr>
        <w:t xml:space="preserve">) ions react with manganese, iron and </w:t>
      </w:r>
      <w:r w:rsidR="00582808" w:rsidRPr="00582808">
        <w:rPr>
          <w:szCs w:val="24"/>
          <w:lang w:val="en-GB"/>
        </w:rPr>
        <w:t>Aluminium</w:t>
      </w:r>
      <w:r w:rsidRPr="00582808">
        <w:rPr>
          <w:szCs w:val="24"/>
          <w:lang w:val="en-GB"/>
        </w:rPr>
        <w:t xml:space="preserve"> ions forming insoluble hydroxyl phosphates </w:t>
      </w:r>
      <w:r w:rsidRPr="00582808">
        <w:rPr>
          <w:szCs w:val="24"/>
          <w:lang w:val="en-GB"/>
        </w:rPr>
        <w:fldChar w:fldCharType="begin"/>
      </w:r>
      <w:r w:rsidR="00175EB1">
        <w:rPr>
          <w:szCs w:val="24"/>
          <w:lang w:val="en-GB"/>
        </w:rPr>
        <w:instrText xml:space="preserve"> ADDIN EN.CITE &lt;EndNote&gt;&lt;Cite&gt;&lt;Author&gt;Brady&lt;/Author&gt;&lt;Year&gt;2002&lt;/Year&gt;&lt;RecNum&gt;96&lt;/RecNum&gt;&lt;DisplayText&gt;(Brady &amp;amp; Weil, 2002)&lt;/DisplayText&gt;&lt;record&gt;&lt;rec-number&gt;96&lt;/rec-number&gt;&lt;foreign-keys&gt;&lt;key app="EN" db-id="zx5vprwxa0rsabew9f9xp5fcs9tz0dzwa2fa" timestamp="1595621337"&gt;96&lt;/key&gt;&lt;/foreign-keys&gt;&lt;ref-type name="Book"&gt;6&lt;/ref-type&gt;&lt;contributors&gt;&lt;authors&gt;&lt;author&gt;Brady, A. C.&lt;/author&gt;&lt;author&gt;Weil, R. R.&lt;/author&gt;&lt;/authors&gt;&lt;/contributors&gt;&lt;titles&gt;&lt;title&gt;The Nature and Properties of Soils&lt;/title&gt;&lt;/titles&gt;&lt;edition&gt;13th&lt;/edition&gt;&lt;dates&gt;&lt;year&gt;2002&lt;/year&gt;&lt;/dates&gt;&lt;pub-location&gt;New Jersey, USA&lt;/pub-location&gt;&lt;publisher&gt;Prentice Hall&lt;/publisher&gt;&lt;urls&gt;&lt;/urls&gt;&lt;/record&gt;&lt;/Cite&gt;&lt;/EndNote&gt;</w:instrText>
      </w:r>
      <w:r w:rsidRPr="00582808">
        <w:rPr>
          <w:szCs w:val="24"/>
          <w:lang w:val="en-GB"/>
        </w:rPr>
        <w:fldChar w:fldCharType="separate"/>
      </w:r>
      <w:r w:rsidR="00175EB1">
        <w:rPr>
          <w:noProof/>
          <w:szCs w:val="24"/>
          <w:lang w:val="en-GB"/>
        </w:rPr>
        <w:t>(Brady &amp; Weil, 2002)</w:t>
      </w:r>
      <w:r w:rsidRPr="00582808">
        <w:rPr>
          <w:szCs w:val="24"/>
          <w:lang w:val="en-GB"/>
        </w:rPr>
        <w:fldChar w:fldCharType="end"/>
      </w:r>
      <w:r w:rsidRPr="00582808">
        <w:rPr>
          <w:szCs w:val="24"/>
          <w:lang w:val="en-GB"/>
        </w:rPr>
        <w:t xml:space="preserve">. It was therefore expected that increase in nitrogen </w:t>
      </w:r>
      <w:r w:rsidR="00582808" w:rsidRPr="00582808">
        <w:rPr>
          <w:szCs w:val="24"/>
          <w:lang w:val="en-GB"/>
        </w:rPr>
        <w:t>fertilizer</w:t>
      </w:r>
      <w:r w:rsidRPr="00582808">
        <w:rPr>
          <w:szCs w:val="24"/>
          <w:lang w:val="en-GB"/>
        </w:rPr>
        <w:t xml:space="preserve"> application would reduce soil</w:t>
      </w:r>
      <w:r w:rsidR="00562316" w:rsidRPr="00582808">
        <w:rPr>
          <w:szCs w:val="24"/>
          <w:lang w:val="en-GB"/>
        </w:rPr>
        <w:t xml:space="preserve"> </w:t>
      </w:r>
      <w:r w:rsidR="00DF7E8A" w:rsidRPr="00582808">
        <w:rPr>
          <w:szCs w:val="24"/>
          <w:lang w:val="en-GB"/>
        </w:rPr>
        <w:t>pH</w:t>
      </w:r>
      <w:r w:rsidR="00017C5C" w:rsidRPr="00582808">
        <w:rPr>
          <w:szCs w:val="24"/>
          <w:vertAlign w:val="superscript"/>
          <w:lang w:val="en-GB"/>
        </w:rPr>
        <w:t xml:space="preserve"> </w:t>
      </w:r>
      <w:r w:rsidR="0019054B" w:rsidRPr="00582808">
        <w:rPr>
          <w:szCs w:val="24"/>
          <w:lang w:val="en-GB"/>
        </w:rPr>
        <w:t>and reduce soil phosphorus</w:t>
      </w:r>
      <w:r w:rsidR="00017C5C" w:rsidRPr="00582808">
        <w:rPr>
          <w:szCs w:val="24"/>
          <w:lang w:val="en-GB"/>
        </w:rPr>
        <w:t xml:space="preserve"> levels. However, at all locations</w:t>
      </w:r>
      <w:r w:rsidR="00AA77DB" w:rsidRPr="00582808">
        <w:rPr>
          <w:szCs w:val="24"/>
          <w:lang w:val="en-GB"/>
        </w:rPr>
        <w:t xml:space="preserve">, increasing </w:t>
      </w:r>
      <w:r w:rsidR="00E12CF0" w:rsidRPr="00582808">
        <w:rPr>
          <w:szCs w:val="24"/>
          <w:lang w:val="en-GB"/>
        </w:rPr>
        <w:t xml:space="preserve">applications of NPKS fertilizer increased soil phosphorus at 0-10 cm and 10-20 cm (p≤0.05) (Figure 2b and 2c) more so at the lower soil depths (Figures 2d and 2e). The increase in soil phosphorus with increase in NPKS fertiliser </w:t>
      </w:r>
      <w:r w:rsidR="00E12CF0" w:rsidRPr="00582808">
        <w:rPr>
          <w:lang w:val="en-GB"/>
        </w:rPr>
        <w:t xml:space="preserve">was not unique and had been </w:t>
      </w:r>
      <w:r w:rsidR="00E12CF0" w:rsidRPr="00582808">
        <w:rPr>
          <w:color w:val="000000"/>
          <w:lang w:val="en-GB"/>
        </w:rPr>
        <w:t xml:space="preserve">observed in earlier studies </w:t>
      </w:r>
      <w:r w:rsidR="00E12CF0" w:rsidRPr="00582808">
        <w:rPr>
          <w:color w:val="000000"/>
          <w:lang w:val="en-GB"/>
        </w:rPr>
        <w:fldChar w:fldCharType="begin">
          <w:fldData xml:space="preserve">PEVuZE5vdGU+PENpdGU+PEF1dGhvcj5Pd3VvcjwvQXV0aG9yPjxZZWFyPjE5OTY8L1llYXI+PFJl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</w:fldData>
        </w:fldChar>
      </w:r>
      <w:r w:rsidR="00175EB1">
        <w:rPr>
          <w:color w:val="000000"/>
          <w:lang w:val="en-GB"/>
        </w:rPr>
        <w:instrText xml:space="preserve"> ADDIN EN.CITE </w:instrText>
      </w:r>
      <w:r w:rsidR="00175EB1">
        <w:rPr>
          <w:color w:val="000000"/>
          <w:lang w:val="en-GB"/>
        </w:rPr>
        <w:fldChar w:fldCharType="begin">
          <w:fldData xml:space="preserve">PEVuZE5vdGU+PENpdGU+PEF1dGhvcj5Pd3VvcjwvQXV0aG9yPjxZZWFyPjE5OTY8L1llYXI+PFJl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</w:fldData>
        </w:fldChar>
      </w:r>
      <w:r w:rsidR="00175EB1">
        <w:rPr>
          <w:color w:val="000000"/>
          <w:lang w:val="en-GB"/>
        </w:rPr>
        <w:instrText xml:space="preserve"> ADDIN EN.CITE.DATA </w:instrText>
      </w:r>
      <w:r w:rsidR="00175EB1">
        <w:rPr>
          <w:color w:val="000000"/>
          <w:lang w:val="en-GB"/>
        </w:rPr>
      </w:r>
      <w:r w:rsidR="00175EB1">
        <w:rPr>
          <w:color w:val="000000"/>
          <w:lang w:val="en-GB"/>
        </w:rPr>
        <w:fldChar w:fldCharType="end"/>
      </w:r>
      <w:r w:rsidR="00E12CF0" w:rsidRPr="00582808">
        <w:rPr>
          <w:color w:val="000000"/>
          <w:lang w:val="en-GB"/>
        </w:rPr>
      </w:r>
      <w:r w:rsidR="00E12CF0" w:rsidRPr="00582808">
        <w:rPr>
          <w:color w:val="000000"/>
          <w:lang w:val="en-GB"/>
        </w:rPr>
        <w:fldChar w:fldCharType="separate"/>
      </w:r>
      <w:r w:rsidR="00175EB1">
        <w:rPr>
          <w:noProof/>
          <w:color w:val="000000"/>
          <w:lang w:val="en-GB"/>
        </w:rPr>
        <w:t>(Kamau, 2003; P. O. Owuor, C. O. Othieno, et al., 2011; Owuor &amp; Wanyoko, 1996)</w:t>
      </w:r>
      <w:r w:rsidR="00E12CF0" w:rsidRPr="00582808">
        <w:rPr>
          <w:color w:val="000000"/>
          <w:lang w:val="en-GB"/>
        </w:rPr>
        <w:fldChar w:fldCharType="end"/>
      </w:r>
      <w:r w:rsidR="00E12CF0" w:rsidRPr="00582808">
        <w:rPr>
          <w:color w:val="000000"/>
          <w:kern w:val="24"/>
          <w:lang w:val="en-GB"/>
        </w:rPr>
        <w:t xml:space="preserve">. The trends were similar to levels of phosphorus in </w:t>
      </w:r>
      <w:r w:rsidR="00E12CF0" w:rsidRPr="00582808">
        <w:rPr>
          <w:color w:val="000000"/>
          <w:kern w:val="24"/>
          <w:lang w:val="en-GB"/>
        </w:rPr>
        <w:lastRenderedPageBreak/>
        <w:t xml:space="preserve">mature tea leaf </w:t>
      </w:r>
      <w:r w:rsidR="00E12CF0" w:rsidRPr="00582808">
        <w:rPr>
          <w:color w:val="000000"/>
          <w:kern w:val="24"/>
          <w:lang w:val="en-GB"/>
        </w:rPr>
        <w:fldChar w:fldCharType="begin">
          <w:fldData xml:space="preserve">PEVuZE5vdGU+PENpdGU+PEF1dGhvcj5Ld2FjaDwvQXV0aG9yPjxZZWFyPjIwMTQ8L1llYXI+PFJl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</w:fldData>
        </w:fldChar>
      </w:r>
      <w:r w:rsidR="00175EB1">
        <w:rPr>
          <w:color w:val="000000"/>
          <w:kern w:val="24"/>
          <w:lang w:val="en-GB"/>
        </w:rPr>
        <w:instrText xml:space="preserve"> ADDIN EN.CITE </w:instrText>
      </w:r>
      <w:r w:rsidR="00175EB1">
        <w:rPr>
          <w:color w:val="000000"/>
          <w:kern w:val="24"/>
          <w:lang w:val="en-GB"/>
        </w:rPr>
        <w:fldChar w:fldCharType="begin">
          <w:fldData xml:space="preserve">PEVuZE5vdGU+PENpdGU+PEF1dGhvcj5Ld2FjaDwvQXV0aG9yPjxZZWFyPjIwMTQ8L1llYXI+PFJl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</w:fldData>
        </w:fldChar>
      </w:r>
      <w:r w:rsidR="00175EB1">
        <w:rPr>
          <w:color w:val="000000"/>
          <w:kern w:val="24"/>
          <w:lang w:val="en-GB"/>
        </w:rPr>
        <w:instrText xml:space="preserve"> ADDIN EN.CITE.DATA </w:instrText>
      </w:r>
      <w:r w:rsidR="00175EB1">
        <w:rPr>
          <w:color w:val="000000"/>
          <w:kern w:val="24"/>
          <w:lang w:val="en-GB"/>
        </w:rPr>
      </w:r>
      <w:r w:rsidR="00175EB1">
        <w:rPr>
          <w:color w:val="000000"/>
          <w:kern w:val="24"/>
          <w:lang w:val="en-GB"/>
        </w:rPr>
        <w:fldChar w:fldCharType="end"/>
      </w:r>
      <w:r w:rsidR="00E12CF0" w:rsidRPr="00582808">
        <w:rPr>
          <w:color w:val="000000"/>
          <w:kern w:val="24"/>
          <w:lang w:val="en-GB"/>
        </w:rPr>
      </w:r>
      <w:r w:rsidR="00E12CF0" w:rsidRPr="00582808">
        <w:rPr>
          <w:color w:val="000000"/>
          <w:kern w:val="24"/>
          <w:lang w:val="en-GB"/>
        </w:rPr>
        <w:fldChar w:fldCharType="separate"/>
      </w:r>
      <w:r w:rsidR="00175EB1">
        <w:rPr>
          <w:noProof/>
          <w:color w:val="000000"/>
          <w:kern w:val="24"/>
          <w:lang w:val="en-GB"/>
        </w:rPr>
        <w:t>(Kwach et al., 2014; P. O. Owuor, C. O. Othieno, et al., 2011; Wanyoko et al., 1992)</w:t>
      </w:r>
      <w:r w:rsidR="00E12CF0" w:rsidRPr="00582808">
        <w:rPr>
          <w:color w:val="000000"/>
          <w:kern w:val="24"/>
          <w:lang w:val="en-GB"/>
        </w:rPr>
        <w:fldChar w:fldCharType="end"/>
      </w:r>
      <w:r w:rsidR="00E12CF0" w:rsidRPr="00582808">
        <w:rPr>
          <w:color w:val="000000"/>
          <w:kern w:val="24"/>
          <w:lang w:val="en-GB"/>
        </w:rPr>
        <w:t>.</w:t>
      </w:r>
      <w:r w:rsidR="00E12CF0" w:rsidRPr="00582808">
        <w:rPr>
          <w:lang w:val="en-GB"/>
        </w:rPr>
        <w:t xml:space="preserve"> Although increased nitrogenous fertilizer rates have acidifying effects </w:t>
      </w:r>
      <w:r w:rsidR="00E12CF0" w:rsidRPr="00582808">
        <w:rPr>
          <w:lang w:val="en-GB"/>
        </w:rPr>
        <w:fldChar w:fldCharType="begin"/>
      </w:r>
      <w:r w:rsidR="00175EB1">
        <w:rPr>
          <w:lang w:val="en-GB"/>
        </w:rPr>
        <w:instrText xml:space="preserve"> ADDIN EN.CITE &lt;EndNote&gt;&lt;Cite&gt;&lt;Author&gt;Bhattacharyya&lt;/Author&gt;&lt;Year&gt;1983&lt;/Year&gt;&lt;RecNum&gt;98&lt;/RecNum&gt;&lt;DisplayText&gt;(Bhattacharyya &amp;amp; Dey, 1983)&lt;/DisplayText&gt;&lt;record&gt;&lt;rec-number&gt;98&lt;/rec-number&gt;&lt;foreign-keys&gt;&lt;key app="EN" db-id="zx5vprwxa0rsabew9f9xp5fcs9tz0dzwa2fa" timestamp="1595622519"&gt;98&lt;/key&gt;&lt;/foreign-keys&gt;&lt;ref-type name="Journal Article"&gt;17&lt;/ref-type&gt;&lt;contributors&gt;&lt;authors&gt;&lt;author&gt;Bhattacharyya, N. G.&lt;/author&gt;&lt;author&gt;Dey, S. K.&lt;/author&gt;&lt;/authors&gt;&lt;/contributors&gt;&lt;titles&gt;&lt;title&gt;Role of pH and aluminium on phosphate availability of tea soils&lt;/title&gt;&lt;secondary-title&gt;Two and a Bud&lt;/secondary-title&gt;&lt;/titles&gt;&lt;periodical&gt;&lt;full-title&gt;Two and a Bud&lt;/full-title&gt;&lt;/periodical&gt;&lt;pages&gt;61-64&lt;/pages&gt;&lt;volume&gt;30&lt;/volume&gt;&lt;dates&gt;&lt;year&gt;1983&lt;/year&gt;&lt;/dates&gt;&lt;urls&gt;&lt;/urls&gt;&lt;/record&gt;&lt;/Cite&gt;&lt;/EndNote&gt;</w:instrText>
      </w:r>
      <w:r w:rsidR="00E12CF0" w:rsidRPr="00582808">
        <w:rPr>
          <w:lang w:val="en-GB"/>
        </w:rPr>
        <w:fldChar w:fldCharType="separate"/>
      </w:r>
      <w:r w:rsidR="00175EB1">
        <w:rPr>
          <w:noProof/>
          <w:lang w:val="en-GB"/>
        </w:rPr>
        <w:t>(Bhattacharyya &amp; Dey, 1983)</w:t>
      </w:r>
      <w:r w:rsidR="00E12CF0" w:rsidRPr="00582808">
        <w:rPr>
          <w:lang w:val="en-GB"/>
        </w:rPr>
        <w:fldChar w:fldCharType="end"/>
      </w:r>
      <w:r w:rsidR="00E12CF0" w:rsidRPr="00582808">
        <w:rPr>
          <w:lang w:val="en-GB"/>
        </w:rPr>
        <w:t xml:space="preserve"> which enhances fixation of phosphorus on tea soils </w:t>
      </w:r>
      <w:r w:rsidR="00E12CF0" w:rsidRPr="00582808">
        <w:rPr>
          <w:lang w:val="en-GB"/>
        </w:rPr>
        <w:fldChar w:fldCharType="begin"/>
      </w:r>
      <w:r w:rsidR="00175EB1">
        <w:rPr>
          <w:lang w:val="en-GB"/>
        </w:rPr>
        <w:instrText xml:space="preserve"> ADDIN EN.CITE &lt;EndNote&gt;&lt;Cite&gt;&lt;Author&gt;Owuor&lt;/Author&gt;&lt;Year&gt;2011&lt;/Year&gt;&lt;RecNum&gt;40&lt;/RecNum&gt;&lt;DisplayText&gt;(P. O. Owuor, C. O. Othieno, et al., 2011; Wanyoko et al., 1992)&lt;/DisplayText&gt;&lt;record&gt;&lt;rec-number&gt;40&lt;/rec-number&gt;&lt;foreign-keys&gt;&lt;key app="EN" db-id="zx5vprwxa0rsabew9f9xp5fcs9tz0dzwa2fa" timestamp="1573333989"&gt;40&lt;/key&gt;&lt;/foreign-keys&gt;&lt;ref-type name="Journal Article"&gt;17&lt;/ref-type&gt;&lt;contributors&gt;&lt;authors&gt;&lt;author&gt;Owuor, P. O.&lt;/author&gt;&lt;author&gt;Othieno, C. O.&lt;/author&gt;&lt;author&gt;Kamau, D. M.&lt;/author&gt;&lt;author&gt;Wanyoko, J. K.&lt;/author&gt;&lt;/authors&gt;&lt;/contributors&gt;&lt;titles&gt;&lt;title&gt;Effects of long-term fertilizer use on a high-yielding tea clone AHPS15/10: soil pH, mature leaf nitrogen, mature leaf and soil phosphorus and potassium&lt;/title&gt;&lt;secondary-title&gt;International Journal of Tea Science (IJTS)&lt;/secondary-title&gt;&lt;/titles&gt;&lt;periodical&gt;&lt;full-title&gt;International Journal of Tea Science (IJTS)&lt;/full-title&gt;&lt;/periodical&gt;&lt;pages&gt;15-51&lt;/pages&gt;&lt;volume&gt;8&lt;/volume&gt;&lt;number&gt;1&lt;/number&gt;&lt;dates&gt;&lt;year&gt;2011&lt;/year&gt;&lt;/dates&gt;&lt;isbn&gt;0972-544X&lt;/isbn&gt;&lt;urls&gt;&lt;related-urls&gt;&lt;url&gt;&lt;style face="underline" font="default" size="100%"&gt;https://www.cabdirect.org/cabdirect/abstract/20123079622&lt;/style&gt;&lt;/url&gt;&lt;/related-urls&gt;&lt;/urls&gt;&lt;/record&gt;&lt;/Cite&gt;&lt;Cite&gt;&lt;Author&gt;Wanyoko&lt;/Author&gt;&lt;Year&gt;1992&lt;/Year&gt;&lt;RecNum&gt;95&lt;/RecNum&gt;&lt;record&gt;&lt;rec-number&gt;95&lt;/rec-number&gt;&lt;foreign-keys&gt;&lt;key app="EN" db-id="zx5vprwxa0rsabew9f9xp5fcs9tz0dzwa2fa" timestamp="1595621093"&gt;95&lt;/key&gt;&lt;/foreign-keys&gt;&lt;ref-type name="Journal Article"&gt;17&lt;/ref-type&gt;&lt;contributors&gt;&lt;authors&gt;&lt;author&gt;Wanyoko, J. K.&lt;/author&gt;&lt;author&gt;Owuor, P. O.&lt;/author&gt;&lt;author&gt;Othieno, C. O.&lt;/author&gt;&lt;/authors&gt;&lt;/contributors&gt;&lt;titles&gt;&lt;title&gt;Ammonium and magnesium sulphates fertilisers on moribund tea. II. Effects on soil chemical properties and plant nutrient uptake&lt;/title&gt;&lt;secondary-title&gt;Tea&lt;/secondary-title&gt;&lt;/titles&gt;&lt;periodical&gt;&lt;full-title&gt;Tea&lt;/full-title&gt;&lt;/periodical&gt;&lt;pages&gt;91-99&lt;/pages&gt;&lt;volume&gt;13&lt;/volume&gt;&lt;dates&gt;&lt;year&gt;1992&lt;/year&gt;&lt;/dates&gt;&lt;urls&gt;&lt;/urls&gt;&lt;/record&gt;&lt;/Cite&gt;&lt;/EndNote&gt;</w:instrText>
      </w:r>
      <w:r w:rsidR="00E12CF0" w:rsidRPr="00582808">
        <w:rPr>
          <w:lang w:val="en-GB"/>
        </w:rPr>
        <w:fldChar w:fldCharType="separate"/>
      </w:r>
      <w:r w:rsidR="00175EB1">
        <w:rPr>
          <w:noProof/>
          <w:lang w:val="en-GB"/>
        </w:rPr>
        <w:t>(P. O. Owuor, C. O. Othieno, et al., 2011; Wanyoko et al., 1992)</w:t>
      </w:r>
      <w:r w:rsidR="00E12CF0" w:rsidRPr="00582808">
        <w:rPr>
          <w:lang w:val="en-GB"/>
        </w:rPr>
        <w:fldChar w:fldCharType="end"/>
      </w:r>
      <w:r w:rsidR="00E12CF0" w:rsidRPr="00582808">
        <w:rPr>
          <w:lang w:val="en-GB"/>
        </w:rPr>
        <w:t xml:space="preserve">, the levels of phosphorus in the current study increased with increasing nitrogenous fertilizer rates. </w:t>
      </w:r>
      <w:r w:rsidR="00E12CF0" w:rsidRPr="00582808">
        <w:rPr>
          <w:color w:val="000000"/>
          <w:kern w:val="24"/>
          <w:lang w:val="en-GB"/>
        </w:rPr>
        <w:t xml:space="preserve">These soils were rich in SOC </w:t>
      </w:r>
      <w:r w:rsidR="00E12CF0" w:rsidRPr="00582808">
        <w:rPr>
          <w:color w:val="000000"/>
          <w:kern w:val="24"/>
          <w:lang w:val="en-GB"/>
        </w:rPr>
        <w:fldChar w:fldCharType="begin"/>
      </w:r>
      <w:r w:rsidR="00175EB1">
        <w:rPr>
          <w:color w:val="000000"/>
          <w:kern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E12CF0" w:rsidRPr="00582808">
        <w:rPr>
          <w:color w:val="000000"/>
          <w:kern w:val="24"/>
          <w:lang w:val="en-GB"/>
        </w:rPr>
        <w:fldChar w:fldCharType="separate"/>
      </w:r>
      <w:r w:rsidR="00175EB1">
        <w:rPr>
          <w:noProof/>
          <w:color w:val="000000"/>
          <w:kern w:val="24"/>
          <w:lang w:val="en-GB"/>
        </w:rPr>
        <w:t>(Ombori et al., 2020)</w:t>
      </w:r>
      <w:r w:rsidR="00E12CF0" w:rsidRPr="00582808">
        <w:rPr>
          <w:color w:val="000000"/>
          <w:kern w:val="24"/>
          <w:lang w:val="en-GB"/>
        </w:rPr>
        <w:fldChar w:fldCharType="end"/>
      </w:r>
      <w:r w:rsidR="00E12CF0" w:rsidRPr="00582808">
        <w:rPr>
          <w:color w:val="000000"/>
          <w:kern w:val="24"/>
          <w:lang w:val="en-GB"/>
        </w:rPr>
        <w:t xml:space="preserve">, which limit phosphorus fixation through release of organic chemicals that solubilize hydroxyl phosphates, thus increasing the phosphorus availability in the soil  </w:t>
      </w:r>
      <w:r w:rsidR="00E12CF0" w:rsidRPr="00582808">
        <w:rPr>
          <w:color w:val="000000"/>
          <w:kern w:val="24"/>
          <w:lang w:val="en-GB"/>
        </w:rPr>
        <w:fldChar w:fldCharType="begin"/>
      </w:r>
      <w:r w:rsidR="00F238DC">
        <w:rPr>
          <w:color w:val="000000"/>
          <w:kern w:val="24"/>
          <w:lang w:val="en-GB"/>
        </w:rPr>
        <w:instrText xml:space="preserve"> ADDIN EN.CITE &lt;EndNote&gt;&lt;Cite&gt;&lt;Author&gt;Othieno&lt;/Author&gt;&lt;Year&gt;1980&lt;/Year&gt;&lt;RecNum&gt;34&lt;/RecNum&gt;&lt;DisplayText&gt;(Othieno, 1980)&lt;/DisplayText&gt;&lt;record&gt;&lt;rec-number&gt;34&lt;/rec-number&gt;&lt;foreign-keys&gt;&lt;key app="EN" db-id="zx5vprwxa0rsabew9f9xp5fcs9tz0dzwa2fa" timestamp="0"&gt;34&lt;/key&gt;&lt;/foreign-keys&gt;&lt;ref-type name="Journal Article"&gt;17&lt;/ref-type&gt;&lt;contributors&gt;&lt;authors&gt;&lt;author&gt;Othieno, C. O.&lt;/author&gt;&lt;/authors&gt;&lt;/contributors&gt;&lt;titles&gt;&lt;title&gt;Effect of mulch on phosphorus uptake by tea&lt;/title&gt;&lt;secondary-title&gt;Tea&lt;/secondary-title&gt;&lt;/titles&gt;&lt;periodical&gt;&lt;full-title&gt;Tea&lt;/full-title&gt;&lt;/periodical&gt;&lt;pages&gt;9-12&lt;/pages&gt;&lt;volume&gt;1&lt;/volume&gt;&lt;number&gt;1&lt;/number&gt;&lt;dates&gt;&lt;year&gt;1980&lt;/year&gt;&lt;/dates&gt;&lt;urls&gt;&lt;related-urls&gt;&lt;url&gt;&lt;style face="underline" font="default" size="100%"&gt;https://www.cabdirect.org/cabdirect/abstract/19810303497&lt;/style&gt;&lt;/url&gt;&lt;/related-urls&gt;&lt;/urls&gt;&lt;/record&gt;&lt;/Cite&gt;&lt;/EndNote&gt;</w:instrText>
      </w:r>
      <w:r w:rsidR="00E12CF0" w:rsidRPr="00582808">
        <w:rPr>
          <w:color w:val="000000"/>
          <w:kern w:val="24"/>
          <w:lang w:val="en-GB"/>
        </w:rPr>
        <w:fldChar w:fldCharType="separate"/>
      </w:r>
      <w:r w:rsidR="00F238DC">
        <w:rPr>
          <w:noProof/>
          <w:color w:val="000000"/>
          <w:kern w:val="24"/>
          <w:lang w:val="en-GB"/>
        </w:rPr>
        <w:t>(Othieno, 1980)</w:t>
      </w:r>
      <w:r w:rsidR="00E12CF0" w:rsidRPr="00582808">
        <w:rPr>
          <w:color w:val="000000"/>
          <w:kern w:val="24"/>
          <w:lang w:val="en-GB"/>
        </w:rPr>
        <w:fldChar w:fldCharType="end"/>
      </w:r>
      <w:r w:rsidR="00E12CF0" w:rsidRPr="00582808">
        <w:rPr>
          <w:color w:val="000000"/>
          <w:kern w:val="24"/>
          <w:lang w:val="en-GB"/>
        </w:rPr>
        <w:t xml:space="preserve">. </w:t>
      </w:r>
      <w:r w:rsidR="00E12CF0" w:rsidRPr="00582808">
        <w:rPr>
          <w:szCs w:val="24"/>
          <w:lang w:val="en-GB"/>
        </w:rPr>
        <w:t xml:space="preserve">The rate of fixation was therefore lower </w:t>
      </w:r>
      <w:r w:rsidR="00582808" w:rsidRPr="00582808">
        <w:rPr>
          <w:szCs w:val="24"/>
          <w:lang w:val="en-GB"/>
        </w:rPr>
        <w:t>than</w:t>
      </w:r>
      <w:r w:rsidR="00E12CF0" w:rsidRPr="00582808">
        <w:rPr>
          <w:szCs w:val="24"/>
          <w:lang w:val="en-GB"/>
        </w:rPr>
        <w:t xml:space="preserve"> that amount applied in the NPKS </w:t>
      </w:r>
      <w:r w:rsidR="00582808" w:rsidRPr="00582808">
        <w:rPr>
          <w:szCs w:val="24"/>
          <w:lang w:val="en-GB"/>
        </w:rPr>
        <w:t>fertilizers</w:t>
      </w:r>
      <w:r w:rsidR="00E12CF0" w:rsidRPr="00582808">
        <w:rPr>
          <w:szCs w:val="24"/>
          <w:lang w:val="en-GB"/>
        </w:rPr>
        <w:t xml:space="preserve"> and/or released from fixed sources. Thus, the soil phosphorus levels remained within acceptable levels especially at 0-10cm and 10-20cm soil depths, where the tea feeder roots are abundant. One way of increasing the availabi</w:t>
      </w:r>
      <w:r w:rsidR="00582808" w:rsidRPr="00582808">
        <w:rPr>
          <w:szCs w:val="24"/>
          <w:lang w:val="en-GB"/>
        </w:rPr>
        <w:t>li</w:t>
      </w:r>
      <w:r w:rsidR="00E12CF0" w:rsidRPr="00582808">
        <w:rPr>
          <w:szCs w:val="24"/>
          <w:lang w:val="en-GB"/>
        </w:rPr>
        <w:t xml:space="preserve">ty of phosphorus to tea plant is through </w:t>
      </w:r>
      <w:proofErr w:type="spellStart"/>
      <w:r w:rsidR="00E12CF0" w:rsidRPr="00582808">
        <w:rPr>
          <w:szCs w:val="24"/>
          <w:lang w:val="en-GB"/>
        </w:rPr>
        <w:t>prunings</w:t>
      </w:r>
      <w:proofErr w:type="spellEnd"/>
      <w:r w:rsidR="00E12CF0" w:rsidRPr="00582808">
        <w:rPr>
          <w:szCs w:val="24"/>
          <w:lang w:val="en-GB"/>
        </w:rPr>
        <w:t xml:space="preserve"> left </w:t>
      </w:r>
      <w:r w:rsidR="00E12CF0" w:rsidRPr="00582808">
        <w:rPr>
          <w:i/>
          <w:szCs w:val="24"/>
          <w:lang w:val="en-GB"/>
        </w:rPr>
        <w:t>in situ</w:t>
      </w:r>
      <w:r w:rsidR="00E12CF0" w:rsidRPr="00582808">
        <w:rPr>
          <w:szCs w:val="24"/>
          <w:lang w:val="en-GB"/>
        </w:rPr>
        <w:t xml:space="preserve"> on the soil surface. </w:t>
      </w:r>
      <w:r w:rsidR="00E12CF0" w:rsidRPr="00582808">
        <w:rPr>
          <w:color w:val="000000"/>
          <w:kern w:val="24"/>
          <w:lang w:val="en-GB"/>
        </w:rPr>
        <w:t>Therefore, tea farmers should embrace management practices that improve soil organic carbon and avail the required phosphorus resulting in sustainable crop production in the eastern Africa tea growing regions.</w:t>
      </w:r>
    </w:p>
    <w:p w14:paraId="0065A446" w14:textId="20853AE9" w:rsidR="00DF7E8A" w:rsidRPr="00582808" w:rsidRDefault="00C063DD" w:rsidP="00DF7E8A">
      <w:pPr>
        <w:pStyle w:val="Default"/>
        <w:spacing w:line="360" w:lineRule="auto"/>
        <w:jc w:val="both"/>
        <w:rPr>
          <w:lang w:val="en-GB"/>
        </w:rPr>
      </w:pPr>
      <w:r w:rsidRPr="00582808">
        <w:rPr>
          <w:rFonts w:ascii="Times New Roman" w:hAnsi="Times New Roman" w:cs="Times New Roman"/>
          <w:lang w:val="en-GB"/>
        </w:rPr>
        <w:t xml:space="preserve">The changes in soil available potassium levels due to location of production and </w:t>
      </w:r>
      <w:r w:rsidR="00582808" w:rsidRPr="00582808">
        <w:rPr>
          <w:rFonts w:ascii="Times New Roman" w:hAnsi="Times New Roman" w:cs="Times New Roman"/>
          <w:lang w:val="en-GB"/>
        </w:rPr>
        <w:t>nitrogenous</w:t>
      </w:r>
      <w:r w:rsidRPr="00582808">
        <w:rPr>
          <w:rFonts w:ascii="Times New Roman" w:hAnsi="Times New Roman" w:cs="Times New Roman"/>
          <w:lang w:val="en-GB"/>
        </w:rPr>
        <w:t xml:space="preserve"> fertilizer rates are presented in Figure 3. The critical level of available potassium in tea soil at the top 0-10 cm soil depth is 80-100 ppm </w:t>
      </w:r>
      <w:r w:rsidRPr="00582808">
        <w:rPr>
          <w:rFonts w:ascii="Times New Roman" w:hAnsi="Times New Roman" w:cs="Times New Roman"/>
          <w:lang w:val="en-GB"/>
        </w:rPr>
        <w:fldChar w:fldCharType="begin"/>
      </w:r>
      <w:r w:rsidR="00175EB1">
        <w:rPr>
          <w:rFonts w:ascii="Times New Roman" w:hAnsi="Times New Roman" w:cs="Times New Roman"/>
          <w:lang w:val="en-GB"/>
        </w:rPr>
        <w:instrText xml:space="preserve"> ADDIN EN.CITE &lt;EndNote&gt;&lt;Cite&gt;&lt;Author&gt;Ruan&lt;/Author&gt;&lt;Year&gt;2013&lt;/Year&gt;&lt;RecNum&gt;102&lt;/RecNum&gt;&lt;DisplayText&gt;(Nazrul et al., 2013; Ruan et al., 2013)&lt;/DisplayText&gt;&lt;record&gt;&lt;rec-number&gt;102&lt;/rec-number&gt;&lt;foreign-keys&gt;&lt;key app="EN" db-id="zx5vprwxa0rsabew9f9xp5fcs9tz0dzwa2fa" timestamp="1595623893"&gt;102&lt;/key&gt;&lt;/foreign-keys&gt;&lt;ref-type name="Journal Article"&gt;17&lt;/ref-type&gt;&lt;contributors&gt;&lt;authors&gt;&lt;author&gt;Ruan, J.&lt;/author&gt;&lt;author&gt;Ma, L.&lt;/author&gt;&lt;author&gt;Shi, Y.&lt;/author&gt;&lt;/authors&gt;&lt;/contributors&gt;&lt;titles&gt;&lt;title&gt;Potassium management in tea plantations : Its uptake by field plants, status in soils, and efficacy on yields and quality of tea in China.&lt;/title&gt;&lt;secondary-title&gt;Journal of Plant Nutrition and Soil Science&lt;/secondary-title&gt;&lt;/titles&gt;&lt;periodical&gt;&lt;full-title&gt;Journal of Plant Nutrition and Soil Science&lt;/full-title&gt;&lt;/periodical&gt;&lt;pages&gt;450-459&lt;/pages&gt;&lt;volume&gt;176&lt;/volume&gt;&lt;number&gt;3&lt;/number&gt;&lt;dates&gt;&lt;year&gt;2013&lt;/year&gt;&lt;/dates&gt;&lt;urls&gt;&lt;/urls&gt;&lt;electronic-resource-num&gt;https://doi.org/10.1002/jpln.201200175&lt;/electronic-resource-num&gt;&lt;/record&gt;&lt;/Cite&gt;&lt;Cite&gt;&lt;Author&gt;Nazrul&lt;/Author&gt;&lt;Year&gt;2013&lt;/Year&gt;&lt;RecNum&gt;93&lt;/RecNum&gt;&lt;record&gt;&lt;rec-number&gt;93&lt;/rec-number&gt;&lt;foreign-keys&gt;&lt;key app="EN" db-id="zx5vprwxa0rsabew9f9xp5fcs9tz0dzwa2fa" timestamp="1595619925"&gt;93&lt;/key&gt;&lt;/foreign-keys&gt;&lt;ref-type name="Journal Article"&gt;17&lt;/ref-type&gt;&lt;contributors&gt;&lt;authors&gt;&lt;author&gt;Nazrul, I. M.&lt;/author&gt;&lt;author&gt;Abu, R. M. T.&lt;/author&gt;&lt;author&gt;Ahmed, M. S.&lt;/author&gt;&lt;/authors&gt;&lt;/contributors&gt;&lt;titles&gt;&lt;title&gt;Primary nutrient status and some related physical properties of the soils of Karnaphuli tea estate, Chittagong&lt;/title&gt;&lt;secondary-title&gt;Analytical Chemistry: An Indian Journal (ACAIL)&lt;/secondary-title&gt;&lt;/titles&gt;&lt;periodical&gt;&lt;full-title&gt;Analytical Chemistry: An Indian Journal (ACAIL)&lt;/full-title&gt;&lt;/periodical&gt;&lt;pages&gt;191-196&lt;/pages&gt;&lt;volume&gt;13&lt;/volume&gt;&lt;number&gt;5&lt;/number&gt;&lt;dates&gt;&lt;year&gt;2013&lt;/year&gt;&lt;/dates&gt;&lt;urls&gt;&lt;/urls&gt;&lt;/record&gt;&lt;/Cite&gt;&lt;/EndNote&gt;</w:instrText>
      </w:r>
      <w:r w:rsidRPr="00582808">
        <w:rPr>
          <w:rFonts w:ascii="Times New Roman" w:hAnsi="Times New Roman" w:cs="Times New Roman"/>
          <w:lang w:val="en-GB"/>
        </w:rPr>
        <w:fldChar w:fldCharType="separate"/>
      </w:r>
      <w:r w:rsidR="00175EB1">
        <w:rPr>
          <w:rFonts w:ascii="Times New Roman" w:hAnsi="Times New Roman" w:cs="Times New Roman"/>
          <w:noProof/>
          <w:lang w:val="en-GB"/>
        </w:rPr>
        <w:t>(Nazrul et al., 2013; Ruan et al., 2013)</w:t>
      </w:r>
      <w:r w:rsidRPr="00582808">
        <w:rPr>
          <w:rFonts w:ascii="Times New Roman" w:hAnsi="Times New Roman" w:cs="Times New Roman"/>
          <w:lang w:val="en-GB"/>
        </w:rPr>
        <w:fldChar w:fldCharType="end"/>
      </w:r>
      <w:r w:rsidRPr="00582808">
        <w:rPr>
          <w:rFonts w:ascii="Times New Roman" w:hAnsi="Times New Roman" w:cs="Times New Roman"/>
          <w:lang w:val="en-GB"/>
        </w:rPr>
        <w:t xml:space="preserve">. The levels were below the critical levels at 0-10 cm in </w:t>
      </w:r>
      <w:proofErr w:type="spellStart"/>
      <w:r w:rsidRPr="00582808">
        <w:rPr>
          <w:rFonts w:ascii="Times New Roman" w:hAnsi="Times New Roman" w:cs="Times New Roman"/>
          <w:lang w:val="en-GB"/>
        </w:rPr>
        <w:t>Katoke</w:t>
      </w:r>
      <w:proofErr w:type="spellEnd"/>
      <w:r w:rsidRPr="00582808">
        <w:rPr>
          <w:rFonts w:ascii="Times New Roman" w:hAnsi="Times New Roman" w:cs="Times New Roman"/>
          <w:lang w:val="en-GB"/>
        </w:rPr>
        <w:t xml:space="preserve">, </w:t>
      </w:r>
      <w:proofErr w:type="spellStart"/>
      <w:r w:rsidRPr="00582808">
        <w:rPr>
          <w:rFonts w:ascii="Times New Roman" w:hAnsi="Times New Roman" w:cs="Times New Roman"/>
          <w:lang w:val="en-GB"/>
        </w:rPr>
        <w:t>Kitabi</w:t>
      </w:r>
      <w:proofErr w:type="spellEnd"/>
      <w:r w:rsidRPr="00582808">
        <w:rPr>
          <w:rFonts w:ascii="Times New Roman" w:hAnsi="Times New Roman" w:cs="Times New Roman"/>
          <w:lang w:val="en-GB"/>
        </w:rPr>
        <w:t xml:space="preserve">, </w:t>
      </w:r>
      <w:proofErr w:type="spellStart"/>
      <w:r w:rsidRPr="00582808">
        <w:rPr>
          <w:rFonts w:ascii="Times New Roman" w:hAnsi="Times New Roman" w:cs="Times New Roman"/>
          <w:lang w:val="en-GB"/>
        </w:rPr>
        <w:t>Mulindi</w:t>
      </w:r>
      <w:proofErr w:type="spellEnd"/>
      <w:r w:rsidRPr="00582808">
        <w:rPr>
          <w:rFonts w:ascii="Times New Roman" w:hAnsi="Times New Roman" w:cs="Times New Roman"/>
          <w:lang w:val="en-GB"/>
        </w:rPr>
        <w:t xml:space="preserve"> and </w:t>
      </w:r>
      <w:proofErr w:type="spellStart"/>
      <w:r w:rsidRPr="00582808">
        <w:rPr>
          <w:rFonts w:ascii="Times New Roman" w:hAnsi="Times New Roman" w:cs="Times New Roman"/>
          <w:lang w:val="en-GB"/>
        </w:rPr>
        <w:t>Maruku</w:t>
      </w:r>
      <w:proofErr w:type="spellEnd"/>
      <w:r w:rsidRPr="00582808">
        <w:rPr>
          <w:rFonts w:ascii="Times New Roman" w:hAnsi="Times New Roman" w:cs="Times New Roman"/>
          <w:lang w:val="en-GB"/>
        </w:rPr>
        <w:t xml:space="preserve"> (Figure 3a). Similar low potassium levels had been observed in some previous studies </w:t>
      </w:r>
      <w:r w:rsidRPr="00582808">
        <w:rPr>
          <w:rFonts w:ascii="Times New Roman" w:hAnsi="Times New Roman" w:cs="Times New Roman"/>
          <w:lang w:val="en-GB"/>
        </w:rPr>
        <w:fldChar w:fldCharType="begin"/>
      </w:r>
      <w:r w:rsidR="00175EB1">
        <w:rPr>
          <w:rFonts w:ascii="Times New Roman" w:hAnsi="Times New Roman" w:cs="Times New Roman"/>
          <w:lang w:val="en-GB"/>
        </w:rPr>
        <w:instrText xml:space="preserve"> ADDIN EN.CITE &lt;EndNote&gt;&lt;Cite&gt;&lt;Author&gt;Nazrul&lt;/Author&gt;&lt;Year&gt;2013&lt;/Year&gt;&lt;RecNum&gt;93&lt;/RecNum&gt;&lt;DisplayText&gt;(Kamau, 2003; Nazrul et al., 2013)&lt;/DisplayText&gt;&lt;record&gt;&lt;rec-number&gt;93&lt;/rec-number&gt;&lt;foreign-keys&gt;&lt;key app="EN" db-id="zx5vprwxa0rsabew9f9xp5fcs9tz0dzwa2fa" timestamp="1595619925"&gt;93&lt;/key&gt;&lt;/foreign-keys&gt;&lt;ref-type name="Journal Article"&gt;17&lt;/ref-type&gt;&lt;contributors&gt;&lt;authors&gt;&lt;author&gt;Nazrul, I. M.&lt;/author&gt;&lt;author&gt;Abu, R. M. T.&lt;/author&gt;&lt;author&gt;Ahmed, M. S.&lt;/author&gt;&lt;/authors&gt;&lt;/contributors&gt;&lt;titles&gt;&lt;title&gt;Primary nutrient status and some related physical properties of the soils of Karnaphuli tea estate, Chittagong&lt;/title&gt;&lt;secondary-title&gt;Analytical Chemistry: An Indian Journal (ACAIL)&lt;/secondary-title&gt;&lt;/titles&gt;&lt;periodical&gt;&lt;full-title&gt;Analytical Chemistry: An Indian Journal (ACAIL)&lt;/full-title&gt;&lt;/periodical&gt;&lt;pages&gt;191-196&lt;/pages&gt;&lt;volume&gt;13&lt;/volume&gt;&lt;number&gt;5&lt;/number&gt;&lt;dates&gt;&lt;year&gt;2013&lt;/year&gt;&lt;/dates&gt;&lt;urls&gt;&lt;/urls&gt;&lt;/record&gt;&lt;/Cite&gt;&lt;Cite&gt;&lt;Author&gt;Kamau&lt;/Author&gt;&lt;Year&gt;2003&lt;/Year&gt;&lt;RecNum&gt;97&lt;/RecNum&gt;&lt;record&gt;&lt;rec-number&gt;97&lt;/rec-number&gt;&lt;foreign-keys&gt;&lt;key app="EN" db-id="zx5vprwxa0rsabew9f9xp5fcs9tz0dzwa2fa" timestamp="1595622219"&gt;97&lt;/key&gt;&lt;/foreign-keys&gt;&lt;ref-type name="Conference Proceedings"&gt;10&lt;/ref-type&gt;&lt;contributors&gt;&lt;authors&gt;&lt;author&gt;Kamau, D. M.&lt;/author&gt;&lt;/authors&gt;&lt;/contributors&gt;&lt;titles&gt;&lt;title&gt;Long term effects of NPK(S) fertilizers on the yields, nutrient uptake and soil chemical properties of clone S15/10 tea in Kericho, Kenya&lt;/title&gt;&lt;secondary-title&gt;Paper presented at the 21st Soil Science Society of East Africa Conference&lt;/secondary-title&gt;&lt;/titles&gt;&lt;dates&gt;&lt;year&gt;2003&lt;/year&gt;&lt;/dates&gt;&lt;pub-location&gt;Eldoret&lt;/pub-location&gt;&lt;urls&gt;&lt;/urls&gt;&lt;/record&gt;&lt;/Cite&gt;&lt;/EndNote&gt;</w:instrText>
      </w:r>
      <w:r w:rsidRPr="00582808">
        <w:rPr>
          <w:rFonts w:ascii="Times New Roman" w:hAnsi="Times New Roman" w:cs="Times New Roman"/>
          <w:lang w:val="en-GB"/>
        </w:rPr>
        <w:fldChar w:fldCharType="separate"/>
      </w:r>
      <w:r w:rsidR="00175EB1">
        <w:rPr>
          <w:rFonts w:ascii="Times New Roman" w:hAnsi="Times New Roman" w:cs="Times New Roman"/>
          <w:noProof/>
          <w:lang w:val="en-GB"/>
        </w:rPr>
        <w:t>(Kamau, 2003; Nazrul et al., 2013)</w:t>
      </w:r>
      <w:r w:rsidRPr="00582808">
        <w:rPr>
          <w:rFonts w:ascii="Times New Roman" w:hAnsi="Times New Roman" w:cs="Times New Roman"/>
          <w:lang w:val="en-GB"/>
        </w:rPr>
        <w:fldChar w:fldCharType="end"/>
      </w:r>
      <w:r w:rsidRPr="00582808">
        <w:rPr>
          <w:rFonts w:ascii="Times New Roman" w:hAnsi="Times New Roman" w:cs="Times New Roman"/>
          <w:lang w:val="en-GB"/>
        </w:rPr>
        <w:t>.</w:t>
      </w:r>
      <w:r w:rsidR="00DF7E8A" w:rsidRPr="00582808">
        <w:rPr>
          <w:rFonts w:ascii="Times New Roman" w:hAnsi="Times New Roman" w:cs="Times New Roman"/>
          <w:lang w:val="en-GB"/>
        </w:rPr>
        <w:t xml:space="preserve"> These low levels maybe limiting production at these sites and may require remedial potash application </w:t>
      </w:r>
      <w:r w:rsidR="00DF7E8A" w:rsidRPr="00582808">
        <w:rPr>
          <w:rFonts w:ascii="Times New Roman" w:hAnsi="Times New Roman" w:cs="Times New Roman"/>
          <w:lang w:val="en-GB"/>
        </w:rPr>
        <w:fldChar w:fldCharType="begin"/>
      </w:r>
      <w:r w:rsidR="00F238DC">
        <w:rPr>
          <w:rFonts w:ascii="Times New Roman" w:hAnsi="Times New Roman" w:cs="Times New Roman"/>
          <w:lang w:val="en-GB"/>
        </w:rPr>
        <w:instrText xml:space="preserve"> ADDIN EN.CITE &lt;EndNote&gt;&lt;Cite&gt;&lt;Author&gt;Othieno&lt;/Author&gt;&lt;Year&gt;1988&lt;/Year&gt;&lt;RecNum&gt;35&lt;/RecNum&gt;&lt;DisplayText&gt;(Othieno, 1988)&lt;/DisplayText&gt;&lt;record&gt;&lt;rec-number&gt;35&lt;/rec-number&gt;&lt;foreign-keys&gt;&lt;key app="EN" db-id="zx5vprwxa0rsabew9f9xp5fcs9tz0dzwa2fa" timestamp="0"&gt;35&lt;/key&gt;&lt;/foreign-keys&gt;&lt;ref-type name="Journal Article"&gt;17&lt;/ref-type&gt;&lt;contributors&gt;&lt;authors&gt;&lt;author&gt;Othieno, C. O.&lt;/author&gt;&lt;/authors&gt;&lt;/contributors&gt;&lt;titles&gt;&lt;title&gt;Summary of observations and recommendations from TRFK&lt;/title&gt;&lt;secondary-title&gt;Tea&lt;/secondary-title&gt;&lt;/titles&gt;&lt;periodical&gt;&lt;full-title&gt;Tea&lt;/full-title&gt;&lt;/periodical&gt;&lt;pages&gt;50-65.&lt;/pages&gt;&lt;volume&gt;9&lt;/volume&gt;&lt;dates&gt;&lt;year&gt;1988&lt;/year&gt;&lt;/dates&gt;&lt;urls&gt;&lt;/urls&gt;&lt;/record&gt;&lt;/Cite&gt;&lt;/EndNote&gt;</w:instrText>
      </w:r>
      <w:r w:rsidR="00DF7E8A" w:rsidRPr="00582808">
        <w:rPr>
          <w:rFonts w:ascii="Times New Roman" w:hAnsi="Times New Roman" w:cs="Times New Roman"/>
          <w:lang w:val="en-GB"/>
        </w:rPr>
        <w:fldChar w:fldCharType="separate"/>
      </w:r>
      <w:r w:rsidR="00F238DC">
        <w:rPr>
          <w:rFonts w:ascii="Times New Roman" w:hAnsi="Times New Roman" w:cs="Times New Roman"/>
          <w:noProof/>
          <w:lang w:val="en-GB"/>
        </w:rPr>
        <w:t>(Othieno, 1988)</w:t>
      </w:r>
      <w:r w:rsidR="00DF7E8A" w:rsidRPr="00582808">
        <w:rPr>
          <w:rFonts w:ascii="Times New Roman" w:hAnsi="Times New Roman" w:cs="Times New Roman"/>
          <w:lang w:val="en-GB"/>
        </w:rPr>
        <w:fldChar w:fldCharType="end"/>
      </w:r>
      <w:r w:rsidR="00DF7E8A" w:rsidRPr="00582808">
        <w:rPr>
          <w:rFonts w:ascii="Times New Roman" w:hAnsi="Times New Roman" w:cs="Times New Roman"/>
          <w:lang w:val="en-GB"/>
        </w:rPr>
        <w:t>.</w:t>
      </w:r>
      <w:r w:rsidRPr="00582808">
        <w:rPr>
          <w:rFonts w:ascii="Times New Roman" w:hAnsi="Times New Roman" w:cs="Times New Roman"/>
          <w:lang w:val="en-GB"/>
        </w:rPr>
        <w:t xml:space="preserve"> However, at </w:t>
      </w:r>
      <w:proofErr w:type="spellStart"/>
      <w:r w:rsidRPr="00582808">
        <w:rPr>
          <w:rFonts w:ascii="Times New Roman" w:hAnsi="Times New Roman" w:cs="Times New Roman"/>
          <w:lang w:val="en-GB"/>
        </w:rPr>
        <w:t>Timbilil</w:t>
      </w:r>
      <w:proofErr w:type="spellEnd"/>
      <w:r w:rsidRPr="00582808">
        <w:rPr>
          <w:rFonts w:ascii="Times New Roman" w:hAnsi="Times New Roman" w:cs="Times New Roman"/>
          <w:lang w:val="en-GB"/>
        </w:rPr>
        <w:t xml:space="preserve">, </w:t>
      </w:r>
      <w:proofErr w:type="spellStart"/>
      <w:r w:rsidRPr="00582808">
        <w:rPr>
          <w:rFonts w:ascii="Times New Roman" w:hAnsi="Times New Roman" w:cs="Times New Roman"/>
          <w:lang w:val="en-GB"/>
        </w:rPr>
        <w:t>Changoi</w:t>
      </w:r>
      <w:proofErr w:type="spellEnd"/>
      <w:r w:rsidRPr="00582808">
        <w:rPr>
          <w:rFonts w:ascii="Times New Roman" w:hAnsi="Times New Roman" w:cs="Times New Roman"/>
          <w:lang w:val="en-GB"/>
        </w:rPr>
        <w:t xml:space="preserve"> and </w:t>
      </w:r>
      <w:proofErr w:type="spellStart"/>
      <w:r w:rsidRPr="00582808">
        <w:rPr>
          <w:rFonts w:ascii="Times New Roman" w:hAnsi="Times New Roman" w:cs="Times New Roman"/>
          <w:lang w:val="en-GB"/>
        </w:rPr>
        <w:t>Arroket</w:t>
      </w:r>
      <w:proofErr w:type="spellEnd"/>
      <w:r w:rsidRPr="00582808">
        <w:rPr>
          <w:rFonts w:ascii="Times New Roman" w:hAnsi="Times New Roman" w:cs="Times New Roman"/>
          <w:lang w:val="en-GB"/>
        </w:rPr>
        <w:t xml:space="preserve">, the levels at this soil depth were optimal. The levels of soil potassium however, increased at lower depths. This suggests that the nutrient element was being leached to lower soil profiles. Ammonium ion in the NPKS fertilizer has ionic size close to potassium ion </w:t>
      </w:r>
      <w:r w:rsidRPr="00582808">
        <w:rPr>
          <w:rFonts w:ascii="Times New Roman" w:hAnsi="Times New Roman" w:cs="Times New Roman"/>
          <w:lang w:val="en-GB"/>
        </w:rPr>
        <w:fldChar w:fldCharType="begin"/>
      </w:r>
      <w:r w:rsidR="00175EB1">
        <w:rPr>
          <w:rFonts w:ascii="Times New Roman" w:hAnsi="Times New Roman" w:cs="Times New Roman"/>
          <w:lang w:val="en-GB"/>
        </w:rPr>
        <w:instrText xml:space="preserve"> ADDIN EN.CITE &lt;EndNote&gt;&lt;Cite&gt;&lt;Author&gt;Buurman&lt;/Author&gt;&lt;Year&gt;1998&lt;/Year&gt;&lt;RecNum&gt;103&lt;/RecNum&gt;&lt;DisplayText&gt;(Buurman et al., 1998)&lt;/DisplayText&gt;&lt;record&gt;&lt;rec-number&gt;103&lt;/rec-number&gt;&lt;foreign-keys&gt;&lt;key app="EN" db-id="zx5vprwxa0rsabew9f9xp5fcs9tz0dzwa2fa" timestamp="1595648158"&gt;103&lt;/key&gt;&lt;/foreign-keys&gt;&lt;ref-type name="Journal Article"&gt;17&lt;/ref-type&gt;&lt;contributors&gt;&lt;authors&gt;&lt;author&gt;Buurman, E. T.&lt;/author&gt;&lt;author&gt;Pennock, J.&lt;/author&gt;&lt;author&gt;Tempest, D. W.&lt;/author&gt;&lt;author&gt;Teixeira de Mattos, M .J.&lt;/author&gt;&lt;author&gt;Neijssel, O. M.&lt;/author&gt;&lt;/authors&gt;&lt;/contributors&gt;&lt;titles&gt;&lt;title&gt; Replacement of potassium ions by ammonium ions in different micro-organisms grown in potassium-limited chemostat culture&lt;/title&gt;&lt;secondary-title&gt;Archeological Microbiology&lt;/secondary-title&gt;&lt;/titles&gt;&lt;periodical&gt;&lt;full-title&gt;Archeological Microbiology&lt;/full-title&gt;&lt;/periodical&gt;&lt;pages&gt;58–63.&lt;/pages&gt;&lt;volume&gt;252&lt;/volume&gt;&lt;dates&gt;&lt;year&gt;1998&lt;/year&gt;&lt;/dates&gt;&lt;urls&gt;&lt;/urls&gt;&lt;electronic-resource-num&gt;https://doi.org/10.1007/BF00447012&lt;/electronic-resource-num&gt;&lt;/record&gt;&lt;/Cite&gt;&lt;/EndNote&gt;</w:instrText>
      </w:r>
      <w:r w:rsidRPr="00582808">
        <w:rPr>
          <w:rFonts w:ascii="Times New Roman" w:hAnsi="Times New Roman" w:cs="Times New Roman"/>
          <w:lang w:val="en-GB"/>
        </w:rPr>
        <w:fldChar w:fldCharType="separate"/>
      </w:r>
      <w:r w:rsidR="00175EB1">
        <w:rPr>
          <w:rFonts w:ascii="Times New Roman" w:hAnsi="Times New Roman" w:cs="Times New Roman"/>
          <w:noProof/>
          <w:lang w:val="en-GB"/>
        </w:rPr>
        <w:t>(Buurman et al., 1998)</w:t>
      </w:r>
      <w:r w:rsidRPr="00582808">
        <w:rPr>
          <w:rFonts w:ascii="Times New Roman" w:hAnsi="Times New Roman" w:cs="Times New Roman"/>
          <w:lang w:val="en-GB"/>
        </w:rPr>
        <w:fldChar w:fldCharType="end"/>
      </w:r>
      <w:r w:rsidRPr="00582808">
        <w:rPr>
          <w:rFonts w:ascii="Times New Roman" w:hAnsi="Times New Roman" w:cs="Times New Roman"/>
          <w:lang w:val="en-GB"/>
        </w:rPr>
        <w:t xml:space="preserve">. Additionally, low soil pH at upper depths </w:t>
      </w:r>
      <w:r w:rsidRPr="00582808">
        <w:rPr>
          <w:rFonts w:ascii="Times New Roman" w:hAnsi="Times New Roman" w:cs="Times New Roman"/>
          <w:lang w:val="en-GB"/>
        </w:rPr>
        <w:fldChar w:fldCharType="begin">
          <w:fldData xml:space="preserve">PEVuZE5vdGU+PENpdGU+PEF1dGhvcj5PbWJvcmk8L0F1dGhvcj48WWVhcj4yMDIwPC9ZZWFyPjxS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</w:fldData>
        </w:fldChar>
      </w:r>
      <w:r w:rsidR="00175EB1">
        <w:rPr>
          <w:rFonts w:ascii="Times New Roman" w:hAnsi="Times New Roman" w:cs="Times New Roman"/>
          <w:lang w:val="en-GB"/>
        </w:rPr>
        <w:instrText xml:space="preserve"> ADDIN EN.CITE </w:instrText>
      </w:r>
      <w:r w:rsidR="00175EB1">
        <w:rPr>
          <w:rFonts w:ascii="Times New Roman" w:hAnsi="Times New Roman" w:cs="Times New Roman"/>
          <w:lang w:val="en-GB"/>
        </w:rPr>
        <w:fldChar w:fldCharType="begin">
          <w:fldData xml:space="preserve">PEVuZE5vdGU+PENpdGU+PEF1dGhvcj5PbWJvcmk8L0F1dGhvcj48WWVhcj4yMDIwPC9ZZWFyPjxS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</w:fldData>
        </w:fldChar>
      </w:r>
      <w:r w:rsidR="00175EB1">
        <w:rPr>
          <w:rFonts w:ascii="Times New Roman" w:hAnsi="Times New Roman" w:cs="Times New Roman"/>
          <w:lang w:val="en-GB"/>
        </w:rPr>
        <w:instrText xml:space="preserve"> ADDIN EN.CITE.DATA </w:instrText>
      </w:r>
      <w:r w:rsidR="00175EB1">
        <w:rPr>
          <w:rFonts w:ascii="Times New Roman" w:hAnsi="Times New Roman" w:cs="Times New Roman"/>
          <w:lang w:val="en-GB"/>
        </w:rPr>
      </w:r>
      <w:r w:rsidR="00175EB1">
        <w:rPr>
          <w:rFonts w:ascii="Times New Roman" w:hAnsi="Times New Roman" w:cs="Times New Roman"/>
          <w:lang w:val="en-GB"/>
        </w:rPr>
        <w:fldChar w:fldCharType="end"/>
      </w:r>
      <w:r w:rsidRPr="00582808">
        <w:rPr>
          <w:rFonts w:ascii="Times New Roman" w:hAnsi="Times New Roman" w:cs="Times New Roman"/>
          <w:lang w:val="en-GB"/>
        </w:rPr>
      </w:r>
      <w:r w:rsidRPr="00582808">
        <w:rPr>
          <w:rFonts w:ascii="Times New Roman" w:hAnsi="Times New Roman" w:cs="Times New Roman"/>
          <w:lang w:val="en-GB"/>
        </w:rPr>
        <w:fldChar w:fldCharType="separate"/>
      </w:r>
      <w:r w:rsidR="00175EB1">
        <w:rPr>
          <w:rFonts w:ascii="Times New Roman" w:hAnsi="Times New Roman" w:cs="Times New Roman"/>
          <w:noProof/>
          <w:lang w:val="en-GB"/>
        </w:rPr>
        <w:t>(Ombori et al., 2020; P. O. Owuor, D. M. Kamau, et al., 2011)</w:t>
      </w:r>
      <w:r w:rsidRPr="00582808">
        <w:rPr>
          <w:rFonts w:ascii="Times New Roman" w:hAnsi="Times New Roman" w:cs="Times New Roman"/>
          <w:lang w:val="en-GB"/>
        </w:rPr>
        <w:fldChar w:fldCharType="end"/>
      </w:r>
      <w:r w:rsidRPr="00582808">
        <w:rPr>
          <w:rFonts w:ascii="Times New Roman" w:hAnsi="Times New Roman" w:cs="Times New Roman"/>
          <w:lang w:val="en-GB"/>
        </w:rPr>
        <w:t xml:space="preserve"> could be a factor triggering the leaching of potassium </w:t>
      </w:r>
      <w:r w:rsidRPr="00582808">
        <w:rPr>
          <w:rFonts w:ascii="Times New Roman" w:hAnsi="Times New Roman" w:cs="Times New Roman"/>
          <w:lang w:val="en-GB"/>
        </w:rPr>
        <w:fldChar w:fldCharType="begin"/>
      </w:r>
      <w:r w:rsidR="00175EB1">
        <w:rPr>
          <w:rFonts w:ascii="Times New Roman" w:hAnsi="Times New Roman" w:cs="Times New Roman"/>
          <w:lang w:val="en-GB"/>
        </w:rPr>
        <w:instrText xml:space="preserve"> ADDIN EN.CITE &lt;EndNote&gt;&lt;Cite&gt;&lt;Author&gt;Sandanam&lt;/Author&gt;&lt;Year&gt;1980&lt;/Year&gt;&lt;RecNum&gt;104&lt;/RecNum&gt;&lt;DisplayText&gt;(Sandanam et al., 1980)&lt;/DisplayText&gt;&lt;record&gt;&lt;rec-number&gt;104&lt;/rec-number&gt;&lt;foreign-keys&gt;&lt;key app="EN" db-id="zx5vprwxa0rsabew9f9xp5fcs9tz0dzwa2fa" timestamp="1595648617"&gt;104&lt;/key&gt;&lt;/foreign-keys&gt;&lt;ref-type name="Journal Article"&gt;17&lt;/ref-type&gt;&lt;contributors&gt;&lt;authors&gt;&lt;author&gt;Sandanam, S.&lt;/author&gt;&lt;author&gt;Sivasubramaniam, S.&lt;/author&gt;&lt;author&gt;Rajushingham, C. C.&lt;/author&gt;&lt;/authors&gt;&lt;/contributors&gt;&lt;titles&gt;&lt;title&gt;Response of seedling tea to forms and levels of nitrogen fertilizers, levels of potassium and liming in the upcountry tea growing districts of Sri Lanka&lt;/title&gt;&lt;secondary-title&gt;Tea Quarterly&lt;/secondary-title&gt;&lt;/titles&gt;&lt;periodical&gt;&lt;full-title&gt;Tea Quarterly&lt;/full-title&gt;&lt;/periodical&gt;&lt;pages&gt;20-29&lt;/pages&gt;&lt;volume&gt;49&lt;/volume&gt;&lt;number&gt;2&lt;/number&gt;&lt;dates&gt;&lt;year&gt;1980&lt;/year&gt;&lt;/dates&gt;&lt;urls&gt;&lt;/urls&gt;&lt;/record&gt;&lt;/Cite&gt;&lt;/EndNote&gt;</w:instrText>
      </w:r>
      <w:r w:rsidRPr="00582808">
        <w:rPr>
          <w:rFonts w:ascii="Times New Roman" w:hAnsi="Times New Roman" w:cs="Times New Roman"/>
          <w:lang w:val="en-GB"/>
        </w:rPr>
        <w:fldChar w:fldCharType="separate"/>
      </w:r>
      <w:r w:rsidR="00175EB1">
        <w:rPr>
          <w:rFonts w:ascii="Times New Roman" w:hAnsi="Times New Roman" w:cs="Times New Roman"/>
          <w:noProof/>
          <w:lang w:val="en-GB"/>
        </w:rPr>
        <w:t>(Sandanam et al., 1980)</w:t>
      </w:r>
      <w:r w:rsidRPr="00582808">
        <w:rPr>
          <w:rFonts w:ascii="Times New Roman" w:hAnsi="Times New Roman" w:cs="Times New Roman"/>
          <w:lang w:val="en-GB"/>
        </w:rPr>
        <w:fldChar w:fldCharType="end"/>
      </w:r>
      <w:r w:rsidRPr="00582808">
        <w:rPr>
          <w:rFonts w:ascii="Times New Roman" w:hAnsi="Times New Roman" w:cs="Times New Roman"/>
          <w:lang w:val="en-GB"/>
        </w:rPr>
        <w:t xml:space="preserve">, thus further reducing its available to the plant. The decrease in potassium levels could be one of the causative factors to decline in crop productivity observed at </w:t>
      </w:r>
      <w:proofErr w:type="spellStart"/>
      <w:r w:rsidRPr="00582808">
        <w:rPr>
          <w:rFonts w:ascii="Times New Roman" w:hAnsi="Times New Roman" w:cs="Times New Roman"/>
          <w:lang w:val="en-GB"/>
        </w:rPr>
        <w:t>Katoke</w:t>
      </w:r>
      <w:proofErr w:type="spellEnd"/>
      <w:r w:rsidRPr="00582808">
        <w:rPr>
          <w:rFonts w:ascii="Times New Roman" w:hAnsi="Times New Roman" w:cs="Times New Roman"/>
          <w:lang w:val="en-GB"/>
        </w:rPr>
        <w:t xml:space="preserve">, </w:t>
      </w:r>
      <w:proofErr w:type="spellStart"/>
      <w:r w:rsidRPr="00582808">
        <w:rPr>
          <w:rFonts w:ascii="Times New Roman" w:hAnsi="Times New Roman" w:cs="Times New Roman"/>
          <w:lang w:val="en-GB"/>
        </w:rPr>
        <w:t>Mulindi</w:t>
      </w:r>
      <w:proofErr w:type="spellEnd"/>
      <w:r w:rsidRPr="00582808">
        <w:rPr>
          <w:rFonts w:ascii="Times New Roman" w:hAnsi="Times New Roman" w:cs="Times New Roman"/>
          <w:lang w:val="en-GB"/>
        </w:rPr>
        <w:t xml:space="preserve"> and </w:t>
      </w:r>
      <w:proofErr w:type="spellStart"/>
      <w:r w:rsidRPr="00582808">
        <w:rPr>
          <w:rFonts w:ascii="Times New Roman" w:hAnsi="Times New Roman" w:cs="Times New Roman"/>
          <w:lang w:val="en-GB"/>
        </w:rPr>
        <w:t>Maruku</w:t>
      </w:r>
      <w:proofErr w:type="spellEnd"/>
      <w:r w:rsidR="009823B7" w:rsidRPr="00582808">
        <w:rPr>
          <w:rFonts w:ascii="Times New Roman" w:hAnsi="Times New Roman" w:cs="Times New Roman"/>
          <w:lang w:val="en-GB"/>
        </w:rPr>
        <w:t>/</w:t>
      </w:r>
    </w:p>
    <w:p w14:paraId="565BCD4C" w14:textId="2AFF0844" w:rsidR="00C20C12" w:rsidRPr="00582808" w:rsidRDefault="00C20C12" w:rsidP="00C20C12">
      <w:pPr>
        <w:spacing w:line="360" w:lineRule="auto"/>
        <w:rPr>
          <w:szCs w:val="24"/>
          <w:lang w:val="en-GB"/>
        </w:rPr>
      </w:pPr>
      <w:r w:rsidRPr="00582808">
        <w:rPr>
          <w:szCs w:val="24"/>
          <w:lang w:val="en-GB"/>
        </w:rPr>
        <w:t>Levels of soil potassium varied (p</w:t>
      </w:r>
      <w:r w:rsidRPr="00582808">
        <w:rPr>
          <w:szCs w:val="24"/>
          <w:u w:val="single"/>
          <w:lang w:val="en-GB"/>
        </w:rPr>
        <w:t>&lt;</w:t>
      </w:r>
      <w:r w:rsidRPr="00582808">
        <w:rPr>
          <w:szCs w:val="24"/>
          <w:lang w:val="en-GB"/>
        </w:rPr>
        <w:t xml:space="preserve">0.05) with locations of production at all soil depths (Figure 3a). The levels of the nutrient in the soil were therefore also influenced by varying environmental and geological factors. The results were however, at variance with mature leaf potassium </w:t>
      </w:r>
      <w:r w:rsidRPr="00582808">
        <w:rPr>
          <w:szCs w:val="24"/>
          <w:lang w:val="en-GB"/>
        </w:rPr>
        <w:fldChar w:fldCharType="begin"/>
      </w:r>
      <w:r w:rsidR="00175EB1">
        <w:rPr>
          <w:szCs w:val="24"/>
          <w:lang w:val="en-GB"/>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Pr="00582808">
        <w:rPr>
          <w:szCs w:val="24"/>
          <w:lang w:val="en-GB"/>
        </w:rPr>
        <w:fldChar w:fldCharType="separate"/>
      </w:r>
      <w:r w:rsidR="00175EB1">
        <w:rPr>
          <w:noProof/>
          <w:szCs w:val="24"/>
          <w:lang w:val="en-GB"/>
        </w:rPr>
        <w:t>(Kwach et al., 2014)</w:t>
      </w:r>
      <w:r w:rsidRPr="00582808">
        <w:rPr>
          <w:szCs w:val="24"/>
          <w:lang w:val="en-GB"/>
        </w:rPr>
        <w:fldChar w:fldCharType="end"/>
      </w:r>
      <w:r w:rsidRPr="00582808">
        <w:rPr>
          <w:szCs w:val="24"/>
          <w:lang w:val="en-GB"/>
        </w:rPr>
        <w:t xml:space="preserve"> that showed insignificant site variations with location of production. The variations in available potassium levels with site suggests that the responses are site dependent and could be one of the causes in observed yield differences </w:t>
      </w:r>
      <w:r w:rsidRPr="00582808">
        <w:rPr>
          <w:szCs w:val="24"/>
          <w:lang w:val="en-GB"/>
        </w:rPr>
        <w:fldChar w:fldCharType="begin"/>
      </w:r>
      <w:r w:rsidR="00175EB1">
        <w:rPr>
          <w:szCs w:val="24"/>
          <w:lang w:val="en-GB"/>
        </w:rPr>
        <w:instrText xml:space="preserve"> ADDIN EN.CITE &lt;EndNote&gt;&lt;Cite&gt;&lt;Author&gt;Msomba&lt;/Author&gt;&lt;Year&gt;2014&lt;/Year&gt;&lt;RecNum&gt;26&lt;/RecNum&gt;&lt;DisplayText&gt;(Msomba et al., 2014)&lt;/DisplayText&gt;&lt;record&gt;&lt;rec-number&gt;26&lt;/rec-number&gt;&lt;foreign-keys&gt;&lt;key app="EN" db-id="zx5vprwxa0rsabew9f9xp5fcs9tz0dzwa2fa" timestamp="0"&gt;26&lt;/key&gt;&lt;/foreign-keys&gt;&lt;ref-type name="Journal Article"&gt;17&lt;/ref-type&gt;&lt;contributors&gt;&lt;authors&gt;&lt;author&gt;Msomba, S. W.&lt;/author&gt;&lt;author&gt;Kamau, D. M.&lt;/author&gt;&lt;author&gt;Uwimana, M. A.&lt;/author&gt;&lt;author&gt;Muhoza, C.&lt;/author&gt;&lt;author&gt;Owuor, P. O.&lt;/author&gt;&lt;/authors&gt;&lt;/contributors&gt;&lt;titles&gt;&lt;title&gt;Effects of location of production, nitrogenous fertilizer rates and plucking intervals on tea clone TRFK 6/8 tea in East Africa: I. Yields&lt;/title&gt;&lt;secondary-title&gt;International Journal of Tea Science (IJTS)&lt;/secondary-title&gt;&lt;/titles&gt;&lt;periodical&gt;&lt;full-title&gt;International Journal of Tea Science (IJTS)&lt;/full-title&gt;&lt;/periodical&gt;&lt;pages&gt;14-24&lt;/pages&gt;&lt;volume&gt;10&lt;/volume&gt;&lt;number&gt;3/4&lt;/number&gt;&lt;dates&gt;&lt;year&gt;2014&lt;/year&gt;&lt;/dates&gt;&lt;isbn&gt;0972-544X&lt;/isbn&gt;&lt;urls&gt;&lt;related-urls&gt;&lt;url&gt;&lt;style face="underline" font="default" size="100%"&gt;https://www.cabdirect.org/cabdirect/abstract/20153099581&lt;/style&gt;&lt;/url&gt;&lt;/related-urls&gt;&lt;/urls&gt;&lt;electronic-resource-num&gt;10.20425/ijts.v10i3and4.4739&lt;/electronic-resource-num&gt;&lt;/record&gt;&lt;/Cite&gt;&lt;/EndNote&gt;</w:instrText>
      </w:r>
      <w:r w:rsidRPr="00582808">
        <w:rPr>
          <w:szCs w:val="24"/>
          <w:lang w:val="en-GB"/>
        </w:rPr>
        <w:fldChar w:fldCharType="separate"/>
      </w:r>
      <w:r w:rsidR="00175EB1">
        <w:rPr>
          <w:noProof/>
          <w:szCs w:val="24"/>
          <w:lang w:val="en-GB"/>
        </w:rPr>
        <w:t>(Msomba et al., 2014)</w:t>
      </w:r>
      <w:r w:rsidRPr="00582808">
        <w:rPr>
          <w:szCs w:val="24"/>
          <w:lang w:val="en-GB"/>
        </w:rPr>
        <w:fldChar w:fldCharType="end"/>
      </w:r>
      <w:r w:rsidRPr="00582808">
        <w:rPr>
          <w:szCs w:val="24"/>
          <w:lang w:val="en-GB"/>
        </w:rPr>
        <w:t xml:space="preserve"> in the region.</w:t>
      </w:r>
    </w:p>
    <w:p w14:paraId="1ADFBB79" w14:textId="3DF9B5E5" w:rsidR="00C20C12" w:rsidRPr="00582808" w:rsidRDefault="00C20C12" w:rsidP="00C20C12">
      <w:pPr>
        <w:spacing w:line="360" w:lineRule="auto"/>
        <w:rPr>
          <w:lang w:val="en-GB"/>
        </w:rPr>
      </w:pPr>
      <w:r w:rsidRPr="00582808">
        <w:rPr>
          <w:color w:val="000000"/>
          <w:szCs w:val="24"/>
          <w:lang w:val="en-GB"/>
        </w:rPr>
        <w:t xml:space="preserve">Although the amounts of potassium applied in the nitrogenous fertilizer increased with increase in fertilizer rates at all locations and soil depths, there was declined with the higher rates of fertilizer </w:t>
      </w:r>
      <w:r w:rsidRPr="00582808">
        <w:rPr>
          <w:color w:val="000000"/>
          <w:szCs w:val="24"/>
          <w:lang w:val="en-GB"/>
        </w:rPr>
        <w:lastRenderedPageBreak/>
        <w:t xml:space="preserve">(Figures 3b to Figure 3e). In other studies leaf potassium levels also decreased with increase in rates of the nitrogenous fertilizer </w:t>
      </w:r>
      <w:r w:rsidRPr="00582808">
        <w:rPr>
          <w:color w:val="000000"/>
          <w:szCs w:val="24"/>
          <w:lang w:val="en-GB"/>
        </w:rPr>
        <w:fldChar w:fldCharType="begin">
          <w:fldData xml:space="preserve">PEVuZE5vdGU+PENpdGU+PEF1dGhvcj5XYW55b2tvPC9BdXRob3I+PFllYXI+MTk5MjwvWWVhcj48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</w:fldData>
        </w:fldChar>
      </w:r>
      <w:r w:rsidR="00175EB1">
        <w:rPr>
          <w:color w:val="000000"/>
          <w:szCs w:val="24"/>
          <w:lang w:val="en-GB"/>
        </w:rPr>
        <w:instrText xml:space="preserve"> ADDIN EN.CITE </w:instrText>
      </w:r>
      <w:r w:rsidR="00175EB1">
        <w:rPr>
          <w:color w:val="000000"/>
          <w:szCs w:val="24"/>
          <w:lang w:val="en-GB"/>
        </w:rPr>
        <w:fldChar w:fldCharType="begin">
          <w:fldData xml:space="preserve">PEVuZE5vdGU+PENpdGU+PEF1dGhvcj5XYW55b2tvPC9BdXRob3I+PFllYXI+MTk5MjwvWWVhcj48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</w:fldData>
        </w:fldChar>
      </w:r>
      <w:r w:rsidR="00175EB1">
        <w:rPr>
          <w:color w:val="000000"/>
          <w:szCs w:val="24"/>
          <w:lang w:val="en-GB"/>
        </w:rPr>
        <w:instrText xml:space="preserve"> ADDIN EN.CITE.DATA </w:instrText>
      </w:r>
      <w:r w:rsidR="00175EB1">
        <w:rPr>
          <w:color w:val="000000"/>
          <w:szCs w:val="24"/>
          <w:lang w:val="en-GB"/>
        </w:rPr>
      </w:r>
      <w:r w:rsidR="00175EB1">
        <w:rPr>
          <w:color w:val="000000"/>
          <w:szCs w:val="24"/>
          <w:lang w:val="en-GB"/>
        </w:rPr>
        <w:fldChar w:fldCharType="end"/>
      </w:r>
      <w:r w:rsidRPr="00582808">
        <w:rPr>
          <w:color w:val="000000"/>
          <w:szCs w:val="24"/>
          <w:lang w:val="en-GB"/>
        </w:rPr>
      </w:r>
      <w:r w:rsidRPr="00582808">
        <w:rPr>
          <w:color w:val="000000"/>
          <w:szCs w:val="24"/>
          <w:lang w:val="en-GB"/>
        </w:rPr>
        <w:fldChar w:fldCharType="separate"/>
      </w:r>
      <w:r w:rsidR="00175EB1">
        <w:rPr>
          <w:noProof/>
          <w:color w:val="000000"/>
          <w:szCs w:val="24"/>
          <w:lang w:val="en-GB"/>
        </w:rPr>
        <w:t>(Kamau et al., 2005; Kebeney et al., 2010; Kwach et al., 2014; P. O. Owuor, C. O. Othieno, et al., 2011; Wanyoko et al., 1992)</w:t>
      </w:r>
      <w:r w:rsidRPr="00582808">
        <w:rPr>
          <w:color w:val="000000"/>
          <w:szCs w:val="24"/>
          <w:lang w:val="en-GB"/>
        </w:rPr>
        <w:fldChar w:fldCharType="end"/>
      </w:r>
      <w:r w:rsidRPr="00582808">
        <w:rPr>
          <w:color w:val="000000"/>
          <w:szCs w:val="24"/>
          <w:lang w:val="en-GB"/>
        </w:rPr>
        <w:t xml:space="preserve">. The decline in soil available potassium could be due to enhanced leaching triggered by ammonium ions in the nitrogen fertilizers </w:t>
      </w:r>
      <w:r w:rsidRPr="00582808">
        <w:rPr>
          <w:color w:val="000000"/>
          <w:szCs w:val="24"/>
          <w:lang w:val="en-GB"/>
        </w:rPr>
        <w:fldChar w:fldCharType="begin"/>
      </w:r>
      <w:r w:rsidR="00175EB1">
        <w:rPr>
          <w:color w:val="000000"/>
          <w:szCs w:val="24"/>
          <w:lang w:val="en-GB"/>
        </w:rPr>
        <w:instrText xml:space="preserve"> ADDIN EN.CITE &lt;EndNote&gt;&lt;Cite&gt;&lt;Author&gt;Owuor&lt;/Author&gt;&lt;Year&gt;2011&lt;/Year&gt;&lt;RecNum&gt;40&lt;/RecNum&gt;&lt;DisplayText&gt;(P. O. Owuor, C. O. Othieno, et al., 2011; Wanyoko et al., 1992)&lt;/DisplayText&gt;&lt;record&gt;&lt;rec-number&gt;40&lt;/rec-number&gt;&lt;foreign-keys&gt;&lt;key app="EN" db-id="zx5vprwxa0rsabew9f9xp5fcs9tz0dzwa2fa" timestamp="1573333989"&gt;40&lt;/key&gt;&lt;/foreign-keys&gt;&lt;ref-type name="Journal Article"&gt;17&lt;/ref-type&gt;&lt;contributors&gt;&lt;authors&gt;&lt;author&gt;Owuor, P. O.&lt;/author&gt;&lt;author&gt;Othieno, C. O.&lt;/author&gt;&lt;author&gt;Kamau, D. M.&lt;/author&gt;&lt;author&gt;Wanyoko, J. K.&lt;/author&gt;&lt;/authors&gt;&lt;/contributors&gt;&lt;titles&gt;&lt;title&gt;Effects of long-term fertilizer use on a high-yielding tea clone AHPS15/10: soil pH, mature leaf nitrogen, mature leaf and soil phosphorus and potassium&lt;/title&gt;&lt;secondary-title&gt;International Journal of Tea Science (IJTS)&lt;/secondary-title&gt;&lt;/titles&gt;&lt;periodical&gt;&lt;full-title&gt;International Journal of Tea Science (IJTS)&lt;/full-title&gt;&lt;/periodical&gt;&lt;pages&gt;15-51&lt;/pages&gt;&lt;volume&gt;8&lt;/volume&gt;&lt;number&gt;1&lt;/number&gt;&lt;dates&gt;&lt;year&gt;2011&lt;/year&gt;&lt;/dates&gt;&lt;isbn&gt;0972-544X&lt;/isbn&gt;&lt;urls&gt;&lt;related-urls&gt;&lt;url&gt;&lt;style face="underline" font="default" size="100%"&gt;https://www.cabdirect.org/cabdirect/abstract/20123079622&lt;/style&gt;&lt;/url&gt;&lt;/related-urls&gt;&lt;/urls&gt;&lt;/record&gt;&lt;/Cite&gt;&lt;Cite&gt;&lt;Author&gt;Wanyoko&lt;/Author&gt;&lt;Year&gt;1992&lt;/Year&gt;&lt;RecNum&gt;95&lt;/RecNum&gt;&lt;record&gt;&lt;rec-number&gt;95&lt;/rec-number&gt;&lt;foreign-keys&gt;&lt;key app="EN" db-id="zx5vprwxa0rsabew9f9xp5fcs9tz0dzwa2fa" timestamp="1595621093"&gt;95&lt;/key&gt;&lt;/foreign-keys&gt;&lt;ref-type name="Journal Article"&gt;17&lt;/ref-type&gt;&lt;contributors&gt;&lt;authors&gt;&lt;author&gt;Wanyoko, J. K.&lt;/author&gt;&lt;author&gt;Owuor, P. O.&lt;/author&gt;&lt;author&gt;Othieno, C. O.&lt;/author&gt;&lt;/authors&gt;&lt;/contributors&gt;&lt;titles&gt;&lt;title&gt;Ammonium and magnesium sulphates fertilisers on moribund tea. II. Effects on soil chemical properties and plant nutrient uptake&lt;/title&gt;&lt;secondary-title&gt;Tea&lt;/secondary-title&gt;&lt;/titles&gt;&lt;periodical&gt;&lt;full-title&gt;Tea&lt;/full-title&gt;&lt;/periodical&gt;&lt;pages&gt;91-99&lt;/pages&gt;&lt;volume&gt;13&lt;/volume&gt;&lt;dates&gt;&lt;year&gt;1992&lt;/year&gt;&lt;/dates&gt;&lt;urls&gt;&lt;/urls&gt;&lt;/record&gt;&lt;/Cite&gt;&lt;/EndNote&gt;</w:instrText>
      </w:r>
      <w:r w:rsidRPr="00582808">
        <w:rPr>
          <w:color w:val="000000"/>
          <w:szCs w:val="24"/>
          <w:lang w:val="en-GB"/>
        </w:rPr>
        <w:fldChar w:fldCharType="separate"/>
      </w:r>
      <w:r w:rsidR="00175EB1">
        <w:rPr>
          <w:noProof/>
          <w:color w:val="000000"/>
          <w:szCs w:val="24"/>
          <w:lang w:val="en-GB"/>
        </w:rPr>
        <w:t>(P. O. Owuor, C. O. Othieno, et al., 2011; Wanyoko et al., 1992)</w:t>
      </w:r>
      <w:r w:rsidRPr="00582808">
        <w:rPr>
          <w:color w:val="000000"/>
          <w:szCs w:val="24"/>
          <w:lang w:val="en-GB"/>
        </w:rPr>
        <w:fldChar w:fldCharType="end"/>
      </w:r>
      <w:r w:rsidRPr="00582808">
        <w:rPr>
          <w:color w:val="000000"/>
          <w:szCs w:val="24"/>
          <w:lang w:val="en-GB"/>
        </w:rPr>
        <w:t>. The decline in soil potassium could also be possibly due to the displacement of potassium ion (K</w:t>
      </w:r>
      <w:r w:rsidRPr="00582808">
        <w:rPr>
          <w:color w:val="000000"/>
          <w:szCs w:val="24"/>
          <w:vertAlign w:val="superscript"/>
          <w:lang w:val="en-GB"/>
        </w:rPr>
        <w:t>+</w:t>
      </w:r>
      <w:r w:rsidRPr="00582808">
        <w:rPr>
          <w:color w:val="000000"/>
          <w:szCs w:val="24"/>
          <w:lang w:val="en-GB"/>
        </w:rPr>
        <w:t>) by ammonium ions (NH</w:t>
      </w:r>
      <w:r w:rsidRPr="00582808">
        <w:rPr>
          <w:color w:val="000000"/>
          <w:szCs w:val="24"/>
          <w:vertAlign w:val="subscript"/>
          <w:lang w:val="en-GB"/>
        </w:rPr>
        <w:t>4</w:t>
      </w:r>
      <w:r w:rsidRPr="00582808">
        <w:rPr>
          <w:color w:val="000000"/>
          <w:szCs w:val="24"/>
          <w:vertAlign w:val="superscript"/>
          <w:lang w:val="en-GB"/>
        </w:rPr>
        <w:t>+</w:t>
      </w:r>
      <w:r w:rsidRPr="00582808">
        <w:rPr>
          <w:color w:val="000000"/>
          <w:szCs w:val="24"/>
          <w:lang w:val="en-GB"/>
        </w:rPr>
        <w:t xml:space="preserve">) in the nitrogenous fertilizers since their sizes are similar </w:t>
      </w:r>
      <w:r w:rsidRPr="00582808">
        <w:rPr>
          <w:color w:val="000000"/>
          <w:szCs w:val="24"/>
          <w:lang w:val="en-GB"/>
        </w:rPr>
        <w:fldChar w:fldCharType="begin"/>
      </w:r>
      <w:r w:rsidR="00175EB1">
        <w:rPr>
          <w:color w:val="000000"/>
          <w:szCs w:val="24"/>
          <w:lang w:val="en-GB"/>
        </w:rPr>
        <w:instrText xml:space="preserve"> ADDIN EN.CITE &lt;EndNote&gt;&lt;Cite&gt;&lt;Author&gt;Sandanam&lt;/Author&gt;&lt;Year&gt;1980&lt;/Year&gt;&lt;RecNum&gt;104&lt;/RecNum&gt;&lt;DisplayText&gt;(Buurman et al., 1998; Sandanam et al., 1980)&lt;/DisplayText&gt;&lt;record&gt;&lt;rec-number&gt;104&lt;/rec-number&gt;&lt;foreign-keys&gt;&lt;key app="EN" db-id="zx5vprwxa0rsabew9f9xp5fcs9tz0dzwa2fa" timestamp="1595648617"&gt;104&lt;/key&gt;&lt;/foreign-keys&gt;&lt;ref-type name="Journal Article"&gt;17&lt;/ref-type&gt;&lt;contributors&gt;&lt;authors&gt;&lt;author&gt;Sandanam, S.&lt;/author&gt;&lt;author&gt;Sivasubramaniam, S.&lt;/author&gt;&lt;author&gt;Rajushingham, C. C.&lt;/author&gt;&lt;/authors&gt;&lt;/contributors&gt;&lt;titles&gt;&lt;title&gt;Response of seedling tea to forms and levels of nitrogen fertilizers, levels of potassium and liming in the upcountry tea growing districts of Sri Lanka&lt;/title&gt;&lt;secondary-title&gt;Tea Quarterly&lt;/secondary-title&gt;&lt;/titles&gt;&lt;periodical&gt;&lt;full-title&gt;Tea Quarterly&lt;/full-title&gt;&lt;/periodical&gt;&lt;pages&gt;20-29&lt;/pages&gt;&lt;volume&gt;49&lt;/volume&gt;&lt;number&gt;2&lt;/number&gt;&lt;dates&gt;&lt;year&gt;1980&lt;/year&gt;&lt;/dates&gt;&lt;urls&gt;&lt;/urls&gt;&lt;/record&gt;&lt;/Cite&gt;&lt;Cite&gt;&lt;Author&gt;Buurman&lt;/Author&gt;&lt;Year&gt;1998&lt;/Year&gt;&lt;RecNum&gt;103&lt;/RecNum&gt;&lt;record&gt;&lt;rec-number&gt;103&lt;/rec-number&gt;&lt;foreign-keys&gt;&lt;key app="EN" db-id="zx5vprwxa0rsabew9f9xp5fcs9tz0dzwa2fa" timestamp="1595648158"&gt;103&lt;/key&gt;&lt;/foreign-keys&gt;&lt;ref-type name="Journal Article"&gt;17&lt;/ref-type&gt;&lt;contributors&gt;&lt;authors&gt;&lt;author&gt;Buurman, E. T.&lt;/author&gt;&lt;author&gt;Pennock, J.&lt;/author&gt;&lt;author&gt;Tempest, D. W.&lt;/author&gt;&lt;author&gt;Teixeira de Mattos, M .J.&lt;/author&gt;&lt;author&gt;Neijssel, O. M.&lt;/author&gt;&lt;/authors&gt;&lt;/contributors&gt;&lt;titles&gt;&lt;title&gt; Replacement of potassium ions by ammonium ions in different micro-organisms grown in potassium-limited chemostat culture&lt;/title&gt;&lt;secondary-title&gt;Archeological Microbiology&lt;/secondary-title&gt;&lt;/titles&gt;&lt;periodical&gt;&lt;full-title&gt;Archeological Microbiology&lt;/full-title&gt;&lt;/periodical&gt;&lt;pages&gt;58–63.&lt;/pages&gt;&lt;volume&gt;252&lt;/volume&gt;&lt;dates&gt;&lt;year&gt;1998&lt;/year&gt;&lt;/dates&gt;&lt;urls&gt;&lt;/urls&gt;&lt;electronic-resource-num&gt;https://doi.org/10.1007/BF00447012&lt;/electronic-resource-num&gt;&lt;/record&gt;&lt;/Cite&gt;&lt;/EndNote&gt;</w:instrText>
      </w:r>
      <w:r w:rsidRPr="00582808">
        <w:rPr>
          <w:color w:val="000000"/>
          <w:szCs w:val="24"/>
          <w:lang w:val="en-GB"/>
        </w:rPr>
        <w:fldChar w:fldCharType="separate"/>
      </w:r>
      <w:r w:rsidR="00175EB1">
        <w:rPr>
          <w:noProof/>
          <w:color w:val="000000"/>
          <w:szCs w:val="24"/>
          <w:lang w:val="en-GB"/>
        </w:rPr>
        <w:t>(Buurman et al., 1998; Sandanam et al., 1980)</w:t>
      </w:r>
      <w:r w:rsidRPr="00582808">
        <w:rPr>
          <w:color w:val="000000"/>
          <w:szCs w:val="24"/>
          <w:lang w:val="en-GB"/>
        </w:rPr>
        <w:fldChar w:fldCharType="end"/>
      </w:r>
      <w:r w:rsidRPr="00582808">
        <w:rPr>
          <w:color w:val="000000"/>
          <w:szCs w:val="24"/>
          <w:lang w:val="en-GB"/>
        </w:rPr>
        <w:t xml:space="preserve">. In addition, high concentrations of hydrogen ions in low soil pH influence potassium levels </w:t>
      </w:r>
      <w:r w:rsidRPr="00582808">
        <w:rPr>
          <w:color w:val="000000"/>
          <w:szCs w:val="24"/>
          <w:lang w:val="en-GB"/>
        </w:rPr>
        <w:fldChar w:fldCharType="begin"/>
      </w:r>
      <w:r w:rsidR="00175EB1">
        <w:rPr>
          <w:color w:val="000000"/>
          <w:szCs w:val="24"/>
          <w:lang w:val="en-GB"/>
        </w:rPr>
        <w:instrText xml:space="preserve"> ADDIN EN.CITE &lt;EndNote&gt;&lt;Cite&gt;&lt;Author&gt;Sandanam&lt;/Author&gt;&lt;Year&gt;1980&lt;/Year&gt;&lt;RecNum&gt;104&lt;/RecNum&gt;&lt;DisplayText&gt;(Sandanam et al., 1980)&lt;/DisplayText&gt;&lt;record&gt;&lt;rec-number&gt;104&lt;/rec-number&gt;&lt;foreign-keys&gt;&lt;key app="EN" db-id="zx5vprwxa0rsabew9f9xp5fcs9tz0dzwa2fa" timestamp="1595648617"&gt;104&lt;/key&gt;&lt;/foreign-keys&gt;&lt;ref-type name="Journal Article"&gt;17&lt;/ref-type&gt;&lt;contributors&gt;&lt;authors&gt;&lt;author&gt;Sandanam, S.&lt;/author&gt;&lt;author&gt;Sivasubramaniam, S.&lt;/author&gt;&lt;author&gt;Rajushingham, C. C.&lt;/author&gt;&lt;/authors&gt;&lt;/contributors&gt;&lt;titles&gt;&lt;title&gt;Response of seedling tea to forms and levels of nitrogen fertilizers, levels of potassium and liming in the upcountry tea growing districts of Sri Lanka&lt;/title&gt;&lt;secondary-title&gt;Tea Quarterly&lt;/secondary-title&gt;&lt;/titles&gt;&lt;periodical&gt;&lt;full-title&gt;Tea Quarterly&lt;/full-title&gt;&lt;/periodical&gt;&lt;pages&gt;20-29&lt;/pages&gt;&lt;volume&gt;49&lt;/volume&gt;&lt;number&gt;2&lt;/number&gt;&lt;dates&gt;&lt;year&gt;1980&lt;/year&gt;&lt;/dates&gt;&lt;urls&gt;&lt;/urls&gt;&lt;/record&gt;&lt;/Cite&gt;&lt;/EndNote&gt;</w:instrText>
      </w:r>
      <w:r w:rsidRPr="00582808">
        <w:rPr>
          <w:color w:val="000000"/>
          <w:szCs w:val="24"/>
          <w:lang w:val="en-GB"/>
        </w:rPr>
        <w:fldChar w:fldCharType="separate"/>
      </w:r>
      <w:r w:rsidR="00175EB1">
        <w:rPr>
          <w:noProof/>
          <w:color w:val="000000"/>
          <w:szCs w:val="24"/>
          <w:lang w:val="en-GB"/>
        </w:rPr>
        <w:t>(Sandanam et al., 1980)</w:t>
      </w:r>
      <w:r w:rsidRPr="00582808">
        <w:rPr>
          <w:color w:val="000000"/>
          <w:szCs w:val="24"/>
          <w:lang w:val="en-GB"/>
        </w:rPr>
        <w:fldChar w:fldCharType="end"/>
      </w:r>
      <w:r w:rsidRPr="00582808">
        <w:rPr>
          <w:color w:val="000000"/>
          <w:szCs w:val="24"/>
          <w:lang w:val="en-GB"/>
        </w:rPr>
        <w:t xml:space="preserve">. The increased ammonium nitrogen in the NPKS formulation accelerated leaching of potassium and hence its reduction at high levels of nitrogen rates. Since the levels of potassium and nitrogen antagonize each other in the soil matrix </w:t>
      </w:r>
      <w:r w:rsidRPr="00582808">
        <w:rPr>
          <w:color w:val="000000"/>
          <w:szCs w:val="24"/>
          <w:lang w:val="en-GB"/>
        </w:rPr>
        <w:fldChar w:fldCharType="begin"/>
      </w:r>
      <w:r w:rsidR="00175EB1">
        <w:rPr>
          <w:color w:val="000000"/>
          <w:szCs w:val="24"/>
          <w:lang w:val="en-GB"/>
        </w:rPr>
        <w:instrText xml:space="preserve"> ADDIN EN.CITE &lt;EndNote&gt;&lt;Cite&gt;&lt;Author&gt;Owuor&lt;/Author&gt;&lt;Year&gt;1987&lt;/Year&gt;&lt;RecNum&gt;107&lt;/RecNum&gt;&lt;DisplayText&gt;(Brady &amp;amp; Weil, 2002; Owuor et al., 1987)&lt;/DisplayText&gt;&lt;record&gt;&lt;rec-number&gt;107&lt;/rec-number&gt;&lt;foreign-keys&gt;&lt;key app="EN" db-id="zx5vprwxa0rsabew9f9xp5fcs9tz0dzwa2fa" timestamp="1595650018"&gt;107&lt;/key&gt;&lt;/foreign-keys&gt;&lt;ref-type name="Journal Article"&gt;17&lt;/ref-type&gt;&lt;contributors&gt;&lt;authors&gt;&lt;author&gt;Owuor, P. O.&lt;/author&gt;&lt;author&gt;Wanyoko, J. K.&lt;/author&gt;&lt;author&gt;Othieno, C. O.&lt;/author&gt;&lt;/authors&gt;&lt;/contributors&gt;&lt;titles&gt;&lt;title&gt;&lt;style face="normal" font="default" size="100%"&gt;The effects of nitrogenous fertiliser on leaf potassium contents of tea,&lt;/style&gt;&lt;style face="italic" font="default" size="100%"&gt; Camellia sinensis&lt;/style&gt;&lt;style face="normal" font="default" size="100%"&gt; (L) O. Kuntze&lt;/style&gt;&lt;/title&gt;&lt;secondary-title&gt;Tea&lt;/secondary-title&gt;&lt;/titles&gt;&lt;periodical&gt;&lt;full-title&gt;Tea&lt;/full-title&gt;&lt;/periodical&gt;&lt;pages&gt;4-13&lt;/pages&gt;&lt;volume&gt;8&lt;/volume&gt;&lt;dates&gt;&lt;year&gt;1987&lt;/year&gt;&lt;/dates&gt;&lt;urls&gt;&lt;/urls&gt;&lt;/record&gt;&lt;/Cite&gt;&lt;Cite&gt;&lt;Author&gt;Brady&lt;/Author&gt;&lt;Year&gt;2002&lt;/Year&gt;&lt;RecNum&gt;96&lt;/RecNum&gt;&lt;record&gt;&lt;rec-number&gt;96&lt;/rec-number&gt;&lt;foreign-keys&gt;&lt;key app="EN" db-id="zx5vprwxa0rsabew9f9xp5fcs9tz0dzwa2fa" timestamp="1595621337"&gt;96&lt;/key&gt;&lt;/foreign-keys&gt;&lt;ref-type name="Book"&gt;6&lt;/ref-type&gt;&lt;contributors&gt;&lt;authors&gt;&lt;author&gt;Brady, A. C.&lt;/author&gt;&lt;author&gt;Weil, R. R.&lt;/author&gt;&lt;/authors&gt;&lt;/contributors&gt;&lt;titles&gt;&lt;title&gt;The Nature and Properties of Soils&lt;/title&gt;&lt;/titles&gt;&lt;edition&gt;13th&lt;/edition&gt;&lt;dates&gt;&lt;year&gt;2002&lt;/year&gt;&lt;/dates&gt;&lt;pub-location&gt;New Jersey, USA&lt;/pub-location&gt;&lt;publisher&gt;Prentice Hall&lt;/publisher&gt;&lt;urls&gt;&lt;/urls&gt;&lt;/record&gt;&lt;/Cite&gt;&lt;/EndNote&gt;</w:instrText>
      </w:r>
      <w:r w:rsidRPr="00582808">
        <w:rPr>
          <w:color w:val="000000"/>
          <w:szCs w:val="24"/>
          <w:lang w:val="en-GB"/>
        </w:rPr>
        <w:fldChar w:fldCharType="separate"/>
      </w:r>
      <w:r w:rsidR="00175EB1">
        <w:rPr>
          <w:noProof/>
          <w:color w:val="000000"/>
          <w:szCs w:val="24"/>
          <w:lang w:val="en-GB"/>
        </w:rPr>
        <w:t>(Brady &amp; Weil, 2002; Owuor et al., 1987)</w:t>
      </w:r>
      <w:r w:rsidRPr="00582808">
        <w:rPr>
          <w:color w:val="000000"/>
          <w:szCs w:val="24"/>
          <w:lang w:val="en-GB"/>
        </w:rPr>
        <w:fldChar w:fldCharType="end"/>
      </w:r>
      <w:r w:rsidRPr="00582808">
        <w:rPr>
          <w:color w:val="000000"/>
          <w:szCs w:val="24"/>
          <w:lang w:val="en-GB"/>
        </w:rPr>
        <w:t xml:space="preserve">, there is need to stagger the application of the two nutrients for the tea plants to benefit from each nutrient at a time. </w:t>
      </w:r>
      <w:r w:rsidRPr="00582808">
        <w:rPr>
          <w:lang w:val="en-GB"/>
        </w:rPr>
        <w:t xml:space="preserve">There were significant (p≤0.05) interaction effects on soil potassium between sites x nitrogenous fertilizer rates at all depths for all sites means as had also been shown earlier for mature leaf potassium </w:t>
      </w:r>
      <w:r w:rsidRPr="00582808">
        <w:rPr>
          <w:lang w:val="en-GB"/>
        </w:rPr>
        <w:fldChar w:fldCharType="begin"/>
      </w:r>
      <w:r w:rsidR="00175EB1">
        <w:rPr>
          <w:lang w:val="en-GB"/>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Pr="00582808">
        <w:rPr>
          <w:lang w:val="en-GB"/>
        </w:rPr>
        <w:fldChar w:fldCharType="separate"/>
      </w:r>
      <w:r w:rsidR="00175EB1">
        <w:rPr>
          <w:noProof/>
          <w:lang w:val="en-GB"/>
        </w:rPr>
        <w:t>(Kwach et al., 2014)</w:t>
      </w:r>
      <w:r w:rsidRPr="00582808">
        <w:rPr>
          <w:lang w:val="en-GB"/>
        </w:rPr>
        <w:fldChar w:fldCharType="end"/>
      </w:r>
      <w:r w:rsidRPr="00582808">
        <w:rPr>
          <w:lang w:val="en-GB"/>
        </w:rPr>
        <w:t>. Thus the results suggest that the responses varied from site to site, indicating that factors influencing the availability of soil potassium were not the same in all the regions studied.</w:t>
      </w:r>
    </w:p>
    <w:p w14:paraId="1427D12C" w14:textId="77777777" w:rsidR="00F4315E" w:rsidRDefault="00F4315E" w:rsidP="00DF7E8A">
      <w:pPr>
        <w:pStyle w:val="Default"/>
        <w:spacing w:line="360" w:lineRule="auto"/>
        <w:jc w:val="both"/>
        <w:rPr>
          <w:lang w:val="en-GB"/>
        </w:rPr>
      </w:pPr>
    </w:p>
    <w:tbl>
      <w:tblPr>
        <w:tblW w:w="10789" w:type="dxa"/>
        <w:tblInd w:w="-162" w:type="dxa"/>
        <w:tblLayout w:type="fixed"/>
        <w:tblLook w:val="04A0" w:firstRow="1" w:lastRow="0" w:firstColumn="1" w:lastColumn="0" w:noHBand="0" w:noVBand="1"/>
      </w:tblPr>
      <w:tblGrid>
        <w:gridCol w:w="5490"/>
        <w:gridCol w:w="5299"/>
      </w:tblGrid>
      <w:tr w:rsidR="00E6409C" w:rsidRPr="00582808" w14:paraId="79A70C70" w14:textId="77777777" w:rsidTr="00046694">
        <w:tc>
          <w:tcPr>
            <w:tcW w:w="10789" w:type="dxa"/>
            <w:gridSpan w:val="2"/>
          </w:tcPr>
          <w:p w14:paraId="56905202" w14:textId="48F298A9" w:rsidR="00E6409C" w:rsidRPr="00582808" w:rsidRDefault="00BC6574" w:rsidP="00D568D7">
            <w:pPr>
              <w:jc w:val="center"/>
              <w:rPr>
                <w:lang w:val="en-GB"/>
              </w:rPr>
            </w:pPr>
            <w:r>
              <w:rPr>
                <w:noProof/>
              </w:rPr>
              <w:drawing>
                <wp:inline distT="0" distB="0" distL="0" distR="0" wp14:anchorId="1DD754E7" wp14:editId="68E0DCA9">
                  <wp:extent cx="4572000" cy="2743200"/>
                  <wp:effectExtent l="0" t="0" r="0" b="0"/>
                  <wp:docPr id="27" name="Chart 27">
                    <a:extLst xmlns:a="http://schemas.openxmlformats.org/drawingml/2006/main">
                      <a:ext uri="{FF2B5EF4-FFF2-40B4-BE49-F238E27FC236}">
                        <a16:creationId xmlns:a16="http://schemas.microsoft.com/office/drawing/2014/main" id="{A101567B-7F28-BF66-4112-CC238218C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E6409C" w:rsidRPr="00582808" w14:paraId="29035B33" w14:textId="77777777" w:rsidTr="00046694">
        <w:tc>
          <w:tcPr>
            <w:tcW w:w="10789" w:type="dxa"/>
            <w:gridSpan w:val="2"/>
          </w:tcPr>
          <w:p w14:paraId="18950C3E" w14:textId="77777777" w:rsidR="00E6409C" w:rsidRPr="00582808" w:rsidRDefault="00E6409C" w:rsidP="00D568D7">
            <w:pPr>
              <w:rPr>
                <w:sz w:val="20"/>
                <w:szCs w:val="20"/>
                <w:lang w:val="en-GB"/>
              </w:rPr>
            </w:pPr>
            <w:r w:rsidRPr="00582808">
              <w:rPr>
                <w:sz w:val="20"/>
                <w:szCs w:val="20"/>
                <w:lang w:val="en-GB"/>
              </w:rPr>
              <w:t>Figure 3a: Soil available potassium levels (ppm) in different locations at various soil depths</w:t>
            </w:r>
          </w:p>
        </w:tc>
      </w:tr>
      <w:tr w:rsidR="00E6409C" w:rsidRPr="00582808" w14:paraId="245300D9" w14:textId="77777777" w:rsidTr="00046694">
        <w:tc>
          <w:tcPr>
            <w:tcW w:w="5490" w:type="dxa"/>
          </w:tcPr>
          <w:p w14:paraId="00CE819B" w14:textId="1299DF7C" w:rsidR="00E6409C" w:rsidRPr="00582808" w:rsidRDefault="00BC6574" w:rsidP="00D568D7">
            <w:pPr>
              <w:rPr>
                <w:lang w:val="en-GB"/>
              </w:rPr>
            </w:pPr>
            <w:r>
              <w:rPr>
                <w:noProof/>
              </w:rPr>
              <w:lastRenderedPageBreak/>
              <w:drawing>
                <wp:inline distT="0" distB="0" distL="0" distR="0" wp14:anchorId="341F65F9" wp14:editId="1A96E720">
                  <wp:extent cx="3348990" cy="3052916"/>
                  <wp:effectExtent l="0" t="0" r="3810" b="14605"/>
                  <wp:docPr id="28" name="Chart 28">
                    <a:extLst xmlns:a="http://schemas.openxmlformats.org/drawingml/2006/main">
                      <a:ext uri="{FF2B5EF4-FFF2-40B4-BE49-F238E27FC236}">
                        <a16:creationId xmlns:a16="http://schemas.microsoft.com/office/drawing/2014/main" id="{17567520-601E-57B6-E0F7-B0159DD1D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299" w:type="dxa"/>
          </w:tcPr>
          <w:p w14:paraId="0D4ED521" w14:textId="1125AA1F" w:rsidR="00E6409C" w:rsidRPr="00582808" w:rsidRDefault="00BC6574" w:rsidP="00D568D7">
            <w:pPr>
              <w:rPr>
                <w:lang w:val="en-GB"/>
              </w:rPr>
            </w:pPr>
            <w:r>
              <w:rPr>
                <w:noProof/>
              </w:rPr>
              <w:drawing>
                <wp:inline distT="0" distB="0" distL="0" distR="0" wp14:anchorId="6CFC3183" wp14:editId="23BF958E">
                  <wp:extent cx="3227705" cy="3052916"/>
                  <wp:effectExtent l="0" t="0" r="10795" b="14605"/>
                  <wp:docPr id="29" name="Chart 29">
                    <a:extLst xmlns:a="http://schemas.openxmlformats.org/drawingml/2006/main">
                      <a:ext uri="{FF2B5EF4-FFF2-40B4-BE49-F238E27FC236}">
                        <a16:creationId xmlns:a16="http://schemas.microsoft.com/office/drawing/2014/main" id="{A1BC431B-CD86-D7FC-0945-DF93FEA95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E6409C" w:rsidRPr="00582808" w14:paraId="78CB52EE" w14:textId="77777777" w:rsidTr="00046694">
        <w:tc>
          <w:tcPr>
            <w:tcW w:w="5490" w:type="dxa"/>
          </w:tcPr>
          <w:p w14:paraId="1F544A1B" w14:textId="77777777" w:rsidR="00E6409C" w:rsidRPr="00582808" w:rsidRDefault="00E6409C" w:rsidP="00D568D7">
            <w:pPr>
              <w:rPr>
                <w:sz w:val="20"/>
                <w:szCs w:val="20"/>
                <w:lang w:val="en-GB"/>
              </w:rPr>
            </w:pPr>
            <w:r w:rsidRPr="00582808">
              <w:rPr>
                <w:sz w:val="20"/>
                <w:szCs w:val="20"/>
                <w:lang w:val="en-GB"/>
              </w:rPr>
              <w:t>Figure 3b: Changes in available potassium (ppm) at 0-10 cm depth</w:t>
            </w:r>
          </w:p>
        </w:tc>
        <w:tc>
          <w:tcPr>
            <w:tcW w:w="5299" w:type="dxa"/>
          </w:tcPr>
          <w:p w14:paraId="7FABB1A7" w14:textId="77777777" w:rsidR="00E6409C" w:rsidRPr="00582808" w:rsidRDefault="00E6409C" w:rsidP="00D568D7">
            <w:pPr>
              <w:rPr>
                <w:sz w:val="20"/>
                <w:szCs w:val="20"/>
                <w:lang w:val="en-GB"/>
              </w:rPr>
            </w:pPr>
            <w:r w:rsidRPr="00582808">
              <w:rPr>
                <w:sz w:val="20"/>
                <w:szCs w:val="20"/>
                <w:lang w:val="en-GB"/>
              </w:rPr>
              <w:t>Figure 3c Changes in available potassium (ppm) at 10-20 cm depth</w:t>
            </w:r>
          </w:p>
        </w:tc>
      </w:tr>
      <w:tr w:rsidR="00E6409C" w:rsidRPr="00582808" w14:paraId="5CABAB20" w14:textId="77777777" w:rsidTr="00046694">
        <w:tc>
          <w:tcPr>
            <w:tcW w:w="5490" w:type="dxa"/>
          </w:tcPr>
          <w:p w14:paraId="2B39756A" w14:textId="41B4327F" w:rsidR="00E6409C" w:rsidRPr="00582808" w:rsidRDefault="00BC6574" w:rsidP="00D568D7">
            <w:pPr>
              <w:rPr>
                <w:lang w:val="en-GB"/>
              </w:rPr>
            </w:pPr>
            <w:r>
              <w:rPr>
                <w:noProof/>
              </w:rPr>
              <w:drawing>
                <wp:inline distT="0" distB="0" distL="0" distR="0" wp14:anchorId="3901F6EC" wp14:editId="32E7B784">
                  <wp:extent cx="3348990" cy="2381864"/>
                  <wp:effectExtent l="0" t="0" r="3810" b="0"/>
                  <wp:docPr id="30" name="Chart 30">
                    <a:extLst xmlns:a="http://schemas.openxmlformats.org/drawingml/2006/main">
                      <a:ext uri="{FF2B5EF4-FFF2-40B4-BE49-F238E27FC236}">
                        <a16:creationId xmlns:a16="http://schemas.microsoft.com/office/drawing/2014/main" id="{524D926A-DA29-3CC5-3098-9BCB16D76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299" w:type="dxa"/>
          </w:tcPr>
          <w:p w14:paraId="565A2E36" w14:textId="006B6B26" w:rsidR="00E6409C" w:rsidRPr="00582808" w:rsidRDefault="00BC6574" w:rsidP="00D568D7">
            <w:pPr>
              <w:rPr>
                <w:lang w:val="en-GB"/>
              </w:rPr>
            </w:pPr>
            <w:r>
              <w:rPr>
                <w:noProof/>
              </w:rPr>
              <w:drawing>
                <wp:inline distT="0" distB="0" distL="0" distR="0" wp14:anchorId="33FA4302" wp14:editId="5C661A20">
                  <wp:extent cx="3227705" cy="2322871"/>
                  <wp:effectExtent l="0" t="0" r="10795" b="1270"/>
                  <wp:docPr id="31" name="Chart 31">
                    <a:extLst xmlns:a="http://schemas.openxmlformats.org/drawingml/2006/main">
                      <a:ext uri="{FF2B5EF4-FFF2-40B4-BE49-F238E27FC236}">
                        <a16:creationId xmlns:a16="http://schemas.microsoft.com/office/drawing/2014/main" id="{2737E045-05D0-35F5-1E47-68D7F91C3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E6409C" w:rsidRPr="00582808" w14:paraId="636542D2" w14:textId="77777777" w:rsidTr="00046694">
        <w:tc>
          <w:tcPr>
            <w:tcW w:w="5490" w:type="dxa"/>
          </w:tcPr>
          <w:p w14:paraId="40D0DED7" w14:textId="77777777" w:rsidR="00E6409C" w:rsidRPr="00582808" w:rsidRDefault="00E6409C" w:rsidP="00D568D7">
            <w:pPr>
              <w:rPr>
                <w:sz w:val="20"/>
                <w:szCs w:val="20"/>
                <w:lang w:val="en-GB"/>
              </w:rPr>
            </w:pPr>
            <w:r w:rsidRPr="00582808">
              <w:rPr>
                <w:sz w:val="20"/>
                <w:szCs w:val="20"/>
                <w:lang w:val="en-GB"/>
              </w:rPr>
              <w:t>Figure 3d: Changes in available potassium (ppm) at 20-30 cm depth</w:t>
            </w:r>
          </w:p>
        </w:tc>
        <w:tc>
          <w:tcPr>
            <w:tcW w:w="5299" w:type="dxa"/>
          </w:tcPr>
          <w:p w14:paraId="2801AD62" w14:textId="77777777" w:rsidR="00E6409C" w:rsidRPr="00582808" w:rsidRDefault="00E6409C" w:rsidP="00D568D7">
            <w:pPr>
              <w:rPr>
                <w:sz w:val="20"/>
                <w:szCs w:val="20"/>
                <w:lang w:val="en-GB"/>
              </w:rPr>
            </w:pPr>
            <w:r w:rsidRPr="00582808">
              <w:rPr>
                <w:sz w:val="20"/>
                <w:szCs w:val="20"/>
                <w:lang w:val="en-GB"/>
              </w:rPr>
              <w:t>Figure 3e: Changes in available potassium (ppm) at 40-60 cm depth</w:t>
            </w:r>
          </w:p>
        </w:tc>
      </w:tr>
    </w:tbl>
    <w:p w14:paraId="3EC1514C" w14:textId="77777777" w:rsidR="00E6409C" w:rsidRPr="00582808" w:rsidRDefault="00E6409C" w:rsidP="00E6409C">
      <w:pPr>
        <w:rPr>
          <w:lang w:val="en-GB"/>
        </w:rPr>
      </w:pPr>
      <w:r w:rsidRPr="00582808">
        <w:rPr>
          <w:lang w:val="en-GB"/>
        </w:rPr>
        <w:t>Figure 3: Changes in potassium nitrogen levels at different soil depths and nitrogen fertilizer rates in different locations</w:t>
      </w:r>
    </w:p>
    <w:p w14:paraId="1958B6BD" w14:textId="77777777" w:rsidR="00DF7E8A" w:rsidRPr="00582808" w:rsidRDefault="00C063DD" w:rsidP="00F4315E">
      <w:pPr>
        <w:pStyle w:val="Default"/>
        <w:spacing w:line="360" w:lineRule="auto"/>
        <w:jc w:val="both"/>
        <w:rPr>
          <w:kern w:val="24"/>
          <w:lang w:val="en-GB"/>
        </w:rPr>
      </w:pPr>
      <w:r w:rsidRPr="00582808">
        <w:rPr>
          <w:lang w:val="en-GB"/>
        </w:rPr>
        <w:t xml:space="preserve"> </w:t>
      </w:r>
    </w:p>
    <w:p w14:paraId="32631C72" w14:textId="77777777" w:rsidR="008F1582" w:rsidRPr="00582808" w:rsidRDefault="008F1582" w:rsidP="008F1582">
      <w:pPr>
        <w:pStyle w:val="Heading2"/>
        <w:spacing w:before="0" w:after="0"/>
        <w:rPr>
          <w:rFonts w:ascii="Times New Roman" w:hAnsi="Times New Roman"/>
          <w:i w:val="0"/>
          <w:sz w:val="24"/>
          <w:szCs w:val="24"/>
          <w:lang w:val="en-GB"/>
        </w:rPr>
      </w:pPr>
      <w:bookmarkStart w:id="5" w:name="_GoBack"/>
      <w:bookmarkEnd w:id="5"/>
      <w:r w:rsidRPr="00582808">
        <w:rPr>
          <w:rFonts w:ascii="Times New Roman" w:hAnsi="Times New Roman"/>
          <w:i w:val="0"/>
          <w:sz w:val="24"/>
          <w:szCs w:val="24"/>
          <w:lang w:val="en-GB"/>
        </w:rPr>
        <w:t>REFERENCES</w:t>
      </w:r>
    </w:p>
    <w:p w14:paraId="07DCA16B" w14:textId="77777777" w:rsidR="00175EB1" w:rsidRPr="00175EB1" w:rsidRDefault="008F1582" w:rsidP="00175EB1">
      <w:pPr>
        <w:pStyle w:val="EndNoteBibliography"/>
        <w:ind w:left="720" w:hanging="720"/>
      </w:pPr>
      <w:r w:rsidRPr="00582808">
        <w:rPr>
          <w:lang w:val="en-GB"/>
        </w:rPr>
        <w:fldChar w:fldCharType="begin"/>
      </w:r>
      <w:r w:rsidRPr="00582808">
        <w:rPr>
          <w:lang w:val="en-GB"/>
        </w:rPr>
        <w:instrText xml:space="preserve"> ADDIN EN.REFLIST </w:instrText>
      </w:r>
      <w:r w:rsidRPr="00582808">
        <w:rPr>
          <w:lang w:val="en-GB"/>
        </w:rPr>
        <w:fldChar w:fldCharType="separate"/>
      </w:r>
      <w:r w:rsidR="00175EB1" w:rsidRPr="00175EB1">
        <w:t>Adiloğlu, A., &amp; Adiloğlu, S. (2006). An investigation on nutritional status of tea (</w:t>
      </w:r>
      <w:r w:rsidR="00175EB1" w:rsidRPr="00175EB1">
        <w:rPr>
          <w:i/>
        </w:rPr>
        <w:t>Camellia sinensis</w:t>
      </w:r>
      <w:r w:rsidR="00175EB1" w:rsidRPr="00175EB1">
        <w:t xml:space="preserve"> L.) grown in eastern Black Sea region of Turkey. </w:t>
      </w:r>
      <w:r w:rsidR="00175EB1" w:rsidRPr="00175EB1">
        <w:rPr>
          <w:i/>
        </w:rPr>
        <w:t>Pakistan Journal of Biological Sciences</w:t>
      </w:r>
      <w:r w:rsidR="00175EB1" w:rsidRPr="00175EB1">
        <w:t>,</w:t>
      </w:r>
      <w:r w:rsidR="00175EB1" w:rsidRPr="00175EB1">
        <w:rPr>
          <w:i/>
        </w:rPr>
        <w:t xml:space="preserve"> 9</w:t>
      </w:r>
      <w:r w:rsidR="00175EB1" w:rsidRPr="00175EB1">
        <w:t xml:space="preserve">(3), 365-370. </w:t>
      </w:r>
    </w:p>
    <w:p w14:paraId="22058455" w14:textId="08112304" w:rsidR="00175EB1" w:rsidRPr="00175EB1" w:rsidRDefault="00175EB1" w:rsidP="00175EB1">
      <w:pPr>
        <w:pStyle w:val="EndNoteBibliography"/>
        <w:ind w:left="720" w:hanging="720"/>
      </w:pPr>
      <w:r w:rsidRPr="00175EB1">
        <w:t xml:space="preserve">Anandacoomaraswamy, A., De Costa, W. A. J. M., Shyamalie, H. W., &amp; Campbell, G. S. (2000). Factors controlling transpiration of mature field-grown tea and its relationship with yield. </w:t>
      </w:r>
      <w:r w:rsidRPr="00175EB1">
        <w:rPr>
          <w:i/>
        </w:rPr>
        <w:t>Agricultural and Forest Meteorology</w:t>
      </w:r>
      <w:r w:rsidRPr="00175EB1">
        <w:t>,</w:t>
      </w:r>
      <w:r w:rsidRPr="00175EB1">
        <w:rPr>
          <w:i/>
        </w:rPr>
        <w:t xml:space="preserve"> 103</w:t>
      </w:r>
      <w:r w:rsidRPr="00175EB1">
        <w:t xml:space="preserve">(4), 375-386. </w:t>
      </w:r>
      <w:hyperlink r:id="rId23" w:history="1">
        <w:r w:rsidRPr="00175EB1">
          <w:rPr>
            <w:rStyle w:val="Hyperlink"/>
          </w:rPr>
          <w:t>https://www.sciencedirect.com/science/article/pii/S0168192300001349</w:t>
        </w:r>
      </w:hyperlink>
      <w:r w:rsidRPr="00175EB1">
        <w:t xml:space="preserve"> </w:t>
      </w:r>
    </w:p>
    <w:p w14:paraId="0002BA40" w14:textId="77777777" w:rsidR="00175EB1" w:rsidRPr="00175EB1" w:rsidRDefault="00175EB1" w:rsidP="00175EB1">
      <w:pPr>
        <w:pStyle w:val="EndNoteBibliography"/>
        <w:ind w:left="720" w:hanging="720"/>
      </w:pPr>
      <w:r w:rsidRPr="00175EB1">
        <w:t>Banerjee, B. (1993).</w:t>
      </w:r>
      <w:r w:rsidRPr="00175EB1">
        <w:rPr>
          <w:i/>
        </w:rPr>
        <w:t xml:space="preserve"> Tea: Production and Processing</w:t>
      </w:r>
      <w:r w:rsidRPr="00175EB1">
        <w:t xml:space="preserve">. Oxford &amp; IBN Publishing Co. Pvt. Limited. </w:t>
      </w:r>
    </w:p>
    <w:p w14:paraId="0C746018" w14:textId="77777777" w:rsidR="00175EB1" w:rsidRPr="00175EB1" w:rsidRDefault="00175EB1" w:rsidP="00175EB1">
      <w:pPr>
        <w:pStyle w:val="EndNoteBibliography"/>
        <w:ind w:left="720" w:hanging="720"/>
      </w:pPr>
      <w:r w:rsidRPr="00175EB1">
        <w:t xml:space="preserve">Bhattacharyya, N. G., &amp; Dey, S. K. (1983). Role of pH and aluminium on phosphate availability of tea soils. </w:t>
      </w:r>
      <w:r w:rsidRPr="00175EB1">
        <w:rPr>
          <w:i/>
        </w:rPr>
        <w:t>Two and a Bud</w:t>
      </w:r>
      <w:r w:rsidRPr="00175EB1">
        <w:t>,</w:t>
      </w:r>
      <w:r w:rsidRPr="00175EB1">
        <w:rPr>
          <w:i/>
        </w:rPr>
        <w:t xml:space="preserve"> 30</w:t>
      </w:r>
      <w:r w:rsidRPr="00175EB1">
        <w:t xml:space="preserve">, 61-64. </w:t>
      </w:r>
    </w:p>
    <w:p w14:paraId="3EABF486" w14:textId="49D4E974" w:rsidR="00175EB1" w:rsidRPr="00175EB1" w:rsidRDefault="00175EB1" w:rsidP="00175EB1">
      <w:pPr>
        <w:pStyle w:val="EndNoteBibliography"/>
        <w:ind w:left="720" w:hanging="720"/>
      </w:pPr>
      <w:r w:rsidRPr="00175EB1">
        <w:t xml:space="preserve">Bonheure, D., &amp; Willson, K. C. (1992). Mineral nutrition and fertilizers In K. C. Willson &amp; M. N. Clifford (Eds.), </w:t>
      </w:r>
      <w:r w:rsidRPr="00175EB1">
        <w:rPr>
          <w:i/>
        </w:rPr>
        <w:t>Tea: Cultivation to Consumption</w:t>
      </w:r>
      <w:r w:rsidRPr="00175EB1">
        <w:t xml:space="preserve"> (pp. 269-329). Chapman and Hall. </w:t>
      </w:r>
      <w:hyperlink r:id="rId24" w:history="1">
        <w:r w:rsidRPr="00175EB1">
          <w:rPr>
            <w:rStyle w:val="Hyperlink"/>
          </w:rPr>
          <w:t>https://doi.org/https://doi.org/10.1007/978-94-011-2326-6_9</w:t>
        </w:r>
      </w:hyperlink>
      <w:r w:rsidRPr="00175EB1">
        <w:t xml:space="preserve"> </w:t>
      </w:r>
    </w:p>
    <w:p w14:paraId="681E7108" w14:textId="77777777" w:rsidR="00175EB1" w:rsidRPr="00175EB1" w:rsidRDefault="00175EB1" w:rsidP="00175EB1">
      <w:pPr>
        <w:pStyle w:val="EndNoteBibliography"/>
        <w:ind w:left="720" w:hanging="720"/>
      </w:pPr>
      <w:r w:rsidRPr="00175EB1">
        <w:lastRenderedPageBreak/>
        <w:t xml:space="preserve">Brady, A. C., &amp; Weil, R. R. (2002). </w:t>
      </w:r>
      <w:r w:rsidRPr="00175EB1">
        <w:rPr>
          <w:i/>
        </w:rPr>
        <w:t>The Nature and Properties of Soils</w:t>
      </w:r>
      <w:r w:rsidRPr="00175EB1">
        <w:t xml:space="preserve"> (13th ed.). Prentice Hall. </w:t>
      </w:r>
    </w:p>
    <w:p w14:paraId="1476BDA0" w14:textId="77777777" w:rsidR="00175EB1" w:rsidRPr="00175EB1" w:rsidRDefault="00175EB1" w:rsidP="00175EB1">
      <w:pPr>
        <w:pStyle w:val="EndNoteBibliography"/>
        <w:ind w:left="720" w:hanging="720"/>
      </w:pPr>
      <w:r w:rsidRPr="00175EB1">
        <w:t xml:space="preserve">Bremner, J. M., &amp; Mulveney, C. S. (1982). Nitrogen total. In A. L. Page (Ed.), </w:t>
      </w:r>
      <w:r w:rsidRPr="00175EB1">
        <w:rPr>
          <w:i/>
        </w:rPr>
        <w:t>Methods of Soil Analysis. Agronomy No 9. Part 2; Chemicals and Microbiological Properties</w:t>
      </w:r>
      <w:r w:rsidRPr="00175EB1">
        <w:t xml:space="preserve"> (pp. 595-624). American Society of Agronomy. </w:t>
      </w:r>
    </w:p>
    <w:p w14:paraId="229A5188" w14:textId="20C16514" w:rsidR="00175EB1" w:rsidRPr="00175EB1" w:rsidRDefault="00175EB1" w:rsidP="00175EB1">
      <w:pPr>
        <w:pStyle w:val="EndNoteBibliography"/>
        <w:ind w:left="720" w:hanging="720"/>
      </w:pPr>
      <w:r w:rsidRPr="00175EB1">
        <w:t xml:space="preserve">Buurman, E. T., Pennock, J., Tempest, D. W., Teixeira de Mattos, M. J., &amp; Neijssel, O. M. (1998). Replacement of potassium ions by ammonium ions in different micro-organisms grown in potassium-limited chemostat culture. </w:t>
      </w:r>
      <w:r w:rsidRPr="00175EB1">
        <w:rPr>
          <w:i/>
        </w:rPr>
        <w:t>Archeological Microbiology</w:t>
      </w:r>
      <w:r w:rsidRPr="00175EB1">
        <w:t>,</w:t>
      </w:r>
      <w:r w:rsidRPr="00175EB1">
        <w:rPr>
          <w:i/>
        </w:rPr>
        <w:t xml:space="preserve"> 252</w:t>
      </w:r>
      <w:r w:rsidRPr="00175EB1">
        <w:t xml:space="preserve">, 58–63. </w:t>
      </w:r>
      <w:hyperlink r:id="rId25" w:history="1">
        <w:r w:rsidRPr="00175EB1">
          <w:rPr>
            <w:rStyle w:val="Hyperlink"/>
          </w:rPr>
          <w:t>https://doi.org/https://doi.org/10.1007/BF00447012</w:t>
        </w:r>
      </w:hyperlink>
      <w:r w:rsidRPr="00175EB1">
        <w:t xml:space="preserve"> </w:t>
      </w:r>
    </w:p>
    <w:p w14:paraId="6B57DEF3" w14:textId="2D8E22B2" w:rsidR="00175EB1" w:rsidRPr="00175EB1" w:rsidRDefault="00175EB1" w:rsidP="00175EB1">
      <w:pPr>
        <w:pStyle w:val="EndNoteBibliography"/>
        <w:ind w:left="720" w:hanging="720"/>
      </w:pPr>
      <w:r w:rsidRPr="00175EB1">
        <w:t xml:space="preserve">Do, N. Q., Vo, T. T. N., &amp; Vi, K. T. (1980). Results of experiment: Chemical fertilizers (NPK) on tea crop in Phu Ho. In N. Q. Do, T. T. N. Vo, &amp; K. T. Vi (Eds.), </w:t>
      </w:r>
      <w:r w:rsidRPr="00175EB1">
        <w:rPr>
          <w:i/>
        </w:rPr>
        <w:t>Agricultural Research</w:t>
      </w:r>
      <w:r w:rsidRPr="00175EB1">
        <w:t xml:space="preserve"> (pp. 127-146). Agricultural Publishing House (in Vietnamese) </w:t>
      </w:r>
      <w:hyperlink r:id="rId26" w:history="1">
        <w:r w:rsidRPr="00175EB1">
          <w:rPr>
            <w:rStyle w:val="Hyperlink"/>
          </w:rPr>
          <w:t>https://www.publish.csiro.au/sr/SR9870461</w:t>
        </w:r>
      </w:hyperlink>
      <w:r w:rsidRPr="00175EB1">
        <w:t xml:space="preserve"> </w:t>
      </w:r>
    </w:p>
    <w:p w14:paraId="34EC1384" w14:textId="758F3D5E" w:rsidR="00175EB1" w:rsidRPr="00175EB1" w:rsidRDefault="00175EB1" w:rsidP="00175EB1">
      <w:pPr>
        <w:pStyle w:val="EndNoteBibliography"/>
        <w:ind w:left="720" w:hanging="720"/>
      </w:pPr>
      <w:r w:rsidRPr="00175EB1">
        <w:t xml:space="preserve">Gardner, E. J., Ruxton, C. H., &amp; Leeds, A. R. (2007). Black tea--helpful or harmful? A review of the evidence. </w:t>
      </w:r>
      <w:r w:rsidRPr="00175EB1">
        <w:rPr>
          <w:i/>
        </w:rPr>
        <w:t>European Journal of Clinical Nutrition</w:t>
      </w:r>
      <w:r w:rsidRPr="00175EB1">
        <w:t>,</w:t>
      </w:r>
      <w:r w:rsidRPr="00175EB1">
        <w:rPr>
          <w:i/>
        </w:rPr>
        <w:t xml:space="preserve"> 61</w:t>
      </w:r>
      <w:r w:rsidRPr="00175EB1">
        <w:t xml:space="preserve">, 3-18. </w:t>
      </w:r>
      <w:hyperlink r:id="rId27" w:history="1">
        <w:r w:rsidRPr="00175EB1">
          <w:rPr>
            <w:rStyle w:val="Hyperlink"/>
          </w:rPr>
          <w:t>https://doi.org/https://doi.org/10.1038/sj.ejcn.1602489</w:t>
        </w:r>
      </w:hyperlink>
      <w:r w:rsidRPr="00175EB1">
        <w:t xml:space="preserve"> </w:t>
      </w:r>
    </w:p>
    <w:p w14:paraId="4571F198" w14:textId="10C34276" w:rsidR="00175EB1" w:rsidRPr="00175EB1" w:rsidRDefault="00175EB1" w:rsidP="00175EB1">
      <w:pPr>
        <w:pStyle w:val="EndNoteBibliography"/>
        <w:ind w:left="720" w:hanging="720"/>
        <w:rPr>
          <w:u w:val="single"/>
        </w:rPr>
      </w:pPr>
      <w:r w:rsidRPr="00175EB1">
        <w:t xml:space="preserve">Hamid, F. S. (2006). </w:t>
      </w:r>
      <w:r w:rsidRPr="00175EB1">
        <w:rPr>
          <w:i/>
        </w:rPr>
        <w:t>Yield and quality of tea under varying conditions of soil and nitrogen availability</w:t>
      </w:r>
      <w:r w:rsidRPr="00175EB1">
        <w:t xml:space="preserve"> Quid-I-Azam University]. Islamabad, Pakistan. </w:t>
      </w:r>
      <w:hyperlink r:id="rId28" w:history="1">
        <w:r w:rsidRPr="00175EB1">
          <w:rPr>
            <w:rStyle w:val="Hyperlink"/>
          </w:rPr>
          <w:t>http://prr.hec.gov.pk/jspui/bitstream/123456789/5147/1/2203.pdf</w:t>
        </w:r>
      </w:hyperlink>
    </w:p>
    <w:p w14:paraId="332A7F91" w14:textId="77777777" w:rsidR="00175EB1" w:rsidRPr="00175EB1" w:rsidRDefault="00175EB1" w:rsidP="00175EB1">
      <w:pPr>
        <w:pStyle w:val="EndNoteBibliography"/>
        <w:ind w:left="720" w:hanging="720"/>
      </w:pPr>
      <w:r w:rsidRPr="00175EB1">
        <w:t xml:space="preserve">Hamid, F. S., Ahmad, N., Waheed, A., &amp; Rauf, A. (1993). The mineral status and physical composition of prospective tea growing areas of North West Frontier Province. </w:t>
      </w:r>
      <w:r w:rsidRPr="00175EB1">
        <w:rPr>
          <w:i/>
        </w:rPr>
        <w:t>Sarhad Journal of Agriculture</w:t>
      </w:r>
      <w:r w:rsidRPr="00175EB1">
        <w:t>,</w:t>
      </w:r>
      <w:r w:rsidRPr="00175EB1">
        <w:rPr>
          <w:i/>
        </w:rPr>
        <w:t xml:space="preserve"> IX</w:t>
      </w:r>
      <w:r w:rsidRPr="00175EB1">
        <w:t xml:space="preserve">, 608-614. </w:t>
      </w:r>
    </w:p>
    <w:p w14:paraId="1050F135" w14:textId="77777777" w:rsidR="00175EB1" w:rsidRPr="00175EB1" w:rsidRDefault="00175EB1" w:rsidP="00175EB1">
      <w:pPr>
        <w:pStyle w:val="EndNoteBibliography"/>
        <w:ind w:left="720" w:hanging="720"/>
      </w:pPr>
      <w:r w:rsidRPr="00175EB1">
        <w:t>Kamau, D. M. (2003). Long term effects of NPK(S) fertilizers on the yields, nutrient uptake and soil chemical properties of clone S15/10 tea in Kericho, Kenya. Paper presented at the 21st Soil Science Society of East Africa Conference, Eldoret.</w:t>
      </w:r>
    </w:p>
    <w:p w14:paraId="17933472" w14:textId="77777777" w:rsidR="00175EB1" w:rsidRPr="00175EB1" w:rsidRDefault="00175EB1" w:rsidP="00175EB1">
      <w:pPr>
        <w:pStyle w:val="EndNoteBibliography"/>
        <w:ind w:left="720" w:hanging="720"/>
      </w:pPr>
      <w:r w:rsidRPr="00175EB1">
        <w:t xml:space="preserve">Kamau, D. M., Wanyoko, J. K., &amp; Owuor, P. O. (2005). Mature leaf nutrients levels as a diagnostic tool for making fertilizer recommendations in mature tea. The case of clone BBK 35. </w:t>
      </w:r>
      <w:r w:rsidRPr="00175EB1">
        <w:rPr>
          <w:i/>
        </w:rPr>
        <w:t>Tea</w:t>
      </w:r>
      <w:r w:rsidRPr="00175EB1">
        <w:t>,</w:t>
      </w:r>
      <w:r w:rsidRPr="00175EB1">
        <w:rPr>
          <w:i/>
        </w:rPr>
        <w:t xml:space="preserve"> 26</w:t>
      </w:r>
      <w:r w:rsidRPr="00175EB1">
        <w:t xml:space="preserve">, 57- 69. </w:t>
      </w:r>
    </w:p>
    <w:p w14:paraId="10923731" w14:textId="03481731" w:rsidR="00175EB1" w:rsidRPr="00175EB1" w:rsidRDefault="00175EB1" w:rsidP="00175EB1">
      <w:pPr>
        <w:pStyle w:val="EndNoteBibliography"/>
        <w:ind w:left="720" w:hanging="720"/>
      </w:pPr>
      <w:r w:rsidRPr="00175EB1">
        <w:t xml:space="preserve">Kamau, D. M., Wanyoko, J. K., Owuor, P. O., &amp; Ng'etich, W. K. (2008). NPK (S) fertilizer use in commercially cultivated clone BBK 35 in different tea growing regions of Kenya: II. Effects of nitrogen rates and plucking intervals on soil chemical properties. </w:t>
      </w:r>
      <w:r w:rsidRPr="00175EB1">
        <w:rPr>
          <w:i/>
        </w:rPr>
        <w:t>Tea</w:t>
      </w:r>
      <w:r w:rsidRPr="00175EB1">
        <w:t>,</w:t>
      </w:r>
      <w:r w:rsidRPr="00175EB1">
        <w:rPr>
          <w:i/>
        </w:rPr>
        <w:t xml:space="preserve"> 29</w:t>
      </w:r>
      <w:r w:rsidRPr="00175EB1">
        <w:t xml:space="preserve">(2), 8-18. </w:t>
      </w:r>
      <w:hyperlink r:id="rId29" w:history="1">
        <w:r w:rsidRPr="00175EB1">
          <w:rPr>
            <w:rStyle w:val="Hyperlink"/>
          </w:rPr>
          <w:t>https://www.cabdirect.org/cabdirect/abstract/20103355379</w:t>
        </w:r>
      </w:hyperlink>
      <w:r w:rsidRPr="00175EB1">
        <w:t xml:space="preserve"> </w:t>
      </w:r>
    </w:p>
    <w:p w14:paraId="68782E53" w14:textId="77777777" w:rsidR="00175EB1" w:rsidRPr="00175EB1" w:rsidRDefault="00175EB1" w:rsidP="00175EB1">
      <w:pPr>
        <w:pStyle w:val="EndNoteBibliography"/>
        <w:ind w:left="720" w:hanging="720"/>
      </w:pPr>
      <w:r w:rsidRPr="00175EB1">
        <w:t xml:space="preserve">Kebeney, S. J., Kamau, D. M., Othieno, C. O., Ng’etich, W. K., &amp; Owuor, P. O. (2010). Changes in soil chemical properties and leaf nutrients contents due to nitrogen fertilizer rates and application intervals. </w:t>
      </w:r>
      <w:r w:rsidRPr="00175EB1">
        <w:rPr>
          <w:i/>
        </w:rPr>
        <w:t>Tea</w:t>
      </w:r>
      <w:r w:rsidRPr="00175EB1">
        <w:t>,</w:t>
      </w:r>
      <w:r w:rsidRPr="00175EB1">
        <w:rPr>
          <w:i/>
        </w:rPr>
        <w:t xml:space="preserve"> 31</w:t>
      </w:r>
      <w:r w:rsidRPr="00175EB1">
        <w:t xml:space="preserve">, 22-27. </w:t>
      </w:r>
    </w:p>
    <w:p w14:paraId="14DDF499" w14:textId="7CD37559" w:rsidR="00175EB1" w:rsidRPr="00175EB1" w:rsidRDefault="00175EB1" w:rsidP="00175EB1">
      <w:pPr>
        <w:pStyle w:val="EndNoteBibliography"/>
        <w:ind w:left="720" w:hanging="720"/>
      </w:pPr>
      <w:r w:rsidRPr="00175EB1">
        <w:t xml:space="preserve">Kwach, B. O., Kamau, D. M., Msomba, S. W., C., M., &amp; Owuor, P. O. (2014). Effects of location of production, nitrogenous fertilizer rates and plucking intervals on tea clone TRFK 6/8 in East Africa: II. Mature leaf nutrients. </w:t>
      </w:r>
      <w:r w:rsidRPr="00175EB1">
        <w:rPr>
          <w:i/>
        </w:rPr>
        <w:t>International Journal of Tea Science</w:t>
      </w:r>
      <w:r w:rsidRPr="00175EB1">
        <w:t>,</w:t>
      </w:r>
      <w:r w:rsidRPr="00175EB1">
        <w:rPr>
          <w:i/>
        </w:rPr>
        <w:t xml:space="preserve"> 10</w:t>
      </w:r>
      <w:r w:rsidRPr="00175EB1">
        <w:t xml:space="preserve">(3&amp;4), 25-40. </w:t>
      </w:r>
      <w:hyperlink r:id="rId30" w:history="1">
        <w:r w:rsidRPr="00175EB1">
          <w:rPr>
            <w:rStyle w:val="Hyperlink"/>
          </w:rPr>
          <w:t>https://doi.org/10.20425/ijts.v10i3and4.4740</w:t>
        </w:r>
      </w:hyperlink>
      <w:r w:rsidRPr="00175EB1">
        <w:t xml:space="preserve"> </w:t>
      </w:r>
    </w:p>
    <w:p w14:paraId="46F70BD7" w14:textId="71BD69FC" w:rsidR="00175EB1" w:rsidRPr="00175EB1" w:rsidRDefault="00175EB1" w:rsidP="00175EB1">
      <w:pPr>
        <w:pStyle w:val="EndNoteBibliography"/>
        <w:ind w:left="720" w:hanging="720"/>
      </w:pPr>
      <w:r w:rsidRPr="00175EB1">
        <w:t xml:space="preserve">Mehlich, A. (1984). Mehlich-3 soil test extractant: a modification of Mehlich-2 extractant. </w:t>
      </w:r>
      <w:r w:rsidRPr="00175EB1">
        <w:rPr>
          <w:i/>
        </w:rPr>
        <w:t>Communications Soil Science and Plant Analysis</w:t>
      </w:r>
      <w:r w:rsidRPr="00175EB1">
        <w:t>,</w:t>
      </w:r>
      <w:r w:rsidRPr="00175EB1">
        <w:rPr>
          <w:i/>
        </w:rPr>
        <w:t xml:space="preserve"> 15</w:t>
      </w:r>
      <w:r w:rsidRPr="00175EB1">
        <w:t xml:space="preserve">(12), 1409-1416. </w:t>
      </w:r>
      <w:hyperlink r:id="rId31" w:history="1">
        <w:r w:rsidRPr="00175EB1">
          <w:rPr>
            <w:rStyle w:val="Hyperlink"/>
          </w:rPr>
          <w:t>https://doi.org/https://doi.org/10.1080/00103628409367568</w:t>
        </w:r>
      </w:hyperlink>
      <w:r w:rsidRPr="00175EB1">
        <w:t xml:space="preserve"> </w:t>
      </w:r>
    </w:p>
    <w:p w14:paraId="7BE7BD2D" w14:textId="77777777" w:rsidR="00175EB1" w:rsidRPr="00175EB1" w:rsidRDefault="00175EB1" w:rsidP="00175EB1">
      <w:pPr>
        <w:pStyle w:val="EndNoteBibliography"/>
        <w:ind w:left="720" w:hanging="720"/>
      </w:pPr>
      <w:r w:rsidRPr="00175EB1">
        <w:t xml:space="preserve">Monirul, I. M., &amp; Han, J. H. (2012). Perceived quality and attitude toward tea and coffee by consumers. </w:t>
      </w:r>
      <w:r w:rsidRPr="00175EB1">
        <w:rPr>
          <w:i/>
        </w:rPr>
        <w:t>International Journal of Business Research and Management (IJBRM)</w:t>
      </w:r>
      <w:r w:rsidRPr="00175EB1">
        <w:t>,</w:t>
      </w:r>
      <w:r w:rsidRPr="00175EB1">
        <w:rPr>
          <w:i/>
        </w:rPr>
        <w:t xml:space="preserve"> 3</w:t>
      </w:r>
      <w:r w:rsidRPr="00175EB1">
        <w:t xml:space="preserve">(3), 17-25. </w:t>
      </w:r>
    </w:p>
    <w:p w14:paraId="60532DBE" w14:textId="1E473A2A" w:rsidR="00175EB1" w:rsidRPr="00175EB1" w:rsidRDefault="00175EB1" w:rsidP="00175EB1">
      <w:pPr>
        <w:pStyle w:val="EndNoteBibliography"/>
        <w:ind w:left="720" w:hanging="720"/>
      </w:pPr>
      <w:r w:rsidRPr="00175EB1">
        <w:t xml:space="preserve">Msomba, S. W., Kamau, D. M., Uwimana, M. A., Muhoza, C., &amp; Owuor, P. O. (2014). Effects of location of production, nitrogenous fertilizer rates and plucking intervals on tea clone TRFK 6/8 tea in East Africa: I. Yields. </w:t>
      </w:r>
      <w:r w:rsidRPr="00175EB1">
        <w:rPr>
          <w:i/>
        </w:rPr>
        <w:t>International Journal of Tea Science (IJTS)</w:t>
      </w:r>
      <w:r w:rsidRPr="00175EB1">
        <w:t>,</w:t>
      </w:r>
      <w:r w:rsidRPr="00175EB1">
        <w:rPr>
          <w:i/>
        </w:rPr>
        <w:t xml:space="preserve"> 10</w:t>
      </w:r>
      <w:r w:rsidRPr="00175EB1">
        <w:t xml:space="preserve">(3/4), 14-24. </w:t>
      </w:r>
      <w:hyperlink r:id="rId32" w:history="1">
        <w:r w:rsidRPr="00175EB1">
          <w:rPr>
            <w:rStyle w:val="Hyperlink"/>
          </w:rPr>
          <w:t>https://doi.org/10.20425/ijts.v10i3and4.4739</w:t>
        </w:r>
      </w:hyperlink>
      <w:r w:rsidRPr="00175EB1">
        <w:t xml:space="preserve"> </w:t>
      </w:r>
    </w:p>
    <w:p w14:paraId="3A0ED5FF" w14:textId="77777777" w:rsidR="00175EB1" w:rsidRPr="00175EB1" w:rsidRDefault="00175EB1" w:rsidP="00175EB1">
      <w:pPr>
        <w:pStyle w:val="EndNoteBibliography"/>
        <w:ind w:left="720" w:hanging="720"/>
      </w:pPr>
      <w:r w:rsidRPr="00175EB1">
        <w:t xml:space="preserve">Nazrul, I. M., Abu, R. M. T., &amp; Ahmed, M. S. (2013). Primary nutrient status and some related physical properties of the soils of Karnaphuli tea estate, Chittagong. </w:t>
      </w:r>
      <w:r w:rsidRPr="00175EB1">
        <w:rPr>
          <w:i/>
        </w:rPr>
        <w:t>Analytical Chemistry: An Indian Journal (ACAIL)</w:t>
      </w:r>
      <w:r w:rsidRPr="00175EB1">
        <w:t>,</w:t>
      </w:r>
      <w:r w:rsidRPr="00175EB1">
        <w:rPr>
          <w:i/>
        </w:rPr>
        <w:t xml:space="preserve"> 13</w:t>
      </w:r>
      <w:r w:rsidRPr="00175EB1">
        <w:t xml:space="preserve">(5), 191-196. </w:t>
      </w:r>
    </w:p>
    <w:p w14:paraId="40C21DC0" w14:textId="083B53D4" w:rsidR="00175EB1" w:rsidRPr="00175EB1" w:rsidRDefault="00175EB1" w:rsidP="00175EB1">
      <w:pPr>
        <w:pStyle w:val="EndNoteBibliography"/>
        <w:ind w:left="720" w:hanging="720"/>
      </w:pPr>
      <w:r w:rsidRPr="00175EB1">
        <w:lastRenderedPageBreak/>
        <w:t xml:space="preserve">Ombori, R. O., Owuor, P. O., Kamau, D. M., Kwach, B. O., Dufitumukiza, W., &amp; Msomba, S. W. (2020). Nitrogenous fertilizer rates and plucking intervals effects on soil organic carbon, pH and tea yields and their relationships in eastern Africa tea growing regions </w:t>
      </w:r>
      <w:r w:rsidRPr="00175EB1">
        <w:rPr>
          <w:i/>
        </w:rPr>
        <w:t>Internaational Journal of Tea Science</w:t>
      </w:r>
      <w:r w:rsidRPr="00175EB1">
        <w:t>,</w:t>
      </w:r>
      <w:r w:rsidRPr="00175EB1">
        <w:rPr>
          <w:i/>
        </w:rPr>
        <w:t xml:space="preserve"> 15</w:t>
      </w:r>
      <w:r w:rsidRPr="00175EB1">
        <w:t xml:space="preserve">, 18-33. </w:t>
      </w:r>
      <w:hyperlink r:id="rId33" w:history="1">
        <w:r w:rsidRPr="00175EB1">
          <w:rPr>
            <w:rStyle w:val="Hyperlink"/>
          </w:rPr>
          <w:t>https://doi.org/https://10.20425/ijts15100</w:t>
        </w:r>
      </w:hyperlink>
      <w:r w:rsidRPr="00175EB1">
        <w:t xml:space="preserve"> </w:t>
      </w:r>
    </w:p>
    <w:p w14:paraId="663A51B2" w14:textId="709E1C9A" w:rsidR="00175EB1" w:rsidRPr="00175EB1" w:rsidRDefault="00175EB1" w:rsidP="00175EB1">
      <w:pPr>
        <w:pStyle w:val="EndNoteBibliography"/>
        <w:ind w:left="720" w:hanging="720"/>
      </w:pPr>
      <w:r w:rsidRPr="00175EB1">
        <w:t xml:space="preserve">Othieno, C. O. (1975). Surface run-off and soil erosion on fields of young tea. </w:t>
      </w:r>
      <w:r w:rsidRPr="00175EB1">
        <w:rPr>
          <w:i/>
        </w:rPr>
        <w:t>Tropical Agriculture</w:t>
      </w:r>
      <w:r w:rsidRPr="00175EB1">
        <w:t>,</w:t>
      </w:r>
      <w:r w:rsidRPr="00175EB1">
        <w:rPr>
          <w:i/>
        </w:rPr>
        <w:t xml:space="preserve"> 52</w:t>
      </w:r>
      <w:r w:rsidRPr="00175EB1">
        <w:t xml:space="preserve">, 299-308. </w:t>
      </w:r>
      <w:hyperlink r:id="rId34" w:history="1">
        <w:r w:rsidRPr="00175EB1">
          <w:rPr>
            <w:rStyle w:val="Hyperlink"/>
          </w:rPr>
          <w:t>https://agris.fao.org/agris-search/search.do?recordID=XE7533693</w:t>
        </w:r>
      </w:hyperlink>
      <w:r w:rsidRPr="00175EB1">
        <w:t xml:space="preserve"> </w:t>
      </w:r>
    </w:p>
    <w:p w14:paraId="1AA5431E" w14:textId="3015CD78" w:rsidR="00175EB1" w:rsidRPr="00175EB1" w:rsidRDefault="00175EB1" w:rsidP="00175EB1">
      <w:pPr>
        <w:pStyle w:val="EndNoteBibliography"/>
        <w:ind w:left="720" w:hanging="720"/>
      </w:pPr>
      <w:r w:rsidRPr="00175EB1">
        <w:t xml:space="preserve">Othieno, C. O. (1980). Effect of mulch on phosphorus uptake by tea. </w:t>
      </w:r>
      <w:r w:rsidRPr="00175EB1">
        <w:rPr>
          <w:i/>
        </w:rPr>
        <w:t>Tea</w:t>
      </w:r>
      <w:r w:rsidRPr="00175EB1">
        <w:t>,</w:t>
      </w:r>
      <w:r w:rsidRPr="00175EB1">
        <w:rPr>
          <w:i/>
        </w:rPr>
        <w:t xml:space="preserve"> 1</w:t>
      </w:r>
      <w:r w:rsidRPr="00175EB1">
        <w:t xml:space="preserve">(1), 9-12. </w:t>
      </w:r>
      <w:hyperlink r:id="rId35" w:history="1">
        <w:r w:rsidRPr="00175EB1">
          <w:rPr>
            <w:rStyle w:val="Hyperlink"/>
          </w:rPr>
          <w:t>https://www.cabdirect.org/cabdirect/abstract/19810303497</w:t>
        </w:r>
      </w:hyperlink>
      <w:r w:rsidRPr="00175EB1">
        <w:t xml:space="preserve"> </w:t>
      </w:r>
    </w:p>
    <w:p w14:paraId="5EE3F30B" w14:textId="77777777" w:rsidR="00175EB1" w:rsidRPr="00175EB1" w:rsidRDefault="00175EB1" w:rsidP="00175EB1">
      <w:pPr>
        <w:pStyle w:val="EndNoteBibliography"/>
        <w:ind w:left="720" w:hanging="720"/>
      </w:pPr>
      <w:r w:rsidRPr="00175EB1">
        <w:t xml:space="preserve">Othieno, C. O. (1988). Summary of observations and recommendations from TRFK. </w:t>
      </w:r>
      <w:r w:rsidRPr="00175EB1">
        <w:rPr>
          <w:i/>
        </w:rPr>
        <w:t>Tea</w:t>
      </w:r>
      <w:r w:rsidRPr="00175EB1">
        <w:t>,</w:t>
      </w:r>
      <w:r w:rsidRPr="00175EB1">
        <w:rPr>
          <w:i/>
        </w:rPr>
        <w:t xml:space="preserve"> 9</w:t>
      </w:r>
      <w:r w:rsidRPr="00175EB1">
        <w:t xml:space="preserve">, 50-65. </w:t>
      </w:r>
    </w:p>
    <w:p w14:paraId="7290EEA7" w14:textId="44A3A5FF" w:rsidR="00175EB1" w:rsidRPr="00175EB1" w:rsidRDefault="00175EB1" w:rsidP="00175EB1">
      <w:pPr>
        <w:pStyle w:val="EndNoteBibliography"/>
        <w:ind w:left="720" w:hanging="720"/>
      </w:pPr>
      <w:r w:rsidRPr="00175EB1">
        <w:t xml:space="preserve">Owuor, P. O. (2018). The effect of cultivation techniques on tea quality. In V. S. Sharma &amp; M. T. Kumudini Gunasekare (Eds.), </w:t>
      </w:r>
      <w:r w:rsidRPr="00175EB1">
        <w:rPr>
          <w:i/>
        </w:rPr>
        <w:t>Global Tea Science: Current Status and Future Needs</w:t>
      </w:r>
      <w:r w:rsidRPr="00175EB1">
        <w:t xml:space="preserve"> (pp. 85-112, ISBN: ISBN: 978 111 78676 78160 78676; </w:t>
      </w:r>
      <w:hyperlink r:id="rId36" w:history="1">
        <w:r w:rsidRPr="00175EB1">
          <w:rPr>
            <w:rStyle w:val="Hyperlink"/>
          </w:rPr>
          <w:t>www.bdspublishing.com</w:t>
        </w:r>
      </w:hyperlink>
      <w:r w:rsidRPr="00175EB1">
        <w:t xml:space="preserve">, ). Burleigh Dodds Science Publishing. </w:t>
      </w:r>
      <w:hyperlink r:id="rId37" w:history="1">
        <w:r w:rsidRPr="00175EB1">
          <w:rPr>
            <w:rStyle w:val="Hyperlink"/>
          </w:rPr>
          <w:t>https://doi.org/http://dx.doi.org/10.19103/AS.2017.0036.23</w:t>
        </w:r>
      </w:hyperlink>
      <w:r w:rsidRPr="00175EB1">
        <w:t xml:space="preserve"> </w:t>
      </w:r>
    </w:p>
    <w:p w14:paraId="61AEEAAA" w14:textId="3E2976CE" w:rsidR="00175EB1" w:rsidRPr="00175EB1" w:rsidRDefault="00175EB1" w:rsidP="00175EB1">
      <w:pPr>
        <w:pStyle w:val="EndNoteBibliography"/>
        <w:ind w:left="720" w:hanging="720"/>
      </w:pPr>
      <w:r w:rsidRPr="00175EB1">
        <w:t xml:space="preserve">Owuor, P. O., Kamau, D. M., Kamunya, S. M., Msomba, S. W., Uwimana, M. A., Okal, A. W., &amp; Kwach, B. O. (2011). Effects of genotype, environment and management on yields and quality of black tea. In E. Lichtfouse (Ed.), </w:t>
      </w:r>
      <w:r w:rsidRPr="00175EB1">
        <w:rPr>
          <w:i/>
        </w:rPr>
        <w:t>Genetics, Biofuels and Local Farming Systems: Sustainable Agriculture Reviews</w:t>
      </w:r>
      <w:r w:rsidRPr="00175EB1">
        <w:t xml:space="preserve"> (Vol. 7, pp. 277-307). Springer. </w:t>
      </w:r>
      <w:hyperlink r:id="rId38" w:history="1">
        <w:r w:rsidRPr="00175EB1">
          <w:rPr>
            <w:rStyle w:val="Hyperlink"/>
          </w:rPr>
          <w:t>https://doi.org/DOI</w:t>
        </w:r>
      </w:hyperlink>
      <w:r w:rsidRPr="00175EB1">
        <w:t xml:space="preserve">: 10.1007/978-94-007-1521-9_10 </w:t>
      </w:r>
    </w:p>
    <w:p w14:paraId="36032D44" w14:textId="34A8037F" w:rsidR="00175EB1" w:rsidRPr="00175EB1" w:rsidRDefault="00175EB1" w:rsidP="00175EB1">
      <w:pPr>
        <w:pStyle w:val="EndNoteBibliography"/>
        <w:ind w:left="720" w:hanging="720"/>
      </w:pPr>
      <w:r w:rsidRPr="00175EB1">
        <w:t xml:space="preserve">Owuor, P. O., Kamau, D. M., Kamunya, S. M., Msomba, S. W., Uwimana, M. A., Okal, A. W., &amp; Kwach, B. O. (2011). Effects of genotype, environment and management on yields and quality of black tea. In  (ed.), . In E. Lichtfouse (Ed.), </w:t>
      </w:r>
      <w:r w:rsidRPr="00175EB1">
        <w:rPr>
          <w:i/>
        </w:rPr>
        <w:t>Genetics, Biofuels and Local Farming Systems: Sustainable Agriculture Reviews, 7</w:t>
      </w:r>
      <w:r w:rsidRPr="00175EB1">
        <w:t xml:space="preserve"> (pp. 277-307, ). Springer. </w:t>
      </w:r>
      <w:hyperlink r:id="rId39" w:history="1">
        <w:r w:rsidRPr="00175EB1">
          <w:rPr>
            <w:rStyle w:val="Hyperlink"/>
          </w:rPr>
          <w:t>https://doi.org/https://DOI:10.1007/978-94-007-1521-9_10</w:t>
        </w:r>
      </w:hyperlink>
      <w:r w:rsidRPr="00175EB1">
        <w:t xml:space="preserve"> </w:t>
      </w:r>
    </w:p>
    <w:p w14:paraId="6DFC7B8B" w14:textId="3E1FF330" w:rsidR="00175EB1" w:rsidRPr="00175EB1" w:rsidRDefault="00175EB1" w:rsidP="00175EB1">
      <w:pPr>
        <w:pStyle w:val="EndNoteBibliography"/>
        <w:ind w:left="720" w:hanging="720"/>
      </w:pPr>
      <w:r w:rsidRPr="00175EB1">
        <w:t xml:space="preserve">Owuor, P. O., Obanda, M., Nyirenda, H. E., &amp; Mandala, W. L. (2008). Influence of region of production on clonal black tea chemical characteristics. </w:t>
      </w:r>
      <w:r w:rsidRPr="00175EB1">
        <w:rPr>
          <w:i/>
        </w:rPr>
        <w:t>Food Chemistry</w:t>
      </w:r>
      <w:r w:rsidRPr="00175EB1">
        <w:t>,</w:t>
      </w:r>
      <w:r w:rsidRPr="00175EB1">
        <w:rPr>
          <w:i/>
        </w:rPr>
        <w:t xml:space="preserve"> 108</w:t>
      </w:r>
      <w:r w:rsidRPr="00175EB1">
        <w:t xml:space="preserve">(1), 263-271. </w:t>
      </w:r>
      <w:hyperlink r:id="rId40" w:history="1">
        <w:r w:rsidRPr="00175EB1">
          <w:rPr>
            <w:rStyle w:val="Hyperlink"/>
          </w:rPr>
          <w:t>https://doi.org/https://doi.org/10.1016/j.foodchem.2007.09.017</w:t>
        </w:r>
      </w:hyperlink>
      <w:r w:rsidRPr="00175EB1">
        <w:t xml:space="preserve"> </w:t>
      </w:r>
    </w:p>
    <w:p w14:paraId="4C57BBC3" w14:textId="60406846" w:rsidR="00175EB1" w:rsidRPr="00175EB1" w:rsidRDefault="00175EB1" w:rsidP="00175EB1">
      <w:pPr>
        <w:pStyle w:val="EndNoteBibliography"/>
        <w:ind w:left="720" w:hanging="720"/>
      </w:pPr>
      <w:r w:rsidRPr="00175EB1">
        <w:t xml:space="preserve">Owuor, P. O., Othieno, C. O., Kamau, D. M., &amp; Wanyoko, J. K. (2011). Effects of long-term fertilizer use on a high-yielding tea clone AHPS15/10: soil pH, mature leaf nitrogen, mature leaf and soil phosphorus and potassium. </w:t>
      </w:r>
      <w:r w:rsidRPr="00175EB1">
        <w:rPr>
          <w:i/>
        </w:rPr>
        <w:t>International Journal of Tea Science (IJTS)</w:t>
      </w:r>
      <w:r w:rsidRPr="00175EB1">
        <w:t>,</w:t>
      </w:r>
      <w:r w:rsidRPr="00175EB1">
        <w:rPr>
          <w:i/>
        </w:rPr>
        <w:t xml:space="preserve"> 8</w:t>
      </w:r>
      <w:r w:rsidRPr="00175EB1">
        <w:t xml:space="preserve">(1), 15-51. </w:t>
      </w:r>
      <w:hyperlink r:id="rId41" w:history="1">
        <w:r w:rsidRPr="00175EB1">
          <w:rPr>
            <w:rStyle w:val="Hyperlink"/>
          </w:rPr>
          <w:t>https://www.cabdirect.org/cabdirect/abstract/20123079622</w:t>
        </w:r>
      </w:hyperlink>
      <w:r w:rsidRPr="00175EB1">
        <w:t xml:space="preserve"> </w:t>
      </w:r>
    </w:p>
    <w:p w14:paraId="431822D4" w14:textId="77777777" w:rsidR="00175EB1" w:rsidRPr="00175EB1" w:rsidRDefault="00175EB1" w:rsidP="00175EB1">
      <w:pPr>
        <w:pStyle w:val="EndNoteBibliography"/>
        <w:ind w:left="720" w:hanging="720"/>
      </w:pPr>
      <w:r w:rsidRPr="00175EB1">
        <w:t xml:space="preserve">Owuor, P. O., Othieno, C. O., Kamau, D. M., Wanyoko, J. K., &amp; Ng'etich, W. K. (2008). Effects of long term fertilizer use on a high yielding tea clone AHP S15/10: Yields. </w:t>
      </w:r>
      <w:r w:rsidRPr="00175EB1">
        <w:rPr>
          <w:i/>
        </w:rPr>
        <w:t>International Journal of Tea Science.</w:t>
      </w:r>
      <w:r w:rsidRPr="00175EB1">
        <w:t>,</w:t>
      </w:r>
      <w:r w:rsidRPr="00175EB1">
        <w:rPr>
          <w:i/>
        </w:rPr>
        <w:t xml:space="preserve"> 7</w:t>
      </w:r>
      <w:r w:rsidRPr="00175EB1">
        <w:t xml:space="preserve">, 19-31. </w:t>
      </w:r>
    </w:p>
    <w:p w14:paraId="79AF0184" w14:textId="0C6CC61A" w:rsidR="00175EB1" w:rsidRPr="00175EB1" w:rsidRDefault="00175EB1" w:rsidP="00175EB1">
      <w:pPr>
        <w:pStyle w:val="EndNoteBibliography"/>
        <w:ind w:left="720" w:hanging="720"/>
      </w:pPr>
      <w:r w:rsidRPr="00175EB1">
        <w:t xml:space="preserve">Owuor, P. O., &amp; Wanyoko, J. K. (1996). Rationalization of nitrogen fertilizer use in tea production. </w:t>
      </w:r>
      <w:r w:rsidRPr="00175EB1">
        <w:rPr>
          <w:i/>
        </w:rPr>
        <w:t>Tea</w:t>
      </w:r>
      <w:r w:rsidRPr="00175EB1">
        <w:t>,</w:t>
      </w:r>
      <w:r w:rsidRPr="00175EB1">
        <w:rPr>
          <w:i/>
        </w:rPr>
        <w:t xml:space="preserve"> </w:t>
      </w:r>
      <w:r w:rsidRPr="00175EB1">
        <w:rPr>
          <w:b/>
          <w:i/>
        </w:rPr>
        <w:t>17</w:t>
      </w:r>
      <w:r w:rsidRPr="00175EB1">
        <w:t xml:space="preserve">, 53-59. </w:t>
      </w:r>
      <w:hyperlink r:id="rId42" w:history="1">
        <w:r w:rsidRPr="00175EB1">
          <w:rPr>
            <w:rStyle w:val="Hyperlink"/>
          </w:rPr>
          <w:t>https://agris.fao.org/agris-search/search.do?recordID=KE9742691</w:t>
        </w:r>
      </w:hyperlink>
      <w:r w:rsidRPr="00175EB1">
        <w:t xml:space="preserve"> </w:t>
      </w:r>
    </w:p>
    <w:p w14:paraId="50EFC66D" w14:textId="77777777" w:rsidR="00175EB1" w:rsidRPr="00175EB1" w:rsidRDefault="00175EB1" w:rsidP="00175EB1">
      <w:pPr>
        <w:pStyle w:val="EndNoteBibliography"/>
        <w:ind w:left="720" w:hanging="720"/>
      </w:pPr>
      <w:r w:rsidRPr="00175EB1">
        <w:t>Owuor, P. O., Wanyoko, J. K., &amp; Othieno, C. O. (1987). The effects of nitrogenous fertiliser on leaf potassium contents of tea,</w:t>
      </w:r>
      <w:r w:rsidRPr="00175EB1">
        <w:rPr>
          <w:i/>
        </w:rPr>
        <w:t xml:space="preserve"> Camellia sinensis</w:t>
      </w:r>
      <w:r w:rsidRPr="00175EB1">
        <w:t xml:space="preserve"> (L) O. Kuntze. </w:t>
      </w:r>
      <w:r w:rsidRPr="00175EB1">
        <w:rPr>
          <w:i/>
        </w:rPr>
        <w:t>Tea</w:t>
      </w:r>
      <w:r w:rsidRPr="00175EB1">
        <w:t>,</w:t>
      </w:r>
      <w:r w:rsidRPr="00175EB1">
        <w:rPr>
          <w:i/>
        </w:rPr>
        <w:t xml:space="preserve"> 8</w:t>
      </w:r>
      <w:r w:rsidRPr="00175EB1">
        <w:t xml:space="preserve">, 4-13. </w:t>
      </w:r>
    </w:p>
    <w:p w14:paraId="15672042" w14:textId="77777777" w:rsidR="00175EB1" w:rsidRPr="00175EB1" w:rsidRDefault="00175EB1" w:rsidP="00175EB1">
      <w:pPr>
        <w:pStyle w:val="EndNoteBibliography"/>
        <w:ind w:left="720" w:hanging="720"/>
      </w:pPr>
      <w:r w:rsidRPr="00175EB1">
        <w:t>Ranganathan, V., &amp; Natesam, S. (1985). Nutrition of tea. Proceedings of International Symposium, Potassium in Agriculture, Madison, Wisconsin, USA.</w:t>
      </w:r>
    </w:p>
    <w:p w14:paraId="5DB497FD" w14:textId="77777777" w:rsidR="00175EB1" w:rsidRPr="00175EB1" w:rsidRDefault="00175EB1" w:rsidP="00175EB1">
      <w:pPr>
        <w:pStyle w:val="EndNoteBibliography"/>
        <w:ind w:left="720" w:hanging="720"/>
      </w:pPr>
      <w:r w:rsidRPr="00175EB1">
        <w:t xml:space="preserve">Roy, R. N., Finck, A., Blair, G. J., &amp; Tandon, H. L. S. (2006). Plant nutrition for food security. In FAO (Ed.), </w:t>
      </w:r>
      <w:r w:rsidRPr="00175EB1">
        <w:rPr>
          <w:i/>
        </w:rPr>
        <w:t>Fertilizer and Plant Nutrition Bulletin, Number 16</w:t>
      </w:r>
      <w:r w:rsidRPr="00175EB1">
        <w:t xml:space="preserve"> (pp. 25-42). FAO. </w:t>
      </w:r>
    </w:p>
    <w:p w14:paraId="524C5DD2" w14:textId="7824F0D3" w:rsidR="00175EB1" w:rsidRPr="00175EB1" w:rsidRDefault="00175EB1" w:rsidP="00175EB1">
      <w:pPr>
        <w:pStyle w:val="EndNoteBibliography"/>
        <w:ind w:left="720" w:hanging="720"/>
      </w:pPr>
      <w:r w:rsidRPr="00175EB1">
        <w:t xml:space="preserve">Ruan, J., Ma, L., &amp; Shi, Y. (2013). Potassium management in tea plantations : Its uptake by field plants, status in soils, and efficacy on yields and quality of tea in China. </w:t>
      </w:r>
      <w:r w:rsidRPr="00175EB1">
        <w:rPr>
          <w:i/>
        </w:rPr>
        <w:t>Journal of Plant Nutrition and Soil Science</w:t>
      </w:r>
      <w:r w:rsidRPr="00175EB1">
        <w:t>,</w:t>
      </w:r>
      <w:r w:rsidRPr="00175EB1">
        <w:rPr>
          <w:i/>
        </w:rPr>
        <w:t xml:space="preserve"> 176</w:t>
      </w:r>
      <w:r w:rsidRPr="00175EB1">
        <w:t xml:space="preserve">(3), 450-459. </w:t>
      </w:r>
      <w:hyperlink r:id="rId43" w:history="1">
        <w:r w:rsidRPr="00175EB1">
          <w:rPr>
            <w:rStyle w:val="Hyperlink"/>
          </w:rPr>
          <w:t>https://doi.org/https://doi.org/10.1002/jpln.201200175</w:t>
        </w:r>
      </w:hyperlink>
      <w:r w:rsidRPr="00175EB1">
        <w:t xml:space="preserve"> </w:t>
      </w:r>
    </w:p>
    <w:p w14:paraId="48395620" w14:textId="77777777" w:rsidR="00175EB1" w:rsidRPr="00175EB1" w:rsidRDefault="00175EB1" w:rsidP="00175EB1">
      <w:pPr>
        <w:pStyle w:val="EndNoteBibliography"/>
        <w:ind w:left="720" w:hanging="720"/>
      </w:pPr>
      <w:r w:rsidRPr="00175EB1">
        <w:t xml:space="preserve">Sandanam, S., Sivasubramaniam, S., &amp; Rajushingham, C. C. (1980). Response of seedling tea to forms and levels of nitrogen fertilizers, levels of potassium and liming in the upcountry tea growing districts of Sri Lanka. </w:t>
      </w:r>
      <w:r w:rsidRPr="00175EB1">
        <w:rPr>
          <w:i/>
        </w:rPr>
        <w:t>Tea Quarterly</w:t>
      </w:r>
      <w:r w:rsidRPr="00175EB1">
        <w:t>,</w:t>
      </w:r>
      <w:r w:rsidRPr="00175EB1">
        <w:rPr>
          <w:i/>
        </w:rPr>
        <w:t xml:space="preserve"> 49</w:t>
      </w:r>
      <w:r w:rsidRPr="00175EB1">
        <w:t xml:space="preserve">(2), 20-29. </w:t>
      </w:r>
    </w:p>
    <w:p w14:paraId="2E54FBAE" w14:textId="77777777" w:rsidR="00175EB1" w:rsidRPr="00175EB1" w:rsidRDefault="00175EB1" w:rsidP="00175EB1">
      <w:pPr>
        <w:pStyle w:val="EndNoteBibliography"/>
        <w:ind w:left="720" w:hanging="720"/>
      </w:pPr>
      <w:r w:rsidRPr="00175EB1">
        <w:t xml:space="preserve">Schroder, J. L., Zhang, H., Richards, J. R., &amp; Payton, M. E. (2010). An inter-laboratory validation of Mehlich- 3 as a universal extractant for plant nutrients. </w:t>
      </w:r>
      <w:r w:rsidRPr="00175EB1">
        <w:rPr>
          <w:i/>
        </w:rPr>
        <w:t>Journal of Aoac International.</w:t>
      </w:r>
      <w:r w:rsidRPr="00175EB1">
        <w:t xml:space="preserve"> </w:t>
      </w:r>
    </w:p>
    <w:p w14:paraId="2094657A" w14:textId="4C4E9332" w:rsidR="00175EB1" w:rsidRPr="00175EB1" w:rsidRDefault="00175EB1" w:rsidP="00175EB1">
      <w:pPr>
        <w:pStyle w:val="EndNoteBibliography"/>
        <w:ind w:left="720" w:hanging="720"/>
      </w:pPr>
      <w:r w:rsidRPr="00175EB1">
        <w:lastRenderedPageBreak/>
        <w:t xml:space="preserve">Shoubo, H. (1989). Meteorology of the tea plant in China: a review. </w:t>
      </w:r>
      <w:r w:rsidRPr="00175EB1">
        <w:rPr>
          <w:i/>
        </w:rPr>
        <w:t>Agricultural and Forest Meteorology</w:t>
      </w:r>
      <w:r w:rsidRPr="00175EB1">
        <w:t>,</w:t>
      </w:r>
      <w:r w:rsidRPr="00175EB1">
        <w:rPr>
          <w:i/>
        </w:rPr>
        <w:t xml:space="preserve"> 47</w:t>
      </w:r>
      <w:r w:rsidRPr="00175EB1">
        <w:t xml:space="preserve">(1), 19-30. </w:t>
      </w:r>
      <w:hyperlink r:id="rId44" w:history="1">
        <w:r w:rsidRPr="00175EB1">
          <w:rPr>
            <w:rStyle w:val="Hyperlink"/>
          </w:rPr>
          <w:t>https://www.sciencedirect.com/science/article/pii/016819238990083X</w:t>
        </w:r>
      </w:hyperlink>
      <w:r w:rsidRPr="00175EB1">
        <w:t xml:space="preserve"> </w:t>
      </w:r>
    </w:p>
    <w:p w14:paraId="03334F3E" w14:textId="77777777" w:rsidR="00175EB1" w:rsidRPr="00175EB1" w:rsidRDefault="00175EB1" w:rsidP="00175EB1">
      <w:pPr>
        <w:pStyle w:val="EndNoteBibliography"/>
        <w:ind w:left="720" w:hanging="720"/>
      </w:pPr>
      <w:r w:rsidRPr="00175EB1">
        <w:t xml:space="preserve">Thu, T. T. T., Nguyen, X. C., &amp; Nguyen, P. H. (2013). Effect of intensive farming levels to soil properties and tea yield in Tan Cuong, Thai Nguyen Province. </w:t>
      </w:r>
      <w:r w:rsidRPr="00175EB1">
        <w:rPr>
          <w:i/>
        </w:rPr>
        <w:t>Journal of Agriculture and Rural Development</w:t>
      </w:r>
      <w:r w:rsidRPr="00175EB1">
        <w:t>,</w:t>
      </w:r>
      <w:r w:rsidRPr="00175EB1">
        <w:rPr>
          <w:i/>
        </w:rPr>
        <w:t xml:space="preserve"> 3</w:t>
      </w:r>
      <w:r w:rsidRPr="00175EB1">
        <w:t xml:space="preserve">, 56-61. </w:t>
      </w:r>
    </w:p>
    <w:p w14:paraId="0553CA37" w14:textId="77777777" w:rsidR="00175EB1" w:rsidRPr="00175EB1" w:rsidRDefault="00175EB1" w:rsidP="00175EB1">
      <w:pPr>
        <w:pStyle w:val="EndNoteBibliography"/>
        <w:ind w:left="720" w:hanging="720"/>
      </w:pPr>
      <w:r w:rsidRPr="00175EB1">
        <w:t xml:space="preserve">TRFK. (2002). </w:t>
      </w:r>
      <w:r w:rsidRPr="00175EB1">
        <w:rPr>
          <w:i/>
        </w:rPr>
        <w:t>Tea Growers Handbook</w:t>
      </w:r>
      <w:r w:rsidRPr="00175EB1">
        <w:t xml:space="preserve"> (5th ed.). Tea Research Foundation of Kenya. </w:t>
      </w:r>
    </w:p>
    <w:p w14:paraId="502ECCDF" w14:textId="77777777" w:rsidR="00175EB1" w:rsidRPr="00175EB1" w:rsidRDefault="00175EB1" w:rsidP="00175EB1">
      <w:pPr>
        <w:pStyle w:val="EndNoteBibliography"/>
        <w:ind w:left="720" w:hanging="720"/>
      </w:pPr>
      <w:r w:rsidRPr="00175EB1">
        <w:t xml:space="preserve">Verma, D. P., Palani, N., Balasubramaniam, K., Kumaraguru, R., Venkatesan, S., &amp; Ganapathy, M. N. K. (2001). Nutritional management of tea for sustainable productivity in South India. </w:t>
      </w:r>
      <w:r w:rsidRPr="00175EB1">
        <w:rPr>
          <w:i/>
        </w:rPr>
        <w:t>The Planters Chronicle</w:t>
      </w:r>
      <w:r w:rsidRPr="00175EB1">
        <w:t xml:space="preserve">, 215-227. </w:t>
      </w:r>
    </w:p>
    <w:p w14:paraId="4C88030A" w14:textId="77777777" w:rsidR="00175EB1" w:rsidRPr="00175EB1" w:rsidRDefault="00175EB1" w:rsidP="00175EB1">
      <w:pPr>
        <w:pStyle w:val="EndNoteBibliography"/>
        <w:ind w:left="720" w:hanging="720"/>
      </w:pPr>
      <w:r w:rsidRPr="00175EB1">
        <w:t xml:space="preserve">Wang, X. J., Hu, X. F., &amp; Chen, H. Z. (1997). Some biogeochemical characteristics of tea soils. </w:t>
      </w:r>
      <w:r w:rsidRPr="00175EB1">
        <w:rPr>
          <w:i/>
        </w:rPr>
        <w:t>Pedosphere</w:t>
      </w:r>
      <w:r w:rsidRPr="00175EB1">
        <w:t>,</w:t>
      </w:r>
      <w:r w:rsidRPr="00175EB1">
        <w:rPr>
          <w:i/>
        </w:rPr>
        <w:t xml:space="preserve"> 7</w:t>
      </w:r>
      <w:r w:rsidRPr="00175EB1">
        <w:t xml:space="preserve">(3), 275-280. </w:t>
      </w:r>
    </w:p>
    <w:p w14:paraId="17D070D7" w14:textId="77777777" w:rsidR="00175EB1" w:rsidRPr="00175EB1" w:rsidRDefault="00175EB1" w:rsidP="00175EB1">
      <w:pPr>
        <w:pStyle w:val="EndNoteBibliography"/>
        <w:ind w:left="720" w:hanging="720"/>
      </w:pPr>
      <w:r w:rsidRPr="00175EB1">
        <w:t xml:space="preserve">Wanyoko, J. K., Owuor, P. O., &amp; Othieno, C. O. (1992). Ammonium and magnesium sulphates fertilisers on moribund tea. II. Effects on soil chemical properties and plant nutrient uptake. </w:t>
      </w:r>
      <w:r w:rsidRPr="00175EB1">
        <w:rPr>
          <w:i/>
        </w:rPr>
        <w:t>Tea</w:t>
      </w:r>
      <w:r w:rsidRPr="00175EB1">
        <w:t>,</w:t>
      </w:r>
      <w:r w:rsidRPr="00175EB1">
        <w:rPr>
          <w:i/>
        </w:rPr>
        <w:t xml:space="preserve"> 13</w:t>
      </w:r>
      <w:r w:rsidRPr="00175EB1">
        <w:t xml:space="preserve">, 91-99. </w:t>
      </w:r>
    </w:p>
    <w:p w14:paraId="19EB2A69" w14:textId="5066EE4A" w:rsidR="0019474E" w:rsidRPr="00582808" w:rsidRDefault="008F1582" w:rsidP="00B438A8">
      <w:pPr>
        <w:pStyle w:val="EndNoteBibliography"/>
        <w:ind w:left="720" w:hanging="720"/>
        <w:rPr>
          <w:i/>
          <w:szCs w:val="24"/>
          <w:lang w:val="en-GB"/>
        </w:rPr>
      </w:pPr>
      <w:r w:rsidRPr="00582808">
        <w:rPr>
          <w:b/>
          <w:szCs w:val="24"/>
          <w:lang w:val="en-GB"/>
        </w:rPr>
        <w:fldChar w:fldCharType="end"/>
      </w:r>
    </w:p>
    <w:sectPr w:rsidR="0019474E" w:rsidRPr="00582808" w:rsidSect="00677121">
      <w:headerReference w:type="even" r:id="rId45"/>
      <w:headerReference w:type="default" r:id="rId46"/>
      <w:footerReference w:type="even" r:id="rId47"/>
      <w:footerReference w:type="default" r:id="rId48"/>
      <w:headerReference w:type="first" r:id="rId49"/>
      <w:footerReference w:type="first" r:id="rId50"/>
      <w:pgSz w:w="11909" w:h="16834" w:code="9"/>
      <w:pgMar w:top="1134" w:right="1134" w:bottom="1134" w:left="1134" w:header="272" w:footer="720" w:gutter="0"/>
      <w:pgNumType w:start="10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F98BE" w14:textId="77777777" w:rsidR="00540BE8" w:rsidRDefault="00540BE8">
      <w:r>
        <w:separator/>
      </w:r>
    </w:p>
  </w:endnote>
  <w:endnote w:type="continuationSeparator" w:id="0">
    <w:p w14:paraId="7C548777" w14:textId="77777777" w:rsidR="00540BE8" w:rsidRDefault="0054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MT2SY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EE956" w14:textId="77777777" w:rsidR="00F72B07" w:rsidRDefault="00F72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5D66" w14:textId="77777777" w:rsidR="00F72B07" w:rsidRDefault="00F72B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10E67" w14:textId="77777777" w:rsidR="00D568D7" w:rsidRDefault="00D568D7">
    <w:pPr>
      <w:pStyle w:val="Footer"/>
      <w:jc w:val="center"/>
    </w:pPr>
    <w:r>
      <w:fldChar w:fldCharType="begin"/>
    </w:r>
    <w:r>
      <w:instrText xml:space="preserve"> PAGE   \* MERGEFORMAT </w:instrText>
    </w:r>
    <w:r>
      <w:fldChar w:fldCharType="separate"/>
    </w:r>
    <w:r>
      <w:rPr>
        <w:noProof/>
      </w:rPr>
      <w:t>i</w:t>
    </w:r>
    <w:r>
      <w:rPr>
        <w:noProof/>
      </w:rPr>
      <w:fldChar w:fldCharType="end"/>
    </w:r>
  </w:p>
  <w:p w14:paraId="46022975" w14:textId="77777777" w:rsidR="00D568D7" w:rsidRDefault="00D56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622D8" w14:textId="77777777" w:rsidR="00540BE8" w:rsidRDefault="00540BE8">
      <w:r>
        <w:separator/>
      </w:r>
    </w:p>
  </w:footnote>
  <w:footnote w:type="continuationSeparator" w:id="0">
    <w:p w14:paraId="27A513AF" w14:textId="77777777" w:rsidR="00540BE8" w:rsidRDefault="00540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9B3DD" w14:textId="04D38FAB" w:rsidR="00F72B07" w:rsidRDefault="00F72B07">
    <w:pPr>
      <w:pStyle w:val="Header"/>
    </w:pPr>
    <w:r>
      <w:rPr>
        <w:noProof/>
      </w:rPr>
      <w:pict w14:anchorId="0E379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2369360" o:spid="_x0000_s2050" type="#_x0000_t136" style="position:absolute;left:0;text-align:left;margin-left:0;margin-top:0;width:610.75pt;height:68.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791C8" w14:textId="3AEB2336" w:rsidR="00D568D7" w:rsidRPr="00A14510" w:rsidRDefault="00F72B07">
    <w:pPr>
      <w:pStyle w:val="Header"/>
      <w:jc w:val="center"/>
    </w:pPr>
    <w:r>
      <w:rPr>
        <w:noProof/>
      </w:rPr>
      <w:pict w14:anchorId="4200FC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2369361" o:spid="_x0000_s2051" type="#_x0000_t136" style="position:absolute;left:0;text-align:left;margin-left:0;margin-top:0;width:610.75pt;height:68.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C98D0" w14:textId="14B30F36" w:rsidR="00F72B07" w:rsidRDefault="00F72B07">
    <w:pPr>
      <w:pStyle w:val="Header"/>
    </w:pPr>
    <w:r>
      <w:rPr>
        <w:noProof/>
      </w:rPr>
      <w:pict w14:anchorId="18371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2369359" o:spid="_x0000_s2049" type="#_x0000_t136" style="position:absolute;left:0;text-align:left;margin-left:0;margin-top:0;width:610.75pt;height:68.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6221E"/>
    <w:multiLevelType w:val="multilevel"/>
    <w:tmpl w:val="12D602C2"/>
    <w:lvl w:ilvl="0">
      <w:start w:val="5"/>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 w15:restartNumberingAfterBreak="0">
    <w:nsid w:val="06CE3B01"/>
    <w:multiLevelType w:val="hybridMultilevel"/>
    <w:tmpl w:val="CA0A9278"/>
    <w:lvl w:ilvl="0" w:tplc="A5040BE6">
      <w:start w:val="1"/>
      <w:numFmt w:val="bullet"/>
      <w:lvlText w:val=""/>
      <w:lvlJc w:val="left"/>
      <w:pPr>
        <w:tabs>
          <w:tab w:val="num" w:pos="720"/>
        </w:tabs>
        <w:ind w:left="720" w:hanging="360"/>
      </w:pPr>
      <w:rPr>
        <w:rFonts w:ascii="Wingdings 3" w:hAnsi="Wingdings 3" w:hint="default"/>
      </w:rPr>
    </w:lvl>
    <w:lvl w:ilvl="1" w:tplc="FB4AD994" w:tentative="1">
      <w:start w:val="1"/>
      <w:numFmt w:val="bullet"/>
      <w:lvlText w:val=""/>
      <w:lvlJc w:val="left"/>
      <w:pPr>
        <w:tabs>
          <w:tab w:val="num" w:pos="1440"/>
        </w:tabs>
        <w:ind w:left="1440" w:hanging="360"/>
      </w:pPr>
      <w:rPr>
        <w:rFonts w:ascii="Wingdings 3" w:hAnsi="Wingdings 3" w:hint="default"/>
      </w:rPr>
    </w:lvl>
    <w:lvl w:ilvl="2" w:tplc="A18AD138" w:tentative="1">
      <w:start w:val="1"/>
      <w:numFmt w:val="bullet"/>
      <w:lvlText w:val=""/>
      <w:lvlJc w:val="left"/>
      <w:pPr>
        <w:tabs>
          <w:tab w:val="num" w:pos="2160"/>
        </w:tabs>
        <w:ind w:left="2160" w:hanging="360"/>
      </w:pPr>
      <w:rPr>
        <w:rFonts w:ascii="Wingdings 3" w:hAnsi="Wingdings 3" w:hint="default"/>
      </w:rPr>
    </w:lvl>
    <w:lvl w:ilvl="3" w:tplc="0A884C78" w:tentative="1">
      <w:start w:val="1"/>
      <w:numFmt w:val="bullet"/>
      <w:lvlText w:val=""/>
      <w:lvlJc w:val="left"/>
      <w:pPr>
        <w:tabs>
          <w:tab w:val="num" w:pos="2880"/>
        </w:tabs>
        <w:ind w:left="2880" w:hanging="360"/>
      </w:pPr>
      <w:rPr>
        <w:rFonts w:ascii="Wingdings 3" w:hAnsi="Wingdings 3" w:hint="default"/>
      </w:rPr>
    </w:lvl>
    <w:lvl w:ilvl="4" w:tplc="E7740CC6" w:tentative="1">
      <w:start w:val="1"/>
      <w:numFmt w:val="bullet"/>
      <w:lvlText w:val=""/>
      <w:lvlJc w:val="left"/>
      <w:pPr>
        <w:tabs>
          <w:tab w:val="num" w:pos="3600"/>
        </w:tabs>
        <w:ind w:left="3600" w:hanging="360"/>
      </w:pPr>
      <w:rPr>
        <w:rFonts w:ascii="Wingdings 3" w:hAnsi="Wingdings 3" w:hint="default"/>
      </w:rPr>
    </w:lvl>
    <w:lvl w:ilvl="5" w:tplc="54141516" w:tentative="1">
      <w:start w:val="1"/>
      <w:numFmt w:val="bullet"/>
      <w:lvlText w:val=""/>
      <w:lvlJc w:val="left"/>
      <w:pPr>
        <w:tabs>
          <w:tab w:val="num" w:pos="4320"/>
        </w:tabs>
        <w:ind w:left="4320" w:hanging="360"/>
      </w:pPr>
      <w:rPr>
        <w:rFonts w:ascii="Wingdings 3" w:hAnsi="Wingdings 3" w:hint="default"/>
      </w:rPr>
    </w:lvl>
    <w:lvl w:ilvl="6" w:tplc="5FC2005E" w:tentative="1">
      <w:start w:val="1"/>
      <w:numFmt w:val="bullet"/>
      <w:lvlText w:val=""/>
      <w:lvlJc w:val="left"/>
      <w:pPr>
        <w:tabs>
          <w:tab w:val="num" w:pos="5040"/>
        </w:tabs>
        <w:ind w:left="5040" w:hanging="360"/>
      </w:pPr>
      <w:rPr>
        <w:rFonts w:ascii="Wingdings 3" w:hAnsi="Wingdings 3" w:hint="default"/>
      </w:rPr>
    </w:lvl>
    <w:lvl w:ilvl="7" w:tplc="8B48CD78" w:tentative="1">
      <w:start w:val="1"/>
      <w:numFmt w:val="bullet"/>
      <w:lvlText w:val=""/>
      <w:lvlJc w:val="left"/>
      <w:pPr>
        <w:tabs>
          <w:tab w:val="num" w:pos="5760"/>
        </w:tabs>
        <w:ind w:left="5760" w:hanging="360"/>
      </w:pPr>
      <w:rPr>
        <w:rFonts w:ascii="Wingdings 3" w:hAnsi="Wingdings 3" w:hint="default"/>
      </w:rPr>
    </w:lvl>
    <w:lvl w:ilvl="8" w:tplc="F930301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EA864E0"/>
    <w:multiLevelType w:val="hybridMultilevel"/>
    <w:tmpl w:val="6F245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03384"/>
    <w:multiLevelType w:val="hybridMultilevel"/>
    <w:tmpl w:val="C9EC1A84"/>
    <w:lvl w:ilvl="0" w:tplc="8378261E">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32A71F6"/>
    <w:multiLevelType w:val="hybridMultilevel"/>
    <w:tmpl w:val="238C0FA8"/>
    <w:lvl w:ilvl="0" w:tplc="6F2452C0">
      <w:start w:val="2"/>
      <w:numFmt w:val="upperRoman"/>
      <w:lvlText w:val="%1."/>
      <w:lvlJc w:val="left"/>
      <w:pPr>
        <w:ind w:left="2790" w:hanging="72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 w15:restartNumberingAfterBreak="0">
    <w:nsid w:val="18360D8A"/>
    <w:multiLevelType w:val="hybridMultilevel"/>
    <w:tmpl w:val="F5740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041D6"/>
    <w:multiLevelType w:val="hybridMultilevel"/>
    <w:tmpl w:val="BB3E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C5648"/>
    <w:multiLevelType w:val="hybridMultilevel"/>
    <w:tmpl w:val="9B8279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873699"/>
    <w:multiLevelType w:val="hybridMultilevel"/>
    <w:tmpl w:val="388833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D3EC6"/>
    <w:multiLevelType w:val="hybridMultilevel"/>
    <w:tmpl w:val="B1126B6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2BC42DDE"/>
    <w:multiLevelType w:val="hybridMultilevel"/>
    <w:tmpl w:val="B068FCD8"/>
    <w:lvl w:ilvl="0" w:tplc="70CCBDC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6468D9"/>
    <w:multiLevelType w:val="hybridMultilevel"/>
    <w:tmpl w:val="8D92C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B65EF"/>
    <w:multiLevelType w:val="hybridMultilevel"/>
    <w:tmpl w:val="BE9858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4516CC"/>
    <w:multiLevelType w:val="hybridMultilevel"/>
    <w:tmpl w:val="E3C6AA0C"/>
    <w:lvl w:ilvl="0" w:tplc="A59E3D7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5D24F7"/>
    <w:multiLevelType w:val="hybridMultilevel"/>
    <w:tmpl w:val="52029818"/>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35C17539"/>
    <w:multiLevelType w:val="multilevel"/>
    <w:tmpl w:val="09FC56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C42EB3"/>
    <w:multiLevelType w:val="hybridMultilevel"/>
    <w:tmpl w:val="AF8401B8"/>
    <w:lvl w:ilvl="0" w:tplc="0409001B">
      <w:start w:val="1"/>
      <w:numFmt w:val="lowerRoman"/>
      <w:lvlText w:val="%1."/>
      <w:lvlJc w:val="righ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7" w15:restartNumberingAfterBreak="0">
    <w:nsid w:val="3B3A4E77"/>
    <w:multiLevelType w:val="hybridMultilevel"/>
    <w:tmpl w:val="E9F27F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74387D"/>
    <w:multiLevelType w:val="multilevel"/>
    <w:tmpl w:val="877C09F4"/>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51071A"/>
    <w:multiLevelType w:val="hybridMultilevel"/>
    <w:tmpl w:val="41DC2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662F74"/>
    <w:multiLevelType w:val="hybridMultilevel"/>
    <w:tmpl w:val="659EED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8C194C"/>
    <w:multiLevelType w:val="hybridMultilevel"/>
    <w:tmpl w:val="525045C2"/>
    <w:lvl w:ilvl="0" w:tplc="AC3E30C6">
      <w:start w:val="1"/>
      <w:numFmt w:val="bullet"/>
      <w:lvlText w:val=""/>
      <w:lvlJc w:val="left"/>
      <w:pPr>
        <w:tabs>
          <w:tab w:val="num" w:pos="720"/>
        </w:tabs>
        <w:ind w:left="720" w:hanging="360"/>
      </w:pPr>
      <w:rPr>
        <w:rFonts w:ascii="Wingdings 3" w:hAnsi="Wingdings 3" w:hint="default"/>
      </w:rPr>
    </w:lvl>
    <w:lvl w:ilvl="1" w:tplc="8672494C" w:tentative="1">
      <w:start w:val="1"/>
      <w:numFmt w:val="bullet"/>
      <w:lvlText w:val=""/>
      <w:lvlJc w:val="left"/>
      <w:pPr>
        <w:tabs>
          <w:tab w:val="num" w:pos="1440"/>
        </w:tabs>
        <w:ind w:left="1440" w:hanging="360"/>
      </w:pPr>
      <w:rPr>
        <w:rFonts w:ascii="Wingdings 3" w:hAnsi="Wingdings 3" w:hint="default"/>
      </w:rPr>
    </w:lvl>
    <w:lvl w:ilvl="2" w:tplc="611CD598" w:tentative="1">
      <w:start w:val="1"/>
      <w:numFmt w:val="bullet"/>
      <w:lvlText w:val=""/>
      <w:lvlJc w:val="left"/>
      <w:pPr>
        <w:tabs>
          <w:tab w:val="num" w:pos="2160"/>
        </w:tabs>
        <w:ind w:left="2160" w:hanging="360"/>
      </w:pPr>
      <w:rPr>
        <w:rFonts w:ascii="Wingdings 3" w:hAnsi="Wingdings 3" w:hint="default"/>
      </w:rPr>
    </w:lvl>
    <w:lvl w:ilvl="3" w:tplc="E7C29C4C" w:tentative="1">
      <w:start w:val="1"/>
      <w:numFmt w:val="bullet"/>
      <w:lvlText w:val=""/>
      <w:lvlJc w:val="left"/>
      <w:pPr>
        <w:tabs>
          <w:tab w:val="num" w:pos="2880"/>
        </w:tabs>
        <w:ind w:left="2880" w:hanging="360"/>
      </w:pPr>
      <w:rPr>
        <w:rFonts w:ascii="Wingdings 3" w:hAnsi="Wingdings 3" w:hint="default"/>
      </w:rPr>
    </w:lvl>
    <w:lvl w:ilvl="4" w:tplc="82EABA44" w:tentative="1">
      <w:start w:val="1"/>
      <w:numFmt w:val="bullet"/>
      <w:lvlText w:val=""/>
      <w:lvlJc w:val="left"/>
      <w:pPr>
        <w:tabs>
          <w:tab w:val="num" w:pos="3600"/>
        </w:tabs>
        <w:ind w:left="3600" w:hanging="360"/>
      </w:pPr>
      <w:rPr>
        <w:rFonts w:ascii="Wingdings 3" w:hAnsi="Wingdings 3" w:hint="default"/>
      </w:rPr>
    </w:lvl>
    <w:lvl w:ilvl="5" w:tplc="4F783D6A" w:tentative="1">
      <w:start w:val="1"/>
      <w:numFmt w:val="bullet"/>
      <w:lvlText w:val=""/>
      <w:lvlJc w:val="left"/>
      <w:pPr>
        <w:tabs>
          <w:tab w:val="num" w:pos="4320"/>
        </w:tabs>
        <w:ind w:left="4320" w:hanging="360"/>
      </w:pPr>
      <w:rPr>
        <w:rFonts w:ascii="Wingdings 3" w:hAnsi="Wingdings 3" w:hint="default"/>
      </w:rPr>
    </w:lvl>
    <w:lvl w:ilvl="6" w:tplc="99E8D07C" w:tentative="1">
      <w:start w:val="1"/>
      <w:numFmt w:val="bullet"/>
      <w:lvlText w:val=""/>
      <w:lvlJc w:val="left"/>
      <w:pPr>
        <w:tabs>
          <w:tab w:val="num" w:pos="5040"/>
        </w:tabs>
        <w:ind w:left="5040" w:hanging="360"/>
      </w:pPr>
      <w:rPr>
        <w:rFonts w:ascii="Wingdings 3" w:hAnsi="Wingdings 3" w:hint="default"/>
      </w:rPr>
    </w:lvl>
    <w:lvl w:ilvl="7" w:tplc="DD801422" w:tentative="1">
      <w:start w:val="1"/>
      <w:numFmt w:val="bullet"/>
      <w:lvlText w:val=""/>
      <w:lvlJc w:val="left"/>
      <w:pPr>
        <w:tabs>
          <w:tab w:val="num" w:pos="5760"/>
        </w:tabs>
        <w:ind w:left="5760" w:hanging="360"/>
      </w:pPr>
      <w:rPr>
        <w:rFonts w:ascii="Wingdings 3" w:hAnsi="Wingdings 3" w:hint="default"/>
      </w:rPr>
    </w:lvl>
    <w:lvl w:ilvl="8" w:tplc="BE868CF6"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47525D1F"/>
    <w:multiLevelType w:val="hybridMultilevel"/>
    <w:tmpl w:val="6848F43A"/>
    <w:lvl w:ilvl="0" w:tplc="02EEB8A4">
      <w:start w:val="1"/>
      <w:numFmt w:val="bullet"/>
      <w:lvlText w:val=""/>
      <w:lvlJc w:val="left"/>
      <w:pPr>
        <w:tabs>
          <w:tab w:val="num" w:pos="720"/>
        </w:tabs>
        <w:ind w:left="720" w:hanging="360"/>
      </w:pPr>
      <w:rPr>
        <w:rFonts w:ascii="Wingdings 3" w:hAnsi="Wingdings 3" w:hint="default"/>
      </w:rPr>
    </w:lvl>
    <w:lvl w:ilvl="1" w:tplc="20968474" w:tentative="1">
      <w:start w:val="1"/>
      <w:numFmt w:val="bullet"/>
      <w:lvlText w:val=""/>
      <w:lvlJc w:val="left"/>
      <w:pPr>
        <w:tabs>
          <w:tab w:val="num" w:pos="1440"/>
        </w:tabs>
        <w:ind w:left="1440" w:hanging="360"/>
      </w:pPr>
      <w:rPr>
        <w:rFonts w:ascii="Wingdings 3" w:hAnsi="Wingdings 3" w:hint="default"/>
      </w:rPr>
    </w:lvl>
    <w:lvl w:ilvl="2" w:tplc="DCA41748" w:tentative="1">
      <w:start w:val="1"/>
      <w:numFmt w:val="bullet"/>
      <w:lvlText w:val=""/>
      <w:lvlJc w:val="left"/>
      <w:pPr>
        <w:tabs>
          <w:tab w:val="num" w:pos="2160"/>
        </w:tabs>
        <w:ind w:left="2160" w:hanging="360"/>
      </w:pPr>
      <w:rPr>
        <w:rFonts w:ascii="Wingdings 3" w:hAnsi="Wingdings 3" w:hint="default"/>
      </w:rPr>
    </w:lvl>
    <w:lvl w:ilvl="3" w:tplc="A4168866" w:tentative="1">
      <w:start w:val="1"/>
      <w:numFmt w:val="bullet"/>
      <w:lvlText w:val=""/>
      <w:lvlJc w:val="left"/>
      <w:pPr>
        <w:tabs>
          <w:tab w:val="num" w:pos="2880"/>
        </w:tabs>
        <w:ind w:left="2880" w:hanging="360"/>
      </w:pPr>
      <w:rPr>
        <w:rFonts w:ascii="Wingdings 3" w:hAnsi="Wingdings 3" w:hint="default"/>
      </w:rPr>
    </w:lvl>
    <w:lvl w:ilvl="4" w:tplc="258A6C04" w:tentative="1">
      <w:start w:val="1"/>
      <w:numFmt w:val="bullet"/>
      <w:lvlText w:val=""/>
      <w:lvlJc w:val="left"/>
      <w:pPr>
        <w:tabs>
          <w:tab w:val="num" w:pos="3600"/>
        </w:tabs>
        <w:ind w:left="3600" w:hanging="360"/>
      </w:pPr>
      <w:rPr>
        <w:rFonts w:ascii="Wingdings 3" w:hAnsi="Wingdings 3" w:hint="default"/>
      </w:rPr>
    </w:lvl>
    <w:lvl w:ilvl="5" w:tplc="6D921260" w:tentative="1">
      <w:start w:val="1"/>
      <w:numFmt w:val="bullet"/>
      <w:lvlText w:val=""/>
      <w:lvlJc w:val="left"/>
      <w:pPr>
        <w:tabs>
          <w:tab w:val="num" w:pos="4320"/>
        </w:tabs>
        <w:ind w:left="4320" w:hanging="360"/>
      </w:pPr>
      <w:rPr>
        <w:rFonts w:ascii="Wingdings 3" w:hAnsi="Wingdings 3" w:hint="default"/>
      </w:rPr>
    </w:lvl>
    <w:lvl w:ilvl="6" w:tplc="74BCBEAA" w:tentative="1">
      <w:start w:val="1"/>
      <w:numFmt w:val="bullet"/>
      <w:lvlText w:val=""/>
      <w:lvlJc w:val="left"/>
      <w:pPr>
        <w:tabs>
          <w:tab w:val="num" w:pos="5040"/>
        </w:tabs>
        <w:ind w:left="5040" w:hanging="360"/>
      </w:pPr>
      <w:rPr>
        <w:rFonts w:ascii="Wingdings 3" w:hAnsi="Wingdings 3" w:hint="default"/>
      </w:rPr>
    </w:lvl>
    <w:lvl w:ilvl="7" w:tplc="2D3CC160" w:tentative="1">
      <w:start w:val="1"/>
      <w:numFmt w:val="bullet"/>
      <w:lvlText w:val=""/>
      <w:lvlJc w:val="left"/>
      <w:pPr>
        <w:tabs>
          <w:tab w:val="num" w:pos="5760"/>
        </w:tabs>
        <w:ind w:left="5760" w:hanging="360"/>
      </w:pPr>
      <w:rPr>
        <w:rFonts w:ascii="Wingdings 3" w:hAnsi="Wingdings 3" w:hint="default"/>
      </w:rPr>
    </w:lvl>
    <w:lvl w:ilvl="8" w:tplc="3A3A0C86"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4B47240F"/>
    <w:multiLevelType w:val="multilevel"/>
    <w:tmpl w:val="C00CFF68"/>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BDF6DD6"/>
    <w:multiLevelType w:val="hybridMultilevel"/>
    <w:tmpl w:val="8A961F88"/>
    <w:lvl w:ilvl="0" w:tplc="3676C492">
      <w:start w:val="2"/>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515204B2"/>
    <w:multiLevelType w:val="hybridMultilevel"/>
    <w:tmpl w:val="AB2C5284"/>
    <w:lvl w:ilvl="0" w:tplc="D142579E">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15:restartNumberingAfterBreak="0">
    <w:nsid w:val="52F37496"/>
    <w:multiLevelType w:val="hybridMultilevel"/>
    <w:tmpl w:val="9822D9FE"/>
    <w:lvl w:ilvl="0" w:tplc="E71A77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6C07FB"/>
    <w:multiLevelType w:val="hybridMultilevel"/>
    <w:tmpl w:val="B2389F24"/>
    <w:lvl w:ilvl="0" w:tplc="A23EB5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642954"/>
    <w:multiLevelType w:val="multilevel"/>
    <w:tmpl w:val="67D854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5041080"/>
    <w:multiLevelType w:val="hybridMultilevel"/>
    <w:tmpl w:val="79D41F66"/>
    <w:lvl w:ilvl="0" w:tplc="04687B3E">
      <w:start w:val="1"/>
      <w:numFmt w:val="bullet"/>
      <w:lvlText w:val=""/>
      <w:lvlJc w:val="left"/>
      <w:pPr>
        <w:tabs>
          <w:tab w:val="num" w:pos="720"/>
        </w:tabs>
        <w:ind w:left="720" w:hanging="360"/>
      </w:pPr>
      <w:rPr>
        <w:rFonts w:ascii="Wingdings 3" w:hAnsi="Wingdings 3" w:hint="default"/>
      </w:rPr>
    </w:lvl>
    <w:lvl w:ilvl="1" w:tplc="9634E416" w:tentative="1">
      <w:start w:val="1"/>
      <w:numFmt w:val="bullet"/>
      <w:lvlText w:val=""/>
      <w:lvlJc w:val="left"/>
      <w:pPr>
        <w:tabs>
          <w:tab w:val="num" w:pos="1440"/>
        </w:tabs>
        <w:ind w:left="1440" w:hanging="360"/>
      </w:pPr>
      <w:rPr>
        <w:rFonts w:ascii="Wingdings 3" w:hAnsi="Wingdings 3" w:hint="default"/>
      </w:rPr>
    </w:lvl>
    <w:lvl w:ilvl="2" w:tplc="BE6CD5B2" w:tentative="1">
      <w:start w:val="1"/>
      <w:numFmt w:val="bullet"/>
      <w:lvlText w:val=""/>
      <w:lvlJc w:val="left"/>
      <w:pPr>
        <w:tabs>
          <w:tab w:val="num" w:pos="2160"/>
        </w:tabs>
        <w:ind w:left="2160" w:hanging="360"/>
      </w:pPr>
      <w:rPr>
        <w:rFonts w:ascii="Wingdings 3" w:hAnsi="Wingdings 3" w:hint="default"/>
      </w:rPr>
    </w:lvl>
    <w:lvl w:ilvl="3" w:tplc="AF7E1D1E" w:tentative="1">
      <w:start w:val="1"/>
      <w:numFmt w:val="bullet"/>
      <w:lvlText w:val=""/>
      <w:lvlJc w:val="left"/>
      <w:pPr>
        <w:tabs>
          <w:tab w:val="num" w:pos="2880"/>
        </w:tabs>
        <w:ind w:left="2880" w:hanging="360"/>
      </w:pPr>
      <w:rPr>
        <w:rFonts w:ascii="Wingdings 3" w:hAnsi="Wingdings 3" w:hint="default"/>
      </w:rPr>
    </w:lvl>
    <w:lvl w:ilvl="4" w:tplc="8480BC20" w:tentative="1">
      <w:start w:val="1"/>
      <w:numFmt w:val="bullet"/>
      <w:lvlText w:val=""/>
      <w:lvlJc w:val="left"/>
      <w:pPr>
        <w:tabs>
          <w:tab w:val="num" w:pos="3600"/>
        </w:tabs>
        <w:ind w:left="3600" w:hanging="360"/>
      </w:pPr>
      <w:rPr>
        <w:rFonts w:ascii="Wingdings 3" w:hAnsi="Wingdings 3" w:hint="default"/>
      </w:rPr>
    </w:lvl>
    <w:lvl w:ilvl="5" w:tplc="A36E5AA4" w:tentative="1">
      <w:start w:val="1"/>
      <w:numFmt w:val="bullet"/>
      <w:lvlText w:val=""/>
      <w:lvlJc w:val="left"/>
      <w:pPr>
        <w:tabs>
          <w:tab w:val="num" w:pos="4320"/>
        </w:tabs>
        <w:ind w:left="4320" w:hanging="360"/>
      </w:pPr>
      <w:rPr>
        <w:rFonts w:ascii="Wingdings 3" w:hAnsi="Wingdings 3" w:hint="default"/>
      </w:rPr>
    </w:lvl>
    <w:lvl w:ilvl="6" w:tplc="B64E3FD2" w:tentative="1">
      <w:start w:val="1"/>
      <w:numFmt w:val="bullet"/>
      <w:lvlText w:val=""/>
      <w:lvlJc w:val="left"/>
      <w:pPr>
        <w:tabs>
          <w:tab w:val="num" w:pos="5040"/>
        </w:tabs>
        <w:ind w:left="5040" w:hanging="360"/>
      </w:pPr>
      <w:rPr>
        <w:rFonts w:ascii="Wingdings 3" w:hAnsi="Wingdings 3" w:hint="default"/>
      </w:rPr>
    </w:lvl>
    <w:lvl w:ilvl="7" w:tplc="E0A48C9C" w:tentative="1">
      <w:start w:val="1"/>
      <w:numFmt w:val="bullet"/>
      <w:lvlText w:val=""/>
      <w:lvlJc w:val="left"/>
      <w:pPr>
        <w:tabs>
          <w:tab w:val="num" w:pos="5760"/>
        </w:tabs>
        <w:ind w:left="5760" w:hanging="360"/>
      </w:pPr>
      <w:rPr>
        <w:rFonts w:ascii="Wingdings 3" w:hAnsi="Wingdings 3" w:hint="default"/>
      </w:rPr>
    </w:lvl>
    <w:lvl w:ilvl="8" w:tplc="D3E0ED0E"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6B765233"/>
    <w:multiLevelType w:val="hybridMultilevel"/>
    <w:tmpl w:val="17323A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826E57"/>
    <w:multiLevelType w:val="hybridMultilevel"/>
    <w:tmpl w:val="1AF473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E76A65"/>
    <w:multiLevelType w:val="hybridMultilevel"/>
    <w:tmpl w:val="C2C212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8"/>
  </w:num>
  <w:num w:numId="3">
    <w:abstractNumId w:val="12"/>
  </w:num>
  <w:num w:numId="4">
    <w:abstractNumId w:val="20"/>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7"/>
  </w:num>
  <w:num w:numId="9">
    <w:abstractNumId w:val="27"/>
  </w:num>
  <w:num w:numId="10">
    <w:abstractNumId w:val="30"/>
  </w:num>
  <w:num w:numId="11">
    <w:abstractNumId w:val="18"/>
  </w:num>
  <w:num w:numId="12">
    <w:abstractNumId w:val="19"/>
  </w:num>
  <w:num w:numId="13">
    <w:abstractNumId w:val="2"/>
  </w:num>
  <w:num w:numId="14">
    <w:abstractNumId w:val="25"/>
  </w:num>
  <w:num w:numId="15">
    <w:abstractNumId w:val="5"/>
  </w:num>
  <w:num w:numId="16">
    <w:abstractNumId w:val="11"/>
  </w:num>
  <w:num w:numId="17">
    <w:abstractNumId w:val="10"/>
  </w:num>
  <w:num w:numId="18">
    <w:abstractNumId w:val="32"/>
  </w:num>
  <w:num w:numId="19">
    <w:abstractNumId w:val="7"/>
  </w:num>
  <w:num w:numId="20">
    <w:abstractNumId w:val="16"/>
  </w:num>
  <w:num w:numId="21">
    <w:abstractNumId w:val="6"/>
  </w:num>
  <w:num w:numId="22">
    <w:abstractNumId w:val="1"/>
  </w:num>
  <w:num w:numId="23">
    <w:abstractNumId w:val="21"/>
  </w:num>
  <w:num w:numId="24">
    <w:abstractNumId w:val="31"/>
  </w:num>
  <w:num w:numId="25">
    <w:abstractNumId w:val="29"/>
  </w:num>
  <w:num w:numId="26">
    <w:abstractNumId w:val="22"/>
  </w:num>
  <w:num w:numId="27">
    <w:abstractNumId w:val="15"/>
  </w:num>
  <w:num w:numId="28">
    <w:abstractNumId w:val="0"/>
  </w:num>
  <w:num w:numId="29">
    <w:abstractNumId w:val="26"/>
  </w:num>
  <w:num w:numId="30">
    <w:abstractNumId w:val="3"/>
  </w:num>
  <w:num w:numId="31">
    <w:abstractNumId w:val="4"/>
  </w:num>
  <w:num w:numId="32">
    <w:abstractNumId w:val="24"/>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hideSpelling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5vprwxa0rsabew9f9xp5fcs9tz0dzwa2fa&quot;&gt;Robert Ombori-Converted&lt;record-ids&gt;&lt;item&gt;3&lt;/item&gt;&lt;item&gt;7&lt;/item&gt;&lt;item&gt;14&lt;/item&gt;&lt;item&gt;19&lt;/item&gt;&lt;item&gt;21&lt;/item&gt;&lt;item&gt;22&lt;/item&gt;&lt;item&gt;26&lt;/item&gt;&lt;item&gt;33&lt;/item&gt;&lt;item&gt;34&lt;/item&gt;&lt;item&gt;35&lt;/item&gt;&lt;item&gt;38&lt;/item&gt;&lt;item&gt;40&lt;/item&gt;&lt;item&gt;41&lt;/item&gt;&lt;item&gt;48&lt;/item&gt;&lt;item&gt;55&lt;/item&gt;&lt;item&gt;62&lt;/item&gt;&lt;item&gt;70&lt;/item&gt;&lt;item&gt;71&lt;/item&gt;&lt;item&gt;72&lt;/item&gt;&lt;item&gt;73&lt;/item&gt;&lt;item&gt;77&lt;/item&gt;&lt;item&gt;81&lt;/item&gt;&lt;item&gt;82&lt;/item&gt;&lt;item&gt;84&lt;/item&gt;&lt;item&gt;86&lt;/item&gt;&lt;item&gt;87&lt;/item&gt;&lt;item&gt;88&lt;/item&gt;&lt;item&gt;90&lt;/item&gt;&lt;item&gt;93&lt;/item&gt;&lt;item&gt;94&lt;/item&gt;&lt;item&gt;95&lt;/item&gt;&lt;item&gt;96&lt;/item&gt;&lt;item&gt;97&lt;/item&gt;&lt;item&gt;98&lt;/item&gt;&lt;item&gt;102&lt;/item&gt;&lt;item&gt;103&lt;/item&gt;&lt;item&gt;104&lt;/item&gt;&lt;item&gt;106&lt;/item&gt;&lt;item&gt;107&lt;/item&gt;&lt;item&gt;126&lt;/item&gt;&lt;item&gt;128&lt;/item&gt;&lt;item&gt;129&lt;/item&gt;&lt;item&gt;132&lt;/item&gt;&lt;/record-ids&gt;&lt;/item&gt;&lt;/Libraries&gt;"/>
  </w:docVars>
  <w:rsids>
    <w:rsidRoot w:val="00042611"/>
    <w:rsid w:val="0000049A"/>
    <w:rsid w:val="00000637"/>
    <w:rsid w:val="000008E5"/>
    <w:rsid w:val="000009ED"/>
    <w:rsid w:val="00000C50"/>
    <w:rsid w:val="00000C52"/>
    <w:rsid w:val="00000C67"/>
    <w:rsid w:val="00000CB2"/>
    <w:rsid w:val="00000E39"/>
    <w:rsid w:val="00000E67"/>
    <w:rsid w:val="0000104F"/>
    <w:rsid w:val="000010E6"/>
    <w:rsid w:val="0000150F"/>
    <w:rsid w:val="0000182F"/>
    <w:rsid w:val="00002860"/>
    <w:rsid w:val="000028BE"/>
    <w:rsid w:val="0000293A"/>
    <w:rsid w:val="00002CDF"/>
    <w:rsid w:val="000031B5"/>
    <w:rsid w:val="0000327B"/>
    <w:rsid w:val="000032C7"/>
    <w:rsid w:val="000034DB"/>
    <w:rsid w:val="0000358A"/>
    <w:rsid w:val="00003594"/>
    <w:rsid w:val="00003A8D"/>
    <w:rsid w:val="00003B8C"/>
    <w:rsid w:val="00003D92"/>
    <w:rsid w:val="00003EDB"/>
    <w:rsid w:val="00004B1C"/>
    <w:rsid w:val="00005231"/>
    <w:rsid w:val="000053ED"/>
    <w:rsid w:val="000056FC"/>
    <w:rsid w:val="00005C62"/>
    <w:rsid w:val="00005C6E"/>
    <w:rsid w:val="00005F5C"/>
    <w:rsid w:val="00006456"/>
    <w:rsid w:val="0000645E"/>
    <w:rsid w:val="00006828"/>
    <w:rsid w:val="000069A5"/>
    <w:rsid w:val="00006CB8"/>
    <w:rsid w:val="00006D40"/>
    <w:rsid w:val="00006D4E"/>
    <w:rsid w:val="00006E7F"/>
    <w:rsid w:val="00006F2E"/>
    <w:rsid w:val="00006F63"/>
    <w:rsid w:val="00006F9A"/>
    <w:rsid w:val="0000745E"/>
    <w:rsid w:val="000074DB"/>
    <w:rsid w:val="000076CC"/>
    <w:rsid w:val="000078B0"/>
    <w:rsid w:val="000079E5"/>
    <w:rsid w:val="00007FA4"/>
    <w:rsid w:val="0001020A"/>
    <w:rsid w:val="0001023D"/>
    <w:rsid w:val="00010589"/>
    <w:rsid w:val="000105DD"/>
    <w:rsid w:val="00010947"/>
    <w:rsid w:val="00010BFE"/>
    <w:rsid w:val="00010CFC"/>
    <w:rsid w:val="00010F46"/>
    <w:rsid w:val="00010F85"/>
    <w:rsid w:val="00011B44"/>
    <w:rsid w:val="00011CCC"/>
    <w:rsid w:val="00011E8F"/>
    <w:rsid w:val="00012082"/>
    <w:rsid w:val="0001348A"/>
    <w:rsid w:val="000134D5"/>
    <w:rsid w:val="00013980"/>
    <w:rsid w:val="00013A98"/>
    <w:rsid w:val="00013AD7"/>
    <w:rsid w:val="00013C03"/>
    <w:rsid w:val="00013CFA"/>
    <w:rsid w:val="00013FA1"/>
    <w:rsid w:val="0001407E"/>
    <w:rsid w:val="00014211"/>
    <w:rsid w:val="0001487D"/>
    <w:rsid w:val="0001494E"/>
    <w:rsid w:val="00014BB1"/>
    <w:rsid w:val="00014D37"/>
    <w:rsid w:val="00014FE2"/>
    <w:rsid w:val="00015140"/>
    <w:rsid w:val="000152C5"/>
    <w:rsid w:val="00015412"/>
    <w:rsid w:val="0001559E"/>
    <w:rsid w:val="00015E90"/>
    <w:rsid w:val="00015EDF"/>
    <w:rsid w:val="000160A5"/>
    <w:rsid w:val="000164D4"/>
    <w:rsid w:val="00016887"/>
    <w:rsid w:val="00016BB6"/>
    <w:rsid w:val="00016EF0"/>
    <w:rsid w:val="000171E0"/>
    <w:rsid w:val="0001735E"/>
    <w:rsid w:val="00017456"/>
    <w:rsid w:val="000174F9"/>
    <w:rsid w:val="000177EF"/>
    <w:rsid w:val="00017C5C"/>
    <w:rsid w:val="00017E98"/>
    <w:rsid w:val="00017F39"/>
    <w:rsid w:val="000202EF"/>
    <w:rsid w:val="00020B59"/>
    <w:rsid w:val="00020FA2"/>
    <w:rsid w:val="0002124E"/>
    <w:rsid w:val="00021573"/>
    <w:rsid w:val="00021962"/>
    <w:rsid w:val="00021A12"/>
    <w:rsid w:val="00021A36"/>
    <w:rsid w:val="00021F56"/>
    <w:rsid w:val="0002254A"/>
    <w:rsid w:val="00022557"/>
    <w:rsid w:val="000226F1"/>
    <w:rsid w:val="000228D8"/>
    <w:rsid w:val="00022AE7"/>
    <w:rsid w:val="00022BBE"/>
    <w:rsid w:val="00022EF5"/>
    <w:rsid w:val="00023686"/>
    <w:rsid w:val="000236B8"/>
    <w:rsid w:val="0002398F"/>
    <w:rsid w:val="00023A68"/>
    <w:rsid w:val="00023CD9"/>
    <w:rsid w:val="00023D75"/>
    <w:rsid w:val="00023E2B"/>
    <w:rsid w:val="000241D8"/>
    <w:rsid w:val="0002422F"/>
    <w:rsid w:val="000245F1"/>
    <w:rsid w:val="0002486E"/>
    <w:rsid w:val="00024B60"/>
    <w:rsid w:val="00024BB9"/>
    <w:rsid w:val="00024C29"/>
    <w:rsid w:val="0002513C"/>
    <w:rsid w:val="000254A8"/>
    <w:rsid w:val="00025557"/>
    <w:rsid w:val="00025837"/>
    <w:rsid w:val="00026001"/>
    <w:rsid w:val="00026275"/>
    <w:rsid w:val="000262D2"/>
    <w:rsid w:val="00026691"/>
    <w:rsid w:val="000266AD"/>
    <w:rsid w:val="000266BF"/>
    <w:rsid w:val="00026745"/>
    <w:rsid w:val="00026974"/>
    <w:rsid w:val="00026B3B"/>
    <w:rsid w:val="00026F92"/>
    <w:rsid w:val="00026FE2"/>
    <w:rsid w:val="00027090"/>
    <w:rsid w:val="00027166"/>
    <w:rsid w:val="00027361"/>
    <w:rsid w:val="000277D2"/>
    <w:rsid w:val="00027A03"/>
    <w:rsid w:val="00027A36"/>
    <w:rsid w:val="00027C64"/>
    <w:rsid w:val="00027D08"/>
    <w:rsid w:val="00027E3A"/>
    <w:rsid w:val="000305AA"/>
    <w:rsid w:val="00030992"/>
    <w:rsid w:val="00030C14"/>
    <w:rsid w:val="00030C44"/>
    <w:rsid w:val="00030CD5"/>
    <w:rsid w:val="00030D89"/>
    <w:rsid w:val="00030EC4"/>
    <w:rsid w:val="00030FC3"/>
    <w:rsid w:val="00031063"/>
    <w:rsid w:val="000311F1"/>
    <w:rsid w:val="0003150B"/>
    <w:rsid w:val="000315A5"/>
    <w:rsid w:val="00031685"/>
    <w:rsid w:val="00031D61"/>
    <w:rsid w:val="00031FB2"/>
    <w:rsid w:val="00032080"/>
    <w:rsid w:val="00032258"/>
    <w:rsid w:val="00032622"/>
    <w:rsid w:val="00032804"/>
    <w:rsid w:val="000329AE"/>
    <w:rsid w:val="00032BD4"/>
    <w:rsid w:val="00033620"/>
    <w:rsid w:val="0003371A"/>
    <w:rsid w:val="0003381C"/>
    <w:rsid w:val="000338C1"/>
    <w:rsid w:val="00033B36"/>
    <w:rsid w:val="00033DB3"/>
    <w:rsid w:val="00034088"/>
    <w:rsid w:val="000341CA"/>
    <w:rsid w:val="00034403"/>
    <w:rsid w:val="000345B6"/>
    <w:rsid w:val="000345F3"/>
    <w:rsid w:val="000345FB"/>
    <w:rsid w:val="000348A8"/>
    <w:rsid w:val="00034D37"/>
    <w:rsid w:val="00035677"/>
    <w:rsid w:val="00035C52"/>
    <w:rsid w:val="00035C9D"/>
    <w:rsid w:val="00036088"/>
    <w:rsid w:val="00036411"/>
    <w:rsid w:val="00036577"/>
    <w:rsid w:val="000366A6"/>
    <w:rsid w:val="00036ABC"/>
    <w:rsid w:val="00036B76"/>
    <w:rsid w:val="00036C18"/>
    <w:rsid w:val="00036C9A"/>
    <w:rsid w:val="00037276"/>
    <w:rsid w:val="0003791A"/>
    <w:rsid w:val="00037B9A"/>
    <w:rsid w:val="00037C21"/>
    <w:rsid w:val="00040370"/>
    <w:rsid w:val="00040427"/>
    <w:rsid w:val="00040B1C"/>
    <w:rsid w:val="00040E8C"/>
    <w:rsid w:val="00040F1F"/>
    <w:rsid w:val="000411F7"/>
    <w:rsid w:val="0004151B"/>
    <w:rsid w:val="00041537"/>
    <w:rsid w:val="0004169D"/>
    <w:rsid w:val="00042358"/>
    <w:rsid w:val="000424E3"/>
    <w:rsid w:val="00042611"/>
    <w:rsid w:val="00043211"/>
    <w:rsid w:val="000432C4"/>
    <w:rsid w:val="000435B6"/>
    <w:rsid w:val="0004379F"/>
    <w:rsid w:val="0004393D"/>
    <w:rsid w:val="00043AC5"/>
    <w:rsid w:val="00043AF1"/>
    <w:rsid w:val="0004418C"/>
    <w:rsid w:val="000441B4"/>
    <w:rsid w:val="00044768"/>
    <w:rsid w:val="0004496E"/>
    <w:rsid w:val="00044B2F"/>
    <w:rsid w:val="00044C76"/>
    <w:rsid w:val="00044E92"/>
    <w:rsid w:val="00044EC7"/>
    <w:rsid w:val="00045034"/>
    <w:rsid w:val="00045269"/>
    <w:rsid w:val="000455FF"/>
    <w:rsid w:val="00045668"/>
    <w:rsid w:val="00045726"/>
    <w:rsid w:val="0004579B"/>
    <w:rsid w:val="00045B1F"/>
    <w:rsid w:val="00045BFB"/>
    <w:rsid w:val="00045C34"/>
    <w:rsid w:val="00045D64"/>
    <w:rsid w:val="00045DF0"/>
    <w:rsid w:val="00045F8A"/>
    <w:rsid w:val="00045FBA"/>
    <w:rsid w:val="000460EE"/>
    <w:rsid w:val="000462A7"/>
    <w:rsid w:val="00046586"/>
    <w:rsid w:val="00046694"/>
    <w:rsid w:val="00046B17"/>
    <w:rsid w:val="00046B1B"/>
    <w:rsid w:val="00046D2F"/>
    <w:rsid w:val="0004714A"/>
    <w:rsid w:val="00047200"/>
    <w:rsid w:val="000473D8"/>
    <w:rsid w:val="00047D15"/>
    <w:rsid w:val="000501FB"/>
    <w:rsid w:val="00050346"/>
    <w:rsid w:val="0005051F"/>
    <w:rsid w:val="0005078D"/>
    <w:rsid w:val="00050968"/>
    <w:rsid w:val="000509FD"/>
    <w:rsid w:val="00050C38"/>
    <w:rsid w:val="00050F39"/>
    <w:rsid w:val="0005196A"/>
    <w:rsid w:val="00051AC5"/>
    <w:rsid w:val="00051ED1"/>
    <w:rsid w:val="00051FE7"/>
    <w:rsid w:val="00052022"/>
    <w:rsid w:val="00052109"/>
    <w:rsid w:val="000524CA"/>
    <w:rsid w:val="00052553"/>
    <w:rsid w:val="00052837"/>
    <w:rsid w:val="000529EF"/>
    <w:rsid w:val="00052A69"/>
    <w:rsid w:val="00052AC5"/>
    <w:rsid w:val="00052C7A"/>
    <w:rsid w:val="00052E94"/>
    <w:rsid w:val="00052F73"/>
    <w:rsid w:val="000531C8"/>
    <w:rsid w:val="00053215"/>
    <w:rsid w:val="00053818"/>
    <w:rsid w:val="000539FF"/>
    <w:rsid w:val="00053D5A"/>
    <w:rsid w:val="00053DCF"/>
    <w:rsid w:val="00053F15"/>
    <w:rsid w:val="00054078"/>
    <w:rsid w:val="00054167"/>
    <w:rsid w:val="00054184"/>
    <w:rsid w:val="000544D0"/>
    <w:rsid w:val="0005472F"/>
    <w:rsid w:val="00054861"/>
    <w:rsid w:val="00054925"/>
    <w:rsid w:val="00054B85"/>
    <w:rsid w:val="000550AA"/>
    <w:rsid w:val="00055136"/>
    <w:rsid w:val="000554C7"/>
    <w:rsid w:val="0005551B"/>
    <w:rsid w:val="000558BF"/>
    <w:rsid w:val="00055D6C"/>
    <w:rsid w:val="00055FCB"/>
    <w:rsid w:val="00056522"/>
    <w:rsid w:val="00056940"/>
    <w:rsid w:val="00056A74"/>
    <w:rsid w:val="00056FCC"/>
    <w:rsid w:val="0005740F"/>
    <w:rsid w:val="0005752D"/>
    <w:rsid w:val="000575AF"/>
    <w:rsid w:val="000576FD"/>
    <w:rsid w:val="00057B2A"/>
    <w:rsid w:val="00057E76"/>
    <w:rsid w:val="00057F0D"/>
    <w:rsid w:val="00060238"/>
    <w:rsid w:val="0006028E"/>
    <w:rsid w:val="00060393"/>
    <w:rsid w:val="000606D1"/>
    <w:rsid w:val="00060A22"/>
    <w:rsid w:val="00060BD2"/>
    <w:rsid w:val="00060CEF"/>
    <w:rsid w:val="00060F6F"/>
    <w:rsid w:val="00061106"/>
    <w:rsid w:val="000612F8"/>
    <w:rsid w:val="00061C0B"/>
    <w:rsid w:val="00061CC7"/>
    <w:rsid w:val="00061F35"/>
    <w:rsid w:val="000623EB"/>
    <w:rsid w:val="00062449"/>
    <w:rsid w:val="000627A2"/>
    <w:rsid w:val="00062D92"/>
    <w:rsid w:val="00063119"/>
    <w:rsid w:val="000631C4"/>
    <w:rsid w:val="00063581"/>
    <w:rsid w:val="00063893"/>
    <w:rsid w:val="000638B1"/>
    <w:rsid w:val="000639E7"/>
    <w:rsid w:val="00063CDB"/>
    <w:rsid w:val="00063FFB"/>
    <w:rsid w:val="000640E0"/>
    <w:rsid w:val="000641B9"/>
    <w:rsid w:val="000641C6"/>
    <w:rsid w:val="000642AD"/>
    <w:rsid w:val="00064B3D"/>
    <w:rsid w:val="00064B8D"/>
    <w:rsid w:val="00064CA1"/>
    <w:rsid w:val="00064D51"/>
    <w:rsid w:val="00064D8E"/>
    <w:rsid w:val="00064F3F"/>
    <w:rsid w:val="00064F94"/>
    <w:rsid w:val="000653E0"/>
    <w:rsid w:val="00065553"/>
    <w:rsid w:val="000656B8"/>
    <w:rsid w:val="0006571E"/>
    <w:rsid w:val="00065ACC"/>
    <w:rsid w:val="00065B62"/>
    <w:rsid w:val="00066815"/>
    <w:rsid w:val="00066905"/>
    <w:rsid w:val="000669FC"/>
    <w:rsid w:val="00066B4A"/>
    <w:rsid w:val="00066C6C"/>
    <w:rsid w:val="00066D1C"/>
    <w:rsid w:val="00066DB3"/>
    <w:rsid w:val="00066FDB"/>
    <w:rsid w:val="000670BF"/>
    <w:rsid w:val="00067162"/>
    <w:rsid w:val="00067455"/>
    <w:rsid w:val="000675FA"/>
    <w:rsid w:val="0006765A"/>
    <w:rsid w:val="00067C02"/>
    <w:rsid w:val="00067D48"/>
    <w:rsid w:val="00067E3F"/>
    <w:rsid w:val="00067F92"/>
    <w:rsid w:val="00070314"/>
    <w:rsid w:val="000703B3"/>
    <w:rsid w:val="0007054D"/>
    <w:rsid w:val="000707F4"/>
    <w:rsid w:val="00070BF2"/>
    <w:rsid w:val="00070DE1"/>
    <w:rsid w:val="000710EB"/>
    <w:rsid w:val="00071156"/>
    <w:rsid w:val="00071356"/>
    <w:rsid w:val="00071418"/>
    <w:rsid w:val="00071976"/>
    <w:rsid w:val="0007198E"/>
    <w:rsid w:val="00071AAF"/>
    <w:rsid w:val="00071AB2"/>
    <w:rsid w:val="00071B32"/>
    <w:rsid w:val="00071F45"/>
    <w:rsid w:val="000722CC"/>
    <w:rsid w:val="00072576"/>
    <w:rsid w:val="00072D7B"/>
    <w:rsid w:val="00072E56"/>
    <w:rsid w:val="000730A4"/>
    <w:rsid w:val="0007312B"/>
    <w:rsid w:val="00073401"/>
    <w:rsid w:val="00073965"/>
    <w:rsid w:val="00073A70"/>
    <w:rsid w:val="00073DA6"/>
    <w:rsid w:val="00073E81"/>
    <w:rsid w:val="00074204"/>
    <w:rsid w:val="000742DA"/>
    <w:rsid w:val="00074467"/>
    <w:rsid w:val="0007457D"/>
    <w:rsid w:val="000745DC"/>
    <w:rsid w:val="000745FB"/>
    <w:rsid w:val="00074A9C"/>
    <w:rsid w:val="00074BBE"/>
    <w:rsid w:val="00074D93"/>
    <w:rsid w:val="00074DD4"/>
    <w:rsid w:val="00075345"/>
    <w:rsid w:val="00075483"/>
    <w:rsid w:val="000754AF"/>
    <w:rsid w:val="00075838"/>
    <w:rsid w:val="00075923"/>
    <w:rsid w:val="000759C6"/>
    <w:rsid w:val="00075A66"/>
    <w:rsid w:val="00075CA1"/>
    <w:rsid w:val="000761C3"/>
    <w:rsid w:val="000762E6"/>
    <w:rsid w:val="00076A78"/>
    <w:rsid w:val="00076BF5"/>
    <w:rsid w:val="00076DFF"/>
    <w:rsid w:val="00076E5B"/>
    <w:rsid w:val="00077474"/>
    <w:rsid w:val="000775A2"/>
    <w:rsid w:val="00077869"/>
    <w:rsid w:val="00077C26"/>
    <w:rsid w:val="000802AB"/>
    <w:rsid w:val="00080357"/>
    <w:rsid w:val="0008079C"/>
    <w:rsid w:val="000809A8"/>
    <w:rsid w:val="00080B1B"/>
    <w:rsid w:val="00080F0F"/>
    <w:rsid w:val="00080FF2"/>
    <w:rsid w:val="0008117C"/>
    <w:rsid w:val="00081217"/>
    <w:rsid w:val="00081276"/>
    <w:rsid w:val="00081401"/>
    <w:rsid w:val="00081421"/>
    <w:rsid w:val="00081448"/>
    <w:rsid w:val="00081519"/>
    <w:rsid w:val="000815F1"/>
    <w:rsid w:val="00081804"/>
    <w:rsid w:val="00081919"/>
    <w:rsid w:val="000819A9"/>
    <w:rsid w:val="000822DC"/>
    <w:rsid w:val="00082814"/>
    <w:rsid w:val="000828B3"/>
    <w:rsid w:val="00082B2F"/>
    <w:rsid w:val="00082D19"/>
    <w:rsid w:val="00082E0F"/>
    <w:rsid w:val="00082E2F"/>
    <w:rsid w:val="00082EDF"/>
    <w:rsid w:val="00083097"/>
    <w:rsid w:val="000830D4"/>
    <w:rsid w:val="000836FB"/>
    <w:rsid w:val="0008371D"/>
    <w:rsid w:val="000843AF"/>
    <w:rsid w:val="000846D1"/>
    <w:rsid w:val="00085221"/>
    <w:rsid w:val="00085239"/>
    <w:rsid w:val="00085259"/>
    <w:rsid w:val="00085680"/>
    <w:rsid w:val="000856EB"/>
    <w:rsid w:val="00085D79"/>
    <w:rsid w:val="00085E16"/>
    <w:rsid w:val="00085EE7"/>
    <w:rsid w:val="00085FE1"/>
    <w:rsid w:val="0008610A"/>
    <w:rsid w:val="000864BA"/>
    <w:rsid w:val="0008669D"/>
    <w:rsid w:val="00086C8A"/>
    <w:rsid w:val="00086ECF"/>
    <w:rsid w:val="00086FB0"/>
    <w:rsid w:val="00087134"/>
    <w:rsid w:val="0008775A"/>
    <w:rsid w:val="00090193"/>
    <w:rsid w:val="000902B9"/>
    <w:rsid w:val="000903A0"/>
    <w:rsid w:val="00090593"/>
    <w:rsid w:val="000905FE"/>
    <w:rsid w:val="00090ACC"/>
    <w:rsid w:val="00090EC5"/>
    <w:rsid w:val="00090FA3"/>
    <w:rsid w:val="00090FCA"/>
    <w:rsid w:val="000910D0"/>
    <w:rsid w:val="00091153"/>
    <w:rsid w:val="00091229"/>
    <w:rsid w:val="000917BE"/>
    <w:rsid w:val="0009194F"/>
    <w:rsid w:val="000919BE"/>
    <w:rsid w:val="00091A04"/>
    <w:rsid w:val="00091B5F"/>
    <w:rsid w:val="00091FB0"/>
    <w:rsid w:val="00092205"/>
    <w:rsid w:val="000925C2"/>
    <w:rsid w:val="00092858"/>
    <w:rsid w:val="00093505"/>
    <w:rsid w:val="00093DFF"/>
    <w:rsid w:val="00094336"/>
    <w:rsid w:val="0009446B"/>
    <w:rsid w:val="0009497E"/>
    <w:rsid w:val="00094AD8"/>
    <w:rsid w:val="00094BE8"/>
    <w:rsid w:val="00094DC9"/>
    <w:rsid w:val="00094E56"/>
    <w:rsid w:val="0009524D"/>
    <w:rsid w:val="000955C9"/>
    <w:rsid w:val="00095880"/>
    <w:rsid w:val="000958CA"/>
    <w:rsid w:val="000958EA"/>
    <w:rsid w:val="000959BC"/>
    <w:rsid w:val="00095E63"/>
    <w:rsid w:val="00095E82"/>
    <w:rsid w:val="000962C4"/>
    <w:rsid w:val="0009647A"/>
    <w:rsid w:val="0009676F"/>
    <w:rsid w:val="00096BB4"/>
    <w:rsid w:val="00096C6C"/>
    <w:rsid w:val="00096F7E"/>
    <w:rsid w:val="00097174"/>
    <w:rsid w:val="00097223"/>
    <w:rsid w:val="000975A6"/>
    <w:rsid w:val="00097894"/>
    <w:rsid w:val="00097B64"/>
    <w:rsid w:val="00097BD2"/>
    <w:rsid w:val="00097F59"/>
    <w:rsid w:val="00097F61"/>
    <w:rsid w:val="000A0170"/>
    <w:rsid w:val="000A029F"/>
    <w:rsid w:val="000A03E7"/>
    <w:rsid w:val="000A04D2"/>
    <w:rsid w:val="000A08A2"/>
    <w:rsid w:val="000A090C"/>
    <w:rsid w:val="000A0A17"/>
    <w:rsid w:val="000A0C28"/>
    <w:rsid w:val="000A0D49"/>
    <w:rsid w:val="000A0D7E"/>
    <w:rsid w:val="000A0F5E"/>
    <w:rsid w:val="000A1062"/>
    <w:rsid w:val="000A1128"/>
    <w:rsid w:val="000A124B"/>
    <w:rsid w:val="000A14EC"/>
    <w:rsid w:val="000A1F19"/>
    <w:rsid w:val="000A1FD5"/>
    <w:rsid w:val="000A225E"/>
    <w:rsid w:val="000A22C1"/>
    <w:rsid w:val="000A2417"/>
    <w:rsid w:val="000A24FE"/>
    <w:rsid w:val="000A253E"/>
    <w:rsid w:val="000A2A3B"/>
    <w:rsid w:val="000A2AAD"/>
    <w:rsid w:val="000A2BEE"/>
    <w:rsid w:val="000A3154"/>
    <w:rsid w:val="000A3290"/>
    <w:rsid w:val="000A352C"/>
    <w:rsid w:val="000A39A5"/>
    <w:rsid w:val="000A3EB9"/>
    <w:rsid w:val="000A3EF7"/>
    <w:rsid w:val="000A3FC2"/>
    <w:rsid w:val="000A406A"/>
    <w:rsid w:val="000A4101"/>
    <w:rsid w:val="000A4482"/>
    <w:rsid w:val="000A4506"/>
    <w:rsid w:val="000A4620"/>
    <w:rsid w:val="000A483B"/>
    <w:rsid w:val="000A4965"/>
    <w:rsid w:val="000A508F"/>
    <w:rsid w:val="000A5304"/>
    <w:rsid w:val="000A58A6"/>
    <w:rsid w:val="000A5C73"/>
    <w:rsid w:val="000A5D03"/>
    <w:rsid w:val="000A645E"/>
    <w:rsid w:val="000A6465"/>
    <w:rsid w:val="000A664D"/>
    <w:rsid w:val="000A668A"/>
    <w:rsid w:val="000A67B7"/>
    <w:rsid w:val="000A6B1A"/>
    <w:rsid w:val="000A6E9F"/>
    <w:rsid w:val="000A71B7"/>
    <w:rsid w:val="000A778F"/>
    <w:rsid w:val="000A794E"/>
    <w:rsid w:val="000B0241"/>
    <w:rsid w:val="000B064B"/>
    <w:rsid w:val="000B0807"/>
    <w:rsid w:val="000B134D"/>
    <w:rsid w:val="000B148E"/>
    <w:rsid w:val="000B187F"/>
    <w:rsid w:val="000B20C1"/>
    <w:rsid w:val="000B2251"/>
    <w:rsid w:val="000B24A2"/>
    <w:rsid w:val="000B2535"/>
    <w:rsid w:val="000B2AFB"/>
    <w:rsid w:val="000B2E47"/>
    <w:rsid w:val="000B3487"/>
    <w:rsid w:val="000B3521"/>
    <w:rsid w:val="000B3592"/>
    <w:rsid w:val="000B39FF"/>
    <w:rsid w:val="000B3A91"/>
    <w:rsid w:val="000B40C6"/>
    <w:rsid w:val="000B41A9"/>
    <w:rsid w:val="000B4732"/>
    <w:rsid w:val="000B4A80"/>
    <w:rsid w:val="000B4A95"/>
    <w:rsid w:val="000B55E4"/>
    <w:rsid w:val="000B579E"/>
    <w:rsid w:val="000B5889"/>
    <w:rsid w:val="000B5C69"/>
    <w:rsid w:val="000B5DB5"/>
    <w:rsid w:val="000B5E48"/>
    <w:rsid w:val="000B6012"/>
    <w:rsid w:val="000B6053"/>
    <w:rsid w:val="000B6DEC"/>
    <w:rsid w:val="000B6DED"/>
    <w:rsid w:val="000B6E62"/>
    <w:rsid w:val="000B6E7C"/>
    <w:rsid w:val="000B73FA"/>
    <w:rsid w:val="000B791C"/>
    <w:rsid w:val="000B7D3B"/>
    <w:rsid w:val="000B7E13"/>
    <w:rsid w:val="000B7E66"/>
    <w:rsid w:val="000C0247"/>
    <w:rsid w:val="000C07C0"/>
    <w:rsid w:val="000C07D0"/>
    <w:rsid w:val="000C0859"/>
    <w:rsid w:val="000C104A"/>
    <w:rsid w:val="000C130B"/>
    <w:rsid w:val="000C1511"/>
    <w:rsid w:val="000C1535"/>
    <w:rsid w:val="000C179B"/>
    <w:rsid w:val="000C1853"/>
    <w:rsid w:val="000C1D44"/>
    <w:rsid w:val="000C1D64"/>
    <w:rsid w:val="000C20B7"/>
    <w:rsid w:val="000C26E0"/>
    <w:rsid w:val="000C29A1"/>
    <w:rsid w:val="000C2C27"/>
    <w:rsid w:val="000C2DC5"/>
    <w:rsid w:val="000C2F65"/>
    <w:rsid w:val="000C3178"/>
    <w:rsid w:val="000C333C"/>
    <w:rsid w:val="000C3416"/>
    <w:rsid w:val="000C35A7"/>
    <w:rsid w:val="000C373D"/>
    <w:rsid w:val="000C3AF9"/>
    <w:rsid w:val="000C3D42"/>
    <w:rsid w:val="000C3F86"/>
    <w:rsid w:val="000C41D4"/>
    <w:rsid w:val="000C43A9"/>
    <w:rsid w:val="000C444D"/>
    <w:rsid w:val="000C53E2"/>
    <w:rsid w:val="000C540D"/>
    <w:rsid w:val="000C54E5"/>
    <w:rsid w:val="000C5740"/>
    <w:rsid w:val="000C5933"/>
    <w:rsid w:val="000C596C"/>
    <w:rsid w:val="000C5978"/>
    <w:rsid w:val="000C5BEA"/>
    <w:rsid w:val="000C6161"/>
    <w:rsid w:val="000C6174"/>
    <w:rsid w:val="000C6223"/>
    <w:rsid w:val="000C650C"/>
    <w:rsid w:val="000C6E4A"/>
    <w:rsid w:val="000C6E7C"/>
    <w:rsid w:val="000C71FD"/>
    <w:rsid w:val="000C7468"/>
    <w:rsid w:val="000C76DC"/>
    <w:rsid w:val="000C7D72"/>
    <w:rsid w:val="000D0000"/>
    <w:rsid w:val="000D00CD"/>
    <w:rsid w:val="000D00FE"/>
    <w:rsid w:val="000D0130"/>
    <w:rsid w:val="000D0632"/>
    <w:rsid w:val="000D0B0D"/>
    <w:rsid w:val="000D10FF"/>
    <w:rsid w:val="000D1249"/>
    <w:rsid w:val="000D14DA"/>
    <w:rsid w:val="000D1784"/>
    <w:rsid w:val="000D19B5"/>
    <w:rsid w:val="000D1B58"/>
    <w:rsid w:val="000D1E88"/>
    <w:rsid w:val="000D23E3"/>
    <w:rsid w:val="000D28F7"/>
    <w:rsid w:val="000D29D3"/>
    <w:rsid w:val="000D2D14"/>
    <w:rsid w:val="000D335A"/>
    <w:rsid w:val="000D352B"/>
    <w:rsid w:val="000D35A5"/>
    <w:rsid w:val="000D3DE1"/>
    <w:rsid w:val="000D3F18"/>
    <w:rsid w:val="000D40BF"/>
    <w:rsid w:val="000D46C3"/>
    <w:rsid w:val="000D48DC"/>
    <w:rsid w:val="000D4BC8"/>
    <w:rsid w:val="000D4C3E"/>
    <w:rsid w:val="000D4CE2"/>
    <w:rsid w:val="000D5080"/>
    <w:rsid w:val="000D537C"/>
    <w:rsid w:val="000D53F2"/>
    <w:rsid w:val="000D5630"/>
    <w:rsid w:val="000D5CBE"/>
    <w:rsid w:val="000D5EA3"/>
    <w:rsid w:val="000D60E5"/>
    <w:rsid w:val="000D62F7"/>
    <w:rsid w:val="000D6593"/>
    <w:rsid w:val="000D6658"/>
    <w:rsid w:val="000D66E8"/>
    <w:rsid w:val="000D6753"/>
    <w:rsid w:val="000D677B"/>
    <w:rsid w:val="000D6E16"/>
    <w:rsid w:val="000D780C"/>
    <w:rsid w:val="000D7ACA"/>
    <w:rsid w:val="000E020A"/>
    <w:rsid w:val="000E0331"/>
    <w:rsid w:val="000E0353"/>
    <w:rsid w:val="000E0658"/>
    <w:rsid w:val="000E06CA"/>
    <w:rsid w:val="000E0839"/>
    <w:rsid w:val="000E0AD3"/>
    <w:rsid w:val="000E0B58"/>
    <w:rsid w:val="000E0B6B"/>
    <w:rsid w:val="000E0B8B"/>
    <w:rsid w:val="000E1106"/>
    <w:rsid w:val="000E1362"/>
    <w:rsid w:val="000E14CF"/>
    <w:rsid w:val="000E15D5"/>
    <w:rsid w:val="000E1B88"/>
    <w:rsid w:val="000E212B"/>
    <w:rsid w:val="000E21CD"/>
    <w:rsid w:val="000E2298"/>
    <w:rsid w:val="000E23BD"/>
    <w:rsid w:val="000E26E0"/>
    <w:rsid w:val="000E2C2D"/>
    <w:rsid w:val="000E2CDD"/>
    <w:rsid w:val="000E304E"/>
    <w:rsid w:val="000E3344"/>
    <w:rsid w:val="000E33AD"/>
    <w:rsid w:val="000E345D"/>
    <w:rsid w:val="000E36BF"/>
    <w:rsid w:val="000E3769"/>
    <w:rsid w:val="000E3B47"/>
    <w:rsid w:val="000E3DCF"/>
    <w:rsid w:val="000E3EE3"/>
    <w:rsid w:val="000E4031"/>
    <w:rsid w:val="000E4161"/>
    <w:rsid w:val="000E424C"/>
    <w:rsid w:val="000E4264"/>
    <w:rsid w:val="000E4381"/>
    <w:rsid w:val="000E4390"/>
    <w:rsid w:val="000E4C93"/>
    <w:rsid w:val="000E4F53"/>
    <w:rsid w:val="000E545A"/>
    <w:rsid w:val="000E564E"/>
    <w:rsid w:val="000E5666"/>
    <w:rsid w:val="000E5808"/>
    <w:rsid w:val="000E58B0"/>
    <w:rsid w:val="000E5BFE"/>
    <w:rsid w:val="000E62EB"/>
    <w:rsid w:val="000E637D"/>
    <w:rsid w:val="000E64C7"/>
    <w:rsid w:val="000E654F"/>
    <w:rsid w:val="000E65BD"/>
    <w:rsid w:val="000E6876"/>
    <w:rsid w:val="000E68F9"/>
    <w:rsid w:val="000E6980"/>
    <w:rsid w:val="000E69F2"/>
    <w:rsid w:val="000E6CEB"/>
    <w:rsid w:val="000E6D11"/>
    <w:rsid w:val="000E6D7D"/>
    <w:rsid w:val="000E6F30"/>
    <w:rsid w:val="000E6FE4"/>
    <w:rsid w:val="000E7496"/>
    <w:rsid w:val="000E7957"/>
    <w:rsid w:val="000F00CA"/>
    <w:rsid w:val="000F015C"/>
    <w:rsid w:val="000F0389"/>
    <w:rsid w:val="000F0649"/>
    <w:rsid w:val="000F0812"/>
    <w:rsid w:val="000F0CB6"/>
    <w:rsid w:val="000F0E6C"/>
    <w:rsid w:val="000F0F19"/>
    <w:rsid w:val="000F13F9"/>
    <w:rsid w:val="000F14E5"/>
    <w:rsid w:val="000F164B"/>
    <w:rsid w:val="000F19C7"/>
    <w:rsid w:val="000F1C9B"/>
    <w:rsid w:val="000F1E7A"/>
    <w:rsid w:val="000F1EF8"/>
    <w:rsid w:val="000F1FC9"/>
    <w:rsid w:val="000F20D2"/>
    <w:rsid w:val="000F2343"/>
    <w:rsid w:val="000F2A26"/>
    <w:rsid w:val="000F3225"/>
    <w:rsid w:val="000F329B"/>
    <w:rsid w:val="000F3497"/>
    <w:rsid w:val="000F34B9"/>
    <w:rsid w:val="000F34C6"/>
    <w:rsid w:val="000F38E0"/>
    <w:rsid w:val="000F3B3A"/>
    <w:rsid w:val="000F3C74"/>
    <w:rsid w:val="000F3DF2"/>
    <w:rsid w:val="000F43AA"/>
    <w:rsid w:val="000F47AD"/>
    <w:rsid w:val="000F4C46"/>
    <w:rsid w:val="000F4D33"/>
    <w:rsid w:val="000F4D44"/>
    <w:rsid w:val="000F52F3"/>
    <w:rsid w:val="000F5828"/>
    <w:rsid w:val="000F5A2A"/>
    <w:rsid w:val="000F5BAB"/>
    <w:rsid w:val="000F5D18"/>
    <w:rsid w:val="000F5D60"/>
    <w:rsid w:val="000F5D7C"/>
    <w:rsid w:val="000F5D97"/>
    <w:rsid w:val="000F5E4F"/>
    <w:rsid w:val="000F5FB9"/>
    <w:rsid w:val="000F60E3"/>
    <w:rsid w:val="000F61F4"/>
    <w:rsid w:val="000F6347"/>
    <w:rsid w:val="000F64EF"/>
    <w:rsid w:val="000F678C"/>
    <w:rsid w:val="000F6A19"/>
    <w:rsid w:val="000F6C48"/>
    <w:rsid w:val="000F7089"/>
    <w:rsid w:val="000F7273"/>
    <w:rsid w:val="000F72BB"/>
    <w:rsid w:val="000F79FA"/>
    <w:rsid w:val="000F7A7C"/>
    <w:rsid w:val="000F7BE8"/>
    <w:rsid w:val="000F7CC1"/>
    <w:rsid w:val="000F7EDC"/>
    <w:rsid w:val="00100146"/>
    <w:rsid w:val="001001A3"/>
    <w:rsid w:val="001005E4"/>
    <w:rsid w:val="001006CC"/>
    <w:rsid w:val="0010077E"/>
    <w:rsid w:val="00100805"/>
    <w:rsid w:val="0010082C"/>
    <w:rsid w:val="00100AE1"/>
    <w:rsid w:val="00101116"/>
    <w:rsid w:val="001014B2"/>
    <w:rsid w:val="0010160D"/>
    <w:rsid w:val="00101888"/>
    <w:rsid w:val="00101988"/>
    <w:rsid w:val="00101B3B"/>
    <w:rsid w:val="00102029"/>
    <w:rsid w:val="0010216C"/>
    <w:rsid w:val="0010254E"/>
    <w:rsid w:val="00102AB6"/>
    <w:rsid w:val="00102D7B"/>
    <w:rsid w:val="00102E41"/>
    <w:rsid w:val="00103597"/>
    <w:rsid w:val="00103AAE"/>
    <w:rsid w:val="00103F0D"/>
    <w:rsid w:val="00104210"/>
    <w:rsid w:val="001043AA"/>
    <w:rsid w:val="00104900"/>
    <w:rsid w:val="00104CB2"/>
    <w:rsid w:val="00104CE7"/>
    <w:rsid w:val="00104FCF"/>
    <w:rsid w:val="001050DE"/>
    <w:rsid w:val="001056DF"/>
    <w:rsid w:val="001058BB"/>
    <w:rsid w:val="00105A4B"/>
    <w:rsid w:val="00105D5E"/>
    <w:rsid w:val="00105FB4"/>
    <w:rsid w:val="00106010"/>
    <w:rsid w:val="001062F0"/>
    <w:rsid w:val="001065F5"/>
    <w:rsid w:val="00106C8D"/>
    <w:rsid w:val="00106D16"/>
    <w:rsid w:val="00106F37"/>
    <w:rsid w:val="00107542"/>
    <w:rsid w:val="001075AD"/>
    <w:rsid w:val="00107620"/>
    <w:rsid w:val="0010764F"/>
    <w:rsid w:val="001077C4"/>
    <w:rsid w:val="00107861"/>
    <w:rsid w:val="0010791B"/>
    <w:rsid w:val="00107A60"/>
    <w:rsid w:val="00107C3D"/>
    <w:rsid w:val="0011033C"/>
    <w:rsid w:val="001103CF"/>
    <w:rsid w:val="001105CD"/>
    <w:rsid w:val="00110902"/>
    <w:rsid w:val="00110936"/>
    <w:rsid w:val="00110A13"/>
    <w:rsid w:val="00110AA9"/>
    <w:rsid w:val="00110CF1"/>
    <w:rsid w:val="00110EC1"/>
    <w:rsid w:val="0011126D"/>
    <w:rsid w:val="0011136C"/>
    <w:rsid w:val="00111411"/>
    <w:rsid w:val="0011144F"/>
    <w:rsid w:val="00111A35"/>
    <w:rsid w:val="00111AA5"/>
    <w:rsid w:val="00111B2F"/>
    <w:rsid w:val="001125F9"/>
    <w:rsid w:val="00112CB4"/>
    <w:rsid w:val="00112F7B"/>
    <w:rsid w:val="00113772"/>
    <w:rsid w:val="001137C6"/>
    <w:rsid w:val="00113831"/>
    <w:rsid w:val="00113A60"/>
    <w:rsid w:val="00113A72"/>
    <w:rsid w:val="00113CDA"/>
    <w:rsid w:val="001140F1"/>
    <w:rsid w:val="001142F9"/>
    <w:rsid w:val="00114305"/>
    <w:rsid w:val="001146B7"/>
    <w:rsid w:val="0011474F"/>
    <w:rsid w:val="001147A4"/>
    <w:rsid w:val="00114EAB"/>
    <w:rsid w:val="00115414"/>
    <w:rsid w:val="0011574C"/>
    <w:rsid w:val="00115D80"/>
    <w:rsid w:val="00115EF6"/>
    <w:rsid w:val="00115FDE"/>
    <w:rsid w:val="001160AD"/>
    <w:rsid w:val="001162FF"/>
    <w:rsid w:val="00116601"/>
    <w:rsid w:val="001168CB"/>
    <w:rsid w:val="00116B15"/>
    <w:rsid w:val="00116B23"/>
    <w:rsid w:val="00116D19"/>
    <w:rsid w:val="00117133"/>
    <w:rsid w:val="001172DE"/>
    <w:rsid w:val="001175A2"/>
    <w:rsid w:val="00117AD8"/>
    <w:rsid w:val="00117B67"/>
    <w:rsid w:val="00117CC1"/>
    <w:rsid w:val="00117FA5"/>
    <w:rsid w:val="0012000A"/>
    <w:rsid w:val="0012014F"/>
    <w:rsid w:val="001204D9"/>
    <w:rsid w:val="0012067E"/>
    <w:rsid w:val="00120836"/>
    <w:rsid w:val="00120863"/>
    <w:rsid w:val="00120B13"/>
    <w:rsid w:val="001212EF"/>
    <w:rsid w:val="00121533"/>
    <w:rsid w:val="00121745"/>
    <w:rsid w:val="00121768"/>
    <w:rsid w:val="0012183B"/>
    <w:rsid w:val="00121958"/>
    <w:rsid w:val="0012196A"/>
    <w:rsid w:val="00121A57"/>
    <w:rsid w:val="00121FD5"/>
    <w:rsid w:val="0012223F"/>
    <w:rsid w:val="00122B60"/>
    <w:rsid w:val="001230A0"/>
    <w:rsid w:val="00123146"/>
    <w:rsid w:val="0012316C"/>
    <w:rsid w:val="0012328D"/>
    <w:rsid w:val="001233FD"/>
    <w:rsid w:val="00123850"/>
    <w:rsid w:val="00123AE2"/>
    <w:rsid w:val="00123B2A"/>
    <w:rsid w:val="00123E90"/>
    <w:rsid w:val="001241CA"/>
    <w:rsid w:val="00124420"/>
    <w:rsid w:val="001244DA"/>
    <w:rsid w:val="00124540"/>
    <w:rsid w:val="00124644"/>
    <w:rsid w:val="00124A0D"/>
    <w:rsid w:val="00124A88"/>
    <w:rsid w:val="00124F5F"/>
    <w:rsid w:val="00125425"/>
    <w:rsid w:val="001257E5"/>
    <w:rsid w:val="001259E4"/>
    <w:rsid w:val="00125C6A"/>
    <w:rsid w:val="00125D12"/>
    <w:rsid w:val="00125FD5"/>
    <w:rsid w:val="00126219"/>
    <w:rsid w:val="00126342"/>
    <w:rsid w:val="00126D7D"/>
    <w:rsid w:val="00127642"/>
    <w:rsid w:val="001276A4"/>
    <w:rsid w:val="001276CA"/>
    <w:rsid w:val="00127981"/>
    <w:rsid w:val="00127AD0"/>
    <w:rsid w:val="00127AD5"/>
    <w:rsid w:val="001303AF"/>
    <w:rsid w:val="00130A82"/>
    <w:rsid w:val="00130CF3"/>
    <w:rsid w:val="00130FF6"/>
    <w:rsid w:val="00131321"/>
    <w:rsid w:val="00131322"/>
    <w:rsid w:val="001313C0"/>
    <w:rsid w:val="001314C0"/>
    <w:rsid w:val="0013154F"/>
    <w:rsid w:val="001319F0"/>
    <w:rsid w:val="00131A47"/>
    <w:rsid w:val="00131A5D"/>
    <w:rsid w:val="00131BD3"/>
    <w:rsid w:val="00131CEE"/>
    <w:rsid w:val="00131E90"/>
    <w:rsid w:val="001323C5"/>
    <w:rsid w:val="0013251D"/>
    <w:rsid w:val="00132715"/>
    <w:rsid w:val="00133018"/>
    <w:rsid w:val="001332E5"/>
    <w:rsid w:val="00133315"/>
    <w:rsid w:val="0013342D"/>
    <w:rsid w:val="0013374C"/>
    <w:rsid w:val="001337DB"/>
    <w:rsid w:val="001339B0"/>
    <w:rsid w:val="00133B86"/>
    <w:rsid w:val="00133D95"/>
    <w:rsid w:val="00133F17"/>
    <w:rsid w:val="00134060"/>
    <w:rsid w:val="001343F5"/>
    <w:rsid w:val="00134714"/>
    <w:rsid w:val="00134727"/>
    <w:rsid w:val="00134749"/>
    <w:rsid w:val="0013477E"/>
    <w:rsid w:val="001348F3"/>
    <w:rsid w:val="00134EE6"/>
    <w:rsid w:val="0013505A"/>
    <w:rsid w:val="00135342"/>
    <w:rsid w:val="00135724"/>
    <w:rsid w:val="001357A5"/>
    <w:rsid w:val="001358D8"/>
    <w:rsid w:val="00135F5D"/>
    <w:rsid w:val="00135FE2"/>
    <w:rsid w:val="001363E4"/>
    <w:rsid w:val="0013668D"/>
    <w:rsid w:val="00136805"/>
    <w:rsid w:val="0013690D"/>
    <w:rsid w:val="00136976"/>
    <w:rsid w:val="00136ECC"/>
    <w:rsid w:val="00136FD5"/>
    <w:rsid w:val="001371A8"/>
    <w:rsid w:val="00137206"/>
    <w:rsid w:val="001372AB"/>
    <w:rsid w:val="00137B38"/>
    <w:rsid w:val="00137E84"/>
    <w:rsid w:val="00137FB4"/>
    <w:rsid w:val="0014032D"/>
    <w:rsid w:val="0014033F"/>
    <w:rsid w:val="001405DB"/>
    <w:rsid w:val="0014064E"/>
    <w:rsid w:val="0014073E"/>
    <w:rsid w:val="0014073F"/>
    <w:rsid w:val="00140C12"/>
    <w:rsid w:val="00140EDC"/>
    <w:rsid w:val="00141133"/>
    <w:rsid w:val="001411C2"/>
    <w:rsid w:val="00141332"/>
    <w:rsid w:val="00141437"/>
    <w:rsid w:val="00141493"/>
    <w:rsid w:val="0014153A"/>
    <w:rsid w:val="00141A2D"/>
    <w:rsid w:val="00141B59"/>
    <w:rsid w:val="0014220C"/>
    <w:rsid w:val="0014224D"/>
    <w:rsid w:val="0014255A"/>
    <w:rsid w:val="001428A0"/>
    <w:rsid w:val="001428E6"/>
    <w:rsid w:val="001428EA"/>
    <w:rsid w:val="00142D37"/>
    <w:rsid w:val="00142EF1"/>
    <w:rsid w:val="00142F2A"/>
    <w:rsid w:val="00142FD8"/>
    <w:rsid w:val="0014308B"/>
    <w:rsid w:val="001430CA"/>
    <w:rsid w:val="00143336"/>
    <w:rsid w:val="001433C4"/>
    <w:rsid w:val="0014343F"/>
    <w:rsid w:val="00143474"/>
    <w:rsid w:val="001436A8"/>
    <w:rsid w:val="0014379E"/>
    <w:rsid w:val="0014386B"/>
    <w:rsid w:val="001438CE"/>
    <w:rsid w:val="00143C68"/>
    <w:rsid w:val="00143E55"/>
    <w:rsid w:val="00143FC0"/>
    <w:rsid w:val="00144091"/>
    <w:rsid w:val="001441C3"/>
    <w:rsid w:val="0014487B"/>
    <w:rsid w:val="001449A6"/>
    <w:rsid w:val="00144EB6"/>
    <w:rsid w:val="001450C8"/>
    <w:rsid w:val="001451BF"/>
    <w:rsid w:val="001453B4"/>
    <w:rsid w:val="0014598B"/>
    <w:rsid w:val="00145A8B"/>
    <w:rsid w:val="00145AC2"/>
    <w:rsid w:val="00145B8C"/>
    <w:rsid w:val="00145C44"/>
    <w:rsid w:val="00145DAB"/>
    <w:rsid w:val="00145DE2"/>
    <w:rsid w:val="00145E70"/>
    <w:rsid w:val="00146057"/>
    <w:rsid w:val="0014621B"/>
    <w:rsid w:val="0014672F"/>
    <w:rsid w:val="0014679C"/>
    <w:rsid w:val="001467A6"/>
    <w:rsid w:val="001467DE"/>
    <w:rsid w:val="00146AF9"/>
    <w:rsid w:val="00146B7F"/>
    <w:rsid w:val="00146EC4"/>
    <w:rsid w:val="00146F9E"/>
    <w:rsid w:val="00146FD2"/>
    <w:rsid w:val="00147289"/>
    <w:rsid w:val="001472F4"/>
    <w:rsid w:val="00147395"/>
    <w:rsid w:val="001476C3"/>
    <w:rsid w:val="00147D67"/>
    <w:rsid w:val="00147DA5"/>
    <w:rsid w:val="00147DF8"/>
    <w:rsid w:val="00147FB5"/>
    <w:rsid w:val="00147FBB"/>
    <w:rsid w:val="001500A3"/>
    <w:rsid w:val="001504F3"/>
    <w:rsid w:val="00150628"/>
    <w:rsid w:val="001507F0"/>
    <w:rsid w:val="001508C3"/>
    <w:rsid w:val="00150AA9"/>
    <w:rsid w:val="00150BFB"/>
    <w:rsid w:val="001514E0"/>
    <w:rsid w:val="0015173B"/>
    <w:rsid w:val="0015177E"/>
    <w:rsid w:val="001517E2"/>
    <w:rsid w:val="00151CA5"/>
    <w:rsid w:val="00152105"/>
    <w:rsid w:val="00152170"/>
    <w:rsid w:val="00152398"/>
    <w:rsid w:val="00152421"/>
    <w:rsid w:val="00152DE0"/>
    <w:rsid w:val="0015338E"/>
    <w:rsid w:val="00153465"/>
    <w:rsid w:val="001537BB"/>
    <w:rsid w:val="001539D7"/>
    <w:rsid w:val="00153BF0"/>
    <w:rsid w:val="00153CD8"/>
    <w:rsid w:val="00153CFA"/>
    <w:rsid w:val="00153E82"/>
    <w:rsid w:val="001542EB"/>
    <w:rsid w:val="001545C1"/>
    <w:rsid w:val="001546AA"/>
    <w:rsid w:val="0015473C"/>
    <w:rsid w:val="001547BC"/>
    <w:rsid w:val="00154912"/>
    <w:rsid w:val="00154919"/>
    <w:rsid w:val="00154B1B"/>
    <w:rsid w:val="00154BAF"/>
    <w:rsid w:val="00155511"/>
    <w:rsid w:val="001555B9"/>
    <w:rsid w:val="00155701"/>
    <w:rsid w:val="001557FA"/>
    <w:rsid w:val="00155800"/>
    <w:rsid w:val="00155B54"/>
    <w:rsid w:val="00155C46"/>
    <w:rsid w:val="00156308"/>
    <w:rsid w:val="0015670D"/>
    <w:rsid w:val="0015681E"/>
    <w:rsid w:val="00156A08"/>
    <w:rsid w:val="00157289"/>
    <w:rsid w:val="00157383"/>
    <w:rsid w:val="00157500"/>
    <w:rsid w:val="00157898"/>
    <w:rsid w:val="00157C4C"/>
    <w:rsid w:val="00160271"/>
    <w:rsid w:val="001602D9"/>
    <w:rsid w:val="001603F1"/>
    <w:rsid w:val="0016064D"/>
    <w:rsid w:val="00160753"/>
    <w:rsid w:val="00160AC0"/>
    <w:rsid w:val="00160C26"/>
    <w:rsid w:val="00160C46"/>
    <w:rsid w:val="00160E15"/>
    <w:rsid w:val="0016100B"/>
    <w:rsid w:val="00161165"/>
    <w:rsid w:val="001611F9"/>
    <w:rsid w:val="001614C0"/>
    <w:rsid w:val="00161715"/>
    <w:rsid w:val="0016179F"/>
    <w:rsid w:val="001618CA"/>
    <w:rsid w:val="00161AF6"/>
    <w:rsid w:val="00161C50"/>
    <w:rsid w:val="00161E16"/>
    <w:rsid w:val="00161EAE"/>
    <w:rsid w:val="00162200"/>
    <w:rsid w:val="00162341"/>
    <w:rsid w:val="001629A7"/>
    <w:rsid w:val="00162B8C"/>
    <w:rsid w:val="00163202"/>
    <w:rsid w:val="001632AF"/>
    <w:rsid w:val="00163947"/>
    <w:rsid w:val="0016394E"/>
    <w:rsid w:val="00163A2E"/>
    <w:rsid w:val="00163C3B"/>
    <w:rsid w:val="00163CB0"/>
    <w:rsid w:val="00163D23"/>
    <w:rsid w:val="00163DBE"/>
    <w:rsid w:val="00163E6C"/>
    <w:rsid w:val="001640CA"/>
    <w:rsid w:val="00164126"/>
    <w:rsid w:val="00164889"/>
    <w:rsid w:val="0016494C"/>
    <w:rsid w:val="00164EF4"/>
    <w:rsid w:val="00165413"/>
    <w:rsid w:val="00165469"/>
    <w:rsid w:val="001659E9"/>
    <w:rsid w:val="001659F3"/>
    <w:rsid w:val="00165B78"/>
    <w:rsid w:val="00165C4A"/>
    <w:rsid w:val="00165D66"/>
    <w:rsid w:val="00165E02"/>
    <w:rsid w:val="001664AF"/>
    <w:rsid w:val="001666DE"/>
    <w:rsid w:val="0016677B"/>
    <w:rsid w:val="00166D89"/>
    <w:rsid w:val="001670F7"/>
    <w:rsid w:val="0016727D"/>
    <w:rsid w:val="001672AA"/>
    <w:rsid w:val="001673C0"/>
    <w:rsid w:val="001674BF"/>
    <w:rsid w:val="001678C9"/>
    <w:rsid w:val="00167E65"/>
    <w:rsid w:val="0017001B"/>
    <w:rsid w:val="0017001E"/>
    <w:rsid w:val="001707C5"/>
    <w:rsid w:val="0017082A"/>
    <w:rsid w:val="001708E6"/>
    <w:rsid w:val="00170B76"/>
    <w:rsid w:val="00170CC6"/>
    <w:rsid w:val="00170F54"/>
    <w:rsid w:val="00171097"/>
    <w:rsid w:val="0017126F"/>
    <w:rsid w:val="00171298"/>
    <w:rsid w:val="001712EC"/>
    <w:rsid w:val="00171340"/>
    <w:rsid w:val="00171511"/>
    <w:rsid w:val="0017154F"/>
    <w:rsid w:val="00171831"/>
    <w:rsid w:val="001718D2"/>
    <w:rsid w:val="001718D3"/>
    <w:rsid w:val="00171C0B"/>
    <w:rsid w:val="00172465"/>
    <w:rsid w:val="001724BB"/>
    <w:rsid w:val="00172627"/>
    <w:rsid w:val="00172B5C"/>
    <w:rsid w:val="00172BA3"/>
    <w:rsid w:val="00172CD9"/>
    <w:rsid w:val="00173D2B"/>
    <w:rsid w:val="00173E7A"/>
    <w:rsid w:val="00173F19"/>
    <w:rsid w:val="00174055"/>
    <w:rsid w:val="00174059"/>
    <w:rsid w:val="0017411B"/>
    <w:rsid w:val="00174268"/>
    <w:rsid w:val="00174326"/>
    <w:rsid w:val="00174351"/>
    <w:rsid w:val="00174844"/>
    <w:rsid w:val="00174BE3"/>
    <w:rsid w:val="00174FE9"/>
    <w:rsid w:val="00175098"/>
    <w:rsid w:val="001753D9"/>
    <w:rsid w:val="0017543B"/>
    <w:rsid w:val="00175BE2"/>
    <w:rsid w:val="00175EB1"/>
    <w:rsid w:val="00176252"/>
    <w:rsid w:val="00176AD0"/>
    <w:rsid w:val="00176C3C"/>
    <w:rsid w:val="00176DBD"/>
    <w:rsid w:val="00176F43"/>
    <w:rsid w:val="0017704C"/>
    <w:rsid w:val="001771F2"/>
    <w:rsid w:val="0017742B"/>
    <w:rsid w:val="001774F8"/>
    <w:rsid w:val="00177691"/>
    <w:rsid w:val="00177A08"/>
    <w:rsid w:val="00177A80"/>
    <w:rsid w:val="00177FD5"/>
    <w:rsid w:val="001804F4"/>
    <w:rsid w:val="00180517"/>
    <w:rsid w:val="00180650"/>
    <w:rsid w:val="00180C22"/>
    <w:rsid w:val="00180E7D"/>
    <w:rsid w:val="001810D9"/>
    <w:rsid w:val="001811A2"/>
    <w:rsid w:val="00181477"/>
    <w:rsid w:val="0018169C"/>
    <w:rsid w:val="00181779"/>
    <w:rsid w:val="00181D9E"/>
    <w:rsid w:val="00182690"/>
    <w:rsid w:val="001826AC"/>
    <w:rsid w:val="00182966"/>
    <w:rsid w:val="001829BA"/>
    <w:rsid w:val="00182D60"/>
    <w:rsid w:val="00182DAE"/>
    <w:rsid w:val="0018307A"/>
    <w:rsid w:val="00183516"/>
    <w:rsid w:val="00183A3C"/>
    <w:rsid w:val="00183D6E"/>
    <w:rsid w:val="00183D84"/>
    <w:rsid w:val="00184015"/>
    <w:rsid w:val="001840FB"/>
    <w:rsid w:val="00184258"/>
    <w:rsid w:val="001842DA"/>
    <w:rsid w:val="0018435C"/>
    <w:rsid w:val="001843F9"/>
    <w:rsid w:val="00184466"/>
    <w:rsid w:val="00184586"/>
    <w:rsid w:val="001847DC"/>
    <w:rsid w:val="001848C2"/>
    <w:rsid w:val="00184D01"/>
    <w:rsid w:val="00184DC3"/>
    <w:rsid w:val="00184DDC"/>
    <w:rsid w:val="00184F33"/>
    <w:rsid w:val="0018500F"/>
    <w:rsid w:val="001851D7"/>
    <w:rsid w:val="00185433"/>
    <w:rsid w:val="001855F5"/>
    <w:rsid w:val="00185681"/>
    <w:rsid w:val="00185A76"/>
    <w:rsid w:val="00185A79"/>
    <w:rsid w:val="00185B58"/>
    <w:rsid w:val="00185C5E"/>
    <w:rsid w:val="0018625D"/>
    <w:rsid w:val="00186380"/>
    <w:rsid w:val="001863D4"/>
    <w:rsid w:val="001864CA"/>
    <w:rsid w:val="001867F7"/>
    <w:rsid w:val="0018680A"/>
    <w:rsid w:val="00186C73"/>
    <w:rsid w:val="00186E21"/>
    <w:rsid w:val="00186F41"/>
    <w:rsid w:val="00187141"/>
    <w:rsid w:val="00187254"/>
    <w:rsid w:val="00187422"/>
    <w:rsid w:val="00187791"/>
    <w:rsid w:val="00187A49"/>
    <w:rsid w:val="0019054B"/>
    <w:rsid w:val="00190711"/>
    <w:rsid w:val="001907A2"/>
    <w:rsid w:val="001907C5"/>
    <w:rsid w:val="001908DC"/>
    <w:rsid w:val="00190E65"/>
    <w:rsid w:val="00191076"/>
    <w:rsid w:val="001910D8"/>
    <w:rsid w:val="001911D9"/>
    <w:rsid w:val="0019121D"/>
    <w:rsid w:val="00191346"/>
    <w:rsid w:val="001913C5"/>
    <w:rsid w:val="001917EC"/>
    <w:rsid w:val="001918FE"/>
    <w:rsid w:val="00191C79"/>
    <w:rsid w:val="00191F5E"/>
    <w:rsid w:val="00192121"/>
    <w:rsid w:val="00192B83"/>
    <w:rsid w:val="00192CB4"/>
    <w:rsid w:val="00192E30"/>
    <w:rsid w:val="001930A4"/>
    <w:rsid w:val="00193542"/>
    <w:rsid w:val="001936AC"/>
    <w:rsid w:val="00193947"/>
    <w:rsid w:val="00193BA3"/>
    <w:rsid w:val="00193CC1"/>
    <w:rsid w:val="00193E8A"/>
    <w:rsid w:val="001941CC"/>
    <w:rsid w:val="0019429C"/>
    <w:rsid w:val="00194364"/>
    <w:rsid w:val="00194629"/>
    <w:rsid w:val="00194711"/>
    <w:rsid w:val="0019474E"/>
    <w:rsid w:val="00194B70"/>
    <w:rsid w:val="00194F9A"/>
    <w:rsid w:val="00195055"/>
    <w:rsid w:val="001950F5"/>
    <w:rsid w:val="00195585"/>
    <w:rsid w:val="0019581E"/>
    <w:rsid w:val="00195DEE"/>
    <w:rsid w:val="00196048"/>
    <w:rsid w:val="0019627D"/>
    <w:rsid w:val="00196B1F"/>
    <w:rsid w:val="0019706B"/>
    <w:rsid w:val="001971AE"/>
    <w:rsid w:val="001973DA"/>
    <w:rsid w:val="001977DA"/>
    <w:rsid w:val="00197ABC"/>
    <w:rsid w:val="00197B4B"/>
    <w:rsid w:val="00197B9D"/>
    <w:rsid w:val="00197E6A"/>
    <w:rsid w:val="001A0141"/>
    <w:rsid w:val="001A018C"/>
    <w:rsid w:val="001A026F"/>
    <w:rsid w:val="001A051A"/>
    <w:rsid w:val="001A0CBA"/>
    <w:rsid w:val="001A0D44"/>
    <w:rsid w:val="001A0FD9"/>
    <w:rsid w:val="001A10A9"/>
    <w:rsid w:val="001A12BC"/>
    <w:rsid w:val="001A1406"/>
    <w:rsid w:val="001A1528"/>
    <w:rsid w:val="001A19A7"/>
    <w:rsid w:val="001A1A24"/>
    <w:rsid w:val="001A1AB1"/>
    <w:rsid w:val="001A1B87"/>
    <w:rsid w:val="001A1CAA"/>
    <w:rsid w:val="001A217A"/>
    <w:rsid w:val="001A2565"/>
    <w:rsid w:val="001A26D8"/>
    <w:rsid w:val="001A2DAD"/>
    <w:rsid w:val="001A31F7"/>
    <w:rsid w:val="001A32B3"/>
    <w:rsid w:val="001A334E"/>
    <w:rsid w:val="001A3529"/>
    <w:rsid w:val="001A3F79"/>
    <w:rsid w:val="001A45B5"/>
    <w:rsid w:val="001A4783"/>
    <w:rsid w:val="001A4993"/>
    <w:rsid w:val="001A4B1E"/>
    <w:rsid w:val="001A4B2A"/>
    <w:rsid w:val="001A4B6B"/>
    <w:rsid w:val="001A55E7"/>
    <w:rsid w:val="001A5BB6"/>
    <w:rsid w:val="001A5F20"/>
    <w:rsid w:val="001A70E0"/>
    <w:rsid w:val="001A71E6"/>
    <w:rsid w:val="001A7616"/>
    <w:rsid w:val="001A79AD"/>
    <w:rsid w:val="001A7C4C"/>
    <w:rsid w:val="001B01F6"/>
    <w:rsid w:val="001B0897"/>
    <w:rsid w:val="001B09AD"/>
    <w:rsid w:val="001B0AD2"/>
    <w:rsid w:val="001B0BAE"/>
    <w:rsid w:val="001B0C27"/>
    <w:rsid w:val="001B0DEF"/>
    <w:rsid w:val="001B0E5F"/>
    <w:rsid w:val="001B109E"/>
    <w:rsid w:val="001B10E8"/>
    <w:rsid w:val="001B1292"/>
    <w:rsid w:val="001B1A97"/>
    <w:rsid w:val="001B1AC7"/>
    <w:rsid w:val="001B1D2B"/>
    <w:rsid w:val="001B23DC"/>
    <w:rsid w:val="001B26E5"/>
    <w:rsid w:val="001B2B5F"/>
    <w:rsid w:val="001B2B81"/>
    <w:rsid w:val="001B2BD2"/>
    <w:rsid w:val="001B2C61"/>
    <w:rsid w:val="001B2CDA"/>
    <w:rsid w:val="001B2E60"/>
    <w:rsid w:val="001B2EBD"/>
    <w:rsid w:val="001B3396"/>
    <w:rsid w:val="001B33E8"/>
    <w:rsid w:val="001B393C"/>
    <w:rsid w:val="001B396D"/>
    <w:rsid w:val="001B3AEB"/>
    <w:rsid w:val="001B3B98"/>
    <w:rsid w:val="001B3BF8"/>
    <w:rsid w:val="001B3C98"/>
    <w:rsid w:val="001B3D8A"/>
    <w:rsid w:val="001B4256"/>
    <w:rsid w:val="001B4410"/>
    <w:rsid w:val="001B473B"/>
    <w:rsid w:val="001B493C"/>
    <w:rsid w:val="001B4AB6"/>
    <w:rsid w:val="001B4B09"/>
    <w:rsid w:val="001B546F"/>
    <w:rsid w:val="001B549E"/>
    <w:rsid w:val="001B5BE5"/>
    <w:rsid w:val="001B5F7D"/>
    <w:rsid w:val="001B646E"/>
    <w:rsid w:val="001B66FD"/>
    <w:rsid w:val="001B692E"/>
    <w:rsid w:val="001B694B"/>
    <w:rsid w:val="001B69D3"/>
    <w:rsid w:val="001B6A17"/>
    <w:rsid w:val="001B6A3C"/>
    <w:rsid w:val="001B6C56"/>
    <w:rsid w:val="001B73BD"/>
    <w:rsid w:val="001B741D"/>
    <w:rsid w:val="001B7487"/>
    <w:rsid w:val="001B757A"/>
    <w:rsid w:val="001B758D"/>
    <w:rsid w:val="001B75A0"/>
    <w:rsid w:val="001B7992"/>
    <w:rsid w:val="001B7B89"/>
    <w:rsid w:val="001C01F4"/>
    <w:rsid w:val="001C024D"/>
    <w:rsid w:val="001C0283"/>
    <w:rsid w:val="001C0880"/>
    <w:rsid w:val="001C09C5"/>
    <w:rsid w:val="001C0B19"/>
    <w:rsid w:val="001C0F30"/>
    <w:rsid w:val="001C128F"/>
    <w:rsid w:val="001C1662"/>
    <w:rsid w:val="001C1871"/>
    <w:rsid w:val="001C18A8"/>
    <w:rsid w:val="001C1A59"/>
    <w:rsid w:val="001C1FFF"/>
    <w:rsid w:val="001C2122"/>
    <w:rsid w:val="001C22CC"/>
    <w:rsid w:val="001C2B69"/>
    <w:rsid w:val="001C2D05"/>
    <w:rsid w:val="001C2F0C"/>
    <w:rsid w:val="001C2F3A"/>
    <w:rsid w:val="001C3200"/>
    <w:rsid w:val="001C32C9"/>
    <w:rsid w:val="001C3337"/>
    <w:rsid w:val="001C33C8"/>
    <w:rsid w:val="001C374A"/>
    <w:rsid w:val="001C377F"/>
    <w:rsid w:val="001C3814"/>
    <w:rsid w:val="001C3EDD"/>
    <w:rsid w:val="001C419F"/>
    <w:rsid w:val="001C440E"/>
    <w:rsid w:val="001C4417"/>
    <w:rsid w:val="001C458E"/>
    <w:rsid w:val="001C47AA"/>
    <w:rsid w:val="001C49A8"/>
    <w:rsid w:val="001C4A59"/>
    <w:rsid w:val="001C4A6E"/>
    <w:rsid w:val="001C4BD7"/>
    <w:rsid w:val="001C502F"/>
    <w:rsid w:val="001C5039"/>
    <w:rsid w:val="001C5091"/>
    <w:rsid w:val="001C5405"/>
    <w:rsid w:val="001C5690"/>
    <w:rsid w:val="001C58E4"/>
    <w:rsid w:val="001C5A9D"/>
    <w:rsid w:val="001C5BA9"/>
    <w:rsid w:val="001C602E"/>
    <w:rsid w:val="001C6310"/>
    <w:rsid w:val="001C637D"/>
    <w:rsid w:val="001C64D4"/>
    <w:rsid w:val="001C6505"/>
    <w:rsid w:val="001C6783"/>
    <w:rsid w:val="001C697F"/>
    <w:rsid w:val="001C7446"/>
    <w:rsid w:val="001C788E"/>
    <w:rsid w:val="001C7B0E"/>
    <w:rsid w:val="001C7B3B"/>
    <w:rsid w:val="001C7C4F"/>
    <w:rsid w:val="001C7CCF"/>
    <w:rsid w:val="001C7F57"/>
    <w:rsid w:val="001C7F66"/>
    <w:rsid w:val="001D0157"/>
    <w:rsid w:val="001D015D"/>
    <w:rsid w:val="001D0329"/>
    <w:rsid w:val="001D09BB"/>
    <w:rsid w:val="001D0B47"/>
    <w:rsid w:val="001D0BBE"/>
    <w:rsid w:val="001D0BDB"/>
    <w:rsid w:val="001D0E20"/>
    <w:rsid w:val="001D12A9"/>
    <w:rsid w:val="001D15FA"/>
    <w:rsid w:val="001D1695"/>
    <w:rsid w:val="001D16B1"/>
    <w:rsid w:val="001D19F0"/>
    <w:rsid w:val="001D1DA6"/>
    <w:rsid w:val="001D1DB1"/>
    <w:rsid w:val="001D1FB2"/>
    <w:rsid w:val="001D2371"/>
    <w:rsid w:val="001D2A0E"/>
    <w:rsid w:val="001D2A23"/>
    <w:rsid w:val="001D2BC6"/>
    <w:rsid w:val="001D2E53"/>
    <w:rsid w:val="001D315C"/>
    <w:rsid w:val="001D320B"/>
    <w:rsid w:val="001D3BD5"/>
    <w:rsid w:val="001D3D1F"/>
    <w:rsid w:val="001D3D7A"/>
    <w:rsid w:val="001D3DF5"/>
    <w:rsid w:val="001D4115"/>
    <w:rsid w:val="001D416E"/>
    <w:rsid w:val="001D41E3"/>
    <w:rsid w:val="001D42CF"/>
    <w:rsid w:val="001D42DB"/>
    <w:rsid w:val="001D449B"/>
    <w:rsid w:val="001D44F4"/>
    <w:rsid w:val="001D4802"/>
    <w:rsid w:val="001D4AF7"/>
    <w:rsid w:val="001D4CB7"/>
    <w:rsid w:val="001D4F51"/>
    <w:rsid w:val="001D5AE2"/>
    <w:rsid w:val="001D5B50"/>
    <w:rsid w:val="001D5D94"/>
    <w:rsid w:val="001D5E4B"/>
    <w:rsid w:val="001D5E9B"/>
    <w:rsid w:val="001D63DF"/>
    <w:rsid w:val="001D6BFC"/>
    <w:rsid w:val="001D7055"/>
    <w:rsid w:val="001D76BF"/>
    <w:rsid w:val="001D7BFB"/>
    <w:rsid w:val="001D7DC6"/>
    <w:rsid w:val="001D7DE3"/>
    <w:rsid w:val="001E0065"/>
    <w:rsid w:val="001E05D3"/>
    <w:rsid w:val="001E0921"/>
    <w:rsid w:val="001E0A61"/>
    <w:rsid w:val="001E0AF3"/>
    <w:rsid w:val="001E1002"/>
    <w:rsid w:val="001E11E8"/>
    <w:rsid w:val="001E14D2"/>
    <w:rsid w:val="001E159D"/>
    <w:rsid w:val="001E1898"/>
    <w:rsid w:val="001E1C30"/>
    <w:rsid w:val="001E1E45"/>
    <w:rsid w:val="001E20A4"/>
    <w:rsid w:val="001E2109"/>
    <w:rsid w:val="001E24E8"/>
    <w:rsid w:val="001E24FD"/>
    <w:rsid w:val="001E27A5"/>
    <w:rsid w:val="001E2E5B"/>
    <w:rsid w:val="001E2EAC"/>
    <w:rsid w:val="001E3056"/>
    <w:rsid w:val="001E35A9"/>
    <w:rsid w:val="001E3F19"/>
    <w:rsid w:val="001E4213"/>
    <w:rsid w:val="001E466A"/>
    <w:rsid w:val="001E46B5"/>
    <w:rsid w:val="001E4705"/>
    <w:rsid w:val="001E4C76"/>
    <w:rsid w:val="001E4C7F"/>
    <w:rsid w:val="001E4C83"/>
    <w:rsid w:val="001E4D37"/>
    <w:rsid w:val="001E5340"/>
    <w:rsid w:val="001E5498"/>
    <w:rsid w:val="001E562E"/>
    <w:rsid w:val="001E5656"/>
    <w:rsid w:val="001E56A3"/>
    <w:rsid w:val="001E57EC"/>
    <w:rsid w:val="001E5886"/>
    <w:rsid w:val="001E5A5D"/>
    <w:rsid w:val="001E5D25"/>
    <w:rsid w:val="001E5DB7"/>
    <w:rsid w:val="001E5E7A"/>
    <w:rsid w:val="001E6288"/>
    <w:rsid w:val="001E64E6"/>
    <w:rsid w:val="001E71BD"/>
    <w:rsid w:val="001E741D"/>
    <w:rsid w:val="001E7522"/>
    <w:rsid w:val="001E75E8"/>
    <w:rsid w:val="001E769A"/>
    <w:rsid w:val="001E76EF"/>
    <w:rsid w:val="001E774D"/>
    <w:rsid w:val="001E79CD"/>
    <w:rsid w:val="001E7BAB"/>
    <w:rsid w:val="001E7BCD"/>
    <w:rsid w:val="001E7C9A"/>
    <w:rsid w:val="001E7F3A"/>
    <w:rsid w:val="001F034A"/>
    <w:rsid w:val="001F06C9"/>
    <w:rsid w:val="001F0913"/>
    <w:rsid w:val="001F0982"/>
    <w:rsid w:val="001F0BF9"/>
    <w:rsid w:val="001F0DD8"/>
    <w:rsid w:val="001F13FE"/>
    <w:rsid w:val="001F1624"/>
    <w:rsid w:val="001F1790"/>
    <w:rsid w:val="001F179C"/>
    <w:rsid w:val="001F181B"/>
    <w:rsid w:val="001F181C"/>
    <w:rsid w:val="001F1957"/>
    <w:rsid w:val="001F197E"/>
    <w:rsid w:val="001F1A8E"/>
    <w:rsid w:val="001F1B8F"/>
    <w:rsid w:val="001F1D72"/>
    <w:rsid w:val="001F1EE7"/>
    <w:rsid w:val="001F1FEA"/>
    <w:rsid w:val="001F21DF"/>
    <w:rsid w:val="001F2537"/>
    <w:rsid w:val="001F260F"/>
    <w:rsid w:val="001F284E"/>
    <w:rsid w:val="001F295A"/>
    <w:rsid w:val="001F29A3"/>
    <w:rsid w:val="001F2A80"/>
    <w:rsid w:val="001F2BCA"/>
    <w:rsid w:val="001F2EE7"/>
    <w:rsid w:val="001F2EF6"/>
    <w:rsid w:val="001F308F"/>
    <w:rsid w:val="001F3244"/>
    <w:rsid w:val="001F334C"/>
    <w:rsid w:val="001F3596"/>
    <w:rsid w:val="001F3B3C"/>
    <w:rsid w:val="001F3B9C"/>
    <w:rsid w:val="001F3C69"/>
    <w:rsid w:val="001F3C8C"/>
    <w:rsid w:val="001F4060"/>
    <w:rsid w:val="001F40EF"/>
    <w:rsid w:val="001F4125"/>
    <w:rsid w:val="001F467A"/>
    <w:rsid w:val="001F4892"/>
    <w:rsid w:val="001F4AE4"/>
    <w:rsid w:val="001F4FA2"/>
    <w:rsid w:val="001F52AC"/>
    <w:rsid w:val="001F5316"/>
    <w:rsid w:val="001F57B0"/>
    <w:rsid w:val="001F57D9"/>
    <w:rsid w:val="001F5BCA"/>
    <w:rsid w:val="001F5EFB"/>
    <w:rsid w:val="001F630B"/>
    <w:rsid w:val="001F635D"/>
    <w:rsid w:val="001F6457"/>
    <w:rsid w:val="001F64E1"/>
    <w:rsid w:val="001F6558"/>
    <w:rsid w:val="001F6664"/>
    <w:rsid w:val="001F6752"/>
    <w:rsid w:val="001F6842"/>
    <w:rsid w:val="001F6D88"/>
    <w:rsid w:val="001F6F08"/>
    <w:rsid w:val="001F7E0E"/>
    <w:rsid w:val="00200095"/>
    <w:rsid w:val="00200130"/>
    <w:rsid w:val="0020056D"/>
    <w:rsid w:val="00200A9B"/>
    <w:rsid w:val="00200ADD"/>
    <w:rsid w:val="00200AF8"/>
    <w:rsid w:val="002011D4"/>
    <w:rsid w:val="00201226"/>
    <w:rsid w:val="0020132B"/>
    <w:rsid w:val="00201339"/>
    <w:rsid w:val="002015C0"/>
    <w:rsid w:val="00201BB8"/>
    <w:rsid w:val="002022C0"/>
    <w:rsid w:val="00202410"/>
    <w:rsid w:val="0020270B"/>
    <w:rsid w:val="00202BE1"/>
    <w:rsid w:val="00202C10"/>
    <w:rsid w:val="00202C8A"/>
    <w:rsid w:val="00202E45"/>
    <w:rsid w:val="002030A3"/>
    <w:rsid w:val="002031A4"/>
    <w:rsid w:val="0020372E"/>
    <w:rsid w:val="00203812"/>
    <w:rsid w:val="002038A9"/>
    <w:rsid w:val="00203A8A"/>
    <w:rsid w:val="00203B80"/>
    <w:rsid w:val="00203DB4"/>
    <w:rsid w:val="00204230"/>
    <w:rsid w:val="00204302"/>
    <w:rsid w:val="002043A6"/>
    <w:rsid w:val="002044F5"/>
    <w:rsid w:val="0020452B"/>
    <w:rsid w:val="002045AF"/>
    <w:rsid w:val="002048DB"/>
    <w:rsid w:val="00204BDB"/>
    <w:rsid w:val="00204BF8"/>
    <w:rsid w:val="00204D4C"/>
    <w:rsid w:val="00204EC6"/>
    <w:rsid w:val="00205317"/>
    <w:rsid w:val="002053CF"/>
    <w:rsid w:val="00205504"/>
    <w:rsid w:val="002057B2"/>
    <w:rsid w:val="00205B6C"/>
    <w:rsid w:val="00205E64"/>
    <w:rsid w:val="00205F7E"/>
    <w:rsid w:val="002060F8"/>
    <w:rsid w:val="0020624D"/>
    <w:rsid w:val="00206318"/>
    <w:rsid w:val="00206439"/>
    <w:rsid w:val="0020647F"/>
    <w:rsid w:val="00206489"/>
    <w:rsid w:val="0020660D"/>
    <w:rsid w:val="0020678D"/>
    <w:rsid w:val="00206945"/>
    <w:rsid w:val="00206A47"/>
    <w:rsid w:val="00206C11"/>
    <w:rsid w:val="00206C3B"/>
    <w:rsid w:val="00206D97"/>
    <w:rsid w:val="00206E9D"/>
    <w:rsid w:val="00207073"/>
    <w:rsid w:val="002071F8"/>
    <w:rsid w:val="0020725A"/>
    <w:rsid w:val="00207394"/>
    <w:rsid w:val="0020767C"/>
    <w:rsid w:val="002077A9"/>
    <w:rsid w:val="00207CF1"/>
    <w:rsid w:val="00207E28"/>
    <w:rsid w:val="00207FF2"/>
    <w:rsid w:val="0021012A"/>
    <w:rsid w:val="00210243"/>
    <w:rsid w:val="0021095B"/>
    <w:rsid w:val="00210D5E"/>
    <w:rsid w:val="00210EBE"/>
    <w:rsid w:val="002110DF"/>
    <w:rsid w:val="00211406"/>
    <w:rsid w:val="00211489"/>
    <w:rsid w:val="002118C8"/>
    <w:rsid w:val="002118FC"/>
    <w:rsid w:val="00211AE5"/>
    <w:rsid w:val="0021225D"/>
    <w:rsid w:val="002124B5"/>
    <w:rsid w:val="00212AE9"/>
    <w:rsid w:val="00212B91"/>
    <w:rsid w:val="0021303A"/>
    <w:rsid w:val="00213194"/>
    <w:rsid w:val="0021334F"/>
    <w:rsid w:val="002137B2"/>
    <w:rsid w:val="002137CC"/>
    <w:rsid w:val="002139D9"/>
    <w:rsid w:val="00213A0F"/>
    <w:rsid w:val="00214067"/>
    <w:rsid w:val="00214578"/>
    <w:rsid w:val="00214693"/>
    <w:rsid w:val="002146AC"/>
    <w:rsid w:val="0021481E"/>
    <w:rsid w:val="0021491C"/>
    <w:rsid w:val="002150DA"/>
    <w:rsid w:val="002150FF"/>
    <w:rsid w:val="0021546B"/>
    <w:rsid w:val="00215495"/>
    <w:rsid w:val="002156D8"/>
    <w:rsid w:val="0021571F"/>
    <w:rsid w:val="002157A3"/>
    <w:rsid w:val="00215816"/>
    <w:rsid w:val="00215D5E"/>
    <w:rsid w:val="00216303"/>
    <w:rsid w:val="002165F8"/>
    <w:rsid w:val="00216885"/>
    <w:rsid w:val="00216B49"/>
    <w:rsid w:val="00216CA7"/>
    <w:rsid w:val="00216D52"/>
    <w:rsid w:val="00216E77"/>
    <w:rsid w:val="002171FE"/>
    <w:rsid w:val="0021721E"/>
    <w:rsid w:val="002172A7"/>
    <w:rsid w:val="002174CE"/>
    <w:rsid w:val="002175A0"/>
    <w:rsid w:val="0021780D"/>
    <w:rsid w:val="0021790C"/>
    <w:rsid w:val="00217930"/>
    <w:rsid w:val="00217BBD"/>
    <w:rsid w:val="002202BE"/>
    <w:rsid w:val="002202D7"/>
    <w:rsid w:val="002208B5"/>
    <w:rsid w:val="0022093C"/>
    <w:rsid w:val="0022097E"/>
    <w:rsid w:val="00220B31"/>
    <w:rsid w:val="00220CDF"/>
    <w:rsid w:val="00220D07"/>
    <w:rsid w:val="002210C9"/>
    <w:rsid w:val="0022194D"/>
    <w:rsid w:val="00221CEB"/>
    <w:rsid w:val="00222132"/>
    <w:rsid w:val="00222321"/>
    <w:rsid w:val="002225B7"/>
    <w:rsid w:val="00222893"/>
    <w:rsid w:val="00222921"/>
    <w:rsid w:val="002229E3"/>
    <w:rsid w:val="00222A5A"/>
    <w:rsid w:val="00222C1F"/>
    <w:rsid w:val="00222D2D"/>
    <w:rsid w:val="00222DDA"/>
    <w:rsid w:val="00223321"/>
    <w:rsid w:val="00223334"/>
    <w:rsid w:val="00223580"/>
    <w:rsid w:val="0022372A"/>
    <w:rsid w:val="002238DD"/>
    <w:rsid w:val="00223DAE"/>
    <w:rsid w:val="00223FC9"/>
    <w:rsid w:val="002243AA"/>
    <w:rsid w:val="00224647"/>
    <w:rsid w:val="00224988"/>
    <w:rsid w:val="00225065"/>
    <w:rsid w:val="002252D6"/>
    <w:rsid w:val="00225728"/>
    <w:rsid w:val="00225894"/>
    <w:rsid w:val="0022590B"/>
    <w:rsid w:val="00225A01"/>
    <w:rsid w:val="00225AAA"/>
    <w:rsid w:val="00225BB6"/>
    <w:rsid w:val="00225D24"/>
    <w:rsid w:val="00225FC5"/>
    <w:rsid w:val="002261A7"/>
    <w:rsid w:val="002264B7"/>
    <w:rsid w:val="00226548"/>
    <w:rsid w:val="00226D21"/>
    <w:rsid w:val="00226E5A"/>
    <w:rsid w:val="002278BF"/>
    <w:rsid w:val="00227ADE"/>
    <w:rsid w:val="0023020D"/>
    <w:rsid w:val="002303D1"/>
    <w:rsid w:val="00230509"/>
    <w:rsid w:val="0023083B"/>
    <w:rsid w:val="00230A3E"/>
    <w:rsid w:val="00230BB9"/>
    <w:rsid w:val="00230D04"/>
    <w:rsid w:val="00230F8D"/>
    <w:rsid w:val="002312C9"/>
    <w:rsid w:val="002313C6"/>
    <w:rsid w:val="00231824"/>
    <w:rsid w:val="002318B8"/>
    <w:rsid w:val="002318E9"/>
    <w:rsid w:val="00231D60"/>
    <w:rsid w:val="00231DDA"/>
    <w:rsid w:val="00232099"/>
    <w:rsid w:val="0023209E"/>
    <w:rsid w:val="0023215A"/>
    <w:rsid w:val="0023226C"/>
    <w:rsid w:val="00232300"/>
    <w:rsid w:val="0023233F"/>
    <w:rsid w:val="0023299E"/>
    <w:rsid w:val="00232B48"/>
    <w:rsid w:val="00232BCE"/>
    <w:rsid w:val="00232C8B"/>
    <w:rsid w:val="00233175"/>
    <w:rsid w:val="0023323C"/>
    <w:rsid w:val="00233440"/>
    <w:rsid w:val="002334C4"/>
    <w:rsid w:val="00233672"/>
    <w:rsid w:val="002336AE"/>
    <w:rsid w:val="0023378C"/>
    <w:rsid w:val="00233889"/>
    <w:rsid w:val="00233AA1"/>
    <w:rsid w:val="00233D44"/>
    <w:rsid w:val="002340D7"/>
    <w:rsid w:val="0023423D"/>
    <w:rsid w:val="002343F2"/>
    <w:rsid w:val="002344AC"/>
    <w:rsid w:val="002349E1"/>
    <w:rsid w:val="00234A32"/>
    <w:rsid w:val="00234AD2"/>
    <w:rsid w:val="00235163"/>
    <w:rsid w:val="0023533F"/>
    <w:rsid w:val="002354C6"/>
    <w:rsid w:val="002356EE"/>
    <w:rsid w:val="002357BB"/>
    <w:rsid w:val="002357BE"/>
    <w:rsid w:val="00235A99"/>
    <w:rsid w:val="00235ABE"/>
    <w:rsid w:val="00235D51"/>
    <w:rsid w:val="00235DAE"/>
    <w:rsid w:val="002360B2"/>
    <w:rsid w:val="00236325"/>
    <w:rsid w:val="00236772"/>
    <w:rsid w:val="0023694A"/>
    <w:rsid w:val="00236F44"/>
    <w:rsid w:val="00237362"/>
    <w:rsid w:val="00237374"/>
    <w:rsid w:val="002374C9"/>
    <w:rsid w:val="0023780C"/>
    <w:rsid w:val="00237908"/>
    <w:rsid w:val="00237954"/>
    <w:rsid w:val="002379D3"/>
    <w:rsid w:val="00237D35"/>
    <w:rsid w:val="00237F36"/>
    <w:rsid w:val="00237FF8"/>
    <w:rsid w:val="0024011C"/>
    <w:rsid w:val="002403E2"/>
    <w:rsid w:val="00240567"/>
    <w:rsid w:val="002406C4"/>
    <w:rsid w:val="00240D9F"/>
    <w:rsid w:val="00241097"/>
    <w:rsid w:val="002411AA"/>
    <w:rsid w:val="00241201"/>
    <w:rsid w:val="0024125D"/>
    <w:rsid w:val="002415F0"/>
    <w:rsid w:val="002418E0"/>
    <w:rsid w:val="00241B15"/>
    <w:rsid w:val="00241DE1"/>
    <w:rsid w:val="0024212E"/>
    <w:rsid w:val="00242503"/>
    <w:rsid w:val="002427F2"/>
    <w:rsid w:val="002429B3"/>
    <w:rsid w:val="00242D57"/>
    <w:rsid w:val="00242DEB"/>
    <w:rsid w:val="00242ED9"/>
    <w:rsid w:val="00243125"/>
    <w:rsid w:val="0024321A"/>
    <w:rsid w:val="002435C2"/>
    <w:rsid w:val="00243870"/>
    <w:rsid w:val="00243D8B"/>
    <w:rsid w:val="00243EB4"/>
    <w:rsid w:val="00243FBA"/>
    <w:rsid w:val="00244206"/>
    <w:rsid w:val="002442C6"/>
    <w:rsid w:val="00244539"/>
    <w:rsid w:val="0024462F"/>
    <w:rsid w:val="0024464E"/>
    <w:rsid w:val="00244752"/>
    <w:rsid w:val="00244A2E"/>
    <w:rsid w:val="00244BD0"/>
    <w:rsid w:val="00244D7A"/>
    <w:rsid w:val="00244DB9"/>
    <w:rsid w:val="002454FC"/>
    <w:rsid w:val="00245BAF"/>
    <w:rsid w:val="00245E3D"/>
    <w:rsid w:val="00245E7B"/>
    <w:rsid w:val="00245F50"/>
    <w:rsid w:val="0024601E"/>
    <w:rsid w:val="00246336"/>
    <w:rsid w:val="00246B32"/>
    <w:rsid w:val="00246F49"/>
    <w:rsid w:val="00246FCB"/>
    <w:rsid w:val="002471C0"/>
    <w:rsid w:val="00247303"/>
    <w:rsid w:val="00247307"/>
    <w:rsid w:val="002473CA"/>
    <w:rsid w:val="00247784"/>
    <w:rsid w:val="00247A19"/>
    <w:rsid w:val="00247C4C"/>
    <w:rsid w:val="00247D9B"/>
    <w:rsid w:val="00247F0F"/>
    <w:rsid w:val="00247F21"/>
    <w:rsid w:val="00250019"/>
    <w:rsid w:val="00250855"/>
    <w:rsid w:val="0025092B"/>
    <w:rsid w:val="00250A6A"/>
    <w:rsid w:val="00250E3D"/>
    <w:rsid w:val="00250F04"/>
    <w:rsid w:val="002512B2"/>
    <w:rsid w:val="002512C9"/>
    <w:rsid w:val="0025167E"/>
    <w:rsid w:val="002519BF"/>
    <w:rsid w:val="002519C4"/>
    <w:rsid w:val="00251A6C"/>
    <w:rsid w:val="00251AB5"/>
    <w:rsid w:val="00251DA6"/>
    <w:rsid w:val="0025209E"/>
    <w:rsid w:val="00252557"/>
    <w:rsid w:val="002530C9"/>
    <w:rsid w:val="002534CB"/>
    <w:rsid w:val="00253730"/>
    <w:rsid w:val="0025380D"/>
    <w:rsid w:val="00253814"/>
    <w:rsid w:val="00253925"/>
    <w:rsid w:val="00253D2C"/>
    <w:rsid w:val="00253FC5"/>
    <w:rsid w:val="0025445F"/>
    <w:rsid w:val="00254820"/>
    <w:rsid w:val="002549C1"/>
    <w:rsid w:val="00254B4D"/>
    <w:rsid w:val="00254E67"/>
    <w:rsid w:val="00254E8D"/>
    <w:rsid w:val="00255048"/>
    <w:rsid w:val="0025522A"/>
    <w:rsid w:val="00255929"/>
    <w:rsid w:val="0025597F"/>
    <w:rsid w:val="00255CCB"/>
    <w:rsid w:val="00255FCF"/>
    <w:rsid w:val="0025605B"/>
    <w:rsid w:val="002562B9"/>
    <w:rsid w:val="00256308"/>
    <w:rsid w:val="00256626"/>
    <w:rsid w:val="00256E64"/>
    <w:rsid w:val="0025714A"/>
    <w:rsid w:val="00257270"/>
    <w:rsid w:val="00257302"/>
    <w:rsid w:val="00257460"/>
    <w:rsid w:val="0025757F"/>
    <w:rsid w:val="002575C0"/>
    <w:rsid w:val="00257B1F"/>
    <w:rsid w:val="00257B80"/>
    <w:rsid w:val="00257CF2"/>
    <w:rsid w:val="00257EDF"/>
    <w:rsid w:val="00257FB8"/>
    <w:rsid w:val="002601D9"/>
    <w:rsid w:val="002605C5"/>
    <w:rsid w:val="002607D7"/>
    <w:rsid w:val="0026088F"/>
    <w:rsid w:val="00260AE7"/>
    <w:rsid w:val="00260B8C"/>
    <w:rsid w:val="00260F8F"/>
    <w:rsid w:val="0026101B"/>
    <w:rsid w:val="0026160F"/>
    <w:rsid w:val="002617F8"/>
    <w:rsid w:val="00262048"/>
    <w:rsid w:val="0026227A"/>
    <w:rsid w:val="002622B9"/>
    <w:rsid w:val="00262394"/>
    <w:rsid w:val="0026268D"/>
    <w:rsid w:val="002627F6"/>
    <w:rsid w:val="00262E39"/>
    <w:rsid w:val="00263170"/>
    <w:rsid w:val="002632DC"/>
    <w:rsid w:val="002633AC"/>
    <w:rsid w:val="0026342C"/>
    <w:rsid w:val="00263436"/>
    <w:rsid w:val="002635A5"/>
    <w:rsid w:val="00263721"/>
    <w:rsid w:val="00263A87"/>
    <w:rsid w:val="00263DF8"/>
    <w:rsid w:val="002643AC"/>
    <w:rsid w:val="0026459D"/>
    <w:rsid w:val="00264B23"/>
    <w:rsid w:val="00264C72"/>
    <w:rsid w:val="00264D8B"/>
    <w:rsid w:val="00264F38"/>
    <w:rsid w:val="002650FD"/>
    <w:rsid w:val="002656FE"/>
    <w:rsid w:val="00265C07"/>
    <w:rsid w:val="00265C9B"/>
    <w:rsid w:val="00265D25"/>
    <w:rsid w:val="00265ED6"/>
    <w:rsid w:val="00265F20"/>
    <w:rsid w:val="00266432"/>
    <w:rsid w:val="002664FB"/>
    <w:rsid w:val="002665ED"/>
    <w:rsid w:val="00266779"/>
    <w:rsid w:val="002668FD"/>
    <w:rsid w:val="00266CED"/>
    <w:rsid w:val="00266EA1"/>
    <w:rsid w:val="0026729E"/>
    <w:rsid w:val="002672A2"/>
    <w:rsid w:val="00267552"/>
    <w:rsid w:val="0026766F"/>
    <w:rsid w:val="00267BA4"/>
    <w:rsid w:val="002702DF"/>
    <w:rsid w:val="0027038D"/>
    <w:rsid w:val="0027058D"/>
    <w:rsid w:val="00270964"/>
    <w:rsid w:val="00270976"/>
    <w:rsid w:val="00270EA6"/>
    <w:rsid w:val="00270F8A"/>
    <w:rsid w:val="002712B4"/>
    <w:rsid w:val="0027159B"/>
    <w:rsid w:val="002716C2"/>
    <w:rsid w:val="0027172A"/>
    <w:rsid w:val="00271BE7"/>
    <w:rsid w:val="00272179"/>
    <w:rsid w:val="002723DB"/>
    <w:rsid w:val="0027247F"/>
    <w:rsid w:val="002726F5"/>
    <w:rsid w:val="00272708"/>
    <w:rsid w:val="00272733"/>
    <w:rsid w:val="00272862"/>
    <w:rsid w:val="00272BA5"/>
    <w:rsid w:val="00272DE8"/>
    <w:rsid w:val="00272EEA"/>
    <w:rsid w:val="00273060"/>
    <w:rsid w:val="00273303"/>
    <w:rsid w:val="0027355A"/>
    <w:rsid w:val="0027375F"/>
    <w:rsid w:val="00273882"/>
    <w:rsid w:val="00273B09"/>
    <w:rsid w:val="00273B0E"/>
    <w:rsid w:val="00273B72"/>
    <w:rsid w:val="00273D01"/>
    <w:rsid w:val="00273E25"/>
    <w:rsid w:val="002741B6"/>
    <w:rsid w:val="0027483D"/>
    <w:rsid w:val="002748BB"/>
    <w:rsid w:val="00274B20"/>
    <w:rsid w:val="00274C48"/>
    <w:rsid w:val="00275DC5"/>
    <w:rsid w:val="00276A99"/>
    <w:rsid w:val="00276AC0"/>
    <w:rsid w:val="00277161"/>
    <w:rsid w:val="002772AC"/>
    <w:rsid w:val="00277366"/>
    <w:rsid w:val="002775C0"/>
    <w:rsid w:val="00277741"/>
    <w:rsid w:val="00277996"/>
    <w:rsid w:val="00277C4A"/>
    <w:rsid w:val="00277EC2"/>
    <w:rsid w:val="00280022"/>
    <w:rsid w:val="0028005F"/>
    <w:rsid w:val="00280291"/>
    <w:rsid w:val="00280817"/>
    <w:rsid w:val="00280935"/>
    <w:rsid w:val="00280A6F"/>
    <w:rsid w:val="00280ECB"/>
    <w:rsid w:val="00280F53"/>
    <w:rsid w:val="002810A4"/>
    <w:rsid w:val="002811AA"/>
    <w:rsid w:val="002815F9"/>
    <w:rsid w:val="00281CFD"/>
    <w:rsid w:val="00281E54"/>
    <w:rsid w:val="00282076"/>
    <w:rsid w:val="002821A2"/>
    <w:rsid w:val="00282275"/>
    <w:rsid w:val="00282431"/>
    <w:rsid w:val="00282676"/>
    <w:rsid w:val="00282B4C"/>
    <w:rsid w:val="00282B74"/>
    <w:rsid w:val="00282C87"/>
    <w:rsid w:val="00282DF9"/>
    <w:rsid w:val="00282F17"/>
    <w:rsid w:val="00283082"/>
    <w:rsid w:val="002830A5"/>
    <w:rsid w:val="0028312B"/>
    <w:rsid w:val="00283281"/>
    <w:rsid w:val="00283293"/>
    <w:rsid w:val="0028368C"/>
    <w:rsid w:val="00283B55"/>
    <w:rsid w:val="00283D65"/>
    <w:rsid w:val="00283E9B"/>
    <w:rsid w:val="00283EAD"/>
    <w:rsid w:val="0028434A"/>
    <w:rsid w:val="002843A0"/>
    <w:rsid w:val="00284867"/>
    <w:rsid w:val="00284BC0"/>
    <w:rsid w:val="00284E0B"/>
    <w:rsid w:val="00284EAE"/>
    <w:rsid w:val="00285690"/>
    <w:rsid w:val="002857F8"/>
    <w:rsid w:val="00285A00"/>
    <w:rsid w:val="00285EB2"/>
    <w:rsid w:val="00285F9D"/>
    <w:rsid w:val="00286112"/>
    <w:rsid w:val="0028622F"/>
    <w:rsid w:val="00286A46"/>
    <w:rsid w:val="00286AC9"/>
    <w:rsid w:val="00286CF4"/>
    <w:rsid w:val="00286D1E"/>
    <w:rsid w:val="00286D78"/>
    <w:rsid w:val="002874E8"/>
    <w:rsid w:val="00287503"/>
    <w:rsid w:val="0028750D"/>
    <w:rsid w:val="002876EB"/>
    <w:rsid w:val="00287824"/>
    <w:rsid w:val="00287946"/>
    <w:rsid w:val="002901ED"/>
    <w:rsid w:val="00290296"/>
    <w:rsid w:val="002903C4"/>
    <w:rsid w:val="002903EB"/>
    <w:rsid w:val="00290607"/>
    <w:rsid w:val="002908AD"/>
    <w:rsid w:val="00290919"/>
    <w:rsid w:val="00290D0F"/>
    <w:rsid w:val="00290EA2"/>
    <w:rsid w:val="00290F6B"/>
    <w:rsid w:val="002914DE"/>
    <w:rsid w:val="0029157C"/>
    <w:rsid w:val="002917E1"/>
    <w:rsid w:val="00291B36"/>
    <w:rsid w:val="00291DAF"/>
    <w:rsid w:val="00291DDC"/>
    <w:rsid w:val="00291DF6"/>
    <w:rsid w:val="00291F35"/>
    <w:rsid w:val="0029241B"/>
    <w:rsid w:val="00292639"/>
    <w:rsid w:val="002929B1"/>
    <w:rsid w:val="00292E71"/>
    <w:rsid w:val="00292FAD"/>
    <w:rsid w:val="0029305B"/>
    <w:rsid w:val="002930B3"/>
    <w:rsid w:val="002930D0"/>
    <w:rsid w:val="00293584"/>
    <w:rsid w:val="00293723"/>
    <w:rsid w:val="002937C7"/>
    <w:rsid w:val="00293B7F"/>
    <w:rsid w:val="00293D93"/>
    <w:rsid w:val="00294210"/>
    <w:rsid w:val="002943EF"/>
    <w:rsid w:val="0029458F"/>
    <w:rsid w:val="002948F6"/>
    <w:rsid w:val="0029496F"/>
    <w:rsid w:val="002949E5"/>
    <w:rsid w:val="002951CF"/>
    <w:rsid w:val="00295346"/>
    <w:rsid w:val="0029534E"/>
    <w:rsid w:val="00295712"/>
    <w:rsid w:val="002958B7"/>
    <w:rsid w:val="00295A2E"/>
    <w:rsid w:val="00295BC0"/>
    <w:rsid w:val="00295CCC"/>
    <w:rsid w:val="00295D1D"/>
    <w:rsid w:val="00295D97"/>
    <w:rsid w:val="00295E04"/>
    <w:rsid w:val="00296341"/>
    <w:rsid w:val="002963A0"/>
    <w:rsid w:val="00296412"/>
    <w:rsid w:val="00296A1C"/>
    <w:rsid w:val="00296AAD"/>
    <w:rsid w:val="00296BD0"/>
    <w:rsid w:val="00296C97"/>
    <w:rsid w:val="00297189"/>
    <w:rsid w:val="00297297"/>
    <w:rsid w:val="00297617"/>
    <w:rsid w:val="00297972"/>
    <w:rsid w:val="002979DF"/>
    <w:rsid w:val="002A0152"/>
    <w:rsid w:val="002A0868"/>
    <w:rsid w:val="002A0B6C"/>
    <w:rsid w:val="002A0C72"/>
    <w:rsid w:val="002A0F3F"/>
    <w:rsid w:val="002A11BA"/>
    <w:rsid w:val="002A137C"/>
    <w:rsid w:val="002A14AA"/>
    <w:rsid w:val="002A17E5"/>
    <w:rsid w:val="002A1951"/>
    <w:rsid w:val="002A1A04"/>
    <w:rsid w:val="002A1A62"/>
    <w:rsid w:val="002A1AA8"/>
    <w:rsid w:val="002A1B27"/>
    <w:rsid w:val="002A1C15"/>
    <w:rsid w:val="002A20EE"/>
    <w:rsid w:val="002A22D7"/>
    <w:rsid w:val="002A2652"/>
    <w:rsid w:val="002A27B4"/>
    <w:rsid w:val="002A27FD"/>
    <w:rsid w:val="002A2B80"/>
    <w:rsid w:val="002A2DE7"/>
    <w:rsid w:val="002A2DF8"/>
    <w:rsid w:val="002A306A"/>
    <w:rsid w:val="002A30C0"/>
    <w:rsid w:val="002A3265"/>
    <w:rsid w:val="002A329C"/>
    <w:rsid w:val="002A3524"/>
    <w:rsid w:val="002A353D"/>
    <w:rsid w:val="002A36C2"/>
    <w:rsid w:val="002A3733"/>
    <w:rsid w:val="002A3750"/>
    <w:rsid w:val="002A395D"/>
    <w:rsid w:val="002A3D2B"/>
    <w:rsid w:val="002A42FE"/>
    <w:rsid w:val="002A433B"/>
    <w:rsid w:val="002A4472"/>
    <w:rsid w:val="002A460D"/>
    <w:rsid w:val="002A4844"/>
    <w:rsid w:val="002A4AB9"/>
    <w:rsid w:val="002A4E45"/>
    <w:rsid w:val="002A5566"/>
    <w:rsid w:val="002A5584"/>
    <w:rsid w:val="002A5656"/>
    <w:rsid w:val="002A5770"/>
    <w:rsid w:val="002A5B8E"/>
    <w:rsid w:val="002A5F5B"/>
    <w:rsid w:val="002A60B1"/>
    <w:rsid w:val="002A6118"/>
    <w:rsid w:val="002A617E"/>
    <w:rsid w:val="002A63C9"/>
    <w:rsid w:val="002A63D3"/>
    <w:rsid w:val="002A6468"/>
    <w:rsid w:val="002A6624"/>
    <w:rsid w:val="002A6799"/>
    <w:rsid w:val="002A68BC"/>
    <w:rsid w:val="002A6CE4"/>
    <w:rsid w:val="002A6E42"/>
    <w:rsid w:val="002A7180"/>
    <w:rsid w:val="002A74BE"/>
    <w:rsid w:val="002A7668"/>
    <w:rsid w:val="002A76DE"/>
    <w:rsid w:val="002A7AB2"/>
    <w:rsid w:val="002A7B50"/>
    <w:rsid w:val="002A7BB5"/>
    <w:rsid w:val="002A7F1F"/>
    <w:rsid w:val="002A7FB3"/>
    <w:rsid w:val="002A7FE3"/>
    <w:rsid w:val="002B01B8"/>
    <w:rsid w:val="002B0797"/>
    <w:rsid w:val="002B07F9"/>
    <w:rsid w:val="002B0B1B"/>
    <w:rsid w:val="002B0C61"/>
    <w:rsid w:val="002B0CED"/>
    <w:rsid w:val="002B0E48"/>
    <w:rsid w:val="002B1542"/>
    <w:rsid w:val="002B17EA"/>
    <w:rsid w:val="002B1C8B"/>
    <w:rsid w:val="002B1D13"/>
    <w:rsid w:val="002B1FD6"/>
    <w:rsid w:val="002B2056"/>
    <w:rsid w:val="002B22A7"/>
    <w:rsid w:val="002B22DF"/>
    <w:rsid w:val="002B23ED"/>
    <w:rsid w:val="002B2B74"/>
    <w:rsid w:val="002B2C6F"/>
    <w:rsid w:val="002B2D72"/>
    <w:rsid w:val="002B2DE3"/>
    <w:rsid w:val="002B2E15"/>
    <w:rsid w:val="002B31B4"/>
    <w:rsid w:val="002B329D"/>
    <w:rsid w:val="002B331E"/>
    <w:rsid w:val="002B3540"/>
    <w:rsid w:val="002B36B6"/>
    <w:rsid w:val="002B3A59"/>
    <w:rsid w:val="002B3BEC"/>
    <w:rsid w:val="002B3C62"/>
    <w:rsid w:val="002B3D6D"/>
    <w:rsid w:val="002B408E"/>
    <w:rsid w:val="002B40D7"/>
    <w:rsid w:val="002B438B"/>
    <w:rsid w:val="002B43C2"/>
    <w:rsid w:val="002B43F6"/>
    <w:rsid w:val="002B458C"/>
    <w:rsid w:val="002B45C9"/>
    <w:rsid w:val="002B4764"/>
    <w:rsid w:val="002B480E"/>
    <w:rsid w:val="002B4816"/>
    <w:rsid w:val="002B4AE0"/>
    <w:rsid w:val="002B51B1"/>
    <w:rsid w:val="002B5208"/>
    <w:rsid w:val="002B5255"/>
    <w:rsid w:val="002B5557"/>
    <w:rsid w:val="002B588C"/>
    <w:rsid w:val="002B58C4"/>
    <w:rsid w:val="002B5D19"/>
    <w:rsid w:val="002B5F0C"/>
    <w:rsid w:val="002B6254"/>
    <w:rsid w:val="002B68BF"/>
    <w:rsid w:val="002B6A54"/>
    <w:rsid w:val="002B706E"/>
    <w:rsid w:val="002B7AB4"/>
    <w:rsid w:val="002B7CF4"/>
    <w:rsid w:val="002C00D0"/>
    <w:rsid w:val="002C0131"/>
    <w:rsid w:val="002C047A"/>
    <w:rsid w:val="002C06D7"/>
    <w:rsid w:val="002C095E"/>
    <w:rsid w:val="002C0C98"/>
    <w:rsid w:val="002C0C9E"/>
    <w:rsid w:val="002C11B8"/>
    <w:rsid w:val="002C12D0"/>
    <w:rsid w:val="002C13F3"/>
    <w:rsid w:val="002C1517"/>
    <w:rsid w:val="002C16A8"/>
    <w:rsid w:val="002C1BBC"/>
    <w:rsid w:val="002C1CD8"/>
    <w:rsid w:val="002C1D02"/>
    <w:rsid w:val="002C1E14"/>
    <w:rsid w:val="002C1EC1"/>
    <w:rsid w:val="002C1F6F"/>
    <w:rsid w:val="002C2386"/>
    <w:rsid w:val="002C28B0"/>
    <w:rsid w:val="002C2929"/>
    <w:rsid w:val="002C2A67"/>
    <w:rsid w:val="002C2BE7"/>
    <w:rsid w:val="002C2D32"/>
    <w:rsid w:val="002C2ED4"/>
    <w:rsid w:val="002C3051"/>
    <w:rsid w:val="002C36E7"/>
    <w:rsid w:val="002C3AB2"/>
    <w:rsid w:val="002C3CC1"/>
    <w:rsid w:val="002C4BE5"/>
    <w:rsid w:val="002C4EDE"/>
    <w:rsid w:val="002C4F3E"/>
    <w:rsid w:val="002C4F87"/>
    <w:rsid w:val="002C52C0"/>
    <w:rsid w:val="002C5787"/>
    <w:rsid w:val="002C57DA"/>
    <w:rsid w:val="002C5B3D"/>
    <w:rsid w:val="002C5BD2"/>
    <w:rsid w:val="002C6134"/>
    <w:rsid w:val="002C63EC"/>
    <w:rsid w:val="002C68B2"/>
    <w:rsid w:val="002C6A86"/>
    <w:rsid w:val="002C6B78"/>
    <w:rsid w:val="002C6E5C"/>
    <w:rsid w:val="002C6E66"/>
    <w:rsid w:val="002C6FB8"/>
    <w:rsid w:val="002C749A"/>
    <w:rsid w:val="002C7722"/>
    <w:rsid w:val="002C7C19"/>
    <w:rsid w:val="002C7CE4"/>
    <w:rsid w:val="002D0428"/>
    <w:rsid w:val="002D04E5"/>
    <w:rsid w:val="002D054C"/>
    <w:rsid w:val="002D0AA2"/>
    <w:rsid w:val="002D0D67"/>
    <w:rsid w:val="002D0E7A"/>
    <w:rsid w:val="002D1023"/>
    <w:rsid w:val="002D1373"/>
    <w:rsid w:val="002D13C6"/>
    <w:rsid w:val="002D1585"/>
    <w:rsid w:val="002D1603"/>
    <w:rsid w:val="002D17AC"/>
    <w:rsid w:val="002D1A66"/>
    <w:rsid w:val="002D1AD8"/>
    <w:rsid w:val="002D1CE4"/>
    <w:rsid w:val="002D1DDA"/>
    <w:rsid w:val="002D1E8F"/>
    <w:rsid w:val="002D1ED8"/>
    <w:rsid w:val="002D24FA"/>
    <w:rsid w:val="002D2B85"/>
    <w:rsid w:val="002D2C5F"/>
    <w:rsid w:val="002D2F5F"/>
    <w:rsid w:val="002D3299"/>
    <w:rsid w:val="002D33C9"/>
    <w:rsid w:val="002D35F6"/>
    <w:rsid w:val="002D375A"/>
    <w:rsid w:val="002D39B6"/>
    <w:rsid w:val="002D39D8"/>
    <w:rsid w:val="002D3BC7"/>
    <w:rsid w:val="002D3E5F"/>
    <w:rsid w:val="002D3F20"/>
    <w:rsid w:val="002D471A"/>
    <w:rsid w:val="002D4890"/>
    <w:rsid w:val="002D4B65"/>
    <w:rsid w:val="002D4BF2"/>
    <w:rsid w:val="002D4DF3"/>
    <w:rsid w:val="002D5126"/>
    <w:rsid w:val="002D53B4"/>
    <w:rsid w:val="002D5649"/>
    <w:rsid w:val="002D56EA"/>
    <w:rsid w:val="002D5886"/>
    <w:rsid w:val="002D60B4"/>
    <w:rsid w:val="002D62E1"/>
    <w:rsid w:val="002D63AC"/>
    <w:rsid w:val="002D6543"/>
    <w:rsid w:val="002D6AC3"/>
    <w:rsid w:val="002D721E"/>
    <w:rsid w:val="002D7313"/>
    <w:rsid w:val="002D7324"/>
    <w:rsid w:val="002D75AB"/>
    <w:rsid w:val="002D763A"/>
    <w:rsid w:val="002D7899"/>
    <w:rsid w:val="002D7B0C"/>
    <w:rsid w:val="002D7E4B"/>
    <w:rsid w:val="002D7E6E"/>
    <w:rsid w:val="002E0127"/>
    <w:rsid w:val="002E01E3"/>
    <w:rsid w:val="002E02E3"/>
    <w:rsid w:val="002E0954"/>
    <w:rsid w:val="002E0AAA"/>
    <w:rsid w:val="002E0C1B"/>
    <w:rsid w:val="002E0D9C"/>
    <w:rsid w:val="002E0E2E"/>
    <w:rsid w:val="002E1229"/>
    <w:rsid w:val="002E150F"/>
    <w:rsid w:val="002E184E"/>
    <w:rsid w:val="002E1997"/>
    <w:rsid w:val="002E2419"/>
    <w:rsid w:val="002E261B"/>
    <w:rsid w:val="002E26D8"/>
    <w:rsid w:val="002E2747"/>
    <w:rsid w:val="002E27C5"/>
    <w:rsid w:val="002E2F96"/>
    <w:rsid w:val="002E3056"/>
    <w:rsid w:val="002E346D"/>
    <w:rsid w:val="002E35C4"/>
    <w:rsid w:val="002E361A"/>
    <w:rsid w:val="002E37AC"/>
    <w:rsid w:val="002E38FA"/>
    <w:rsid w:val="002E39CB"/>
    <w:rsid w:val="002E3CFC"/>
    <w:rsid w:val="002E3E18"/>
    <w:rsid w:val="002E4436"/>
    <w:rsid w:val="002E445A"/>
    <w:rsid w:val="002E447C"/>
    <w:rsid w:val="002E45EB"/>
    <w:rsid w:val="002E4848"/>
    <w:rsid w:val="002E5808"/>
    <w:rsid w:val="002E5E3F"/>
    <w:rsid w:val="002E5F0D"/>
    <w:rsid w:val="002E62BD"/>
    <w:rsid w:val="002E63F6"/>
    <w:rsid w:val="002E64B3"/>
    <w:rsid w:val="002E6A5C"/>
    <w:rsid w:val="002E6D35"/>
    <w:rsid w:val="002E6D7A"/>
    <w:rsid w:val="002E70FD"/>
    <w:rsid w:val="002E7160"/>
    <w:rsid w:val="002E7287"/>
    <w:rsid w:val="002E799B"/>
    <w:rsid w:val="002E7E77"/>
    <w:rsid w:val="002F0012"/>
    <w:rsid w:val="002F013A"/>
    <w:rsid w:val="002F08E4"/>
    <w:rsid w:val="002F0AA2"/>
    <w:rsid w:val="002F0BCE"/>
    <w:rsid w:val="002F0C3F"/>
    <w:rsid w:val="002F0ECF"/>
    <w:rsid w:val="002F112A"/>
    <w:rsid w:val="002F12F5"/>
    <w:rsid w:val="002F13F7"/>
    <w:rsid w:val="002F142F"/>
    <w:rsid w:val="002F1507"/>
    <w:rsid w:val="002F185B"/>
    <w:rsid w:val="002F190C"/>
    <w:rsid w:val="002F193F"/>
    <w:rsid w:val="002F1C4A"/>
    <w:rsid w:val="002F1D20"/>
    <w:rsid w:val="002F1FB2"/>
    <w:rsid w:val="002F28F5"/>
    <w:rsid w:val="002F2AE3"/>
    <w:rsid w:val="002F2E3B"/>
    <w:rsid w:val="002F2E5D"/>
    <w:rsid w:val="002F30AC"/>
    <w:rsid w:val="002F3159"/>
    <w:rsid w:val="002F328A"/>
    <w:rsid w:val="002F32DB"/>
    <w:rsid w:val="002F33E8"/>
    <w:rsid w:val="002F34AB"/>
    <w:rsid w:val="002F34BC"/>
    <w:rsid w:val="002F3ABF"/>
    <w:rsid w:val="002F3B38"/>
    <w:rsid w:val="002F3C9A"/>
    <w:rsid w:val="002F3E1C"/>
    <w:rsid w:val="002F3E4D"/>
    <w:rsid w:val="002F3E4F"/>
    <w:rsid w:val="002F4173"/>
    <w:rsid w:val="002F438B"/>
    <w:rsid w:val="002F4408"/>
    <w:rsid w:val="002F4419"/>
    <w:rsid w:val="002F4573"/>
    <w:rsid w:val="002F462F"/>
    <w:rsid w:val="002F4917"/>
    <w:rsid w:val="002F4DA8"/>
    <w:rsid w:val="002F4DBC"/>
    <w:rsid w:val="002F5192"/>
    <w:rsid w:val="002F51F0"/>
    <w:rsid w:val="002F56C3"/>
    <w:rsid w:val="002F59ED"/>
    <w:rsid w:val="002F5A24"/>
    <w:rsid w:val="002F5F0C"/>
    <w:rsid w:val="002F5F65"/>
    <w:rsid w:val="002F608C"/>
    <w:rsid w:val="002F619A"/>
    <w:rsid w:val="002F6415"/>
    <w:rsid w:val="002F6608"/>
    <w:rsid w:val="002F6630"/>
    <w:rsid w:val="002F6C59"/>
    <w:rsid w:val="002F71BC"/>
    <w:rsid w:val="002F7530"/>
    <w:rsid w:val="002F75C6"/>
    <w:rsid w:val="00300A4C"/>
    <w:rsid w:val="00301493"/>
    <w:rsid w:val="0030189E"/>
    <w:rsid w:val="00301A3D"/>
    <w:rsid w:val="00301A7B"/>
    <w:rsid w:val="00301CA9"/>
    <w:rsid w:val="00301D14"/>
    <w:rsid w:val="00301FA8"/>
    <w:rsid w:val="00302059"/>
    <w:rsid w:val="003023B0"/>
    <w:rsid w:val="0030244E"/>
    <w:rsid w:val="00302637"/>
    <w:rsid w:val="003026AB"/>
    <w:rsid w:val="003028BC"/>
    <w:rsid w:val="0030302B"/>
    <w:rsid w:val="003033DB"/>
    <w:rsid w:val="0030342C"/>
    <w:rsid w:val="00303687"/>
    <w:rsid w:val="003038CF"/>
    <w:rsid w:val="00303A5D"/>
    <w:rsid w:val="00303EAF"/>
    <w:rsid w:val="003040BA"/>
    <w:rsid w:val="0030419A"/>
    <w:rsid w:val="0030453E"/>
    <w:rsid w:val="00304DA7"/>
    <w:rsid w:val="00304FEB"/>
    <w:rsid w:val="003050C8"/>
    <w:rsid w:val="00305232"/>
    <w:rsid w:val="0030526E"/>
    <w:rsid w:val="00305289"/>
    <w:rsid w:val="003053FE"/>
    <w:rsid w:val="003055B3"/>
    <w:rsid w:val="003059CC"/>
    <w:rsid w:val="00305B71"/>
    <w:rsid w:val="00305BD6"/>
    <w:rsid w:val="00305CA3"/>
    <w:rsid w:val="00305D8E"/>
    <w:rsid w:val="00305E3E"/>
    <w:rsid w:val="00306025"/>
    <w:rsid w:val="00306392"/>
    <w:rsid w:val="00306457"/>
    <w:rsid w:val="00306622"/>
    <w:rsid w:val="00306634"/>
    <w:rsid w:val="00306665"/>
    <w:rsid w:val="003067EC"/>
    <w:rsid w:val="00306A8D"/>
    <w:rsid w:val="00306AE0"/>
    <w:rsid w:val="003072B7"/>
    <w:rsid w:val="003073CB"/>
    <w:rsid w:val="003079F1"/>
    <w:rsid w:val="00307C42"/>
    <w:rsid w:val="00307D11"/>
    <w:rsid w:val="00310204"/>
    <w:rsid w:val="003102AB"/>
    <w:rsid w:val="003108CC"/>
    <w:rsid w:val="00310A66"/>
    <w:rsid w:val="00310BAE"/>
    <w:rsid w:val="00310C5A"/>
    <w:rsid w:val="00310ECE"/>
    <w:rsid w:val="00311054"/>
    <w:rsid w:val="003110CF"/>
    <w:rsid w:val="00311107"/>
    <w:rsid w:val="003113E4"/>
    <w:rsid w:val="003115CD"/>
    <w:rsid w:val="003115E4"/>
    <w:rsid w:val="0031164E"/>
    <w:rsid w:val="00311AAF"/>
    <w:rsid w:val="00311AB5"/>
    <w:rsid w:val="00311BE0"/>
    <w:rsid w:val="00311F96"/>
    <w:rsid w:val="0031270E"/>
    <w:rsid w:val="00312AD2"/>
    <w:rsid w:val="00312B48"/>
    <w:rsid w:val="00312C78"/>
    <w:rsid w:val="00313068"/>
    <w:rsid w:val="0031310D"/>
    <w:rsid w:val="0031319E"/>
    <w:rsid w:val="003131D3"/>
    <w:rsid w:val="003133AE"/>
    <w:rsid w:val="003133B9"/>
    <w:rsid w:val="003137DF"/>
    <w:rsid w:val="003138AC"/>
    <w:rsid w:val="00313A0C"/>
    <w:rsid w:val="00313E0B"/>
    <w:rsid w:val="00314122"/>
    <w:rsid w:val="003141B6"/>
    <w:rsid w:val="003142AD"/>
    <w:rsid w:val="003146F4"/>
    <w:rsid w:val="0031475F"/>
    <w:rsid w:val="00314942"/>
    <w:rsid w:val="00314AA0"/>
    <w:rsid w:val="00314CE1"/>
    <w:rsid w:val="00314D9C"/>
    <w:rsid w:val="00314E8F"/>
    <w:rsid w:val="00315020"/>
    <w:rsid w:val="0031559A"/>
    <w:rsid w:val="00315606"/>
    <w:rsid w:val="00315F3A"/>
    <w:rsid w:val="0031617A"/>
    <w:rsid w:val="003161BC"/>
    <w:rsid w:val="00316203"/>
    <w:rsid w:val="0031626C"/>
    <w:rsid w:val="00316A28"/>
    <w:rsid w:val="00316C3F"/>
    <w:rsid w:val="00316CB3"/>
    <w:rsid w:val="00316EA6"/>
    <w:rsid w:val="00316F14"/>
    <w:rsid w:val="00316F4C"/>
    <w:rsid w:val="00317358"/>
    <w:rsid w:val="0031736F"/>
    <w:rsid w:val="00317717"/>
    <w:rsid w:val="0031799C"/>
    <w:rsid w:val="00317D3C"/>
    <w:rsid w:val="00317FEC"/>
    <w:rsid w:val="0032045C"/>
    <w:rsid w:val="00320651"/>
    <w:rsid w:val="003206C1"/>
    <w:rsid w:val="003207CD"/>
    <w:rsid w:val="003209BE"/>
    <w:rsid w:val="00320D3D"/>
    <w:rsid w:val="00320E7C"/>
    <w:rsid w:val="00320FD3"/>
    <w:rsid w:val="00321701"/>
    <w:rsid w:val="0032171F"/>
    <w:rsid w:val="0032175D"/>
    <w:rsid w:val="0032187C"/>
    <w:rsid w:val="003219FB"/>
    <w:rsid w:val="00321ABA"/>
    <w:rsid w:val="00321CD3"/>
    <w:rsid w:val="00321CE9"/>
    <w:rsid w:val="00321D15"/>
    <w:rsid w:val="00322032"/>
    <w:rsid w:val="003222EE"/>
    <w:rsid w:val="0032232E"/>
    <w:rsid w:val="0032247C"/>
    <w:rsid w:val="003224CB"/>
    <w:rsid w:val="003226DD"/>
    <w:rsid w:val="00322721"/>
    <w:rsid w:val="00322BFF"/>
    <w:rsid w:val="00323190"/>
    <w:rsid w:val="00323193"/>
    <w:rsid w:val="003231AA"/>
    <w:rsid w:val="0032336D"/>
    <w:rsid w:val="0032381F"/>
    <w:rsid w:val="00323FC8"/>
    <w:rsid w:val="0032434D"/>
    <w:rsid w:val="00324394"/>
    <w:rsid w:val="003245CE"/>
    <w:rsid w:val="003248CF"/>
    <w:rsid w:val="003256B6"/>
    <w:rsid w:val="003258FA"/>
    <w:rsid w:val="00325948"/>
    <w:rsid w:val="00325EAD"/>
    <w:rsid w:val="0032603B"/>
    <w:rsid w:val="003260A1"/>
    <w:rsid w:val="003262B7"/>
    <w:rsid w:val="003263C1"/>
    <w:rsid w:val="003267E3"/>
    <w:rsid w:val="00326A97"/>
    <w:rsid w:val="00326AB5"/>
    <w:rsid w:val="00326B0A"/>
    <w:rsid w:val="00326BB1"/>
    <w:rsid w:val="00326C8D"/>
    <w:rsid w:val="00326EA8"/>
    <w:rsid w:val="00326F0C"/>
    <w:rsid w:val="0032717B"/>
    <w:rsid w:val="0032733B"/>
    <w:rsid w:val="003279A6"/>
    <w:rsid w:val="00330182"/>
    <w:rsid w:val="0033046B"/>
    <w:rsid w:val="00330A84"/>
    <w:rsid w:val="00330AC7"/>
    <w:rsid w:val="00330CCD"/>
    <w:rsid w:val="00331160"/>
    <w:rsid w:val="00331A52"/>
    <w:rsid w:val="00331BF9"/>
    <w:rsid w:val="00331CA3"/>
    <w:rsid w:val="00331D74"/>
    <w:rsid w:val="00331EBB"/>
    <w:rsid w:val="00331F6C"/>
    <w:rsid w:val="00332008"/>
    <w:rsid w:val="00332995"/>
    <w:rsid w:val="003329FD"/>
    <w:rsid w:val="00332C96"/>
    <w:rsid w:val="0033305D"/>
    <w:rsid w:val="003331F8"/>
    <w:rsid w:val="0033344A"/>
    <w:rsid w:val="00333553"/>
    <w:rsid w:val="003335EF"/>
    <w:rsid w:val="003337A2"/>
    <w:rsid w:val="00333D94"/>
    <w:rsid w:val="00333FC4"/>
    <w:rsid w:val="00334411"/>
    <w:rsid w:val="0033455B"/>
    <w:rsid w:val="00334573"/>
    <w:rsid w:val="003347FB"/>
    <w:rsid w:val="00334D30"/>
    <w:rsid w:val="00334DC2"/>
    <w:rsid w:val="00334E01"/>
    <w:rsid w:val="00334E28"/>
    <w:rsid w:val="00334F1F"/>
    <w:rsid w:val="0033507F"/>
    <w:rsid w:val="003351DD"/>
    <w:rsid w:val="003354D6"/>
    <w:rsid w:val="00335619"/>
    <w:rsid w:val="00335887"/>
    <w:rsid w:val="00335952"/>
    <w:rsid w:val="00335AC8"/>
    <w:rsid w:val="00335AD2"/>
    <w:rsid w:val="00335CA6"/>
    <w:rsid w:val="00335DB5"/>
    <w:rsid w:val="00335F5C"/>
    <w:rsid w:val="00336647"/>
    <w:rsid w:val="00336B0A"/>
    <w:rsid w:val="0033702B"/>
    <w:rsid w:val="00337549"/>
    <w:rsid w:val="003375B4"/>
    <w:rsid w:val="00337690"/>
    <w:rsid w:val="00337A17"/>
    <w:rsid w:val="00337E6C"/>
    <w:rsid w:val="0034012E"/>
    <w:rsid w:val="003401F0"/>
    <w:rsid w:val="00340767"/>
    <w:rsid w:val="00340D63"/>
    <w:rsid w:val="00340FFC"/>
    <w:rsid w:val="003411FA"/>
    <w:rsid w:val="003413A5"/>
    <w:rsid w:val="0034148A"/>
    <w:rsid w:val="00342352"/>
    <w:rsid w:val="00342499"/>
    <w:rsid w:val="00342F70"/>
    <w:rsid w:val="003431F8"/>
    <w:rsid w:val="003437D9"/>
    <w:rsid w:val="0034391A"/>
    <w:rsid w:val="003439CC"/>
    <w:rsid w:val="003439D2"/>
    <w:rsid w:val="00343A3C"/>
    <w:rsid w:val="0034422D"/>
    <w:rsid w:val="003447DC"/>
    <w:rsid w:val="003448E0"/>
    <w:rsid w:val="00344BEB"/>
    <w:rsid w:val="00344CA2"/>
    <w:rsid w:val="003450FF"/>
    <w:rsid w:val="00345216"/>
    <w:rsid w:val="00345273"/>
    <w:rsid w:val="00345D94"/>
    <w:rsid w:val="00345E0B"/>
    <w:rsid w:val="00345E5C"/>
    <w:rsid w:val="003461CC"/>
    <w:rsid w:val="00346378"/>
    <w:rsid w:val="0034655E"/>
    <w:rsid w:val="00346563"/>
    <w:rsid w:val="00346A8E"/>
    <w:rsid w:val="00346B0B"/>
    <w:rsid w:val="00346C9A"/>
    <w:rsid w:val="00346CE6"/>
    <w:rsid w:val="00346D6E"/>
    <w:rsid w:val="00346E8D"/>
    <w:rsid w:val="003476E0"/>
    <w:rsid w:val="00347998"/>
    <w:rsid w:val="00347AD7"/>
    <w:rsid w:val="00347D58"/>
    <w:rsid w:val="00347E3D"/>
    <w:rsid w:val="00347E70"/>
    <w:rsid w:val="00347EF0"/>
    <w:rsid w:val="0035038D"/>
    <w:rsid w:val="003503B0"/>
    <w:rsid w:val="0035050E"/>
    <w:rsid w:val="00350669"/>
    <w:rsid w:val="0035087C"/>
    <w:rsid w:val="00350A1D"/>
    <w:rsid w:val="00350BB1"/>
    <w:rsid w:val="003518D6"/>
    <w:rsid w:val="003519F6"/>
    <w:rsid w:val="00351BF5"/>
    <w:rsid w:val="00351D85"/>
    <w:rsid w:val="0035217D"/>
    <w:rsid w:val="003521DF"/>
    <w:rsid w:val="00352214"/>
    <w:rsid w:val="00352407"/>
    <w:rsid w:val="0035271F"/>
    <w:rsid w:val="00352974"/>
    <w:rsid w:val="00352A3D"/>
    <w:rsid w:val="00352BC3"/>
    <w:rsid w:val="00352C97"/>
    <w:rsid w:val="00352E1F"/>
    <w:rsid w:val="00352EAB"/>
    <w:rsid w:val="00353661"/>
    <w:rsid w:val="00353732"/>
    <w:rsid w:val="00353850"/>
    <w:rsid w:val="00353908"/>
    <w:rsid w:val="00353AD0"/>
    <w:rsid w:val="00353FB2"/>
    <w:rsid w:val="00353FBC"/>
    <w:rsid w:val="00354290"/>
    <w:rsid w:val="003542A9"/>
    <w:rsid w:val="00354A6A"/>
    <w:rsid w:val="00354C7F"/>
    <w:rsid w:val="00354DD4"/>
    <w:rsid w:val="00354F59"/>
    <w:rsid w:val="00354FF3"/>
    <w:rsid w:val="00355116"/>
    <w:rsid w:val="00355220"/>
    <w:rsid w:val="00355657"/>
    <w:rsid w:val="003556C9"/>
    <w:rsid w:val="0035576A"/>
    <w:rsid w:val="00355B16"/>
    <w:rsid w:val="00355CF9"/>
    <w:rsid w:val="00355D0C"/>
    <w:rsid w:val="00355D13"/>
    <w:rsid w:val="003563A4"/>
    <w:rsid w:val="00356727"/>
    <w:rsid w:val="00356916"/>
    <w:rsid w:val="00356A79"/>
    <w:rsid w:val="00356BB6"/>
    <w:rsid w:val="0035725C"/>
    <w:rsid w:val="003574F5"/>
    <w:rsid w:val="003576BE"/>
    <w:rsid w:val="00357949"/>
    <w:rsid w:val="0036000B"/>
    <w:rsid w:val="003600BA"/>
    <w:rsid w:val="00360223"/>
    <w:rsid w:val="00360284"/>
    <w:rsid w:val="00360355"/>
    <w:rsid w:val="003604BC"/>
    <w:rsid w:val="00360894"/>
    <w:rsid w:val="00360922"/>
    <w:rsid w:val="0036097C"/>
    <w:rsid w:val="00360C2E"/>
    <w:rsid w:val="00360CBD"/>
    <w:rsid w:val="00360D66"/>
    <w:rsid w:val="00360DEA"/>
    <w:rsid w:val="00360EF1"/>
    <w:rsid w:val="00360F0A"/>
    <w:rsid w:val="00361030"/>
    <w:rsid w:val="003610F7"/>
    <w:rsid w:val="003619DB"/>
    <w:rsid w:val="00361B11"/>
    <w:rsid w:val="0036213E"/>
    <w:rsid w:val="00362558"/>
    <w:rsid w:val="003626A4"/>
    <w:rsid w:val="00362746"/>
    <w:rsid w:val="00362825"/>
    <w:rsid w:val="00362C37"/>
    <w:rsid w:val="00362F92"/>
    <w:rsid w:val="003630F0"/>
    <w:rsid w:val="00363125"/>
    <w:rsid w:val="0036312B"/>
    <w:rsid w:val="00363590"/>
    <w:rsid w:val="00363B6B"/>
    <w:rsid w:val="00363DA1"/>
    <w:rsid w:val="003644A2"/>
    <w:rsid w:val="00364C74"/>
    <w:rsid w:val="00365057"/>
    <w:rsid w:val="00365284"/>
    <w:rsid w:val="00365472"/>
    <w:rsid w:val="00365575"/>
    <w:rsid w:val="00365579"/>
    <w:rsid w:val="003657F1"/>
    <w:rsid w:val="0036584E"/>
    <w:rsid w:val="00365975"/>
    <w:rsid w:val="003659CC"/>
    <w:rsid w:val="00365C3B"/>
    <w:rsid w:val="00365CF9"/>
    <w:rsid w:val="00365EBE"/>
    <w:rsid w:val="00365FC5"/>
    <w:rsid w:val="00366055"/>
    <w:rsid w:val="00366330"/>
    <w:rsid w:val="003666FC"/>
    <w:rsid w:val="003667DA"/>
    <w:rsid w:val="00366975"/>
    <w:rsid w:val="00366A4D"/>
    <w:rsid w:val="00366B24"/>
    <w:rsid w:val="00366CB0"/>
    <w:rsid w:val="00366DBB"/>
    <w:rsid w:val="00366E79"/>
    <w:rsid w:val="00366ECE"/>
    <w:rsid w:val="00366F57"/>
    <w:rsid w:val="00366FAB"/>
    <w:rsid w:val="003670BF"/>
    <w:rsid w:val="003675C0"/>
    <w:rsid w:val="00367750"/>
    <w:rsid w:val="00367756"/>
    <w:rsid w:val="00367985"/>
    <w:rsid w:val="00367B03"/>
    <w:rsid w:val="00367BFB"/>
    <w:rsid w:val="00367DE3"/>
    <w:rsid w:val="00367E78"/>
    <w:rsid w:val="00367F3A"/>
    <w:rsid w:val="003701C4"/>
    <w:rsid w:val="00370650"/>
    <w:rsid w:val="003706BC"/>
    <w:rsid w:val="0037073B"/>
    <w:rsid w:val="0037075B"/>
    <w:rsid w:val="003708D7"/>
    <w:rsid w:val="003709E0"/>
    <w:rsid w:val="00370E0F"/>
    <w:rsid w:val="00370E32"/>
    <w:rsid w:val="00370EEC"/>
    <w:rsid w:val="003718B6"/>
    <w:rsid w:val="00371C2B"/>
    <w:rsid w:val="003722DA"/>
    <w:rsid w:val="00372419"/>
    <w:rsid w:val="003727E5"/>
    <w:rsid w:val="00372C32"/>
    <w:rsid w:val="00372CE2"/>
    <w:rsid w:val="00372D09"/>
    <w:rsid w:val="00372F24"/>
    <w:rsid w:val="0037333D"/>
    <w:rsid w:val="003733D8"/>
    <w:rsid w:val="003734E4"/>
    <w:rsid w:val="00373AA4"/>
    <w:rsid w:val="00373BEE"/>
    <w:rsid w:val="003740EC"/>
    <w:rsid w:val="0037419F"/>
    <w:rsid w:val="003746E6"/>
    <w:rsid w:val="0037472C"/>
    <w:rsid w:val="003747C9"/>
    <w:rsid w:val="0037489C"/>
    <w:rsid w:val="00374942"/>
    <w:rsid w:val="00374C71"/>
    <w:rsid w:val="003753D7"/>
    <w:rsid w:val="003753EC"/>
    <w:rsid w:val="00375400"/>
    <w:rsid w:val="0037561D"/>
    <w:rsid w:val="0037563D"/>
    <w:rsid w:val="0037571B"/>
    <w:rsid w:val="00375741"/>
    <w:rsid w:val="00375A87"/>
    <w:rsid w:val="00375B36"/>
    <w:rsid w:val="00376685"/>
    <w:rsid w:val="00376716"/>
    <w:rsid w:val="00376785"/>
    <w:rsid w:val="00376A6E"/>
    <w:rsid w:val="00376BAA"/>
    <w:rsid w:val="00376D67"/>
    <w:rsid w:val="00376E72"/>
    <w:rsid w:val="00376EE7"/>
    <w:rsid w:val="0037748C"/>
    <w:rsid w:val="0038002D"/>
    <w:rsid w:val="00380083"/>
    <w:rsid w:val="00380E11"/>
    <w:rsid w:val="00380F7A"/>
    <w:rsid w:val="003814F1"/>
    <w:rsid w:val="00381C46"/>
    <w:rsid w:val="003820A2"/>
    <w:rsid w:val="003826C4"/>
    <w:rsid w:val="00382781"/>
    <w:rsid w:val="003828D9"/>
    <w:rsid w:val="003828F7"/>
    <w:rsid w:val="00382D1B"/>
    <w:rsid w:val="00382F8D"/>
    <w:rsid w:val="00383426"/>
    <w:rsid w:val="00383957"/>
    <w:rsid w:val="00383B5E"/>
    <w:rsid w:val="00383BF6"/>
    <w:rsid w:val="00383C0D"/>
    <w:rsid w:val="0038427A"/>
    <w:rsid w:val="00384359"/>
    <w:rsid w:val="003845F0"/>
    <w:rsid w:val="0038482A"/>
    <w:rsid w:val="00384882"/>
    <w:rsid w:val="0038489A"/>
    <w:rsid w:val="00384EED"/>
    <w:rsid w:val="00384FEF"/>
    <w:rsid w:val="00385082"/>
    <w:rsid w:val="003850F6"/>
    <w:rsid w:val="003856F9"/>
    <w:rsid w:val="003857FF"/>
    <w:rsid w:val="00385E9E"/>
    <w:rsid w:val="00386374"/>
    <w:rsid w:val="003863C4"/>
    <w:rsid w:val="003863FE"/>
    <w:rsid w:val="00386721"/>
    <w:rsid w:val="00386910"/>
    <w:rsid w:val="0038696D"/>
    <w:rsid w:val="003869E0"/>
    <w:rsid w:val="00386ABB"/>
    <w:rsid w:val="00386D6D"/>
    <w:rsid w:val="00386ED7"/>
    <w:rsid w:val="00387151"/>
    <w:rsid w:val="00387594"/>
    <w:rsid w:val="003875AE"/>
    <w:rsid w:val="00387872"/>
    <w:rsid w:val="00387DCF"/>
    <w:rsid w:val="00390038"/>
    <w:rsid w:val="003900C7"/>
    <w:rsid w:val="0039015C"/>
    <w:rsid w:val="00390364"/>
    <w:rsid w:val="0039081D"/>
    <w:rsid w:val="0039085E"/>
    <w:rsid w:val="003912E8"/>
    <w:rsid w:val="003916B0"/>
    <w:rsid w:val="003919BD"/>
    <w:rsid w:val="00391A20"/>
    <w:rsid w:val="003922E1"/>
    <w:rsid w:val="003924AF"/>
    <w:rsid w:val="00392515"/>
    <w:rsid w:val="003925DA"/>
    <w:rsid w:val="0039260E"/>
    <w:rsid w:val="003929C8"/>
    <w:rsid w:val="00392CDA"/>
    <w:rsid w:val="00392E0C"/>
    <w:rsid w:val="00392E5D"/>
    <w:rsid w:val="00392F15"/>
    <w:rsid w:val="00392F87"/>
    <w:rsid w:val="003931E0"/>
    <w:rsid w:val="003935D4"/>
    <w:rsid w:val="00393702"/>
    <w:rsid w:val="00393A99"/>
    <w:rsid w:val="00393CE5"/>
    <w:rsid w:val="00393F34"/>
    <w:rsid w:val="0039415A"/>
    <w:rsid w:val="003941DE"/>
    <w:rsid w:val="003941F7"/>
    <w:rsid w:val="003946D3"/>
    <w:rsid w:val="003947C1"/>
    <w:rsid w:val="003949E3"/>
    <w:rsid w:val="00394C24"/>
    <w:rsid w:val="00394F78"/>
    <w:rsid w:val="00395059"/>
    <w:rsid w:val="003956C1"/>
    <w:rsid w:val="003956F9"/>
    <w:rsid w:val="00395E2B"/>
    <w:rsid w:val="003960B6"/>
    <w:rsid w:val="0039613E"/>
    <w:rsid w:val="003965F0"/>
    <w:rsid w:val="0039693E"/>
    <w:rsid w:val="00396D35"/>
    <w:rsid w:val="0039707B"/>
    <w:rsid w:val="003970C0"/>
    <w:rsid w:val="00397102"/>
    <w:rsid w:val="003971C5"/>
    <w:rsid w:val="0039772D"/>
    <w:rsid w:val="00397CA4"/>
    <w:rsid w:val="003A0325"/>
    <w:rsid w:val="003A08CA"/>
    <w:rsid w:val="003A0AF3"/>
    <w:rsid w:val="003A0C33"/>
    <w:rsid w:val="003A0C65"/>
    <w:rsid w:val="003A0EAE"/>
    <w:rsid w:val="003A1142"/>
    <w:rsid w:val="003A11DF"/>
    <w:rsid w:val="003A11F0"/>
    <w:rsid w:val="003A13A8"/>
    <w:rsid w:val="003A1647"/>
    <w:rsid w:val="003A1669"/>
    <w:rsid w:val="003A18C7"/>
    <w:rsid w:val="003A1BBF"/>
    <w:rsid w:val="003A1E60"/>
    <w:rsid w:val="003A1E99"/>
    <w:rsid w:val="003A2241"/>
    <w:rsid w:val="003A2572"/>
    <w:rsid w:val="003A2689"/>
    <w:rsid w:val="003A2921"/>
    <w:rsid w:val="003A29C6"/>
    <w:rsid w:val="003A2AC6"/>
    <w:rsid w:val="003A2E40"/>
    <w:rsid w:val="003A30D8"/>
    <w:rsid w:val="003A33DB"/>
    <w:rsid w:val="003A3886"/>
    <w:rsid w:val="003A3DB1"/>
    <w:rsid w:val="003A4050"/>
    <w:rsid w:val="003A40B5"/>
    <w:rsid w:val="003A475F"/>
    <w:rsid w:val="003A48D7"/>
    <w:rsid w:val="003A4911"/>
    <w:rsid w:val="003A4977"/>
    <w:rsid w:val="003A4D4E"/>
    <w:rsid w:val="003A51FF"/>
    <w:rsid w:val="003A528F"/>
    <w:rsid w:val="003A537A"/>
    <w:rsid w:val="003A578B"/>
    <w:rsid w:val="003A57B0"/>
    <w:rsid w:val="003A5BD9"/>
    <w:rsid w:val="003A5D50"/>
    <w:rsid w:val="003A5D87"/>
    <w:rsid w:val="003A5DB7"/>
    <w:rsid w:val="003A60EE"/>
    <w:rsid w:val="003A610C"/>
    <w:rsid w:val="003A67F7"/>
    <w:rsid w:val="003A6929"/>
    <w:rsid w:val="003A6981"/>
    <w:rsid w:val="003A6992"/>
    <w:rsid w:val="003A6CA1"/>
    <w:rsid w:val="003A6CF6"/>
    <w:rsid w:val="003A6E86"/>
    <w:rsid w:val="003A6F9B"/>
    <w:rsid w:val="003A7867"/>
    <w:rsid w:val="003A78AA"/>
    <w:rsid w:val="003A7AC5"/>
    <w:rsid w:val="003A7BE8"/>
    <w:rsid w:val="003A7F80"/>
    <w:rsid w:val="003A7FC3"/>
    <w:rsid w:val="003B039E"/>
    <w:rsid w:val="003B0927"/>
    <w:rsid w:val="003B0BA3"/>
    <w:rsid w:val="003B12B8"/>
    <w:rsid w:val="003B1FD9"/>
    <w:rsid w:val="003B2257"/>
    <w:rsid w:val="003B253C"/>
    <w:rsid w:val="003B2590"/>
    <w:rsid w:val="003B29AA"/>
    <w:rsid w:val="003B29C0"/>
    <w:rsid w:val="003B2B05"/>
    <w:rsid w:val="003B3119"/>
    <w:rsid w:val="003B3194"/>
    <w:rsid w:val="003B326B"/>
    <w:rsid w:val="003B3AA5"/>
    <w:rsid w:val="003B3E2A"/>
    <w:rsid w:val="003B400D"/>
    <w:rsid w:val="003B40A1"/>
    <w:rsid w:val="003B4188"/>
    <w:rsid w:val="003B46C5"/>
    <w:rsid w:val="003B4753"/>
    <w:rsid w:val="003B481A"/>
    <w:rsid w:val="003B4B06"/>
    <w:rsid w:val="003B5319"/>
    <w:rsid w:val="003B53BF"/>
    <w:rsid w:val="003B6233"/>
    <w:rsid w:val="003B6599"/>
    <w:rsid w:val="003B6964"/>
    <w:rsid w:val="003B7051"/>
    <w:rsid w:val="003B70D5"/>
    <w:rsid w:val="003B71F3"/>
    <w:rsid w:val="003B7801"/>
    <w:rsid w:val="003B7839"/>
    <w:rsid w:val="003B7886"/>
    <w:rsid w:val="003B794A"/>
    <w:rsid w:val="003B79A6"/>
    <w:rsid w:val="003B7BE3"/>
    <w:rsid w:val="003B7EA6"/>
    <w:rsid w:val="003C0191"/>
    <w:rsid w:val="003C0243"/>
    <w:rsid w:val="003C033B"/>
    <w:rsid w:val="003C0445"/>
    <w:rsid w:val="003C0576"/>
    <w:rsid w:val="003C0B9E"/>
    <w:rsid w:val="003C0D75"/>
    <w:rsid w:val="003C0FEF"/>
    <w:rsid w:val="003C1051"/>
    <w:rsid w:val="003C1292"/>
    <w:rsid w:val="003C1450"/>
    <w:rsid w:val="003C1551"/>
    <w:rsid w:val="003C16B6"/>
    <w:rsid w:val="003C1BFE"/>
    <w:rsid w:val="003C1E31"/>
    <w:rsid w:val="003C2125"/>
    <w:rsid w:val="003C230D"/>
    <w:rsid w:val="003C2722"/>
    <w:rsid w:val="003C2D86"/>
    <w:rsid w:val="003C308C"/>
    <w:rsid w:val="003C316B"/>
    <w:rsid w:val="003C3581"/>
    <w:rsid w:val="003C3A30"/>
    <w:rsid w:val="003C3A90"/>
    <w:rsid w:val="003C49A1"/>
    <w:rsid w:val="003C4BB2"/>
    <w:rsid w:val="003C4CBF"/>
    <w:rsid w:val="003C4D32"/>
    <w:rsid w:val="003C4E96"/>
    <w:rsid w:val="003C4F37"/>
    <w:rsid w:val="003C4FEC"/>
    <w:rsid w:val="003C5369"/>
    <w:rsid w:val="003C56CE"/>
    <w:rsid w:val="003C5BBA"/>
    <w:rsid w:val="003C5E72"/>
    <w:rsid w:val="003C5EC9"/>
    <w:rsid w:val="003C60AF"/>
    <w:rsid w:val="003C6154"/>
    <w:rsid w:val="003C61BA"/>
    <w:rsid w:val="003C6546"/>
    <w:rsid w:val="003C66D0"/>
    <w:rsid w:val="003C672D"/>
    <w:rsid w:val="003C6794"/>
    <w:rsid w:val="003C6A28"/>
    <w:rsid w:val="003C6BC3"/>
    <w:rsid w:val="003C71C8"/>
    <w:rsid w:val="003C730F"/>
    <w:rsid w:val="003C7395"/>
    <w:rsid w:val="003C750E"/>
    <w:rsid w:val="003C75B9"/>
    <w:rsid w:val="003C75E8"/>
    <w:rsid w:val="003C772A"/>
    <w:rsid w:val="003C77AB"/>
    <w:rsid w:val="003C7876"/>
    <w:rsid w:val="003C7FB6"/>
    <w:rsid w:val="003D00AD"/>
    <w:rsid w:val="003D07D7"/>
    <w:rsid w:val="003D090B"/>
    <w:rsid w:val="003D0A49"/>
    <w:rsid w:val="003D0E78"/>
    <w:rsid w:val="003D0F20"/>
    <w:rsid w:val="003D0F2D"/>
    <w:rsid w:val="003D108A"/>
    <w:rsid w:val="003D130D"/>
    <w:rsid w:val="003D14A0"/>
    <w:rsid w:val="003D1759"/>
    <w:rsid w:val="003D194D"/>
    <w:rsid w:val="003D1C7E"/>
    <w:rsid w:val="003D208C"/>
    <w:rsid w:val="003D232A"/>
    <w:rsid w:val="003D25B5"/>
    <w:rsid w:val="003D26EB"/>
    <w:rsid w:val="003D2778"/>
    <w:rsid w:val="003D2970"/>
    <w:rsid w:val="003D2D25"/>
    <w:rsid w:val="003D2EC4"/>
    <w:rsid w:val="003D3001"/>
    <w:rsid w:val="003D369A"/>
    <w:rsid w:val="003D3782"/>
    <w:rsid w:val="003D3881"/>
    <w:rsid w:val="003D391C"/>
    <w:rsid w:val="003D3ADD"/>
    <w:rsid w:val="003D3DE0"/>
    <w:rsid w:val="003D4688"/>
    <w:rsid w:val="003D479A"/>
    <w:rsid w:val="003D48F8"/>
    <w:rsid w:val="003D4AA8"/>
    <w:rsid w:val="003D4CB8"/>
    <w:rsid w:val="003D4D30"/>
    <w:rsid w:val="003D5093"/>
    <w:rsid w:val="003D510A"/>
    <w:rsid w:val="003D51BD"/>
    <w:rsid w:val="003D531D"/>
    <w:rsid w:val="003D543E"/>
    <w:rsid w:val="003D55AC"/>
    <w:rsid w:val="003D57FF"/>
    <w:rsid w:val="003D5972"/>
    <w:rsid w:val="003D59BD"/>
    <w:rsid w:val="003D5A65"/>
    <w:rsid w:val="003D5B4F"/>
    <w:rsid w:val="003D61B2"/>
    <w:rsid w:val="003D63FF"/>
    <w:rsid w:val="003D6801"/>
    <w:rsid w:val="003D6B64"/>
    <w:rsid w:val="003D6D50"/>
    <w:rsid w:val="003D7335"/>
    <w:rsid w:val="003D742D"/>
    <w:rsid w:val="003D7718"/>
    <w:rsid w:val="003D79D1"/>
    <w:rsid w:val="003D7D1F"/>
    <w:rsid w:val="003D7D50"/>
    <w:rsid w:val="003D7D5B"/>
    <w:rsid w:val="003D7F88"/>
    <w:rsid w:val="003E03FC"/>
    <w:rsid w:val="003E0525"/>
    <w:rsid w:val="003E1908"/>
    <w:rsid w:val="003E1956"/>
    <w:rsid w:val="003E1BC8"/>
    <w:rsid w:val="003E1BD8"/>
    <w:rsid w:val="003E210C"/>
    <w:rsid w:val="003E2383"/>
    <w:rsid w:val="003E248F"/>
    <w:rsid w:val="003E2629"/>
    <w:rsid w:val="003E29E5"/>
    <w:rsid w:val="003E2A9C"/>
    <w:rsid w:val="003E3238"/>
    <w:rsid w:val="003E3C0D"/>
    <w:rsid w:val="003E3FBE"/>
    <w:rsid w:val="003E4344"/>
    <w:rsid w:val="003E474B"/>
    <w:rsid w:val="003E48C7"/>
    <w:rsid w:val="003E4AE7"/>
    <w:rsid w:val="003E4BFB"/>
    <w:rsid w:val="003E4D6F"/>
    <w:rsid w:val="003E4E2C"/>
    <w:rsid w:val="003E5327"/>
    <w:rsid w:val="003E5883"/>
    <w:rsid w:val="003E5BE4"/>
    <w:rsid w:val="003E5E93"/>
    <w:rsid w:val="003E5FB1"/>
    <w:rsid w:val="003E60AE"/>
    <w:rsid w:val="003E6191"/>
    <w:rsid w:val="003E65FC"/>
    <w:rsid w:val="003E6B9A"/>
    <w:rsid w:val="003E6CFE"/>
    <w:rsid w:val="003E7047"/>
    <w:rsid w:val="003E7225"/>
    <w:rsid w:val="003E72D7"/>
    <w:rsid w:val="003E741B"/>
    <w:rsid w:val="003E7676"/>
    <w:rsid w:val="003E76C7"/>
    <w:rsid w:val="003E7DF5"/>
    <w:rsid w:val="003E7F51"/>
    <w:rsid w:val="003F0535"/>
    <w:rsid w:val="003F076C"/>
    <w:rsid w:val="003F078B"/>
    <w:rsid w:val="003F07A7"/>
    <w:rsid w:val="003F084A"/>
    <w:rsid w:val="003F089A"/>
    <w:rsid w:val="003F0B4D"/>
    <w:rsid w:val="003F0C28"/>
    <w:rsid w:val="003F0CEB"/>
    <w:rsid w:val="003F11EB"/>
    <w:rsid w:val="003F15D5"/>
    <w:rsid w:val="003F15F6"/>
    <w:rsid w:val="003F1731"/>
    <w:rsid w:val="003F1B64"/>
    <w:rsid w:val="003F1FA4"/>
    <w:rsid w:val="003F1FE9"/>
    <w:rsid w:val="003F2059"/>
    <w:rsid w:val="003F25A9"/>
    <w:rsid w:val="003F261F"/>
    <w:rsid w:val="003F2802"/>
    <w:rsid w:val="003F2F50"/>
    <w:rsid w:val="003F2F7A"/>
    <w:rsid w:val="003F3172"/>
    <w:rsid w:val="003F328B"/>
    <w:rsid w:val="003F363B"/>
    <w:rsid w:val="003F3951"/>
    <w:rsid w:val="003F39F0"/>
    <w:rsid w:val="003F3A77"/>
    <w:rsid w:val="003F3BB9"/>
    <w:rsid w:val="003F3C7C"/>
    <w:rsid w:val="003F3CE6"/>
    <w:rsid w:val="003F3D60"/>
    <w:rsid w:val="003F3EDB"/>
    <w:rsid w:val="003F4190"/>
    <w:rsid w:val="003F43EC"/>
    <w:rsid w:val="003F4434"/>
    <w:rsid w:val="003F4484"/>
    <w:rsid w:val="003F45C3"/>
    <w:rsid w:val="003F4BFE"/>
    <w:rsid w:val="003F4DBE"/>
    <w:rsid w:val="003F4E66"/>
    <w:rsid w:val="003F4F53"/>
    <w:rsid w:val="003F5153"/>
    <w:rsid w:val="003F521F"/>
    <w:rsid w:val="003F52F5"/>
    <w:rsid w:val="003F55BB"/>
    <w:rsid w:val="003F591A"/>
    <w:rsid w:val="003F5A10"/>
    <w:rsid w:val="003F5A13"/>
    <w:rsid w:val="003F6229"/>
    <w:rsid w:val="003F63DF"/>
    <w:rsid w:val="003F66F0"/>
    <w:rsid w:val="003F67C8"/>
    <w:rsid w:val="003F688E"/>
    <w:rsid w:val="003F68BA"/>
    <w:rsid w:val="003F69B8"/>
    <w:rsid w:val="003F6ABA"/>
    <w:rsid w:val="003F6B4E"/>
    <w:rsid w:val="003F6F92"/>
    <w:rsid w:val="003F704E"/>
    <w:rsid w:val="003F7071"/>
    <w:rsid w:val="003F7143"/>
    <w:rsid w:val="003F72FC"/>
    <w:rsid w:val="003F764C"/>
    <w:rsid w:val="003F7929"/>
    <w:rsid w:val="003F797B"/>
    <w:rsid w:val="003F7AF8"/>
    <w:rsid w:val="004003BD"/>
    <w:rsid w:val="004006C0"/>
    <w:rsid w:val="00400753"/>
    <w:rsid w:val="004009AE"/>
    <w:rsid w:val="00400E2D"/>
    <w:rsid w:val="00401118"/>
    <w:rsid w:val="00401878"/>
    <w:rsid w:val="0040191B"/>
    <w:rsid w:val="004019F9"/>
    <w:rsid w:val="00401B08"/>
    <w:rsid w:val="00401B6A"/>
    <w:rsid w:val="00401C5C"/>
    <w:rsid w:val="00401CF7"/>
    <w:rsid w:val="00401E7A"/>
    <w:rsid w:val="00401F08"/>
    <w:rsid w:val="00402062"/>
    <w:rsid w:val="004022CB"/>
    <w:rsid w:val="00402345"/>
    <w:rsid w:val="00402AB4"/>
    <w:rsid w:val="00402B0E"/>
    <w:rsid w:val="00402F04"/>
    <w:rsid w:val="00402FF2"/>
    <w:rsid w:val="00403194"/>
    <w:rsid w:val="004036AB"/>
    <w:rsid w:val="00403834"/>
    <w:rsid w:val="00403B86"/>
    <w:rsid w:val="00403B90"/>
    <w:rsid w:val="00403CB0"/>
    <w:rsid w:val="00403D27"/>
    <w:rsid w:val="00403EEE"/>
    <w:rsid w:val="004040EC"/>
    <w:rsid w:val="0040416D"/>
    <w:rsid w:val="00404414"/>
    <w:rsid w:val="004044D8"/>
    <w:rsid w:val="004045C9"/>
    <w:rsid w:val="00404FE6"/>
    <w:rsid w:val="004052E0"/>
    <w:rsid w:val="004055AE"/>
    <w:rsid w:val="004056F7"/>
    <w:rsid w:val="004058E8"/>
    <w:rsid w:val="00405E65"/>
    <w:rsid w:val="0040625B"/>
    <w:rsid w:val="0040654C"/>
    <w:rsid w:val="00406604"/>
    <w:rsid w:val="0040667C"/>
    <w:rsid w:val="0040690C"/>
    <w:rsid w:val="0040743D"/>
    <w:rsid w:val="00407879"/>
    <w:rsid w:val="00407C37"/>
    <w:rsid w:val="00407CF2"/>
    <w:rsid w:val="00407D95"/>
    <w:rsid w:val="00407F57"/>
    <w:rsid w:val="00410446"/>
    <w:rsid w:val="004106CF"/>
    <w:rsid w:val="0041108E"/>
    <w:rsid w:val="0041127B"/>
    <w:rsid w:val="0041143F"/>
    <w:rsid w:val="004115CD"/>
    <w:rsid w:val="00411645"/>
    <w:rsid w:val="00411723"/>
    <w:rsid w:val="00411A53"/>
    <w:rsid w:val="00411CDB"/>
    <w:rsid w:val="00411DBF"/>
    <w:rsid w:val="00412147"/>
    <w:rsid w:val="004122B7"/>
    <w:rsid w:val="0041248E"/>
    <w:rsid w:val="00412493"/>
    <w:rsid w:val="00412502"/>
    <w:rsid w:val="00412C3E"/>
    <w:rsid w:val="00412D2A"/>
    <w:rsid w:val="00412D49"/>
    <w:rsid w:val="004130EA"/>
    <w:rsid w:val="00413100"/>
    <w:rsid w:val="00413178"/>
    <w:rsid w:val="00413378"/>
    <w:rsid w:val="004135D7"/>
    <w:rsid w:val="00413954"/>
    <w:rsid w:val="00413A1E"/>
    <w:rsid w:val="00413A43"/>
    <w:rsid w:val="00413CCB"/>
    <w:rsid w:val="00413F23"/>
    <w:rsid w:val="00413F99"/>
    <w:rsid w:val="00414183"/>
    <w:rsid w:val="00414BE9"/>
    <w:rsid w:val="00414DFE"/>
    <w:rsid w:val="00414F16"/>
    <w:rsid w:val="00414F43"/>
    <w:rsid w:val="00415051"/>
    <w:rsid w:val="00415057"/>
    <w:rsid w:val="0041518F"/>
    <w:rsid w:val="004151E3"/>
    <w:rsid w:val="00415239"/>
    <w:rsid w:val="004152E7"/>
    <w:rsid w:val="00415317"/>
    <w:rsid w:val="0041564B"/>
    <w:rsid w:val="0041577D"/>
    <w:rsid w:val="00415C09"/>
    <w:rsid w:val="00415C25"/>
    <w:rsid w:val="00415C39"/>
    <w:rsid w:val="00415F1A"/>
    <w:rsid w:val="00415FA0"/>
    <w:rsid w:val="00416081"/>
    <w:rsid w:val="0041608C"/>
    <w:rsid w:val="004160C7"/>
    <w:rsid w:val="00416209"/>
    <w:rsid w:val="004166A6"/>
    <w:rsid w:val="004167A4"/>
    <w:rsid w:val="00416D48"/>
    <w:rsid w:val="00416D9D"/>
    <w:rsid w:val="00416F37"/>
    <w:rsid w:val="004174A8"/>
    <w:rsid w:val="004174B2"/>
    <w:rsid w:val="00417ADD"/>
    <w:rsid w:val="00417E3A"/>
    <w:rsid w:val="00417EC5"/>
    <w:rsid w:val="0042019D"/>
    <w:rsid w:val="004205CC"/>
    <w:rsid w:val="00420B4F"/>
    <w:rsid w:val="00420C6C"/>
    <w:rsid w:val="00420EB1"/>
    <w:rsid w:val="00420F37"/>
    <w:rsid w:val="00420F60"/>
    <w:rsid w:val="0042127B"/>
    <w:rsid w:val="0042152D"/>
    <w:rsid w:val="0042170B"/>
    <w:rsid w:val="00421777"/>
    <w:rsid w:val="004217D0"/>
    <w:rsid w:val="0042185B"/>
    <w:rsid w:val="00422009"/>
    <w:rsid w:val="00422304"/>
    <w:rsid w:val="00422749"/>
    <w:rsid w:val="00422942"/>
    <w:rsid w:val="00422C9B"/>
    <w:rsid w:val="004230C4"/>
    <w:rsid w:val="0042330F"/>
    <w:rsid w:val="00423557"/>
    <w:rsid w:val="0042355D"/>
    <w:rsid w:val="00423927"/>
    <w:rsid w:val="00423C3C"/>
    <w:rsid w:val="00423FDC"/>
    <w:rsid w:val="00424135"/>
    <w:rsid w:val="004242F4"/>
    <w:rsid w:val="00424440"/>
    <w:rsid w:val="00424519"/>
    <w:rsid w:val="004245B0"/>
    <w:rsid w:val="0042481F"/>
    <w:rsid w:val="00424BAE"/>
    <w:rsid w:val="004250C5"/>
    <w:rsid w:val="00425DF9"/>
    <w:rsid w:val="00426500"/>
    <w:rsid w:val="00426605"/>
    <w:rsid w:val="004267E2"/>
    <w:rsid w:val="00426969"/>
    <w:rsid w:val="00426A29"/>
    <w:rsid w:val="00426B10"/>
    <w:rsid w:val="00426BB9"/>
    <w:rsid w:val="00426C89"/>
    <w:rsid w:val="0042733A"/>
    <w:rsid w:val="004276D9"/>
    <w:rsid w:val="00427B36"/>
    <w:rsid w:val="00427B9B"/>
    <w:rsid w:val="00427DE8"/>
    <w:rsid w:val="00430FA9"/>
    <w:rsid w:val="00431206"/>
    <w:rsid w:val="004312D5"/>
    <w:rsid w:val="004312F4"/>
    <w:rsid w:val="00431530"/>
    <w:rsid w:val="0043177E"/>
    <w:rsid w:val="00431B13"/>
    <w:rsid w:val="00431BE1"/>
    <w:rsid w:val="00431D92"/>
    <w:rsid w:val="00431F48"/>
    <w:rsid w:val="004322CF"/>
    <w:rsid w:val="004324C8"/>
    <w:rsid w:val="00432661"/>
    <w:rsid w:val="00432746"/>
    <w:rsid w:val="0043279E"/>
    <w:rsid w:val="00432832"/>
    <w:rsid w:val="00432AA5"/>
    <w:rsid w:val="00432DEA"/>
    <w:rsid w:val="00432E60"/>
    <w:rsid w:val="00432E7E"/>
    <w:rsid w:val="0043353F"/>
    <w:rsid w:val="00433806"/>
    <w:rsid w:val="00433A16"/>
    <w:rsid w:val="00433AC6"/>
    <w:rsid w:val="00433B04"/>
    <w:rsid w:val="004340B0"/>
    <w:rsid w:val="00434156"/>
    <w:rsid w:val="004341AD"/>
    <w:rsid w:val="004343B6"/>
    <w:rsid w:val="004345C0"/>
    <w:rsid w:val="004347CB"/>
    <w:rsid w:val="004348BB"/>
    <w:rsid w:val="004348BD"/>
    <w:rsid w:val="00434A60"/>
    <w:rsid w:val="00434B43"/>
    <w:rsid w:val="00434E26"/>
    <w:rsid w:val="004351D3"/>
    <w:rsid w:val="00435242"/>
    <w:rsid w:val="004354DA"/>
    <w:rsid w:val="00435937"/>
    <w:rsid w:val="00435959"/>
    <w:rsid w:val="00435C6D"/>
    <w:rsid w:val="00435FBE"/>
    <w:rsid w:val="0043618E"/>
    <w:rsid w:val="0043629F"/>
    <w:rsid w:val="004362A5"/>
    <w:rsid w:val="004362C9"/>
    <w:rsid w:val="00436350"/>
    <w:rsid w:val="00436513"/>
    <w:rsid w:val="00436577"/>
    <w:rsid w:val="004367BA"/>
    <w:rsid w:val="004367DC"/>
    <w:rsid w:val="004369F4"/>
    <w:rsid w:val="00436D49"/>
    <w:rsid w:val="00436DE3"/>
    <w:rsid w:val="00437207"/>
    <w:rsid w:val="004375FA"/>
    <w:rsid w:val="004377E6"/>
    <w:rsid w:val="00437860"/>
    <w:rsid w:val="00437A97"/>
    <w:rsid w:val="00437B91"/>
    <w:rsid w:val="00437C59"/>
    <w:rsid w:val="00440014"/>
    <w:rsid w:val="0044015F"/>
    <w:rsid w:val="004401F9"/>
    <w:rsid w:val="004407C3"/>
    <w:rsid w:val="00440942"/>
    <w:rsid w:val="004409E7"/>
    <w:rsid w:val="00440EB2"/>
    <w:rsid w:val="0044126E"/>
    <w:rsid w:val="0044166D"/>
    <w:rsid w:val="0044183C"/>
    <w:rsid w:val="00441A4B"/>
    <w:rsid w:val="00441D1D"/>
    <w:rsid w:val="00441F18"/>
    <w:rsid w:val="00441F94"/>
    <w:rsid w:val="0044224A"/>
    <w:rsid w:val="00442332"/>
    <w:rsid w:val="004424C4"/>
    <w:rsid w:val="004425DA"/>
    <w:rsid w:val="004426DD"/>
    <w:rsid w:val="00442A2B"/>
    <w:rsid w:val="00442AA9"/>
    <w:rsid w:val="00442ADF"/>
    <w:rsid w:val="00442B33"/>
    <w:rsid w:val="00442C5F"/>
    <w:rsid w:val="00442E91"/>
    <w:rsid w:val="0044308C"/>
    <w:rsid w:val="00443146"/>
    <w:rsid w:val="0044318E"/>
    <w:rsid w:val="0044322F"/>
    <w:rsid w:val="004432DA"/>
    <w:rsid w:val="0044377C"/>
    <w:rsid w:val="004437B5"/>
    <w:rsid w:val="004437E5"/>
    <w:rsid w:val="0044452C"/>
    <w:rsid w:val="004445A8"/>
    <w:rsid w:val="00444B94"/>
    <w:rsid w:val="00444BED"/>
    <w:rsid w:val="00444F5E"/>
    <w:rsid w:val="00444F68"/>
    <w:rsid w:val="0044515B"/>
    <w:rsid w:val="00445209"/>
    <w:rsid w:val="004453F0"/>
    <w:rsid w:val="00445730"/>
    <w:rsid w:val="004459B0"/>
    <w:rsid w:val="00445BBD"/>
    <w:rsid w:val="00445C2E"/>
    <w:rsid w:val="00445D43"/>
    <w:rsid w:val="00445EA9"/>
    <w:rsid w:val="0044611A"/>
    <w:rsid w:val="00446277"/>
    <w:rsid w:val="004463BF"/>
    <w:rsid w:val="00446415"/>
    <w:rsid w:val="004465F8"/>
    <w:rsid w:val="00446A33"/>
    <w:rsid w:val="00446A6B"/>
    <w:rsid w:val="00446AFF"/>
    <w:rsid w:val="00447302"/>
    <w:rsid w:val="004474A9"/>
    <w:rsid w:val="004476D2"/>
    <w:rsid w:val="00447AB6"/>
    <w:rsid w:val="00447C66"/>
    <w:rsid w:val="00447D48"/>
    <w:rsid w:val="00447E5A"/>
    <w:rsid w:val="00447F1C"/>
    <w:rsid w:val="0045044F"/>
    <w:rsid w:val="00450812"/>
    <w:rsid w:val="00450D47"/>
    <w:rsid w:val="00450F0B"/>
    <w:rsid w:val="004514F9"/>
    <w:rsid w:val="0045174B"/>
    <w:rsid w:val="00451DAA"/>
    <w:rsid w:val="0045202D"/>
    <w:rsid w:val="004522EB"/>
    <w:rsid w:val="00452982"/>
    <w:rsid w:val="00452BC8"/>
    <w:rsid w:val="00452EA2"/>
    <w:rsid w:val="004530AE"/>
    <w:rsid w:val="004533E8"/>
    <w:rsid w:val="0045351B"/>
    <w:rsid w:val="00453582"/>
    <w:rsid w:val="0045410A"/>
    <w:rsid w:val="004543DC"/>
    <w:rsid w:val="00454503"/>
    <w:rsid w:val="0045492F"/>
    <w:rsid w:val="00454E1E"/>
    <w:rsid w:val="00454E4E"/>
    <w:rsid w:val="00455031"/>
    <w:rsid w:val="00455389"/>
    <w:rsid w:val="0045588A"/>
    <w:rsid w:val="00455B31"/>
    <w:rsid w:val="00455CF2"/>
    <w:rsid w:val="00455E57"/>
    <w:rsid w:val="00455EC8"/>
    <w:rsid w:val="00455F02"/>
    <w:rsid w:val="0045630B"/>
    <w:rsid w:val="004567D4"/>
    <w:rsid w:val="0045680E"/>
    <w:rsid w:val="00456AF7"/>
    <w:rsid w:val="004570C3"/>
    <w:rsid w:val="00457228"/>
    <w:rsid w:val="0045765B"/>
    <w:rsid w:val="00457930"/>
    <w:rsid w:val="00457B9A"/>
    <w:rsid w:val="00457D08"/>
    <w:rsid w:val="00460311"/>
    <w:rsid w:val="004604C6"/>
    <w:rsid w:val="0046051A"/>
    <w:rsid w:val="0046060F"/>
    <w:rsid w:val="004607E9"/>
    <w:rsid w:val="00460AE4"/>
    <w:rsid w:val="00460BD4"/>
    <w:rsid w:val="00460D6D"/>
    <w:rsid w:val="00460F07"/>
    <w:rsid w:val="00461330"/>
    <w:rsid w:val="00461A87"/>
    <w:rsid w:val="00461D92"/>
    <w:rsid w:val="00461F3F"/>
    <w:rsid w:val="00462100"/>
    <w:rsid w:val="004625C2"/>
    <w:rsid w:val="0046288A"/>
    <w:rsid w:val="00462E99"/>
    <w:rsid w:val="004630B7"/>
    <w:rsid w:val="0046331A"/>
    <w:rsid w:val="004634C3"/>
    <w:rsid w:val="004634DE"/>
    <w:rsid w:val="004636BC"/>
    <w:rsid w:val="0046374C"/>
    <w:rsid w:val="004640DB"/>
    <w:rsid w:val="0046416C"/>
    <w:rsid w:val="00464270"/>
    <w:rsid w:val="00464501"/>
    <w:rsid w:val="00464522"/>
    <w:rsid w:val="00464DC7"/>
    <w:rsid w:val="00464E95"/>
    <w:rsid w:val="00465507"/>
    <w:rsid w:val="00465A27"/>
    <w:rsid w:val="00465C0B"/>
    <w:rsid w:val="004665E0"/>
    <w:rsid w:val="004666A7"/>
    <w:rsid w:val="004669FF"/>
    <w:rsid w:val="00466BC0"/>
    <w:rsid w:val="00466BEB"/>
    <w:rsid w:val="00466C0F"/>
    <w:rsid w:val="00466C21"/>
    <w:rsid w:val="00466D4A"/>
    <w:rsid w:val="00466D95"/>
    <w:rsid w:val="00466ED8"/>
    <w:rsid w:val="004670AF"/>
    <w:rsid w:val="00467149"/>
    <w:rsid w:val="00467242"/>
    <w:rsid w:val="00467564"/>
    <w:rsid w:val="004676CE"/>
    <w:rsid w:val="00467861"/>
    <w:rsid w:val="004678BF"/>
    <w:rsid w:val="00467CAA"/>
    <w:rsid w:val="00467F0C"/>
    <w:rsid w:val="00467F79"/>
    <w:rsid w:val="0047055A"/>
    <w:rsid w:val="0047068D"/>
    <w:rsid w:val="0047095B"/>
    <w:rsid w:val="00470D1E"/>
    <w:rsid w:val="00471102"/>
    <w:rsid w:val="004713F6"/>
    <w:rsid w:val="0047144D"/>
    <w:rsid w:val="004715AC"/>
    <w:rsid w:val="004717CF"/>
    <w:rsid w:val="004717FF"/>
    <w:rsid w:val="0047180D"/>
    <w:rsid w:val="00471A18"/>
    <w:rsid w:val="00471FA4"/>
    <w:rsid w:val="00472027"/>
    <w:rsid w:val="00472370"/>
    <w:rsid w:val="00472416"/>
    <w:rsid w:val="00472661"/>
    <w:rsid w:val="004729BF"/>
    <w:rsid w:val="00472A72"/>
    <w:rsid w:val="00472A9D"/>
    <w:rsid w:val="00472B8B"/>
    <w:rsid w:val="00472C21"/>
    <w:rsid w:val="00472E2A"/>
    <w:rsid w:val="00473546"/>
    <w:rsid w:val="0047364A"/>
    <w:rsid w:val="00473A95"/>
    <w:rsid w:val="00473BD1"/>
    <w:rsid w:val="00473ED3"/>
    <w:rsid w:val="00474057"/>
    <w:rsid w:val="0047440C"/>
    <w:rsid w:val="004746BF"/>
    <w:rsid w:val="0047477A"/>
    <w:rsid w:val="004747E8"/>
    <w:rsid w:val="0047491A"/>
    <w:rsid w:val="0047495C"/>
    <w:rsid w:val="00474CB8"/>
    <w:rsid w:val="00474EE8"/>
    <w:rsid w:val="0047523B"/>
    <w:rsid w:val="004755BB"/>
    <w:rsid w:val="004755F9"/>
    <w:rsid w:val="004757E5"/>
    <w:rsid w:val="00475F96"/>
    <w:rsid w:val="004760EE"/>
    <w:rsid w:val="0047612D"/>
    <w:rsid w:val="0047616A"/>
    <w:rsid w:val="00476223"/>
    <w:rsid w:val="004768CE"/>
    <w:rsid w:val="00476B0D"/>
    <w:rsid w:val="00477065"/>
    <w:rsid w:val="00477102"/>
    <w:rsid w:val="00477150"/>
    <w:rsid w:val="004773B3"/>
    <w:rsid w:val="00477648"/>
    <w:rsid w:val="00477BA9"/>
    <w:rsid w:val="00477C28"/>
    <w:rsid w:val="00477C32"/>
    <w:rsid w:val="00477CAF"/>
    <w:rsid w:val="00477CD2"/>
    <w:rsid w:val="00477FAB"/>
    <w:rsid w:val="004801EE"/>
    <w:rsid w:val="00480A13"/>
    <w:rsid w:val="00480ACA"/>
    <w:rsid w:val="00480CC9"/>
    <w:rsid w:val="00480D11"/>
    <w:rsid w:val="00480E33"/>
    <w:rsid w:val="00481301"/>
    <w:rsid w:val="0048155B"/>
    <w:rsid w:val="004815C2"/>
    <w:rsid w:val="004815FC"/>
    <w:rsid w:val="00481D2F"/>
    <w:rsid w:val="004820B2"/>
    <w:rsid w:val="00482261"/>
    <w:rsid w:val="00482708"/>
    <w:rsid w:val="0048286F"/>
    <w:rsid w:val="00482F48"/>
    <w:rsid w:val="00483236"/>
    <w:rsid w:val="00483299"/>
    <w:rsid w:val="00483540"/>
    <w:rsid w:val="004835A5"/>
    <w:rsid w:val="004835E9"/>
    <w:rsid w:val="004837B2"/>
    <w:rsid w:val="004837CB"/>
    <w:rsid w:val="00483D3E"/>
    <w:rsid w:val="00483D77"/>
    <w:rsid w:val="00483E63"/>
    <w:rsid w:val="00483EF6"/>
    <w:rsid w:val="00484170"/>
    <w:rsid w:val="004844A9"/>
    <w:rsid w:val="0048486C"/>
    <w:rsid w:val="00484B4D"/>
    <w:rsid w:val="00485036"/>
    <w:rsid w:val="004850A9"/>
    <w:rsid w:val="004851C5"/>
    <w:rsid w:val="00485406"/>
    <w:rsid w:val="00485453"/>
    <w:rsid w:val="00485963"/>
    <w:rsid w:val="00485D99"/>
    <w:rsid w:val="00485DA5"/>
    <w:rsid w:val="004860FC"/>
    <w:rsid w:val="004861E1"/>
    <w:rsid w:val="00486418"/>
    <w:rsid w:val="00486515"/>
    <w:rsid w:val="00486590"/>
    <w:rsid w:val="004865E1"/>
    <w:rsid w:val="00486699"/>
    <w:rsid w:val="004869A7"/>
    <w:rsid w:val="004875BA"/>
    <w:rsid w:val="004877D4"/>
    <w:rsid w:val="004879D5"/>
    <w:rsid w:val="00487A8B"/>
    <w:rsid w:val="00490027"/>
    <w:rsid w:val="00490216"/>
    <w:rsid w:val="0049112C"/>
    <w:rsid w:val="00491389"/>
    <w:rsid w:val="00491597"/>
    <w:rsid w:val="00491638"/>
    <w:rsid w:val="00491F18"/>
    <w:rsid w:val="00491FD9"/>
    <w:rsid w:val="0049206C"/>
    <w:rsid w:val="004921D3"/>
    <w:rsid w:val="004923E4"/>
    <w:rsid w:val="004924EE"/>
    <w:rsid w:val="0049256E"/>
    <w:rsid w:val="00492834"/>
    <w:rsid w:val="004928F5"/>
    <w:rsid w:val="00492AC0"/>
    <w:rsid w:val="00492C75"/>
    <w:rsid w:val="00492CF5"/>
    <w:rsid w:val="00492DF8"/>
    <w:rsid w:val="00493097"/>
    <w:rsid w:val="004932EC"/>
    <w:rsid w:val="00493419"/>
    <w:rsid w:val="004936CF"/>
    <w:rsid w:val="0049375C"/>
    <w:rsid w:val="004938AA"/>
    <w:rsid w:val="00493DB4"/>
    <w:rsid w:val="0049420F"/>
    <w:rsid w:val="004942B2"/>
    <w:rsid w:val="00494374"/>
    <w:rsid w:val="00494531"/>
    <w:rsid w:val="00494623"/>
    <w:rsid w:val="004947A6"/>
    <w:rsid w:val="004947BE"/>
    <w:rsid w:val="004947FD"/>
    <w:rsid w:val="00494AD7"/>
    <w:rsid w:val="00494B15"/>
    <w:rsid w:val="00494E23"/>
    <w:rsid w:val="00495012"/>
    <w:rsid w:val="004951B7"/>
    <w:rsid w:val="004954FB"/>
    <w:rsid w:val="00495740"/>
    <w:rsid w:val="004957DC"/>
    <w:rsid w:val="00495905"/>
    <w:rsid w:val="00495D71"/>
    <w:rsid w:val="00496112"/>
    <w:rsid w:val="004962F0"/>
    <w:rsid w:val="0049631C"/>
    <w:rsid w:val="004965FC"/>
    <w:rsid w:val="00496846"/>
    <w:rsid w:val="00496B2C"/>
    <w:rsid w:val="00496BB7"/>
    <w:rsid w:val="00496FD6"/>
    <w:rsid w:val="00497228"/>
    <w:rsid w:val="00497494"/>
    <w:rsid w:val="004976B8"/>
    <w:rsid w:val="00497B5D"/>
    <w:rsid w:val="00497B8A"/>
    <w:rsid w:val="00497BCC"/>
    <w:rsid w:val="00497E05"/>
    <w:rsid w:val="00497E3A"/>
    <w:rsid w:val="00497F0F"/>
    <w:rsid w:val="00497F6D"/>
    <w:rsid w:val="004A00A8"/>
    <w:rsid w:val="004A02FE"/>
    <w:rsid w:val="004A032D"/>
    <w:rsid w:val="004A055D"/>
    <w:rsid w:val="004A0799"/>
    <w:rsid w:val="004A0A52"/>
    <w:rsid w:val="004A0E0D"/>
    <w:rsid w:val="004A137A"/>
    <w:rsid w:val="004A1597"/>
    <w:rsid w:val="004A16E5"/>
    <w:rsid w:val="004A1719"/>
    <w:rsid w:val="004A191C"/>
    <w:rsid w:val="004A1A71"/>
    <w:rsid w:val="004A1FDF"/>
    <w:rsid w:val="004A21AD"/>
    <w:rsid w:val="004A2611"/>
    <w:rsid w:val="004A2C1D"/>
    <w:rsid w:val="004A2C47"/>
    <w:rsid w:val="004A2CF6"/>
    <w:rsid w:val="004A337E"/>
    <w:rsid w:val="004A351D"/>
    <w:rsid w:val="004A37FD"/>
    <w:rsid w:val="004A3AB8"/>
    <w:rsid w:val="004A3ACF"/>
    <w:rsid w:val="004A3BA0"/>
    <w:rsid w:val="004A3D1F"/>
    <w:rsid w:val="004A3E89"/>
    <w:rsid w:val="004A3F96"/>
    <w:rsid w:val="004A3F9A"/>
    <w:rsid w:val="004A41AA"/>
    <w:rsid w:val="004A42B8"/>
    <w:rsid w:val="004A4322"/>
    <w:rsid w:val="004A4A66"/>
    <w:rsid w:val="004A4A73"/>
    <w:rsid w:val="004A4D66"/>
    <w:rsid w:val="004A4FE1"/>
    <w:rsid w:val="004A51EE"/>
    <w:rsid w:val="004A5526"/>
    <w:rsid w:val="004A61AF"/>
    <w:rsid w:val="004A62DC"/>
    <w:rsid w:val="004A647B"/>
    <w:rsid w:val="004A6864"/>
    <w:rsid w:val="004A69DA"/>
    <w:rsid w:val="004A6A50"/>
    <w:rsid w:val="004A6FAF"/>
    <w:rsid w:val="004A7109"/>
    <w:rsid w:val="004A72BB"/>
    <w:rsid w:val="004A7394"/>
    <w:rsid w:val="004A75E3"/>
    <w:rsid w:val="004A77CA"/>
    <w:rsid w:val="004A7826"/>
    <w:rsid w:val="004A78DE"/>
    <w:rsid w:val="004B0142"/>
    <w:rsid w:val="004B06DB"/>
    <w:rsid w:val="004B0852"/>
    <w:rsid w:val="004B0AE5"/>
    <w:rsid w:val="004B1296"/>
    <w:rsid w:val="004B1648"/>
    <w:rsid w:val="004B178E"/>
    <w:rsid w:val="004B17C1"/>
    <w:rsid w:val="004B1DE5"/>
    <w:rsid w:val="004B1E20"/>
    <w:rsid w:val="004B1EC6"/>
    <w:rsid w:val="004B2101"/>
    <w:rsid w:val="004B2667"/>
    <w:rsid w:val="004B267F"/>
    <w:rsid w:val="004B270B"/>
    <w:rsid w:val="004B2956"/>
    <w:rsid w:val="004B2E07"/>
    <w:rsid w:val="004B2F3E"/>
    <w:rsid w:val="004B311E"/>
    <w:rsid w:val="004B3310"/>
    <w:rsid w:val="004B3338"/>
    <w:rsid w:val="004B3505"/>
    <w:rsid w:val="004B3621"/>
    <w:rsid w:val="004B379D"/>
    <w:rsid w:val="004B39E3"/>
    <w:rsid w:val="004B39FC"/>
    <w:rsid w:val="004B3AB4"/>
    <w:rsid w:val="004B435E"/>
    <w:rsid w:val="004B4561"/>
    <w:rsid w:val="004B4637"/>
    <w:rsid w:val="004B5249"/>
    <w:rsid w:val="004B5355"/>
    <w:rsid w:val="004B54BB"/>
    <w:rsid w:val="004B5753"/>
    <w:rsid w:val="004B5777"/>
    <w:rsid w:val="004B57FF"/>
    <w:rsid w:val="004B58E7"/>
    <w:rsid w:val="004B5B02"/>
    <w:rsid w:val="004B5C7D"/>
    <w:rsid w:val="004B61C7"/>
    <w:rsid w:val="004B62E5"/>
    <w:rsid w:val="004B64F0"/>
    <w:rsid w:val="004B650A"/>
    <w:rsid w:val="004B6534"/>
    <w:rsid w:val="004B6547"/>
    <w:rsid w:val="004B6858"/>
    <w:rsid w:val="004B6ABF"/>
    <w:rsid w:val="004B6F74"/>
    <w:rsid w:val="004B718F"/>
    <w:rsid w:val="004B7255"/>
    <w:rsid w:val="004B72FC"/>
    <w:rsid w:val="004B73D3"/>
    <w:rsid w:val="004B7424"/>
    <w:rsid w:val="004B7438"/>
    <w:rsid w:val="004B74C6"/>
    <w:rsid w:val="004B76C5"/>
    <w:rsid w:val="004B7996"/>
    <w:rsid w:val="004B7AD4"/>
    <w:rsid w:val="004B7AD9"/>
    <w:rsid w:val="004B7C9F"/>
    <w:rsid w:val="004C0067"/>
    <w:rsid w:val="004C02D4"/>
    <w:rsid w:val="004C02DB"/>
    <w:rsid w:val="004C0548"/>
    <w:rsid w:val="004C05A0"/>
    <w:rsid w:val="004C0858"/>
    <w:rsid w:val="004C09CD"/>
    <w:rsid w:val="004C0B63"/>
    <w:rsid w:val="004C0E9C"/>
    <w:rsid w:val="004C0EA6"/>
    <w:rsid w:val="004C1276"/>
    <w:rsid w:val="004C1307"/>
    <w:rsid w:val="004C1B92"/>
    <w:rsid w:val="004C1BE5"/>
    <w:rsid w:val="004C1FC7"/>
    <w:rsid w:val="004C238C"/>
    <w:rsid w:val="004C26F2"/>
    <w:rsid w:val="004C2742"/>
    <w:rsid w:val="004C2D0A"/>
    <w:rsid w:val="004C2D0E"/>
    <w:rsid w:val="004C2D44"/>
    <w:rsid w:val="004C2E28"/>
    <w:rsid w:val="004C2E9D"/>
    <w:rsid w:val="004C30FC"/>
    <w:rsid w:val="004C3A85"/>
    <w:rsid w:val="004C3D85"/>
    <w:rsid w:val="004C4010"/>
    <w:rsid w:val="004C436C"/>
    <w:rsid w:val="004C44B2"/>
    <w:rsid w:val="004C456E"/>
    <w:rsid w:val="004C4901"/>
    <w:rsid w:val="004C4A7D"/>
    <w:rsid w:val="004C4B5F"/>
    <w:rsid w:val="004C50B7"/>
    <w:rsid w:val="004C5292"/>
    <w:rsid w:val="004C53CD"/>
    <w:rsid w:val="004C5590"/>
    <w:rsid w:val="004C55B8"/>
    <w:rsid w:val="004C58B6"/>
    <w:rsid w:val="004C5919"/>
    <w:rsid w:val="004C5D36"/>
    <w:rsid w:val="004C6164"/>
    <w:rsid w:val="004C6B6B"/>
    <w:rsid w:val="004C6EF9"/>
    <w:rsid w:val="004C7627"/>
    <w:rsid w:val="004C7662"/>
    <w:rsid w:val="004C7807"/>
    <w:rsid w:val="004C78D8"/>
    <w:rsid w:val="004C7C58"/>
    <w:rsid w:val="004C7CB6"/>
    <w:rsid w:val="004C7DE2"/>
    <w:rsid w:val="004D04A7"/>
    <w:rsid w:val="004D0580"/>
    <w:rsid w:val="004D06E8"/>
    <w:rsid w:val="004D0B3F"/>
    <w:rsid w:val="004D15AA"/>
    <w:rsid w:val="004D1622"/>
    <w:rsid w:val="004D19ED"/>
    <w:rsid w:val="004D1AE7"/>
    <w:rsid w:val="004D1E68"/>
    <w:rsid w:val="004D1E81"/>
    <w:rsid w:val="004D20F7"/>
    <w:rsid w:val="004D217B"/>
    <w:rsid w:val="004D22AE"/>
    <w:rsid w:val="004D23CB"/>
    <w:rsid w:val="004D2448"/>
    <w:rsid w:val="004D24BE"/>
    <w:rsid w:val="004D26F7"/>
    <w:rsid w:val="004D2802"/>
    <w:rsid w:val="004D28F5"/>
    <w:rsid w:val="004D29E6"/>
    <w:rsid w:val="004D2F61"/>
    <w:rsid w:val="004D2F6E"/>
    <w:rsid w:val="004D31ED"/>
    <w:rsid w:val="004D329E"/>
    <w:rsid w:val="004D3339"/>
    <w:rsid w:val="004D34E8"/>
    <w:rsid w:val="004D383C"/>
    <w:rsid w:val="004D395E"/>
    <w:rsid w:val="004D3D25"/>
    <w:rsid w:val="004D3D96"/>
    <w:rsid w:val="004D3F77"/>
    <w:rsid w:val="004D3FF9"/>
    <w:rsid w:val="004D415A"/>
    <w:rsid w:val="004D41D1"/>
    <w:rsid w:val="004D44C1"/>
    <w:rsid w:val="004D45C9"/>
    <w:rsid w:val="004D49CE"/>
    <w:rsid w:val="004D4B1D"/>
    <w:rsid w:val="004D5238"/>
    <w:rsid w:val="004D5529"/>
    <w:rsid w:val="004D55B4"/>
    <w:rsid w:val="004D5659"/>
    <w:rsid w:val="004D56FF"/>
    <w:rsid w:val="004D5738"/>
    <w:rsid w:val="004D5881"/>
    <w:rsid w:val="004D5940"/>
    <w:rsid w:val="004D607B"/>
    <w:rsid w:val="004D64C3"/>
    <w:rsid w:val="004D66BD"/>
    <w:rsid w:val="004D6804"/>
    <w:rsid w:val="004D69B4"/>
    <w:rsid w:val="004D6C8D"/>
    <w:rsid w:val="004D7082"/>
    <w:rsid w:val="004D71A2"/>
    <w:rsid w:val="004D7214"/>
    <w:rsid w:val="004D7218"/>
    <w:rsid w:val="004D7380"/>
    <w:rsid w:val="004D7446"/>
    <w:rsid w:val="004D751A"/>
    <w:rsid w:val="004D7650"/>
    <w:rsid w:val="004D7655"/>
    <w:rsid w:val="004D7A77"/>
    <w:rsid w:val="004E004D"/>
    <w:rsid w:val="004E0239"/>
    <w:rsid w:val="004E0525"/>
    <w:rsid w:val="004E0634"/>
    <w:rsid w:val="004E0A6A"/>
    <w:rsid w:val="004E0E75"/>
    <w:rsid w:val="004E1106"/>
    <w:rsid w:val="004E1147"/>
    <w:rsid w:val="004E11EB"/>
    <w:rsid w:val="004E1246"/>
    <w:rsid w:val="004E1264"/>
    <w:rsid w:val="004E142E"/>
    <w:rsid w:val="004E187D"/>
    <w:rsid w:val="004E1990"/>
    <w:rsid w:val="004E1AAD"/>
    <w:rsid w:val="004E1F1B"/>
    <w:rsid w:val="004E20A9"/>
    <w:rsid w:val="004E2140"/>
    <w:rsid w:val="004E2573"/>
    <w:rsid w:val="004E27EB"/>
    <w:rsid w:val="004E28C0"/>
    <w:rsid w:val="004E2BFA"/>
    <w:rsid w:val="004E2C52"/>
    <w:rsid w:val="004E2D02"/>
    <w:rsid w:val="004E2E76"/>
    <w:rsid w:val="004E3029"/>
    <w:rsid w:val="004E315A"/>
    <w:rsid w:val="004E3373"/>
    <w:rsid w:val="004E3473"/>
    <w:rsid w:val="004E3631"/>
    <w:rsid w:val="004E381F"/>
    <w:rsid w:val="004E3D0C"/>
    <w:rsid w:val="004E3D22"/>
    <w:rsid w:val="004E4387"/>
    <w:rsid w:val="004E43F7"/>
    <w:rsid w:val="004E4661"/>
    <w:rsid w:val="004E520F"/>
    <w:rsid w:val="004E52EE"/>
    <w:rsid w:val="004E532D"/>
    <w:rsid w:val="004E538A"/>
    <w:rsid w:val="004E55A0"/>
    <w:rsid w:val="004E57CF"/>
    <w:rsid w:val="004E59FE"/>
    <w:rsid w:val="004E5A53"/>
    <w:rsid w:val="004E5BB3"/>
    <w:rsid w:val="004E5BC4"/>
    <w:rsid w:val="004E5D61"/>
    <w:rsid w:val="004E5FAD"/>
    <w:rsid w:val="004E615A"/>
    <w:rsid w:val="004E6714"/>
    <w:rsid w:val="004E68A9"/>
    <w:rsid w:val="004E70AD"/>
    <w:rsid w:val="004E76C9"/>
    <w:rsid w:val="004E7723"/>
    <w:rsid w:val="004E7894"/>
    <w:rsid w:val="004F00F0"/>
    <w:rsid w:val="004F0408"/>
    <w:rsid w:val="004F05B6"/>
    <w:rsid w:val="004F062F"/>
    <w:rsid w:val="004F0866"/>
    <w:rsid w:val="004F1341"/>
    <w:rsid w:val="004F157E"/>
    <w:rsid w:val="004F15A4"/>
    <w:rsid w:val="004F17A2"/>
    <w:rsid w:val="004F17B9"/>
    <w:rsid w:val="004F18DE"/>
    <w:rsid w:val="004F1BB8"/>
    <w:rsid w:val="004F1C2C"/>
    <w:rsid w:val="004F1EAE"/>
    <w:rsid w:val="004F1FB5"/>
    <w:rsid w:val="004F2077"/>
    <w:rsid w:val="004F2117"/>
    <w:rsid w:val="004F259E"/>
    <w:rsid w:val="004F261E"/>
    <w:rsid w:val="004F271F"/>
    <w:rsid w:val="004F2B2F"/>
    <w:rsid w:val="004F2F47"/>
    <w:rsid w:val="004F3526"/>
    <w:rsid w:val="004F366F"/>
    <w:rsid w:val="004F3867"/>
    <w:rsid w:val="004F3C45"/>
    <w:rsid w:val="004F3C95"/>
    <w:rsid w:val="004F3D75"/>
    <w:rsid w:val="004F4036"/>
    <w:rsid w:val="004F4445"/>
    <w:rsid w:val="004F446C"/>
    <w:rsid w:val="004F4612"/>
    <w:rsid w:val="004F5336"/>
    <w:rsid w:val="004F54CD"/>
    <w:rsid w:val="004F5517"/>
    <w:rsid w:val="004F58C5"/>
    <w:rsid w:val="004F596D"/>
    <w:rsid w:val="004F5DB3"/>
    <w:rsid w:val="004F6005"/>
    <w:rsid w:val="004F6856"/>
    <w:rsid w:val="004F69FA"/>
    <w:rsid w:val="004F6ABD"/>
    <w:rsid w:val="004F6CE6"/>
    <w:rsid w:val="004F6E27"/>
    <w:rsid w:val="004F7054"/>
    <w:rsid w:val="004F764C"/>
    <w:rsid w:val="004F7704"/>
    <w:rsid w:val="004F7B0A"/>
    <w:rsid w:val="004F7BF4"/>
    <w:rsid w:val="004F7E08"/>
    <w:rsid w:val="005000F5"/>
    <w:rsid w:val="0050013A"/>
    <w:rsid w:val="0050018D"/>
    <w:rsid w:val="0050069B"/>
    <w:rsid w:val="0050069F"/>
    <w:rsid w:val="005009EC"/>
    <w:rsid w:val="00500A10"/>
    <w:rsid w:val="00500A15"/>
    <w:rsid w:val="00500E1A"/>
    <w:rsid w:val="00500E61"/>
    <w:rsid w:val="00500F1F"/>
    <w:rsid w:val="00500F26"/>
    <w:rsid w:val="00501033"/>
    <w:rsid w:val="00501215"/>
    <w:rsid w:val="0050135A"/>
    <w:rsid w:val="0050145E"/>
    <w:rsid w:val="005015B6"/>
    <w:rsid w:val="005015BC"/>
    <w:rsid w:val="005016B3"/>
    <w:rsid w:val="0050181B"/>
    <w:rsid w:val="0050189E"/>
    <w:rsid w:val="00501A30"/>
    <w:rsid w:val="00501AAC"/>
    <w:rsid w:val="00501DD3"/>
    <w:rsid w:val="00501E15"/>
    <w:rsid w:val="005021EF"/>
    <w:rsid w:val="00502609"/>
    <w:rsid w:val="00502652"/>
    <w:rsid w:val="00502669"/>
    <w:rsid w:val="005026E0"/>
    <w:rsid w:val="0050270D"/>
    <w:rsid w:val="0050275B"/>
    <w:rsid w:val="00502A22"/>
    <w:rsid w:val="00502E82"/>
    <w:rsid w:val="0050311D"/>
    <w:rsid w:val="0050352A"/>
    <w:rsid w:val="0050361A"/>
    <w:rsid w:val="00503F18"/>
    <w:rsid w:val="005043DA"/>
    <w:rsid w:val="0050446E"/>
    <w:rsid w:val="0050459B"/>
    <w:rsid w:val="00504620"/>
    <w:rsid w:val="00504812"/>
    <w:rsid w:val="00504AE1"/>
    <w:rsid w:val="00504AFD"/>
    <w:rsid w:val="00504BD1"/>
    <w:rsid w:val="00504D29"/>
    <w:rsid w:val="00504D6B"/>
    <w:rsid w:val="005053F3"/>
    <w:rsid w:val="005054FF"/>
    <w:rsid w:val="00505D00"/>
    <w:rsid w:val="00506020"/>
    <w:rsid w:val="005063BE"/>
    <w:rsid w:val="00506531"/>
    <w:rsid w:val="00506BCC"/>
    <w:rsid w:val="005072FE"/>
    <w:rsid w:val="00507436"/>
    <w:rsid w:val="005077E9"/>
    <w:rsid w:val="00507867"/>
    <w:rsid w:val="00507B55"/>
    <w:rsid w:val="00507CBC"/>
    <w:rsid w:val="00507D25"/>
    <w:rsid w:val="00507D62"/>
    <w:rsid w:val="0051011D"/>
    <w:rsid w:val="00510258"/>
    <w:rsid w:val="005102F1"/>
    <w:rsid w:val="0051032D"/>
    <w:rsid w:val="0051037A"/>
    <w:rsid w:val="005104A7"/>
    <w:rsid w:val="00510B56"/>
    <w:rsid w:val="00510C97"/>
    <w:rsid w:val="00510E91"/>
    <w:rsid w:val="00511114"/>
    <w:rsid w:val="00511735"/>
    <w:rsid w:val="00511BBB"/>
    <w:rsid w:val="00511CDC"/>
    <w:rsid w:val="00511E18"/>
    <w:rsid w:val="00511E57"/>
    <w:rsid w:val="00511EF6"/>
    <w:rsid w:val="00511F13"/>
    <w:rsid w:val="00511FEA"/>
    <w:rsid w:val="0051289D"/>
    <w:rsid w:val="0051297D"/>
    <w:rsid w:val="00513061"/>
    <w:rsid w:val="00513288"/>
    <w:rsid w:val="005133FA"/>
    <w:rsid w:val="00513A09"/>
    <w:rsid w:val="00513AA0"/>
    <w:rsid w:val="00513DFB"/>
    <w:rsid w:val="00514341"/>
    <w:rsid w:val="005146E2"/>
    <w:rsid w:val="00514927"/>
    <w:rsid w:val="00514A0D"/>
    <w:rsid w:val="00514B75"/>
    <w:rsid w:val="00514D86"/>
    <w:rsid w:val="005150D3"/>
    <w:rsid w:val="005151D2"/>
    <w:rsid w:val="00515853"/>
    <w:rsid w:val="00515A08"/>
    <w:rsid w:val="00515A74"/>
    <w:rsid w:val="00515C64"/>
    <w:rsid w:val="00515D66"/>
    <w:rsid w:val="00515F48"/>
    <w:rsid w:val="0051615C"/>
    <w:rsid w:val="005166FD"/>
    <w:rsid w:val="0051688C"/>
    <w:rsid w:val="005168F2"/>
    <w:rsid w:val="0051696C"/>
    <w:rsid w:val="00516AEA"/>
    <w:rsid w:val="005173E5"/>
    <w:rsid w:val="00517664"/>
    <w:rsid w:val="00517751"/>
    <w:rsid w:val="0051782F"/>
    <w:rsid w:val="0051787C"/>
    <w:rsid w:val="00517EC3"/>
    <w:rsid w:val="005200AC"/>
    <w:rsid w:val="0052051E"/>
    <w:rsid w:val="005207E3"/>
    <w:rsid w:val="00520A1B"/>
    <w:rsid w:val="00520F46"/>
    <w:rsid w:val="0052118A"/>
    <w:rsid w:val="005211B8"/>
    <w:rsid w:val="005212B9"/>
    <w:rsid w:val="005214AA"/>
    <w:rsid w:val="005215DC"/>
    <w:rsid w:val="005217C5"/>
    <w:rsid w:val="005217D2"/>
    <w:rsid w:val="0052195C"/>
    <w:rsid w:val="00521CF1"/>
    <w:rsid w:val="00521D07"/>
    <w:rsid w:val="00521EB1"/>
    <w:rsid w:val="00521F45"/>
    <w:rsid w:val="00522007"/>
    <w:rsid w:val="00522035"/>
    <w:rsid w:val="00522587"/>
    <w:rsid w:val="00522A41"/>
    <w:rsid w:val="00522D35"/>
    <w:rsid w:val="00522D61"/>
    <w:rsid w:val="00522F65"/>
    <w:rsid w:val="0052310E"/>
    <w:rsid w:val="00523127"/>
    <w:rsid w:val="0052339D"/>
    <w:rsid w:val="0052380A"/>
    <w:rsid w:val="00523E12"/>
    <w:rsid w:val="00523F6A"/>
    <w:rsid w:val="005246B4"/>
    <w:rsid w:val="00524902"/>
    <w:rsid w:val="00524B62"/>
    <w:rsid w:val="00524C3C"/>
    <w:rsid w:val="005251FB"/>
    <w:rsid w:val="005252BD"/>
    <w:rsid w:val="0052563F"/>
    <w:rsid w:val="0052568C"/>
    <w:rsid w:val="00525C4D"/>
    <w:rsid w:val="0052658F"/>
    <w:rsid w:val="00526781"/>
    <w:rsid w:val="0052686C"/>
    <w:rsid w:val="00526A77"/>
    <w:rsid w:val="00526F55"/>
    <w:rsid w:val="00526FEC"/>
    <w:rsid w:val="00527064"/>
    <w:rsid w:val="0052723F"/>
    <w:rsid w:val="00527541"/>
    <w:rsid w:val="0052765D"/>
    <w:rsid w:val="00527BCA"/>
    <w:rsid w:val="0053019E"/>
    <w:rsid w:val="00530522"/>
    <w:rsid w:val="00530796"/>
    <w:rsid w:val="005308F9"/>
    <w:rsid w:val="00530A09"/>
    <w:rsid w:val="00530CF2"/>
    <w:rsid w:val="00530E46"/>
    <w:rsid w:val="00530ECC"/>
    <w:rsid w:val="00530FE5"/>
    <w:rsid w:val="00531813"/>
    <w:rsid w:val="00531B15"/>
    <w:rsid w:val="00531FA7"/>
    <w:rsid w:val="00532094"/>
    <w:rsid w:val="0053218D"/>
    <w:rsid w:val="005322A7"/>
    <w:rsid w:val="00532392"/>
    <w:rsid w:val="00532877"/>
    <w:rsid w:val="00532DAE"/>
    <w:rsid w:val="00532F2A"/>
    <w:rsid w:val="005333C9"/>
    <w:rsid w:val="00533532"/>
    <w:rsid w:val="00533771"/>
    <w:rsid w:val="005337EA"/>
    <w:rsid w:val="00533908"/>
    <w:rsid w:val="00533BBB"/>
    <w:rsid w:val="00533ED5"/>
    <w:rsid w:val="00533EDB"/>
    <w:rsid w:val="00534421"/>
    <w:rsid w:val="00534557"/>
    <w:rsid w:val="00534686"/>
    <w:rsid w:val="00534808"/>
    <w:rsid w:val="00534B17"/>
    <w:rsid w:val="00534BD2"/>
    <w:rsid w:val="00534D29"/>
    <w:rsid w:val="00534EFD"/>
    <w:rsid w:val="005350D8"/>
    <w:rsid w:val="0053527F"/>
    <w:rsid w:val="0053538C"/>
    <w:rsid w:val="005355A7"/>
    <w:rsid w:val="00535BE0"/>
    <w:rsid w:val="00535C97"/>
    <w:rsid w:val="00535E1B"/>
    <w:rsid w:val="00536053"/>
    <w:rsid w:val="00536258"/>
    <w:rsid w:val="005363D2"/>
    <w:rsid w:val="00536841"/>
    <w:rsid w:val="00536965"/>
    <w:rsid w:val="00536D3A"/>
    <w:rsid w:val="00536E3F"/>
    <w:rsid w:val="00537023"/>
    <w:rsid w:val="00537028"/>
    <w:rsid w:val="005371E6"/>
    <w:rsid w:val="00537201"/>
    <w:rsid w:val="005376B7"/>
    <w:rsid w:val="0053778D"/>
    <w:rsid w:val="005378FE"/>
    <w:rsid w:val="005379AC"/>
    <w:rsid w:val="00537A63"/>
    <w:rsid w:val="00537AB1"/>
    <w:rsid w:val="00537CB2"/>
    <w:rsid w:val="00540138"/>
    <w:rsid w:val="00540181"/>
    <w:rsid w:val="005401C8"/>
    <w:rsid w:val="0054080E"/>
    <w:rsid w:val="00540BE8"/>
    <w:rsid w:val="00540E8D"/>
    <w:rsid w:val="00541352"/>
    <w:rsid w:val="00541567"/>
    <w:rsid w:val="005417D1"/>
    <w:rsid w:val="00541CC0"/>
    <w:rsid w:val="00541F83"/>
    <w:rsid w:val="00541FA0"/>
    <w:rsid w:val="00542294"/>
    <w:rsid w:val="00542416"/>
    <w:rsid w:val="005424E4"/>
    <w:rsid w:val="005425B3"/>
    <w:rsid w:val="00543220"/>
    <w:rsid w:val="00543231"/>
    <w:rsid w:val="00543BB1"/>
    <w:rsid w:val="00543C8A"/>
    <w:rsid w:val="00543D93"/>
    <w:rsid w:val="00543FBF"/>
    <w:rsid w:val="00544140"/>
    <w:rsid w:val="005442F2"/>
    <w:rsid w:val="00544628"/>
    <w:rsid w:val="00544767"/>
    <w:rsid w:val="005447E1"/>
    <w:rsid w:val="00544910"/>
    <w:rsid w:val="00544B92"/>
    <w:rsid w:val="00544FE5"/>
    <w:rsid w:val="0054506E"/>
    <w:rsid w:val="005453C6"/>
    <w:rsid w:val="005454B6"/>
    <w:rsid w:val="00545531"/>
    <w:rsid w:val="005456EA"/>
    <w:rsid w:val="00545717"/>
    <w:rsid w:val="0054577E"/>
    <w:rsid w:val="00545960"/>
    <w:rsid w:val="00545D80"/>
    <w:rsid w:val="00545DEE"/>
    <w:rsid w:val="00546235"/>
    <w:rsid w:val="00546857"/>
    <w:rsid w:val="00546C18"/>
    <w:rsid w:val="005471D0"/>
    <w:rsid w:val="005473CF"/>
    <w:rsid w:val="00547802"/>
    <w:rsid w:val="00547869"/>
    <w:rsid w:val="005479DA"/>
    <w:rsid w:val="00547E2D"/>
    <w:rsid w:val="00550702"/>
    <w:rsid w:val="00550705"/>
    <w:rsid w:val="005507FE"/>
    <w:rsid w:val="00550812"/>
    <w:rsid w:val="005509A9"/>
    <w:rsid w:val="00550EB5"/>
    <w:rsid w:val="00550F2C"/>
    <w:rsid w:val="00550F86"/>
    <w:rsid w:val="00551796"/>
    <w:rsid w:val="00551890"/>
    <w:rsid w:val="00551C7A"/>
    <w:rsid w:val="00551CC5"/>
    <w:rsid w:val="00551E32"/>
    <w:rsid w:val="0055260A"/>
    <w:rsid w:val="00552C18"/>
    <w:rsid w:val="00552CB5"/>
    <w:rsid w:val="00552CD1"/>
    <w:rsid w:val="00552E47"/>
    <w:rsid w:val="00552FBF"/>
    <w:rsid w:val="005530DD"/>
    <w:rsid w:val="005531B4"/>
    <w:rsid w:val="005532F0"/>
    <w:rsid w:val="00553859"/>
    <w:rsid w:val="0055399F"/>
    <w:rsid w:val="005539FA"/>
    <w:rsid w:val="005540FA"/>
    <w:rsid w:val="0055417E"/>
    <w:rsid w:val="0055423A"/>
    <w:rsid w:val="00554385"/>
    <w:rsid w:val="005543BA"/>
    <w:rsid w:val="00554489"/>
    <w:rsid w:val="00554514"/>
    <w:rsid w:val="005546E1"/>
    <w:rsid w:val="005546FD"/>
    <w:rsid w:val="00554974"/>
    <w:rsid w:val="00554AAA"/>
    <w:rsid w:val="0055529B"/>
    <w:rsid w:val="0055547B"/>
    <w:rsid w:val="00555579"/>
    <w:rsid w:val="00555677"/>
    <w:rsid w:val="00555755"/>
    <w:rsid w:val="00555A01"/>
    <w:rsid w:val="00555A1E"/>
    <w:rsid w:val="005566B7"/>
    <w:rsid w:val="005569B6"/>
    <w:rsid w:val="00556AF8"/>
    <w:rsid w:val="0055742F"/>
    <w:rsid w:val="00557DB9"/>
    <w:rsid w:val="00557F6A"/>
    <w:rsid w:val="0056030E"/>
    <w:rsid w:val="0056040F"/>
    <w:rsid w:val="0056070D"/>
    <w:rsid w:val="005609C7"/>
    <w:rsid w:val="00560BA0"/>
    <w:rsid w:val="00560F38"/>
    <w:rsid w:val="005610BC"/>
    <w:rsid w:val="005613D1"/>
    <w:rsid w:val="00561442"/>
    <w:rsid w:val="00561448"/>
    <w:rsid w:val="005616E8"/>
    <w:rsid w:val="00561795"/>
    <w:rsid w:val="00561853"/>
    <w:rsid w:val="00561C77"/>
    <w:rsid w:val="00561E7E"/>
    <w:rsid w:val="00562316"/>
    <w:rsid w:val="005625B7"/>
    <w:rsid w:val="005625E6"/>
    <w:rsid w:val="00562F01"/>
    <w:rsid w:val="005630DF"/>
    <w:rsid w:val="00563121"/>
    <w:rsid w:val="005638A2"/>
    <w:rsid w:val="00563A8D"/>
    <w:rsid w:val="00563D3C"/>
    <w:rsid w:val="00563DE0"/>
    <w:rsid w:val="00563E2C"/>
    <w:rsid w:val="0056413B"/>
    <w:rsid w:val="005642D3"/>
    <w:rsid w:val="00564471"/>
    <w:rsid w:val="0056452F"/>
    <w:rsid w:val="005645C5"/>
    <w:rsid w:val="00564C19"/>
    <w:rsid w:val="00565040"/>
    <w:rsid w:val="0056520D"/>
    <w:rsid w:val="0056525C"/>
    <w:rsid w:val="00565458"/>
    <w:rsid w:val="005658FA"/>
    <w:rsid w:val="00565E04"/>
    <w:rsid w:val="005663D4"/>
    <w:rsid w:val="00566543"/>
    <w:rsid w:val="00566697"/>
    <w:rsid w:val="00566714"/>
    <w:rsid w:val="0056683C"/>
    <w:rsid w:val="00566951"/>
    <w:rsid w:val="00566ABE"/>
    <w:rsid w:val="00566BAE"/>
    <w:rsid w:val="00566D8A"/>
    <w:rsid w:val="00566E99"/>
    <w:rsid w:val="0056724C"/>
    <w:rsid w:val="005672D0"/>
    <w:rsid w:val="00567384"/>
    <w:rsid w:val="00567763"/>
    <w:rsid w:val="00567B0A"/>
    <w:rsid w:val="00567B90"/>
    <w:rsid w:val="00567D45"/>
    <w:rsid w:val="00567D7F"/>
    <w:rsid w:val="00567F03"/>
    <w:rsid w:val="00570054"/>
    <w:rsid w:val="00570F94"/>
    <w:rsid w:val="005713A4"/>
    <w:rsid w:val="005714D3"/>
    <w:rsid w:val="005715DC"/>
    <w:rsid w:val="005717D7"/>
    <w:rsid w:val="00571980"/>
    <w:rsid w:val="00571C3D"/>
    <w:rsid w:val="00571FBC"/>
    <w:rsid w:val="0057221F"/>
    <w:rsid w:val="0057228C"/>
    <w:rsid w:val="00572520"/>
    <w:rsid w:val="00572961"/>
    <w:rsid w:val="00572AFE"/>
    <w:rsid w:val="00572B4F"/>
    <w:rsid w:val="00572D62"/>
    <w:rsid w:val="00572D7E"/>
    <w:rsid w:val="00572DD1"/>
    <w:rsid w:val="00572EA7"/>
    <w:rsid w:val="00572F1C"/>
    <w:rsid w:val="00572F9C"/>
    <w:rsid w:val="00573371"/>
    <w:rsid w:val="00573789"/>
    <w:rsid w:val="00573794"/>
    <w:rsid w:val="005737BD"/>
    <w:rsid w:val="00573971"/>
    <w:rsid w:val="00573A5B"/>
    <w:rsid w:val="00573EF2"/>
    <w:rsid w:val="00573F91"/>
    <w:rsid w:val="00573FF0"/>
    <w:rsid w:val="00574026"/>
    <w:rsid w:val="005741DE"/>
    <w:rsid w:val="0057440A"/>
    <w:rsid w:val="00574475"/>
    <w:rsid w:val="0057451F"/>
    <w:rsid w:val="00574804"/>
    <w:rsid w:val="00574B28"/>
    <w:rsid w:val="00574C7B"/>
    <w:rsid w:val="00574F0E"/>
    <w:rsid w:val="00574F44"/>
    <w:rsid w:val="005750D5"/>
    <w:rsid w:val="00575179"/>
    <w:rsid w:val="005752CE"/>
    <w:rsid w:val="005753C0"/>
    <w:rsid w:val="005754CC"/>
    <w:rsid w:val="005755A1"/>
    <w:rsid w:val="0057578E"/>
    <w:rsid w:val="00575969"/>
    <w:rsid w:val="00575C44"/>
    <w:rsid w:val="00575D8E"/>
    <w:rsid w:val="0057615D"/>
    <w:rsid w:val="005762E8"/>
    <w:rsid w:val="0057634E"/>
    <w:rsid w:val="00576481"/>
    <w:rsid w:val="00576B17"/>
    <w:rsid w:val="00576C08"/>
    <w:rsid w:val="00576E97"/>
    <w:rsid w:val="00576EF8"/>
    <w:rsid w:val="0057700F"/>
    <w:rsid w:val="0057707E"/>
    <w:rsid w:val="005772AE"/>
    <w:rsid w:val="00577755"/>
    <w:rsid w:val="0057795B"/>
    <w:rsid w:val="005779AC"/>
    <w:rsid w:val="00577C1F"/>
    <w:rsid w:val="00577F64"/>
    <w:rsid w:val="00577F95"/>
    <w:rsid w:val="005804A9"/>
    <w:rsid w:val="00580550"/>
    <w:rsid w:val="005806FE"/>
    <w:rsid w:val="0058089E"/>
    <w:rsid w:val="00580A05"/>
    <w:rsid w:val="00580C65"/>
    <w:rsid w:val="00580C91"/>
    <w:rsid w:val="00580CC5"/>
    <w:rsid w:val="00580DF4"/>
    <w:rsid w:val="00581080"/>
    <w:rsid w:val="005811A5"/>
    <w:rsid w:val="00581360"/>
    <w:rsid w:val="005815DE"/>
    <w:rsid w:val="005820A7"/>
    <w:rsid w:val="0058246C"/>
    <w:rsid w:val="00582479"/>
    <w:rsid w:val="00582513"/>
    <w:rsid w:val="00582578"/>
    <w:rsid w:val="005825E4"/>
    <w:rsid w:val="0058271F"/>
    <w:rsid w:val="00582808"/>
    <w:rsid w:val="00582886"/>
    <w:rsid w:val="005828AB"/>
    <w:rsid w:val="0058328B"/>
    <w:rsid w:val="005835CF"/>
    <w:rsid w:val="00583685"/>
    <w:rsid w:val="005837AD"/>
    <w:rsid w:val="00583C12"/>
    <w:rsid w:val="00583C43"/>
    <w:rsid w:val="00584406"/>
    <w:rsid w:val="005849AD"/>
    <w:rsid w:val="00584A1E"/>
    <w:rsid w:val="00584BE8"/>
    <w:rsid w:val="0058551C"/>
    <w:rsid w:val="005857BC"/>
    <w:rsid w:val="005857FD"/>
    <w:rsid w:val="00585B05"/>
    <w:rsid w:val="00585BEF"/>
    <w:rsid w:val="00585F7A"/>
    <w:rsid w:val="00586339"/>
    <w:rsid w:val="0058648C"/>
    <w:rsid w:val="00586664"/>
    <w:rsid w:val="00586EA1"/>
    <w:rsid w:val="00586F49"/>
    <w:rsid w:val="00587262"/>
    <w:rsid w:val="00587539"/>
    <w:rsid w:val="00587777"/>
    <w:rsid w:val="00587909"/>
    <w:rsid w:val="0058794E"/>
    <w:rsid w:val="00587E1B"/>
    <w:rsid w:val="00587E6D"/>
    <w:rsid w:val="00587FD0"/>
    <w:rsid w:val="00590397"/>
    <w:rsid w:val="0059064F"/>
    <w:rsid w:val="00590A31"/>
    <w:rsid w:val="00591154"/>
    <w:rsid w:val="00591412"/>
    <w:rsid w:val="00591499"/>
    <w:rsid w:val="005916C3"/>
    <w:rsid w:val="005916D5"/>
    <w:rsid w:val="00591919"/>
    <w:rsid w:val="00591E1F"/>
    <w:rsid w:val="005921BB"/>
    <w:rsid w:val="00592311"/>
    <w:rsid w:val="005924E2"/>
    <w:rsid w:val="005924FF"/>
    <w:rsid w:val="00592525"/>
    <w:rsid w:val="0059265A"/>
    <w:rsid w:val="005929F2"/>
    <w:rsid w:val="00592A8C"/>
    <w:rsid w:val="00592B68"/>
    <w:rsid w:val="00593266"/>
    <w:rsid w:val="00593BC4"/>
    <w:rsid w:val="00593E32"/>
    <w:rsid w:val="00594DA1"/>
    <w:rsid w:val="00595548"/>
    <w:rsid w:val="005955B9"/>
    <w:rsid w:val="00595B18"/>
    <w:rsid w:val="00595CE9"/>
    <w:rsid w:val="00595E20"/>
    <w:rsid w:val="005961AB"/>
    <w:rsid w:val="005962CC"/>
    <w:rsid w:val="00596332"/>
    <w:rsid w:val="0059696A"/>
    <w:rsid w:val="00596A4D"/>
    <w:rsid w:val="00596C9F"/>
    <w:rsid w:val="00596E33"/>
    <w:rsid w:val="00596E63"/>
    <w:rsid w:val="00596ED0"/>
    <w:rsid w:val="00597010"/>
    <w:rsid w:val="005970A8"/>
    <w:rsid w:val="005972FB"/>
    <w:rsid w:val="00597312"/>
    <w:rsid w:val="0059757E"/>
    <w:rsid w:val="00597D2E"/>
    <w:rsid w:val="005A007C"/>
    <w:rsid w:val="005A033A"/>
    <w:rsid w:val="005A03E5"/>
    <w:rsid w:val="005A043C"/>
    <w:rsid w:val="005A072A"/>
    <w:rsid w:val="005A0833"/>
    <w:rsid w:val="005A0B21"/>
    <w:rsid w:val="005A0D41"/>
    <w:rsid w:val="005A117B"/>
    <w:rsid w:val="005A1379"/>
    <w:rsid w:val="005A154C"/>
    <w:rsid w:val="005A18FC"/>
    <w:rsid w:val="005A1B72"/>
    <w:rsid w:val="005A1D4D"/>
    <w:rsid w:val="005A1EAE"/>
    <w:rsid w:val="005A2203"/>
    <w:rsid w:val="005A2277"/>
    <w:rsid w:val="005A257D"/>
    <w:rsid w:val="005A27AE"/>
    <w:rsid w:val="005A2881"/>
    <w:rsid w:val="005A2A3C"/>
    <w:rsid w:val="005A2AC0"/>
    <w:rsid w:val="005A2D7B"/>
    <w:rsid w:val="005A3222"/>
    <w:rsid w:val="005A3444"/>
    <w:rsid w:val="005A34BB"/>
    <w:rsid w:val="005A356B"/>
    <w:rsid w:val="005A35CE"/>
    <w:rsid w:val="005A3705"/>
    <w:rsid w:val="005A3970"/>
    <w:rsid w:val="005A3B50"/>
    <w:rsid w:val="005A3C67"/>
    <w:rsid w:val="005A3DF4"/>
    <w:rsid w:val="005A3F25"/>
    <w:rsid w:val="005A44AF"/>
    <w:rsid w:val="005A45B0"/>
    <w:rsid w:val="005A4612"/>
    <w:rsid w:val="005A47D8"/>
    <w:rsid w:val="005A4B69"/>
    <w:rsid w:val="005A4E7F"/>
    <w:rsid w:val="005A5067"/>
    <w:rsid w:val="005A5154"/>
    <w:rsid w:val="005A57A1"/>
    <w:rsid w:val="005A5BB5"/>
    <w:rsid w:val="005A5CE4"/>
    <w:rsid w:val="005A6C9F"/>
    <w:rsid w:val="005A6E18"/>
    <w:rsid w:val="005A6E20"/>
    <w:rsid w:val="005A7037"/>
    <w:rsid w:val="005A7460"/>
    <w:rsid w:val="005A7499"/>
    <w:rsid w:val="005A74C8"/>
    <w:rsid w:val="005A7586"/>
    <w:rsid w:val="005A75CB"/>
    <w:rsid w:val="005A7978"/>
    <w:rsid w:val="005A7C15"/>
    <w:rsid w:val="005A7FFB"/>
    <w:rsid w:val="005B04D2"/>
    <w:rsid w:val="005B0568"/>
    <w:rsid w:val="005B08B0"/>
    <w:rsid w:val="005B08BF"/>
    <w:rsid w:val="005B096E"/>
    <w:rsid w:val="005B0A66"/>
    <w:rsid w:val="005B0D7D"/>
    <w:rsid w:val="005B0F19"/>
    <w:rsid w:val="005B0F9F"/>
    <w:rsid w:val="005B1101"/>
    <w:rsid w:val="005B11A2"/>
    <w:rsid w:val="005B1282"/>
    <w:rsid w:val="005B1536"/>
    <w:rsid w:val="005B17BE"/>
    <w:rsid w:val="005B191A"/>
    <w:rsid w:val="005B1A18"/>
    <w:rsid w:val="005B1A1A"/>
    <w:rsid w:val="005B1AB3"/>
    <w:rsid w:val="005B1C8C"/>
    <w:rsid w:val="005B1E1E"/>
    <w:rsid w:val="005B1EB9"/>
    <w:rsid w:val="005B21DF"/>
    <w:rsid w:val="005B25CB"/>
    <w:rsid w:val="005B27F9"/>
    <w:rsid w:val="005B2B30"/>
    <w:rsid w:val="005B2D72"/>
    <w:rsid w:val="005B2FE6"/>
    <w:rsid w:val="005B3194"/>
    <w:rsid w:val="005B3236"/>
    <w:rsid w:val="005B32E8"/>
    <w:rsid w:val="005B35D2"/>
    <w:rsid w:val="005B3880"/>
    <w:rsid w:val="005B38C3"/>
    <w:rsid w:val="005B3C9A"/>
    <w:rsid w:val="005B3FAB"/>
    <w:rsid w:val="005B415D"/>
    <w:rsid w:val="005B4218"/>
    <w:rsid w:val="005B429F"/>
    <w:rsid w:val="005B44A6"/>
    <w:rsid w:val="005B46A0"/>
    <w:rsid w:val="005B48FB"/>
    <w:rsid w:val="005B49FA"/>
    <w:rsid w:val="005B4CBC"/>
    <w:rsid w:val="005B4D06"/>
    <w:rsid w:val="005B4F82"/>
    <w:rsid w:val="005B5050"/>
    <w:rsid w:val="005B50FD"/>
    <w:rsid w:val="005B5422"/>
    <w:rsid w:val="005B56B9"/>
    <w:rsid w:val="005B5D61"/>
    <w:rsid w:val="005B5FE6"/>
    <w:rsid w:val="005B6896"/>
    <w:rsid w:val="005B69E7"/>
    <w:rsid w:val="005B6BCC"/>
    <w:rsid w:val="005B6D30"/>
    <w:rsid w:val="005B71AD"/>
    <w:rsid w:val="005B7A43"/>
    <w:rsid w:val="005B7BCA"/>
    <w:rsid w:val="005B7C2E"/>
    <w:rsid w:val="005B7D5F"/>
    <w:rsid w:val="005C048D"/>
    <w:rsid w:val="005C05A1"/>
    <w:rsid w:val="005C0BF9"/>
    <w:rsid w:val="005C109F"/>
    <w:rsid w:val="005C11D5"/>
    <w:rsid w:val="005C1215"/>
    <w:rsid w:val="005C151F"/>
    <w:rsid w:val="005C1733"/>
    <w:rsid w:val="005C1917"/>
    <w:rsid w:val="005C21EC"/>
    <w:rsid w:val="005C2292"/>
    <w:rsid w:val="005C24C9"/>
    <w:rsid w:val="005C260C"/>
    <w:rsid w:val="005C2618"/>
    <w:rsid w:val="005C2E98"/>
    <w:rsid w:val="005C2EFB"/>
    <w:rsid w:val="005C2F1D"/>
    <w:rsid w:val="005C2F52"/>
    <w:rsid w:val="005C3083"/>
    <w:rsid w:val="005C30D5"/>
    <w:rsid w:val="005C3236"/>
    <w:rsid w:val="005C33D4"/>
    <w:rsid w:val="005C33E3"/>
    <w:rsid w:val="005C356C"/>
    <w:rsid w:val="005C36CD"/>
    <w:rsid w:val="005C375E"/>
    <w:rsid w:val="005C3A36"/>
    <w:rsid w:val="005C42B2"/>
    <w:rsid w:val="005C469D"/>
    <w:rsid w:val="005C4837"/>
    <w:rsid w:val="005C483C"/>
    <w:rsid w:val="005C4DEC"/>
    <w:rsid w:val="005C56A4"/>
    <w:rsid w:val="005C57EC"/>
    <w:rsid w:val="005C57F4"/>
    <w:rsid w:val="005C5816"/>
    <w:rsid w:val="005C5A0F"/>
    <w:rsid w:val="005C5AD9"/>
    <w:rsid w:val="005C5E57"/>
    <w:rsid w:val="005C6056"/>
    <w:rsid w:val="005C6189"/>
    <w:rsid w:val="005C6457"/>
    <w:rsid w:val="005C6C29"/>
    <w:rsid w:val="005C6C55"/>
    <w:rsid w:val="005C6D14"/>
    <w:rsid w:val="005C6EDC"/>
    <w:rsid w:val="005C7019"/>
    <w:rsid w:val="005C7210"/>
    <w:rsid w:val="005C735F"/>
    <w:rsid w:val="005C79A3"/>
    <w:rsid w:val="005C7B95"/>
    <w:rsid w:val="005C7D91"/>
    <w:rsid w:val="005D012A"/>
    <w:rsid w:val="005D03B2"/>
    <w:rsid w:val="005D042B"/>
    <w:rsid w:val="005D04F0"/>
    <w:rsid w:val="005D0636"/>
    <w:rsid w:val="005D08C0"/>
    <w:rsid w:val="005D096F"/>
    <w:rsid w:val="005D0974"/>
    <w:rsid w:val="005D0DA7"/>
    <w:rsid w:val="005D0E47"/>
    <w:rsid w:val="005D0F17"/>
    <w:rsid w:val="005D1478"/>
    <w:rsid w:val="005D199E"/>
    <w:rsid w:val="005D1B6D"/>
    <w:rsid w:val="005D1F96"/>
    <w:rsid w:val="005D2171"/>
    <w:rsid w:val="005D2384"/>
    <w:rsid w:val="005D280C"/>
    <w:rsid w:val="005D3112"/>
    <w:rsid w:val="005D32EA"/>
    <w:rsid w:val="005D3315"/>
    <w:rsid w:val="005D35BC"/>
    <w:rsid w:val="005D36B4"/>
    <w:rsid w:val="005D36E6"/>
    <w:rsid w:val="005D393B"/>
    <w:rsid w:val="005D3C16"/>
    <w:rsid w:val="005D3CBB"/>
    <w:rsid w:val="005D3E8D"/>
    <w:rsid w:val="005D3EC0"/>
    <w:rsid w:val="005D3F1E"/>
    <w:rsid w:val="005D41FB"/>
    <w:rsid w:val="005D45D4"/>
    <w:rsid w:val="005D4729"/>
    <w:rsid w:val="005D477E"/>
    <w:rsid w:val="005D4AE8"/>
    <w:rsid w:val="005D4D3C"/>
    <w:rsid w:val="005D4DF4"/>
    <w:rsid w:val="005D4F4A"/>
    <w:rsid w:val="005D4FD5"/>
    <w:rsid w:val="005D5471"/>
    <w:rsid w:val="005D5799"/>
    <w:rsid w:val="005D595E"/>
    <w:rsid w:val="005D5994"/>
    <w:rsid w:val="005D59E8"/>
    <w:rsid w:val="005D5A7B"/>
    <w:rsid w:val="005D5BE4"/>
    <w:rsid w:val="005D5D57"/>
    <w:rsid w:val="005D5D66"/>
    <w:rsid w:val="005D5E96"/>
    <w:rsid w:val="005D62C6"/>
    <w:rsid w:val="005D662D"/>
    <w:rsid w:val="005D6824"/>
    <w:rsid w:val="005D6CA4"/>
    <w:rsid w:val="005D6DE9"/>
    <w:rsid w:val="005D73C5"/>
    <w:rsid w:val="005D755C"/>
    <w:rsid w:val="005D7778"/>
    <w:rsid w:val="005D778E"/>
    <w:rsid w:val="005D788E"/>
    <w:rsid w:val="005D79A3"/>
    <w:rsid w:val="005D79DE"/>
    <w:rsid w:val="005D7FBB"/>
    <w:rsid w:val="005E0289"/>
    <w:rsid w:val="005E0392"/>
    <w:rsid w:val="005E0641"/>
    <w:rsid w:val="005E06A6"/>
    <w:rsid w:val="005E0741"/>
    <w:rsid w:val="005E07E0"/>
    <w:rsid w:val="005E0AFC"/>
    <w:rsid w:val="005E0B8D"/>
    <w:rsid w:val="005E0F1E"/>
    <w:rsid w:val="005E1073"/>
    <w:rsid w:val="005E112B"/>
    <w:rsid w:val="005E1509"/>
    <w:rsid w:val="005E1618"/>
    <w:rsid w:val="005E1A87"/>
    <w:rsid w:val="005E1FA5"/>
    <w:rsid w:val="005E2008"/>
    <w:rsid w:val="005E206E"/>
    <w:rsid w:val="005E2110"/>
    <w:rsid w:val="005E2768"/>
    <w:rsid w:val="005E2882"/>
    <w:rsid w:val="005E28EC"/>
    <w:rsid w:val="005E28F6"/>
    <w:rsid w:val="005E28FF"/>
    <w:rsid w:val="005E2A46"/>
    <w:rsid w:val="005E3281"/>
    <w:rsid w:val="005E3473"/>
    <w:rsid w:val="005E37A7"/>
    <w:rsid w:val="005E3921"/>
    <w:rsid w:val="005E394B"/>
    <w:rsid w:val="005E39E8"/>
    <w:rsid w:val="005E3AAA"/>
    <w:rsid w:val="005E3B1C"/>
    <w:rsid w:val="005E3EFC"/>
    <w:rsid w:val="005E40E2"/>
    <w:rsid w:val="005E4379"/>
    <w:rsid w:val="005E4743"/>
    <w:rsid w:val="005E49B4"/>
    <w:rsid w:val="005E4B61"/>
    <w:rsid w:val="005E506A"/>
    <w:rsid w:val="005E515E"/>
    <w:rsid w:val="005E53A7"/>
    <w:rsid w:val="005E5473"/>
    <w:rsid w:val="005E56EE"/>
    <w:rsid w:val="005E5D0D"/>
    <w:rsid w:val="005E64E3"/>
    <w:rsid w:val="005E6A12"/>
    <w:rsid w:val="005E6B21"/>
    <w:rsid w:val="005E6D91"/>
    <w:rsid w:val="005E70A4"/>
    <w:rsid w:val="005E71E8"/>
    <w:rsid w:val="005E7435"/>
    <w:rsid w:val="005E7553"/>
    <w:rsid w:val="005E7968"/>
    <w:rsid w:val="005E7AE0"/>
    <w:rsid w:val="005E7DCE"/>
    <w:rsid w:val="005F00EA"/>
    <w:rsid w:val="005F0366"/>
    <w:rsid w:val="005F0534"/>
    <w:rsid w:val="005F0B6D"/>
    <w:rsid w:val="005F0FFF"/>
    <w:rsid w:val="005F1560"/>
    <w:rsid w:val="005F177E"/>
    <w:rsid w:val="005F178F"/>
    <w:rsid w:val="005F18F9"/>
    <w:rsid w:val="005F1C9D"/>
    <w:rsid w:val="005F1CAE"/>
    <w:rsid w:val="005F2383"/>
    <w:rsid w:val="005F2448"/>
    <w:rsid w:val="005F254F"/>
    <w:rsid w:val="005F2603"/>
    <w:rsid w:val="005F2982"/>
    <w:rsid w:val="005F2BE9"/>
    <w:rsid w:val="005F2F72"/>
    <w:rsid w:val="005F3602"/>
    <w:rsid w:val="005F3807"/>
    <w:rsid w:val="005F3836"/>
    <w:rsid w:val="005F398B"/>
    <w:rsid w:val="005F3A0D"/>
    <w:rsid w:val="005F3AE1"/>
    <w:rsid w:val="005F3B2A"/>
    <w:rsid w:val="005F3BCF"/>
    <w:rsid w:val="005F3D64"/>
    <w:rsid w:val="005F480F"/>
    <w:rsid w:val="005F48C0"/>
    <w:rsid w:val="005F4E54"/>
    <w:rsid w:val="005F5606"/>
    <w:rsid w:val="005F56B2"/>
    <w:rsid w:val="005F56DF"/>
    <w:rsid w:val="005F59C7"/>
    <w:rsid w:val="005F5A71"/>
    <w:rsid w:val="005F5A83"/>
    <w:rsid w:val="005F5A8E"/>
    <w:rsid w:val="005F5B5D"/>
    <w:rsid w:val="005F5C37"/>
    <w:rsid w:val="005F5DCA"/>
    <w:rsid w:val="005F621C"/>
    <w:rsid w:val="005F6266"/>
    <w:rsid w:val="005F6298"/>
    <w:rsid w:val="005F6886"/>
    <w:rsid w:val="005F6DA4"/>
    <w:rsid w:val="005F7029"/>
    <w:rsid w:val="005F78C1"/>
    <w:rsid w:val="005F7B03"/>
    <w:rsid w:val="005F7BE0"/>
    <w:rsid w:val="005F7F60"/>
    <w:rsid w:val="00600570"/>
    <w:rsid w:val="00600738"/>
    <w:rsid w:val="006009AC"/>
    <w:rsid w:val="00600BB1"/>
    <w:rsid w:val="00600C78"/>
    <w:rsid w:val="00600CA3"/>
    <w:rsid w:val="00600F8C"/>
    <w:rsid w:val="0060143B"/>
    <w:rsid w:val="006014FA"/>
    <w:rsid w:val="006018AE"/>
    <w:rsid w:val="00601BD4"/>
    <w:rsid w:val="0060221F"/>
    <w:rsid w:val="00602241"/>
    <w:rsid w:val="006024ED"/>
    <w:rsid w:val="0060252A"/>
    <w:rsid w:val="00602591"/>
    <w:rsid w:val="00602AC4"/>
    <w:rsid w:val="00602AD8"/>
    <w:rsid w:val="00602BD4"/>
    <w:rsid w:val="00602C54"/>
    <w:rsid w:val="00602CF5"/>
    <w:rsid w:val="006030FC"/>
    <w:rsid w:val="00603160"/>
    <w:rsid w:val="006032C0"/>
    <w:rsid w:val="006036A3"/>
    <w:rsid w:val="006036E3"/>
    <w:rsid w:val="00603B1C"/>
    <w:rsid w:val="00604186"/>
    <w:rsid w:val="00604199"/>
    <w:rsid w:val="0060476A"/>
    <w:rsid w:val="006048DD"/>
    <w:rsid w:val="00604B8B"/>
    <w:rsid w:val="00604D10"/>
    <w:rsid w:val="00604D9F"/>
    <w:rsid w:val="006053D2"/>
    <w:rsid w:val="00605461"/>
    <w:rsid w:val="00605682"/>
    <w:rsid w:val="006059FF"/>
    <w:rsid w:val="00605CBD"/>
    <w:rsid w:val="00606430"/>
    <w:rsid w:val="006064B5"/>
    <w:rsid w:val="006066C0"/>
    <w:rsid w:val="006068A3"/>
    <w:rsid w:val="00606A7C"/>
    <w:rsid w:val="00606AFF"/>
    <w:rsid w:val="00606BC6"/>
    <w:rsid w:val="00606E2E"/>
    <w:rsid w:val="006070EB"/>
    <w:rsid w:val="0060746B"/>
    <w:rsid w:val="0060765D"/>
    <w:rsid w:val="00607783"/>
    <w:rsid w:val="00607E6C"/>
    <w:rsid w:val="006101B3"/>
    <w:rsid w:val="006101BC"/>
    <w:rsid w:val="00610231"/>
    <w:rsid w:val="006105FF"/>
    <w:rsid w:val="00610E70"/>
    <w:rsid w:val="0061117A"/>
    <w:rsid w:val="006113A6"/>
    <w:rsid w:val="006119A4"/>
    <w:rsid w:val="00611CD1"/>
    <w:rsid w:val="00611FFB"/>
    <w:rsid w:val="006123D2"/>
    <w:rsid w:val="00612490"/>
    <w:rsid w:val="00612B19"/>
    <w:rsid w:val="00612B95"/>
    <w:rsid w:val="00612BC0"/>
    <w:rsid w:val="00612C5A"/>
    <w:rsid w:val="00612F1D"/>
    <w:rsid w:val="00612FE8"/>
    <w:rsid w:val="006130AA"/>
    <w:rsid w:val="0061388B"/>
    <w:rsid w:val="00613D4A"/>
    <w:rsid w:val="00613D6D"/>
    <w:rsid w:val="00613FBB"/>
    <w:rsid w:val="00614302"/>
    <w:rsid w:val="0061458B"/>
    <w:rsid w:val="006146F1"/>
    <w:rsid w:val="00614761"/>
    <w:rsid w:val="00614B32"/>
    <w:rsid w:val="006151B7"/>
    <w:rsid w:val="0061546C"/>
    <w:rsid w:val="006155A8"/>
    <w:rsid w:val="00615934"/>
    <w:rsid w:val="00615B9D"/>
    <w:rsid w:val="00615ED3"/>
    <w:rsid w:val="00615EF6"/>
    <w:rsid w:val="00615FD8"/>
    <w:rsid w:val="0061615C"/>
    <w:rsid w:val="00616495"/>
    <w:rsid w:val="00616540"/>
    <w:rsid w:val="006167AC"/>
    <w:rsid w:val="006168C7"/>
    <w:rsid w:val="00616D41"/>
    <w:rsid w:val="00616E6F"/>
    <w:rsid w:val="00616E94"/>
    <w:rsid w:val="00616EDD"/>
    <w:rsid w:val="00617028"/>
    <w:rsid w:val="0061702F"/>
    <w:rsid w:val="006170D2"/>
    <w:rsid w:val="00617470"/>
    <w:rsid w:val="0061754A"/>
    <w:rsid w:val="00617CCC"/>
    <w:rsid w:val="00617D6D"/>
    <w:rsid w:val="00617FC8"/>
    <w:rsid w:val="006200DD"/>
    <w:rsid w:val="00620184"/>
    <w:rsid w:val="00620412"/>
    <w:rsid w:val="00620443"/>
    <w:rsid w:val="0062065A"/>
    <w:rsid w:val="00620944"/>
    <w:rsid w:val="00620A26"/>
    <w:rsid w:val="00620D5A"/>
    <w:rsid w:val="0062105F"/>
    <w:rsid w:val="006210C2"/>
    <w:rsid w:val="0062117D"/>
    <w:rsid w:val="006217A4"/>
    <w:rsid w:val="006218A1"/>
    <w:rsid w:val="00621979"/>
    <w:rsid w:val="00621DC2"/>
    <w:rsid w:val="00622002"/>
    <w:rsid w:val="006220DE"/>
    <w:rsid w:val="006221E1"/>
    <w:rsid w:val="006226BC"/>
    <w:rsid w:val="006227F1"/>
    <w:rsid w:val="006228F5"/>
    <w:rsid w:val="00622913"/>
    <w:rsid w:val="00622996"/>
    <w:rsid w:val="00622FA5"/>
    <w:rsid w:val="006232ED"/>
    <w:rsid w:val="00623552"/>
    <w:rsid w:val="00623639"/>
    <w:rsid w:val="006236B2"/>
    <w:rsid w:val="006236CB"/>
    <w:rsid w:val="00624937"/>
    <w:rsid w:val="006249AF"/>
    <w:rsid w:val="00624CB2"/>
    <w:rsid w:val="00624DEE"/>
    <w:rsid w:val="00624E3F"/>
    <w:rsid w:val="00624E47"/>
    <w:rsid w:val="00624EC3"/>
    <w:rsid w:val="00625066"/>
    <w:rsid w:val="00625546"/>
    <w:rsid w:val="00625595"/>
    <w:rsid w:val="006255CA"/>
    <w:rsid w:val="00625DCB"/>
    <w:rsid w:val="00625FB4"/>
    <w:rsid w:val="006261BF"/>
    <w:rsid w:val="0062635E"/>
    <w:rsid w:val="00626899"/>
    <w:rsid w:val="00626A3D"/>
    <w:rsid w:val="00626B20"/>
    <w:rsid w:val="00626D71"/>
    <w:rsid w:val="00626D94"/>
    <w:rsid w:val="00627588"/>
    <w:rsid w:val="006279F9"/>
    <w:rsid w:val="00627AB0"/>
    <w:rsid w:val="00627C62"/>
    <w:rsid w:val="00627CC7"/>
    <w:rsid w:val="00627D77"/>
    <w:rsid w:val="00627E5A"/>
    <w:rsid w:val="00630057"/>
    <w:rsid w:val="00630221"/>
    <w:rsid w:val="006302EE"/>
    <w:rsid w:val="00630681"/>
    <w:rsid w:val="00630744"/>
    <w:rsid w:val="00630ACF"/>
    <w:rsid w:val="00631658"/>
    <w:rsid w:val="00631693"/>
    <w:rsid w:val="006317D0"/>
    <w:rsid w:val="00631B53"/>
    <w:rsid w:val="00631BCB"/>
    <w:rsid w:val="00631CFE"/>
    <w:rsid w:val="00631E9C"/>
    <w:rsid w:val="00631EA5"/>
    <w:rsid w:val="00631F14"/>
    <w:rsid w:val="0063234D"/>
    <w:rsid w:val="00632652"/>
    <w:rsid w:val="00632820"/>
    <w:rsid w:val="00632B7E"/>
    <w:rsid w:val="00633191"/>
    <w:rsid w:val="006336D6"/>
    <w:rsid w:val="00633779"/>
    <w:rsid w:val="006337B1"/>
    <w:rsid w:val="00633AAA"/>
    <w:rsid w:val="00633C57"/>
    <w:rsid w:val="00633E9E"/>
    <w:rsid w:val="00633F7B"/>
    <w:rsid w:val="00634409"/>
    <w:rsid w:val="0063444C"/>
    <w:rsid w:val="0063474A"/>
    <w:rsid w:val="006347C2"/>
    <w:rsid w:val="00634986"/>
    <w:rsid w:val="00634CFC"/>
    <w:rsid w:val="00634E4A"/>
    <w:rsid w:val="0063537A"/>
    <w:rsid w:val="0063542F"/>
    <w:rsid w:val="00635579"/>
    <w:rsid w:val="006357B1"/>
    <w:rsid w:val="0063584A"/>
    <w:rsid w:val="0063612D"/>
    <w:rsid w:val="006363C5"/>
    <w:rsid w:val="006364A3"/>
    <w:rsid w:val="006365C1"/>
    <w:rsid w:val="006365D5"/>
    <w:rsid w:val="0063676A"/>
    <w:rsid w:val="00636927"/>
    <w:rsid w:val="00636BDA"/>
    <w:rsid w:val="00637183"/>
    <w:rsid w:val="00637349"/>
    <w:rsid w:val="00637452"/>
    <w:rsid w:val="00637476"/>
    <w:rsid w:val="00637590"/>
    <w:rsid w:val="0063775B"/>
    <w:rsid w:val="006378B6"/>
    <w:rsid w:val="00637B12"/>
    <w:rsid w:val="00637CB9"/>
    <w:rsid w:val="00637FD1"/>
    <w:rsid w:val="00640B65"/>
    <w:rsid w:val="00640BCF"/>
    <w:rsid w:val="00640BF5"/>
    <w:rsid w:val="0064115B"/>
    <w:rsid w:val="006416FB"/>
    <w:rsid w:val="00641AA7"/>
    <w:rsid w:val="00641DAD"/>
    <w:rsid w:val="00641EF2"/>
    <w:rsid w:val="00641F16"/>
    <w:rsid w:val="00641FF5"/>
    <w:rsid w:val="006420D9"/>
    <w:rsid w:val="006421A9"/>
    <w:rsid w:val="006421DF"/>
    <w:rsid w:val="006424AB"/>
    <w:rsid w:val="006424FB"/>
    <w:rsid w:val="00642724"/>
    <w:rsid w:val="00642970"/>
    <w:rsid w:val="00642DAB"/>
    <w:rsid w:val="00642DF5"/>
    <w:rsid w:val="00642F73"/>
    <w:rsid w:val="00643BAE"/>
    <w:rsid w:val="00643C39"/>
    <w:rsid w:val="00643CF4"/>
    <w:rsid w:val="00643EDD"/>
    <w:rsid w:val="00644528"/>
    <w:rsid w:val="0064488F"/>
    <w:rsid w:val="006449C2"/>
    <w:rsid w:val="00644A40"/>
    <w:rsid w:val="00644AD5"/>
    <w:rsid w:val="00644C0A"/>
    <w:rsid w:val="00645643"/>
    <w:rsid w:val="00645AFE"/>
    <w:rsid w:val="00645C63"/>
    <w:rsid w:val="00645DE3"/>
    <w:rsid w:val="00645E35"/>
    <w:rsid w:val="00645E5B"/>
    <w:rsid w:val="0064626D"/>
    <w:rsid w:val="0064650D"/>
    <w:rsid w:val="006466A2"/>
    <w:rsid w:val="00646C62"/>
    <w:rsid w:val="00646E41"/>
    <w:rsid w:val="00647529"/>
    <w:rsid w:val="00647653"/>
    <w:rsid w:val="006476FC"/>
    <w:rsid w:val="00647756"/>
    <w:rsid w:val="00647792"/>
    <w:rsid w:val="00647C97"/>
    <w:rsid w:val="00647D77"/>
    <w:rsid w:val="00647E71"/>
    <w:rsid w:val="0065034A"/>
    <w:rsid w:val="006504C8"/>
    <w:rsid w:val="0065069B"/>
    <w:rsid w:val="0065095E"/>
    <w:rsid w:val="00650ED6"/>
    <w:rsid w:val="00650F1B"/>
    <w:rsid w:val="00650F2C"/>
    <w:rsid w:val="006510C2"/>
    <w:rsid w:val="0065111A"/>
    <w:rsid w:val="00651473"/>
    <w:rsid w:val="00651733"/>
    <w:rsid w:val="00651848"/>
    <w:rsid w:val="00651DB0"/>
    <w:rsid w:val="00651F21"/>
    <w:rsid w:val="006521C9"/>
    <w:rsid w:val="00652409"/>
    <w:rsid w:val="00652532"/>
    <w:rsid w:val="0065289F"/>
    <w:rsid w:val="00652CFD"/>
    <w:rsid w:val="0065352F"/>
    <w:rsid w:val="00653660"/>
    <w:rsid w:val="006537C2"/>
    <w:rsid w:val="0065414F"/>
    <w:rsid w:val="006541FF"/>
    <w:rsid w:val="006543A7"/>
    <w:rsid w:val="006543B4"/>
    <w:rsid w:val="006544C4"/>
    <w:rsid w:val="00654714"/>
    <w:rsid w:val="0065493B"/>
    <w:rsid w:val="00654BA4"/>
    <w:rsid w:val="00654D55"/>
    <w:rsid w:val="006550FD"/>
    <w:rsid w:val="006552D9"/>
    <w:rsid w:val="00655324"/>
    <w:rsid w:val="006553C1"/>
    <w:rsid w:val="00655591"/>
    <w:rsid w:val="006558DA"/>
    <w:rsid w:val="00655AC8"/>
    <w:rsid w:val="00655C96"/>
    <w:rsid w:val="00655DB9"/>
    <w:rsid w:val="00655FFB"/>
    <w:rsid w:val="00656003"/>
    <w:rsid w:val="00656024"/>
    <w:rsid w:val="0065633F"/>
    <w:rsid w:val="00656642"/>
    <w:rsid w:val="00656653"/>
    <w:rsid w:val="006567BA"/>
    <w:rsid w:val="00656ACC"/>
    <w:rsid w:val="00656C46"/>
    <w:rsid w:val="00656DB4"/>
    <w:rsid w:val="00656F32"/>
    <w:rsid w:val="006573C2"/>
    <w:rsid w:val="006574A7"/>
    <w:rsid w:val="00657634"/>
    <w:rsid w:val="00657A80"/>
    <w:rsid w:val="00657BCE"/>
    <w:rsid w:val="006602F6"/>
    <w:rsid w:val="006608A2"/>
    <w:rsid w:val="0066097A"/>
    <w:rsid w:val="00660CE2"/>
    <w:rsid w:val="00660DCC"/>
    <w:rsid w:val="00660E0D"/>
    <w:rsid w:val="00660F89"/>
    <w:rsid w:val="00661582"/>
    <w:rsid w:val="006616E3"/>
    <w:rsid w:val="006617D8"/>
    <w:rsid w:val="006619C1"/>
    <w:rsid w:val="00661BBF"/>
    <w:rsid w:val="00662112"/>
    <w:rsid w:val="006622EE"/>
    <w:rsid w:val="00662375"/>
    <w:rsid w:val="006623F3"/>
    <w:rsid w:val="00662644"/>
    <w:rsid w:val="006628AC"/>
    <w:rsid w:val="00662E5F"/>
    <w:rsid w:val="00662E70"/>
    <w:rsid w:val="00662E9F"/>
    <w:rsid w:val="00662F8F"/>
    <w:rsid w:val="00663028"/>
    <w:rsid w:val="006632D4"/>
    <w:rsid w:val="00663885"/>
    <w:rsid w:val="006638D1"/>
    <w:rsid w:val="00663AEE"/>
    <w:rsid w:val="00663C9E"/>
    <w:rsid w:val="0066410D"/>
    <w:rsid w:val="00664121"/>
    <w:rsid w:val="006643E6"/>
    <w:rsid w:val="006645B6"/>
    <w:rsid w:val="006645FC"/>
    <w:rsid w:val="006646F0"/>
    <w:rsid w:val="006647DC"/>
    <w:rsid w:val="00664880"/>
    <w:rsid w:val="00664FE0"/>
    <w:rsid w:val="0066502C"/>
    <w:rsid w:val="0066506A"/>
    <w:rsid w:val="006650D9"/>
    <w:rsid w:val="0066522E"/>
    <w:rsid w:val="0066525E"/>
    <w:rsid w:val="006652D6"/>
    <w:rsid w:val="006654D8"/>
    <w:rsid w:val="0066569E"/>
    <w:rsid w:val="0066571F"/>
    <w:rsid w:val="0066580C"/>
    <w:rsid w:val="00665CF3"/>
    <w:rsid w:val="00665D40"/>
    <w:rsid w:val="00665D47"/>
    <w:rsid w:val="00665D54"/>
    <w:rsid w:val="00665D95"/>
    <w:rsid w:val="006663E9"/>
    <w:rsid w:val="006666C0"/>
    <w:rsid w:val="00666A32"/>
    <w:rsid w:val="00666DFB"/>
    <w:rsid w:val="00666E11"/>
    <w:rsid w:val="00667754"/>
    <w:rsid w:val="00667808"/>
    <w:rsid w:val="00667C00"/>
    <w:rsid w:val="00667C5A"/>
    <w:rsid w:val="006701A6"/>
    <w:rsid w:val="00670285"/>
    <w:rsid w:val="0067028F"/>
    <w:rsid w:val="006704B5"/>
    <w:rsid w:val="00670529"/>
    <w:rsid w:val="00670832"/>
    <w:rsid w:val="00670895"/>
    <w:rsid w:val="006708A4"/>
    <w:rsid w:val="00670B13"/>
    <w:rsid w:val="00670E24"/>
    <w:rsid w:val="00670E8C"/>
    <w:rsid w:val="00670EC1"/>
    <w:rsid w:val="00671044"/>
    <w:rsid w:val="006710EB"/>
    <w:rsid w:val="0067163C"/>
    <w:rsid w:val="0067169C"/>
    <w:rsid w:val="006716AB"/>
    <w:rsid w:val="006719C9"/>
    <w:rsid w:val="006721FE"/>
    <w:rsid w:val="006724C0"/>
    <w:rsid w:val="00672558"/>
    <w:rsid w:val="006726D3"/>
    <w:rsid w:val="00672765"/>
    <w:rsid w:val="006728EE"/>
    <w:rsid w:val="00672CF1"/>
    <w:rsid w:val="00672DA7"/>
    <w:rsid w:val="00672DD8"/>
    <w:rsid w:val="00672E4F"/>
    <w:rsid w:val="006731F2"/>
    <w:rsid w:val="0067336E"/>
    <w:rsid w:val="006733F3"/>
    <w:rsid w:val="0067354F"/>
    <w:rsid w:val="006738C6"/>
    <w:rsid w:val="0067398F"/>
    <w:rsid w:val="00673CBA"/>
    <w:rsid w:val="00673D84"/>
    <w:rsid w:val="00674366"/>
    <w:rsid w:val="006743B9"/>
    <w:rsid w:val="006743BE"/>
    <w:rsid w:val="00674477"/>
    <w:rsid w:val="0067463E"/>
    <w:rsid w:val="0067471C"/>
    <w:rsid w:val="00674C9B"/>
    <w:rsid w:val="00674DE0"/>
    <w:rsid w:val="00674EE8"/>
    <w:rsid w:val="0067513B"/>
    <w:rsid w:val="006752A8"/>
    <w:rsid w:val="006757E7"/>
    <w:rsid w:val="0067587F"/>
    <w:rsid w:val="00675CA6"/>
    <w:rsid w:val="00675D81"/>
    <w:rsid w:val="0067633E"/>
    <w:rsid w:val="0067646A"/>
    <w:rsid w:val="006767D8"/>
    <w:rsid w:val="0067687D"/>
    <w:rsid w:val="00676A4B"/>
    <w:rsid w:val="00676C18"/>
    <w:rsid w:val="00676C64"/>
    <w:rsid w:val="00676C82"/>
    <w:rsid w:val="00676DF4"/>
    <w:rsid w:val="00677121"/>
    <w:rsid w:val="0067714B"/>
    <w:rsid w:val="00677AF3"/>
    <w:rsid w:val="00677BFD"/>
    <w:rsid w:val="00677C12"/>
    <w:rsid w:val="00677D49"/>
    <w:rsid w:val="006801C6"/>
    <w:rsid w:val="00680458"/>
    <w:rsid w:val="006804E6"/>
    <w:rsid w:val="00680568"/>
    <w:rsid w:val="006813AC"/>
    <w:rsid w:val="0068159D"/>
    <w:rsid w:val="006815BE"/>
    <w:rsid w:val="00681985"/>
    <w:rsid w:val="00681BA5"/>
    <w:rsid w:val="00681D5C"/>
    <w:rsid w:val="006820C6"/>
    <w:rsid w:val="006820ED"/>
    <w:rsid w:val="00682103"/>
    <w:rsid w:val="00682A7E"/>
    <w:rsid w:val="00682C56"/>
    <w:rsid w:val="00682F03"/>
    <w:rsid w:val="00682FE8"/>
    <w:rsid w:val="0068300B"/>
    <w:rsid w:val="006835D2"/>
    <w:rsid w:val="00683909"/>
    <w:rsid w:val="00683A5F"/>
    <w:rsid w:val="00683BD6"/>
    <w:rsid w:val="006841EA"/>
    <w:rsid w:val="006843E8"/>
    <w:rsid w:val="006845BE"/>
    <w:rsid w:val="006849C2"/>
    <w:rsid w:val="00684E01"/>
    <w:rsid w:val="00684FE3"/>
    <w:rsid w:val="00685067"/>
    <w:rsid w:val="0068516F"/>
    <w:rsid w:val="006851A0"/>
    <w:rsid w:val="006854B9"/>
    <w:rsid w:val="006855C2"/>
    <w:rsid w:val="00685607"/>
    <w:rsid w:val="00685700"/>
    <w:rsid w:val="0068594F"/>
    <w:rsid w:val="00686262"/>
    <w:rsid w:val="00686364"/>
    <w:rsid w:val="00686B30"/>
    <w:rsid w:val="00686BE1"/>
    <w:rsid w:val="00686D2F"/>
    <w:rsid w:val="00686DAE"/>
    <w:rsid w:val="00686E12"/>
    <w:rsid w:val="00686E35"/>
    <w:rsid w:val="00687050"/>
    <w:rsid w:val="00687274"/>
    <w:rsid w:val="0068762E"/>
    <w:rsid w:val="00687925"/>
    <w:rsid w:val="00687A2C"/>
    <w:rsid w:val="00687AF1"/>
    <w:rsid w:val="00687BB5"/>
    <w:rsid w:val="00690163"/>
    <w:rsid w:val="0069037A"/>
    <w:rsid w:val="0069049E"/>
    <w:rsid w:val="0069086A"/>
    <w:rsid w:val="006908AA"/>
    <w:rsid w:val="00691A8D"/>
    <w:rsid w:val="0069209F"/>
    <w:rsid w:val="00692199"/>
    <w:rsid w:val="00692235"/>
    <w:rsid w:val="006924EC"/>
    <w:rsid w:val="006928EA"/>
    <w:rsid w:val="00692DC8"/>
    <w:rsid w:val="00693300"/>
    <w:rsid w:val="006933E5"/>
    <w:rsid w:val="0069348D"/>
    <w:rsid w:val="006934A7"/>
    <w:rsid w:val="00693635"/>
    <w:rsid w:val="00693884"/>
    <w:rsid w:val="00693997"/>
    <w:rsid w:val="00693ACE"/>
    <w:rsid w:val="00693AD0"/>
    <w:rsid w:val="00693C17"/>
    <w:rsid w:val="00693CDD"/>
    <w:rsid w:val="00693DFB"/>
    <w:rsid w:val="00693F14"/>
    <w:rsid w:val="006940DC"/>
    <w:rsid w:val="006941BB"/>
    <w:rsid w:val="006944DF"/>
    <w:rsid w:val="00694B85"/>
    <w:rsid w:val="00694F41"/>
    <w:rsid w:val="00695001"/>
    <w:rsid w:val="0069569B"/>
    <w:rsid w:val="00695C68"/>
    <w:rsid w:val="00695DEE"/>
    <w:rsid w:val="006962C4"/>
    <w:rsid w:val="0069635E"/>
    <w:rsid w:val="0069640C"/>
    <w:rsid w:val="00696834"/>
    <w:rsid w:val="00696B92"/>
    <w:rsid w:val="00696BC9"/>
    <w:rsid w:val="00696D16"/>
    <w:rsid w:val="00696EC0"/>
    <w:rsid w:val="00697465"/>
    <w:rsid w:val="00697570"/>
    <w:rsid w:val="0069763C"/>
    <w:rsid w:val="00697756"/>
    <w:rsid w:val="00697B1E"/>
    <w:rsid w:val="00697BFD"/>
    <w:rsid w:val="006A049C"/>
    <w:rsid w:val="006A05B0"/>
    <w:rsid w:val="006A0753"/>
    <w:rsid w:val="006A07E1"/>
    <w:rsid w:val="006A0B35"/>
    <w:rsid w:val="006A0EC8"/>
    <w:rsid w:val="006A113A"/>
    <w:rsid w:val="006A13C6"/>
    <w:rsid w:val="006A1D0D"/>
    <w:rsid w:val="006A1E5A"/>
    <w:rsid w:val="006A2233"/>
    <w:rsid w:val="006A2311"/>
    <w:rsid w:val="006A23AC"/>
    <w:rsid w:val="006A2B05"/>
    <w:rsid w:val="006A2DE5"/>
    <w:rsid w:val="006A2E8B"/>
    <w:rsid w:val="006A32A0"/>
    <w:rsid w:val="006A3583"/>
    <w:rsid w:val="006A38CA"/>
    <w:rsid w:val="006A3A8C"/>
    <w:rsid w:val="006A3B9F"/>
    <w:rsid w:val="006A3CCC"/>
    <w:rsid w:val="006A4157"/>
    <w:rsid w:val="006A4403"/>
    <w:rsid w:val="006A45B3"/>
    <w:rsid w:val="006A46F5"/>
    <w:rsid w:val="006A47A0"/>
    <w:rsid w:val="006A494B"/>
    <w:rsid w:val="006A4D75"/>
    <w:rsid w:val="006A4E42"/>
    <w:rsid w:val="006A4E49"/>
    <w:rsid w:val="006A5112"/>
    <w:rsid w:val="006A512E"/>
    <w:rsid w:val="006A515E"/>
    <w:rsid w:val="006A51AE"/>
    <w:rsid w:val="006A53D9"/>
    <w:rsid w:val="006A54D2"/>
    <w:rsid w:val="006A5553"/>
    <w:rsid w:val="006A565C"/>
    <w:rsid w:val="006A594D"/>
    <w:rsid w:val="006A5995"/>
    <w:rsid w:val="006A62CD"/>
    <w:rsid w:val="006A6477"/>
    <w:rsid w:val="006A67D7"/>
    <w:rsid w:val="006A68E8"/>
    <w:rsid w:val="006A6944"/>
    <w:rsid w:val="006A6FD1"/>
    <w:rsid w:val="006A73E9"/>
    <w:rsid w:val="006A78E3"/>
    <w:rsid w:val="006A7AE2"/>
    <w:rsid w:val="006A7B48"/>
    <w:rsid w:val="006A7E98"/>
    <w:rsid w:val="006B0238"/>
    <w:rsid w:val="006B0693"/>
    <w:rsid w:val="006B080F"/>
    <w:rsid w:val="006B0878"/>
    <w:rsid w:val="006B0B9C"/>
    <w:rsid w:val="006B0D0A"/>
    <w:rsid w:val="006B0DAB"/>
    <w:rsid w:val="006B1297"/>
    <w:rsid w:val="006B1820"/>
    <w:rsid w:val="006B1E89"/>
    <w:rsid w:val="006B21FE"/>
    <w:rsid w:val="006B258E"/>
    <w:rsid w:val="006B29CE"/>
    <w:rsid w:val="006B2A2E"/>
    <w:rsid w:val="006B2B65"/>
    <w:rsid w:val="006B2CE6"/>
    <w:rsid w:val="006B2D2F"/>
    <w:rsid w:val="006B2F39"/>
    <w:rsid w:val="006B2FE1"/>
    <w:rsid w:val="006B3256"/>
    <w:rsid w:val="006B35E7"/>
    <w:rsid w:val="006B3646"/>
    <w:rsid w:val="006B37A2"/>
    <w:rsid w:val="006B386B"/>
    <w:rsid w:val="006B3B01"/>
    <w:rsid w:val="006B3B75"/>
    <w:rsid w:val="006B3E3A"/>
    <w:rsid w:val="006B48E8"/>
    <w:rsid w:val="006B4A1A"/>
    <w:rsid w:val="006B4B79"/>
    <w:rsid w:val="006B4D0E"/>
    <w:rsid w:val="006B5357"/>
    <w:rsid w:val="006B5941"/>
    <w:rsid w:val="006B5A05"/>
    <w:rsid w:val="006B5DFF"/>
    <w:rsid w:val="006B5E01"/>
    <w:rsid w:val="006B5EA1"/>
    <w:rsid w:val="006B6342"/>
    <w:rsid w:val="006B6BA1"/>
    <w:rsid w:val="006B6DA2"/>
    <w:rsid w:val="006B7095"/>
    <w:rsid w:val="006B71AC"/>
    <w:rsid w:val="006B7DE7"/>
    <w:rsid w:val="006B7F57"/>
    <w:rsid w:val="006C009C"/>
    <w:rsid w:val="006C0190"/>
    <w:rsid w:val="006C1045"/>
    <w:rsid w:val="006C12CA"/>
    <w:rsid w:val="006C18DB"/>
    <w:rsid w:val="006C19C0"/>
    <w:rsid w:val="006C1BF1"/>
    <w:rsid w:val="006C1CA2"/>
    <w:rsid w:val="006C1EA1"/>
    <w:rsid w:val="006C1F93"/>
    <w:rsid w:val="006C208E"/>
    <w:rsid w:val="006C23D3"/>
    <w:rsid w:val="006C27F3"/>
    <w:rsid w:val="006C291F"/>
    <w:rsid w:val="006C2D60"/>
    <w:rsid w:val="006C2FB3"/>
    <w:rsid w:val="006C3401"/>
    <w:rsid w:val="006C3441"/>
    <w:rsid w:val="006C35F0"/>
    <w:rsid w:val="006C3844"/>
    <w:rsid w:val="006C3EBF"/>
    <w:rsid w:val="006C41AB"/>
    <w:rsid w:val="006C422C"/>
    <w:rsid w:val="006C4399"/>
    <w:rsid w:val="006C4655"/>
    <w:rsid w:val="006C498F"/>
    <w:rsid w:val="006C4A1C"/>
    <w:rsid w:val="006C4A5B"/>
    <w:rsid w:val="006C4B10"/>
    <w:rsid w:val="006C4BA5"/>
    <w:rsid w:val="006C4DF4"/>
    <w:rsid w:val="006C5057"/>
    <w:rsid w:val="006C5112"/>
    <w:rsid w:val="006C53C1"/>
    <w:rsid w:val="006C5569"/>
    <w:rsid w:val="006C5674"/>
    <w:rsid w:val="006C56A2"/>
    <w:rsid w:val="006C5CA7"/>
    <w:rsid w:val="006C5E53"/>
    <w:rsid w:val="006C64C3"/>
    <w:rsid w:val="006C64DF"/>
    <w:rsid w:val="006C655F"/>
    <w:rsid w:val="006C6981"/>
    <w:rsid w:val="006C6A18"/>
    <w:rsid w:val="006C6D16"/>
    <w:rsid w:val="006C6E54"/>
    <w:rsid w:val="006C6F8B"/>
    <w:rsid w:val="006C7017"/>
    <w:rsid w:val="006C7064"/>
    <w:rsid w:val="006C717C"/>
    <w:rsid w:val="006C7203"/>
    <w:rsid w:val="006C73CF"/>
    <w:rsid w:val="006C75EA"/>
    <w:rsid w:val="006C77B3"/>
    <w:rsid w:val="006C7A5D"/>
    <w:rsid w:val="006C7AA0"/>
    <w:rsid w:val="006C7C85"/>
    <w:rsid w:val="006C7DAA"/>
    <w:rsid w:val="006C7F8F"/>
    <w:rsid w:val="006C7FF6"/>
    <w:rsid w:val="006D0023"/>
    <w:rsid w:val="006D0097"/>
    <w:rsid w:val="006D00E3"/>
    <w:rsid w:val="006D0171"/>
    <w:rsid w:val="006D06F9"/>
    <w:rsid w:val="006D08FE"/>
    <w:rsid w:val="006D090B"/>
    <w:rsid w:val="006D096D"/>
    <w:rsid w:val="006D0993"/>
    <w:rsid w:val="006D0A2C"/>
    <w:rsid w:val="006D0B69"/>
    <w:rsid w:val="006D0B7C"/>
    <w:rsid w:val="006D0D92"/>
    <w:rsid w:val="006D10EA"/>
    <w:rsid w:val="006D1120"/>
    <w:rsid w:val="006D1ACE"/>
    <w:rsid w:val="006D23A8"/>
    <w:rsid w:val="006D24E0"/>
    <w:rsid w:val="006D2831"/>
    <w:rsid w:val="006D29D8"/>
    <w:rsid w:val="006D2B20"/>
    <w:rsid w:val="006D309F"/>
    <w:rsid w:val="006D30D2"/>
    <w:rsid w:val="006D3106"/>
    <w:rsid w:val="006D345E"/>
    <w:rsid w:val="006D3542"/>
    <w:rsid w:val="006D3BF0"/>
    <w:rsid w:val="006D400E"/>
    <w:rsid w:val="006D41D2"/>
    <w:rsid w:val="006D43CE"/>
    <w:rsid w:val="006D450C"/>
    <w:rsid w:val="006D46F1"/>
    <w:rsid w:val="006D4979"/>
    <w:rsid w:val="006D4CBB"/>
    <w:rsid w:val="006D4D48"/>
    <w:rsid w:val="006D4FDB"/>
    <w:rsid w:val="006D55E7"/>
    <w:rsid w:val="006D5613"/>
    <w:rsid w:val="006D5BC1"/>
    <w:rsid w:val="006D5F36"/>
    <w:rsid w:val="006D62DB"/>
    <w:rsid w:val="006D6300"/>
    <w:rsid w:val="006D645D"/>
    <w:rsid w:val="006D6557"/>
    <w:rsid w:val="006D6D3C"/>
    <w:rsid w:val="006D6EBC"/>
    <w:rsid w:val="006D705E"/>
    <w:rsid w:val="006D709F"/>
    <w:rsid w:val="006D71B1"/>
    <w:rsid w:val="006D7499"/>
    <w:rsid w:val="006D787E"/>
    <w:rsid w:val="006D792F"/>
    <w:rsid w:val="006D7C0E"/>
    <w:rsid w:val="006D7E19"/>
    <w:rsid w:val="006D7E95"/>
    <w:rsid w:val="006D7ED8"/>
    <w:rsid w:val="006D7F04"/>
    <w:rsid w:val="006E02A8"/>
    <w:rsid w:val="006E02BA"/>
    <w:rsid w:val="006E0499"/>
    <w:rsid w:val="006E06B7"/>
    <w:rsid w:val="006E07CC"/>
    <w:rsid w:val="006E0DAE"/>
    <w:rsid w:val="006E0F90"/>
    <w:rsid w:val="006E1013"/>
    <w:rsid w:val="006E123A"/>
    <w:rsid w:val="006E1358"/>
    <w:rsid w:val="006E145E"/>
    <w:rsid w:val="006E163F"/>
    <w:rsid w:val="006E1CE2"/>
    <w:rsid w:val="006E1CEE"/>
    <w:rsid w:val="006E1E49"/>
    <w:rsid w:val="006E2649"/>
    <w:rsid w:val="006E2837"/>
    <w:rsid w:val="006E28C1"/>
    <w:rsid w:val="006E28EE"/>
    <w:rsid w:val="006E2E93"/>
    <w:rsid w:val="006E2ED3"/>
    <w:rsid w:val="006E3292"/>
    <w:rsid w:val="006E3546"/>
    <w:rsid w:val="006E39BB"/>
    <w:rsid w:val="006E3AC6"/>
    <w:rsid w:val="006E3ACB"/>
    <w:rsid w:val="006E3D83"/>
    <w:rsid w:val="006E3FE2"/>
    <w:rsid w:val="006E4075"/>
    <w:rsid w:val="006E46DC"/>
    <w:rsid w:val="006E475A"/>
    <w:rsid w:val="006E47C4"/>
    <w:rsid w:val="006E48E0"/>
    <w:rsid w:val="006E4A12"/>
    <w:rsid w:val="006E4AD9"/>
    <w:rsid w:val="006E4BE0"/>
    <w:rsid w:val="006E4BE8"/>
    <w:rsid w:val="006E4E55"/>
    <w:rsid w:val="006E4F54"/>
    <w:rsid w:val="006E519D"/>
    <w:rsid w:val="006E5263"/>
    <w:rsid w:val="006E543A"/>
    <w:rsid w:val="006E54A5"/>
    <w:rsid w:val="006E5532"/>
    <w:rsid w:val="006E5663"/>
    <w:rsid w:val="006E5E35"/>
    <w:rsid w:val="006E5EB4"/>
    <w:rsid w:val="006E6015"/>
    <w:rsid w:val="006E63CC"/>
    <w:rsid w:val="006E676D"/>
    <w:rsid w:val="006E68E4"/>
    <w:rsid w:val="006E68F4"/>
    <w:rsid w:val="006E6AAD"/>
    <w:rsid w:val="006E6BA3"/>
    <w:rsid w:val="006E6DF6"/>
    <w:rsid w:val="006E73B8"/>
    <w:rsid w:val="006E75D8"/>
    <w:rsid w:val="006E78AF"/>
    <w:rsid w:val="006E7AB2"/>
    <w:rsid w:val="006E7F32"/>
    <w:rsid w:val="006F004A"/>
    <w:rsid w:val="006F01F3"/>
    <w:rsid w:val="006F042C"/>
    <w:rsid w:val="006F0473"/>
    <w:rsid w:val="006F088F"/>
    <w:rsid w:val="006F0931"/>
    <w:rsid w:val="006F0980"/>
    <w:rsid w:val="006F0982"/>
    <w:rsid w:val="006F0B3C"/>
    <w:rsid w:val="006F0CA7"/>
    <w:rsid w:val="006F0D47"/>
    <w:rsid w:val="006F1103"/>
    <w:rsid w:val="006F117D"/>
    <w:rsid w:val="006F1427"/>
    <w:rsid w:val="006F1550"/>
    <w:rsid w:val="006F167E"/>
    <w:rsid w:val="006F17C3"/>
    <w:rsid w:val="006F1DF1"/>
    <w:rsid w:val="006F1F8C"/>
    <w:rsid w:val="006F2215"/>
    <w:rsid w:val="006F27DC"/>
    <w:rsid w:val="006F2B0A"/>
    <w:rsid w:val="006F2CE5"/>
    <w:rsid w:val="006F3010"/>
    <w:rsid w:val="006F3859"/>
    <w:rsid w:val="006F3CCB"/>
    <w:rsid w:val="006F3F42"/>
    <w:rsid w:val="006F3FC4"/>
    <w:rsid w:val="006F41DC"/>
    <w:rsid w:val="006F44E4"/>
    <w:rsid w:val="006F48F3"/>
    <w:rsid w:val="006F5003"/>
    <w:rsid w:val="006F50C1"/>
    <w:rsid w:val="006F50CA"/>
    <w:rsid w:val="006F511E"/>
    <w:rsid w:val="006F515B"/>
    <w:rsid w:val="006F54AD"/>
    <w:rsid w:val="006F55F4"/>
    <w:rsid w:val="006F5709"/>
    <w:rsid w:val="006F5978"/>
    <w:rsid w:val="006F5B94"/>
    <w:rsid w:val="006F5C64"/>
    <w:rsid w:val="006F6000"/>
    <w:rsid w:val="006F60D7"/>
    <w:rsid w:val="006F6278"/>
    <w:rsid w:val="006F6340"/>
    <w:rsid w:val="006F637A"/>
    <w:rsid w:val="006F6447"/>
    <w:rsid w:val="006F646D"/>
    <w:rsid w:val="006F6600"/>
    <w:rsid w:val="006F6865"/>
    <w:rsid w:val="006F688C"/>
    <w:rsid w:val="006F6EEC"/>
    <w:rsid w:val="006F6F6F"/>
    <w:rsid w:val="006F6FC3"/>
    <w:rsid w:val="006F732D"/>
    <w:rsid w:val="006F738F"/>
    <w:rsid w:val="006F747B"/>
    <w:rsid w:val="006F7554"/>
    <w:rsid w:val="006F7621"/>
    <w:rsid w:val="006F7728"/>
    <w:rsid w:val="007004EB"/>
    <w:rsid w:val="0070063D"/>
    <w:rsid w:val="00700832"/>
    <w:rsid w:val="00700F7A"/>
    <w:rsid w:val="0070106E"/>
    <w:rsid w:val="007011DE"/>
    <w:rsid w:val="007016D4"/>
    <w:rsid w:val="0070198B"/>
    <w:rsid w:val="00701A12"/>
    <w:rsid w:val="00701CDC"/>
    <w:rsid w:val="00701EB3"/>
    <w:rsid w:val="00701EDF"/>
    <w:rsid w:val="0070209E"/>
    <w:rsid w:val="007021BE"/>
    <w:rsid w:val="00702226"/>
    <w:rsid w:val="00702407"/>
    <w:rsid w:val="0070267C"/>
    <w:rsid w:val="007028C9"/>
    <w:rsid w:val="00702985"/>
    <w:rsid w:val="00702B5D"/>
    <w:rsid w:val="00702BB4"/>
    <w:rsid w:val="00703159"/>
    <w:rsid w:val="00703394"/>
    <w:rsid w:val="0070340E"/>
    <w:rsid w:val="007039D1"/>
    <w:rsid w:val="00703B21"/>
    <w:rsid w:val="00703EAF"/>
    <w:rsid w:val="00704276"/>
    <w:rsid w:val="007048EE"/>
    <w:rsid w:val="00704AF9"/>
    <w:rsid w:val="00704C41"/>
    <w:rsid w:val="00704CB9"/>
    <w:rsid w:val="00705166"/>
    <w:rsid w:val="007051A3"/>
    <w:rsid w:val="00705301"/>
    <w:rsid w:val="007056E3"/>
    <w:rsid w:val="00705A54"/>
    <w:rsid w:val="00705E8C"/>
    <w:rsid w:val="0070605C"/>
    <w:rsid w:val="00706195"/>
    <w:rsid w:val="007061AF"/>
    <w:rsid w:val="007061D3"/>
    <w:rsid w:val="0070620A"/>
    <w:rsid w:val="00706278"/>
    <w:rsid w:val="00706834"/>
    <w:rsid w:val="00706880"/>
    <w:rsid w:val="00706B51"/>
    <w:rsid w:val="00706B5A"/>
    <w:rsid w:val="0070711F"/>
    <w:rsid w:val="007074E4"/>
    <w:rsid w:val="007079D5"/>
    <w:rsid w:val="00707B48"/>
    <w:rsid w:val="00707C56"/>
    <w:rsid w:val="00707EE3"/>
    <w:rsid w:val="00707EEA"/>
    <w:rsid w:val="0071006B"/>
    <w:rsid w:val="007107F2"/>
    <w:rsid w:val="007108CC"/>
    <w:rsid w:val="007108E8"/>
    <w:rsid w:val="0071095A"/>
    <w:rsid w:val="0071099F"/>
    <w:rsid w:val="00710C7F"/>
    <w:rsid w:val="00711952"/>
    <w:rsid w:val="007119F8"/>
    <w:rsid w:val="00711B6B"/>
    <w:rsid w:val="007128DF"/>
    <w:rsid w:val="0071292E"/>
    <w:rsid w:val="007129FA"/>
    <w:rsid w:val="00712D5D"/>
    <w:rsid w:val="00713296"/>
    <w:rsid w:val="007134E1"/>
    <w:rsid w:val="00713582"/>
    <w:rsid w:val="007136B5"/>
    <w:rsid w:val="007138EF"/>
    <w:rsid w:val="00713B24"/>
    <w:rsid w:val="00713C80"/>
    <w:rsid w:val="00713E1A"/>
    <w:rsid w:val="00713E8F"/>
    <w:rsid w:val="00714276"/>
    <w:rsid w:val="007142A2"/>
    <w:rsid w:val="0071446A"/>
    <w:rsid w:val="0071491C"/>
    <w:rsid w:val="0071511F"/>
    <w:rsid w:val="00715344"/>
    <w:rsid w:val="007158AC"/>
    <w:rsid w:val="00715E39"/>
    <w:rsid w:val="007160C3"/>
    <w:rsid w:val="00716671"/>
    <w:rsid w:val="007166F6"/>
    <w:rsid w:val="0071679E"/>
    <w:rsid w:val="00716AA1"/>
    <w:rsid w:val="00716E4A"/>
    <w:rsid w:val="007172E0"/>
    <w:rsid w:val="00717307"/>
    <w:rsid w:val="007175DD"/>
    <w:rsid w:val="007177B8"/>
    <w:rsid w:val="0071793D"/>
    <w:rsid w:val="00717A7B"/>
    <w:rsid w:val="00717D80"/>
    <w:rsid w:val="00717E67"/>
    <w:rsid w:val="00717E97"/>
    <w:rsid w:val="007201B8"/>
    <w:rsid w:val="007204A4"/>
    <w:rsid w:val="00720553"/>
    <w:rsid w:val="00720639"/>
    <w:rsid w:val="00720B43"/>
    <w:rsid w:val="00720C98"/>
    <w:rsid w:val="00720CCF"/>
    <w:rsid w:val="00720E9B"/>
    <w:rsid w:val="00720FA0"/>
    <w:rsid w:val="00721020"/>
    <w:rsid w:val="00721028"/>
    <w:rsid w:val="00721142"/>
    <w:rsid w:val="00721429"/>
    <w:rsid w:val="007214C1"/>
    <w:rsid w:val="007218C8"/>
    <w:rsid w:val="00721A04"/>
    <w:rsid w:val="00721EC0"/>
    <w:rsid w:val="007223DE"/>
    <w:rsid w:val="007226A8"/>
    <w:rsid w:val="007226D7"/>
    <w:rsid w:val="00722769"/>
    <w:rsid w:val="00722814"/>
    <w:rsid w:val="0072284B"/>
    <w:rsid w:val="00722A13"/>
    <w:rsid w:val="00722E1D"/>
    <w:rsid w:val="00722F75"/>
    <w:rsid w:val="00722FD9"/>
    <w:rsid w:val="0072309C"/>
    <w:rsid w:val="007232F8"/>
    <w:rsid w:val="0072335E"/>
    <w:rsid w:val="00723578"/>
    <w:rsid w:val="007235A0"/>
    <w:rsid w:val="007236F9"/>
    <w:rsid w:val="00723A2F"/>
    <w:rsid w:val="00723B1A"/>
    <w:rsid w:val="00723C30"/>
    <w:rsid w:val="00723DB0"/>
    <w:rsid w:val="00724A15"/>
    <w:rsid w:val="00724A44"/>
    <w:rsid w:val="00724BA5"/>
    <w:rsid w:val="00724DAA"/>
    <w:rsid w:val="00724DB0"/>
    <w:rsid w:val="00724ED5"/>
    <w:rsid w:val="0072507A"/>
    <w:rsid w:val="007252E2"/>
    <w:rsid w:val="00725354"/>
    <w:rsid w:val="00725518"/>
    <w:rsid w:val="00725F44"/>
    <w:rsid w:val="00726347"/>
    <w:rsid w:val="0072636D"/>
    <w:rsid w:val="0072667F"/>
    <w:rsid w:val="00726713"/>
    <w:rsid w:val="007268F0"/>
    <w:rsid w:val="0072690F"/>
    <w:rsid w:val="00726D37"/>
    <w:rsid w:val="00727059"/>
    <w:rsid w:val="0072726D"/>
    <w:rsid w:val="00727782"/>
    <w:rsid w:val="00727B43"/>
    <w:rsid w:val="00727DE4"/>
    <w:rsid w:val="00727DEB"/>
    <w:rsid w:val="00727E5B"/>
    <w:rsid w:val="00727F66"/>
    <w:rsid w:val="0073071E"/>
    <w:rsid w:val="00730A63"/>
    <w:rsid w:val="00730B1F"/>
    <w:rsid w:val="00730B2A"/>
    <w:rsid w:val="00730BF0"/>
    <w:rsid w:val="00731244"/>
    <w:rsid w:val="007313E9"/>
    <w:rsid w:val="007315C4"/>
    <w:rsid w:val="007317A1"/>
    <w:rsid w:val="00731CB9"/>
    <w:rsid w:val="00731EE7"/>
    <w:rsid w:val="00732056"/>
    <w:rsid w:val="0073285E"/>
    <w:rsid w:val="00733352"/>
    <w:rsid w:val="0073362D"/>
    <w:rsid w:val="007338FA"/>
    <w:rsid w:val="00733B2A"/>
    <w:rsid w:val="00733B92"/>
    <w:rsid w:val="0073403A"/>
    <w:rsid w:val="007341D7"/>
    <w:rsid w:val="0073485C"/>
    <w:rsid w:val="00734893"/>
    <w:rsid w:val="007349EB"/>
    <w:rsid w:val="00734AFB"/>
    <w:rsid w:val="00735113"/>
    <w:rsid w:val="00735191"/>
    <w:rsid w:val="00735B79"/>
    <w:rsid w:val="007365EC"/>
    <w:rsid w:val="00736612"/>
    <w:rsid w:val="0073674F"/>
    <w:rsid w:val="0073682A"/>
    <w:rsid w:val="00736845"/>
    <w:rsid w:val="00736F07"/>
    <w:rsid w:val="007372D3"/>
    <w:rsid w:val="0073733B"/>
    <w:rsid w:val="0073735C"/>
    <w:rsid w:val="00737742"/>
    <w:rsid w:val="0073783B"/>
    <w:rsid w:val="00737953"/>
    <w:rsid w:val="0073795B"/>
    <w:rsid w:val="00737ADD"/>
    <w:rsid w:val="00737EA9"/>
    <w:rsid w:val="007406B4"/>
    <w:rsid w:val="00740F8D"/>
    <w:rsid w:val="007411C7"/>
    <w:rsid w:val="00741213"/>
    <w:rsid w:val="007412F9"/>
    <w:rsid w:val="007421A6"/>
    <w:rsid w:val="0074221B"/>
    <w:rsid w:val="0074221E"/>
    <w:rsid w:val="007424AF"/>
    <w:rsid w:val="007426A2"/>
    <w:rsid w:val="007427A7"/>
    <w:rsid w:val="00742C71"/>
    <w:rsid w:val="00742DAA"/>
    <w:rsid w:val="0074316A"/>
    <w:rsid w:val="007432A9"/>
    <w:rsid w:val="007438D0"/>
    <w:rsid w:val="007439E1"/>
    <w:rsid w:val="00743F45"/>
    <w:rsid w:val="00743F72"/>
    <w:rsid w:val="00744159"/>
    <w:rsid w:val="007443A6"/>
    <w:rsid w:val="00744532"/>
    <w:rsid w:val="007445C2"/>
    <w:rsid w:val="007449DA"/>
    <w:rsid w:val="00744A04"/>
    <w:rsid w:val="00744CFA"/>
    <w:rsid w:val="00745383"/>
    <w:rsid w:val="007454A5"/>
    <w:rsid w:val="00745923"/>
    <w:rsid w:val="00745A21"/>
    <w:rsid w:val="00745DD7"/>
    <w:rsid w:val="00746062"/>
    <w:rsid w:val="00746083"/>
    <w:rsid w:val="00746285"/>
    <w:rsid w:val="007463F9"/>
    <w:rsid w:val="007468BC"/>
    <w:rsid w:val="00746AE3"/>
    <w:rsid w:val="00746C99"/>
    <w:rsid w:val="00746F15"/>
    <w:rsid w:val="00746F7B"/>
    <w:rsid w:val="00747326"/>
    <w:rsid w:val="00747338"/>
    <w:rsid w:val="00747A1E"/>
    <w:rsid w:val="00750217"/>
    <w:rsid w:val="007502E8"/>
    <w:rsid w:val="0075070B"/>
    <w:rsid w:val="007509D3"/>
    <w:rsid w:val="00750C27"/>
    <w:rsid w:val="00750DB3"/>
    <w:rsid w:val="00751365"/>
    <w:rsid w:val="007513F2"/>
    <w:rsid w:val="00751623"/>
    <w:rsid w:val="00751818"/>
    <w:rsid w:val="00751879"/>
    <w:rsid w:val="007519AD"/>
    <w:rsid w:val="00751A96"/>
    <w:rsid w:val="00751BB9"/>
    <w:rsid w:val="00751C39"/>
    <w:rsid w:val="00751CF7"/>
    <w:rsid w:val="00751DB6"/>
    <w:rsid w:val="00751E05"/>
    <w:rsid w:val="00751E0D"/>
    <w:rsid w:val="0075212E"/>
    <w:rsid w:val="00752471"/>
    <w:rsid w:val="0075251A"/>
    <w:rsid w:val="007525F8"/>
    <w:rsid w:val="00752813"/>
    <w:rsid w:val="00752904"/>
    <w:rsid w:val="00752B51"/>
    <w:rsid w:val="00752CDD"/>
    <w:rsid w:val="00752F86"/>
    <w:rsid w:val="00753050"/>
    <w:rsid w:val="007532C4"/>
    <w:rsid w:val="007532EF"/>
    <w:rsid w:val="00753410"/>
    <w:rsid w:val="0075341C"/>
    <w:rsid w:val="0075342C"/>
    <w:rsid w:val="00753BC8"/>
    <w:rsid w:val="00753BF7"/>
    <w:rsid w:val="00753C3F"/>
    <w:rsid w:val="007540A3"/>
    <w:rsid w:val="007540D8"/>
    <w:rsid w:val="007542AC"/>
    <w:rsid w:val="0075435E"/>
    <w:rsid w:val="00754A88"/>
    <w:rsid w:val="00754CCD"/>
    <w:rsid w:val="0075524F"/>
    <w:rsid w:val="00755267"/>
    <w:rsid w:val="00755302"/>
    <w:rsid w:val="00755330"/>
    <w:rsid w:val="007555EF"/>
    <w:rsid w:val="007559BD"/>
    <w:rsid w:val="00755A7A"/>
    <w:rsid w:val="00755DFC"/>
    <w:rsid w:val="007560F8"/>
    <w:rsid w:val="0075615A"/>
    <w:rsid w:val="00756395"/>
    <w:rsid w:val="00756513"/>
    <w:rsid w:val="00756B4D"/>
    <w:rsid w:val="00756E97"/>
    <w:rsid w:val="00757187"/>
    <w:rsid w:val="007572AE"/>
    <w:rsid w:val="007575F2"/>
    <w:rsid w:val="007575F3"/>
    <w:rsid w:val="00757702"/>
    <w:rsid w:val="0075782B"/>
    <w:rsid w:val="007578CD"/>
    <w:rsid w:val="00757B83"/>
    <w:rsid w:val="007600D5"/>
    <w:rsid w:val="00760105"/>
    <w:rsid w:val="00760237"/>
    <w:rsid w:val="0076032B"/>
    <w:rsid w:val="007603A1"/>
    <w:rsid w:val="00760F21"/>
    <w:rsid w:val="00761007"/>
    <w:rsid w:val="00761110"/>
    <w:rsid w:val="007613A0"/>
    <w:rsid w:val="00761556"/>
    <w:rsid w:val="007616E3"/>
    <w:rsid w:val="0076201A"/>
    <w:rsid w:val="007622FF"/>
    <w:rsid w:val="00763094"/>
    <w:rsid w:val="0076327B"/>
    <w:rsid w:val="00763370"/>
    <w:rsid w:val="00763837"/>
    <w:rsid w:val="0076391B"/>
    <w:rsid w:val="0076398C"/>
    <w:rsid w:val="00763E47"/>
    <w:rsid w:val="00764169"/>
    <w:rsid w:val="007641B0"/>
    <w:rsid w:val="007641B2"/>
    <w:rsid w:val="00764CBA"/>
    <w:rsid w:val="00764ECF"/>
    <w:rsid w:val="00765099"/>
    <w:rsid w:val="00765178"/>
    <w:rsid w:val="00765356"/>
    <w:rsid w:val="0076538D"/>
    <w:rsid w:val="007653A9"/>
    <w:rsid w:val="0076562C"/>
    <w:rsid w:val="007656E5"/>
    <w:rsid w:val="00765705"/>
    <w:rsid w:val="00765A5C"/>
    <w:rsid w:val="00765DD6"/>
    <w:rsid w:val="00765EF5"/>
    <w:rsid w:val="007661B5"/>
    <w:rsid w:val="007665D1"/>
    <w:rsid w:val="00766618"/>
    <w:rsid w:val="007668F9"/>
    <w:rsid w:val="00766E77"/>
    <w:rsid w:val="00766F84"/>
    <w:rsid w:val="00766FC1"/>
    <w:rsid w:val="00767187"/>
    <w:rsid w:val="007671AF"/>
    <w:rsid w:val="007673DA"/>
    <w:rsid w:val="00767F65"/>
    <w:rsid w:val="0077004D"/>
    <w:rsid w:val="00770783"/>
    <w:rsid w:val="007708B3"/>
    <w:rsid w:val="00770977"/>
    <w:rsid w:val="00770C72"/>
    <w:rsid w:val="00771508"/>
    <w:rsid w:val="00771525"/>
    <w:rsid w:val="007718B8"/>
    <w:rsid w:val="00771B2F"/>
    <w:rsid w:val="00771B7B"/>
    <w:rsid w:val="00771DD8"/>
    <w:rsid w:val="00771E5B"/>
    <w:rsid w:val="00771EE4"/>
    <w:rsid w:val="007721BC"/>
    <w:rsid w:val="00772243"/>
    <w:rsid w:val="0077227A"/>
    <w:rsid w:val="0077244D"/>
    <w:rsid w:val="00773060"/>
    <w:rsid w:val="007731DE"/>
    <w:rsid w:val="0077350E"/>
    <w:rsid w:val="00773C14"/>
    <w:rsid w:val="00773DD5"/>
    <w:rsid w:val="007745F1"/>
    <w:rsid w:val="007748A2"/>
    <w:rsid w:val="00774921"/>
    <w:rsid w:val="00774B99"/>
    <w:rsid w:val="00775018"/>
    <w:rsid w:val="00775060"/>
    <w:rsid w:val="007751C0"/>
    <w:rsid w:val="00775578"/>
    <w:rsid w:val="007755BD"/>
    <w:rsid w:val="00775692"/>
    <w:rsid w:val="00775813"/>
    <w:rsid w:val="00775D49"/>
    <w:rsid w:val="00775D7D"/>
    <w:rsid w:val="0077603D"/>
    <w:rsid w:val="00776166"/>
    <w:rsid w:val="0077644A"/>
    <w:rsid w:val="007767FB"/>
    <w:rsid w:val="0077693D"/>
    <w:rsid w:val="00776990"/>
    <w:rsid w:val="00776AEF"/>
    <w:rsid w:val="007772F2"/>
    <w:rsid w:val="0077739C"/>
    <w:rsid w:val="00777A03"/>
    <w:rsid w:val="00777C40"/>
    <w:rsid w:val="00777FF9"/>
    <w:rsid w:val="00780099"/>
    <w:rsid w:val="007802B0"/>
    <w:rsid w:val="007804C1"/>
    <w:rsid w:val="007807CD"/>
    <w:rsid w:val="007807E8"/>
    <w:rsid w:val="00780841"/>
    <w:rsid w:val="00780936"/>
    <w:rsid w:val="0078094F"/>
    <w:rsid w:val="00780C04"/>
    <w:rsid w:val="00780CAD"/>
    <w:rsid w:val="00780D64"/>
    <w:rsid w:val="00780FBF"/>
    <w:rsid w:val="007811C6"/>
    <w:rsid w:val="0078136A"/>
    <w:rsid w:val="00781569"/>
    <w:rsid w:val="00781584"/>
    <w:rsid w:val="00781889"/>
    <w:rsid w:val="007818B2"/>
    <w:rsid w:val="00781A49"/>
    <w:rsid w:val="00781DE0"/>
    <w:rsid w:val="00781E4D"/>
    <w:rsid w:val="0078208E"/>
    <w:rsid w:val="00782321"/>
    <w:rsid w:val="00782322"/>
    <w:rsid w:val="00782357"/>
    <w:rsid w:val="007825BF"/>
    <w:rsid w:val="00782786"/>
    <w:rsid w:val="00782AC2"/>
    <w:rsid w:val="00782AF4"/>
    <w:rsid w:val="00782C3E"/>
    <w:rsid w:val="00782DA0"/>
    <w:rsid w:val="00782F34"/>
    <w:rsid w:val="00782FC7"/>
    <w:rsid w:val="0078323D"/>
    <w:rsid w:val="00783278"/>
    <w:rsid w:val="00783408"/>
    <w:rsid w:val="00783425"/>
    <w:rsid w:val="007835B3"/>
    <w:rsid w:val="007836D4"/>
    <w:rsid w:val="007838C5"/>
    <w:rsid w:val="00783A1D"/>
    <w:rsid w:val="00783EA1"/>
    <w:rsid w:val="00783FB8"/>
    <w:rsid w:val="00784683"/>
    <w:rsid w:val="007848EC"/>
    <w:rsid w:val="007849FC"/>
    <w:rsid w:val="00784FBE"/>
    <w:rsid w:val="0078532E"/>
    <w:rsid w:val="00785753"/>
    <w:rsid w:val="00785785"/>
    <w:rsid w:val="00785818"/>
    <w:rsid w:val="00785D85"/>
    <w:rsid w:val="00786104"/>
    <w:rsid w:val="007862C4"/>
    <w:rsid w:val="00786771"/>
    <w:rsid w:val="007868DD"/>
    <w:rsid w:val="00786CC0"/>
    <w:rsid w:val="00786EBE"/>
    <w:rsid w:val="00786F3B"/>
    <w:rsid w:val="007874D8"/>
    <w:rsid w:val="00787AFE"/>
    <w:rsid w:val="00787CE4"/>
    <w:rsid w:val="00787DAC"/>
    <w:rsid w:val="007902DD"/>
    <w:rsid w:val="007910D0"/>
    <w:rsid w:val="0079117A"/>
    <w:rsid w:val="00791758"/>
    <w:rsid w:val="00791BCF"/>
    <w:rsid w:val="00791FAD"/>
    <w:rsid w:val="00791FE9"/>
    <w:rsid w:val="00792000"/>
    <w:rsid w:val="0079219B"/>
    <w:rsid w:val="007925CD"/>
    <w:rsid w:val="007925F2"/>
    <w:rsid w:val="00792735"/>
    <w:rsid w:val="0079280B"/>
    <w:rsid w:val="00792C78"/>
    <w:rsid w:val="00793003"/>
    <w:rsid w:val="00793479"/>
    <w:rsid w:val="00793560"/>
    <w:rsid w:val="0079381B"/>
    <w:rsid w:val="00793B50"/>
    <w:rsid w:val="00793FEA"/>
    <w:rsid w:val="00794144"/>
    <w:rsid w:val="007942FF"/>
    <w:rsid w:val="0079457A"/>
    <w:rsid w:val="00794AC5"/>
    <w:rsid w:val="00794C9A"/>
    <w:rsid w:val="00794FC9"/>
    <w:rsid w:val="007951AA"/>
    <w:rsid w:val="007951E3"/>
    <w:rsid w:val="007952EF"/>
    <w:rsid w:val="0079533E"/>
    <w:rsid w:val="00795809"/>
    <w:rsid w:val="00795B08"/>
    <w:rsid w:val="00795D64"/>
    <w:rsid w:val="00795F19"/>
    <w:rsid w:val="007961BC"/>
    <w:rsid w:val="007961F6"/>
    <w:rsid w:val="007962E4"/>
    <w:rsid w:val="00796380"/>
    <w:rsid w:val="0079645A"/>
    <w:rsid w:val="0079656B"/>
    <w:rsid w:val="007966A8"/>
    <w:rsid w:val="00796898"/>
    <w:rsid w:val="00796A1B"/>
    <w:rsid w:val="00796B25"/>
    <w:rsid w:val="00796B4F"/>
    <w:rsid w:val="00796CD1"/>
    <w:rsid w:val="00796D12"/>
    <w:rsid w:val="00796F38"/>
    <w:rsid w:val="00797287"/>
    <w:rsid w:val="007972F9"/>
    <w:rsid w:val="007973DD"/>
    <w:rsid w:val="007975F8"/>
    <w:rsid w:val="00797989"/>
    <w:rsid w:val="00797998"/>
    <w:rsid w:val="00797CB2"/>
    <w:rsid w:val="00797CF3"/>
    <w:rsid w:val="007A0400"/>
    <w:rsid w:val="007A044C"/>
    <w:rsid w:val="007A09B1"/>
    <w:rsid w:val="007A09D5"/>
    <w:rsid w:val="007A0A69"/>
    <w:rsid w:val="007A0F16"/>
    <w:rsid w:val="007A0F7A"/>
    <w:rsid w:val="007A119C"/>
    <w:rsid w:val="007A1733"/>
    <w:rsid w:val="007A17C0"/>
    <w:rsid w:val="007A1806"/>
    <w:rsid w:val="007A1B59"/>
    <w:rsid w:val="007A1E78"/>
    <w:rsid w:val="007A1FE4"/>
    <w:rsid w:val="007A231A"/>
    <w:rsid w:val="007A2AA5"/>
    <w:rsid w:val="007A2ADA"/>
    <w:rsid w:val="007A2BBC"/>
    <w:rsid w:val="007A2F26"/>
    <w:rsid w:val="007A3443"/>
    <w:rsid w:val="007A352D"/>
    <w:rsid w:val="007A3942"/>
    <w:rsid w:val="007A3993"/>
    <w:rsid w:val="007A39B8"/>
    <w:rsid w:val="007A3B14"/>
    <w:rsid w:val="007A3D3F"/>
    <w:rsid w:val="007A3F08"/>
    <w:rsid w:val="007A40EC"/>
    <w:rsid w:val="007A4166"/>
    <w:rsid w:val="007A41D1"/>
    <w:rsid w:val="007A423A"/>
    <w:rsid w:val="007A4547"/>
    <w:rsid w:val="007A4C22"/>
    <w:rsid w:val="007A50EA"/>
    <w:rsid w:val="007A5415"/>
    <w:rsid w:val="007A5903"/>
    <w:rsid w:val="007A5916"/>
    <w:rsid w:val="007A5A50"/>
    <w:rsid w:val="007A5D58"/>
    <w:rsid w:val="007A5E4E"/>
    <w:rsid w:val="007A5F9A"/>
    <w:rsid w:val="007A6033"/>
    <w:rsid w:val="007A6544"/>
    <w:rsid w:val="007A6783"/>
    <w:rsid w:val="007A6A84"/>
    <w:rsid w:val="007A6B5A"/>
    <w:rsid w:val="007A6E0E"/>
    <w:rsid w:val="007A6F57"/>
    <w:rsid w:val="007A6F74"/>
    <w:rsid w:val="007A70D4"/>
    <w:rsid w:val="007A7224"/>
    <w:rsid w:val="007A75BD"/>
    <w:rsid w:val="007A7890"/>
    <w:rsid w:val="007B099C"/>
    <w:rsid w:val="007B0D3E"/>
    <w:rsid w:val="007B0D7E"/>
    <w:rsid w:val="007B13B1"/>
    <w:rsid w:val="007B1421"/>
    <w:rsid w:val="007B1459"/>
    <w:rsid w:val="007B145C"/>
    <w:rsid w:val="007B149F"/>
    <w:rsid w:val="007B192C"/>
    <w:rsid w:val="007B1B6A"/>
    <w:rsid w:val="007B1D0B"/>
    <w:rsid w:val="007B2185"/>
    <w:rsid w:val="007B257A"/>
    <w:rsid w:val="007B2619"/>
    <w:rsid w:val="007B266F"/>
    <w:rsid w:val="007B27F4"/>
    <w:rsid w:val="007B28D6"/>
    <w:rsid w:val="007B30A0"/>
    <w:rsid w:val="007B312F"/>
    <w:rsid w:val="007B327B"/>
    <w:rsid w:val="007B3806"/>
    <w:rsid w:val="007B381F"/>
    <w:rsid w:val="007B388D"/>
    <w:rsid w:val="007B3FEA"/>
    <w:rsid w:val="007B405F"/>
    <w:rsid w:val="007B4362"/>
    <w:rsid w:val="007B47B5"/>
    <w:rsid w:val="007B4893"/>
    <w:rsid w:val="007B49B1"/>
    <w:rsid w:val="007B4B12"/>
    <w:rsid w:val="007B4DC9"/>
    <w:rsid w:val="007B4EFE"/>
    <w:rsid w:val="007B4F73"/>
    <w:rsid w:val="007B517A"/>
    <w:rsid w:val="007B549D"/>
    <w:rsid w:val="007B5690"/>
    <w:rsid w:val="007B5C02"/>
    <w:rsid w:val="007B5CBB"/>
    <w:rsid w:val="007B6092"/>
    <w:rsid w:val="007B61F8"/>
    <w:rsid w:val="007B6414"/>
    <w:rsid w:val="007B643E"/>
    <w:rsid w:val="007B6528"/>
    <w:rsid w:val="007B6850"/>
    <w:rsid w:val="007B6894"/>
    <w:rsid w:val="007B6F40"/>
    <w:rsid w:val="007B7430"/>
    <w:rsid w:val="007B75E7"/>
    <w:rsid w:val="007B769A"/>
    <w:rsid w:val="007B7753"/>
    <w:rsid w:val="007B79C3"/>
    <w:rsid w:val="007B7B56"/>
    <w:rsid w:val="007B7CEC"/>
    <w:rsid w:val="007B7D51"/>
    <w:rsid w:val="007B7D9D"/>
    <w:rsid w:val="007C003D"/>
    <w:rsid w:val="007C03E8"/>
    <w:rsid w:val="007C03F4"/>
    <w:rsid w:val="007C0796"/>
    <w:rsid w:val="007C0A53"/>
    <w:rsid w:val="007C0AD7"/>
    <w:rsid w:val="007C0CE1"/>
    <w:rsid w:val="007C0D9E"/>
    <w:rsid w:val="007C0E5B"/>
    <w:rsid w:val="007C1118"/>
    <w:rsid w:val="007C154E"/>
    <w:rsid w:val="007C18AA"/>
    <w:rsid w:val="007C18AC"/>
    <w:rsid w:val="007C1C99"/>
    <w:rsid w:val="007C1D2E"/>
    <w:rsid w:val="007C1E17"/>
    <w:rsid w:val="007C1ECC"/>
    <w:rsid w:val="007C233C"/>
    <w:rsid w:val="007C23BC"/>
    <w:rsid w:val="007C2821"/>
    <w:rsid w:val="007C2845"/>
    <w:rsid w:val="007C2874"/>
    <w:rsid w:val="007C2A47"/>
    <w:rsid w:val="007C2BA1"/>
    <w:rsid w:val="007C2C41"/>
    <w:rsid w:val="007C2CA1"/>
    <w:rsid w:val="007C2CBA"/>
    <w:rsid w:val="007C2F84"/>
    <w:rsid w:val="007C2F8E"/>
    <w:rsid w:val="007C3080"/>
    <w:rsid w:val="007C3289"/>
    <w:rsid w:val="007C3B3A"/>
    <w:rsid w:val="007C3F3E"/>
    <w:rsid w:val="007C42BA"/>
    <w:rsid w:val="007C4316"/>
    <w:rsid w:val="007C453B"/>
    <w:rsid w:val="007C45D0"/>
    <w:rsid w:val="007C4741"/>
    <w:rsid w:val="007C47CA"/>
    <w:rsid w:val="007C4FD2"/>
    <w:rsid w:val="007C5014"/>
    <w:rsid w:val="007C53EF"/>
    <w:rsid w:val="007C54A5"/>
    <w:rsid w:val="007C593C"/>
    <w:rsid w:val="007C626A"/>
    <w:rsid w:val="007C6478"/>
    <w:rsid w:val="007C68B2"/>
    <w:rsid w:val="007C6C4C"/>
    <w:rsid w:val="007C71A7"/>
    <w:rsid w:val="007C7244"/>
    <w:rsid w:val="007C746B"/>
    <w:rsid w:val="007C7B3D"/>
    <w:rsid w:val="007C7B4F"/>
    <w:rsid w:val="007C7BD2"/>
    <w:rsid w:val="007C7E2A"/>
    <w:rsid w:val="007D000D"/>
    <w:rsid w:val="007D016D"/>
    <w:rsid w:val="007D0399"/>
    <w:rsid w:val="007D06FB"/>
    <w:rsid w:val="007D0BB2"/>
    <w:rsid w:val="007D1398"/>
    <w:rsid w:val="007D1418"/>
    <w:rsid w:val="007D164D"/>
    <w:rsid w:val="007D1A90"/>
    <w:rsid w:val="007D1D49"/>
    <w:rsid w:val="007D1EB7"/>
    <w:rsid w:val="007D20EB"/>
    <w:rsid w:val="007D2173"/>
    <w:rsid w:val="007D2771"/>
    <w:rsid w:val="007D2AA0"/>
    <w:rsid w:val="007D3203"/>
    <w:rsid w:val="007D321D"/>
    <w:rsid w:val="007D32AC"/>
    <w:rsid w:val="007D36A4"/>
    <w:rsid w:val="007D38BC"/>
    <w:rsid w:val="007D3EE5"/>
    <w:rsid w:val="007D418F"/>
    <w:rsid w:val="007D4247"/>
    <w:rsid w:val="007D4333"/>
    <w:rsid w:val="007D4396"/>
    <w:rsid w:val="007D43BB"/>
    <w:rsid w:val="007D4466"/>
    <w:rsid w:val="007D4567"/>
    <w:rsid w:val="007D46F9"/>
    <w:rsid w:val="007D481C"/>
    <w:rsid w:val="007D484A"/>
    <w:rsid w:val="007D48EE"/>
    <w:rsid w:val="007D497F"/>
    <w:rsid w:val="007D4AD2"/>
    <w:rsid w:val="007D4BB8"/>
    <w:rsid w:val="007D4C7E"/>
    <w:rsid w:val="007D50D1"/>
    <w:rsid w:val="007D51B0"/>
    <w:rsid w:val="007D5845"/>
    <w:rsid w:val="007D5868"/>
    <w:rsid w:val="007D5A95"/>
    <w:rsid w:val="007D6357"/>
    <w:rsid w:val="007D64A0"/>
    <w:rsid w:val="007D65B0"/>
    <w:rsid w:val="007D6ABC"/>
    <w:rsid w:val="007D6B63"/>
    <w:rsid w:val="007D6BD8"/>
    <w:rsid w:val="007D6DE7"/>
    <w:rsid w:val="007D6EF4"/>
    <w:rsid w:val="007D71E4"/>
    <w:rsid w:val="007D7268"/>
    <w:rsid w:val="007D727A"/>
    <w:rsid w:val="007D737A"/>
    <w:rsid w:val="007D75CE"/>
    <w:rsid w:val="007D77B4"/>
    <w:rsid w:val="007D7A38"/>
    <w:rsid w:val="007D7C8A"/>
    <w:rsid w:val="007D7D3A"/>
    <w:rsid w:val="007E0340"/>
    <w:rsid w:val="007E0562"/>
    <w:rsid w:val="007E0B63"/>
    <w:rsid w:val="007E117A"/>
    <w:rsid w:val="007E128D"/>
    <w:rsid w:val="007E142A"/>
    <w:rsid w:val="007E1649"/>
    <w:rsid w:val="007E188D"/>
    <w:rsid w:val="007E1B5A"/>
    <w:rsid w:val="007E1D90"/>
    <w:rsid w:val="007E1F2B"/>
    <w:rsid w:val="007E2082"/>
    <w:rsid w:val="007E242D"/>
    <w:rsid w:val="007E2607"/>
    <w:rsid w:val="007E261C"/>
    <w:rsid w:val="007E295A"/>
    <w:rsid w:val="007E2EDB"/>
    <w:rsid w:val="007E2F66"/>
    <w:rsid w:val="007E3138"/>
    <w:rsid w:val="007E3210"/>
    <w:rsid w:val="007E33A4"/>
    <w:rsid w:val="007E33CE"/>
    <w:rsid w:val="007E3686"/>
    <w:rsid w:val="007E369A"/>
    <w:rsid w:val="007E3DC7"/>
    <w:rsid w:val="007E40F0"/>
    <w:rsid w:val="007E4169"/>
    <w:rsid w:val="007E43D0"/>
    <w:rsid w:val="007E48B8"/>
    <w:rsid w:val="007E493E"/>
    <w:rsid w:val="007E49F1"/>
    <w:rsid w:val="007E4BDB"/>
    <w:rsid w:val="007E4CA6"/>
    <w:rsid w:val="007E500A"/>
    <w:rsid w:val="007E5083"/>
    <w:rsid w:val="007E515E"/>
    <w:rsid w:val="007E5596"/>
    <w:rsid w:val="007E55F2"/>
    <w:rsid w:val="007E5A3C"/>
    <w:rsid w:val="007E5E1D"/>
    <w:rsid w:val="007E5E50"/>
    <w:rsid w:val="007E641C"/>
    <w:rsid w:val="007E6448"/>
    <w:rsid w:val="007E6761"/>
    <w:rsid w:val="007E6955"/>
    <w:rsid w:val="007E6AD3"/>
    <w:rsid w:val="007E707E"/>
    <w:rsid w:val="007E7310"/>
    <w:rsid w:val="007E73F2"/>
    <w:rsid w:val="007E74B0"/>
    <w:rsid w:val="007E75E8"/>
    <w:rsid w:val="007E785E"/>
    <w:rsid w:val="007E7898"/>
    <w:rsid w:val="007E79DE"/>
    <w:rsid w:val="007E7A4C"/>
    <w:rsid w:val="007E7E74"/>
    <w:rsid w:val="007F012A"/>
    <w:rsid w:val="007F0191"/>
    <w:rsid w:val="007F06A6"/>
    <w:rsid w:val="007F09DC"/>
    <w:rsid w:val="007F0A4A"/>
    <w:rsid w:val="007F0C5B"/>
    <w:rsid w:val="007F0F29"/>
    <w:rsid w:val="007F1007"/>
    <w:rsid w:val="007F1C2E"/>
    <w:rsid w:val="007F1CE7"/>
    <w:rsid w:val="007F1FCF"/>
    <w:rsid w:val="007F2011"/>
    <w:rsid w:val="007F24BA"/>
    <w:rsid w:val="007F28A1"/>
    <w:rsid w:val="007F2A30"/>
    <w:rsid w:val="007F32BB"/>
    <w:rsid w:val="007F32DF"/>
    <w:rsid w:val="007F364B"/>
    <w:rsid w:val="007F382D"/>
    <w:rsid w:val="007F398C"/>
    <w:rsid w:val="007F3C33"/>
    <w:rsid w:val="007F3C4D"/>
    <w:rsid w:val="007F411F"/>
    <w:rsid w:val="007F41CB"/>
    <w:rsid w:val="007F451C"/>
    <w:rsid w:val="007F461E"/>
    <w:rsid w:val="007F48BF"/>
    <w:rsid w:val="007F4E91"/>
    <w:rsid w:val="007F52DB"/>
    <w:rsid w:val="007F54CC"/>
    <w:rsid w:val="007F5586"/>
    <w:rsid w:val="007F598B"/>
    <w:rsid w:val="007F5CB5"/>
    <w:rsid w:val="007F5D7F"/>
    <w:rsid w:val="007F5FCC"/>
    <w:rsid w:val="007F6055"/>
    <w:rsid w:val="007F60FB"/>
    <w:rsid w:val="007F642E"/>
    <w:rsid w:val="007F6679"/>
    <w:rsid w:val="007F6B57"/>
    <w:rsid w:val="007F6FCA"/>
    <w:rsid w:val="007F70CF"/>
    <w:rsid w:val="007F7172"/>
    <w:rsid w:val="007F774F"/>
    <w:rsid w:val="007F77DF"/>
    <w:rsid w:val="007F7E5E"/>
    <w:rsid w:val="007F7F73"/>
    <w:rsid w:val="0080077C"/>
    <w:rsid w:val="00800998"/>
    <w:rsid w:val="00800D62"/>
    <w:rsid w:val="00800DC2"/>
    <w:rsid w:val="0080188B"/>
    <w:rsid w:val="00801ECE"/>
    <w:rsid w:val="0080249F"/>
    <w:rsid w:val="008026F3"/>
    <w:rsid w:val="00802995"/>
    <w:rsid w:val="008029F1"/>
    <w:rsid w:val="00802AB0"/>
    <w:rsid w:val="00802B2F"/>
    <w:rsid w:val="00802C0A"/>
    <w:rsid w:val="00802D05"/>
    <w:rsid w:val="008032AC"/>
    <w:rsid w:val="0080332F"/>
    <w:rsid w:val="00803BB6"/>
    <w:rsid w:val="00803BE1"/>
    <w:rsid w:val="00803C0B"/>
    <w:rsid w:val="00803CDD"/>
    <w:rsid w:val="00803E5B"/>
    <w:rsid w:val="008040EE"/>
    <w:rsid w:val="008042A2"/>
    <w:rsid w:val="00804836"/>
    <w:rsid w:val="00804A54"/>
    <w:rsid w:val="00804B4C"/>
    <w:rsid w:val="00804D9D"/>
    <w:rsid w:val="0080515E"/>
    <w:rsid w:val="0080523D"/>
    <w:rsid w:val="0080525A"/>
    <w:rsid w:val="00805343"/>
    <w:rsid w:val="008054C4"/>
    <w:rsid w:val="008054CB"/>
    <w:rsid w:val="008058FD"/>
    <w:rsid w:val="008059FE"/>
    <w:rsid w:val="00805A29"/>
    <w:rsid w:val="00805B8A"/>
    <w:rsid w:val="00805DBB"/>
    <w:rsid w:val="00805E6E"/>
    <w:rsid w:val="00805E93"/>
    <w:rsid w:val="00806118"/>
    <w:rsid w:val="0080644D"/>
    <w:rsid w:val="008065C4"/>
    <w:rsid w:val="00806631"/>
    <w:rsid w:val="0080670B"/>
    <w:rsid w:val="00806EA8"/>
    <w:rsid w:val="00806EC6"/>
    <w:rsid w:val="0080747B"/>
    <w:rsid w:val="008074B3"/>
    <w:rsid w:val="008074BD"/>
    <w:rsid w:val="008074F0"/>
    <w:rsid w:val="00807B17"/>
    <w:rsid w:val="00807B5B"/>
    <w:rsid w:val="00807E42"/>
    <w:rsid w:val="00807FF2"/>
    <w:rsid w:val="00810051"/>
    <w:rsid w:val="00810069"/>
    <w:rsid w:val="00810705"/>
    <w:rsid w:val="00810987"/>
    <w:rsid w:val="00810E43"/>
    <w:rsid w:val="0081106D"/>
    <w:rsid w:val="00811149"/>
    <w:rsid w:val="0081137D"/>
    <w:rsid w:val="00811692"/>
    <w:rsid w:val="00811771"/>
    <w:rsid w:val="00811874"/>
    <w:rsid w:val="00811BB2"/>
    <w:rsid w:val="00811E00"/>
    <w:rsid w:val="00811E7E"/>
    <w:rsid w:val="00812485"/>
    <w:rsid w:val="0081256E"/>
    <w:rsid w:val="00812C15"/>
    <w:rsid w:val="00812E51"/>
    <w:rsid w:val="00813189"/>
    <w:rsid w:val="008131D9"/>
    <w:rsid w:val="008132EA"/>
    <w:rsid w:val="008136B1"/>
    <w:rsid w:val="00813C2C"/>
    <w:rsid w:val="00813D4E"/>
    <w:rsid w:val="00813EFC"/>
    <w:rsid w:val="00813FDE"/>
    <w:rsid w:val="0081484B"/>
    <w:rsid w:val="0081498C"/>
    <w:rsid w:val="00814AE0"/>
    <w:rsid w:val="00814BC0"/>
    <w:rsid w:val="00814E43"/>
    <w:rsid w:val="00814EEA"/>
    <w:rsid w:val="00814EEF"/>
    <w:rsid w:val="0081516C"/>
    <w:rsid w:val="0081520A"/>
    <w:rsid w:val="008154FB"/>
    <w:rsid w:val="0081596B"/>
    <w:rsid w:val="00815B88"/>
    <w:rsid w:val="00815B8A"/>
    <w:rsid w:val="008164EA"/>
    <w:rsid w:val="008165D0"/>
    <w:rsid w:val="0081688A"/>
    <w:rsid w:val="00816B41"/>
    <w:rsid w:val="00816C9B"/>
    <w:rsid w:val="00816D30"/>
    <w:rsid w:val="00816DCE"/>
    <w:rsid w:val="00816F33"/>
    <w:rsid w:val="00817118"/>
    <w:rsid w:val="008172A9"/>
    <w:rsid w:val="0081735B"/>
    <w:rsid w:val="00817479"/>
    <w:rsid w:val="0081750E"/>
    <w:rsid w:val="00817701"/>
    <w:rsid w:val="00817997"/>
    <w:rsid w:val="00817C18"/>
    <w:rsid w:val="00817F1A"/>
    <w:rsid w:val="008200A6"/>
    <w:rsid w:val="008200CF"/>
    <w:rsid w:val="00820196"/>
    <w:rsid w:val="008201A4"/>
    <w:rsid w:val="00820206"/>
    <w:rsid w:val="00820231"/>
    <w:rsid w:val="0082047E"/>
    <w:rsid w:val="0082069B"/>
    <w:rsid w:val="0082088D"/>
    <w:rsid w:val="00820F97"/>
    <w:rsid w:val="008215F6"/>
    <w:rsid w:val="00821738"/>
    <w:rsid w:val="008218C3"/>
    <w:rsid w:val="008219C4"/>
    <w:rsid w:val="008219DA"/>
    <w:rsid w:val="00821BAA"/>
    <w:rsid w:val="00821CC2"/>
    <w:rsid w:val="00821F0E"/>
    <w:rsid w:val="00821FD5"/>
    <w:rsid w:val="00821FEF"/>
    <w:rsid w:val="008220B8"/>
    <w:rsid w:val="0082231C"/>
    <w:rsid w:val="00822852"/>
    <w:rsid w:val="00822A4E"/>
    <w:rsid w:val="00822C25"/>
    <w:rsid w:val="0082391D"/>
    <w:rsid w:val="00823B78"/>
    <w:rsid w:val="00823E86"/>
    <w:rsid w:val="00823FB0"/>
    <w:rsid w:val="008242F7"/>
    <w:rsid w:val="00824533"/>
    <w:rsid w:val="0082468C"/>
    <w:rsid w:val="00824726"/>
    <w:rsid w:val="00824822"/>
    <w:rsid w:val="00824ACA"/>
    <w:rsid w:val="00824E2C"/>
    <w:rsid w:val="00825545"/>
    <w:rsid w:val="008256DD"/>
    <w:rsid w:val="00825AD5"/>
    <w:rsid w:val="00825B71"/>
    <w:rsid w:val="00825B8A"/>
    <w:rsid w:val="00825CD0"/>
    <w:rsid w:val="008263E9"/>
    <w:rsid w:val="008266B6"/>
    <w:rsid w:val="008266C0"/>
    <w:rsid w:val="00826924"/>
    <w:rsid w:val="00826B5F"/>
    <w:rsid w:val="00826BE9"/>
    <w:rsid w:val="00826E91"/>
    <w:rsid w:val="008270C1"/>
    <w:rsid w:val="00827397"/>
    <w:rsid w:val="008276DA"/>
    <w:rsid w:val="00827B9C"/>
    <w:rsid w:val="00827D85"/>
    <w:rsid w:val="00827E35"/>
    <w:rsid w:val="00830165"/>
    <w:rsid w:val="0083044C"/>
    <w:rsid w:val="008305A9"/>
    <w:rsid w:val="00830707"/>
    <w:rsid w:val="008308CD"/>
    <w:rsid w:val="0083097E"/>
    <w:rsid w:val="00830BF5"/>
    <w:rsid w:val="00830C83"/>
    <w:rsid w:val="00830D09"/>
    <w:rsid w:val="0083109F"/>
    <w:rsid w:val="008311F3"/>
    <w:rsid w:val="00831223"/>
    <w:rsid w:val="00831407"/>
    <w:rsid w:val="00831841"/>
    <w:rsid w:val="00831EDA"/>
    <w:rsid w:val="00831EEA"/>
    <w:rsid w:val="00831FE8"/>
    <w:rsid w:val="00832246"/>
    <w:rsid w:val="008324D0"/>
    <w:rsid w:val="00832590"/>
    <w:rsid w:val="00832A6D"/>
    <w:rsid w:val="00832F4A"/>
    <w:rsid w:val="0083368C"/>
    <w:rsid w:val="00833722"/>
    <w:rsid w:val="0083375F"/>
    <w:rsid w:val="008338FB"/>
    <w:rsid w:val="00833AEA"/>
    <w:rsid w:val="00833DEA"/>
    <w:rsid w:val="008340EB"/>
    <w:rsid w:val="0083477A"/>
    <w:rsid w:val="00834817"/>
    <w:rsid w:val="008349CA"/>
    <w:rsid w:val="00834A08"/>
    <w:rsid w:val="00834C10"/>
    <w:rsid w:val="00835182"/>
    <w:rsid w:val="00835432"/>
    <w:rsid w:val="008358C4"/>
    <w:rsid w:val="00835911"/>
    <w:rsid w:val="00835A13"/>
    <w:rsid w:val="00835A78"/>
    <w:rsid w:val="00835C6E"/>
    <w:rsid w:val="00835EC6"/>
    <w:rsid w:val="008362B4"/>
    <w:rsid w:val="008362C9"/>
    <w:rsid w:val="008366D5"/>
    <w:rsid w:val="00836A0D"/>
    <w:rsid w:val="00836D16"/>
    <w:rsid w:val="00836DCB"/>
    <w:rsid w:val="00837059"/>
    <w:rsid w:val="00837115"/>
    <w:rsid w:val="00837275"/>
    <w:rsid w:val="008373D2"/>
    <w:rsid w:val="008375AC"/>
    <w:rsid w:val="008379E6"/>
    <w:rsid w:val="00837E10"/>
    <w:rsid w:val="00837E43"/>
    <w:rsid w:val="0084011F"/>
    <w:rsid w:val="008403DA"/>
    <w:rsid w:val="00840586"/>
    <w:rsid w:val="00840FF6"/>
    <w:rsid w:val="008413FC"/>
    <w:rsid w:val="00841562"/>
    <w:rsid w:val="0084174B"/>
    <w:rsid w:val="00841837"/>
    <w:rsid w:val="00841CD3"/>
    <w:rsid w:val="008421E8"/>
    <w:rsid w:val="008421F8"/>
    <w:rsid w:val="00842270"/>
    <w:rsid w:val="0084254B"/>
    <w:rsid w:val="0084260A"/>
    <w:rsid w:val="00842648"/>
    <w:rsid w:val="0084280A"/>
    <w:rsid w:val="00842A46"/>
    <w:rsid w:val="00842D8A"/>
    <w:rsid w:val="00843246"/>
    <w:rsid w:val="0084347A"/>
    <w:rsid w:val="00843837"/>
    <w:rsid w:val="00843F18"/>
    <w:rsid w:val="0084430D"/>
    <w:rsid w:val="008447F9"/>
    <w:rsid w:val="00844911"/>
    <w:rsid w:val="00844C93"/>
    <w:rsid w:val="00844F37"/>
    <w:rsid w:val="00845494"/>
    <w:rsid w:val="0084568F"/>
    <w:rsid w:val="0084573F"/>
    <w:rsid w:val="00845A12"/>
    <w:rsid w:val="00845B45"/>
    <w:rsid w:val="0084606C"/>
    <w:rsid w:val="00846365"/>
    <w:rsid w:val="008463BA"/>
    <w:rsid w:val="00846426"/>
    <w:rsid w:val="008465BC"/>
    <w:rsid w:val="0084672F"/>
    <w:rsid w:val="008468AF"/>
    <w:rsid w:val="00846D11"/>
    <w:rsid w:val="00846E16"/>
    <w:rsid w:val="00846E81"/>
    <w:rsid w:val="00846F93"/>
    <w:rsid w:val="00847081"/>
    <w:rsid w:val="0084767A"/>
    <w:rsid w:val="00847828"/>
    <w:rsid w:val="00847837"/>
    <w:rsid w:val="0084784A"/>
    <w:rsid w:val="0084797F"/>
    <w:rsid w:val="00847C5E"/>
    <w:rsid w:val="00847D34"/>
    <w:rsid w:val="00847D85"/>
    <w:rsid w:val="00850141"/>
    <w:rsid w:val="008501B7"/>
    <w:rsid w:val="00850563"/>
    <w:rsid w:val="008507DE"/>
    <w:rsid w:val="00850B41"/>
    <w:rsid w:val="00850CEF"/>
    <w:rsid w:val="00850D0A"/>
    <w:rsid w:val="00850E7F"/>
    <w:rsid w:val="00851630"/>
    <w:rsid w:val="00851637"/>
    <w:rsid w:val="008516BA"/>
    <w:rsid w:val="008516E2"/>
    <w:rsid w:val="0085188D"/>
    <w:rsid w:val="00851AF2"/>
    <w:rsid w:val="00851DE5"/>
    <w:rsid w:val="00852293"/>
    <w:rsid w:val="00852326"/>
    <w:rsid w:val="0085232E"/>
    <w:rsid w:val="00852635"/>
    <w:rsid w:val="008526B4"/>
    <w:rsid w:val="00852A2E"/>
    <w:rsid w:val="00853257"/>
    <w:rsid w:val="0085347D"/>
    <w:rsid w:val="00853AA8"/>
    <w:rsid w:val="00853ADE"/>
    <w:rsid w:val="00853BE3"/>
    <w:rsid w:val="00853ED3"/>
    <w:rsid w:val="00854642"/>
    <w:rsid w:val="00854761"/>
    <w:rsid w:val="008549C6"/>
    <w:rsid w:val="00854B97"/>
    <w:rsid w:val="00854CFC"/>
    <w:rsid w:val="00854EBD"/>
    <w:rsid w:val="00854F04"/>
    <w:rsid w:val="008551B9"/>
    <w:rsid w:val="0085553D"/>
    <w:rsid w:val="0085575B"/>
    <w:rsid w:val="00855A2D"/>
    <w:rsid w:val="00856143"/>
    <w:rsid w:val="0085625B"/>
    <w:rsid w:val="0085646D"/>
    <w:rsid w:val="0085652A"/>
    <w:rsid w:val="00856682"/>
    <w:rsid w:val="00856FA5"/>
    <w:rsid w:val="00856FC0"/>
    <w:rsid w:val="0085706B"/>
    <w:rsid w:val="008570D6"/>
    <w:rsid w:val="00857216"/>
    <w:rsid w:val="00857270"/>
    <w:rsid w:val="008574A3"/>
    <w:rsid w:val="008576A9"/>
    <w:rsid w:val="008576AF"/>
    <w:rsid w:val="00857831"/>
    <w:rsid w:val="00857CBE"/>
    <w:rsid w:val="00857D5E"/>
    <w:rsid w:val="00857FEE"/>
    <w:rsid w:val="008600D0"/>
    <w:rsid w:val="00860308"/>
    <w:rsid w:val="0086042B"/>
    <w:rsid w:val="00860728"/>
    <w:rsid w:val="0086073A"/>
    <w:rsid w:val="008607E0"/>
    <w:rsid w:val="00860FCA"/>
    <w:rsid w:val="00861056"/>
    <w:rsid w:val="008612A0"/>
    <w:rsid w:val="0086156F"/>
    <w:rsid w:val="00861686"/>
    <w:rsid w:val="00861841"/>
    <w:rsid w:val="0086198E"/>
    <w:rsid w:val="00861A11"/>
    <w:rsid w:val="00861B24"/>
    <w:rsid w:val="00861B46"/>
    <w:rsid w:val="00861C2B"/>
    <w:rsid w:val="00861CEB"/>
    <w:rsid w:val="00861DE6"/>
    <w:rsid w:val="00861EAC"/>
    <w:rsid w:val="00861FD2"/>
    <w:rsid w:val="008620E8"/>
    <w:rsid w:val="00862692"/>
    <w:rsid w:val="00862C34"/>
    <w:rsid w:val="00862FF0"/>
    <w:rsid w:val="00863070"/>
    <w:rsid w:val="00863092"/>
    <w:rsid w:val="00863580"/>
    <w:rsid w:val="0086393B"/>
    <w:rsid w:val="00863C1E"/>
    <w:rsid w:val="00863C43"/>
    <w:rsid w:val="00864043"/>
    <w:rsid w:val="0086418C"/>
    <w:rsid w:val="008648D3"/>
    <w:rsid w:val="008649B4"/>
    <w:rsid w:val="00864D15"/>
    <w:rsid w:val="00864E6D"/>
    <w:rsid w:val="00865447"/>
    <w:rsid w:val="0086573D"/>
    <w:rsid w:val="008659DF"/>
    <w:rsid w:val="00865A9D"/>
    <w:rsid w:val="00865E68"/>
    <w:rsid w:val="0086607D"/>
    <w:rsid w:val="0086669A"/>
    <w:rsid w:val="008668CA"/>
    <w:rsid w:val="008669EA"/>
    <w:rsid w:val="00866E63"/>
    <w:rsid w:val="008671F8"/>
    <w:rsid w:val="00867224"/>
    <w:rsid w:val="008673F7"/>
    <w:rsid w:val="00867620"/>
    <w:rsid w:val="00867898"/>
    <w:rsid w:val="008679F9"/>
    <w:rsid w:val="00867E57"/>
    <w:rsid w:val="00867EFC"/>
    <w:rsid w:val="00867F47"/>
    <w:rsid w:val="00867F5B"/>
    <w:rsid w:val="00867FB1"/>
    <w:rsid w:val="00867FC2"/>
    <w:rsid w:val="0087001F"/>
    <w:rsid w:val="008700F3"/>
    <w:rsid w:val="008700F6"/>
    <w:rsid w:val="00870442"/>
    <w:rsid w:val="0087060E"/>
    <w:rsid w:val="0087061A"/>
    <w:rsid w:val="008706B6"/>
    <w:rsid w:val="008706B7"/>
    <w:rsid w:val="008707D4"/>
    <w:rsid w:val="008708B8"/>
    <w:rsid w:val="008708DA"/>
    <w:rsid w:val="00870B04"/>
    <w:rsid w:val="00870C46"/>
    <w:rsid w:val="00870DFC"/>
    <w:rsid w:val="008711B5"/>
    <w:rsid w:val="008712B6"/>
    <w:rsid w:val="008715A8"/>
    <w:rsid w:val="00871724"/>
    <w:rsid w:val="008717BE"/>
    <w:rsid w:val="00871877"/>
    <w:rsid w:val="008719F8"/>
    <w:rsid w:val="00871B4C"/>
    <w:rsid w:val="00871BC6"/>
    <w:rsid w:val="00871C61"/>
    <w:rsid w:val="00871E36"/>
    <w:rsid w:val="008721A4"/>
    <w:rsid w:val="008722D0"/>
    <w:rsid w:val="00872745"/>
    <w:rsid w:val="008727D9"/>
    <w:rsid w:val="00872D41"/>
    <w:rsid w:val="0087392C"/>
    <w:rsid w:val="00873D12"/>
    <w:rsid w:val="00873E55"/>
    <w:rsid w:val="00874246"/>
    <w:rsid w:val="00874280"/>
    <w:rsid w:val="00874338"/>
    <w:rsid w:val="0087437D"/>
    <w:rsid w:val="00874671"/>
    <w:rsid w:val="00874714"/>
    <w:rsid w:val="00874D07"/>
    <w:rsid w:val="00874E89"/>
    <w:rsid w:val="008750BC"/>
    <w:rsid w:val="008751AB"/>
    <w:rsid w:val="008751C5"/>
    <w:rsid w:val="00875472"/>
    <w:rsid w:val="008756F5"/>
    <w:rsid w:val="008757E2"/>
    <w:rsid w:val="0087596D"/>
    <w:rsid w:val="00875B49"/>
    <w:rsid w:val="0087623A"/>
    <w:rsid w:val="00876291"/>
    <w:rsid w:val="008763D0"/>
    <w:rsid w:val="0087650D"/>
    <w:rsid w:val="00876686"/>
    <w:rsid w:val="00876763"/>
    <w:rsid w:val="00876EC6"/>
    <w:rsid w:val="0087713F"/>
    <w:rsid w:val="0087731B"/>
    <w:rsid w:val="00877498"/>
    <w:rsid w:val="00877524"/>
    <w:rsid w:val="008777FF"/>
    <w:rsid w:val="008778A5"/>
    <w:rsid w:val="0087795E"/>
    <w:rsid w:val="00877A96"/>
    <w:rsid w:val="00877F86"/>
    <w:rsid w:val="008800AE"/>
    <w:rsid w:val="008806B9"/>
    <w:rsid w:val="008806CE"/>
    <w:rsid w:val="00880749"/>
    <w:rsid w:val="00880824"/>
    <w:rsid w:val="008810F5"/>
    <w:rsid w:val="0088126D"/>
    <w:rsid w:val="0088143F"/>
    <w:rsid w:val="00881506"/>
    <w:rsid w:val="00881553"/>
    <w:rsid w:val="00881776"/>
    <w:rsid w:val="008818B0"/>
    <w:rsid w:val="00881B38"/>
    <w:rsid w:val="00881D58"/>
    <w:rsid w:val="00881DAE"/>
    <w:rsid w:val="00881DF3"/>
    <w:rsid w:val="00881E9E"/>
    <w:rsid w:val="00881EB4"/>
    <w:rsid w:val="00882088"/>
    <w:rsid w:val="0088209C"/>
    <w:rsid w:val="008821EF"/>
    <w:rsid w:val="00882896"/>
    <w:rsid w:val="00882B74"/>
    <w:rsid w:val="008832FE"/>
    <w:rsid w:val="00883521"/>
    <w:rsid w:val="0088365F"/>
    <w:rsid w:val="00883AD8"/>
    <w:rsid w:val="00883C75"/>
    <w:rsid w:val="00883CB4"/>
    <w:rsid w:val="00883D24"/>
    <w:rsid w:val="00883E4A"/>
    <w:rsid w:val="00884424"/>
    <w:rsid w:val="00884487"/>
    <w:rsid w:val="0088453A"/>
    <w:rsid w:val="00884B64"/>
    <w:rsid w:val="00885001"/>
    <w:rsid w:val="00885121"/>
    <w:rsid w:val="0088534F"/>
    <w:rsid w:val="00885729"/>
    <w:rsid w:val="00885B18"/>
    <w:rsid w:val="00885D04"/>
    <w:rsid w:val="008862F1"/>
    <w:rsid w:val="00886336"/>
    <w:rsid w:val="00886479"/>
    <w:rsid w:val="008867AC"/>
    <w:rsid w:val="00886925"/>
    <w:rsid w:val="00886B0E"/>
    <w:rsid w:val="00886BAC"/>
    <w:rsid w:val="00886ECA"/>
    <w:rsid w:val="008872D4"/>
    <w:rsid w:val="00887382"/>
    <w:rsid w:val="008874BF"/>
    <w:rsid w:val="00887CC2"/>
    <w:rsid w:val="008904D4"/>
    <w:rsid w:val="00890556"/>
    <w:rsid w:val="008909B3"/>
    <w:rsid w:val="00890AEC"/>
    <w:rsid w:val="00890D93"/>
    <w:rsid w:val="008911E5"/>
    <w:rsid w:val="00891363"/>
    <w:rsid w:val="00891471"/>
    <w:rsid w:val="008919ED"/>
    <w:rsid w:val="00891A5E"/>
    <w:rsid w:val="00891BE9"/>
    <w:rsid w:val="00891CA2"/>
    <w:rsid w:val="00891EBD"/>
    <w:rsid w:val="00891F1A"/>
    <w:rsid w:val="00891FA0"/>
    <w:rsid w:val="00892174"/>
    <w:rsid w:val="0089264F"/>
    <w:rsid w:val="0089284F"/>
    <w:rsid w:val="00892B24"/>
    <w:rsid w:val="00892F1E"/>
    <w:rsid w:val="008932EA"/>
    <w:rsid w:val="00893309"/>
    <w:rsid w:val="00893CD5"/>
    <w:rsid w:val="008941B9"/>
    <w:rsid w:val="0089433D"/>
    <w:rsid w:val="0089486E"/>
    <w:rsid w:val="008948AD"/>
    <w:rsid w:val="00894ADB"/>
    <w:rsid w:val="00894BBC"/>
    <w:rsid w:val="00894DCD"/>
    <w:rsid w:val="00894FD8"/>
    <w:rsid w:val="00895262"/>
    <w:rsid w:val="00895388"/>
    <w:rsid w:val="00895578"/>
    <w:rsid w:val="0089575C"/>
    <w:rsid w:val="00895CDD"/>
    <w:rsid w:val="00895D19"/>
    <w:rsid w:val="00895EC6"/>
    <w:rsid w:val="0089628C"/>
    <w:rsid w:val="0089630C"/>
    <w:rsid w:val="00896658"/>
    <w:rsid w:val="00897195"/>
    <w:rsid w:val="00897369"/>
    <w:rsid w:val="00897851"/>
    <w:rsid w:val="00897861"/>
    <w:rsid w:val="00897AA0"/>
    <w:rsid w:val="00897C76"/>
    <w:rsid w:val="00897C7E"/>
    <w:rsid w:val="00897F05"/>
    <w:rsid w:val="00897F11"/>
    <w:rsid w:val="00897F89"/>
    <w:rsid w:val="008A0126"/>
    <w:rsid w:val="008A01FF"/>
    <w:rsid w:val="008A0258"/>
    <w:rsid w:val="008A03C4"/>
    <w:rsid w:val="008A0590"/>
    <w:rsid w:val="008A0659"/>
    <w:rsid w:val="008A06C7"/>
    <w:rsid w:val="008A074F"/>
    <w:rsid w:val="008A0BDF"/>
    <w:rsid w:val="008A0D93"/>
    <w:rsid w:val="008A0E28"/>
    <w:rsid w:val="008A0FDC"/>
    <w:rsid w:val="008A16D1"/>
    <w:rsid w:val="008A173E"/>
    <w:rsid w:val="008A19B0"/>
    <w:rsid w:val="008A1BCE"/>
    <w:rsid w:val="008A1CCA"/>
    <w:rsid w:val="008A254C"/>
    <w:rsid w:val="008A25F0"/>
    <w:rsid w:val="008A25F8"/>
    <w:rsid w:val="008A2630"/>
    <w:rsid w:val="008A269F"/>
    <w:rsid w:val="008A2842"/>
    <w:rsid w:val="008A2C6E"/>
    <w:rsid w:val="008A2D71"/>
    <w:rsid w:val="008A39E6"/>
    <w:rsid w:val="008A3A47"/>
    <w:rsid w:val="008A3AFF"/>
    <w:rsid w:val="008A3B4F"/>
    <w:rsid w:val="008A40C8"/>
    <w:rsid w:val="008A40F4"/>
    <w:rsid w:val="008A4766"/>
    <w:rsid w:val="008A4990"/>
    <w:rsid w:val="008A4A02"/>
    <w:rsid w:val="008A4B56"/>
    <w:rsid w:val="008A4D27"/>
    <w:rsid w:val="008A4E71"/>
    <w:rsid w:val="008A5306"/>
    <w:rsid w:val="008A56A4"/>
    <w:rsid w:val="008A5F5F"/>
    <w:rsid w:val="008A6232"/>
    <w:rsid w:val="008A62D3"/>
    <w:rsid w:val="008A670C"/>
    <w:rsid w:val="008A69FC"/>
    <w:rsid w:val="008A6B4B"/>
    <w:rsid w:val="008A6C0E"/>
    <w:rsid w:val="008A6D9D"/>
    <w:rsid w:val="008A6FAD"/>
    <w:rsid w:val="008A71C9"/>
    <w:rsid w:val="008A74EF"/>
    <w:rsid w:val="008A77EC"/>
    <w:rsid w:val="008A7880"/>
    <w:rsid w:val="008A790A"/>
    <w:rsid w:val="008A7B83"/>
    <w:rsid w:val="008A7C3D"/>
    <w:rsid w:val="008A7E55"/>
    <w:rsid w:val="008B023E"/>
    <w:rsid w:val="008B0618"/>
    <w:rsid w:val="008B0A86"/>
    <w:rsid w:val="008B0C4A"/>
    <w:rsid w:val="008B0EDE"/>
    <w:rsid w:val="008B10AF"/>
    <w:rsid w:val="008B1C30"/>
    <w:rsid w:val="008B21B2"/>
    <w:rsid w:val="008B2285"/>
    <w:rsid w:val="008B239D"/>
    <w:rsid w:val="008B23AC"/>
    <w:rsid w:val="008B240F"/>
    <w:rsid w:val="008B2535"/>
    <w:rsid w:val="008B25A0"/>
    <w:rsid w:val="008B271F"/>
    <w:rsid w:val="008B27B4"/>
    <w:rsid w:val="008B2FD1"/>
    <w:rsid w:val="008B3129"/>
    <w:rsid w:val="008B32B1"/>
    <w:rsid w:val="008B3420"/>
    <w:rsid w:val="008B3483"/>
    <w:rsid w:val="008B3803"/>
    <w:rsid w:val="008B3872"/>
    <w:rsid w:val="008B3C1C"/>
    <w:rsid w:val="008B3CD7"/>
    <w:rsid w:val="008B3D7F"/>
    <w:rsid w:val="008B44B1"/>
    <w:rsid w:val="008B480E"/>
    <w:rsid w:val="008B48CE"/>
    <w:rsid w:val="008B491E"/>
    <w:rsid w:val="008B4A07"/>
    <w:rsid w:val="008B4A41"/>
    <w:rsid w:val="008B4ABB"/>
    <w:rsid w:val="008B4D15"/>
    <w:rsid w:val="008B4EC7"/>
    <w:rsid w:val="008B4F88"/>
    <w:rsid w:val="008B55FF"/>
    <w:rsid w:val="008B59C6"/>
    <w:rsid w:val="008B5A45"/>
    <w:rsid w:val="008B5C53"/>
    <w:rsid w:val="008B5F19"/>
    <w:rsid w:val="008B63DD"/>
    <w:rsid w:val="008B6D14"/>
    <w:rsid w:val="008B7440"/>
    <w:rsid w:val="008B7808"/>
    <w:rsid w:val="008B78E3"/>
    <w:rsid w:val="008B7A26"/>
    <w:rsid w:val="008B7F58"/>
    <w:rsid w:val="008C004E"/>
    <w:rsid w:val="008C00E0"/>
    <w:rsid w:val="008C0319"/>
    <w:rsid w:val="008C0676"/>
    <w:rsid w:val="008C0AA6"/>
    <w:rsid w:val="008C0AC3"/>
    <w:rsid w:val="008C0DF0"/>
    <w:rsid w:val="008C10D3"/>
    <w:rsid w:val="008C1739"/>
    <w:rsid w:val="008C18CA"/>
    <w:rsid w:val="008C1AC4"/>
    <w:rsid w:val="008C1B85"/>
    <w:rsid w:val="008C1C2F"/>
    <w:rsid w:val="008C1D29"/>
    <w:rsid w:val="008C2059"/>
    <w:rsid w:val="008C21E5"/>
    <w:rsid w:val="008C23B5"/>
    <w:rsid w:val="008C28CE"/>
    <w:rsid w:val="008C2ACC"/>
    <w:rsid w:val="008C2E5C"/>
    <w:rsid w:val="008C2E5E"/>
    <w:rsid w:val="008C2EDA"/>
    <w:rsid w:val="008C2EFA"/>
    <w:rsid w:val="008C395D"/>
    <w:rsid w:val="008C3EE4"/>
    <w:rsid w:val="008C432C"/>
    <w:rsid w:val="008C443F"/>
    <w:rsid w:val="008C4471"/>
    <w:rsid w:val="008C48CF"/>
    <w:rsid w:val="008C4AD3"/>
    <w:rsid w:val="008C4B8D"/>
    <w:rsid w:val="008C4C19"/>
    <w:rsid w:val="008C4C23"/>
    <w:rsid w:val="008C4D16"/>
    <w:rsid w:val="008C4D1D"/>
    <w:rsid w:val="008C5257"/>
    <w:rsid w:val="008C58B4"/>
    <w:rsid w:val="008C60A5"/>
    <w:rsid w:val="008C626A"/>
    <w:rsid w:val="008C631F"/>
    <w:rsid w:val="008C6395"/>
    <w:rsid w:val="008C6471"/>
    <w:rsid w:val="008C65B7"/>
    <w:rsid w:val="008C67F0"/>
    <w:rsid w:val="008C6DEE"/>
    <w:rsid w:val="008C6E45"/>
    <w:rsid w:val="008C6FB3"/>
    <w:rsid w:val="008C74F1"/>
    <w:rsid w:val="008C7538"/>
    <w:rsid w:val="008C7945"/>
    <w:rsid w:val="008C7DD7"/>
    <w:rsid w:val="008C7DDC"/>
    <w:rsid w:val="008D00CD"/>
    <w:rsid w:val="008D028E"/>
    <w:rsid w:val="008D04E4"/>
    <w:rsid w:val="008D0558"/>
    <w:rsid w:val="008D0783"/>
    <w:rsid w:val="008D0B2D"/>
    <w:rsid w:val="008D10C7"/>
    <w:rsid w:val="008D12C6"/>
    <w:rsid w:val="008D17E9"/>
    <w:rsid w:val="008D183F"/>
    <w:rsid w:val="008D24C0"/>
    <w:rsid w:val="008D26E4"/>
    <w:rsid w:val="008D273F"/>
    <w:rsid w:val="008D2AB4"/>
    <w:rsid w:val="008D330A"/>
    <w:rsid w:val="008D36ED"/>
    <w:rsid w:val="008D3959"/>
    <w:rsid w:val="008D3AD8"/>
    <w:rsid w:val="008D3E57"/>
    <w:rsid w:val="008D3EF7"/>
    <w:rsid w:val="008D4306"/>
    <w:rsid w:val="008D4403"/>
    <w:rsid w:val="008D452A"/>
    <w:rsid w:val="008D4700"/>
    <w:rsid w:val="008D4A02"/>
    <w:rsid w:val="008D4E90"/>
    <w:rsid w:val="008D531F"/>
    <w:rsid w:val="008D54A0"/>
    <w:rsid w:val="008D575F"/>
    <w:rsid w:val="008D5D44"/>
    <w:rsid w:val="008D631B"/>
    <w:rsid w:val="008D66D2"/>
    <w:rsid w:val="008D672E"/>
    <w:rsid w:val="008D6911"/>
    <w:rsid w:val="008D6F63"/>
    <w:rsid w:val="008D7025"/>
    <w:rsid w:val="008D7261"/>
    <w:rsid w:val="008D7586"/>
    <w:rsid w:val="008D7641"/>
    <w:rsid w:val="008D768D"/>
    <w:rsid w:val="008D7879"/>
    <w:rsid w:val="008D7A44"/>
    <w:rsid w:val="008D7CEE"/>
    <w:rsid w:val="008D7E87"/>
    <w:rsid w:val="008D7E99"/>
    <w:rsid w:val="008E02AB"/>
    <w:rsid w:val="008E0613"/>
    <w:rsid w:val="008E0D0E"/>
    <w:rsid w:val="008E125A"/>
    <w:rsid w:val="008E15B8"/>
    <w:rsid w:val="008E18AA"/>
    <w:rsid w:val="008E1B1E"/>
    <w:rsid w:val="008E1CB6"/>
    <w:rsid w:val="008E1CDF"/>
    <w:rsid w:val="008E245E"/>
    <w:rsid w:val="008E29C7"/>
    <w:rsid w:val="008E2A64"/>
    <w:rsid w:val="008E2B63"/>
    <w:rsid w:val="008E2EC9"/>
    <w:rsid w:val="008E30D0"/>
    <w:rsid w:val="008E34B1"/>
    <w:rsid w:val="008E3538"/>
    <w:rsid w:val="008E3A10"/>
    <w:rsid w:val="008E3A6D"/>
    <w:rsid w:val="008E3BD0"/>
    <w:rsid w:val="008E4056"/>
    <w:rsid w:val="008E41ED"/>
    <w:rsid w:val="008E4414"/>
    <w:rsid w:val="008E44C7"/>
    <w:rsid w:val="008E4587"/>
    <w:rsid w:val="008E4764"/>
    <w:rsid w:val="008E49EE"/>
    <w:rsid w:val="008E50F4"/>
    <w:rsid w:val="008E515E"/>
    <w:rsid w:val="008E5447"/>
    <w:rsid w:val="008E58C1"/>
    <w:rsid w:val="008E5C07"/>
    <w:rsid w:val="008E5E9D"/>
    <w:rsid w:val="008E619D"/>
    <w:rsid w:val="008E652A"/>
    <w:rsid w:val="008E69D3"/>
    <w:rsid w:val="008E6A5B"/>
    <w:rsid w:val="008E6B4E"/>
    <w:rsid w:val="008E6C10"/>
    <w:rsid w:val="008E6E75"/>
    <w:rsid w:val="008E71D2"/>
    <w:rsid w:val="008E7413"/>
    <w:rsid w:val="008E78C5"/>
    <w:rsid w:val="008E7AE9"/>
    <w:rsid w:val="008E7C8E"/>
    <w:rsid w:val="008F01F5"/>
    <w:rsid w:val="008F02FE"/>
    <w:rsid w:val="008F0396"/>
    <w:rsid w:val="008F062E"/>
    <w:rsid w:val="008F0656"/>
    <w:rsid w:val="008F0877"/>
    <w:rsid w:val="008F0B62"/>
    <w:rsid w:val="008F0BC4"/>
    <w:rsid w:val="008F0FC8"/>
    <w:rsid w:val="008F113E"/>
    <w:rsid w:val="008F117C"/>
    <w:rsid w:val="008F1582"/>
    <w:rsid w:val="008F1B22"/>
    <w:rsid w:val="008F2243"/>
    <w:rsid w:val="008F2395"/>
    <w:rsid w:val="008F24B9"/>
    <w:rsid w:val="008F27AE"/>
    <w:rsid w:val="008F285D"/>
    <w:rsid w:val="008F293C"/>
    <w:rsid w:val="008F2A2E"/>
    <w:rsid w:val="008F2CAF"/>
    <w:rsid w:val="008F2CC4"/>
    <w:rsid w:val="008F2D0B"/>
    <w:rsid w:val="008F2EE3"/>
    <w:rsid w:val="008F32A5"/>
    <w:rsid w:val="008F33F9"/>
    <w:rsid w:val="008F3694"/>
    <w:rsid w:val="008F3A44"/>
    <w:rsid w:val="008F3A6F"/>
    <w:rsid w:val="008F461C"/>
    <w:rsid w:val="008F4735"/>
    <w:rsid w:val="008F4B32"/>
    <w:rsid w:val="008F501E"/>
    <w:rsid w:val="008F53E7"/>
    <w:rsid w:val="008F54FA"/>
    <w:rsid w:val="008F5C62"/>
    <w:rsid w:val="008F5CDD"/>
    <w:rsid w:val="008F6013"/>
    <w:rsid w:val="008F60B4"/>
    <w:rsid w:val="008F6257"/>
    <w:rsid w:val="008F626E"/>
    <w:rsid w:val="008F648D"/>
    <w:rsid w:val="008F663B"/>
    <w:rsid w:val="008F679D"/>
    <w:rsid w:val="008F67A7"/>
    <w:rsid w:val="008F6CD3"/>
    <w:rsid w:val="008F7A58"/>
    <w:rsid w:val="0090007C"/>
    <w:rsid w:val="00900214"/>
    <w:rsid w:val="00900241"/>
    <w:rsid w:val="0090073B"/>
    <w:rsid w:val="00900806"/>
    <w:rsid w:val="0090083E"/>
    <w:rsid w:val="00900ABA"/>
    <w:rsid w:val="00900B0B"/>
    <w:rsid w:val="00900E3B"/>
    <w:rsid w:val="00900FE1"/>
    <w:rsid w:val="00901290"/>
    <w:rsid w:val="0090190D"/>
    <w:rsid w:val="00901A3D"/>
    <w:rsid w:val="00901BD0"/>
    <w:rsid w:val="00901D3C"/>
    <w:rsid w:val="00901FB3"/>
    <w:rsid w:val="00901FCD"/>
    <w:rsid w:val="0090201C"/>
    <w:rsid w:val="00902165"/>
    <w:rsid w:val="00902454"/>
    <w:rsid w:val="00902AFF"/>
    <w:rsid w:val="00903264"/>
    <w:rsid w:val="0090336D"/>
    <w:rsid w:val="00903429"/>
    <w:rsid w:val="00903512"/>
    <w:rsid w:val="009035AC"/>
    <w:rsid w:val="00903669"/>
    <w:rsid w:val="009038A4"/>
    <w:rsid w:val="00903A55"/>
    <w:rsid w:val="00903A8E"/>
    <w:rsid w:val="00903B31"/>
    <w:rsid w:val="00903BF6"/>
    <w:rsid w:val="00903DEB"/>
    <w:rsid w:val="00903E36"/>
    <w:rsid w:val="00903E8A"/>
    <w:rsid w:val="00903FB1"/>
    <w:rsid w:val="00904086"/>
    <w:rsid w:val="00904210"/>
    <w:rsid w:val="00904604"/>
    <w:rsid w:val="00904658"/>
    <w:rsid w:val="00904DAA"/>
    <w:rsid w:val="009051D2"/>
    <w:rsid w:val="00905317"/>
    <w:rsid w:val="009057C5"/>
    <w:rsid w:val="00905A3B"/>
    <w:rsid w:val="00905B0D"/>
    <w:rsid w:val="00905D46"/>
    <w:rsid w:val="009068D3"/>
    <w:rsid w:val="00906945"/>
    <w:rsid w:val="0090695F"/>
    <w:rsid w:val="00906B21"/>
    <w:rsid w:val="00906E9C"/>
    <w:rsid w:val="00907511"/>
    <w:rsid w:val="00907770"/>
    <w:rsid w:val="009077A7"/>
    <w:rsid w:val="0090795B"/>
    <w:rsid w:val="009079F3"/>
    <w:rsid w:val="00907A58"/>
    <w:rsid w:val="00907C9D"/>
    <w:rsid w:val="00907CE5"/>
    <w:rsid w:val="00907D7E"/>
    <w:rsid w:val="0091035D"/>
    <w:rsid w:val="009106D1"/>
    <w:rsid w:val="00910888"/>
    <w:rsid w:val="00910E9E"/>
    <w:rsid w:val="00911005"/>
    <w:rsid w:val="00911573"/>
    <w:rsid w:val="0091188F"/>
    <w:rsid w:val="009119F6"/>
    <w:rsid w:val="00911AD2"/>
    <w:rsid w:val="00911AFD"/>
    <w:rsid w:val="00911D04"/>
    <w:rsid w:val="00912620"/>
    <w:rsid w:val="0091262E"/>
    <w:rsid w:val="00912737"/>
    <w:rsid w:val="00912A5D"/>
    <w:rsid w:val="00912AC2"/>
    <w:rsid w:val="009132CE"/>
    <w:rsid w:val="00913372"/>
    <w:rsid w:val="00913FC5"/>
    <w:rsid w:val="009141A7"/>
    <w:rsid w:val="0091476F"/>
    <w:rsid w:val="009147FF"/>
    <w:rsid w:val="00914807"/>
    <w:rsid w:val="00914904"/>
    <w:rsid w:val="00914967"/>
    <w:rsid w:val="00914B3C"/>
    <w:rsid w:val="00914B75"/>
    <w:rsid w:val="00914EB1"/>
    <w:rsid w:val="00914EFB"/>
    <w:rsid w:val="00915237"/>
    <w:rsid w:val="0091540F"/>
    <w:rsid w:val="009154DE"/>
    <w:rsid w:val="0091576A"/>
    <w:rsid w:val="0091595C"/>
    <w:rsid w:val="009159A3"/>
    <w:rsid w:val="009159BC"/>
    <w:rsid w:val="00915ABE"/>
    <w:rsid w:val="00915D14"/>
    <w:rsid w:val="0091668E"/>
    <w:rsid w:val="0091689E"/>
    <w:rsid w:val="00916A90"/>
    <w:rsid w:val="00916AE2"/>
    <w:rsid w:val="00916B91"/>
    <w:rsid w:val="00916F44"/>
    <w:rsid w:val="0091741C"/>
    <w:rsid w:val="009174FE"/>
    <w:rsid w:val="00917670"/>
    <w:rsid w:val="00917870"/>
    <w:rsid w:val="00917AEB"/>
    <w:rsid w:val="00917C12"/>
    <w:rsid w:val="00917CB5"/>
    <w:rsid w:val="00917F5A"/>
    <w:rsid w:val="00920036"/>
    <w:rsid w:val="009207CC"/>
    <w:rsid w:val="00920955"/>
    <w:rsid w:val="00920AD9"/>
    <w:rsid w:val="00920D48"/>
    <w:rsid w:val="00920DA9"/>
    <w:rsid w:val="00920EB7"/>
    <w:rsid w:val="00920F1E"/>
    <w:rsid w:val="009214C4"/>
    <w:rsid w:val="009216B1"/>
    <w:rsid w:val="00921752"/>
    <w:rsid w:val="009218B1"/>
    <w:rsid w:val="009218EB"/>
    <w:rsid w:val="00921C91"/>
    <w:rsid w:val="00922104"/>
    <w:rsid w:val="009224CB"/>
    <w:rsid w:val="0092269C"/>
    <w:rsid w:val="00922F5F"/>
    <w:rsid w:val="00924115"/>
    <w:rsid w:val="0092413F"/>
    <w:rsid w:val="00924289"/>
    <w:rsid w:val="009242E9"/>
    <w:rsid w:val="00924412"/>
    <w:rsid w:val="009244D4"/>
    <w:rsid w:val="00924781"/>
    <w:rsid w:val="009248FF"/>
    <w:rsid w:val="00924A43"/>
    <w:rsid w:val="00924D5C"/>
    <w:rsid w:val="00924D84"/>
    <w:rsid w:val="00925000"/>
    <w:rsid w:val="00925100"/>
    <w:rsid w:val="009254D5"/>
    <w:rsid w:val="00925CAC"/>
    <w:rsid w:val="00925E71"/>
    <w:rsid w:val="00925E7D"/>
    <w:rsid w:val="00925FBB"/>
    <w:rsid w:val="009261DF"/>
    <w:rsid w:val="0092627E"/>
    <w:rsid w:val="0092646D"/>
    <w:rsid w:val="0092653D"/>
    <w:rsid w:val="00926AF0"/>
    <w:rsid w:val="00926BDE"/>
    <w:rsid w:val="00926C7C"/>
    <w:rsid w:val="00926D40"/>
    <w:rsid w:val="009271F5"/>
    <w:rsid w:val="00927218"/>
    <w:rsid w:val="009276BF"/>
    <w:rsid w:val="0092788F"/>
    <w:rsid w:val="009279F9"/>
    <w:rsid w:val="00927CB7"/>
    <w:rsid w:val="00927DE2"/>
    <w:rsid w:val="00927E26"/>
    <w:rsid w:val="00927ED2"/>
    <w:rsid w:val="00927EF8"/>
    <w:rsid w:val="00927F1B"/>
    <w:rsid w:val="00927F89"/>
    <w:rsid w:val="00930476"/>
    <w:rsid w:val="009305F3"/>
    <w:rsid w:val="00930908"/>
    <w:rsid w:val="00930922"/>
    <w:rsid w:val="00930E67"/>
    <w:rsid w:val="0093102C"/>
    <w:rsid w:val="0093125E"/>
    <w:rsid w:val="0093134A"/>
    <w:rsid w:val="00931A7F"/>
    <w:rsid w:val="00931B90"/>
    <w:rsid w:val="00931C73"/>
    <w:rsid w:val="00931E5A"/>
    <w:rsid w:val="009323AF"/>
    <w:rsid w:val="009323DD"/>
    <w:rsid w:val="00932871"/>
    <w:rsid w:val="00932CB4"/>
    <w:rsid w:val="00932DBC"/>
    <w:rsid w:val="00932E27"/>
    <w:rsid w:val="00932F26"/>
    <w:rsid w:val="00933042"/>
    <w:rsid w:val="00933207"/>
    <w:rsid w:val="009333F6"/>
    <w:rsid w:val="009334F9"/>
    <w:rsid w:val="00933960"/>
    <w:rsid w:val="00933A85"/>
    <w:rsid w:val="00933A8F"/>
    <w:rsid w:val="00933B10"/>
    <w:rsid w:val="00933E4F"/>
    <w:rsid w:val="0093402F"/>
    <w:rsid w:val="009345D0"/>
    <w:rsid w:val="00934AB6"/>
    <w:rsid w:val="00934BED"/>
    <w:rsid w:val="00934D0C"/>
    <w:rsid w:val="00934D96"/>
    <w:rsid w:val="0093501B"/>
    <w:rsid w:val="00935086"/>
    <w:rsid w:val="00935535"/>
    <w:rsid w:val="00935595"/>
    <w:rsid w:val="00935A52"/>
    <w:rsid w:val="00935B2E"/>
    <w:rsid w:val="00935E0C"/>
    <w:rsid w:val="009364CB"/>
    <w:rsid w:val="009367B0"/>
    <w:rsid w:val="00936961"/>
    <w:rsid w:val="0093699B"/>
    <w:rsid w:val="00936A1D"/>
    <w:rsid w:val="00936EBF"/>
    <w:rsid w:val="00936F00"/>
    <w:rsid w:val="009370D2"/>
    <w:rsid w:val="00937273"/>
    <w:rsid w:val="00937671"/>
    <w:rsid w:val="00937758"/>
    <w:rsid w:val="00937922"/>
    <w:rsid w:val="009379F8"/>
    <w:rsid w:val="00937BB8"/>
    <w:rsid w:val="00937C1D"/>
    <w:rsid w:val="00937DE8"/>
    <w:rsid w:val="00937FC9"/>
    <w:rsid w:val="009400E4"/>
    <w:rsid w:val="009401BF"/>
    <w:rsid w:val="00940578"/>
    <w:rsid w:val="00940784"/>
    <w:rsid w:val="009407B8"/>
    <w:rsid w:val="00940A0F"/>
    <w:rsid w:val="00940DCC"/>
    <w:rsid w:val="00940E63"/>
    <w:rsid w:val="00941355"/>
    <w:rsid w:val="00941356"/>
    <w:rsid w:val="009416B1"/>
    <w:rsid w:val="00941781"/>
    <w:rsid w:val="00941F7F"/>
    <w:rsid w:val="009420CB"/>
    <w:rsid w:val="00942163"/>
    <w:rsid w:val="00942247"/>
    <w:rsid w:val="009422F7"/>
    <w:rsid w:val="009424B1"/>
    <w:rsid w:val="009424F1"/>
    <w:rsid w:val="00942B9C"/>
    <w:rsid w:val="00942B9D"/>
    <w:rsid w:val="00943567"/>
    <w:rsid w:val="0094362B"/>
    <w:rsid w:val="009437AA"/>
    <w:rsid w:val="00943AD3"/>
    <w:rsid w:val="00943BB2"/>
    <w:rsid w:val="00943F5B"/>
    <w:rsid w:val="0094453C"/>
    <w:rsid w:val="009447AD"/>
    <w:rsid w:val="009449B3"/>
    <w:rsid w:val="00944AC8"/>
    <w:rsid w:val="00944B0D"/>
    <w:rsid w:val="00944BB3"/>
    <w:rsid w:val="00944C91"/>
    <w:rsid w:val="00945753"/>
    <w:rsid w:val="0094576F"/>
    <w:rsid w:val="009457E5"/>
    <w:rsid w:val="009458F9"/>
    <w:rsid w:val="009459C1"/>
    <w:rsid w:val="00946690"/>
    <w:rsid w:val="00946A33"/>
    <w:rsid w:val="00946C14"/>
    <w:rsid w:val="00946D18"/>
    <w:rsid w:val="00946E68"/>
    <w:rsid w:val="00946ECE"/>
    <w:rsid w:val="00946FD7"/>
    <w:rsid w:val="009470CF"/>
    <w:rsid w:val="00947999"/>
    <w:rsid w:val="00947BC6"/>
    <w:rsid w:val="00947E45"/>
    <w:rsid w:val="009500E2"/>
    <w:rsid w:val="009501F5"/>
    <w:rsid w:val="0095036E"/>
    <w:rsid w:val="0095045F"/>
    <w:rsid w:val="00950750"/>
    <w:rsid w:val="00950875"/>
    <w:rsid w:val="0095098E"/>
    <w:rsid w:val="00950DA3"/>
    <w:rsid w:val="00950E2A"/>
    <w:rsid w:val="00951047"/>
    <w:rsid w:val="00951A33"/>
    <w:rsid w:val="00951C98"/>
    <w:rsid w:val="00951CC3"/>
    <w:rsid w:val="00951E82"/>
    <w:rsid w:val="00951F79"/>
    <w:rsid w:val="00951F87"/>
    <w:rsid w:val="009521E7"/>
    <w:rsid w:val="009522E8"/>
    <w:rsid w:val="009527B2"/>
    <w:rsid w:val="009528DF"/>
    <w:rsid w:val="00952937"/>
    <w:rsid w:val="00952BFD"/>
    <w:rsid w:val="009535A0"/>
    <w:rsid w:val="009536E9"/>
    <w:rsid w:val="0095391C"/>
    <w:rsid w:val="00953A68"/>
    <w:rsid w:val="00953B5B"/>
    <w:rsid w:val="00953B85"/>
    <w:rsid w:val="00953CCA"/>
    <w:rsid w:val="00954138"/>
    <w:rsid w:val="0095418E"/>
    <w:rsid w:val="00954223"/>
    <w:rsid w:val="0095444C"/>
    <w:rsid w:val="00954503"/>
    <w:rsid w:val="00954D83"/>
    <w:rsid w:val="00954F03"/>
    <w:rsid w:val="00954FF2"/>
    <w:rsid w:val="0095555E"/>
    <w:rsid w:val="0095556D"/>
    <w:rsid w:val="00955803"/>
    <w:rsid w:val="00955E6F"/>
    <w:rsid w:val="0095605C"/>
    <w:rsid w:val="00956421"/>
    <w:rsid w:val="0095691C"/>
    <w:rsid w:val="009569E5"/>
    <w:rsid w:val="00956B4A"/>
    <w:rsid w:val="00957109"/>
    <w:rsid w:val="009575E0"/>
    <w:rsid w:val="00957677"/>
    <w:rsid w:val="00957A29"/>
    <w:rsid w:val="00957BBC"/>
    <w:rsid w:val="00957E6F"/>
    <w:rsid w:val="00960028"/>
    <w:rsid w:val="0096031E"/>
    <w:rsid w:val="00960438"/>
    <w:rsid w:val="00960666"/>
    <w:rsid w:val="00960898"/>
    <w:rsid w:val="00960F4A"/>
    <w:rsid w:val="00961291"/>
    <w:rsid w:val="009612D3"/>
    <w:rsid w:val="00961D48"/>
    <w:rsid w:val="00961F57"/>
    <w:rsid w:val="0096244F"/>
    <w:rsid w:val="00962641"/>
    <w:rsid w:val="00962AC7"/>
    <w:rsid w:val="00962D34"/>
    <w:rsid w:val="00963664"/>
    <w:rsid w:val="009636D1"/>
    <w:rsid w:val="009637ED"/>
    <w:rsid w:val="00963923"/>
    <w:rsid w:val="009639B2"/>
    <w:rsid w:val="009639EC"/>
    <w:rsid w:val="00963A88"/>
    <w:rsid w:val="00963B83"/>
    <w:rsid w:val="00963D6B"/>
    <w:rsid w:val="00963E71"/>
    <w:rsid w:val="00963E85"/>
    <w:rsid w:val="00963EBB"/>
    <w:rsid w:val="00963F72"/>
    <w:rsid w:val="00963FFC"/>
    <w:rsid w:val="00964245"/>
    <w:rsid w:val="009644F0"/>
    <w:rsid w:val="00964CA8"/>
    <w:rsid w:val="009654D6"/>
    <w:rsid w:val="009655CF"/>
    <w:rsid w:val="009656D4"/>
    <w:rsid w:val="0096583B"/>
    <w:rsid w:val="00965A14"/>
    <w:rsid w:val="00965CC5"/>
    <w:rsid w:val="00965D66"/>
    <w:rsid w:val="00965DBE"/>
    <w:rsid w:val="00965F5C"/>
    <w:rsid w:val="00966102"/>
    <w:rsid w:val="0096681E"/>
    <w:rsid w:val="00966828"/>
    <w:rsid w:val="0096757A"/>
    <w:rsid w:val="00967602"/>
    <w:rsid w:val="009677C1"/>
    <w:rsid w:val="00967842"/>
    <w:rsid w:val="0096786E"/>
    <w:rsid w:val="00967D08"/>
    <w:rsid w:val="00967E00"/>
    <w:rsid w:val="009703DD"/>
    <w:rsid w:val="00970509"/>
    <w:rsid w:val="0097076C"/>
    <w:rsid w:val="00970836"/>
    <w:rsid w:val="009709B7"/>
    <w:rsid w:val="00970A09"/>
    <w:rsid w:val="00970A76"/>
    <w:rsid w:val="00970A97"/>
    <w:rsid w:val="00970AB7"/>
    <w:rsid w:val="00970B51"/>
    <w:rsid w:val="0097134A"/>
    <w:rsid w:val="009716F7"/>
    <w:rsid w:val="00971737"/>
    <w:rsid w:val="00971BF0"/>
    <w:rsid w:val="009720FD"/>
    <w:rsid w:val="009722A1"/>
    <w:rsid w:val="009724CC"/>
    <w:rsid w:val="009724D1"/>
    <w:rsid w:val="009725F4"/>
    <w:rsid w:val="0097286F"/>
    <w:rsid w:val="00972C4E"/>
    <w:rsid w:val="0097325E"/>
    <w:rsid w:val="00973799"/>
    <w:rsid w:val="00973B90"/>
    <w:rsid w:val="00973C2B"/>
    <w:rsid w:val="00973C6B"/>
    <w:rsid w:val="00974543"/>
    <w:rsid w:val="00974569"/>
    <w:rsid w:val="00974709"/>
    <w:rsid w:val="00974BB7"/>
    <w:rsid w:val="00974D7E"/>
    <w:rsid w:val="00974E4B"/>
    <w:rsid w:val="009751D7"/>
    <w:rsid w:val="0097546F"/>
    <w:rsid w:val="00975535"/>
    <w:rsid w:val="0097582C"/>
    <w:rsid w:val="00975916"/>
    <w:rsid w:val="00975968"/>
    <w:rsid w:val="009759FC"/>
    <w:rsid w:val="00975C2E"/>
    <w:rsid w:val="00975D57"/>
    <w:rsid w:val="0097600F"/>
    <w:rsid w:val="0097604D"/>
    <w:rsid w:val="009761BD"/>
    <w:rsid w:val="00976596"/>
    <w:rsid w:val="0097663B"/>
    <w:rsid w:val="009769B9"/>
    <w:rsid w:val="009769E4"/>
    <w:rsid w:val="0097743E"/>
    <w:rsid w:val="009775E5"/>
    <w:rsid w:val="00980202"/>
    <w:rsid w:val="00980515"/>
    <w:rsid w:val="00980610"/>
    <w:rsid w:val="00980AFE"/>
    <w:rsid w:val="00980C01"/>
    <w:rsid w:val="00980C68"/>
    <w:rsid w:val="00980DC7"/>
    <w:rsid w:val="00980EED"/>
    <w:rsid w:val="0098154D"/>
    <w:rsid w:val="009818C9"/>
    <w:rsid w:val="00981CBB"/>
    <w:rsid w:val="00982077"/>
    <w:rsid w:val="00982129"/>
    <w:rsid w:val="0098238B"/>
    <w:rsid w:val="009823B7"/>
    <w:rsid w:val="00982511"/>
    <w:rsid w:val="00982A04"/>
    <w:rsid w:val="00982AD0"/>
    <w:rsid w:val="00982B5D"/>
    <w:rsid w:val="00982D02"/>
    <w:rsid w:val="00982EFB"/>
    <w:rsid w:val="009830AA"/>
    <w:rsid w:val="0098355E"/>
    <w:rsid w:val="00983B14"/>
    <w:rsid w:val="00983B36"/>
    <w:rsid w:val="00983F49"/>
    <w:rsid w:val="0098488F"/>
    <w:rsid w:val="00984A38"/>
    <w:rsid w:val="00984B42"/>
    <w:rsid w:val="00984BC1"/>
    <w:rsid w:val="00984D9A"/>
    <w:rsid w:val="0098515A"/>
    <w:rsid w:val="009851D6"/>
    <w:rsid w:val="0098536B"/>
    <w:rsid w:val="009858A4"/>
    <w:rsid w:val="00985BCA"/>
    <w:rsid w:val="00986206"/>
    <w:rsid w:val="00986474"/>
    <w:rsid w:val="0098677B"/>
    <w:rsid w:val="00986D2C"/>
    <w:rsid w:val="00986DF2"/>
    <w:rsid w:val="00986E37"/>
    <w:rsid w:val="00986FE4"/>
    <w:rsid w:val="00987187"/>
    <w:rsid w:val="009872D9"/>
    <w:rsid w:val="00987685"/>
    <w:rsid w:val="0098770F"/>
    <w:rsid w:val="00987D05"/>
    <w:rsid w:val="00987D4C"/>
    <w:rsid w:val="00987DB0"/>
    <w:rsid w:val="00987DE4"/>
    <w:rsid w:val="00987E08"/>
    <w:rsid w:val="00990101"/>
    <w:rsid w:val="009901BE"/>
    <w:rsid w:val="009904A5"/>
    <w:rsid w:val="009905BA"/>
    <w:rsid w:val="00990695"/>
    <w:rsid w:val="009907C0"/>
    <w:rsid w:val="00990920"/>
    <w:rsid w:val="00990B76"/>
    <w:rsid w:val="00990DCA"/>
    <w:rsid w:val="00991099"/>
    <w:rsid w:val="0099116C"/>
    <w:rsid w:val="009911DE"/>
    <w:rsid w:val="00991246"/>
    <w:rsid w:val="00991311"/>
    <w:rsid w:val="009914A6"/>
    <w:rsid w:val="00991629"/>
    <w:rsid w:val="0099196E"/>
    <w:rsid w:val="00991A4E"/>
    <w:rsid w:val="009927FE"/>
    <w:rsid w:val="00992BD2"/>
    <w:rsid w:val="00992D32"/>
    <w:rsid w:val="00992FD7"/>
    <w:rsid w:val="00993615"/>
    <w:rsid w:val="0099386A"/>
    <w:rsid w:val="00993AE6"/>
    <w:rsid w:val="00993F81"/>
    <w:rsid w:val="009942BA"/>
    <w:rsid w:val="0099430C"/>
    <w:rsid w:val="00994354"/>
    <w:rsid w:val="009943DF"/>
    <w:rsid w:val="0099454F"/>
    <w:rsid w:val="009948D3"/>
    <w:rsid w:val="0099513C"/>
    <w:rsid w:val="0099525D"/>
    <w:rsid w:val="0099532F"/>
    <w:rsid w:val="00995FA7"/>
    <w:rsid w:val="00996128"/>
    <w:rsid w:val="009962E0"/>
    <w:rsid w:val="0099655B"/>
    <w:rsid w:val="0099697B"/>
    <w:rsid w:val="00996BC3"/>
    <w:rsid w:val="00996C77"/>
    <w:rsid w:val="00996E0D"/>
    <w:rsid w:val="00996E40"/>
    <w:rsid w:val="00996EE1"/>
    <w:rsid w:val="00997083"/>
    <w:rsid w:val="009972C3"/>
    <w:rsid w:val="00997AFF"/>
    <w:rsid w:val="00997DE9"/>
    <w:rsid w:val="00997EA3"/>
    <w:rsid w:val="00997FB6"/>
    <w:rsid w:val="00997FD9"/>
    <w:rsid w:val="009A0128"/>
    <w:rsid w:val="009A0724"/>
    <w:rsid w:val="009A0AEC"/>
    <w:rsid w:val="009A1293"/>
    <w:rsid w:val="009A145E"/>
    <w:rsid w:val="009A1475"/>
    <w:rsid w:val="009A19DD"/>
    <w:rsid w:val="009A1A00"/>
    <w:rsid w:val="009A1A05"/>
    <w:rsid w:val="009A20A1"/>
    <w:rsid w:val="009A21AB"/>
    <w:rsid w:val="009A21E0"/>
    <w:rsid w:val="009A2245"/>
    <w:rsid w:val="009A2265"/>
    <w:rsid w:val="009A25A0"/>
    <w:rsid w:val="009A2C9C"/>
    <w:rsid w:val="009A2E17"/>
    <w:rsid w:val="009A33D1"/>
    <w:rsid w:val="009A33F1"/>
    <w:rsid w:val="009A3440"/>
    <w:rsid w:val="009A34C9"/>
    <w:rsid w:val="009A37A3"/>
    <w:rsid w:val="009A3B44"/>
    <w:rsid w:val="009A3BCA"/>
    <w:rsid w:val="009A3D37"/>
    <w:rsid w:val="009A3E77"/>
    <w:rsid w:val="009A3ECD"/>
    <w:rsid w:val="009A44B3"/>
    <w:rsid w:val="009A4980"/>
    <w:rsid w:val="009A50A8"/>
    <w:rsid w:val="009A59E7"/>
    <w:rsid w:val="009A5F30"/>
    <w:rsid w:val="009A5F3B"/>
    <w:rsid w:val="009A5FB2"/>
    <w:rsid w:val="009A60B1"/>
    <w:rsid w:val="009A61ED"/>
    <w:rsid w:val="009A67B8"/>
    <w:rsid w:val="009A68B7"/>
    <w:rsid w:val="009A6A02"/>
    <w:rsid w:val="009A6A3B"/>
    <w:rsid w:val="009A6B2E"/>
    <w:rsid w:val="009A6E22"/>
    <w:rsid w:val="009A73AC"/>
    <w:rsid w:val="009A742B"/>
    <w:rsid w:val="009A7528"/>
    <w:rsid w:val="009A75E1"/>
    <w:rsid w:val="009A780E"/>
    <w:rsid w:val="009A79A1"/>
    <w:rsid w:val="009A7C49"/>
    <w:rsid w:val="009A7C76"/>
    <w:rsid w:val="009A7E32"/>
    <w:rsid w:val="009B005C"/>
    <w:rsid w:val="009B0525"/>
    <w:rsid w:val="009B055C"/>
    <w:rsid w:val="009B058E"/>
    <w:rsid w:val="009B07F9"/>
    <w:rsid w:val="009B081F"/>
    <w:rsid w:val="009B0A6E"/>
    <w:rsid w:val="009B0E5E"/>
    <w:rsid w:val="009B0EA9"/>
    <w:rsid w:val="009B0F03"/>
    <w:rsid w:val="009B109F"/>
    <w:rsid w:val="009B11FF"/>
    <w:rsid w:val="009B1245"/>
    <w:rsid w:val="009B1745"/>
    <w:rsid w:val="009B1D9D"/>
    <w:rsid w:val="009B1E4B"/>
    <w:rsid w:val="009B29CD"/>
    <w:rsid w:val="009B2BE7"/>
    <w:rsid w:val="009B2CFF"/>
    <w:rsid w:val="009B2FAD"/>
    <w:rsid w:val="009B3114"/>
    <w:rsid w:val="009B339B"/>
    <w:rsid w:val="009B3711"/>
    <w:rsid w:val="009B386F"/>
    <w:rsid w:val="009B413E"/>
    <w:rsid w:val="009B43D7"/>
    <w:rsid w:val="009B453E"/>
    <w:rsid w:val="009B46DD"/>
    <w:rsid w:val="009B5026"/>
    <w:rsid w:val="009B53CF"/>
    <w:rsid w:val="009B54E4"/>
    <w:rsid w:val="009B5699"/>
    <w:rsid w:val="009B5A69"/>
    <w:rsid w:val="009B5F6A"/>
    <w:rsid w:val="009B6018"/>
    <w:rsid w:val="009B62FD"/>
    <w:rsid w:val="009B65B4"/>
    <w:rsid w:val="009B6D69"/>
    <w:rsid w:val="009B6E0E"/>
    <w:rsid w:val="009B6E1F"/>
    <w:rsid w:val="009B6E6D"/>
    <w:rsid w:val="009B6FC6"/>
    <w:rsid w:val="009B7130"/>
    <w:rsid w:val="009B7271"/>
    <w:rsid w:val="009B7A5B"/>
    <w:rsid w:val="009B7B3C"/>
    <w:rsid w:val="009C004E"/>
    <w:rsid w:val="009C01B1"/>
    <w:rsid w:val="009C02A7"/>
    <w:rsid w:val="009C0A16"/>
    <w:rsid w:val="009C0B8B"/>
    <w:rsid w:val="009C0D52"/>
    <w:rsid w:val="009C0D6F"/>
    <w:rsid w:val="009C0E0E"/>
    <w:rsid w:val="009C125C"/>
    <w:rsid w:val="009C138A"/>
    <w:rsid w:val="009C1594"/>
    <w:rsid w:val="009C1A46"/>
    <w:rsid w:val="009C1B15"/>
    <w:rsid w:val="009C1B3A"/>
    <w:rsid w:val="009C1D6E"/>
    <w:rsid w:val="009C1EA9"/>
    <w:rsid w:val="009C1F57"/>
    <w:rsid w:val="009C1FDB"/>
    <w:rsid w:val="009C250A"/>
    <w:rsid w:val="009C2555"/>
    <w:rsid w:val="009C2902"/>
    <w:rsid w:val="009C2AC3"/>
    <w:rsid w:val="009C2C2C"/>
    <w:rsid w:val="009C3A8D"/>
    <w:rsid w:val="009C4124"/>
    <w:rsid w:val="009C4437"/>
    <w:rsid w:val="009C447F"/>
    <w:rsid w:val="009C485A"/>
    <w:rsid w:val="009C492B"/>
    <w:rsid w:val="009C4C5A"/>
    <w:rsid w:val="009C4DBC"/>
    <w:rsid w:val="009C4E6C"/>
    <w:rsid w:val="009C4F7C"/>
    <w:rsid w:val="009C4FD2"/>
    <w:rsid w:val="009C514A"/>
    <w:rsid w:val="009C54CA"/>
    <w:rsid w:val="009C5524"/>
    <w:rsid w:val="009C5730"/>
    <w:rsid w:val="009C5C6A"/>
    <w:rsid w:val="009C5D44"/>
    <w:rsid w:val="009C5DB9"/>
    <w:rsid w:val="009C5FEC"/>
    <w:rsid w:val="009C60DF"/>
    <w:rsid w:val="009C6494"/>
    <w:rsid w:val="009C685E"/>
    <w:rsid w:val="009C68B2"/>
    <w:rsid w:val="009C6942"/>
    <w:rsid w:val="009C6C68"/>
    <w:rsid w:val="009C6C77"/>
    <w:rsid w:val="009C70B8"/>
    <w:rsid w:val="009C71C9"/>
    <w:rsid w:val="009C7323"/>
    <w:rsid w:val="009C7449"/>
    <w:rsid w:val="009C747C"/>
    <w:rsid w:val="009C7589"/>
    <w:rsid w:val="009C762A"/>
    <w:rsid w:val="009C766F"/>
    <w:rsid w:val="009C77A9"/>
    <w:rsid w:val="009C77E8"/>
    <w:rsid w:val="009C7980"/>
    <w:rsid w:val="009C79DC"/>
    <w:rsid w:val="009C7D05"/>
    <w:rsid w:val="009D048E"/>
    <w:rsid w:val="009D0CFE"/>
    <w:rsid w:val="009D1364"/>
    <w:rsid w:val="009D13E6"/>
    <w:rsid w:val="009D151A"/>
    <w:rsid w:val="009D17ED"/>
    <w:rsid w:val="009D197C"/>
    <w:rsid w:val="009D1AD8"/>
    <w:rsid w:val="009D1B30"/>
    <w:rsid w:val="009D1CAF"/>
    <w:rsid w:val="009D207F"/>
    <w:rsid w:val="009D2397"/>
    <w:rsid w:val="009D28E9"/>
    <w:rsid w:val="009D2A59"/>
    <w:rsid w:val="009D2CF8"/>
    <w:rsid w:val="009D2E29"/>
    <w:rsid w:val="009D2F74"/>
    <w:rsid w:val="009D30CB"/>
    <w:rsid w:val="009D319D"/>
    <w:rsid w:val="009D33BF"/>
    <w:rsid w:val="009D350D"/>
    <w:rsid w:val="009D37E9"/>
    <w:rsid w:val="009D401A"/>
    <w:rsid w:val="009D4208"/>
    <w:rsid w:val="009D4225"/>
    <w:rsid w:val="009D42DA"/>
    <w:rsid w:val="009D479C"/>
    <w:rsid w:val="009D4817"/>
    <w:rsid w:val="009D4837"/>
    <w:rsid w:val="009D4D75"/>
    <w:rsid w:val="009D5079"/>
    <w:rsid w:val="009D515E"/>
    <w:rsid w:val="009D5443"/>
    <w:rsid w:val="009D5559"/>
    <w:rsid w:val="009D5A59"/>
    <w:rsid w:val="009D5CFE"/>
    <w:rsid w:val="009D5E32"/>
    <w:rsid w:val="009D6017"/>
    <w:rsid w:val="009D6093"/>
    <w:rsid w:val="009D61BB"/>
    <w:rsid w:val="009D61F5"/>
    <w:rsid w:val="009D6769"/>
    <w:rsid w:val="009D67CA"/>
    <w:rsid w:val="009D71A6"/>
    <w:rsid w:val="009D7425"/>
    <w:rsid w:val="009D7740"/>
    <w:rsid w:val="009D7A70"/>
    <w:rsid w:val="009D7C5F"/>
    <w:rsid w:val="009E007F"/>
    <w:rsid w:val="009E0229"/>
    <w:rsid w:val="009E03D5"/>
    <w:rsid w:val="009E065E"/>
    <w:rsid w:val="009E06EE"/>
    <w:rsid w:val="009E0A28"/>
    <w:rsid w:val="009E0A31"/>
    <w:rsid w:val="009E0B60"/>
    <w:rsid w:val="009E0B9C"/>
    <w:rsid w:val="009E108D"/>
    <w:rsid w:val="009E10C3"/>
    <w:rsid w:val="009E10CE"/>
    <w:rsid w:val="009E1647"/>
    <w:rsid w:val="009E1688"/>
    <w:rsid w:val="009E19B7"/>
    <w:rsid w:val="009E1CD5"/>
    <w:rsid w:val="009E1ECA"/>
    <w:rsid w:val="009E2082"/>
    <w:rsid w:val="009E229A"/>
    <w:rsid w:val="009E2700"/>
    <w:rsid w:val="009E27C6"/>
    <w:rsid w:val="009E2B9A"/>
    <w:rsid w:val="009E2BB6"/>
    <w:rsid w:val="009E2E0A"/>
    <w:rsid w:val="009E2E9A"/>
    <w:rsid w:val="009E3070"/>
    <w:rsid w:val="009E30A9"/>
    <w:rsid w:val="009E364B"/>
    <w:rsid w:val="009E3844"/>
    <w:rsid w:val="009E3942"/>
    <w:rsid w:val="009E3AA9"/>
    <w:rsid w:val="009E3DFF"/>
    <w:rsid w:val="009E40C2"/>
    <w:rsid w:val="009E43E7"/>
    <w:rsid w:val="009E4623"/>
    <w:rsid w:val="009E4721"/>
    <w:rsid w:val="009E48F8"/>
    <w:rsid w:val="009E4909"/>
    <w:rsid w:val="009E4A81"/>
    <w:rsid w:val="009E4AEC"/>
    <w:rsid w:val="009E5423"/>
    <w:rsid w:val="009E56C4"/>
    <w:rsid w:val="009E5AE3"/>
    <w:rsid w:val="009E5D08"/>
    <w:rsid w:val="009E62E1"/>
    <w:rsid w:val="009E62E2"/>
    <w:rsid w:val="009E6319"/>
    <w:rsid w:val="009E640C"/>
    <w:rsid w:val="009E645A"/>
    <w:rsid w:val="009E64FD"/>
    <w:rsid w:val="009E68CE"/>
    <w:rsid w:val="009E72E2"/>
    <w:rsid w:val="009E7478"/>
    <w:rsid w:val="009E74BF"/>
    <w:rsid w:val="009E7620"/>
    <w:rsid w:val="009E78CD"/>
    <w:rsid w:val="009E7B6C"/>
    <w:rsid w:val="009E7CF9"/>
    <w:rsid w:val="009E7E3F"/>
    <w:rsid w:val="009F02EC"/>
    <w:rsid w:val="009F05C9"/>
    <w:rsid w:val="009F0922"/>
    <w:rsid w:val="009F0AB0"/>
    <w:rsid w:val="009F12C4"/>
    <w:rsid w:val="009F1387"/>
    <w:rsid w:val="009F145A"/>
    <w:rsid w:val="009F14A2"/>
    <w:rsid w:val="009F16E0"/>
    <w:rsid w:val="009F1712"/>
    <w:rsid w:val="009F1A6D"/>
    <w:rsid w:val="009F1B7B"/>
    <w:rsid w:val="009F1C77"/>
    <w:rsid w:val="009F200E"/>
    <w:rsid w:val="009F2050"/>
    <w:rsid w:val="009F24E7"/>
    <w:rsid w:val="009F24EF"/>
    <w:rsid w:val="009F25F7"/>
    <w:rsid w:val="009F260A"/>
    <w:rsid w:val="009F2646"/>
    <w:rsid w:val="009F2858"/>
    <w:rsid w:val="009F2C38"/>
    <w:rsid w:val="009F2C8E"/>
    <w:rsid w:val="009F2DA8"/>
    <w:rsid w:val="009F2DF7"/>
    <w:rsid w:val="009F2E7A"/>
    <w:rsid w:val="009F2ED8"/>
    <w:rsid w:val="009F2F96"/>
    <w:rsid w:val="009F30A9"/>
    <w:rsid w:val="009F32A5"/>
    <w:rsid w:val="009F389C"/>
    <w:rsid w:val="009F38DC"/>
    <w:rsid w:val="009F38E8"/>
    <w:rsid w:val="009F3D7B"/>
    <w:rsid w:val="009F3F03"/>
    <w:rsid w:val="009F43DB"/>
    <w:rsid w:val="009F4651"/>
    <w:rsid w:val="009F47DD"/>
    <w:rsid w:val="009F4952"/>
    <w:rsid w:val="009F4A21"/>
    <w:rsid w:val="009F4E6C"/>
    <w:rsid w:val="009F5015"/>
    <w:rsid w:val="009F562D"/>
    <w:rsid w:val="009F5A4A"/>
    <w:rsid w:val="009F5A8C"/>
    <w:rsid w:val="009F5B7C"/>
    <w:rsid w:val="009F5BD2"/>
    <w:rsid w:val="009F5E64"/>
    <w:rsid w:val="009F62E8"/>
    <w:rsid w:val="009F6766"/>
    <w:rsid w:val="009F695C"/>
    <w:rsid w:val="009F6BE7"/>
    <w:rsid w:val="009F712E"/>
    <w:rsid w:val="009F747F"/>
    <w:rsid w:val="009F74AE"/>
    <w:rsid w:val="009F74B7"/>
    <w:rsid w:val="009F77E0"/>
    <w:rsid w:val="009F7D3F"/>
    <w:rsid w:val="009F7F22"/>
    <w:rsid w:val="009F7FF2"/>
    <w:rsid w:val="00A00035"/>
    <w:rsid w:val="00A00287"/>
    <w:rsid w:val="00A00454"/>
    <w:rsid w:val="00A00466"/>
    <w:rsid w:val="00A00875"/>
    <w:rsid w:val="00A00AA2"/>
    <w:rsid w:val="00A00FA5"/>
    <w:rsid w:val="00A0111F"/>
    <w:rsid w:val="00A01162"/>
    <w:rsid w:val="00A013B1"/>
    <w:rsid w:val="00A016BC"/>
    <w:rsid w:val="00A0172C"/>
    <w:rsid w:val="00A017BA"/>
    <w:rsid w:val="00A01FA5"/>
    <w:rsid w:val="00A02447"/>
    <w:rsid w:val="00A02909"/>
    <w:rsid w:val="00A02BE7"/>
    <w:rsid w:val="00A02CD7"/>
    <w:rsid w:val="00A02D8A"/>
    <w:rsid w:val="00A02E82"/>
    <w:rsid w:val="00A031A8"/>
    <w:rsid w:val="00A0339F"/>
    <w:rsid w:val="00A036BD"/>
    <w:rsid w:val="00A03868"/>
    <w:rsid w:val="00A03AB0"/>
    <w:rsid w:val="00A03DC4"/>
    <w:rsid w:val="00A03E05"/>
    <w:rsid w:val="00A03ECE"/>
    <w:rsid w:val="00A0425A"/>
    <w:rsid w:val="00A0459E"/>
    <w:rsid w:val="00A0473C"/>
    <w:rsid w:val="00A04EB6"/>
    <w:rsid w:val="00A05117"/>
    <w:rsid w:val="00A05558"/>
    <w:rsid w:val="00A05841"/>
    <w:rsid w:val="00A05937"/>
    <w:rsid w:val="00A05C9E"/>
    <w:rsid w:val="00A05FB6"/>
    <w:rsid w:val="00A064F6"/>
    <w:rsid w:val="00A079CC"/>
    <w:rsid w:val="00A07C0B"/>
    <w:rsid w:val="00A07C3B"/>
    <w:rsid w:val="00A07C3D"/>
    <w:rsid w:val="00A07E15"/>
    <w:rsid w:val="00A07E2F"/>
    <w:rsid w:val="00A100AC"/>
    <w:rsid w:val="00A10296"/>
    <w:rsid w:val="00A102CF"/>
    <w:rsid w:val="00A10621"/>
    <w:rsid w:val="00A10906"/>
    <w:rsid w:val="00A109C9"/>
    <w:rsid w:val="00A114B8"/>
    <w:rsid w:val="00A117B8"/>
    <w:rsid w:val="00A11B1A"/>
    <w:rsid w:val="00A11C39"/>
    <w:rsid w:val="00A11C8C"/>
    <w:rsid w:val="00A11F21"/>
    <w:rsid w:val="00A12214"/>
    <w:rsid w:val="00A125C8"/>
    <w:rsid w:val="00A12801"/>
    <w:rsid w:val="00A1304E"/>
    <w:rsid w:val="00A1307C"/>
    <w:rsid w:val="00A130D9"/>
    <w:rsid w:val="00A132AA"/>
    <w:rsid w:val="00A135B8"/>
    <w:rsid w:val="00A138A1"/>
    <w:rsid w:val="00A13EA0"/>
    <w:rsid w:val="00A13F1E"/>
    <w:rsid w:val="00A1410F"/>
    <w:rsid w:val="00A142E9"/>
    <w:rsid w:val="00A14510"/>
    <w:rsid w:val="00A1451D"/>
    <w:rsid w:val="00A146AD"/>
    <w:rsid w:val="00A1478F"/>
    <w:rsid w:val="00A15388"/>
    <w:rsid w:val="00A15A14"/>
    <w:rsid w:val="00A15B0B"/>
    <w:rsid w:val="00A15D1F"/>
    <w:rsid w:val="00A1612D"/>
    <w:rsid w:val="00A16462"/>
    <w:rsid w:val="00A16761"/>
    <w:rsid w:val="00A168F8"/>
    <w:rsid w:val="00A16A91"/>
    <w:rsid w:val="00A16C98"/>
    <w:rsid w:val="00A16D94"/>
    <w:rsid w:val="00A16DAB"/>
    <w:rsid w:val="00A17006"/>
    <w:rsid w:val="00A1731E"/>
    <w:rsid w:val="00A175FE"/>
    <w:rsid w:val="00A1764C"/>
    <w:rsid w:val="00A176CC"/>
    <w:rsid w:val="00A17BD4"/>
    <w:rsid w:val="00A17CCF"/>
    <w:rsid w:val="00A17CDD"/>
    <w:rsid w:val="00A17CE0"/>
    <w:rsid w:val="00A17D85"/>
    <w:rsid w:val="00A17DD3"/>
    <w:rsid w:val="00A17F1E"/>
    <w:rsid w:val="00A200BE"/>
    <w:rsid w:val="00A201E7"/>
    <w:rsid w:val="00A2021E"/>
    <w:rsid w:val="00A20275"/>
    <w:rsid w:val="00A20310"/>
    <w:rsid w:val="00A20D5D"/>
    <w:rsid w:val="00A20DC6"/>
    <w:rsid w:val="00A211B5"/>
    <w:rsid w:val="00A211D2"/>
    <w:rsid w:val="00A2138B"/>
    <w:rsid w:val="00A21428"/>
    <w:rsid w:val="00A21591"/>
    <w:rsid w:val="00A215D4"/>
    <w:rsid w:val="00A217E7"/>
    <w:rsid w:val="00A21AC2"/>
    <w:rsid w:val="00A21C25"/>
    <w:rsid w:val="00A21DD0"/>
    <w:rsid w:val="00A21EC9"/>
    <w:rsid w:val="00A21F6B"/>
    <w:rsid w:val="00A22289"/>
    <w:rsid w:val="00A228D2"/>
    <w:rsid w:val="00A22B3E"/>
    <w:rsid w:val="00A22BEF"/>
    <w:rsid w:val="00A22CB0"/>
    <w:rsid w:val="00A22E5B"/>
    <w:rsid w:val="00A2329F"/>
    <w:rsid w:val="00A234BF"/>
    <w:rsid w:val="00A2370A"/>
    <w:rsid w:val="00A23993"/>
    <w:rsid w:val="00A23CD8"/>
    <w:rsid w:val="00A23E0E"/>
    <w:rsid w:val="00A23FC7"/>
    <w:rsid w:val="00A24025"/>
    <w:rsid w:val="00A241A5"/>
    <w:rsid w:val="00A24213"/>
    <w:rsid w:val="00A24A2B"/>
    <w:rsid w:val="00A24AD4"/>
    <w:rsid w:val="00A24AE4"/>
    <w:rsid w:val="00A24FDD"/>
    <w:rsid w:val="00A252FE"/>
    <w:rsid w:val="00A2531F"/>
    <w:rsid w:val="00A2562E"/>
    <w:rsid w:val="00A25A1E"/>
    <w:rsid w:val="00A25B27"/>
    <w:rsid w:val="00A25C33"/>
    <w:rsid w:val="00A25F9D"/>
    <w:rsid w:val="00A26088"/>
    <w:rsid w:val="00A261C5"/>
    <w:rsid w:val="00A26537"/>
    <w:rsid w:val="00A26AE0"/>
    <w:rsid w:val="00A26B41"/>
    <w:rsid w:val="00A26E80"/>
    <w:rsid w:val="00A27211"/>
    <w:rsid w:val="00A27613"/>
    <w:rsid w:val="00A276A8"/>
    <w:rsid w:val="00A27795"/>
    <w:rsid w:val="00A27E59"/>
    <w:rsid w:val="00A301F9"/>
    <w:rsid w:val="00A305F7"/>
    <w:rsid w:val="00A3070F"/>
    <w:rsid w:val="00A30C8C"/>
    <w:rsid w:val="00A30E96"/>
    <w:rsid w:val="00A30EFE"/>
    <w:rsid w:val="00A30FA5"/>
    <w:rsid w:val="00A31326"/>
    <w:rsid w:val="00A3133C"/>
    <w:rsid w:val="00A31480"/>
    <w:rsid w:val="00A316E0"/>
    <w:rsid w:val="00A31AB0"/>
    <w:rsid w:val="00A31C4A"/>
    <w:rsid w:val="00A31D2A"/>
    <w:rsid w:val="00A31E6A"/>
    <w:rsid w:val="00A3225D"/>
    <w:rsid w:val="00A32339"/>
    <w:rsid w:val="00A32496"/>
    <w:rsid w:val="00A32936"/>
    <w:rsid w:val="00A32AEC"/>
    <w:rsid w:val="00A32BA6"/>
    <w:rsid w:val="00A32DFC"/>
    <w:rsid w:val="00A32E0E"/>
    <w:rsid w:val="00A32E53"/>
    <w:rsid w:val="00A3364F"/>
    <w:rsid w:val="00A33AB0"/>
    <w:rsid w:val="00A33C4B"/>
    <w:rsid w:val="00A33D80"/>
    <w:rsid w:val="00A33DCA"/>
    <w:rsid w:val="00A344E2"/>
    <w:rsid w:val="00A34AF5"/>
    <w:rsid w:val="00A34BA9"/>
    <w:rsid w:val="00A34C01"/>
    <w:rsid w:val="00A34E96"/>
    <w:rsid w:val="00A3500E"/>
    <w:rsid w:val="00A351A6"/>
    <w:rsid w:val="00A3529E"/>
    <w:rsid w:val="00A352A7"/>
    <w:rsid w:val="00A35974"/>
    <w:rsid w:val="00A35D58"/>
    <w:rsid w:val="00A364E3"/>
    <w:rsid w:val="00A36718"/>
    <w:rsid w:val="00A36A7A"/>
    <w:rsid w:val="00A36CBF"/>
    <w:rsid w:val="00A36CCC"/>
    <w:rsid w:val="00A36E59"/>
    <w:rsid w:val="00A36E8F"/>
    <w:rsid w:val="00A37005"/>
    <w:rsid w:val="00A37031"/>
    <w:rsid w:val="00A37128"/>
    <w:rsid w:val="00A37251"/>
    <w:rsid w:val="00A37385"/>
    <w:rsid w:val="00A37B4B"/>
    <w:rsid w:val="00A37B72"/>
    <w:rsid w:val="00A40123"/>
    <w:rsid w:val="00A40740"/>
    <w:rsid w:val="00A408E3"/>
    <w:rsid w:val="00A40CA6"/>
    <w:rsid w:val="00A40D78"/>
    <w:rsid w:val="00A40FBD"/>
    <w:rsid w:val="00A413A1"/>
    <w:rsid w:val="00A413DF"/>
    <w:rsid w:val="00A41424"/>
    <w:rsid w:val="00A416C7"/>
    <w:rsid w:val="00A418D0"/>
    <w:rsid w:val="00A41B19"/>
    <w:rsid w:val="00A41EC8"/>
    <w:rsid w:val="00A42406"/>
    <w:rsid w:val="00A42464"/>
    <w:rsid w:val="00A42771"/>
    <w:rsid w:val="00A42952"/>
    <w:rsid w:val="00A42B04"/>
    <w:rsid w:val="00A42EAB"/>
    <w:rsid w:val="00A431E1"/>
    <w:rsid w:val="00A431FE"/>
    <w:rsid w:val="00A43394"/>
    <w:rsid w:val="00A43413"/>
    <w:rsid w:val="00A43925"/>
    <w:rsid w:val="00A439B9"/>
    <w:rsid w:val="00A43A00"/>
    <w:rsid w:val="00A43A95"/>
    <w:rsid w:val="00A43B3A"/>
    <w:rsid w:val="00A43B9D"/>
    <w:rsid w:val="00A43CE2"/>
    <w:rsid w:val="00A441D4"/>
    <w:rsid w:val="00A44575"/>
    <w:rsid w:val="00A44581"/>
    <w:rsid w:val="00A449DF"/>
    <w:rsid w:val="00A44A23"/>
    <w:rsid w:val="00A44EDD"/>
    <w:rsid w:val="00A451BD"/>
    <w:rsid w:val="00A451BE"/>
    <w:rsid w:val="00A45270"/>
    <w:rsid w:val="00A452E3"/>
    <w:rsid w:val="00A45386"/>
    <w:rsid w:val="00A45508"/>
    <w:rsid w:val="00A4565E"/>
    <w:rsid w:val="00A45A74"/>
    <w:rsid w:val="00A45DA7"/>
    <w:rsid w:val="00A45E38"/>
    <w:rsid w:val="00A460F0"/>
    <w:rsid w:val="00A464E2"/>
    <w:rsid w:val="00A4687E"/>
    <w:rsid w:val="00A46907"/>
    <w:rsid w:val="00A46942"/>
    <w:rsid w:val="00A46A5B"/>
    <w:rsid w:val="00A46AF7"/>
    <w:rsid w:val="00A46B06"/>
    <w:rsid w:val="00A46BC5"/>
    <w:rsid w:val="00A46C0A"/>
    <w:rsid w:val="00A46E0A"/>
    <w:rsid w:val="00A47234"/>
    <w:rsid w:val="00A4747B"/>
    <w:rsid w:val="00A4759A"/>
    <w:rsid w:val="00A47E6B"/>
    <w:rsid w:val="00A47EAA"/>
    <w:rsid w:val="00A47F72"/>
    <w:rsid w:val="00A47F8A"/>
    <w:rsid w:val="00A50172"/>
    <w:rsid w:val="00A503AB"/>
    <w:rsid w:val="00A507C8"/>
    <w:rsid w:val="00A5082D"/>
    <w:rsid w:val="00A50BC4"/>
    <w:rsid w:val="00A50F30"/>
    <w:rsid w:val="00A51022"/>
    <w:rsid w:val="00A51055"/>
    <w:rsid w:val="00A513DD"/>
    <w:rsid w:val="00A51627"/>
    <w:rsid w:val="00A517C2"/>
    <w:rsid w:val="00A518B4"/>
    <w:rsid w:val="00A51CF0"/>
    <w:rsid w:val="00A52035"/>
    <w:rsid w:val="00A52202"/>
    <w:rsid w:val="00A52273"/>
    <w:rsid w:val="00A52872"/>
    <w:rsid w:val="00A52DEE"/>
    <w:rsid w:val="00A530C2"/>
    <w:rsid w:val="00A532DF"/>
    <w:rsid w:val="00A54002"/>
    <w:rsid w:val="00A540A2"/>
    <w:rsid w:val="00A54380"/>
    <w:rsid w:val="00A54A7A"/>
    <w:rsid w:val="00A54DB6"/>
    <w:rsid w:val="00A55135"/>
    <w:rsid w:val="00A551AB"/>
    <w:rsid w:val="00A5550F"/>
    <w:rsid w:val="00A5560A"/>
    <w:rsid w:val="00A55CE9"/>
    <w:rsid w:val="00A55F29"/>
    <w:rsid w:val="00A562A1"/>
    <w:rsid w:val="00A56EED"/>
    <w:rsid w:val="00A56F67"/>
    <w:rsid w:val="00A570CD"/>
    <w:rsid w:val="00A577BD"/>
    <w:rsid w:val="00A57BAA"/>
    <w:rsid w:val="00A601BE"/>
    <w:rsid w:val="00A606E0"/>
    <w:rsid w:val="00A60AB1"/>
    <w:rsid w:val="00A60CEE"/>
    <w:rsid w:val="00A60DED"/>
    <w:rsid w:val="00A61068"/>
    <w:rsid w:val="00A61243"/>
    <w:rsid w:val="00A61374"/>
    <w:rsid w:val="00A6176B"/>
    <w:rsid w:val="00A617FE"/>
    <w:rsid w:val="00A6195D"/>
    <w:rsid w:val="00A61982"/>
    <w:rsid w:val="00A61DC1"/>
    <w:rsid w:val="00A61E3C"/>
    <w:rsid w:val="00A61E93"/>
    <w:rsid w:val="00A61EDD"/>
    <w:rsid w:val="00A6215C"/>
    <w:rsid w:val="00A62196"/>
    <w:rsid w:val="00A622B4"/>
    <w:rsid w:val="00A623CE"/>
    <w:rsid w:val="00A6254B"/>
    <w:rsid w:val="00A62636"/>
    <w:rsid w:val="00A627D5"/>
    <w:rsid w:val="00A62A0A"/>
    <w:rsid w:val="00A62E3A"/>
    <w:rsid w:val="00A6333B"/>
    <w:rsid w:val="00A6393A"/>
    <w:rsid w:val="00A63B3B"/>
    <w:rsid w:val="00A647F6"/>
    <w:rsid w:val="00A64A96"/>
    <w:rsid w:val="00A64FD0"/>
    <w:rsid w:val="00A65074"/>
    <w:rsid w:val="00A650E1"/>
    <w:rsid w:val="00A6517D"/>
    <w:rsid w:val="00A6532D"/>
    <w:rsid w:val="00A6560F"/>
    <w:rsid w:val="00A65872"/>
    <w:rsid w:val="00A6592E"/>
    <w:rsid w:val="00A659C5"/>
    <w:rsid w:val="00A65B7E"/>
    <w:rsid w:val="00A65BFF"/>
    <w:rsid w:val="00A6622A"/>
    <w:rsid w:val="00A66407"/>
    <w:rsid w:val="00A66787"/>
    <w:rsid w:val="00A66826"/>
    <w:rsid w:val="00A6686B"/>
    <w:rsid w:val="00A66961"/>
    <w:rsid w:val="00A669C3"/>
    <w:rsid w:val="00A66B99"/>
    <w:rsid w:val="00A66D59"/>
    <w:rsid w:val="00A670DA"/>
    <w:rsid w:val="00A6719D"/>
    <w:rsid w:val="00A67264"/>
    <w:rsid w:val="00A672D9"/>
    <w:rsid w:val="00A67413"/>
    <w:rsid w:val="00A67507"/>
    <w:rsid w:val="00A67588"/>
    <w:rsid w:val="00A675B1"/>
    <w:rsid w:val="00A6796E"/>
    <w:rsid w:val="00A67CFF"/>
    <w:rsid w:val="00A67F28"/>
    <w:rsid w:val="00A708D3"/>
    <w:rsid w:val="00A7090D"/>
    <w:rsid w:val="00A70C59"/>
    <w:rsid w:val="00A70E4D"/>
    <w:rsid w:val="00A70F2E"/>
    <w:rsid w:val="00A712AC"/>
    <w:rsid w:val="00A71460"/>
    <w:rsid w:val="00A7177A"/>
    <w:rsid w:val="00A717FA"/>
    <w:rsid w:val="00A718BA"/>
    <w:rsid w:val="00A71AFA"/>
    <w:rsid w:val="00A71B8B"/>
    <w:rsid w:val="00A71F40"/>
    <w:rsid w:val="00A71FCD"/>
    <w:rsid w:val="00A720D7"/>
    <w:rsid w:val="00A72177"/>
    <w:rsid w:val="00A724E4"/>
    <w:rsid w:val="00A72505"/>
    <w:rsid w:val="00A72906"/>
    <w:rsid w:val="00A72FD5"/>
    <w:rsid w:val="00A7307D"/>
    <w:rsid w:val="00A7329B"/>
    <w:rsid w:val="00A736D4"/>
    <w:rsid w:val="00A74256"/>
    <w:rsid w:val="00A74260"/>
    <w:rsid w:val="00A7437E"/>
    <w:rsid w:val="00A743B7"/>
    <w:rsid w:val="00A743DC"/>
    <w:rsid w:val="00A74901"/>
    <w:rsid w:val="00A7491F"/>
    <w:rsid w:val="00A74989"/>
    <w:rsid w:val="00A74EA6"/>
    <w:rsid w:val="00A750E1"/>
    <w:rsid w:val="00A7518D"/>
    <w:rsid w:val="00A75275"/>
    <w:rsid w:val="00A75677"/>
    <w:rsid w:val="00A759B5"/>
    <w:rsid w:val="00A75CE7"/>
    <w:rsid w:val="00A75DA7"/>
    <w:rsid w:val="00A75F68"/>
    <w:rsid w:val="00A76136"/>
    <w:rsid w:val="00A76613"/>
    <w:rsid w:val="00A767B1"/>
    <w:rsid w:val="00A7697D"/>
    <w:rsid w:val="00A76D7C"/>
    <w:rsid w:val="00A76EC1"/>
    <w:rsid w:val="00A77003"/>
    <w:rsid w:val="00A77108"/>
    <w:rsid w:val="00A771B2"/>
    <w:rsid w:val="00A771D8"/>
    <w:rsid w:val="00A773F1"/>
    <w:rsid w:val="00A77538"/>
    <w:rsid w:val="00A7771A"/>
    <w:rsid w:val="00A77783"/>
    <w:rsid w:val="00A77989"/>
    <w:rsid w:val="00A77C8F"/>
    <w:rsid w:val="00A77D2A"/>
    <w:rsid w:val="00A77E27"/>
    <w:rsid w:val="00A80499"/>
    <w:rsid w:val="00A80740"/>
    <w:rsid w:val="00A8077E"/>
    <w:rsid w:val="00A80D46"/>
    <w:rsid w:val="00A80F82"/>
    <w:rsid w:val="00A812D2"/>
    <w:rsid w:val="00A81390"/>
    <w:rsid w:val="00A81621"/>
    <w:rsid w:val="00A816F9"/>
    <w:rsid w:val="00A819A8"/>
    <w:rsid w:val="00A81C32"/>
    <w:rsid w:val="00A8209F"/>
    <w:rsid w:val="00A820B6"/>
    <w:rsid w:val="00A821C8"/>
    <w:rsid w:val="00A824C2"/>
    <w:rsid w:val="00A82997"/>
    <w:rsid w:val="00A82CAA"/>
    <w:rsid w:val="00A82D21"/>
    <w:rsid w:val="00A836DC"/>
    <w:rsid w:val="00A8392B"/>
    <w:rsid w:val="00A83A69"/>
    <w:rsid w:val="00A83C38"/>
    <w:rsid w:val="00A83DDC"/>
    <w:rsid w:val="00A83F81"/>
    <w:rsid w:val="00A8479C"/>
    <w:rsid w:val="00A8482B"/>
    <w:rsid w:val="00A84B50"/>
    <w:rsid w:val="00A84B6F"/>
    <w:rsid w:val="00A84E79"/>
    <w:rsid w:val="00A85002"/>
    <w:rsid w:val="00A854CA"/>
    <w:rsid w:val="00A8562F"/>
    <w:rsid w:val="00A8583A"/>
    <w:rsid w:val="00A85A23"/>
    <w:rsid w:val="00A85CEF"/>
    <w:rsid w:val="00A860B5"/>
    <w:rsid w:val="00A86318"/>
    <w:rsid w:val="00A86417"/>
    <w:rsid w:val="00A86812"/>
    <w:rsid w:val="00A8698F"/>
    <w:rsid w:val="00A86B54"/>
    <w:rsid w:val="00A87455"/>
    <w:rsid w:val="00A876B8"/>
    <w:rsid w:val="00A87848"/>
    <w:rsid w:val="00A87861"/>
    <w:rsid w:val="00A87A25"/>
    <w:rsid w:val="00A87B53"/>
    <w:rsid w:val="00A87D49"/>
    <w:rsid w:val="00A90162"/>
    <w:rsid w:val="00A901C7"/>
    <w:rsid w:val="00A90289"/>
    <w:rsid w:val="00A9054D"/>
    <w:rsid w:val="00A915BD"/>
    <w:rsid w:val="00A91604"/>
    <w:rsid w:val="00A91AC3"/>
    <w:rsid w:val="00A91C17"/>
    <w:rsid w:val="00A91EC2"/>
    <w:rsid w:val="00A91F1F"/>
    <w:rsid w:val="00A91F35"/>
    <w:rsid w:val="00A92041"/>
    <w:rsid w:val="00A9211C"/>
    <w:rsid w:val="00A92157"/>
    <w:rsid w:val="00A92634"/>
    <w:rsid w:val="00A92901"/>
    <w:rsid w:val="00A92E87"/>
    <w:rsid w:val="00A92EC8"/>
    <w:rsid w:val="00A93046"/>
    <w:rsid w:val="00A932A8"/>
    <w:rsid w:val="00A9384F"/>
    <w:rsid w:val="00A938A1"/>
    <w:rsid w:val="00A93943"/>
    <w:rsid w:val="00A93996"/>
    <w:rsid w:val="00A93D61"/>
    <w:rsid w:val="00A94261"/>
    <w:rsid w:val="00A94453"/>
    <w:rsid w:val="00A94AAE"/>
    <w:rsid w:val="00A94BB4"/>
    <w:rsid w:val="00A94BB7"/>
    <w:rsid w:val="00A95154"/>
    <w:rsid w:val="00A957F4"/>
    <w:rsid w:val="00A95866"/>
    <w:rsid w:val="00A95940"/>
    <w:rsid w:val="00A95DFC"/>
    <w:rsid w:val="00A95F4C"/>
    <w:rsid w:val="00A960BA"/>
    <w:rsid w:val="00A9640B"/>
    <w:rsid w:val="00A96491"/>
    <w:rsid w:val="00A96AED"/>
    <w:rsid w:val="00A96B7A"/>
    <w:rsid w:val="00A96E81"/>
    <w:rsid w:val="00A96EB9"/>
    <w:rsid w:val="00A972DC"/>
    <w:rsid w:val="00A97472"/>
    <w:rsid w:val="00A97BEA"/>
    <w:rsid w:val="00A97BF5"/>
    <w:rsid w:val="00A97E41"/>
    <w:rsid w:val="00A97EF6"/>
    <w:rsid w:val="00A97F94"/>
    <w:rsid w:val="00A97FE3"/>
    <w:rsid w:val="00AA00C9"/>
    <w:rsid w:val="00AA04B1"/>
    <w:rsid w:val="00AA0618"/>
    <w:rsid w:val="00AA085D"/>
    <w:rsid w:val="00AA0D64"/>
    <w:rsid w:val="00AA10A2"/>
    <w:rsid w:val="00AA12EA"/>
    <w:rsid w:val="00AA18ED"/>
    <w:rsid w:val="00AA1B47"/>
    <w:rsid w:val="00AA1FA7"/>
    <w:rsid w:val="00AA2071"/>
    <w:rsid w:val="00AA20F3"/>
    <w:rsid w:val="00AA2442"/>
    <w:rsid w:val="00AA259D"/>
    <w:rsid w:val="00AA26C7"/>
    <w:rsid w:val="00AA2B7E"/>
    <w:rsid w:val="00AA2B98"/>
    <w:rsid w:val="00AA2DEC"/>
    <w:rsid w:val="00AA3D24"/>
    <w:rsid w:val="00AA3E6F"/>
    <w:rsid w:val="00AA4072"/>
    <w:rsid w:val="00AA4690"/>
    <w:rsid w:val="00AA4908"/>
    <w:rsid w:val="00AA49D8"/>
    <w:rsid w:val="00AA4AC2"/>
    <w:rsid w:val="00AA4F5B"/>
    <w:rsid w:val="00AA550F"/>
    <w:rsid w:val="00AA5CA5"/>
    <w:rsid w:val="00AA6298"/>
    <w:rsid w:val="00AA64AB"/>
    <w:rsid w:val="00AA64E8"/>
    <w:rsid w:val="00AA65B8"/>
    <w:rsid w:val="00AA68C8"/>
    <w:rsid w:val="00AA6CC6"/>
    <w:rsid w:val="00AA6DCF"/>
    <w:rsid w:val="00AA746B"/>
    <w:rsid w:val="00AA74A6"/>
    <w:rsid w:val="00AA750C"/>
    <w:rsid w:val="00AA77DB"/>
    <w:rsid w:val="00AA781B"/>
    <w:rsid w:val="00AA795A"/>
    <w:rsid w:val="00AA79C9"/>
    <w:rsid w:val="00AA7A74"/>
    <w:rsid w:val="00AA7EC3"/>
    <w:rsid w:val="00AB06F6"/>
    <w:rsid w:val="00AB0A62"/>
    <w:rsid w:val="00AB0E4C"/>
    <w:rsid w:val="00AB113D"/>
    <w:rsid w:val="00AB1189"/>
    <w:rsid w:val="00AB11C1"/>
    <w:rsid w:val="00AB146A"/>
    <w:rsid w:val="00AB14A0"/>
    <w:rsid w:val="00AB15C3"/>
    <w:rsid w:val="00AB1D11"/>
    <w:rsid w:val="00AB1DD0"/>
    <w:rsid w:val="00AB2180"/>
    <w:rsid w:val="00AB2624"/>
    <w:rsid w:val="00AB2EC2"/>
    <w:rsid w:val="00AB308D"/>
    <w:rsid w:val="00AB3150"/>
    <w:rsid w:val="00AB3374"/>
    <w:rsid w:val="00AB3396"/>
    <w:rsid w:val="00AB34DF"/>
    <w:rsid w:val="00AB34F7"/>
    <w:rsid w:val="00AB36AD"/>
    <w:rsid w:val="00AB36E9"/>
    <w:rsid w:val="00AB3B75"/>
    <w:rsid w:val="00AB3C40"/>
    <w:rsid w:val="00AB3F0E"/>
    <w:rsid w:val="00AB431E"/>
    <w:rsid w:val="00AB440A"/>
    <w:rsid w:val="00AB4843"/>
    <w:rsid w:val="00AB4882"/>
    <w:rsid w:val="00AB4AE1"/>
    <w:rsid w:val="00AB5214"/>
    <w:rsid w:val="00AB52E7"/>
    <w:rsid w:val="00AB596D"/>
    <w:rsid w:val="00AB5C35"/>
    <w:rsid w:val="00AB605D"/>
    <w:rsid w:val="00AB6114"/>
    <w:rsid w:val="00AB637D"/>
    <w:rsid w:val="00AB695A"/>
    <w:rsid w:val="00AB6A7C"/>
    <w:rsid w:val="00AB70A8"/>
    <w:rsid w:val="00AB72F3"/>
    <w:rsid w:val="00AB7DA9"/>
    <w:rsid w:val="00AB7E6E"/>
    <w:rsid w:val="00AB7ECA"/>
    <w:rsid w:val="00AC00FB"/>
    <w:rsid w:val="00AC03EF"/>
    <w:rsid w:val="00AC0475"/>
    <w:rsid w:val="00AC05E2"/>
    <w:rsid w:val="00AC08C7"/>
    <w:rsid w:val="00AC08E5"/>
    <w:rsid w:val="00AC09A3"/>
    <w:rsid w:val="00AC0B0A"/>
    <w:rsid w:val="00AC0D13"/>
    <w:rsid w:val="00AC0D21"/>
    <w:rsid w:val="00AC113B"/>
    <w:rsid w:val="00AC150F"/>
    <w:rsid w:val="00AC1BA0"/>
    <w:rsid w:val="00AC1C1B"/>
    <w:rsid w:val="00AC1CCD"/>
    <w:rsid w:val="00AC1E18"/>
    <w:rsid w:val="00AC1F49"/>
    <w:rsid w:val="00AC201F"/>
    <w:rsid w:val="00AC20C1"/>
    <w:rsid w:val="00AC21B2"/>
    <w:rsid w:val="00AC23DB"/>
    <w:rsid w:val="00AC24D5"/>
    <w:rsid w:val="00AC25A0"/>
    <w:rsid w:val="00AC25C7"/>
    <w:rsid w:val="00AC2B1E"/>
    <w:rsid w:val="00AC2C05"/>
    <w:rsid w:val="00AC2CD2"/>
    <w:rsid w:val="00AC33B3"/>
    <w:rsid w:val="00AC3471"/>
    <w:rsid w:val="00AC36DF"/>
    <w:rsid w:val="00AC37DE"/>
    <w:rsid w:val="00AC3F88"/>
    <w:rsid w:val="00AC3FC3"/>
    <w:rsid w:val="00AC3FD5"/>
    <w:rsid w:val="00AC3FF3"/>
    <w:rsid w:val="00AC40D6"/>
    <w:rsid w:val="00AC4107"/>
    <w:rsid w:val="00AC41CD"/>
    <w:rsid w:val="00AC4357"/>
    <w:rsid w:val="00AC44B8"/>
    <w:rsid w:val="00AC454D"/>
    <w:rsid w:val="00AC46E6"/>
    <w:rsid w:val="00AC4B26"/>
    <w:rsid w:val="00AC4E83"/>
    <w:rsid w:val="00AC5027"/>
    <w:rsid w:val="00AC50A3"/>
    <w:rsid w:val="00AC5113"/>
    <w:rsid w:val="00AC553B"/>
    <w:rsid w:val="00AC55B5"/>
    <w:rsid w:val="00AC5E00"/>
    <w:rsid w:val="00AC61B8"/>
    <w:rsid w:val="00AC62AE"/>
    <w:rsid w:val="00AC62B2"/>
    <w:rsid w:val="00AC62FA"/>
    <w:rsid w:val="00AC6326"/>
    <w:rsid w:val="00AC6327"/>
    <w:rsid w:val="00AC63EE"/>
    <w:rsid w:val="00AC65CC"/>
    <w:rsid w:val="00AC6690"/>
    <w:rsid w:val="00AC679F"/>
    <w:rsid w:val="00AC698D"/>
    <w:rsid w:val="00AC6F94"/>
    <w:rsid w:val="00AC6FB9"/>
    <w:rsid w:val="00AC70B9"/>
    <w:rsid w:val="00AC7402"/>
    <w:rsid w:val="00AC7570"/>
    <w:rsid w:val="00AC7984"/>
    <w:rsid w:val="00AC7A4E"/>
    <w:rsid w:val="00AC7DA6"/>
    <w:rsid w:val="00AD0195"/>
    <w:rsid w:val="00AD01FB"/>
    <w:rsid w:val="00AD086F"/>
    <w:rsid w:val="00AD0CA2"/>
    <w:rsid w:val="00AD0D88"/>
    <w:rsid w:val="00AD130D"/>
    <w:rsid w:val="00AD1317"/>
    <w:rsid w:val="00AD13E8"/>
    <w:rsid w:val="00AD1436"/>
    <w:rsid w:val="00AD1447"/>
    <w:rsid w:val="00AD147D"/>
    <w:rsid w:val="00AD1506"/>
    <w:rsid w:val="00AD151B"/>
    <w:rsid w:val="00AD156B"/>
    <w:rsid w:val="00AD1658"/>
    <w:rsid w:val="00AD17B2"/>
    <w:rsid w:val="00AD182C"/>
    <w:rsid w:val="00AD1A75"/>
    <w:rsid w:val="00AD1EC2"/>
    <w:rsid w:val="00AD1F44"/>
    <w:rsid w:val="00AD1F8C"/>
    <w:rsid w:val="00AD214A"/>
    <w:rsid w:val="00AD2310"/>
    <w:rsid w:val="00AD25BB"/>
    <w:rsid w:val="00AD27F7"/>
    <w:rsid w:val="00AD280F"/>
    <w:rsid w:val="00AD2832"/>
    <w:rsid w:val="00AD28FF"/>
    <w:rsid w:val="00AD2957"/>
    <w:rsid w:val="00AD2AB5"/>
    <w:rsid w:val="00AD2D70"/>
    <w:rsid w:val="00AD2E1F"/>
    <w:rsid w:val="00AD2F8A"/>
    <w:rsid w:val="00AD31AF"/>
    <w:rsid w:val="00AD31F1"/>
    <w:rsid w:val="00AD3259"/>
    <w:rsid w:val="00AD32B6"/>
    <w:rsid w:val="00AD3312"/>
    <w:rsid w:val="00AD3336"/>
    <w:rsid w:val="00AD3339"/>
    <w:rsid w:val="00AD353B"/>
    <w:rsid w:val="00AD3B47"/>
    <w:rsid w:val="00AD3D91"/>
    <w:rsid w:val="00AD3E1E"/>
    <w:rsid w:val="00AD43A0"/>
    <w:rsid w:val="00AD44D3"/>
    <w:rsid w:val="00AD4DB4"/>
    <w:rsid w:val="00AD4F74"/>
    <w:rsid w:val="00AD54CE"/>
    <w:rsid w:val="00AD54F5"/>
    <w:rsid w:val="00AD58C9"/>
    <w:rsid w:val="00AD5936"/>
    <w:rsid w:val="00AD598B"/>
    <w:rsid w:val="00AD59B0"/>
    <w:rsid w:val="00AD5A85"/>
    <w:rsid w:val="00AD5ACA"/>
    <w:rsid w:val="00AD5E7F"/>
    <w:rsid w:val="00AD5E95"/>
    <w:rsid w:val="00AD603A"/>
    <w:rsid w:val="00AD60E4"/>
    <w:rsid w:val="00AD6733"/>
    <w:rsid w:val="00AD677B"/>
    <w:rsid w:val="00AD6880"/>
    <w:rsid w:val="00AD68AE"/>
    <w:rsid w:val="00AD68DA"/>
    <w:rsid w:val="00AD6BFD"/>
    <w:rsid w:val="00AD6CBA"/>
    <w:rsid w:val="00AD740B"/>
    <w:rsid w:val="00AD75AB"/>
    <w:rsid w:val="00AD7678"/>
    <w:rsid w:val="00AD776C"/>
    <w:rsid w:val="00AD79C2"/>
    <w:rsid w:val="00AD7AC5"/>
    <w:rsid w:val="00AD7AE6"/>
    <w:rsid w:val="00AD7F26"/>
    <w:rsid w:val="00AD7F65"/>
    <w:rsid w:val="00AE0047"/>
    <w:rsid w:val="00AE0109"/>
    <w:rsid w:val="00AE028A"/>
    <w:rsid w:val="00AE0318"/>
    <w:rsid w:val="00AE0710"/>
    <w:rsid w:val="00AE0875"/>
    <w:rsid w:val="00AE08C6"/>
    <w:rsid w:val="00AE0993"/>
    <w:rsid w:val="00AE0B3A"/>
    <w:rsid w:val="00AE0C26"/>
    <w:rsid w:val="00AE0ED0"/>
    <w:rsid w:val="00AE0F9F"/>
    <w:rsid w:val="00AE141D"/>
    <w:rsid w:val="00AE157D"/>
    <w:rsid w:val="00AE1A4A"/>
    <w:rsid w:val="00AE1D21"/>
    <w:rsid w:val="00AE1D5A"/>
    <w:rsid w:val="00AE1F3F"/>
    <w:rsid w:val="00AE23C8"/>
    <w:rsid w:val="00AE2601"/>
    <w:rsid w:val="00AE303A"/>
    <w:rsid w:val="00AE3AD4"/>
    <w:rsid w:val="00AE3B1F"/>
    <w:rsid w:val="00AE3BA8"/>
    <w:rsid w:val="00AE3D07"/>
    <w:rsid w:val="00AE3DD8"/>
    <w:rsid w:val="00AE40EC"/>
    <w:rsid w:val="00AE42E1"/>
    <w:rsid w:val="00AE4307"/>
    <w:rsid w:val="00AE4368"/>
    <w:rsid w:val="00AE46D8"/>
    <w:rsid w:val="00AE47AD"/>
    <w:rsid w:val="00AE484E"/>
    <w:rsid w:val="00AE49FA"/>
    <w:rsid w:val="00AE4ADD"/>
    <w:rsid w:val="00AE4F03"/>
    <w:rsid w:val="00AE4F96"/>
    <w:rsid w:val="00AE5249"/>
    <w:rsid w:val="00AE567A"/>
    <w:rsid w:val="00AE5AD2"/>
    <w:rsid w:val="00AE5B19"/>
    <w:rsid w:val="00AE5F7F"/>
    <w:rsid w:val="00AE60E5"/>
    <w:rsid w:val="00AE636A"/>
    <w:rsid w:val="00AE6436"/>
    <w:rsid w:val="00AE6453"/>
    <w:rsid w:val="00AE688A"/>
    <w:rsid w:val="00AE6AFC"/>
    <w:rsid w:val="00AE6B33"/>
    <w:rsid w:val="00AE6C3E"/>
    <w:rsid w:val="00AE6F5C"/>
    <w:rsid w:val="00AE718F"/>
    <w:rsid w:val="00AE744C"/>
    <w:rsid w:val="00AE78C2"/>
    <w:rsid w:val="00AE7E7F"/>
    <w:rsid w:val="00AE7F8C"/>
    <w:rsid w:val="00AF00A2"/>
    <w:rsid w:val="00AF0115"/>
    <w:rsid w:val="00AF0219"/>
    <w:rsid w:val="00AF06BF"/>
    <w:rsid w:val="00AF0777"/>
    <w:rsid w:val="00AF07A8"/>
    <w:rsid w:val="00AF0D00"/>
    <w:rsid w:val="00AF0E93"/>
    <w:rsid w:val="00AF0EBD"/>
    <w:rsid w:val="00AF106A"/>
    <w:rsid w:val="00AF1224"/>
    <w:rsid w:val="00AF122F"/>
    <w:rsid w:val="00AF123C"/>
    <w:rsid w:val="00AF155C"/>
    <w:rsid w:val="00AF17D6"/>
    <w:rsid w:val="00AF1A02"/>
    <w:rsid w:val="00AF1CDB"/>
    <w:rsid w:val="00AF1D42"/>
    <w:rsid w:val="00AF1D68"/>
    <w:rsid w:val="00AF284E"/>
    <w:rsid w:val="00AF2972"/>
    <w:rsid w:val="00AF2DB6"/>
    <w:rsid w:val="00AF3064"/>
    <w:rsid w:val="00AF31D0"/>
    <w:rsid w:val="00AF3811"/>
    <w:rsid w:val="00AF3A58"/>
    <w:rsid w:val="00AF3C83"/>
    <w:rsid w:val="00AF3D9B"/>
    <w:rsid w:val="00AF3F25"/>
    <w:rsid w:val="00AF4341"/>
    <w:rsid w:val="00AF4342"/>
    <w:rsid w:val="00AF46AA"/>
    <w:rsid w:val="00AF4A88"/>
    <w:rsid w:val="00AF4B7E"/>
    <w:rsid w:val="00AF4C9C"/>
    <w:rsid w:val="00AF4DAC"/>
    <w:rsid w:val="00AF5192"/>
    <w:rsid w:val="00AF539F"/>
    <w:rsid w:val="00AF5437"/>
    <w:rsid w:val="00AF5E82"/>
    <w:rsid w:val="00AF5F39"/>
    <w:rsid w:val="00AF6206"/>
    <w:rsid w:val="00AF6237"/>
    <w:rsid w:val="00AF63B5"/>
    <w:rsid w:val="00AF63E5"/>
    <w:rsid w:val="00AF685F"/>
    <w:rsid w:val="00AF6935"/>
    <w:rsid w:val="00AF69F6"/>
    <w:rsid w:val="00AF6A5C"/>
    <w:rsid w:val="00AF6A6D"/>
    <w:rsid w:val="00AF6C6D"/>
    <w:rsid w:val="00AF6F4E"/>
    <w:rsid w:val="00AF7488"/>
    <w:rsid w:val="00AF74FC"/>
    <w:rsid w:val="00AF75A2"/>
    <w:rsid w:val="00AF768C"/>
    <w:rsid w:val="00AF7874"/>
    <w:rsid w:val="00AF78E7"/>
    <w:rsid w:val="00AF78ED"/>
    <w:rsid w:val="00AF7A98"/>
    <w:rsid w:val="00AF7CC0"/>
    <w:rsid w:val="00AF7DA9"/>
    <w:rsid w:val="00AF7E6F"/>
    <w:rsid w:val="00B001C8"/>
    <w:rsid w:val="00B0086D"/>
    <w:rsid w:val="00B00A75"/>
    <w:rsid w:val="00B00E9F"/>
    <w:rsid w:val="00B01330"/>
    <w:rsid w:val="00B0161B"/>
    <w:rsid w:val="00B016C8"/>
    <w:rsid w:val="00B017F3"/>
    <w:rsid w:val="00B01A92"/>
    <w:rsid w:val="00B01AD4"/>
    <w:rsid w:val="00B01CF1"/>
    <w:rsid w:val="00B02251"/>
    <w:rsid w:val="00B022B8"/>
    <w:rsid w:val="00B025BD"/>
    <w:rsid w:val="00B02A8E"/>
    <w:rsid w:val="00B03154"/>
    <w:rsid w:val="00B03485"/>
    <w:rsid w:val="00B035A5"/>
    <w:rsid w:val="00B03619"/>
    <w:rsid w:val="00B037B8"/>
    <w:rsid w:val="00B0390A"/>
    <w:rsid w:val="00B03A98"/>
    <w:rsid w:val="00B03E6A"/>
    <w:rsid w:val="00B04212"/>
    <w:rsid w:val="00B0425E"/>
    <w:rsid w:val="00B043EA"/>
    <w:rsid w:val="00B049B0"/>
    <w:rsid w:val="00B04E54"/>
    <w:rsid w:val="00B0526F"/>
    <w:rsid w:val="00B052AF"/>
    <w:rsid w:val="00B052F0"/>
    <w:rsid w:val="00B05651"/>
    <w:rsid w:val="00B0568E"/>
    <w:rsid w:val="00B058B8"/>
    <w:rsid w:val="00B058D3"/>
    <w:rsid w:val="00B05A96"/>
    <w:rsid w:val="00B05B31"/>
    <w:rsid w:val="00B05D51"/>
    <w:rsid w:val="00B05D7C"/>
    <w:rsid w:val="00B05DF0"/>
    <w:rsid w:val="00B05F9E"/>
    <w:rsid w:val="00B061C8"/>
    <w:rsid w:val="00B062CF"/>
    <w:rsid w:val="00B0634D"/>
    <w:rsid w:val="00B069A5"/>
    <w:rsid w:val="00B06A03"/>
    <w:rsid w:val="00B06C44"/>
    <w:rsid w:val="00B06CFA"/>
    <w:rsid w:val="00B06D96"/>
    <w:rsid w:val="00B06EF6"/>
    <w:rsid w:val="00B07104"/>
    <w:rsid w:val="00B072E9"/>
    <w:rsid w:val="00B079B0"/>
    <w:rsid w:val="00B07B50"/>
    <w:rsid w:val="00B07D63"/>
    <w:rsid w:val="00B07E63"/>
    <w:rsid w:val="00B100E1"/>
    <w:rsid w:val="00B10C46"/>
    <w:rsid w:val="00B10FD6"/>
    <w:rsid w:val="00B11272"/>
    <w:rsid w:val="00B1151C"/>
    <w:rsid w:val="00B11994"/>
    <w:rsid w:val="00B119A9"/>
    <w:rsid w:val="00B11AAA"/>
    <w:rsid w:val="00B12039"/>
    <w:rsid w:val="00B121D0"/>
    <w:rsid w:val="00B121F6"/>
    <w:rsid w:val="00B1229F"/>
    <w:rsid w:val="00B123D2"/>
    <w:rsid w:val="00B1241F"/>
    <w:rsid w:val="00B124F9"/>
    <w:rsid w:val="00B12AFC"/>
    <w:rsid w:val="00B12C4A"/>
    <w:rsid w:val="00B12D48"/>
    <w:rsid w:val="00B12DC4"/>
    <w:rsid w:val="00B12ED0"/>
    <w:rsid w:val="00B138C2"/>
    <w:rsid w:val="00B13A8E"/>
    <w:rsid w:val="00B13BB8"/>
    <w:rsid w:val="00B13CE9"/>
    <w:rsid w:val="00B13D2E"/>
    <w:rsid w:val="00B13D52"/>
    <w:rsid w:val="00B142DA"/>
    <w:rsid w:val="00B14B9E"/>
    <w:rsid w:val="00B14BC0"/>
    <w:rsid w:val="00B14DD4"/>
    <w:rsid w:val="00B1513D"/>
    <w:rsid w:val="00B15145"/>
    <w:rsid w:val="00B153DB"/>
    <w:rsid w:val="00B15701"/>
    <w:rsid w:val="00B15B87"/>
    <w:rsid w:val="00B15B9D"/>
    <w:rsid w:val="00B15D4E"/>
    <w:rsid w:val="00B15FED"/>
    <w:rsid w:val="00B16048"/>
    <w:rsid w:val="00B16236"/>
    <w:rsid w:val="00B1634C"/>
    <w:rsid w:val="00B1663F"/>
    <w:rsid w:val="00B16AA5"/>
    <w:rsid w:val="00B16F50"/>
    <w:rsid w:val="00B17309"/>
    <w:rsid w:val="00B17385"/>
    <w:rsid w:val="00B1755A"/>
    <w:rsid w:val="00B17A83"/>
    <w:rsid w:val="00B2053D"/>
    <w:rsid w:val="00B205B7"/>
    <w:rsid w:val="00B20987"/>
    <w:rsid w:val="00B20ACE"/>
    <w:rsid w:val="00B20ADA"/>
    <w:rsid w:val="00B20CA1"/>
    <w:rsid w:val="00B20DA1"/>
    <w:rsid w:val="00B21947"/>
    <w:rsid w:val="00B21A89"/>
    <w:rsid w:val="00B21F95"/>
    <w:rsid w:val="00B22108"/>
    <w:rsid w:val="00B22185"/>
    <w:rsid w:val="00B2244C"/>
    <w:rsid w:val="00B226C6"/>
    <w:rsid w:val="00B22895"/>
    <w:rsid w:val="00B22CB7"/>
    <w:rsid w:val="00B22E6D"/>
    <w:rsid w:val="00B22F75"/>
    <w:rsid w:val="00B22FA2"/>
    <w:rsid w:val="00B23163"/>
    <w:rsid w:val="00B23632"/>
    <w:rsid w:val="00B23863"/>
    <w:rsid w:val="00B23C6B"/>
    <w:rsid w:val="00B24350"/>
    <w:rsid w:val="00B2435E"/>
    <w:rsid w:val="00B24505"/>
    <w:rsid w:val="00B24527"/>
    <w:rsid w:val="00B2464F"/>
    <w:rsid w:val="00B24736"/>
    <w:rsid w:val="00B247DC"/>
    <w:rsid w:val="00B24A2F"/>
    <w:rsid w:val="00B24E29"/>
    <w:rsid w:val="00B25450"/>
    <w:rsid w:val="00B25551"/>
    <w:rsid w:val="00B25840"/>
    <w:rsid w:val="00B25AEF"/>
    <w:rsid w:val="00B25D86"/>
    <w:rsid w:val="00B26082"/>
    <w:rsid w:val="00B26200"/>
    <w:rsid w:val="00B26348"/>
    <w:rsid w:val="00B2644C"/>
    <w:rsid w:val="00B265DA"/>
    <w:rsid w:val="00B26BBF"/>
    <w:rsid w:val="00B26C19"/>
    <w:rsid w:val="00B26F35"/>
    <w:rsid w:val="00B27701"/>
    <w:rsid w:val="00B27707"/>
    <w:rsid w:val="00B2794A"/>
    <w:rsid w:val="00B27C9D"/>
    <w:rsid w:val="00B3007E"/>
    <w:rsid w:val="00B300FB"/>
    <w:rsid w:val="00B30AC9"/>
    <w:rsid w:val="00B30D55"/>
    <w:rsid w:val="00B31533"/>
    <w:rsid w:val="00B3156B"/>
    <w:rsid w:val="00B31874"/>
    <w:rsid w:val="00B31C5A"/>
    <w:rsid w:val="00B31C8F"/>
    <w:rsid w:val="00B31DF3"/>
    <w:rsid w:val="00B31E15"/>
    <w:rsid w:val="00B31FB4"/>
    <w:rsid w:val="00B322F8"/>
    <w:rsid w:val="00B32449"/>
    <w:rsid w:val="00B3287D"/>
    <w:rsid w:val="00B32AC0"/>
    <w:rsid w:val="00B32B27"/>
    <w:rsid w:val="00B32B39"/>
    <w:rsid w:val="00B32C23"/>
    <w:rsid w:val="00B33499"/>
    <w:rsid w:val="00B335D9"/>
    <w:rsid w:val="00B33860"/>
    <w:rsid w:val="00B33A45"/>
    <w:rsid w:val="00B33E7B"/>
    <w:rsid w:val="00B3448B"/>
    <w:rsid w:val="00B3470F"/>
    <w:rsid w:val="00B34FD9"/>
    <w:rsid w:val="00B352CB"/>
    <w:rsid w:val="00B352E0"/>
    <w:rsid w:val="00B353DE"/>
    <w:rsid w:val="00B35791"/>
    <w:rsid w:val="00B35EE6"/>
    <w:rsid w:val="00B360A1"/>
    <w:rsid w:val="00B3614D"/>
    <w:rsid w:val="00B3631B"/>
    <w:rsid w:val="00B3633A"/>
    <w:rsid w:val="00B36643"/>
    <w:rsid w:val="00B36682"/>
    <w:rsid w:val="00B36887"/>
    <w:rsid w:val="00B36A17"/>
    <w:rsid w:val="00B36CD3"/>
    <w:rsid w:val="00B36D19"/>
    <w:rsid w:val="00B36D23"/>
    <w:rsid w:val="00B375FB"/>
    <w:rsid w:val="00B377C2"/>
    <w:rsid w:val="00B37BA5"/>
    <w:rsid w:val="00B402CF"/>
    <w:rsid w:val="00B40424"/>
    <w:rsid w:val="00B40859"/>
    <w:rsid w:val="00B40870"/>
    <w:rsid w:val="00B4098F"/>
    <w:rsid w:val="00B40BD3"/>
    <w:rsid w:val="00B40C14"/>
    <w:rsid w:val="00B40CB3"/>
    <w:rsid w:val="00B40EB2"/>
    <w:rsid w:val="00B40F26"/>
    <w:rsid w:val="00B40FDF"/>
    <w:rsid w:val="00B410B3"/>
    <w:rsid w:val="00B4132D"/>
    <w:rsid w:val="00B41360"/>
    <w:rsid w:val="00B41390"/>
    <w:rsid w:val="00B414D4"/>
    <w:rsid w:val="00B4154D"/>
    <w:rsid w:val="00B41609"/>
    <w:rsid w:val="00B41745"/>
    <w:rsid w:val="00B41C0F"/>
    <w:rsid w:val="00B41FA5"/>
    <w:rsid w:val="00B4206C"/>
    <w:rsid w:val="00B4207C"/>
    <w:rsid w:val="00B42081"/>
    <w:rsid w:val="00B42178"/>
    <w:rsid w:val="00B42674"/>
    <w:rsid w:val="00B426C5"/>
    <w:rsid w:val="00B42C87"/>
    <w:rsid w:val="00B42F2D"/>
    <w:rsid w:val="00B43137"/>
    <w:rsid w:val="00B434AE"/>
    <w:rsid w:val="00B438A8"/>
    <w:rsid w:val="00B438B0"/>
    <w:rsid w:val="00B43D6E"/>
    <w:rsid w:val="00B43EFD"/>
    <w:rsid w:val="00B43F12"/>
    <w:rsid w:val="00B43F32"/>
    <w:rsid w:val="00B4406D"/>
    <w:rsid w:val="00B44132"/>
    <w:rsid w:val="00B4413E"/>
    <w:rsid w:val="00B44192"/>
    <w:rsid w:val="00B442B4"/>
    <w:rsid w:val="00B442C5"/>
    <w:rsid w:val="00B447C5"/>
    <w:rsid w:val="00B44811"/>
    <w:rsid w:val="00B44874"/>
    <w:rsid w:val="00B44B00"/>
    <w:rsid w:val="00B44BA3"/>
    <w:rsid w:val="00B44BD2"/>
    <w:rsid w:val="00B44CC0"/>
    <w:rsid w:val="00B44E4F"/>
    <w:rsid w:val="00B4522F"/>
    <w:rsid w:val="00B452CB"/>
    <w:rsid w:val="00B4541D"/>
    <w:rsid w:val="00B456D2"/>
    <w:rsid w:val="00B45AE5"/>
    <w:rsid w:val="00B45CB2"/>
    <w:rsid w:val="00B45FA4"/>
    <w:rsid w:val="00B467ED"/>
    <w:rsid w:val="00B46B15"/>
    <w:rsid w:val="00B46E40"/>
    <w:rsid w:val="00B46F54"/>
    <w:rsid w:val="00B46F9B"/>
    <w:rsid w:val="00B47A7A"/>
    <w:rsid w:val="00B47D9D"/>
    <w:rsid w:val="00B47EEF"/>
    <w:rsid w:val="00B500D7"/>
    <w:rsid w:val="00B5036E"/>
    <w:rsid w:val="00B504CA"/>
    <w:rsid w:val="00B508C3"/>
    <w:rsid w:val="00B5090A"/>
    <w:rsid w:val="00B50A49"/>
    <w:rsid w:val="00B50CD9"/>
    <w:rsid w:val="00B50DA7"/>
    <w:rsid w:val="00B50FBD"/>
    <w:rsid w:val="00B51102"/>
    <w:rsid w:val="00B5116E"/>
    <w:rsid w:val="00B512E5"/>
    <w:rsid w:val="00B51683"/>
    <w:rsid w:val="00B51686"/>
    <w:rsid w:val="00B51BBE"/>
    <w:rsid w:val="00B51C45"/>
    <w:rsid w:val="00B51C7E"/>
    <w:rsid w:val="00B5257A"/>
    <w:rsid w:val="00B5272A"/>
    <w:rsid w:val="00B5273D"/>
    <w:rsid w:val="00B52862"/>
    <w:rsid w:val="00B53083"/>
    <w:rsid w:val="00B5315B"/>
    <w:rsid w:val="00B533F8"/>
    <w:rsid w:val="00B53427"/>
    <w:rsid w:val="00B5355A"/>
    <w:rsid w:val="00B53575"/>
    <w:rsid w:val="00B5381E"/>
    <w:rsid w:val="00B539F1"/>
    <w:rsid w:val="00B53A07"/>
    <w:rsid w:val="00B53B5C"/>
    <w:rsid w:val="00B53D2F"/>
    <w:rsid w:val="00B53D9E"/>
    <w:rsid w:val="00B53F4A"/>
    <w:rsid w:val="00B54735"/>
    <w:rsid w:val="00B54DE2"/>
    <w:rsid w:val="00B54DEE"/>
    <w:rsid w:val="00B551CD"/>
    <w:rsid w:val="00B55276"/>
    <w:rsid w:val="00B5569F"/>
    <w:rsid w:val="00B5578B"/>
    <w:rsid w:val="00B559C5"/>
    <w:rsid w:val="00B55C67"/>
    <w:rsid w:val="00B56195"/>
    <w:rsid w:val="00B56993"/>
    <w:rsid w:val="00B569FD"/>
    <w:rsid w:val="00B56A18"/>
    <w:rsid w:val="00B56B73"/>
    <w:rsid w:val="00B56DA8"/>
    <w:rsid w:val="00B56F06"/>
    <w:rsid w:val="00B57034"/>
    <w:rsid w:val="00B57343"/>
    <w:rsid w:val="00B57404"/>
    <w:rsid w:val="00B57410"/>
    <w:rsid w:val="00B5754A"/>
    <w:rsid w:val="00B57673"/>
    <w:rsid w:val="00B57727"/>
    <w:rsid w:val="00B578F6"/>
    <w:rsid w:val="00B57A38"/>
    <w:rsid w:val="00B57B2A"/>
    <w:rsid w:val="00B57B44"/>
    <w:rsid w:val="00B57B85"/>
    <w:rsid w:val="00B57CBA"/>
    <w:rsid w:val="00B57D98"/>
    <w:rsid w:val="00B57EA2"/>
    <w:rsid w:val="00B60399"/>
    <w:rsid w:val="00B6043B"/>
    <w:rsid w:val="00B6053D"/>
    <w:rsid w:val="00B60685"/>
    <w:rsid w:val="00B6068A"/>
    <w:rsid w:val="00B608DD"/>
    <w:rsid w:val="00B608FF"/>
    <w:rsid w:val="00B6095C"/>
    <w:rsid w:val="00B60A42"/>
    <w:rsid w:val="00B60A9F"/>
    <w:rsid w:val="00B60AB0"/>
    <w:rsid w:val="00B60CEC"/>
    <w:rsid w:val="00B60E8E"/>
    <w:rsid w:val="00B60F51"/>
    <w:rsid w:val="00B613AB"/>
    <w:rsid w:val="00B61531"/>
    <w:rsid w:val="00B61640"/>
    <w:rsid w:val="00B61762"/>
    <w:rsid w:val="00B61772"/>
    <w:rsid w:val="00B61CC0"/>
    <w:rsid w:val="00B62019"/>
    <w:rsid w:val="00B620C2"/>
    <w:rsid w:val="00B62230"/>
    <w:rsid w:val="00B6288F"/>
    <w:rsid w:val="00B628A4"/>
    <w:rsid w:val="00B62919"/>
    <w:rsid w:val="00B629CE"/>
    <w:rsid w:val="00B62A99"/>
    <w:rsid w:val="00B62D92"/>
    <w:rsid w:val="00B62E87"/>
    <w:rsid w:val="00B63734"/>
    <w:rsid w:val="00B637F4"/>
    <w:rsid w:val="00B6382E"/>
    <w:rsid w:val="00B63D24"/>
    <w:rsid w:val="00B63DDC"/>
    <w:rsid w:val="00B63DE4"/>
    <w:rsid w:val="00B63EBB"/>
    <w:rsid w:val="00B63F86"/>
    <w:rsid w:val="00B63FB5"/>
    <w:rsid w:val="00B64297"/>
    <w:rsid w:val="00B64451"/>
    <w:rsid w:val="00B6451F"/>
    <w:rsid w:val="00B647F3"/>
    <w:rsid w:val="00B64832"/>
    <w:rsid w:val="00B64C8E"/>
    <w:rsid w:val="00B64DBA"/>
    <w:rsid w:val="00B65330"/>
    <w:rsid w:val="00B65530"/>
    <w:rsid w:val="00B65682"/>
    <w:rsid w:val="00B65A57"/>
    <w:rsid w:val="00B65A7D"/>
    <w:rsid w:val="00B65A82"/>
    <w:rsid w:val="00B65B3D"/>
    <w:rsid w:val="00B65ECD"/>
    <w:rsid w:val="00B66489"/>
    <w:rsid w:val="00B6680F"/>
    <w:rsid w:val="00B66FED"/>
    <w:rsid w:val="00B67250"/>
    <w:rsid w:val="00B6779B"/>
    <w:rsid w:val="00B67A35"/>
    <w:rsid w:val="00B67A6B"/>
    <w:rsid w:val="00B67C04"/>
    <w:rsid w:val="00B67C97"/>
    <w:rsid w:val="00B67E26"/>
    <w:rsid w:val="00B701D5"/>
    <w:rsid w:val="00B70225"/>
    <w:rsid w:val="00B7047B"/>
    <w:rsid w:val="00B70905"/>
    <w:rsid w:val="00B70B2C"/>
    <w:rsid w:val="00B71188"/>
    <w:rsid w:val="00B71291"/>
    <w:rsid w:val="00B71371"/>
    <w:rsid w:val="00B71DAE"/>
    <w:rsid w:val="00B71F24"/>
    <w:rsid w:val="00B722E4"/>
    <w:rsid w:val="00B72496"/>
    <w:rsid w:val="00B72574"/>
    <w:rsid w:val="00B72C47"/>
    <w:rsid w:val="00B72FB3"/>
    <w:rsid w:val="00B73120"/>
    <w:rsid w:val="00B7328B"/>
    <w:rsid w:val="00B7347D"/>
    <w:rsid w:val="00B7376E"/>
    <w:rsid w:val="00B73B88"/>
    <w:rsid w:val="00B7475C"/>
    <w:rsid w:val="00B74812"/>
    <w:rsid w:val="00B749D0"/>
    <w:rsid w:val="00B74B7B"/>
    <w:rsid w:val="00B74C6D"/>
    <w:rsid w:val="00B74E1C"/>
    <w:rsid w:val="00B74FE2"/>
    <w:rsid w:val="00B75288"/>
    <w:rsid w:val="00B7539E"/>
    <w:rsid w:val="00B7542A"/>
    <w:rsid w:val="00B755D3"/>
    <w:rsid w:val="00B75933"/>
    <w:rsid w:val="00B75B01"/>
    <w:rsid w:val="00B75DD9"/>
    <w:rsid w:val="00B75F25"/>
    <w:rsid w:val="00B7630F"/>
    <w:rsid w:val="00B7639F"/>
    <w:rsid w:val="00B76698"/>
    <w:rsid w:val="00B76A86"/>
    <w:rsid w:val="00B76CAD"/>
    <w:rsid w:val="00B76DD6"/>
    <w:rsid w:val="00B770DF"/>
    <w:rsid w:val="00B77140"/>
    <w:rsid w:val="00B7716E"/>
    <w:rsid w:val="00B77744"/>
    <w:rsid w:val="00B77820"/>
    <w:rsid w:val="00B7783C"/>
    <w:rsid w:val="00B77983"/>
    <w:rsid w:val="00B77B15"/>
    <w:rsid w:val="00B77B1E"/>
    <w:rsid w:val="00B77CB0"/>
    <w:rsid w:val="00B77CE0"/>
    <w:rsid w:val="00B77D55"/>
    <w:rsid w:val="00B77DDE"/>
    <w:rsid w:val="00B80125"/>
    <w:rsid w:val="00B802A4"/>
    <w:rsid w:val="00B803D1"/>
    <w:rsid w:val="00B80461"/>
    <w:rsid w:val="00B806BA"/>
    <w:rsid w:val="00B80743"/>
    <w:rsid w:val="00B808D2"/>
    <w:rsid w:val="00B8092D"/>
    <w:rsid w:val="00B80A98"/>
    <w:rsid w:val="00B80BD8"/>
    <w:rsid w:val="00B810D8"/>
    <w:rsid w:val="00B810F0"/>
    <w:rsid w:val="00B8117D"/>
    <w:rsid w:val="00B81505"/>
    <w:rsid w:val="00B81743"/>
    <w:rsid w:val="00B818C5"/>
    <w:rsid w:val="00B81965"/>
    <w:rsid w:val="00B81D6F"/>
    <w:rsid w:val="00B82125"/>
    <w:rsid w:val="00B821C7"/>
    <w:rsid w:val="00B8284C"/>
    <w:rsid w:val="00B828A0"/>
    <w:rsid w:val="00B828D6"/>
    <w:rsid w:val="00B82AA1"/>
    <w:rsid w:val="00B82AF6"/>
    <w:rsid w:val="00B82C76"/>
    <w:rsid w:val="00B8377F"/>
    <w:rsid w:val="00B83793"/>
    <w:rsid w:val="00B83BC3"/>
    <w:rsid w:val="00B83D43"/>
    <w:rsid w:val="00B83DFA"/>
    <w:rsid w:val="00B8432E"/>
    <w:rsid w:val="00B84439"/>
    <w:rsid w:val="00B84887"/>
    <w:rsid w:val="00B84925"/>
    <w:rsid w:val="00B85316"/>
    <w:rsid w:val="00B853F9"/>
    <w:rsid w:val="00B8576D"/>
    <w:rsid w:val="00B858AA"/>
    <w:rsid w:val="00B85A9D"/>
    <w:rsid w:val="00B85E26"/>
    <w:rsid w:val="00B85FE6"/>
    <w:rsid w:val="00B86140"/>
    <w:rsid w:val="00B866BA"/>
    <w:rsid w:val="00B866C3"/>
    <w:rsid w:val="00B868A8"/>
    <w:rsid w:val="00B8698E"/>
    <w:rsid w:val="00B869D9"/>
    <w:rsid w:val="00B86BA9"/>
    <w:rsid w:val="00B86D73"/>
    <w:rsid w:val="00B8701E"/>
    <w:rsid w:val="00B870A0"/>
    <w:rsid w:val="00B87130"/>
    <w:rsid w:val="00B876EB"/>
    <w:rsid w:val="00B87A23"/>
    <w:rsid w:val="00B87D57"/>
    <w:rsid w:val="00B87E64"/>
    <w:rsid w:val="00B9020E"/>
    <w:rsid w:val="00B9028A"/>
    <w:rsid w:val="00B90D15"/>
    <w:rsid w:val="00B911D1"/>
    <w:rsid w:val="00B91312"/>
    <w:rsid w:val="00B9150B"/>
    <w:rsid w:val="00B91578"/>
    <w:rsid w:val="00B91708"/>
    <w:rsid w:val="00B91748"/>
    <w:rsid w:val="00B917BB"/>
    <w:rsid w:val="00B91812"/>
    <w:rsid w:val="00B91842"/>
    <w:rsid w:val="00B91DC4"/>
    <w:rsid w:val="00B91EC8"/>
    <w:rsid w:val="00B91FDD"/>
    <w:rsid w:val="00B9203F"/>
    <w:rsid w:val="00B92246"/>
    <w:rsid w:val="00B924E6"/>
    <w:rsid w:val="00B92783"/>
    <w:rsid w:val="00B92CF8"/>
    <w:rsid w:val="00B92F6D"/>
    <w:rsid w:val="00B9342B"/>
    <w:rsid w:val="00B93890"/>
    <w:rsid w:val="00B93911"/>
    <w:rsid w:val="00B93A5C"/>
    <w:rsid w:val="00B93DB9"/>
    <w:rsid w:val="00B93E65"/>
    <w:rsid w:val="00B93F05"/>
    <w:rsid w:val="00B943A4"/>
    <w:rsid w:val="00B946BC"/>
    <w:rsid w:val="00B9476B"/>
    <w:rsid w:val="00B94AEA"/>
    <w:rsid w:val="00B94B7C"/>
    <w:rsid w:val="00B94BE6"/>
    <w:rsid w:val="00B94C52"/>
    <w:rsid w:val="00B94CFB"/>
    <w:rsid w:val="00B953DC"/>
    <w:rsid w:val="00B956DA"/>
    <w:rsid w:val="00B958F9"/>
    <w:rsid w:val="00B95938"/>
    <w:rsid w:val="00B95B3D"/>
    <w:rsid w:val="00B95B54"/>
    <w:rsid w:val="00B95D74"/>
    <w:rsid w:val="00B95EA3"/>
    <w:rsid w:val="00B966E2"/>
    <w:rsid w:val="00B96850"/>
    <w:rsid w:val="00B96A85"/>
    <w:rsid w:val="00B96B55"/>
    <w:rsid w:val="00B96D3D"/>
    <w:rsid w:val="00B97019"/>
    <w:rsid w:val="00B971A8"/>
    <w:rsid w:val="00B977DB"/>
    <w:rsid w:val="00B97E43"/>
    <w:rsid w:val="00BA0163"/>
    <w:rsid w:val="00BA0343"/>
    <w:rsid w:val="00BA0671"/>
    <w:rsid w:val="00BA0866"/>
    <w:rsid w:val="00BA08D3"/>
    <w:rsid w:val="00BA0A13"/>
    <w:rsid w:val="00BA0D05"/>
    <w:rsid w:val="00BA0DDB"/>
    <w:rsid w:val="00BA0F0E"/>
    <w:rsid w:val="00BA0FC8"/>
    <w:rsid w:val="00BA17AA"/>
    <w:rsid w:val="00BA18C0"/>
    <w:rsid w:val="00BA1AB4"/>
    <w:rsid w:val="00BA1DF9"/>
    <w:rsid w:val="00BA1FED"/>
    <w:rsid w:val="00BA21C9"/>
    <w:rsid w:val="00BA23B2"/>
    <w:rsid w:val="00BA24EC"/>
    <w:rsid w:val="00BA2842"/>
    <w:rsid w:val="00BA2B65"/>
    <w:rsid w:val="00BA2FA9"/>
    <w:rsid w:val="00BA31E3"/>
    <w:rsid w:val="00BA31E5"/>
    <w:rsid w:val="00BA3312"/>
    <w:rsid w:val="00BA33C6"/>
    <w:rsid w:val="00BA35D7"/>
    <w:rsid w:val="00BA3849"/>
    <w:rsid w:val="00BA39A0"/>
    <w:rsid w:val="00BA3A27"/>
    <w:rsid w:val="00BA3B7D"/>
    <w:rsid w:val="00BA3B94"/>
    <w:rsid w:val="00BA3BD2"/>
    <w:rsid w:val="00BA3F5E"/>
    <w:rsid w:val="00BA4859"/>
    <w:rsid w:val="00BA4A3D"/>
    <w:rsid w:val="00BA4B09"/>
    <w:rsid w:val="00BA4D3E"/>
    <w:rsid w:val="00BA4E25"/>
    <w:rsid w:val="00BA516A"/>
    <w:rsid w:val="00BA5229"/>
    <w:rsid w:val="00BA523F"/>
    <w:rsid w:val="00BA5790"/>
    <w:rsid w:val="00BA5B87"/>
    <w:rsid w:val="00BA5D97"/>
    <w:rsid w:val="00BA5ECA"/>
    <w:rsid w:val="00BA5F3E"/>
    <w:rsid w:val="00BA60A4"/>
    <w:rsid w:val="00BA6866"/>
    <w:rsid w:val="00BA6C64"/>
    <w:rsid w:val="00BA6D27"/>
    <w:rsid w:val="00BA6D47"/>
    <w:rsid w:val="00BA6F0C"/>
    <w:rsid w:val="00BA7403"/>
    <w:rsid w:val="00BA758E"/>
    <w:rsid w:val="00BA7971"/>
    <w:rsid w:val="00BA7BA1"/>
    <w:rsid w:val="00BA7D7F"/>
    <w:rsid w:val="00BB0140"/>
    <w:rsid w:val="00BB0161"/>
    <w:rsid w:val="00BB01D9"/>
    <w:rsid w:val="00BB05A8"/>
    <w:rsid w:val="00BB05CB"/>
    <w:rsid w:val="00BB0641"/>
    <w:rsid w:val="00BB099B"/>
    <w:rsid w:val="00BB0C9E"/>
    <w:rsid w:val="00BB0ECA"/>
    <w:rsid w:val="00BB0FBC"/>
    <w:rsid w:val="00BB10EC"/>
    <w:rsid w:val="00BB1510"/>
    <w:rsid w:val="00BB177A"/>
    <w:rsid w:val="00BB1B1D"/>
    <w:rsid w:val="00BB1F2A"/>
    <w:rsid w:val="00BB2529"/>
    <w:rsid w:val="00BB25CA"/>
    <w:rsid w:val="00BB263C"/>
    <w:rsid w:val="00BB2641"/>
    <w:rsid w:val="00BB2920"/>
    <w:rsid w:val="00BB293B"/>
    <w:rsid w:val="00BB2AEC"/>
    <w:rsid w:val="00BB2BC1"/>
    <w:rsid w:val="00BB2CAF"/>
    <w:rsid w:val="00BB3083"/>
    <w:rsid w:val="00BB39FE"/>
    <w:rsid w:val="00BB3AF3"/>
    <w:rsid w:val="00BB3B9E"/>
    <w:rsid w:val="00BB3E58"/>
    <w:rsid w:val="00BB40AD"/>
    <w:rsid w:val="00BB422C"/>
    <w:rsid w:val="00BB4A29"/>
    <w:rsid w:val="00BB4A54"/>
    <w:rsid w:val="00BB4A96"/>
    <w:rsid w:val="00BB4AA1"/>
    <w:rsid w:val="00BB4CDE"/>
    <w:rsid w:val="00BB4E75"/>
    <w:rsid w:val="00BB4F8A"/>
    <w:rsid w:val="00BB5365"/>
    <w:rsid w:val="00BB5577"/>
    <w:rsid w:val="00BB5773"/>
    <w:rsid w:val="00BB59C6"/>
    <w:rsid w:val="00BB5E2A"/>
    <w:rsid w:val="00BB63FB"/>
    <w:rsid w:val="00BB64C8"/>
    <w:rsid w:val="00BB6683"/>
    <w:rsid w:val="00BB6DB6"/>
    <w:rsid w:val="00BB6E76"/>
    <w:rsid w:val="00BB701C"/>
    <w:rsid w:val="00BB709C"/>
    <w:rsid w:val="00BB749B"/>
    <w:rsid w:val="00BB77B9"/>
    <w:rsid w:val="00BB7E2C"/>
    <w:rsid w:val="00BC00CC"/>
    <w:rsid w:val="00BC048F"/>
    <w:rsid w:val="00BC0F52"/>
    <w:rsid w:val="00BC12AA"/>
    <w:rsid w:val="00BC12EC"/>
    <w:rsid w:val="00BC1391"/>
    <w:rsid w:val="00BC1798"/>
    <w:rsid w:val="00BC1960"/>
    <w:rsid w:val="00BC1A0F"/>
    <w:rsid w:val="00BC1C60"/>
    <w:rsid w:val="00BC1E4E"/>
    <w:rsid w:val="00BC21B6"/>
    <w:rsid w:val="00BC2229"/>
    <w:rsid w:val="00BC2519"/>
    <w:rsid w:val="00BC2A48"/>
    <w:rsid w:val="00BC2DCF"/>
    <w:rsid w:val="00BC2E07"/>
    <w:rsid w:val="00BC2F7C"/>
    <w:rsid w:val="00BC302A"/>
    <w:rsid w:val="00BC33CE"/>
    <w:rsid w:val="00BC359A"/>
    <w:rsid w:val="00BC3ADD"/>
    <w:rsid w:val="00BC3B31"/>
    <w:rsid w:val="00BC3BE2"/>
    <w:rsid w:val="00BC3C5F"/>
    <w:rsid w:val="00BC3F5D"/>
    <w:rsid w:val="00BC445D"/>
    <w:rsid w:val="00BC4A1B"/>
    <w:rsid w:val="00BC4AA4"/>
    <w:rsid w:val="00BC4B21"/>
    <w:rsid w:val="00BC4DBE"/>
    <w:rsid w:val="00BC5011"/>
    <w:rsid w:val="00BC5390"/>
    <w:rsid w:val="00BC54A6"/>
    <w:rsid w:val="00BC55A8"/>
    <w:rsid w:val="00BC5756"/>
    <w:rsid w:val="00BC581D"/>
    <w:rsid w:val="00BC5E63"/>
    <w:rsid w:val="00BC6168"/>
    <w:rsid w:val="00BC6250"/>
    <w:rsid w:val="00BC6325"/>
    <w:rsid w:val="00BC64F0"/>
    <w:rsid w:val="00BC6574"/>
    <w:rsid w:val="00BC65A1"/>
    <w:rsid w:val="00BC66CD"/>
    <w:rsid w:val="00BC6B4F"/>
    <w:rsid w:val="00BC6BC8"/>
    <w:rsid w:val="00BC6C7C"/>
    <w:rsid w:val="00BC71C6"/>
    <w:rsid w:val="00BC71E9"/>
    <w:rsid w:val="00BC7447"/>
    <w:rsid w:val="00BC749D"/>
    <w:rsid w:val="00BC7836"/>
    <w:rsid w:val="00BD0638"/>
    <w:rsid w:val="00BD08BD"/>
    <w:rsid w:val="00BD0DD2"/>
    <w:rsid w:val="00BD117B"/>
    <w:rsid w:val="00BD1213"/>
    <w:rsid w:val="00BD1804"/>
    <w:rsid w:val="00BD18ED"/>
    <w:rsid w:val="00BD21AB"/>
    <w:rsid w:val="00BD22EC"/>
    <w:rsid w:val="00BD281B"/>
    <w:rsid w:val="00BD29DA"/>
    <w:rsid w:val="00BD2AF2"/>
    <w:rsid w:val="00BD303A"/>
    <w:rsid w:val="00BD33C3"/>
    <w:rsid w:val="00BD34EC"/>
    <w:rsid w:val="00BD3641"/>
    <w:rsid w:val="00BD36AA"/>
    <w:rsid w:val="00BD381A"/>
    <w:rsid w:val="00BD3FBA"/>
    <w:rsid w:val="00BD4001"/>
    <w:rsid w:val="00BD4264"/>
    <w:rsid w:val="00BD434A"/>
    <w:rsid w:val="00BD44F2"/>
    <w:rsid w:val="00BD460A"/>
    <w:rsid w:val="00BD46B3"/>
    <w:rsid w:val="00BD4A95"/>
    <w:rsid w:val="00BD4AA5"/>
    <w:rsid w:val="00BD4D9C"/>
    <w:rsid w:val="00BD4E7D"/>
    <w:rsid w:val="00BD52D2"/>
    <w:rsid w:val="00BD55F3"/>
    <w:rsid w:val="00BD56AE"/>
    <w:rsid w:val="00BD586D"/>
    <w:rsid w:val="00BD5B94"/>
    <w:rsid w:val="00BD5F88"/>
    <w:rsid w:val="00BD66E3"/>
    <w:rsid w:val="00BD67B0"/>
    <w:rsid w:val="00BD6A74"/>
    <w:rsid w:val="00BD6A7B"/>
    <w:rsid w:val="00BD6CE6"/>
    <w:rsid w:val="00BD6E6B"/>
    <w:rsid w:val="00BD72F0"/>
    <w:rsid w:val="00BD768B"/>
    <w:rsid w:val="00BD7972"/>
    <w:rsid w:val="00BD7AEA"/>
    <w:rsid w:val="00BD7BE8"/>
    <w:rsid w:val="00BE001C"/>
    <w:rsid w:val="00BE018E"/>
    <w:rsid w:val="00BE0B84"/>
    <w:rsid w:val="00BE0BB5"/>
    <w:rsid w:val="00BE0DEA"/>
    <w:rsid w:val="00BE0E19"/>
    <w:rsid w:val="00BE1061"/>
    <w:rsid w:val="00BE1180"/>
    <w:rsid w:val="00BE1636"/>
    <w:rsid w:val="00BE198F"/>
    <w:rsid w:val="00BE19E0"/>
    <w:rsid w:val="00BE19FB"/>
    <w:rsid w:val="00BE1B08"/>
    <w:rsid w:val="00BE1D0F"/>
    <w:rsid w:val="00BE1F6D"/>
    <w:rsid w:val="00BE2246"/>
    <w:rsid w:val="00BE22BF"/>
    <w:rsid w:val="00BE2392"/>
    <w:rsid w:val="00BE2822"/>
    <w:rsid w:val="00BE284B"/>
    <w:rsid w:val="00BE2B5D"/>
    <w:rsid w:val="00BE2C4E"/>
    <w:rsid w:val="00BE2E6E"/>
    <w:rsid w:val="00BE32B4"/>
    <w:rsid w:val="00BE3307"/>
    <w:rsid w:val="00BE35E4"/>
    <w:rsid w:val="00BE38DE"/>
    <w:rsid w:val="00BE3920"/>
    <w:rsid w:val="00BE3B5C"/>
    <w:rsid w:val="00BE3D84"/>
    <w:rsid w:val="00BE4465"/>
    <w:rsid w:val="00BE4510"/>
    <w:rsid w:val="00BE4944"/>
    <w:rsid w:val="00BE4B90"/>
    <w:rsid w:val="00BE51B6"/>
    <w:rsid w:val="00BE52CB"/>
    <w:rsid w:val="00BE53F1"/>
    <w:rsid w:val="00BE5532"/>
    <w:rsid w:val="00BE5564"/>
    <w:rsid w:val="00BE57BF"/>
    <w:rsid w:val="00BE5864"/>
    <w:rsid w:val="00BE58DC"/>
    <w:rsid w:val="00BE599E"/>
    <w:rsid w:val="00BE5AB4"/>
    <w:rsid w:val="00BE5B29"/>
    <w:rsid w:val="00BE5C97"/>
    <w:rsid w:val="00BE5E97"/>
    <w:rsid w:val="00BE60CF"/>
    <w:rsid w:val="00BE6106"/>
    <w:rsid w:val="00BE61AF"/>
    <w:rsid w:val="00BE6401"/>
    <w:rsid w:val="00BE6630"/>
    <w:rsid w:val="00BE6894"/>
    <w:rsid w:val="00BE692C"/>
    <w:rsid w:val="00BE6B8A"/>
    <w:rsid w:val="00BE6D0F"/>
    <w:rsid w:val="00BE7221"/>
    <w:rsid w:val="00BE7458"/>
    <w:rsid w:val="00BE746F"/>
    <w:rsid w:val="00BE7871"/>
    <w:rsid w:val="00BE7960"/>
    <w:rsid w:val="00BE79E0"/>
    <w:rsid w:val="00BE7BEB"/>
    <w:rsid w:val="00BE7C0F"/>
    <w:rsid w:val="00BE7E35"/>
    <w:rsid w:val="00BE7E70"/>
    <w:rsid w:val="00BE7EB3"/>
    <w:rsid w:val="00BE7F6B"/>
    <w:rsid w:val="00BE7FF6"/>
    <w:rsid w:val="00BF02E0"/>
    <w:rsid w:val="00BF0750"/>
    <w:rsid w:val="00BF0B37"/>
    <w:rsid w:val="00BF1692"/>
    <w:rsid w:val="00BF198A"/>
    <w:rsid w:val="00BF1CCC"/>
    <w:rsid w:val="00BF1F1D"/>
    <w:rsid w:val="00BF205B"/>
    <w:rsid w:val="00BF20E2"/>
    <w:rsid w:val="00BF233C"/>
    <w:rsid w:val="00BF239B"/>
    <w:rsid w:val="00BF280B"/>
    <w:rsid w:val="00BF2819"/>
    <w:rsid w:val="00BF2876"/>
    <w:rsid w:val="00BF298A"/>
    <w:rsid w:val="00BF3231"/>
    <w:rsid w:val="00BF33AA"/>
    <w:rsid w:val="00BF39D1"/>
    <w:rsid w:val="00BF39DC"/>
    <w:rsid w:val="00BF3ADD"/>
    <w:rsid w:val="00BF45F6"/>
    <w:rsid w:val="00BF47DC"/>
    <w:rsid w:val="00BF4B7E"/>
    <w:rsid w:val="00BF4CDE"/>
    <w:rsid w:val="00BF5310"/>
    <w:rsid w:val="00BF5956"/>
    <w:rsid w:val="00BF5A9B"/>
    <w:rsid w:val="00BF5CFB"/>
    <w:rsid w:val="00BF5EBB"/>
    <w:rsid w:val="00BF5F18"/>
    <w:rsid w:val="00BF5F64"/>
    <w:rsid w:val="00BF5FEB"/>
    <w:rsid w:val="00BF6119"/>
    <w:rsid w:val="00BF66CE"/>
    <w:rsid w:val="00BF6D03"/>
    <w:rsid w:val="00BF6E24"/>
    <w:rsid w:val="00BF6E9F"/>
    <w:rsid w:val="00BF6EE8"/>
    <w:rsid w:val="00BF6F18"/>
    <w:rsid w:val="00BF70B2"/>
    <w:rsid w:val="00BF7299"/>
    <w:rsid w:val="00BF76B3"/>
    <w:rsid w:val="00BF7CA0"/>
    <w:rsid w:val="00BF7D38"/>
    <w:rsid w:val="00BF7FA4"/>
    <w:rsid w:val="00C003E1"/>
    <w:rsid w:val="00C00828"/>
    <w:rsid w:val="00C00854"/>
    <w:rsid w:val="00C008CB"/>
    <w:rsid w:val="00C00C94"/>
    <w:rsid w:val="00C0143E"/>
    <w:rsid w:val="00C01871"/>
    <w:rsid w:val="00C019A4"/>
    <w:rsid w:val="00C01AC2"/>
    <w:rsid w:val="00C01D90"/>
    <w:rsid w:val="00C01F46"/>
    <w:rsid w:val="00C0201C"/>
    <w:rsid w:val="00C02049"/>
    <w:rsid w:val="00C02066"/>
    <w:rsid w:val="00C022C2"/>
    <w:rsid w:val="00C02404"/>
    <w:rsid w:val="00C02551"/>
    <w:rsid w:val="00C025C1"/>
    <w:rsid w:val="00C02CE9"/>
    <w:rsid w:val="00C02ED7"/>
    <w:rsid w:val="00C032DD"/>
    <w:rsid w:val="00C035FB"/>
    <w:rsid w:val="00C03788"/>
    <w:rsid w:val="00C037A8"/>
    <w:rsid w:val="00C037B4"/>
    <w:rsid w:val="00C03800"/>
    <w:rsid w:val="00C03D34"/>
    <w:rsid w:val="00C03DED"/>
    <w:rsid w:val="00C040F0"/>
    <w:rsid w:val="00C04164"/>
    <w:rsid w:val="00C041F3"/>
    <w:rsid w:val="00C04215"/>
    <w:rsid w:val="00C0424D"/>
    <w:rsid w:val="00C0462E"/>
    <w:rsid w:val="00C046F6"/>
    <w:rsid w:val="00C04790"/>
    <w:rsid w:val="00C047FF"/>
    <w:rsid w:val="00C04B7A"/>
    <w:rsid w:val="00C053F4"/>
    <w:rsid w:val="00C05465"/>
    <w:rsid w:val="00C0578D"/>
    <w:rsid w:val="00C0582A"/>
    <w:rsid w:val="00C05844"/>
    <w:rsid w:val="00C05F6C"/>
    <w:rsid w:val="00C0602A"/>
    <w:rsid w:val="00C063DD"/>
    <w:rsid w:val="00C064C8"/>
    <w:rsid w:val="00C067D7"/>
    <w:rsid w:val="00C06F62"/>
    <w:rsid w:val="00C07081"/>
    <w:rsid w:val="00C07395"/>
    <w:rsid w:val="00C074F7"/>
    <w:rsid w:val="00C07540"/>
    <w:rsid w:val="00C07576"/>
    <w:rsid w:val="00C07A1E"/>
    <w:rsid w:val="00C07A78"/>
    <w:rsid w:val="00C07ABC"/>
    <w:rsid w:val="00C07F79"/>
    <w:rsid w:val="00C100D0"/>
    <w:rsid w:val="00C101B1"/>
    <w:rsid w:val="00C10279"/>
    <w:rsid w:val="00C10390"/>
    <w:rsid w:val="00C1094A"/>
    <w:rsid w:val="00C1094C"/>
    <w:rsid w:val="00C10A49"/>
    <w:rsid w:val="00C10C19"/>
    <w:rsid w:val="00C10D24"/>
    <w:rsid w:val="00C10E77"/>
    <w:rsid w:val="00C11032"/>
    <w:rsid w:val="00C1109A"/>
    <w:rsid w:val="00C1140C"/>
    <w:rsid w:val="00C1142D"/>
    <w:rsid w:val="00C11501"/>
    <w:rsid w:val="00C11520"/>
    <w:rsid w:val="00C11899"/>
    <w:rsid w:val="00C11E86"/>
    <w:rsid w:val="00C11F54"/>
    <w:rsid w:val="00C12371"/>
    <w:rsid w:val="00C123FA"/>
    <w:rsid w:val="00C12626"/>
    <w:rsid w:val="00C1274D"/>
    <w:rsid w:val="00C1293A"/>
    <w:rsid w:val="00C12BCC"/>
    <w:rsid w:val="00C12C8A"/>
    <w:rsid w:val="00C12DE0"/>
    <w:rsid w:val="00C12E65"/>
    <w:rsid w:val="00C132DF"/>
    <w:rsid w:val="00C133FF"/>
    <w:rsid w:val="00C137D5"/>
    <w:rsid w:val="00C1388A"/>
    <w:rsid w:val="00C139A5"/>
    <w:rsid w:val="00C13A71"/>
    <w:rsid w:val="00C13DC5"/>
    <w:rsid w:val="00C13E1A"/>
    <w:rsid w:val="00C13E4D"/>
    <w:rsid w:val="00C13F1D"/>
    <w:rsid w:val="00C14278"/>
    <w:rsid w:val="00C1427F"/>
    <w:rsid w:val="00C142AE"/>
    <w:rsid w:val="00C14395"/>
    <w:rsid w:val="00C1493A"/>
    <w:rsid w:val="00C14F64"/>
    <w:rsid w:val="00C1555D"/>
    <w:rsid w:val="00C1573B"/>
    <w:rsid w:val="00C158EC"/>
    <w:rsid w:val="00C15900"/>
    <w:rsid w:val="00C15E84"/>
    <w:rsid w:val="00C15F64"/>
    <w:rsid w:val="00C1600E"/>
    <w:rsid w:val="00C16099"/>
    <w:rsid w:val="00C16128"/>
    <w:rsid w:val="00C165C4"/>
    <w:rsid w:val="00C166DC"/>
    <w:rsid w:val="00C16717"/>
    <w:rsid w:val="00C1682B"/>
    <w:rsid w:val="00C168CB"/>
    <w:rsid w:val="00C169EC"/>
    <w:rsid w:val="00C16A1A"/>
    <w:rsid w:val="00C1747A"/>
    <w:rsid w:val="00C17563"/>
    <w:rsid w:val="00C178CC"/>
    <w:rsid w:val="00C1796B"/>
    <w:rsid w:val="00C17F92"/>
    <w:rsid w:val="00C20560"/>
    <w:rsid w:val="00C20740"/>
    <w:rsid w:val="00C207DE"/>
    <w:rsid w:val="00C20C12"/>
    <w:rsid w:val="00C21014"/>
    <w:rsid w:val="00C21468"/>
    <w:rsid w:val="00C2160B"/>
    <w:rsid w:val="00C21A70"/>
    <w:rsid w:val="00C21F27"/>
    <w:rsid w:val="00C221AC"/>
    <w:rsid w:val="00C2243C"/>
    <w:rsid w:val="00C2247B"/>
    <w:rsid w:val="00C224E8"/>
    <w:rsid w:val="00C22501"/>
    <w:rsid w:val="00C227A3"/>
    <w:rsid w:val="00C227AF"/>
    <w:rsid w:val="00C227CA"/>
    <w:rsid w:val="00C2281C"/>
    <w:rsid w:val="00C22B90"/>
    <w:rsid w:val="00C22CF2"/>
    <w:rsid w:val="00C22D48"/>
    <w:rsid w:val="00C22DF6"/>
    <w:rsid w:val="00C22E63"/>
    <w:rsid w:val="00C233D6"/>
    <w:rsid w:val="00C2352C"/>
    <w:rsid w:val="00C238C9"/>
    <w:rsid w:val="00C23A51"/>
    <w:rsid w:val="00C23AA5"/>
    <w:rsid w:val="00C23C3C"/>
    <w:rsid w:val="00C23D15"/>
    <w:rsid w:val="00C23DBE"/>
    <w:rsid w:val="00C23F13"/>
    <w:rsid w:val="00C23F2F"/>
    <w:rsid w:val="00C24291"/>
    <w:rsid w:val="00C24584"/>
    <w:rsid w:val="00C246D9"/>
    <w:rsid w:val="00C24804"/>
    <w:rsid w:val="00C24888"/>
    <w:rsid w:val="00C248D6"/>
    <w:rsid w:val="00C24B4D"/>
    <w:rsid w:val="00C24BD0"/>
    <w:rsid w:val="00C24E18"/>
    <w:rsid w:val="00C24EFF"/>
    <w:rsid w:val="00C252F9"/>
    <w:rsid w:val="00C25352"/>
    <w:rsid w:val="00C256B4"/>
    <w:rsid w:val="00C258D6"/>
    <w:rsid w:val="00C2596B"/>
    <w:rsid w:val="00C26248"/>
    <w:rsid w:val="00C26249"/>
    <w:rsid w:val="00C2642B"/>
    <w:rsid w:val="00C269E6"/>
    <w:rsid w:val="00C26B99"/>
    <w:rsid w:val="00C26C2D"/>
    <w:rsid w:val="00C26D9E"/>
    <w:rsid w:val="00C2708A"/>
    <w:rsid w:val="00C27305"/>
    <w:rsid w:val="00C2744D"/>
    <w:rsid w:val="00C276E2"/>
    <w:rsid w:val="00C27C89"/>
    <w:rsid w:val="00C27CD1"/>
    <w:rsid w:val="00C304BD"/>
    <w:rsid w:val="00C304BE"/>
    <w:rsid w:val="00C306F5"/>
    <w:rsid w:val="00C30986"/>
    <w:rsid w:val="00C3099C"/>
    <w:rsid w:val="00C30A81"/>
    <w:rsid w:val="00C30AA0"/>
    <w:rsid w:val="00C30C03"/>
    <w:rsid w:val="00C30C1B"/>
    <w:rsid w:val="00C315FA"/>
    <w:rsid w:val="00C31B89"/>
    <w:rsid w:val="00C31EE7"/>
    <w:rsid w:val="00C32042"/>
    <w:rsid w:val="00C320BF"/>
    <w:rsid w:val="00C325A0"/>
    <w:rsid w:val="00C32A21"/>
    <w:rsid w:val="00C32C29"/>
    <w:rsid w:val="00C32D69"/>
    <w:rsid w:val="00C330E3"/>
    <w:rsid w:val="00C334FA"/>
    <w:rsid w:val="00C33520"/>
    <w:rsid w:val="00C335AA"/>
    <w:rsid w:val="00C3363F"/>
    <w:rsid w:val="00C3385A"/>
    <w:rsid w:val="00C338BA"/>
    <w:rsid w:val="00C33ACD"/>
    <w:rsid w:val="00C33CAF"/>
    <w:rsid w:val="00C3419A"/>
    <w:rsid w:val="00C3461D"/>
    <w:rsid w:val="00C34760"/>
    <w:rsid w:val="00C347FA"/>
    <w:rsid w:val="00C349CE"/>
    <w:rsid w:val="00C34F45"/>
    <w:rsid w:val="00C350A5"/>
    <w:rsid w:val="00C35122"/>
    <w:rsid w:val="00C3545E"/>
    <w:rsid w:val="00C354AD"/>
    <w:rsid w:val="00C357B6"/>
    <w:rsid w:val="00C35924"/>
    <w:rsid w:val="00C35C8A"/>
    <w:rsid w:val="00C35F30"/>
    <w:rsid w:val="00C35FF3"/>
    <w:rsid w:val="00C36033"/>
    <w:rsid w:val="00C36152"/>
    <w:rsid w:val="00C36208"/>
    <w:rsid w:val="00C362D7"/>
    <w:rsid w:val="00C368C3"/>
    <w:rsid w:val="00C3697D"/>
    <w:rsid w:val="00C36B2B"/>
    <w:rsid w:val="00C36B6F"/>
    <w:rsid w:val="00C3741B"/>
    <w:rsid w:val="00C37701"/>
    <w:rsid w:val="00C37812"/>
    <w:rsid w:val="00C37972"/>
    <w:rsid w:val="00C37AE0"/>
    <w:rsid w:val="00C37DB5"/>
    <w:rsid w:val="00C40065"/>
    <w:rsid w:val="00C40389"/>
    <w:rsid w:val="00C405E6"/>
    <w:rsid w:val="00C405FE"/>
    <w:rsid w:val="00C4074C"/>
    <w:rsid w:val="00C408AF"/>
    <w:rsid w:val="00C409DF"/>
    <w:rsid w:val="00C40BCA"/>
    <w:rsid w:val="00C40D64"/>
    <w:rsid w:val="00C40E18"/>
    <w:rsid w:val="00C4163C"/>
    <w:rsid w:val="00C4166B"/>
    <w:rsid w:val="00C41687"/>
    <w:rsid w:val="00C4168E"/>
    <w:rsid w:val="00C41988"/>
    <w:rsid w:val="00C4199E"/>
    <w:rsid w:val="00C41BE7"/>
    <w:rsid w:val="00C41C18"/>
    <w:rsid w:val="00C41C52"/>
    <w:rsid w:val="00C41E69"/>
    <w:rsid w:val="00C42157"/>
    <w:rsid w:val="00C4215E"/>
    <w:rsid w:val="00C422BD"/>
    <w:rsid w:val="00C429D9"/>
    <w:rsid w:val="00C42A8C"/>
    <w:rsid w:val="00C42B4E"/>
    <w:rsid w:val="00C42D20"/>
    <w:rsid w:val="00C42D9F"/>
    <w:rsid w:val="00C42F26"/>
    <w:rsid w:val="00C43101"/>
    <w:rsid w:val="00C4320E"/>
    <w:rsid w:val="00C43277"/>
    <w:rsid w:val="00C433DE"/>
    <w:rsid w:val="00C43673"/>
    <w:rsid w:val="00C4373A"/>
    <w:rsid w:val="00C43E1E"/>
    <w:rsid w:val="00C43EDC"/>
    <w:rsid w:val="00C43EF0"/>
    <w:rsid w:val="00C43F14"/>
    <w:rsid w:val="00C43F17"/>
    <w:rsid w:val="00C44073"/>
    <w:rsid w:val="00C44547"/>
    <w:rsid w:val="00C447CB"/>
    <w:rsid w:val="00C4483C"/>
    <w:rsid w:val="00C44B29"/>
    <w:rsid w:val="00C451B1"/>
    <w:rsid w:val="00C45370"/>
    <w:rsid w:val="00C456B3"/>
    <w:rsid w:val="00C45A07"/>
    <w:rsid w:val="00C45AA7"/>
    <w:rsid w:val="00C45B42"/>
    <w:rsid w:val="00C45F5F"/>
    <w:rsid w:val="00C45F8C"/>
    <w:rsid w:val="00C4610A"/>
    <w:rsid w:val="00C461B9"/>
    <w:rsid w:val="00C46224"/>
    <w:rsid w:val="00C4627D"/>
    <w:rsid w:val="00C4634B"/>
    <w:rsid w:val="00C464C3"/>
    <w:rsid w:val="00C4674E"/>
    <w:rsid w:val="00C471AA"/>
    <w:rsid w:val="00C47472"/>
    <w:rsid w:val="00C477EE"/>
    <w:rsid w:val="00C479B9"/>
    <w:rsid w:val="00C47E24"/>
    <w:rsid w:val="00C50397"/>
    <w:rsid w:val="00C50434"/>
    <w:rsid w:val="00C5061A"/>
    <w:rsid w:val="00C5069A"/>
    <w:rsid w:val="00C509FE"/>
    <w:rsid w:val="00C50BAB"/>
    <w:rsid w:val="00C50E89"/>
    <w:rsid w:val="00C51196"/>
    <w:rsid w:val="00C5137C"/>
    <w:rsid w:val="00C515DF"/>
    <w:rsid w:val="00C51B3A"/>
    <w:rsid w:val="00C51C49"/>
    <w:rsid w:val="00C51DE0"/>
    <w:rsid w:val="00C51E51"/>
    <w:rsid w:val="00C51EFF"/>
    <w:rsid w:val="00C51F98"/>
    <w:rsid w:val="00C52413"/>
    <w:rsid w:val="00C52486"/>
    <w:rsid w:val="00C52739"/>
    <w:rsid w:val="00C52D5B"/>
    <w:rsid w:val="00C52FB9"/>
    <w:rsid w:val="00C52FC3"/>
    <w:rsid w:val="00C52FE5"/>
    <w:rsid w:val="00C5303D"/>
    <w:rsid w:val="00C5320F"/>
    <w:rsid w:val="00C5350F"/>
    <w:rsid w:val="00C5354F"/>
    <w:rsid w:val="00C537DB"/>
    <w:rsid w:val="00C53A96"/>
    <w:rsid w:val="00C53AD0"/>
    <w:rsid w:val="00C53EB5"/>
    <w:rsid w:val="00C54000"/>
    <w:rsid w:val="00C5452D"/>
    <w:rsid w:val="00C545B7"/>
    <w:rsid w:val="00C545CA"/>
    <w:rsid w:val="00C547A1"/>
    <w:rsid w:val="00C5496A"/>
    <w:rsid w:val="00C54B0E"/>
    <w:rsid w:val="00C54B5D"/>
    <w:rsid w:val="00C54C96"/>
    <w:rsid w:val="00C54DB3"/>
    <w:rsid w:val="00C5521E"/>
    <w:rsid w:val="00C55269"/>
    <w:rsid w:val="00C553F7"/>
    <w:rsid w:val="00C554A8"/>
    <w:rsid w:val="00C5569B"/>
    <w:rsid w:val="00C55A73"/>
    <w:rsid w:val="00C55D77"/>
    <w:rsid w:val="00C5608A"/>
    <w:rsid w:val="00C561DF"/>
    <w:rsid w:val="00C56228"/>
    <w:rsid w:val="00C569F7"/>
    <w:rsid w:val="00C56A22"/>
    <w:rsid w:val="00C56ABE"/>
    <w:rsid w:val="00C56D43"/>
    <w:rsid w:val="00C57024"/>
    <w:rsid w:val="00C57308"/>
    <w:rsid w:val="00C576EB"/>
    <w:rsid w:val="00C577DB"/>
    <w:rsid w:val="00C57B42"/>
    <w:rsid w:val="00C57B68"/>
    <w:rsid w:val="00C57CA4"/>
    <w:rsid w:val="00C600E2"/>
    <w:rsid w:val="00C60249"/>
    <w:rsid w:val="00C6039E"/>
    <w:rsid w:val="00C6078C"/>
    <w:rsid w:val="00C60A2D"/>
    <w:rsid w:val="00C60A55"/>
    <w:rsid w:val="00C61110"/>
    <w:rsid w:val="00C61113"/>
    <w:rsid w:val="00C6126F"/>
    <w:rsid w:val="00C61516"/>
    <w:rsid w:val="00C61663"/>
    <w:rsid w:val="00C61744"/>
    <w:rsid w:val="00C6180B"/>
    <w:rsid w:val="00C619AC"/>
    <w:rsid w:val="00C624CB"/>
    <w:rsid w:val="00C62631"/>
    <w:rsid w:val="00C628D5"/>
    <w:rsid w:val="00C63186"/>
    <w:rsid w:val="00C63206"/>
    <w:rsid w:val="00C632D7"/>
    <w:rsid w:val="00C63885"/>
    <w:rsid w:val="00C63A7E"/>
    <w:rsid w:val="00C63C40"/>
    <w:rsid w:val="00C63F22"/>
    <w:rsid w:val="00C644B7"/>
    <w:rsid w:val="00C645D0"/>
    <w:rsid w:val="00C64854"/>
    <w:rsid w:val="00C648B0"/>
    <w:rsid w:val="00C6493C"/>
    <w:rsid w:val="00C64E6C"/>
    <w:rsid w:val="00C64F2A"/>
    <w:rsid w:val="00C64F43"/>
    <w:rsid w:val="00C6510B"/>
    <w:rsid w:val="00C6511D"/>
    <w:rsid w:val="00C6536A"/>
    <w:rsid w:val="00C6564D"/>
    <w:rsid w:val="00C657C3"/>
    <w:rsid w:val="00C657FD"/>
    <w:rsid w:val="00C65990"/>
    <w:rsid w:val="00C65A87"/>
    <w:rsid w:val="00C65BAF"/>
    <w:rsid w:val="00C65CCF"/>
    <w:rsid w:val="00C6645F"/>
    <w:rsid w:val="00C66B9A"/>
    <w:rsid w:val="00C66BA5"/>
    <w:rsid w:val="00C66C3B"/>
    <w:rsid w:val="00C66C4D"/>
    <w:rsid w:val="00C67342"/>
    <w:rsid w:val="00C6750A"/>
    <w:rsid w:val="00C67557"/>
    <w:rsid w:val="00C67574"/>
    <w:rsid w:val="00C6777F"/>
    <w:rsid w:val="00C677FA"/>
    <w:rsid w:val="00C67F5A"/>
    <w:rsid w:val="00C67FD8"/>
    <w:rsid w:val="00C700BA"/>
    <w:rsid w:val="00C702B9"/>
    <w:rsid w:val="00C704FD"/>
    <w:rsid w:val="00C70642"/>
    <w:rsid w:val="00C70816"/>
    <w:rsid w:val="00C709C9"/>
    <w:rsid w:val="00C70AE3"/>
    <w:rsid w:val="00C70D88"/>
    <w:rsid w:val="00C70DE5"/>
    <w:rsid w:val="00C711E8"/>
    <w:rsid w:val="00C71380"/>
    <w:rsid w:val="00C71D84"/>
    <w:rsid w:val="00C71F1E"/>
    <w:rsid w:val="00C72415"/>
    <w:rsid w:val="00C72606"/>
    <w:rsid w:val="00C72688"/>
    <w:rsid w:val="00C7286D"/>
    <w:rsid w:val="00C729F3"/>
    <w:rsid w:val="00C72A2A"/>
    <w:rsid w:val="00C72B04"/>
    <w:rsid w:val="00C72C8E"/>
    <w:rsid w:val="00C72FEF"/>
    <w:rsid w:val="00C7307D"/>
    <w:rsid w:val="00C73160"/>
    <w:rsid w:val="00C735C2"/>
    <w:rsid w:val="00C735D7"/>
    <w:rsid w:val="00C73671"/>
    <w:rsid w:val="00C7378D"/>
    <w:rsid w:val="00C738E3"/>
    <w:rsid w:val="00C73BBD"/>
    <w:rsid w:val="00C73D0E"/>
    <w:rsid w:val="00C73F1E"/>
    <w:rsid w:val="00C7410F"/>
    <w:rsid w:val="00C742D7"/>
    <w:rsid w:val="00C7444A"/>
    <w:rsid w:val="00C745D3"/>
    <w:rsid w:val="00C74973"/>
    <w:rsid w:val="00C74A18"/>
    <w:rsid w:val="00C74B73"/>
    <w:rsid w:val="00C74CEE"/>
    <w:rsid w:val="00C74E98"/>
    <w:rsid w:val="00C74F60"/>
    <w:rsid w:val="00C752EC"/>
    <w:rsid w:val="00C7534E"/>
    <w:rsid w:val="00C75647"/>
    <w:rsid w:val="00C758BB"/>
    <w:rsid w:val="00C758E9"/>
    <w:rsid w:val="00C75B50"/>
    <w:rsid w:val="00C76220"/>
    <w:rsid w:val="00C76452"/>
    <w:rsid w:val="00C76C25"/>
    <w:rsid w:val="00C76E86"/>
    <w:rsid w:val="00C76EB4"/>
    <w:rsid w:val="00C76ECD"/>
    <w:rsid w:val="00C77177"/>
    <w:rsid w:val="00C773C8"/>
    <w:rsid w:val="00C7759C"/>
    <w:rsid w:val="00C7788E"/>
    <w:rsid w:val="00C779A9"/>
    <w:rsid w:val="00C80133"/>
    <w:rsid w:val="00C801DA"/>
    <w:rsid w:val="00C804EA"/>
    <w:rsid w:val="00C8053E"/>
    <w:rsid w:val="00C80775"/>
    <w:rsid w:val="00C80EC1"/>
    <w:rsid w:val="00C80FA8"/>
    <w:rsid w:val="00C8115A"/>
    <w:rsid w:val="00C81262"/>
    <w:rsid w:val="00C8168D"/>
    <w:rsid w:val="00C818C7"/>
    <w:rsid w:val="00C81C80"/>
    <w:rsid w:val="00C81EDA"/>
    <w:rsid w:val="00C8284C"/>
    <w:rsid w:val="00C82B1C"/>
    <w:rsid w:val="00C82D9D"/>
    <w:rsid w:val="00C82DA2"/>
    <w:rsid w:val="00C830A3"/>
    <w:rsid w:val="00C830EB"/>
    <w:rsid w:val="00C8348A"/>
    <w:rsid w:val="00C8375B"/>
    <w:rsid w:val="00C8392B"/>
    <w:rsid w:val="00C83BD5"/>
    <w:rsid w:val="00C83D86"/>
    <w:rsid w:val="00C83E79"/>
    <w:rsid w:val="00C84306"/>
    <w:rsid w:val="00C84509"/>
    <w:rsid w:val="00C846F3"/>
    <w:rsid w:val="00C847E1"/>
    <w:rsid w:val="00C847EC"/>
    <w:rsid w:val="00C84DE3"/>
    <w:rsid w:val="00C8518E"/>
    <w:rsid w:val="00C851A7"/>
    <w:rsid w:val="00C85244"/>
    <w:rsid w:val="00C85443"/>
    <w:rsid w:val="00C85761"/>
    <w:rsid w:val="00C8581F"/>
    <w:rsid w:val="00C863C0"/>
    <w:rsid w:val="00C86416"/>
    <w:rsid w:val="00C864AE"/>
    <w:rsid w:val="00C86660"/>
    <w:rsid w:val="00C866FC"/>
    <w:rsid w:val="00C86795"/>
    <w:rsid w:val="00C8681F"/>
    <w:rsid w:val="00C86EDE"/>
    <w:rsid w:val="00C86F09"/>
    <w:rsid w:val="00C870C0"/>
    <w:rsid w:val="00C870C2"/>
    <w:rsid w:val="00C8710D"/>
    <w:rsid w:val="00C8723E"/>
    <w:rsid w:val="00C872EE"/>
    <w:rsid w:val="00C8732B"/>
    <w:rsid w:val="00C87580"/>
    <w:rsid w:val="00C877A8"/>
    <w:rsid w:val="00C87B33"/>
    <w:rsid w:val="00C87E83"/>
    <w:rsid w:val="00C90152"/>
    <w:rsid w:val="00C902CA"/>
    <w:rsid w:val="00C90BF8"/>
    <w:rsid w:val="00C90E42"/>
    <w:rsid w:val="00C910B4"/>
    <w:rsid w:val="00C91166"/>
    <w:rsid w:val="00C91479"/>
    <w:rsid w:val="00C914DD"/>
    <w:rsid w:val="00C91A7C"/>
    <w:rsid w:val="00C91CFC"/>
    <w:rsid w:val="00C91E78"/>
    <w:rsid w:val="00C92339"/>
    <w:rsid w:val="00C9267E"/>
    <w:rsid w:val="00C927D9"/>
    <w:rsid w:val="00C9288B"/>
    <w:rsid w:val="00C92952"/>
    <w:rsid w:val="00C92B28"/>
    <w:rsid w:val="00C92BEF"/>
    <w:rsid w:val="00C92C5C"/>
    <w:rsid w:val="00C93962"/>
    <w:rsid w:val="00C9399F"/>
    <w:rsid w:val="00C93A26"/>
    <w:rsid w:val="00C93A60"/>
    <w:rsid w:val="00C93B3A"/>
    <w:rsid w:val="00C93C21"/>
    <w:rsid w:val="00C93D3A"/>
    <w:rsid w:val="00C93E01"/>
    <w:rsid w:val="00C94213"/>
    <w:rsid w:val="00C94230"/>
    <w:rsid w:val="00C9471B"/>
    <w:rsid w:val="00C94BE7"/>
    <w:rsid w:val="00C94C11"/>
    <w:rsid w:val="00C94CE9"/>
    <w:rsid w:val="00C94E75"/>
    <w:rsid w:val="00C94F17"/>
    <w:rsid w:val="00C94F83"/>
    <w:rsid w:val="00C95867"/>
    <w:rsid w:val="00C95A0E"/>
    <w:rsid w:val="00C95BCF"/>
    <w:rsid w:val="00C95DE9"/>
    <w:rsid w:val="00C96238"/>
    <w:rsid w:val="00C96241"/>
    <w:rsid w:val="00C9658C"/>
    <w:rsid w:val="00C96A08"/>
    <w:rsid w:val="00C96BB7"/>
    <w:rsid w:val="00C96D47"/>
    <w:rsid w:val="00C96E68"/>
    <w:rsid w:val="00C97153"/>
    <w:rsid w:val="00C97373"/>
    <w:rsid w:val="00C973FF"/>
    <w:rsid w:val="00C9764C"/>
    <w:rsid w:val="00C9788D"/>
    <w:rsid w:val="00C97A9D"/>
    <w:rsid w:val="00C97C5C"/>
    <w:rsid w:val="00C97DB1"/>
    <w:rsid w:val="00C97E41"/>
    <w:rsid w:val="00CA010D"/>
    <w:rsid w:val="00CA055A"/>
    <w:rsid w:val="00CA0763"/>
    <w:rsid w:val="00CA07D4"/>
    <w:rsid w:val="00CA08C2"/>
    <w:rsid w:val="00CA08DF"/>
    <w:rsid w:val="00CA094C"/>
    <w:rsid w:val="00CA0ED4"/>
    <w:rsid w:val="00CA1444"/>
    <w:rsid w:val="00CA171B"/>
    <w:rsid w:val="00CA193D"/>
    <w:rsid w:val="00CA19CB"/>
    <w:rsid w:val="00CA1A10"/>
    <w:rsid w:val="00CA1B6E"/>
    <w:rsid w:val="00CA1CB6"/>
    <w:rsid w:val="00CA2385"/>
    <w:rsid w:val="00CA29FB"/>
    <w:rsid w:val="00CA2FAA"/>
    <w:rsid w:val="00CA3211"/>
    <w:rsid w:val="00CA32E0"/>
    <w:rsid w:val="00CA33AD"/>
    <w:rsid w:val="00CA3CA4"/>
    <w:rsid w:val="00CA3E5B"/>
    <w:rsid w:val="00CA4138"/>
    <w:rsid w:val="00CA426B"/>
    <w:rsid w:val="00CA4341"/>
    <w:rsid w:val="00CA4C76"/>
    <w:rsid w:val="00CA4D3E"/>
    <w:rsid w:val="00CA4EAD"/>
    <w:rsid w:val="00CA4F5B"/>
    <w:rsid w:val="00CA4FEE"/>
    <w:rsid w:val="00CA50E1"/>
    <w:rsid w:val="00CA5177"/>
    <w:rsid w:val="00CA53D8"/>
    <w:rsid w:val="00CA5B1D"/>
    <w:rsid w:val="00CA5E4F"/>
    <w:rsid w:val="00CA5FE2"/>
    <w:rsid w:val="00CA61ED"/>
    <w:rsid w:val="00CA6578"/>
    <w:rsid w:val="00CA6A4F"/>
    <w:rsid w:val="00CA6B98"/>
    <w:rsid w:val="00CA6F24"/>
    <w:rsid w:val="00CA6F6F"/>
    <w:rsid w:val="00CA714F"/>
    <w:rsid w:val="00CA7663"/>
    <w:rsid w:val="00CA7686"/>
    <w:rsid w:val="00CA7892"/>
    <w:rsid w:val="00CA7D47"/>
    <w:rsid w:val="00CB0024"/>
    <w:rsid w:val="00CB00A0"/>
    <w:rsid w:val="00CB00A6"/>
    <w:rsid w:val="00CB02BC"/>
    <w:rsid w:val="00CB02F9"/>
    <w:rsid w:val="00CB08F5"/>
    <w:rsid w:val="00CB0A9E"/>
    <w:rsid w:val="00CB0B35"/>
    <w:rsid w:val="00CB0CDF"/>
    <w:rsid w:val="00CB0E80"/>
    <w:rsid w:val="00CB0E85"/>
    <w:rsid w:val="00CB1053"/>
    <w:rsid w:val="00CB11C2"/>
    <w:rsid w:val="00CB1686"/>
    <w:rsid w:val="00CB16B0"/>
    <w:rsid w:val="00CB1919"/>
    <w:rsid w:val="00CB1B1E"/>
    <w:rsid w:val="00CB1C94"/>
    <w:rsid w:val="00CB1DB8"/>
    <w:rsid w:val="00CB1F9E"/>
    <w:rsid w:val="00CB25E4"/>
    <w:rsid w:val="00CB2DC3"/>
    <w:rsid w:val="00CB2EBC"/>
    <w:rsid w:val="00CB2EFD"/>
    <w:rsid w:val="00CB2FBE"/>
    <w:rsid w:val="00CB33D6"/>
    <w:rsid w:val="00CB370D"/>
    <w:rsid w:val="00CB3995"/>
    <w:rsid w:val="00CB39E5"/>
    <w:rsid w:val="00CB3E96"/>
    <w:rsid w:val="00CB4523"/>
    <w:rsid w:val="00CB4B5B"/>
    <w:rsid w:val="00CB4D26"/>
    <w:rsid w:val="00CB55AC"/>
    <w:rsid w:val="00CB564B"/>
    <w:rsid w:val="00CB59AC"/>
    <w:rsid w:val="00CB5A97"/>
    <w:rsid w:val="00CB5AEB"/>
    <w:rsid w:val="00CB5B06"/>
    <w:rsid w:val="00CB5BA2"/>
    <w:rsid w:val="00CB624C"/>
    <w:rsid w:val="00CB6F18"/>
    <w:rsid w:val="00CB6FC0"/>
    <w:rsid w:val="00CB7163"/>
    <w:rsid w:val="00CB7768"/>
    <w:rsid w:val="00CB7A1E"/>
    <w:rsid w:val="00CB7BEC"/>
    <w:rsid w:val="00CB7C0E"/>
    <w:rsid w:val="00CB7D52"/>
    <w:rsid w:val="00CB7DA8"/>
    <w:rsid w:val="00CB7E7A"/>
    <w:rsid w:val="00CB7F36"/>
    <w:rsid w:val="00CC0132"/>
    <w:rsid w:val="00CC04A9"/>
    <w:rsid w:val="00CC0605"/>
    <w:rsid w:val="00CC08BE"/>
    <w:rsid w:val="00CC0D14"/>
    <w:rsid w:val="00CC12AA"/>
    <w:rsid w:val="00CC148B"/>
    <w:rsid w:val="00CC1524"/>
    <w:rsid w:val="00CC1540"/>
    <w:rsid w:val="00CC161D"/>
    <w:rsid w:val="00CC17C8"/>
    <w:rsid w:val="00CC1A9C"/>
    <w:rsid w:val="00CC1B76"/>
    <w:rsid w:val="00CC21B0"/>
    <w:rsid w:val="00CC2290"/>
    <w:rsid w:val="00CC2314"/>
    <w:rsid w:val="00CC2455"/>
    <w:rsid w:val="00CC2D79"/>
    <w:rsid w:val="00CC2DA3"/>
    <w:rsid w:val="00CC2F43"/>
    <w:rsid w:val="00CC32DB"/>
    <w:rsid w:val="00CC32EC"/>
    <w:rsid w:val="00CC3456"/>
    <w:rsid w:val="00CC35BF"/>
    <w:rsid w:val="00CC35D2"/>
    <w:rsid w:val="00CC3889"/>
    <w:rsid w:val="00CC3A49"/>
    <w:rsid w:val="00CC3C95"/>
    <w:rsid w:val="00CC413C"/>
    <w:rsid w:val="00CC4198"/>
    <w:rsid w:val="00CC4321"/>
    <w:rsid w:val="00CC43D0"/>
    <w:rsid w:val="00CC4717"/>
    <w:rsid w:val="00CC4767"/>
    <w:rsid w:val="00CC4888"/>
    <w:rsid w:val="00CC4C7F"/>
    <w:rsid w:val="00CC4E79"/>
    <w:rsid w:val="00CC5577"/>
    <w:rsid w:val="00CC6375"/>
    <w:rsid w:val="00CC65F5"/>
    <w:rsid w:val="00CC65F7"/>
    <w:rsid w:val="00CC6794"/>
    <w:rsid w:val="00CC6897"/>
    <w:rsid w:val="00CC68F9"/>
    <w:rsid w:val="00CC6BA2"/>
    <w:rsid w:val="00CC6D87"/>
    <w:rsid w:val="00CC701A"/>
    <w:rsid w:val="00CC7210"/>
    <w:rsid w:val="00CC7863"/>
    <w:rsid w:val="00CC7A9E"/>
    <w:rsid w:val="00CD01D2"/>
    <w:rsid w:val="00CD0680"/>
    <w:rsid w:val="00CD084F"/>
    <w:rsid w:val="00CD089E"/>
    <w:rsid w:val="00CD09C7"/>
    <w:rsid w:val="00CD1426"/>
    <w:rsid w:val="00CD15E8"/>
    <w:rsid w:val="00CD17BE"/>
    <w:rsid w:val="00CD1B72"/>
    <w:rsid w:val="00CD1E52"/>
    <w:rsid w:val="00CD2066"/>
    <w:rsid w:val="00CD2281"/>
    <w:rsid w:val="00CD23DF"/>
    <w:rsid w:val="00CD2455"/>
    <w:rsid w:val="00CD265D"/>
    <w:rsid w:val="00CD281D"/>
    <w:rsid w:val="00CD29E6"/>
    <w:rsid w:val="00CD2BBB"/>
    <w:rsid w:val="00CD2C2A"/>
    <w:rsid w:val="00CD2DAE"/>
    <w:rsid w:val="00CD318E"/>
    <w:rsid w:val="00CD3418"/>
    <w:rsid w:val="00CD3B1E"/>
    <w:rsid w:val="00CD3B4B"/>
    <w:rsid w:val="00CD3DF2"/>
    <w:rsid w:val="00CD3E51"/>
    <w:rsid w:val="00CD41AD"/>
    <w:rsid w:val="00CD4882"/>
    <w:rsid w:val="00CD48BC"/>
    <w:rsid w:val="00CD490F"/>
    <w:rsid w:val="00CD49FA"/>
    <w:rsid w:val="00CD4B4E"/>
    <w:rsid w:val="00CD516C"/>
    <w:rsid w:val="00CD5292"/>
    <w:rsid w:val="00CD5359"/>
    <w:rsid w:val="00CD53C6"/>
    <w:rsid w:val="00CD54CA"/>
    <w:rsid w:val="00CD566D"/>
    <w:rsid w:val="00CD57AC"/>
    <w:rsid w:val="00CD5BAE"/>
    <w:rsid w:val="00CD619A"/>
    <w:rsid w:val="00CD62E0"/>
    <w:rsid w:val="00CD64AE"/>
    <w:rsid w:val="00CD6723"/>
    <w:rsid w:val="00CD6944"/>
    <w:rsid w:val="00CD697B"/>
    <w:rsid w:val="00CD6BB1"/>
    <w:rsid w:val="00CD7088"/>
    <w:rsid w:val="00CD70FE"/>
    <w:rsid w:val="00CD7111"/>
    <w:rsid w:val="00CD7406"/>
    <w:rsid w:val="00CD74AA"/>
    <w:rsid w:val="00CD74C4"/>
    <w:rsid w:val="00CD76E1"/>
    <w:rsid w:val="00CD7787"/>
    <w:rsid w:val="00CD7A54"/>
    <w:rsid w:val="00CD7DEB"/>
    <w:rsid w:val="00CE018E"/>
    <w:rsid w:val="00CE01C3"/>
    <w:rsid w:val="00CE0409"/>
    <w:rsid w:val="00CE08DD"/>
    <w:rsid w:val="00CE1303"/>
    <w:rsid w:val="00CE14FD"/>
    <w:rsid w:val="00CE1531"/>
    <w:rsid w:val="00CE1680"/>
    <w:rsid w:val="00CE1739"/>
    <w:rsid w:val="00CE1842"/>
    <w:rsid w:val="00CE1AF2"/>
    <w:rsid w:val="00CE1B0B"/>
    <w:rsid w:val="00CE1C94"/>
    <w:rsid w:val="00CE1F89"/>
    <w:rsid w:val="00CE22E2"/>
    <w:rsid w:val="00CE2700"/>
    <w:rsid w:val="00CE2736"/>
    <w:rsid w:val="00CE2765"/>
    <w:rsid w:val="00CE27CC"/>
    <w:rsid w:val="00CE2911"/>
    <w:rsid w:val="00CE2AAB"/>
    <w:rsid w:val="00CE2C0C"/>
    <w:rsid w:val="00CE2E27"/>
    <w:rsid w:val="00CE3231"/>
    <w:rsid w:val="00CE3538"/>
    <w:rsid w:val="00CE3915"/>
    <w:rsid w:val="00CE4057"/>
    <w:rsid w:val="00CE42CE"/>
    <w:rsid w:val="00CE4402"/>
    <w:rsid w:val="00CE4522"/>
    <w:rsid w:val="00CE457E"/>
    <w:rsid w:val="00CE45A4"/>
    <w:rsid w:val="00CE45D7"/>
    <w:rsid w:val="00CE46DC"/>
    <w:rsid w:val="00CE4EFB"/>
    <w:rsid w:val="00CE4F9D"/>
    <w:rsid w:val="00CE503B"/>
    <w:rsid w:val="00CE5147"/>
    <w:rsid w:val="00CE5470"/>
    <w:rsid w:val="00CE5595"/>
    <w:rsid w:val="00CE56F1"/>
    <w:rsid w:val="00CE578E"/>
    <w:rsid w:val="00CE57D6"/>
    <w:rsid w:val="00CE5909"/>
    <w:rsid w:val="00CE5A18"/>
    <w:rsid w:val="00CE5A65"/>
    <w:rsid w:val="00CE5E30"/>
    <w:rsid w:val="00CE6043"/>
    <w:rsid w:val="00CE60A9"/>
    <w:rsid w:val="00CE6223"/>
    <w:rsid w:val="00CE6336"/>
    <w:rsid w:val="00CE6A20"/>
    <w:rsid w:val="00CE6BCD"/>
    <w:rsid w:val="00CE70DD"/>
    <w:rsid w:val="00CE72B0"/>
    <w:rsid w:val="00CE7A8F"/>
    <w:rsid w:val="00CE7C13"/>
    <w:rsid w:val="00CE7D72"/>
    <w:rsid w:val="00CF0252"/>
    <w:rsid w:val="00CF0710"/>
    <w:rsid w:val="00CF083D"/>
    <w:rsid w:val="00CF095D"/>
    <w:rsid w:val="00CF0D36"/>
    <w:rsid w:val="00CF0DC9"/>
    <w:rsid w:val="00CF1629"/>
    <w:rsid w:val="00CF1734"/>
    <w:rsid w:val="00CF1880"/>
    <w:rsid w:val="00CF20A8"/>
    <w:rsid w:val="00CF2177"/>
    <w:rsid w:val="00CF2346"/>
    <w:rsid w:val="00CF2845"/>
    <w:rsid w:val="00CF29BE"/>
    <w:rsid w:val="00CF2B26"/>
    <w:rsid w:val="00CF2B92"/>
    <w:rsid w:val="00CF2CEB"/>
    <w:rsid w:val="00CF2FA6"/>
    <w:rsid w:val="00CF30E6"/>
    <w:rsid w:val="00CF3190"/>
    <w:rsid w:val="00CF3252"/>
    <w:rsid w:val="00CF32A0"/>
    <w:rsid w:val="00CF32BB"/>
    <w:rsid w:val="00CF3578"/>
    <w:rsid w:val="00CF38B6"/>
    <w:rsid w:val="00CF3D6E"/>
    <w:rsid w:val="00CF4263"/>
    <w:rsid w:val="00CF42DA"/>
    <w:rsid w:val="00CF438A"/>
    <w:rsid w:val="00CF43CA"/>
    <w:rsid w:val="00CF43D0"/>
    <w:rsid w:val="00CF4624"/>
    <w:rsid w:val="00CF4707"/>
    <w:rsid w:val="00CF4AD2"/>
    <w:rsid w:val="00CF4AE2"/>
    <w:rsid w:val="00CF4CF7"/>
    <w:rsid w:val="00CF4DC4"/>
    <w:rsid w:val="00CF4E5C"/>
    <w:rsid w:val="00CF4E7C"/>
    <w:rsid w:val="00CF4F66"/>
    <w:rsid w:val="00CF525A"/>
    <w:rsid w:val="00CF5372"/>
    <w:rsid w:val="00CF5845"/>
    <w:rsid w:val="00CF5853"/>
    <w:rsid w:val="00CF5955"/>
    <w:rsid w:val="00CF5BC8"/>
    <w:rsid w:val="00CF5D99"/>
    <w:rsid w:val="00CF5EBA"/>
    <w:rsid w:val="00CF60FE"/>
    <w:rsid w:val="00CF6595"/>
    <w:rsid w:val="00CF6CFE"/>
    <w:rsid w:val="00CF6E44"/>
    <w:rsid w:val="00CF6F05"/>
    <w:rsid w:val="00CF7051"/>
    <w:rsid w:val="00CF7150"/>
    <w:rsid w:val="00CF716E"/>
    <w:rsid w:val="00CF72F7"/>
    <w:rsid w:val="00CF7394"/>
    <w:rsid w:val="00CF76FF"/>
    <w:rsid w:val="00CF7F6E"/>
    <w:rsid w:val="00D0011A"/>
    <w:rsid w:val="00D0047F"/>
    <w:rsid w:val="00D005BF"/>
    <w:rsid w:val="00D006E5"/>
    <w:rsid w:val="00D008E4"/>
    <w:rsid w:val="00D00F91"/>
    <w:rsid w:val="00D01242"/>
    <w:rsid w:val="00D015B9"/>
    <w:rsid w:val="00D01743"/>
    <w:rsid w:val="00D0176B"/>
    <w:rsid w:val="00D0196C"/>
    <w:rsid w:val="00D01A85"/>
    <w:rsid w:val="00D01B0B"/>
    <w:rsid w:val="00D01E8F"/>
    <w:rsid w:val="00D01EE6"/>
    <w:rsid w:val="00D01FC7"/>
    <w:rsid w:val="00D0206B"/>
    <w:rsid w:val="00D02674"/>
    <w:rsid w:val="00D028DB"/>
    <w:rsid w:val="00D02B30"/>
    <w:rsid w:val="00D0310D"/>
    <w:rsid w:val="00D0315F"/>
    <w:rsid w:val="00D03187"/>
    <w:rsid w:val="00D031F2"/>
    <w:rsid w:val="00D035EE"/>
    <w:rsid w:val="00D03797"/>
    <w:rsid w:val="00D03A40"/>
    <w:rsid w:val="00D03A75"/>
    <w:rsid w:val="00D03EBD"/>
    <w:rsid w:val="00D043D1"/>
    <w:rsid w:val="00D04458"/>
    <w:rsid w:val="00D04467"/>
    <w:rsid w:val="00D045A9"/>
    <w:rsid w:val="00D04700"/>
    <w:rsid w:val="00D04937"/>
    <w:rsid w:val="00D04CD8"/>
    <w:rsid w:val="00D04E10"/>
    <w:rsid w:val="00D04E69"/>
    <w:rsid w:val="00D053CD"/>
    <w:rsid w:val="00D0577E"/>
    <w:rsid w:val="00D057D2"/>
    <w:rsid w:val="00D05C6F"/>
    <w:rsid w:val="00D05D45"/>
    <w:rsid w:val="00D05E2A"/>
    <w:rsid w:val="00D05E7B"/>
    <w:rsid w:val="00D05FE4"/>
    <w:rsid w:val="00D06089"/>
    <w:rsid w:val="00D06FB2"/>
    <w:rsid w:val="00D072BB"/>
    <w:rsid w:val="00D07368"/>
    <w:rsid w:val="00D0771C"/>
    <w:rsid w:val="00D078E9"/>
    <w:rsid w:val="00D07BC8"/>
    <w:rsid w:val="00D07BD5"/>
    <w:rsid w:val="00D07C1B"/>
    <w:rsid w:val="00D07F7E"/>
    <w:rsid w:val="00D10271"/>
    <w:rsid w:val="00D1030B"/>
    <w:rsid w:val="00D10381"/>
    <w:rsid w:val="00D105F6"/>
    <w:rsid w:val="00D10699"/>
    <w:rsid w:val="00D1141F"/>
    <w:rsid w:val="00D12244"/>
    <w:rsid w:val="00D1237F"/>
    <w:rsid w:val="00D1246C"/>
    <w:rsid w:val="00D124BB"/>
    <w:rsid w:val="00D124C9"/>
    <w:rsid w:val="00D129FA"/>
    <w:rsid w:val="00D12B26"/>
    <w:rsid w:val="00D12B48"/>
    <w:rsid w:val="00D13A6C"/>
    <w:rsid w:val="00D13DDF"/>
    <w:rsid w:val="00D1405C"/>
    <w:rsid w:val="00D1486B"/>
    <w:rsid w:val="00D148D4"/>
    <w:rsid w:val="00D14909"/>
    <w:rsid w:val="00D14B3D"/>
    <w:rsid w:val="00D15354"/>
    <w:rsid w:val="00D15579"/>
    <w:rsid w:val="00D158E1"/>
    <w:rsid w:val="00D15A5C"/>
    <w:rsid w:val="00D15A69"/>
    <w:rsid w:val="00D15A8A"/>
    <w:rsid w:val="00D15FA0"/>
    <w:rsid w:val="00D15FFA"/>
    <w:rsid w:val="00D16321"/>
    <w:rsid w:val="00D165CA"/>
    <w:rsid w:val="00D16845"/>
    <w:rsid w:val="00D1695B"/>
    <w:rsid w:val="00D16999"/>
    <w:rsid w:val="00D16A02"/>
    <w:rsid w:val="00D16A06"/>
    <w:rsid w:val="00D16C70"/>
    <w:rsid w:val="00D16D89"/>
    <w:rsid w:val="00D16E1D"/>
    <w:rsid w:val="00D16ED6"/>
    <w:rsid w:val="00D17424"/>
    <w:rsid w:val="00D17596"/>
    <w:rsid w:val="00D17712"/>
    <w:rsid w:val="00D17F0D"/>
    <w:rsid w:val="00D20238"/>
    <w:rsid w:val="00D203B5"/>
    <w:rsid w:val="00D2043E"/>
    <w:rsid w:val="00D2072E"/>
    <w:rsid w:val="00D2075B"/>
    <w:rsid w:val="00D207F0"/>
    <w:rsid w:val="00D20839"/>
    <w:rsid w:val="00D20AFB"/>
    <w:rsid w:val="00D20B70"/>
    <w:rsid w:val="00D20C09"/>
    <w:rsid w:val="00D20CA7"/>
    <w:rsid w:val="00D21583"/>
    <w:rsid w:val="00D2177F"/>
    <w:rsid w:val="00D21898"/>
    <w:rsid w:val="00D21912"/>
    <w:rsid w:val="00D21993"/>
    <w:rsid w:val="00D21E57"/>
    <w:rsid w:val="00D22651"/>
    <w:rsid w:val="00D22818"/>
    <w:rsid w:val="00D228F4"/>
    <w:rsid w:val="00D22944"/>
    <w:rsid w:val="00D22B56"/>
    <w:rsid w:val="00D22CF7"/>
    <w:rsid w:val="00D2308D"/>
    <w:rsid w:val="00D231CA"/>
    <w:rsid w:val="00D233DD"/>
    <w:rsid w:val="00D23589"/>
    <w:rsid w:val="00D23B01"/>
    <w:rsid w:val="00D23D1B"/>
    <w:rsid w:val="00D24190"/>
    <w:rsid w:val="00D24207"/>
    <w:rsid w:val="00D245D4"/>
    <w:rsid w:val="00D2478D"/>
    <w:rsid w:val="00D24A0D"/>
    <w:rsid w:val="00D24B40"/>
    <w:rsid w:val="00D24B58"/>
    <w:rsid w:val="00D24D28"/>
    <w:rsid w:val="00D24EC0"/>
    <w:rsid w:val="00D2504C"/>
    <w:rsid w:val="00D2505A"/>
    <w:rsid w:val="00D2510E"/>
    <w:rsid w:val="00D25275"/>
    <w:rsid w:val="00D25559"/>
    <w:rsid w:val="00D257FC"/>
    <w:rsid w:val="00D2598E"/>
    <w:rsid w:val="00D25CE1"/>
    <w:rsid w:val="00D261C6"/>
    <w:rsid w:val="00D2629B"/>
    <w:rsid w:val="00D262CF"/>
    <w:rsid w:val="00D2666A"/>
    <w:rsid w:val="00D267BB"/>
    <w:rsid w:val="00D269CC"/>
    <w:rsid w:val="00D26B61"/>
    <w:rsid w:val="00D26DB9"/>
    <w:rsid w:val="00D26FD9"/>
    <w:rsid w:val="00D26FDA"/>
    <w:rsid w:val="00D2707B"/>
    <w:rsid w:val="00D270CB"/>
    <w:rsid w:val="00D270EA"/>
    <w:rsid w:val="00D27248"/>
    <w:rsid w:val="00D272DA"/>
    <w:rsid w:val="00D274F5"/>
    <w:rsid w:val="00D27675"/>
    <w:rsid w:val="00D2775B"/>
    <w:rsid w:val="00D27863"/>
    <w:rsid w:val="00D27AD1"/>
    <w:rsid w:val="00D27D0D"/>
    <w:rsid w:val="00D27D4B"/>
    <w:rsid w:val="00D27F3E"/>
    <w:rsid w:val="00D300CE"/>
    <w:rsid w:val="00D30322"/>
    <w:rsid w:val="00D3065A"/>
    <w:rsid w:val="00D30D08"/>
    <w:rsid w:val="00D30F41"/>
    <w:rsid w:val="00D313A6"/>
    <w:rsid w:val="00D31486"/>
    <w:rsid w:val="00D31633"/>
    <w:rsid w:val="00D316F5"/>
    <w:rsid w:val="00D319E4"/>
    <w:rsid w:val="00D31C80"/>
    <w:rsid w:val="00D3218A"/>
    <w:rsid w:val="00D321FF"/>
    <w:rsid w:val="00D32754"/>
    <w:rsid w:val="00D3280D"/>
    <w:rsid w:val="00D328B8"/>
    <w:rsid w:val="00D32B90"/>
    <w:rsid w:val="00D32C24"/>
    <w:rsid w:val="00D32D45"/>
    <w:rsid w:val="00D33557"/>
    <w:rsid w:val="00D33C5F"/>
    <w:rsid w:val="00D33D04"/>
    <w:rsid w:val="00D33D05"/>
    <w:rsid w:val="00D34491"/>
    <w:rsid w:val="00D3468E"/>
    <w:rsid w:val="00D34974"/>
    <w:rsid w:val="00D34B94"/>
    <w:rsid w:val="00D34C52"/>
    <w:rsid w:val="00D34DC0"/>
    <w:rsid w:val="00D34EFA"/>
    <w:rsid w:val="00D350DE"/>
    <w:rsid w:val="00D35301"/>
    <w:rsid w:val="00D35482"/>
    <w:rsid w:val="00D354B5"/>
    <w:rsid w:val="00D3563B"/>
    <w:rsid w:val="00D359E4"/>
    <w:rsid w:val="00D35BD3"/>
    <w:rsid w:val="00D3619B"/>
    <w:rsid w:val="00D36405"/>
    <w:rsid w:val="00D3659F"/>
    <w:rsid w:val="00D36CB7"/>
    <w:rsid w:val="00D36FAE"/>
    <w:rsid w:val="00D3711B"/>
    <w:rsid w:val="00D37231"/>
    <w:rsid w:val="00D3737D"/>
    <w:rsid w:val="00D375FD"/>
    <w:rsid w:val="00D37709"/>
    <w:rsid w:val="00D37778"/>
    <w:rsid w:val="00D37799"/>
    <w:rsid w:val="00D37A3B"/>
    <w:rsid w:val="00D37DBE"/>
    <w:rsid w:val="00D40141"/>
    <w:rsid w:val="00D402D7"/>
    <w:rsid w:val="00D404A0"/>
    <w:rsid w:val="00D405E1"/>
    <w:rsid w:val="00D406B0"/>
    <w:rsid w:val="00D40A61"/>
    <w:rsid w:val="00D40EC6"/>
    <w:rsid w:val="00D41121"/>
    <w:rsid w:val="00D4133C"/>
    <w:rsid w:val="00D41584"/>
    <w:rsid w:val="00D415EA"/>
    <w:rsid w:val="00D416B2"/>
    <w:rsid w:val="00D41971"/>
    <w:rsid w:val="00D41CA5"/>
    <w:rsid w:val="00D422A6"/>
    <w:rsid w:val="00D4246D"/>
    <w:rsid w:val="00D42626"/>
    <w:rsid w:val="00D42910"/>
    <w:rsid w:val="00D42E1A"/>
    <w:rsid w:val="00D42E7D"/>
    <w:rsid w:val="00D42F9A"/>
    <w:rsid w:val="00D4362E"/>
    <w:rsid w:val="00D438A8"/>
    <w:rsid w:val="00D43A0C"/>
    <w:rsid w:val="00D43AC4"/>
    <w:rsid w:val="00D43D22"/>
    <w:rsid w:val="00D43D60"/>
    <w:rsid w:val="00D43D7B"/>
    <w:rsid w:val="00D43FA0"/>
    <w:rsid w:val="00D440C9"/>
    <w:rsid w:val="00D441D2"/>
    <w:rsid w:val="00D44231"/>
    <w:rsid w:val="00D44660"/>
    <w:rsid w:val="00D44685"/>
    <w:rsid w:val="00D44746"/>
    <w:rsid w:val="00D44894"/>
    <w:rsid w:val="00D44B38"/>
    <w:rsid w:val="00D44C92"/>
    <w:rsid w:val="00D44DF5"/>
    <w:rsid w:val="00D44E25"/>
    <w:rsid w:val="00D44E87"/>
    <w:rsid w:val="00D45211"/>
    <w:rsid w:val="00D45278"/>
    <w:rsid w:val="00D45A60"/>
    <w:rsid w:val="00D45BA0"/>
    <w:rsid w:val="00D46013"/>
    <w:rsid w:val="00D46214"/>
    <w:rsid w:val="00D46D5F"/>
    <w:rsid w:val="00D46E5A"/>
    <w:rsid w:val="00D47799"/>
    <w:rsid w:val="00D47CD1"/>
    <w:rsid w:val="00D47F65"/>
    <w:rsid w:val="00D50121"/>
    <w:rsid w:val="00D5013C"/>
    <w:rsid w:val="00D50237"/>
    <w:rsid w:val="00D50D1C"/>
    <w:rsid w:val="00D5100C"/>
    <w:rsid w:val="00D511DF"/>
    <w:rsid w:val="00D512D3"/>
    <w:rsid w:val="00D51329"/>
    <w:rsid w:val="00D5133E"/>
    <w:rsid w:val="00D51354"/>
    <w:rsid w:val="00D513F9"/>
    <w:rsid w:val="00D5169A"/>
    <w:rsid w:val="00D517EB"/>
    <w:rsid w:val="00D51ACE"/>
    <w:rsid w:val="00D51B02"/>
    <w:rsid w:val="00D51B77"/>
    <w:rsid w:val="00D51BE4"/>
    <w:rsid w:val="00D51E7F"/>
    <w:rsid w:val="00D51ECA"/>
    <w:rsid w:val="00D5201D"/>
    <w:rsid w:val="00D520A3"/>
    <w:rsid w:val="00D5269B"/>
    <w:rsid w:val="00D528B1"/>
    <w:rsid w:val="00D528C6"/>
    <w:rsid w:val="00D52941"/>
    <w:rsid w:val="00D52AE4"/>
    <w:rsid w:val="00D52C65"/>
    <w:rsid w:val="00D53200"/>
    <w:rsid w:val="00D532A2"/>
    <w:rsid w:val="00D533FC"/>
    <w:rsid w:val="00D535A0"/>
    <w:rsid w:val="00D53697"/>
    <w:rsid w:val="00D539E4"/>
    <w:rsid w:val="00D53CD5"/>
    <w:rsid w:val="00D53EF6"/>
    <w:rsid w:val="00D53F4F"/>
    <w:rsid w:val="00D542F0"/>
    <w:rsid w:val="00D543CC"/>
    <w:rsid w:val="00D549B7"/>
    <w:rsid w:val="00D54B22"/>
    <w:rsid w:val="00D54B59"/>
    <w:rsid w:val="00D54BFC"/>
    <w:rsid w:val="00D54D7D"/>
    <w:rsid w:val="00D54E95"/>
    <w:rsid w:val="00D55049"/>
    <w:rsid w:val="00D5515B"/>
    <w:rsid w:val="00D55290"/>
    <w:rsid w:val="00D552A0"/>
    <w:rsid w:val="00D55563"/>
    <w:rsid w:val="00D55810"/>
    <w:rsid w:val="00D55AC4"/>
    <w:rsid w:val="00D562D6"/>
    <w:rsid w:val="00D56346"/>
    <w:rsid w:val="00D56495"/>
    <w:rsid w:val="00D5668E"/>
    <w:rsid w:val="00D566D1"/>
    <w:rsid w:val="00D56713"/>
    <w:rsid w:val="00D56835"/>
    <w:rsid w:val="00D568C0"/>
    <w:rsid w:val="00D568D7"/>
    <w:rsid w:val="00D56BD2"/>
    <w:rsid w:val="00D56BEA"/>
    <w:rsid w:val="00D56E03"/>
    <w:rsid w:val="00D57010"/>
    <w:rsid w:val="00D572F4"/>
    <w:rsid w:val="00D57546"/>
    <w:rsid w:val="00D57806"/>
    <w:rsid w:val="00D57955"/>
    <w:rsid w:val="00D57FCD"/>
    <w:rsid w:val="00D603D1"/>
    <w:rsid w:val="00D60E13"/>
    <w:rsid w:val="00D613E9"/>
    <w:rsid w:val="00D61B22"/>
    <w:rsid w:val="00D61C15"/>
    <w:rsid w:val="00D61E4B"/>
    <w:rsid w:val="00D62128"/>
    <w:rsid w:val="00D62666"/>
    <w:rsid w:val="00D6281F"/>
    <w:rsid w:val="00D62AC1"/>
    <w:rsid w:val="00D630F8"/>
    <w:rsid w:val="00D6322B"/>
    <w:rsid w:val="00D633BF"/>
    <w:rsid w:val="00D634FE"/>
    <w:rsid w:val="00D63A48"/>
    <w:rsid w:val="00D63D8F"/>
    <w:rsid w:val="00D63FD5"/>
    <w:rsid w:val="00D6422C"/>
    <w:rsid w:val="00D64504"/>
    <w:rsid w:val="00D6454F"/>
    <w:rsid w:val="00D64560"/>
    <w:rsid w:val="00D64919"/>
    <w:rsid w:val="00D649B6"/>
    <w:rsid w:val="00D649DA"/>
    <w:rsid w:val="00D650B0"/>
    <w:rsid w:val="00D651FA"/>
    <w:rsid w:val="00D65392"/>
    <w:rsid w:val="00D65479"/>
    <w:rsid w:val="00D654EE"/>
    <w:rsid w:val="00D65645"/>
    <w:rsid w:val="00D65743"/>
    <w:rsid w:val="00D65E66"/>
    <w:rsid w:val="00D6605D"/>
    <w:rsid w:val="00D66512"/>
    <w:rsid w:val="00D66B3D"/>
    <w:rsid w:val="00D66DCB"/>
    <w:rsid w:val="00D66E3E"/>
    <w:rsid w:val="00D67692"/>
    <w:rsid w:val="00D676C3"/>
    <w:rsid w:val="00D679F1"/>
    <w:rsid w:val="00D67AA9"/>
    <w:rsid w:val="00D67C44"/>
    <w:rsid w:val="00D67D0F"/>
    <w:rsid w:val="00D67D11"/>
    <w:rsid w:val="00D67F9A"/>
    <w:rsid w:val="00D67FAE"/>
    <w:rsid w:val="00D702C9"/>
    <w:rsid w:val="00D7070D"/>
    <w:rsid w:val="00D70947"/>
    <w:rsid w:val="00D70C83"/>
    <w:rsid w:val="00D70CB0"/>
    <w:rsid w:val="00D70CC2"/>
    <w:rsid w:val="00D70DE3"/>
    <w:rsid w:val="00D70F82"/>
    <w:rsid w:val="00D710A1"/>
    <w:rsid w:val="00D71173"/>
    <w:rsid w:val="00D713D5"/>
    <w:rsid w:val="00D7157E"/>
    <w:rsid w:val="00D7170E"/>
    <w:rsid w:val="00D71E75"/>
    <w:rsid w:val="00D72355"/>
    <w:rsid w:val="00D72357"/>
    <w:rsid w:val="00D7243A"/>
    <w:rsid w:val="00D724A4"/>
    <w:rsid w:val="00D728E6"/>
    <w:rsid w:val="00D7297D"/>
    <w:rsid w:val="00D729B8"/>
    <w:rsid w:val="00D72AA7"/>
    <w:rsid w:val="00D72C0F"/>
    <w:rsid w:val="00D7312E"/>
    <w:rsid w:val="00D739D6"/>
    <w:rsid w:val="00D73A72"/>
    <w:rsid w:val="00D73C78"/>
    <w:rsid w:val="00D73EB6"/>
    <w:rsid w:val="00D73F6B"/>
    <w:rsid w:val="00D73F7D"/>
    <w:rsid w:val="00D743D1"/>
    <w:rsid w:val="00D744E4"/>
    <w:rsid w:val="00D74682"/>
    <w:rsid w:val="00D746A7"/>
    <w:rsid w:val="00D74719"/>
    <w:rsid w:val="00D74BCC"/>
    <w:rsid w:val="00D757AC"/>
    <w:rsid w:val="00D75922"/>
    <w:rsid w:val="00D75B67"/>
    <w:rsid w:val="00D76217"/>
    <w:rsid w:val="00D76769"/>
    <w:rsid w:val="00D76A28"/>
    <w:rsid w:val="00D76AA3"/>
    <w:rsid w:val="00D76B71"/>
    <w:rsid w:val="00D76CC6"/>
    <w:rsid w:val="00D76D49"/>
    <w:rsid w:val="00D770D5"/>
    <w:rsid w:val="00D7712A"/>
    <w:rsid w:val="00D77392"/>
    <w:rsid w:val="00D773BF"/>
    <w:rsid w:val="00D77412"/>
    <w:rsid w:val="00D77442"/>
    <w:rsid w:val="00D778B0"/>
    <w:rsid w:val="00D778DF"/>
    <w:rsid w:val="00D77ACB"/>
    <w:rsid w:val="00D77EC4"/>
    <w:rsid w:val="00D77F27"/>
    <w:rsid w:val="00D77F29"/>
    <w:rsid w:val="00D801C8"/>
    <w:rsid w:val="00D80409"/>
    <w:rsid w:val="00D8045A"/>
    <w:rsid w:val="00D8078A"/>
    <w:rsid w:val="00D80A35"/>
    <w:rsid w:val="00D80AD0"/>
    <w:rsid w:val="00D80E78"/>
    <w:rsid w:val="00D81002"/>
    <w:rsid w:val="00D81412"/>
    <w:rsid w:val="00D81433"/>
    <w:rsid w:val="00D8169F"/>
    <w:rsid w:val="00D81A09"/>
    <w:rsid w:val="00D81A1C"/>
    <w:rsid w:val="00D81D1A"/>
    <w:rsid w:val="00D81F7D"/>
    <w:rsid w:val="00D8213F"/>
    <w:rsid w:val="00D82319"/>
    <w:rsid w:val="00D82388"/>
    <w:rsid w:val="00D823F5"/>
    <w:rsid w:val="00D824A0"/>
    <w:rsid w:val="00D8256C"/>
    <w:rsid w:val="00D8270F"/>
    <w:rsid w:val="00D830E9"/>
    <w:rsid w:val="00D831BD"/>
    <w:rsid w:val="00D831DA"/>
    <w:rsid w:val="00D831E9"/>
    <w:rsid w:val="00D833DC"/>
    <w:rsid w:val="00D83582"/>
    <w:rsid w:val="00D835D8"/>
    <w:rsid w:val="00D8391A"/>
    <w:rsid w:val="00D8419A"/>
    <w:rsid w:val="00D841A5"/>
    <w:rsid w:val="00D84366"/>
    <w:rsid w:val="00D84737"/>
    <w:rsid w:val="00D8478B"/>
    <w:rsid w:val="00D8519F"/>
    <w:rsid w:val="00D857A0"/>
    <w:rsid w:val="00D85929"/>
    <w:rsid w:val="00D85945"/>
    <w:rsid w:val="00D85BF7"/>
    <w:rsid w:val="00D86333"/>
    <w:rsid w:val="00D865FB"/>
    <w:rsid w:val="00D86A28"/>
    <w:rsid w:val="00D86A7D"/>
    <w:rsid w:val="00D86C51"/>
    <w:rsid w:val="00D86EAF"/>
    <w:rsid w:val="00D87098"/>
    <w:rsid w:val="00D87198"/>
    <w:rsid w:val="00D873ED"/>
    <w:rsid w:val="00D8740A"/>
    <w:rsid w:val="00D87490"/>
    <w:rsid w:val="00D874BD"/>
    <w:rsid w:val="00D87537"/>
    <w:rsid w:val="00D87AAC"/>
    <w:rsid w:val="00D87B6C"/>
    <w:rsid w:val="00D87C48"/>
    <w:rsid w:val="00D901F4"/>
    <w:rsid w:val="00D904DA"/>
    <w:rsid w:val="00D90803"/>
    <w:rsid w:val="00D90D00"/>
    <w:rsid w:val="00D91213"/>
    <w:rsid w:val="00D91268"/>
    <w:rsid w:val="00D91276"/>
    <w:rsid w:val="00D915B2"/>
    <w:rsid w:val="00D919B5"/>
    <w:rsid w:val="00D91ACC"/>
    <w:rsid w:val="00D91BAA"/>
    <w:rsid w:val="00D91FEB"/>
    <w:rsid w:val="00D92071"/>
    <w:rsid w:val="00D922D8"/>
    <w:rsid w:val="00D92621"/>
    <w:rsid w:val="00D92AB5"/>
    <w:rsid w:val="00D92DE8"/>
    <w:rsid w:val="00D92E25"/>
    <w:rsid w:val="00D92E6B"/>
    <w:rsid w:val="00D92EDA"/>
    <w:rsid w:val="00D92F37"/>
    <w:rsid w:val="00D92F82"/>
    <w:rsid w:val="00D92FC0"/>
    <w:rsid w:val="00D92FEA"/>
    <w:rsid w:val="00D930A2"/>
    <w:rsid w:val="00D93421"/>
    <w:rsid w:val="00D93768"/>
    <w:rsid w:val="00D93E2D"/>
    <w:rsid w:val="00D94157"/>
    <w:rsid w:val="00D9445C"/>
    <w:rsid w:val="00D94760"/>
    <w:rsid w:val="00D94AA2"/>
    <w:rsid w:val="00D94ADD"/>
    <w:rsid w:val="00D94CC5"/>
    <w:rsid w:val="00D94EC8"/>
    <w:rsid w:val="00D94FB1"/>
    <w:rsid w:val="00D953EE"/>
    <w:rsid w:val="00D95807"/>
    <w:rsid w:val="00D9592D"/>
    <w:rsid w:val="00D95970"/>
    <w:rsid w:val="00D95A4D"/>
    <w:rsid w:val="00D95AAB"/>
    <w:rsid w:val="00D95B11"/>
    <w:rsid w:val="00D95CA3"/>
    <w:rsid w:val="00D95D61"/>
    <w:rsid w:val="00D95D9B"/>
    <w:rsid w:val="00D95DBE"/>
    <w:rsid w:val="00D964DD"/>
    <w:rsid w:val="00D968DB"/>
    <w:rsid w:val="00D969ED"/>
    <w:rsid w:val="00D96AAD"/>
    <w:rsid w:val="00D96BA1"/>
    <w:rsid w:val="00D96E15"/>
    <w:rsid w:val="00D96E2B"/>
    <w:rsid w:val="00D97053"/>
    <w:rsid w:val="00D9763F"/>
    <w:rsid w:val="00D97910"/>
    <w:rsid w:val="00D97D05"/>
    <w:rsid w:val="00D97D31"/>
    <w:rsid w:val="00D97DEB"/>
    <w:rsid w:val="00DA0062"/>
    <w:rsid w:val="00DA02C5"/>
    <w:rsid w:val="00DA0307"/>
    <w:rsid w:val="00DA066B"/>
    <w:rsid w:val="00DA0700"/>
    <w:rsid w:val="00DA0AAE"/>
    <w:rsid w:val="00DA0B13"/>
    <w:rsid w:val="00DA0B22"/>
    <w:rsid w:val="00DA0D1C"/>
    <w:rsid w:val="00DA1366"/>
    <w:rsid w:val="00DA1587"/>
    <w:rsid w:val="00DA1C4E"/>
    <w:rsid w:val="00DA1E0F"/>
    <w:rsid w:val="00DA200E"/>
    <w:rsid w:val="00DA24E5"/>
    <w:rsid w:val="00DA2860"/>
    <w:rsid w:val="00DA2FCA"/>
    <w:rsid w:val="00DA3616"/>
    <w:rsid w:val="00DA3889"/>
    <w:rsid w:val="00DA3906"/>
    <w:rsid w:val="00DA3B4F"/>
    <w:rsid w:val="00DA3E5D"/>
    <w:rsid w:val="00DA4F13"/>
    <w:rsid w:val="00DA4F81"/>
    <w:rsid w:val="00DA51C4"/>
    <w:rsid w:val="00DA55D4"/>
    <w:rsid w:val="00DA5743"/>
    <w:rsid w:val="00DA578F"/>
    <w:rsid w:val="00DA591C"/>
    <w:rsid w:val="00DA5DCB"/>
    <w:rsid w:val="00DA60C9"/>
    <w:rsid w:val="00DA60DB"/>
    <w:rsid w:val="00DA6438"/>
    <w:rsid w:val="00DA66D6"/>
    <w:rsid w:val="00DA66DA"/>
    <w:rsid w:val="00DA6AA7"/>
    <w:rsid w:val="00DA70F6"/>
    <w:rsid w:val="00DA712C"/>
    <w:rsid w:val="00DA741D"/>
    <w:rsid w:val="00DA74D4"/>
    <w:rsid w:val="00DA7523"/>
    <w:rsid w:val="00DA7799"/>
    <w:rsid w:val="00DA7BE9"/>
    <w:rsid w:val="00DA7BF6"/>
    <w:rsid w:val="00DA7C29"/>
    <w:rsid w:val="00DA7C46"/>
    <w:rsid w:val="00DB00BD"/>
    <w:rsid w:val="00DB00CE"/>
    <w:rsid w:val="00DB0501"/>
    <w:rsid w:val="00DB0FFB"/>
    <w:rsid w:val="00DB1432"/>
    <w:rsid w:val="00DB145C"/>
    <w:rsid w:val="00DB14CA"/>
    <w:rsid w:val="00DB156E"/>
    <w:rsid w:val="00DB19AA"/>
    <w:rsid w:val="00DB1A8A"/>
    <w:rsid w:val="00DB1A9B"/>
    <w:rsid w:val="00DB1AAB"/>
    <w:rsid w:val="00DB1DED"/>
    <w:rsid w:val="00DB2478"/>
    <w:rsid w:val="00DB293A"/>
    <w:rsid w:val="00DB3011"/>
    <w:rsid w:val="00DB3C8C"/>
    <w:rsid w:val="00DB3F59"/>
    <w:rsid w:val="00DB3FE6"/>
    <w:rsid w:val="00DB43FB"/>
    <w:rsid w:val="00DB4446"/>
    <w:rsid w:val="00DB4899"/>
    <w:rsid w:val="00DB48C7"/>
    <w:rsid w:val="00DB4E35"/>
    <w:rsid w:val="00DB4F37"/>
    <w:rsid w:val="00DB5023"/>
    <w:rsid w:val="00DB5035"/>
    <w:rsid w:val="00DB52AF"/>
    <w:rsid w:val="00DB5A21"/>
    <w:rsid w:val="00DB5B12"/>
    <w:rsid w:val="00DB5B44"/>
    <w:rsid w:val="00DB5DAC"/>
    <w:rsid w:val="00DB5EAD"/>
    <w:rsid w:val="00DB61C0"/>
    <w:rsid w:val="00DB66F9"/>
    <w:rsid w:val="00DB73FA"/>
    <w:rsid w:val="00DB745F"/>
    <w:rsid w:val="00DB754A"/>
    <w:rsid w:val="00DB7585"/>
    <w:rsid w:val="00DB767B"/>
    <w:rsid w:val="00DB785D"/>
    <w:rsid w:val="00DB7A70"/>
    <w:rsid w:val="00DB7BCB"/>
    <w:rsid w:val="00DB7CA6"/>
    <w:rsid w:val="00DB7CA9"/>
    <w:rsid w:val="00DC054A"/>
    <w:rsid w:val="00DC0FBB"/>
    <w:rsid w:val="00DC11D2"/>
    <w:rsid w:val="00DC1347"/>
    <w:rsid w:val="00DC1434"/>
    <w:rsid w:val="00DC14C0"/>
    <w:rsid w:val="00DC1CCC"/>
    <w:rsid w:val="00DC20E0"/>
    <w:rsid w:val="00DC215B"/>
    <w:rsid w:val="00DC246B"/>
    <w:rsid w:val="00DC2547"/>
    <w:rsid w:val="00DC26D0"/>
    <w:rsid w:val="00DC2892"/>
    <w:rsid w:val="00DC2939"/>
    <w:rsid w:val="00DC2976"/>
    <w:rsid w:val="00DC29A1"/>
    <w:rsid w:val="00DC2AB6"/>
    <w:rsid w:val="00DC2B21"/>
    <w:rsid w:val="00DC2ED0"/>
    <w:rsid w:val="00DC306F"/>
    <w:rsid w:val="00DC3958"/>
    <w:rsid w:val="00DC3A4C"/>
    <w:rsid w:val="00DC3A8B"/>
    <w:rsid w:val="00DC3C6B"/>
    <w:rsid w:val="00DC3C73"/>
    <w:rsid w:val="00DC3DB6"/>
    <w:rsid w:val="00DC3DBA"/>
    <w:rsid w:val="00DC3F0C"/>
    <w:rsid w:val="00DC422B"/>
    <w:rsid w:val="00DC42A4"/>
    <w:rsid w:val="00DC42AF"/>
    <w:rsid w:val="00DC4446"/>
    <w:rsid w:val="00DC45C5"/>
    <w:rsid w:val="00DC45D1"/>
    <w:rsid w:val="00DC4BD5"/>
    <w:rsid w:val="00DC4C84"/>
    <w:rsid w:val="00DC4CFE"/>
    <w:rsid w:val="00DC4F59"/>
    <w:rsid w:val="00DC5480"/>
    <w:rsid w:val="00DC56DD"/>
    <w:rsid w:val="00DC5833"/>
    <w:rsid w:val="00DC5D4E"/>
    <w:rsid w:val="00DC5F03"/>
    <w:rsid w:val="00DC61A6"/>
    <w:rsid w:val="00DC645B"/>
    <w:rsid w:val="00DC68D5"/>
    <w:rsid w:val="00DC6924"/>
    <w:rsid w:val="00DC6A77"/>
    <w:rsid w:val="00DC6CFD"/>
    <w:rsid w:val="00DC78B1"/>
    <w:rsid w:val="00DC7A2D"/>
    <w:rsid w:val="00DC7D35"/>
    <w:rsid w:val="00DC7D9B"/>
    <w:rsid w:val="00DD0049"/>
    <w:rsid w:val="00DD0399"/>
    <w:rsid w:val="00DD05E1"/>
    <w:rsid w:val="00DD073E"/>
    <w:rsid w:val="00DD0D66"/>
    <w:rsid w:val="00DD0F27"/>
    <w:rsid w:val="00DD1090"/>
    <w:rsid w:val="00DD12AA"/>
    <w:rsid w:val="00DD151A"/>
    <w:rsid w:val="00DD167B"/>
    <w:rsid w:val="00DD168D"/>
    <w:rsid w:val="00DD1E99"/>
    <w:rsid w:val="00DD2034"/>
    <w:rsid w:val="00DD2183"/>
    <w:rsid w:val="00DD2518"/>
    <w:rsid w:val="00DD2577"/>
    <w:rsid w:val="00DD26D2"/>
    <w:rsid w:val="00DD2D37"/>
    <w:rsid w:val="00DD2DD5"/>
    <w:rsid w:val="00DD2E39"/>
    <w:rsid w:val="00DD34DC"/>
    <w:rsid w:val="00DD3B2C"/>
    <w:rsid w:val="00DD3C17"/>
    <w:rsid w:val="00DD3D61"/>
    <w:rsid w:val="00DD3EC1"/>
    <w:rsid w:val="00DD4203"/>
    <w:rsid w:val="00DD4303"/>
    <w:rsid w:val="00DD4330"/>
    <w:rsid w:val="00DD46AF"/>
    <w:rsid w:val="00DD48E5"/>
    <w:rsid w:val="00DD4C20"/>
    <w:rsid w:val="00DD4C8F"/>
    <w:rsid w:val="00DD4D0E"/>
    <w:rsid w:val="00DD5324"/>
    <w:rsid w:val="00DD535B"/>
    <w:rsid w:val="00DD5464"/>
    <w:rsid w:val="00DD576B"/>
    <w:rsid w:val="00DD5CB8"/>
    <w:rsid w:val="00DD5E7B"/>
    <w:rsid w:val="00DD5E82"/>
    <w:rsid w:val="00DD5FF0"/>
    <w:rsid w:val="00DD6504"/>
    <w:rsid w:val="00DD65E0"/>
    <w:rsid w:val="00DD66B1"/>
    <w:rsid w:val="00DD66E5"/>
    <w:rsid w:val="00DD69AF"/>
    <w:rsid w:val="00DD6C9E"/>
    <w:rsid w:val="00DD6D21"/>
    <w:rsid w:val="00DD6F10"/>
    <w:rsid w:val="00DD7131"/>
    <w:rsid w:val="00DD7136"/>
    <w:rsid w:val="00DD72D9"/>
    <w:rsid w:val="00DD76A1"/>
    <w:rsid w:val="00DD7A01"/>
    <w:rsid w:val="00DD7B08"/>
    <w:rsid w:val="00DD7D63"/>
    <w:rsid w:val="00DD7F92"/>
    <w:rsid w:val="00DD7FB6"/>
    <w:rsid w:val="00DE0012"/>
    <w:rsid w:val="00DE0155"/>
    <w:rsid w:val="00DE0453"/>
    <w:rsid w:val="00DE0577"/>
    <w:rsid w:val="00DE0A29"/>
    <w:rsid w:val="00DE0BCA"/>
    <w:rsid w:val="00DE0F18"/>
    <w:rsid w:val="00DE1000"/>
    <w:rsid w:val="00DE10AC"/>
    <w:rsid w:val="00DE116C"/>
    <w:rsid w:val="00DE1502"/>
    <w:rsid w:val="00DE2347"/>
    <w:rsid w:val="00DE26ED"/>
    <w:rsid w:val="00DE288C"/>
    <w:rsid w:val="00DE2B53"/>
    <w:rsid w:val="00DE2DE3"/>
    <w:rsid w:val="00DE2F6E"/>
    <w:rsid w:val="00DE2FBF"/>
    <w:rsid w:val="00DE319D"/>
    <w:rsid w:val="00DE3214"/>
    <w:rsid w:val="00DE367D"/>
    <w:rsid w:val="00DE3B7E"/>
    <w:rsid w:val="00DE425D"/>
    <w:rsid w:val="00DE4650"/>
    <w:rsid w:val="00DE4940"/>
    <w:rsid w:val="00DE4B53"/>
    <w:rsid w:val="00DE4C2B"/>
    <w:rsid w:val="00DE550C"/>
    <w:rsid w:val="00DE5653"/>
    <w:rsid w:val="00DE5B9A"/>
    <w:rsid w:val="00DE5C55"/>
    <w:rsid w:val="00DE5C90"/>
    <w:rsid w:val="00DE5F70"/>
    <w:rsid w:val="00DE621B"/>
    <w:rsid w:val="00DE62DC"/>
    <w:rsid w:val="00DE661B"/>
    <w:rsid w:val="00DE66EF"/>
    <w:rsid w:val="00DE674E"/>
    <w:rsid w:val="00DE68DC"/>
    <w:rsid w:val="00DE69F6"/>
    <w:rsid w:val="00DE6A80"/>
    <w:rsid w:val="00DE6CEC"/>
    <w:rsid w:val="00DE6DD4"/>
    <w:rsid w:val="00DE6E37"/>
    <w:rsid w:val="00DE70AD"/>
    <w:rsid w:val="00DE70D9"/>
    <w:rsid w:val="00DE71EB"/>
    <w:rsid w:val="00DE727D"/>
    <w:rsid w:val="00DE7735"/>
    <w:rsid w:val="00DE78A4"/>
    <w:rsid w:val="00DE7916"/>
    <w:rsid w:val="00DE79DC"/>
    <w:rsid w:val="00DE7D37"/>
    <w:rsid w:val="00DF0201"/>
    <w:rsid w:val="00DF0241"/>
    <w:rsid w:val="00DF0292"/>
    <w:rsid w:val="00DF03BC"/>
    <w:rsid w:val="00DF05C0"/>
    <w:rsid w:val="00DF069E"/>
    <w:rsid w:val="00DF079F"/>
    <w:rsid w:val="00DF0916"/>
    <w:rsid w:val="00DF09E0"/>
    <w:rsid w:val="00DF0A21"/>
    <w:rsid w:val="00DF0BB2"/>
    <w:rsid w:val="00DF0C8F"/>
    <w:rsid w:val="00DF0CB9"/>
    <w:rsid w:val="00DF0CCB"/>
    <w:rsid w:val="00DF0FB9"/>
    <w:rsid w:val="00DF13FF"/>
    <w:rsid w:val="00DF185B"/>
    <w:rsid w:val="00DF185C"/>
    <w:rsid w:val="00DF1AA3"/>
    <w:rsid w:val="00DF1BDA"/>
    <w:rsid w:val="00DF1E2D"/>
    <w:rsid w:val="00DF23C2"/>
    <w:rsid w:val="00DF274E"/>
    <w:rsid w:val="00DF27D0"/>
    <w:rsid w:val="00DF2BB3"/>
    <w:rsid w:val="00DF2BC7"/>
    <w:rsid w:val="00DF2C8B"/>
    <w:rsid w:val="00DF2DF5"/>
    <w:rsid w:val="00DF2F63"/>
    <w:rsid w:val="00DF2F83"/>
    <w:rsid w:val="00DF32E6"/>
    <w:rsid w:val="00DF367E"/>
    <w:rsid w:val="00DF372B"/>
    <w:rsid w:val="00DF37CF"/>
    <w:rsid w:val="00DF37F8"/>
    <w:rsid w:val="00DF3ACE"/>
    <w:rsid w:val="00DF3C09"/>
    <w:rsid w:val="00DF3D89"/>
    <w:rsid w:val="00DF3FA4"/>
    <w:rsid w:val="00DF43E9"/>
    <w:rsid w:val="00DF44F1"/>
    <w:rsid w:val="00DF4E3B"/>
    <w:rsid w:val="00DF4E81"/>
    <w:rsid w:val="00DF525B"/>
    <w:rsid w:val="00DF5648"/>
    <w:rsid w:val="00DF575C"/>
    <w:rsid w:val="00DF592C"/>
    <w:rsid w:val="00DF5937"/>
    <w:rsid w:val="00DF5996"/>
    <w:rsid w:val="00DF5DCC"/>
    <w:rsid w:val="00DF6042"/>
    <w:rsid w:val="00DF61FF"/>
    <w:rsid w:val="00DF65AA"/>
    <w:rsid w:val="00DF6785"/>
    <w:rsid w:val="00DF6B4A"/>
    <w:rsid w:val="00DF6BC7"/>
    <w:rsid w:val="00DF6C07"/>
    <w:rsid w:val="00DF6C7F"/>
    <w:rsid w:val="00DF7027"/>
    <w:rsid w:val="00DF70A8"/>
    <w:rsid w:val="00DF748F"/>
    <w:rsid w:val="00DF75F4"/>
    <w:rsid w:val="00DF78DA"/>
    <w:rsid w:val="00DF7918"/>
    <w:rsid w:val="00DF7A04"/>
    <w:rsid w:val="00DF7E8A"/>
    <w:rsid w:val="00DF7FDC"/>
    <w:rsid w:val="00E0028C"/>
    <w:rsid w:val="00E004AC"/>
    <w:rsid w:val="00E00825"/>
    <w:rsid w:val="00E00841"/>
    <w:rsid w:val="00E00F55"/>
    <w:rsid w:val="00E0137D"/>
    <w:rsid w:val="00E01504"/>
    <w:rsid w:val="00E0160F"/>
    <w:rsid w:val="00E016EA"/>
    <w:rsid w:val="00E01963"/>
    <w:rsid w:val="00E01D28"/>
    <w:rsid w:val="00E01ED0"/>
    <w:rsid w:val="00E01F13"/>
    <w:rsid w:val="00E02278"/>
    <w:rsid w:val="00E023F8"/>
    <w:rsid w:val="00E02591"/>
    <w:rsid w:val="00E028EA"/>
    <w:rsid w:val="00E02965"/>
    <w:rsid w:val="00E0296C"/>
    <w:rsid w:val="00E029C4"/>
    <w:rsid w:val="00E02DBA"/>
    <w:rsid w:val="00E03066"/>
    <w:rsid w:val="00E0332F"/>
    <w:rsid w:val="00E03505"/>
    <w:rsid w:val="00E03601"/>
    <w:rsid w:val="00E036CB"/>
    <w:rsid w:val="00E03818"/>
    <w:rsid w:val="00E03B89"/>
    <w:rsid w:val="00E03BCF"/>
    <w:rsid w:val="00E03C58"/>
    <w:rsid w:val="00E03D94"/>
    <w:rsid w:val="00E040C3"/>
    <w:rsid w:val="00E042A1"/>
    <w:rsid w:val="00E042AE"/>
    <w:rsid w:val="00E044A4"/>
    <w:rsid w:val="00E04602"/>
    <w:rsid w:val="00E046D6"/>
    <w:rsid w:val="00E0475F"/>
    <w:rsid w:val="00E04807"/>
    <w:rsid w:val="00E04BB9"/>
    <w:rsid w:val="00E04C38"/>
    <w:rsid w:val="00E0505E"/>
    <w:rsid w:val="00E0508F"/>
    <w:rsid w:val="00E050B4"/>
    <w:rsid w:val="00E05776"/>
    <w:rsid w:val="00E057BD"/>
    <w:rsid w:val="00E058E2"/>
    <w:rsid w:val="00E05B02"/>
    <w:rsid w:val="00E05C9A"/>
    <w:rsid w:val="00E06021"/>
    <w:rsid w:val="00E06692"/>
    <w:rsid w:val="00E069BE"/>
    <w:rsid w:val="00E06A18"/>
    <w:rsid w:val="00E0706E"/>
    <w:rsid w:val="00E0767C"/>
    <w:rsid w:val="00E0768C"/>
    <w:rsid w:val="00E07B60"/>
    <w:rsid w:val="00E07CC3"/>
    <w:rsid w:val="00E07D47"/>
    <w:rsid w:val="00E07F4F"/>
    <w:rsid w:val="00E10137"/>
    <w:rsid w:val="00E102E7"/>
    <w:rsid w:val="00E104BB"/>
    <w:rsid w:val="00E108C6"/>
    <w:rsid w:val="00E10C5A"/>
    <w:rsid w:val="00E10C79"/>
    <w:rsid w:val="00E10CC8"/>
    <w:rsid w:val="00E10F31"/>
    <w:rsid w:val="00E10F44"/>
    <w:rsid w:val="00E1119B"/>
    <w:rsid w:val="00E11383"/>
    <w:rsid w:val="00E115E3"/>
    <w:rsid w:val="00E11A65"/>
    <w:rsid w:val="00E11B17"/>
    <w:rsid w:val="00E11B36"/>
    <w:rsid w:val="00E11CFB"/>
    <w:rsid w:val="00E11DBB"/>
    <w:rsid w:val="00E11F1F"/>
    <w:rsid w:val="00E11F2E"/>
    <w:rsid w:val="00E120C7"/>
    <w:rsid w:val="00E122E3"/>
    <w:rsid w:val="00E124EF"/>
    <w:rsid w:val="00E124F2"/>
    <w:rsid w:val="00E12595"/>
    <w:rsid w:val="00E125BB"/>
    <w:rsid w:val="00E12612"/>
    <w:rsid w:val="00E1281D"/>
    <w:rsid w:val="00E12B2B"/>
    <w:rsid w:val="00E12CF0"/>
    <w:rsid w:val="00E12D60"/>
    <w:rsid w:val="00E12EB1"/>
    <w:rsid w:val="00E12F3E"/>
    <w:rsid w:val="00E12F8C"/>
    <w:rsid w:val="00E13043"/>
    <w:rsid w:val="00E135EF"/>
    <w:rsid w:val="00E13606"/>
    <w:rsid w:val="00E13662"/>
    <w:rsid w:val="00E13A4B"/>
    <w:rsid w:val="00E13B28"/>
    <w:rsid w:val="00E13D78"/>
    <w:rsid w:val="00E13E1C"/>
    <w:rsid w:val="00E13EEE"/>
    <w:rsid w:val="00E13F21"/>
    <w:rsid w:val="00E140A6"/>
    <w:rsid w:val="00E142F7"/>
    <w:rsid w:val="00E143C3"/>
    <w:rsid w:val="00E145BF"/>
    <w:rsid w:val="00E1461A"/>
    <w:rsid w:val="00E1488A"/>
    <w:rsid w:val="00E148B2"/>
    <w:rsid w:val="00E14C48"/>
    <w:rsid w:val="00E14D47"/>
    <w:rsid w:val="00E14DBD"/>
    <w:rsid w:val="00E150AE"/>
    <w:rsid w:val="00E150E0"/>
    <w:rsid w:val="00E1522D"/>
    <w:rsid w:val="00E15727"/>
    <w:rsid w:val="00E15750"/>
    <w:rsid w:val="00E1584E"/>
    <w:rsid w:val="00E159D4"/>
    <w:rsid w:val="00E15CDE"/>
    <w:rsid w:val="00E1605C"/>
    <w:rsid w:val="00E1620B"/>
    <w:rsid w:val="00E1653A"/>
    <w:rsid w:val="00E168FB"/>
    <w:rsid w:val="00E16BB5"/>
    <w:rsid w:val="00E16CED"/>
    <w:rsid w:val="00E1718D"/>
    <w:rsid w:val="00E174EA"/>
    <w:rsid w:val="00E17B56"/>
    <w:rsid w:val="00E202CD"/>
    <w:rsid w:val="00E2030C"/>
    <w:rsid w:val="00E2039D"/>
    <w:rsid w:val="00E2051F"/>
    <w:rsid w:val="00E20A13"/>
    <w:rsid w:val="00E21115"/>
    <w:rsid w:val="00E2134A"/>
    <w:rsid w:val="00E21732"/>
    <w:rsid w:val="00E21936"/>
    <w:rsid w:val="00E21D9C"/>
    <w:rsid w:val="00E21E1B"/>
    <w:rsid w:val="00E21FEA"/>
    <w:rsid w:val="00E221B0"/>
    <w:rsid w:val="00E22577"/>
    <w:rsid w:val="00E228EF"/>
    <w:rsid w:val="00E22A03"/>
    <w:rsid w:val="00E23343"/>
    <w:rsid w:val="00E23510"/>
    <w:rsid w:val="00E23542"/>
    <w:rsid w:val="00E235D4"/>
    <w:rsid w:val="00E2369B"/>
    <w:rsid w:val="00E23E27"/>
    <w:rsid w:val="00E2408F"/>
    <w:rsid w:val="00E2433B"/>
    <w:rsid w:val="00E24553"/>
    <w:rsid w:val="00E2480E"/>
    <w:rsid w:val="00E24924"/>
    <w:rsid w:val="00E24C92"/>
    <w:rsid w:val="00E25078"/>
    <w:rsid w:val="00E254AD"/>
    <w:rsid w:val="00E2557F"/>
    <w:rsid w:val="00E257A7"/>
    <w:rsid w:val="00E25814"/>
    <w:rsid w:val="00E258CD"/>
    <w:rsid w:val="00E259A5"/>
    <w:rsid w:val="00E25A42"/>
    <w:rsid w:val="00E25A59"/>
    <w:rsid w:val="00E25D75"/>
    <w:rsid w:val="00E25E1D"/>
    <w:rsid w:val="00E25EF2"/>
    <w:rsid w:val="00E26328"/>
    <w:rsid w:val="00E26735"/>
    <w:rsid w:val="00E26791"/>
    <w:rsid w:val="00E267B1"/>
    <w:rsid w:val="00E2680F"/>
    <w:rsid w:val="00E26AE5"/>
    <w:rsid w:val="00E26E94"/>
    <w:rsid w:val="00E275AF"/>
    <w:rsid w:val="00E275E4"/>
    <w:rsid w:val="00E27674"/>
    <w:rsid w:val="00E2790F"/>
    <w:rsid w:val="00E30009"/>
    <w:rsid w:val="00E300B7"/>
    <w:rsid w:val="00E30223"/>
    <w:rsid w:val="00E3057C"/>
    <w:rsid w:val="00E305E6"/>
    <w:rsid w:val="00E30816"/>
    <w:rsid w:val="00E309CA"/>
    <w:rsid w:val="00E30C4E"/>
    <w:rsid w:val="00E30C5C"/>
    <w:rsid w:val="00E30F56"/>
    <w:rsid w:val="00E315EC"/>
    <w:rsid w:val="00E31A23"/>
    <w:rsid w:val="00E31A65"/>
    <w:rsid w:val="00E31CE2"/>
    <w:rsid w:val="00E321FD"/>
    <w:rsid w:val="00E32646"/>
    <w:rsid w:val="00E32746"/>
    <w:rsid w:val="00E32972"/>
    <w:rsid w:val="00E32AC5"/>
    <w:rsid w:val="00E32F2C"/>
    <w:rsid w:val="00E33473"/>
    <w:rsid w:val="00E33A33"/>
    <w:rsid w:val="00E33BBC"/>
    <w:rsid w:val="00E33F35"/>
    <w:rsid w:val="00E340C7"/>
    <w:rsid w:val="00E34196"/>
    <w:rsid w:val="00E341C7"/>
    <w:rsid w:val="00E341D5"/>
    <w:rsid w:val="00E342A1"/>
    <w:rsid w:val="00E34454"/>
    <w:rsid w:val="00E3445D"/>
    <w:rsid w:val="00E34634"/>
    <w:rsid w:val="00E347ED"/>
    <w:rsid w:val="00E348BC"/>
    <w:rsid w:val="00E34A1A"/>
    <w:rsid w:val="00E34B4E"/>
    <w:rsid w:val="00E34C49"/>
    <w:rsid w:val="00E34D86"/>
    <w:rsid w:val="00E34DE4"/>
    <w:rsid w:val="00E350F5"/>
    <w:rsid w:val="00E35222"/>
    <w:rsid w:val="00E3598F"/>
    <w:rsid w:val="00E35B39"/>
    <w:rsid w:val="00E35BE4"/>
    <w:rsid w:val="00E360B9"/>
    <w:rsid w:val="00E3676D"/>
    <w:rsid w:val="00E36AA4"/>
    <w:rsid w:val="00E36BF1"/>
    <w:rsid w:val="00E36C45"/>
    <w:rsid w:val="00E36F57"/>
    <w:rsid w:val="00E37214"/>
    <w:rsid w:val="00E373DA"/>
    <w:rsid w:val="00E37427"/>
    <w:rsid w:val="00E374BF"/>
    <w:rsid w:val="00E377EA"/>
    <w:rsid w:val="00E3789D"/>
    <w:rsid w:val="00E37ACB"/>
    <w:rsid w:val="00E37B34"/>
    <w:rsid w:val="00E37C16"/>
    <w:rsid w:val="00E37D0C"/>
    <w:rsid w:val="00E37E76"/>
    <w:rsid w:val="00E37E85"/>
    <w:rsid w:val="00E37EF6"/>
    <w:rsid w:val="00E40389"/>
    <w:rsid w:val="00E403F7"/>
    <w:rsid w:val="00E40471"/>
    <w:rsid w:val="00E40637"/>
    <w:rsid w:val="00E4079B"/>
    <w:rsid w:val="00E40929"/>
    <w:rsid w:val="00E4094D"/>
    <w:rsid w:val="00E40BDE"/>
    <w:rsid w:val="00E40E74"/>
    <w:rsid w:val="00E4106C"/>
    <w:rsid w:val="00E414BA"/>
    <w:rsid w:val="00E41ABC"/>
    <w:rsid w:val="00E41B2D"/>
    <w:rsid w:val="00E42417"/>
    <w:rsid w:val="00E4249E"/>
    <w:rsid w:val="00E42544"/>
    <w:rsid w:val="00E42556"/>
    <w:rsid w:val="00E427E2"/>
    <w:rsid w:val="00E42D32"/>
    <w:rsid w:val="00E43427"/>
    <w:rsid w:val="00E43540"/>
    <w:rsid w:val="00E4369C"/>
    <w:rsid w:val="00E439D6"/>
    <w:rsid w:val="00E43CEC"/>
    <w:rsid w:val="00E43E5D"/>
    <w:rsid w:val="00E44064"/>
    <w:rsid w:val="00E4410C"/>
    <w:rsid w:val="00E44147"/>
    <w:rsid w:val="00E441B2"/>
    <w:rsid w:val="00E443D0"/>
    <w:rsid w:val="00E444FF"/>
    <w:rsid w:val="00E44806"/>
    <w:rsid w:val="00E44AB5"/>
    <w:rsid w:val="00E44B33"/>
    <w:rsid w:val="00E44B49"/>
    <w:rsid w:val="00E44B9F"/>
    <w:rsid w:val="00E44BA1"/>
    <w:rsid w:val="00E44D9D"/>
    <w:rsid w:val="00E44EAC"/>
    <w:rsid w:val="00E451A3"/>
    <w:rsid w:val="00E45670"/>
    <w:rsid w:val="00E4571B"/>
    <w:rsid w:val="00E457F7"/>
    <w:rsid w:val="00E45821"/>
    <w:rsid w:val="00E45845"/>
    <w:rsid w:val="00E459F6"/>
    <w:rsid w:val="00E45A33"/>
    <w:rsid w:val="00E45AC2"/>
    <w:rsid w:val="00E45B9D"/>
    <w:rsid w:val="00E45BEC"/>
    <w:rsid w:val="00E464C5"/>
    <w:rsid w:val="00E46772"/>
    <w:rsid w:val="00E4684F"/>
    <w:rsid w:val="00E46B04"/>
    <w:rsid w:val="00E46C1B"/>
    <w:rsid w:val="00E46D4F"/>
    <w:rsid w:val="00E46E65"/>
    <w:rsid w:val="00E473B7"/>
    <w:rsid w:val="00E47784"/>
    <w:rsid w:val="00E4798E"/>
    <w:rsid w:val="00E503E9"/>
    <w:rsid w:val="00E506B5"/>
    <w:rsid w:val="00E506C9"/>
    <w:rsid w:val="00E50713"/>
    <w:rsid w:val="00E5071A"/>
    <w:rsid w:val="00E5085D"/>
    <w:rsid w:val="00E50CF5"/>
    <w:rsid w:val="00E51445"/>
    <w:rsid w:val="00E51B30"/>
    <w:rsid w:val="00E51EE5"/>
    <w:rsid w:val="00E51F1A"/>
    <w:rsid w:val="00E52AD5"/>
    <w:rsid w:val="00E52BAA"/>
    <w:rsid w:val="00E52BF9"/>
    <w:rsid w:val="00E52CD2"/>
    <w:rsid w:val="00E53325"/>
    <w:rsid w:val="00E534A3"/>
    <w:rsid w:val="00E53673"/>
    <w:rsid w:val="00E5394B"/>
    <w:rsid w:val="00E53A9F"/>
    <w:rsid w:val="00E53D03"/>
    <w:rsid w:val="00E53DC7"/>
    <w:rsid w:val="00E53EF4"/>
    <w:rsid w:val="00E53FEC"/>
    <w:rsid w:val="00E54028"/>
    <w:rsid w:val="00E54152"/>
    <w:rsid w:val="00E542AD"/>
    <w:rsid w:val="00E5443E"/>
    <w:rsid w:val="00E5452D"/>
    <w:rsid w:val="00E54646"/>
    <w:rsid w:val="00E5469F"/>
    <w:rsid w:val="00E54E5B"/>
    <w:rsid w:val="00E54F19"/>
    <w:rsid w:val="00E5505A"/>
    <w:rsid w:val="00E55272"/>
    <w:rsid w:val="00E55390"/>
    <w:rsid w:val="00E55431"/>
    <w:rsid w:val="00E55495"/>
    <w:rsid w:val="00E5565E"/>
    <w:rsid w:val="00E55BD7"/>
    <w:rsid w:val="00E55E7C"/>
    <w:rsid w:val="00E55F43"/>
    <w:rsid w:val="00E55F8A"/>
    <w:rsid w:val="00E5610B"/>
    <w:rsid w:val="00E562CA"/>
    <w:rsid w:val="00E567D4"/>
    <w:rsid w:val="00E57202"/>
    <w:rsid w:val="00E57A29"/>
    <w:rsid w:val="00E6001E"/>
    <w:rsid w:val="00E60422"/>
    <w:rsid w:val="00E60891"/>
    <w:rsid w:val="00E609B5"/>
    <w:rsid w:val="00E60BFF"/>
    <w:rsid w:val="00E60D9A"/>
    <w:rsid w:val="00E60DE7"/>
    <w:rsid w:val="00E60E8E"/>
    <w:rsid w:val="00E60F48"/>
    <w:rsid w:val="00E610A6"/>
    <w:rsid w:val="00E610D6"/>
    <w:rsid w:val="00E61880"/>
    <w:rsid w:val="00E61B90"/>
    <w:rsid w:val="00E61C90"/>
    <w:rsid w:val="00E61CB5"/>
    <w:rsid w:val="00E61E14"/>
    <w:rsid w:val="00E61EF2"/>
    <w:rsid w:val="00E61F01"/>
    <w:rsid w:val="00E628AD"/>
    <w:rsid w:val="00E629AD"/>
    <w:rsid w:val="00E62A6C"/>
    <w:rsid w:val="00E62A92"/>
    <w:rsid w:val="00E62C4C"/>
    <w:rsid w:val="00E63194"/>
    <w:rsid w:val="00E631A0"/>
    <w:rsid w:val="00E634E1"/>
    <w:rsid w:val="00E6363D"/>
    <w:rsid w:val="00E63920"/>
    <w:rsid w:val="00E63A7D"/>
    <w:rsid w:val="00E63B0B"/>
    <w:rsid w:val="00E63B98"/>
    <w:rsid w:val="00E63BF4"/>
    <w:rsid w:val="00E6409C"/>
    <w:rsid w:val="00E64B83"/>
    <w:rsid w:val="00E64F82"/>
    <w:rsid w:val="00E64F88"/>
    <w:rsid w:val="00E65087"/>
    <w:rsid w:val="00E652FC"/>
    <w:rsid w:val="00E65728"/>
    <w:rsid w:val="00E65827"/>
    <w:rsid w:val="00E658D5"/>
    <w:rsid w:val="00E659FD"/>
    <w:rsid w:val="00E66122"/>
    <w:rsid w:val="00E662B9"/>
    <w:rsid w:val="00E663FF"/>
    <w:rsid w:val="00E66455"/>
    <w:rsid w:val="00E669E6"/>
    <w:rsid w:val="00E66F26"/>
    <w:rsid w:val="00E66F87"/>
    <w:rsid w:val="00E66FDC"/>
    <w:rsid w:val="00E67118"/>
    <w:rsid w:val="00E67590"/>
    <w:rsid w:val="00E677E1"/>
    <w:rsid w:val="00E67A68"/>
    <w:rsid w:val="00E67B6A"/>
    <w:rsid w:val="00E67D23"/>
    <w:rsid w:val="00E700EB"/>
    <w:rsid w:val="00E70AD7"/>
    <w:rsid w:val="00E70B10"/>
    <w:rsid w:val="00E70BE6"/>
    <w:rsid w:val="00E70FEF"/>
    <w:rsid w:val="00E710F7"/>
    <w:rsid w:val="00E71274"/>
    <w:rsid w:val="00E713DD"/>
    <w:rsid w:val="00E71464"/>
    <w:rsid w:val="00E71610"/>
    <w:rsid w:val="00E716EA"/>
    <w:rsid w:val="00E71909"/>
    <w:rsid w:val="00E71A25"/>
    <w:rsid w:val="00E71C28"/>
    <w:rsid w:val="00E71C72"/>
    <w:rsid w:val="00E71CAF"/>
    <w:rsid w:val="00E7220C"/>
    <w:rsid w:val="00E72458"/>
    <w:rsid w:val="00E724EB"/>
    <w:rsid w:val="00E72511"/>
    <w:rsid w:val="00E726F8"/>
    <w:rsid w:val="00E72947"/>
    <w:rsid w:val="00E729B2"/>
    <w:rsid w:val="00E72A99"/>
    <w:rsid w:val="00E72ABB"/>
    <w:rsid w:val="00E72D06"/>
    <w:rsid w:val="00E73066"/>
    <w:rsid w:val="00E73329"/>
    <w:rsid w:val="00E73A07"/>
    <w:rsid w:val="00E73E14"/>
    <w:rsid w:val="00E74499"/>
    <w:rsid w:val="00E74635"/>
    <w:rsid w:val="00E7466F"/>
    <w:rsid w:val="00E747B4"/>
    <w:rsid w:val="00E74E5E"/>
    <w:rsid w:val="00E74E61"/>
    <w:rsid w:val="00E750FA"/>
    <w:rsid w:val="00E7531C"/>
    <w:rsid w:val="00E75355"/>
    <w:rsid w:val="00E758CF"/>
    <w:rsid w:val="00E75909"/>
    <w:rsid w:val="00E760A2"/>
    <w:rsid w:val="00E764D5"/>
    <w:rsid w:val="00E767F8"/>
    <w:rsid w:val="00E76899"/>
    <w:rsid w:val="00E76B0B"/>
    <w:rsid w:val="00E76BCD"/>
    <w:rsid w:val="00E76BF3"/>
    <w:rsid w:val="00E76C84"/>
    <w:rsid w:val="00E76D8B"/>
    <w:rsid w:val="00E7789E"/>
    <w:rsid w:val="00E77EA4"/>
    <w:rsid w:val="00E801D8"/>
    <w:rsid w:val="00E803F8"/>
    <w:rsid w:val="00E8081D"/>
    <w:rsid w:val="00E80C9E"/>
    <w:rsid w:val="00E80D46"/>
    <w:rsid w:val="00E80E4A"/>
    <w:rsid w:val="00E80EFB"/>
    <w:rsid w:val="00E80FC6"/>
    <w:rsid w:val="00E8119A"/>
    <w:rsid w:val="00E812C7"/>
    <w:rsid w:val="00E8183E"/>
    <w:rsid w:val="00E81B08"/>
    <w:rsid w:val="00E81BD2"/>
    <w:rsid w:val="00E826A2"/>
    <w:rsid w:val="00E826BE"/>
    <w:rsid w:val="00E828A4"/>
    <w:rsid w:val="00E82A79"/>
    <w:rsid w:val="00E82AA6"/>
    <w:rsid w:val="00E82FEC"/>
    <w:rsid w:val="00E830A7"/>
    <w:rsid w:val="00E83201"/>
    <w:rsid w:val="00E832E6"/>
    <w:rsid w:val="00E833A0"/>
    <w:rsid w:val="00E83614"/>
    <w:rsid w:val="00E83BE6"/>
    <w:rsid w:val="00E83D60"/>
    <w:rsid w:val="00E83D71"/>
    <w:rsid w:val="00E83E14"/>
    <w:rsid w:val="00E83E5A"/>
    <w:rsid w:val="00E84323"/>
    <w:rsid w:val="00E84618"/>
    <w:rsid w:val="00E8492E"/>
    <w:rsid w:val="00E84A91"/>
    <w:rsid w:val="00E84E7B"/>
    <w:rsid w:val="00E85246"/>
    <w:rsid w:val="00E85A7C"/>
    <w:rsid w:val="00E85D68"/>
    <w:rsid w:val="00E85F2A"/>
    <w:rsid w:val="00E86036"/>
    <w:rsid w:val="00E86059"/>
    <w:rsid w:val="00E86200"/>
    <w:rsid w:val="00E8620F"/>
    <w:rsid w:val="00E86632"/>
    <w:rsid w:val="00E86959"/>
    <w:rsid w:val="00E869D8"/>
    <w:rsid w:val="00E86B69"/>
    <w:rsid w:val="00E86D92"/>
    <w:rsid w:val="00E86DB0"/>
    <w:rsid w:val="00E86F4E"/>
    <w:rsid w:val="00E87376"/>
    <w:rsid w:val="00E87443"/>
    <w:rsid w:val="00E87623"/>
    <w:rsid w:val="00E87755"/>
    <w:rsid w:val="00E87767"/>
    <w:rsid w:val="00E87910"/>
    <w:rsid w:val="00E879E7"/>
    <w:rsid w:val="00E87AF0"/>
    <w:rsid w:val="00E87B31"/>
    <w:rsid w:val="00E87B5A"/>
    <w:rsid w:val="00E87B88"/>
    <w:rsid w:val="00E87D58"/>
    <w:rsid w:val="00E9006C"/>
    <w:rsid w:val="00E90379"/>
    <w:rsid w:val="00E90957"/>
    <w:rsid w:val="00E90A90"/>
    <w:rsid w:val="00E90C44"/>
    <w:rsid w:val="00E90EE5"/>
    <w:rsid w:val="00E90FB6"/>
    <w:rsid w:val="00E91124"/>
    <w:rsid w:val="00E91144"/>
    <w:rsid w:val="00E9174D"/>
    <w:rsid w:val="00E919D1"/>
    <w:rsid w:val="00E91B55"/>
    <w:rsid w:val="00E91CF8"/>
    <w:rsid w:val="00E91D8C"/>
    <w:rsid w:val="00E91FD1"/>
    <w:rsid w:val="00E9278D"/>
    <w:rsid w:val="00E92AA8"/>
    <w:rsid w:val="00E92D9E"/>
    <w:rsid w:val="00E92DD9"/>
    <w:rsid w:val="00E92F23"/>
    <w:rsid w:val="00E92F6F"/>
    <w:rsid w:val="00E932EE"/>
    <w:rsid w:val="00E93418"/>
    <w:rsid w:val="00E93B25"/>
    <w:rsid w:val="00E93CA6"/>
    <w:rsid w:val="00E93D25"/>
    <w:rsid w:val="00E94128"/>
    <w:rsid w:val="00E94148"/>
    <w:rsid w:val="00E94286"/>
    <w:rsid w:val="00E94337"/>
    <w:rsid w:val="00E94462"/>
    <w:rsid w:val="00E94529"/>
    <w:rsid w:val="00E94704"/>
    <w:rsid w:val="00E94897"/>
    <w:rsid w:val="00E94DA4"/>
    <w:rsid w:val="00E94EA1"/>
    <w:rsid w:val="00E94F5A"/>
    <w:rsid w:val="00E950AE"/>
    <w:rsid w:val="00E951F2"/>
    <w:rsid w:val="00E9552B"/>
    <w:rsid w:val="00E9554A"/>
    <w:rsid w:val="00E95566"/>
    <w:rsid w:val="00E95672"/>
    <w:rsid w:val="00E960EF"/>
    <w:rsid w:val="00E962E2"/>
    <w:rsid w:val="00E962EE"/>
    <w:rsid w:val="00E963A0"/>
    <w:rsid w:val="00E96754"/>
    <w:rsid w:val="00E96A49"/>
    <w:rsid w:val="00E96AA5"/>
    <w:rsid w:val="00E96AD6"/>
    <w:rsid w:val="00E96D26"/>
    <w:rsid w:val="00E9702B"/>
    <w:rsid w:val="00E970D2"/>
    <w:rsid w:val="00E9716E"/>
    <w:rsid w:val="00E977C3"/>
    <w:rsid w:val="00E97A93"/>
    <w:rsid w:val="00E97F07"/>
    <w:rsid w:val="00E97FE4"/>
    <w:rsid w:val="00EA032C"/>
    <w:rsid w:val="00EA0379"/>
    <w:rsid w:val="00EA03FA"/>
    <w:rsid w:val="00EA0570"/>
    <w:rsid w:val="00EA0C3B"/>
    <w:rsid w:val="00EA0D77"/>
    <w:rsid w:val="00EA114D"/>
    <w:rsid w:val="00EA12AD"/>
    <w:rsid w:val="00EA143C"/>
    <w:rsid w:val="00EA161C"/>
    <w:rsid w:val="00EA16CE"/>
    <w:rsid w:val="00EA19DB"/>
    <w:rsid w:val="00EA1C75"/>
    <w:rsid w:val="00EA1F2F"/>
    <w:rsid w:val="00EA2265"/>
    <w:rsid w:val="00EA22DA"/>
    <w:rsid w:val="00EA2975"/>
    <w:rsid w:val="00EA2989"/>
    <w:rsid w:val="00EA2A9F"/>
    <w:rsid w:val="00EA2D59"/>
    <w:rsid w:val="00EA2E2E"/>
    <w:rsid w:val="00EA30CE"/>
    <w:rsid w:val="00EA30FE"/>
    <w:rsid w:val="00EA31DE"/>
    <w:rsid w:val="00EA321E"/>
    <w:rsid w:val="00EA3369"/>
    <w:rsid w:val="00EA348D"/>
    <w:rsid w:val="00EA3492"/>
    <w:rsid w:val="00EA378A"/>
    <w:rsid w:val="00EA38D1"/>
    <w:rsid w:val="00EA43E6"/>
    <w:rsid w:val="00EA452E"/>
    <w:rsid w:val="00EA4613"/>
    <w:rsid w:val="00EA462E"/>
    <w:rsid w:val="00EA46CA"/>
    <w:rsid w:val="00EA4746"/>
    <w:rsid w:val="00EA49D7"/>
    <w:rsid w:val="00EA4A2D"/>
    <w:rsid w:val="00EA4D11"/>
    <w:rsid w:val="00EA52C3"/>
    <w:rsid w:val="00EA57AA"/>
    <w:rsid w:val="00EA59A3"/>
    <w:rsid w:val="00EA5AD6"/>
    <w:rsid w:val="00EA5CB3"/>
    <w:rsid w:val="00EA5E50"/>
    <w:rsid w:val="00EA6141"/>
    <w:rsid w:val="00EA625A"/>
    <w:rsid w:val="00EA6421"/>
    <w:rsid w:val="00EA6667"/>
    <w:rsid w:val="00EA671E"/>
    <w:rsid w:val="00EA6752"/>
    <w:rsid w:val="00EA67AE"/>
    <w:rsid w:val="00EA697B"/>
    <w:rsid w:val="00EA73EC"/>
    <w:rsid w:val="00EA73FE"/>
    <w:rsid w:val="00EA745A"/>
    <w:rsid w:val="00EA74B8"/>
    <w:rsid w:val="00EA7733"/>
    <w:rsid w:val="00EA7776"/>
    <w:rsid w:val="00EA7A08"/>
    <w:rsid w:val="00EA7D2F"/>
    <w:rsid w:val="00EA7D72"/>
    <w:rsid w:val="00EB04BE"/>
    <w:rsid w:val="00EB0600"/>
    <w:rsid w:val="00EB08A2"/>
    <w:rsid w:val="00EB0929"/>
    <w:rsid w:val="00EB093D"/>
    <w:rsid w:val="00EB0A08"/>
    <w:rsid w:val="00EB1146"/>
    <w:rsid w:val="00EB1290"/>
    <w:rsid w:val="00EB17AF"/>
    <w:rsid w:val="00EB1C64"/>
    <w:rsid w:val="00EB1CCA"/>
    <w:rsid w:val="00EB1DC6"/>
    <w:rsid w:val="00EB1DEE"/>
    <w:rsid w:val="00EB20AF"/>
    <w:rsid w:val="00EB2245"/>
    <w:rsid w:val="00EB22BB"/>
    <w:rsid w:val="00EB232B"/>
    <w:rsid w:val="00EB27A7"/>
    <w:rsid w:val="00EB2A27"/>
    <w:rsid w:val="00EB2A41"/>
    <w:rsid w:val="00EB2F6C"/>
    <w:rsid w:val="00EB3109"/>
    <w:rsid w:val="00EB3559"/>
    <w:rsid w:val="00EB37C6"/>
    <w:rsid w:val="00EB3BCA"/>
    <w:rsid w:val="00EB40D8"/>
    <w:rsid w:val="00EB43F7"/>
    <w:rsid w:val="00EB4551"/>
    <w:rsid w:val="00EB468C"/>
    <w:rsid w:val="00EB4728"/>
    <w:rsid w:val="00EB4854"/>
    <w:rsid w:val="00EB4AFA"/>
    <w:rsid w:val="00EB4D9C"/>
    <w:rsid w:val="00EB5336"/>
    <w:rsid w:val="00EB53BB"/>
    <w:rsid w:val="00EB548D"/>
    <w:rsid w:val="00EB54D9"/>
    <w:rsid w:val="00EB5525"/>
    <w:rsid w:val="00EB56BF"/>
    <w:rsid w:val="00EB58EF"/>
    <w:rsid w:val="00EB5A5A"/>
    <w:rsid w:val="00EB5CC4"/>
    <w:rsid w:val="00EB619F"/>
    <w:rsid w:val="00EB62F0"/>
    <w:rsid w:val="00EB64B8"/>
    <w:rsid w:val="00EB6527"/>
    <w:rsid w:val="00EB67D4"/>
    <w:rsid w:val="00EB6AC9"/>
    <w:rsid w:val="00EB6B01"/>
    <w:rsid w:val="00EB6D6C"/>
    <w:rsid w:val="00EB7B92"/>
    <w:rsid w:val="00EB7BEA"/>
    <w:rsid w:val="00EB7EFA"/>
    <w:rsid w:val="00EB7FD5"/>
    <w:rsid w:val="00EC039E"/>
    <w:rsid w:val="00EC0689"/>
    <w:rsid w:val="00EC06C5"/>
    <w:rsid w:val="00EC0A32"/>
    <w:rsid w:val="00EC0EE6"/>
    <w:rsid w:val="00EC0F7E"/>
    <w:rsid w:val="00EC10D3"/>
    <w:rsid w:val="00EC119A"/>
    <w:rsid w:val="00EC11D9"/>
    <w:rsid w:val="00EC148C"/>
    <w:rsid w:val="00EC1524"/>
    <w:rsid w:val="00EC1576"/>
    <w:rsid w:val="00EC17F2"/>
    <w:rsid w:val="00EC189C"/>
    <w:rsid w:val="00EC19D3"/>
    <w:rsid w:val="00EC2047"/>
    <w:rsid w:val="00EC266F"/>
    <w:rsid w:val="00EC2886"/>
    <w:rsid w:val="00EC32A1"/>
    <w:rsid w:val="00EC34B5"/>
    <w:rsid w:val="00EC3578"/>
    <w:rsid w:val="00EC3A1F"/>
    <w:rsid w:val="00EC3B2D"/>
    <w:rsid w:val="00EC4096"/>
    <w:rsid w:val="00EC414E"/>
    <w:rsid w:val="00EC43FE"/>
    <w:rsid w:val="00EC4563"/>
    <w:rsid w:val="00EC4741"/>
    <w:rsid w:val="00EC477D"/>
    <w:rsid w:val="00EC4CE1"/>
    <w:rsid w:val="00EC4FAA"/>
    <w:rsid w:val="00EC5047"/>
    <w:rsid w:val="00EC50D6"/>
    <w:rsid w:val="00EC5284"/>
    <w:rsid w:val="00EC53FE"/>
    <w:rsid w:val="00EC5433"/>
    <w:rsid w:val="00EC558B"/>
    <w:rsid w:val="00EC56B2"/>
    <w:rsid w:val="00EC5884"/>
    <w:rsid w:val="00EC5995"/>
    <w:rsid w:val="00EC5C64"/>
    <w:rsid w:val="00EC5D1E"/>
    <w:rsid w:val="00EC5EDC"/>
    <w:rsid w:val="00EC5F47"/>
    <w:rsid w:val="00EC5FF9"/>
    <w:rsid w:val="00EC60BB"/>
    <w:rsid w:val="00EC633F"/>
    <w:rsid w:val="00EC635B"/>
    <w:rsid w:val="00EC6489"/>
    <w:rsid w:val="00EC648F"/>
    <w:rsid w:val="00EC664E"/>
    <w:rsid w:val="00EC6A7E"/>
    <w:rsid w:val="00EC6B3E"/>
    <w:rsid w:val="00EC6B4A"/>
    <w:rsid w:val="00EC6C85"/>
    <w:rsid w:val="00EC6FCC"/>
    <w:rsid w:val="00EC6FF8"/>
    <w:rsid w:val="00EC70AC"/>
    <w:rsid w:val="00EC729C"/>
    <w:rsid w:val="00EC7399"/>
    <w:rsid w:val="00EC74F5"/>
    <w:rsid w:val="00EC7AAF"/>
    <w:rsid w:val="00EC7B94"/>
    <w:rsid w:val="00EC7BD1"/>
    <w:rsid w:val="00EC7D8B"/>
    <w:rsid w:val="00EC7EB8"/>
    <w:rsid w:val="00ED05F3"/>
    <w:rsid w:val="00ED069E"/>
    <w:rsid w:val="00ED0ADF"/>
    <w:rsid w:val="00ED0B15"/>
    <w:rsid w:val="00ED124D"/>
    <w:rsid w:val="00ED143F"/>
    <w:rsid w:val="00ED1494"/>
    <w:rsid w:val="00ED19AC"/>
    <w:rsid w:val="00ED1A8A"/>
    <w:rsid w:val="00ED1B1B"/>
    <w:rsid w:val="00ED1B42"/>
    <w:rsid w:val="00ED1DDA"/>
    <w:rsid w:val="00ED2127"/>
    <w:rsid w:val="00ED21BF"/>
    <w:rsid w:val="00ED235A"/>
    <w:rsid w:val="00ED2675"/>
    <w:rsid w:val="00ED29BF"/>
    <w:rsid w:val="00ED2ACD"/>
    <w:rsid w:val="00ED2C14"/>
    <w:rsid w:val="00ED2F56"/>
    <w:rsid w:val="00ED2F80"/>
    <w:rsid w:val="00ED2FDE"/>
    <w:rsid w:val="00ED3157"/>
    <w:rsid w:val="00ED3630"/>
    <w:rsid w:val="00ED3D2E"/>
    <w:rsid w:val="00ED3DCB"/>
    <w:rsid w:val="00ED3FCB"/>
    <w:rsid w:val="00ED4669"/>
    <w:rsid w:val="00ED484A"/>
    <w:rsid w:val="00ED4873"/>
    <w:rsid w:val="00ED4877"/>
    <w:rsid w:val="00ED4A13"/>
    <w:rsid w:val="00ED4B00"/>
    <w:rsid w:val="00ED4C52"/>
    <w:rsid w:val="00ED4F6B"/>
    <w:rsid w:val="00ED4FDC"/>
    <w:rsid w:val="00ED5094"/>
    <w:rsid w:val="00ED5B1A"/>
    <w:rsid w:val="00ED5E8A"/>
    <w:rsid w:val="00ED5EC3"/>
    <w:rsid w:val="00ED6117"/>
    <w:rsid w:val="00ED6144"/>
    <w:rsid w:val="00ED6986"/>
    <w:rsid w:val="00ED6DA2"/>
    <w:rsid w:val="00ED6F9F"/>
    <w:rsid w:val="00ED7338"/>
    <w:rsid w:val="00ED7518"/>
    <w:rsid w:val="00ED7C2A"/>
    <w:rsid w:val="00ED7D61"/>
    <w:rsid w:val="00EE016A"/>
    <w:rsid w:val="00EE0220"/>
    <w:rsid w:val="00EE02B5"/>
    <w:rsid w:val="00EE037B"/>
    <w:rsid w:val="00EE082C"/>
    <w:rsid w:val="00EE09FB"/>
    <w:rsid w:val="00EE0A27"/>
    <w:rsid w:val="00EE0CD8"/>
    <w:rsid w:val="00EE0D3B"/>
    <w:rsid w:val="00EE1101"/>
    <w:rsid w:val="00EE1408"/>
    <w:rsid w:val="00EE199A"/>
    <w:rsid w:val="00EE1CA8"/>
    <w:rsid w:val="00EE1D17"/>
    <w:rsid w:val="00EE207D"/>
    <w:rsid w:val="00EE24AD"/>
    <w:rsid w:val="00EE2876"/>
    <w:rsid w:val="00EE28E5"/>
    <w:rsid w:val="00EE2AF9"/>
    <w:rsid w:val="00EE31C2"/>
    <w:rsid w:val="00EE336C"/>
    <w:rsid w:val="00EE3430"/>
    <w:rsid w:val="00EE349A"/>
    <w:rsid w:val="00EE34C7"/>
    <w:rsid w:val="00EE3CAF"/>
    <w:rsid w:val="00EE40D8"/>
    <w:rsid w:val="00EE44FD"/>
    <w:rsid w:val="00EE461C"/>
    <w:rsid w:val="00EE468A"/>
    <w:rsid w:val="00EE476C"/>
    <w:rsid w:val="00EE48C6"/>
    <w:rsid w:val="00EE4A4A"/>
    <w:rsid w:val="00EE4B51"/>
    <w:rsid w:val="00EE4CC3"/>
    <w:rsid w:val="00EE4EC0"/>
    <w:rsid w:val="00EE4FBC"/>
    <w:rsid w:val="00EE503E"/>
    <w:rsid w:val="00EE539A"/>
    <w:rsid w:val="00EE562B"/>
    <w:rsid w:val="00EE5691"/>
    <w:rsid w:val="00EE5716"/>
    <w:rsid w:val="00EE5828"/>
    <w:rsid w:val="00EE596D"/>
    <w:rsid w:val="00EE5CBD"/>
    <w:rsid w:val="00EE64F9"/>
    <w:rsid w:val="00EE66FC"/>
    <w:rsid w:val="00EE687A"/>
    <w:rsid w:val="00EE6A4B"/>
    <w:rsid w:val="00EE6BDF"/>
    <w:rsid w:val="00EE6E15"/>
    <w:rsid w:val="00EE7051"/>
    <w:rsid w:val="00EE72DB"/>
    <w:rsid w:val="00EE7502"/>
    <w:rsid w:val="00EE75D6"/>
    <w:rsid w:val="00EE7CF3"/>
    <w:rsid w:val="00EE7ED7"/>
    <w:rsid w:val="00EF004D"/>
    <w:rsid w:val="00EF0090"/>
    <w:rsid w:val="00EF01C6"/>
    <w:rsid w:val="00EF07BC"/>
    <w:rsid w:val="00EF0D38"/>
    <w:rsid w:val="00EF0ED0"/>
    <w:rsid w:val="00EF141B"/>
    <w:rsid w:val="00EF1524"/>
    <w:rsid w:val="00EF15EF"/>
    <w:rsid w:val="00EF1612"/>
    <w:rsid w:val="00EF1640"/>
    <w:rsid w:val="00EF168D"/>
    <w:rsid w:val="00EF18F1"/>
    <w:rsid w:val="00EF1949"/>
    <w:rsid w:val="00EF1D01"/>
    <w:rsid w:val="00EF1DF3"/>
    <w:rsid w:val="00EF21DE"/>
    <w:rsid w:val="00EF2384"/>
    <w:rsid w:val="00EF2A34"/>
    <w:rsid w:val="00EF3377"/>
    <w:rsid w:val="00EF34AC"/>
    <w:rsid w:val="00EF3721"/>
    <w:rsid w:val="00EF3C4B"/>
    <w:rsid w:val="00EF3CED"/>
    <w:rsid w:val="00EF3D67"/>
    <w:rsid w:val="00EF3F0C"/>
    <w:rsid w:val="00EF4032"/>
    <w:rsid w:val="00EF40F9"/>
    <w:rsid w:val="00EF42FF"/>
    <w:rsid w:val="00EF456D"/>
    <w:rsid w:val="00EF47F3"/>
    <w:rsid w:val="00EF490A"/>
    <w:rsid w:val="00EF492E"/>
    <w:rsid w:val="00EF49A5"/>
    <w:rsid w:val="00EF4B49"/>
    <w:rsid w:val="00EF4DFC"/>
    <w:rsid w:val="00EF4E0E"/>
    <w:rsid w:val="00EF5040"/>
    <w:rsid w:val="00EF50D6"/>
    <w:rsid w:val="00EF51CD"/>
    <w:rsid w:val="00EF5309"/>
    <w:rsid w:val="00EF55BF"/>
    <w:rsid w:val="00EF5B36"/>
    <w:rsid w:val="00EF618F"/>
    <w:rsid w:val="00EF6643"/>
    <w:rsid w:val="00EF67CC"/>
    <w:rsid w:val="00EF684D"/>
    <w:rsid w:val="00EF6875"/>
    <w:rsid w:val="00EF6967"/>
    <w:rsid w:val="00EF6A8F"/>
    <w:rsid w:val="00EF6E3A"/>
    <w:rsid w:val="00EF72FF"/>
    <w:rsid w:val="00EF77A9"/>
    <w:rsid w:val="00EF77CF"/>
    <w:rsid w:val="00EF7830"/>
    <w:rsid w:val="00EF78F8"/>
    <w:rsid w:val="00EF7BF3"/>
    <w:rsid w:val="00EF7E33"/>
    <w:rsid w:val="00EF7E76"/>
    <w:rsid w:val="00F00023"/>
    <w:rsid w:val="00F002AB"/>
    <w:rsid w:val="00F003BE"/>
    <w:rsid w:val="00F0047D"/>
    <w:rsid w:val="00F00735"/>
    <w:rsid w:val="00F00736"/>
    <w:rsid w:val="00F00D85"/>
    <w:rsid w:val="00F012A2"/>
    <w:rsid w:val="00F01445"/>
    <w:rsid w:val="00F0190E"/>
    <w:rsid w:val="00F01BAB"/>
    <w:rsid w:val="00F01BE3"/>
    <w:rsid w:val="00F01DFD"/>
    <w:rsid w:val="00F01E20"/>
    <w:rsid w:val="00F01F15"/>
    <w:rsid w:val="00F02199"/>
    <w:rsid w:val="00F0239A"/>
    <w:rsid w:val="00F024C0"/>
    <w:rsid w:val="00F02585"/>
    <w:rsid w:val="00F025DD"/>
    <w:rsid w:val="00F0283D"/>
    <w:rsid w:val="00F02C3C"/>
    <w:rsid w:val="00F02CE7"/>
    <w:rsid w:val="00F02FA9"/>
    <w:rsid w:val="00F031BB"/>
    <w:rsid w:val="00F03279"/>
    <w:rsid w:val="00F035ED"/>
    <w:rsid w:val="00F03703"/>
    <w:rsid w:val="00F03728"/>
    <w:rsid w:val="00F0374F"/>
    <w:rsid w:val="00F03830"/>
    <w:rsid w:val="00F0389F"/>
    <w:rsid w:val="00F03977"/>
    <w:rsid w:val="00F039CA"/>
    <w:rsid w:val="00F039D1"/>
    <w:rsid w:val="00F03B22"/>
    <w:rsid w:val="00F03C01"/>
    <w:rsid w:val="00F0412B"/>
    <w:rsid w:val="00F0438E"/>
    <w:rsid w:val="00F04457"/>
    <w:rsid w:val="00F04528"/>
    <w:rsid w:val="00F04739"/>
    <w:rsid w:val="00F047B8"/>
    <w:rsid w:val="00F0481E"/>
    <w:rsid w:val="00F0487A"/>
    <w:rsid w:val="00F04894"/>
    <w:rsid w:val="00F048DA"/>
    <w:rsid w:val="00F04B41"/>
    <w:rsid w:val="00F04E33"/>
    <w:rsid w:val="00F04EFD"/>
    <w:rsid w:val="00F051C8"/>
    <w:rsid w:val="00F0539A"/>
    <w:rsid w:val="00F0554B"/>
    <w:rsid w:val="00F056BF"/>
    <w:rsid w:val="00F05895"/>
    <w:rsid w:val="00F058E8"/>
    <w:rsid w:val="00F05957"/>
    <w:rsid w:val="00F059D6"/>
    <w:rsid w:val="00F059DD"/>
    <w:rsid w:val="00F05E54"/>
    <w:rsid w:val="00F05EB3"/>
    <w:rsid w:val="00F064B0"/>
    <w:rsid w:val="00F0654C"/>
    <w:rsid w:val="00F069E9"/>
    <w:rsid w:val="00F06CDD"/>
    <w:rsid w:val="00F06E2F"/>
    <w:rsid w:val="00F070C0"/>
    <w:rsid w:val="00F07217"/>
    <w:rsid w:val="00F0732C"/>
    <w:rsid w:val="00F073FC"/>
    <w:rsid w:val="00F075E4"/>
    <w:rsid w:val="00F075EE"/>
    <w:rsid w:val="00F0792C"/>
    <w:rsid w:val="00F07939"/>
    <w:rsid w:val="00F079BE"/>
    <w:rsid w:val="00F07ADF"/>
    <w:rsid w:val="00F07CDB"/>
    <w:rsid w:val="00F07DC8"/>
    <w:rsid w:val="00F07E4A"/>
    <w:rsid w:val="00F100F9"/>
    <w:rsid w:val="00F1036C"/>
    <w:rsid w:val="00F103F6"/>
    <w:rsid w:val="00F10834"/>
    <w:rsid w:val="00F108EB"/>
    <w:rsid w:val="00F109DC"/>
    <w:rsid w:val="00F1112B"/>
    <w:rsid w:val="00F111F0"/>
    <w:rsid w:val="00F1121D"/>
    <w:rsid w:val="00F11651"/>
    <w:rsid w:val="00F1177E"/>
    <w:rsid w:val="00F118CE"/>
    <w:rsid w:val="00F11A68"/>
    <w:rsid w:val="00F11E1A"/>
    <w:rsid w:val="00F12088"/>
    <w:rsid w:val="00F12330"/>
    <w:rsid w:val="00F12348"/>
    <w:rsid w:val="00F12482"/>
    <w:rsid w:val="00F1248E"/>
    <w:rsid w:val="00F12E3B"/>
    <w:rsid w:val="00F13045"/>
    <w:rsid w:val="00F1327D"/>
    <w:rsid w:val="00F13EA5"/>
    <w:rsid w:val="00F1417F"/>
    <w:rsid w:val="00F14217"/>
    <w:rsid w:val="00F142D6"/>
    <w:rsid w:val="00F1439B"/>
    <w:rsid w:val="00F14537"/>
    <w:rsid w:val="00F14564"/>
    <w:rsid w:val="00F1480E"/>
    <w:rsid w:val="00F14884"/>
    <w:rsid w:val="00F14896"/>
    <w:rsid w:val="00F1495D"/>
    <w:rsid w:val="00F14A80"/>
    <w:rsid w:val="00F14BAD"/>
    <w:rsid w:val="00F14C78"/>
    <w:rsid w:val="00F14D9B"/>
    <w:rsid w:val="00F14E01"/>
    <w:rsid w:val="00F14E86"/>
    <w:rsid w:val="00F14FAA"/>
    <w:rsid w:val="00F14FD8"/>
    <w:rsid w:val="00F152A6"/>
    <w:rsid w:val="00F1541A"/>
    <w:rsid w:val="00F1561F"/>
    <w:rsid w:val="00F157B4"/>
    <w:rsid w:val="00F15BE9"/>
    <w:rsid w:val="00F15F1F"/>
    <w:rsid w:val="00F15F34"/>
    <w:rsid w:val="00F15FA1"/>
    <w:rsid w:val="00F15FA3"/>
    <w:rsid w:val="00F160E3"/>
    <w:rsid w:val="00F1654A"/>
    <w:rsid w:val="00F16573"/>
    <w:rsid w:val="00F166D0"/>
    <w:rsid w:val="00F1685C"/>
    <w:rsid w:val="00F16AD3"/>
    <w:rsid w:val="00F16F20"/>
    <w:rsid w:val="00F17072"/>
    <w:rsid w:val="00F171A6"/>
    <w:rsid w:val="00F17569"/>
    <w:rsid w:val="00F177E8"/>
    <w:rsid w:val="00F17AEB"/>
    <w:rsid w:val="00F17B8E"/>
    <w:rsid w:val="00F17C24"/>
    <w:rsid w:val="00F17E73"/>
    <w:rsid w:val="00F17EDA"/>
    <w:rsid w:val="00F17F64"/>
    <w:rsid w:val="00F17FCE"/>
    <w:rsid w:val="00F20542"/>
    <w:rsid w:val="00F2054F"/>
    <w:rsid w:val="00F20AF0"/>
    <w:rsid w:val="00F20B3E"/>
    <w:rsid w:val="00F20F6E"/>
    <w:rsid w:val="00F2137F"/>
    <w:rsid w:val="00F213D0"/>
    <w:rsid w:val="00F21F07"/>
    <w:rsid w:val="00F2239B"/>
    <w:rsid w:val="00F2268D"/>
    <w:rsid w:val="00F22930"/>
    <w:rsid w:val="00F22A3C"/>
    <w:rsid w:val="00F22B0E"/>
    <w:rsid w:val="00F22FC4"/>
    <w:rsid w:val="00F23041"/>
    <w:rsid w:val="00F2319D"/>
    <w:rsid w:val="00F238DC"/>
    <w:rsid w:val="00F23934"/>
    <w:rsid w:val="00F23B84"/>
    <w:rsid w:val="00F23FED"/>
    <w:rsid w:val="00F24080"/>
    <w:rsid w:val="00F24810"/>
    <w:rsid w:val="00F24AFF"/>
    <w:rsid w:val="00F24D89"/>
    <w:rsid w:val="00F24F04"/>
    <w:rsid w:val="00F251EE"/>
    <w:rsid w:val="00F25508"/>
    <w:rsid w:val="00F2569E"/>
    <w:rsid w:val="00F2593B"/>
    <w:rsid w:val="00F259B3"/>
    <w:rsid w:val="00F25AEE"/>
    <w:rsid w:val="00F25C2A"/>
    <w:rsid w:val="00F25E51"/>
    <w:rsid w:val="00F25F87"/>
    <w:rsid w:val="00F25FDC"/>
    <w:rsid w:val="00F2624B"/>
    <w:rsid w:val="00F26432"/>
    <w:rsid w:val="00F264F8"/>
    <w:rsid w:val="00F26719"/>
    <w:rsid w:val="00F26872"/>
    <w:rsid w:val="00F26BF4"/>
    <w:rsid w:val="00F26CA5"/>
    <w:rsid w:val="00F26E07"/>
    <w:rsid w:val="00F26E5D"/>
    <w:rsid w:val="00F26F68"/>
    <w:rsid w:val="00F272AD"/>
    <w:rsid w:val="00F278CF"/>
    <w:rsid w:val="00F27AC8"/>
    <w:rsid w:val="00F27AD3"/>
    <w:rsid w:val="00F27B80"/>
    <w:rsid w:val="00F27BC8"/>
    <w:rsid w:val="00F27D4E"/>
    <w:rsid w:val="00F27D66"/>
    <w:rsid w:val="00F30390"/>
    <w:rsid w:val="00F30C53"/>
    <w:rsid w:val="00F30FAD"/>
    <w:rsid w:val="00F310CE"/>
    <w:rsid w:val="00F311BC"/>
    <w:rsid w:val="00F316CE"/>
    <w:rsid w:val="00F317C5"/>
    <w:rsid w:val="00F318E6"/>
    <w:rsid w:val="00F31C05"/>
    <w:rsid w:val="00F320A6"/>
    <w:rsid w:val="00F321DD"/>
    <w:rsid w:val="00F32501"/>
    <w:rsid w:val="00F32532"/>
    <w:rsid w:val="00F32617"/>
    <w:rsid w:val="00F326D7"/>
    <w:rsid w:val="00F3297B"/>
    <w:rsid w:val="00F329CC"/>
    <w:rsid w:val="00F32BC4"/>
    <w:rsid w:val="00F32C10"/>
    <w:rsid w:val="00F32E10"/>
    <w:rsid w:val="00F32E5F"/>
    <w:rsid w:val="00F32F60"/>
    <w:rsid w:val="00F32FF5"/>
    <w:rsid w:val="00F330D5"/>
    <w:rsid w:val="00F33121"/>
    <w:rsid w:val="00F3323B"/>
    <w:rsid w:val="00F332EC"/>
    <w:rsid w:val="00F33827"/>
    <w:rsid w:val="00F33975"/>
    <w:rsid w:val="00F3441F"/>
    <w:rsid w:val="00F3446D"/>
    <w:rsid w:val="00F349AF"/>
    <w:rsid w:val="00F34B36"/>
    <w:rsid w:val="00F34C47"/>
    <w:rsid w:val="00F34C71"/>
    <w:rsid w:val="00F34EEF"/>
    <w:rsid w:val="00F35636"/>
    <w:rsid w:val="00F3568B"/>
    <w:rsid w:val="00F35A02"/>
    <w:rsid w:val="00F35ABE"/>
    <w:rsid w:val="00F35B98"/>
    <w:rsid w:val="00F35CA9"/>
    <w:rsid w:val="00F3600B"/>
    <w:rsid w:val="00F3601A"/>
    <w:rsid w:val="00F3601E"/>
    <w:rsid w:val="00F3605C"/>
    <w:rsid w:val="00F360B3"/>
    <w:rsid w:val="00F36256"/>
    <w:rsid w:val="00F36475"/>
    <w:rsid w:val="00F367D1"/>
    <w:rsid w:val="00F368B7"/>
    <w:rsid w:val="00F36A7D"/>
    <w:rsid w:val="00F36CBA"/>
    <w:rsid w:val="00F36DBF"/>
    <w:rsid w:val="00F3707A"/>
    <w:rsid w:val="00F37374"/>
    <w:rsid w:val="00F37394"/>
    <w:rsid w:val="00F37475"/>
    <w:rsid w:val="00F37A99"/>
    <w:rsid w:val="00F37B0E"/>
    <w:rsid w:val="00F37C36"/>
    <w:rsid w:val="00F37C7F"/>
    <w:rsid w:val="00F40339"/>
    <w:rsid w:val="00F40392"/>
    <w:rsid w:val="00F403AE"/>
    <w:rsid w:val="00F404DB"/>
    <w:rsid w:val="00F406DC"/>
    <w:rsid w:val="00F407EF"/>
    <w:rsid w:val="00F40955"/>
    <w:rsid w:val="00F40A75"/>
    <w:rsid w:val="00F41248"/>
    <w:rsid w:val="00F41286"/>
    <w:rsid w:val="00F41327"/>
    <w:rsid w:val="00F413B8"/>
    <w:rsid w:val="00F415B5"/>
    <w:rsid w:val="00F4192C"/>
    <w:rsid w:val="00F41AFE"/>
    <w:rsid w:val="00F41FFE"/>
    <w:rsid w:val="00F421BE"/>
    <w:rsid w:val="00F421D5"/>
    <w:rsid w:val="00F42666"/>
    <w:rsid w:val="00F42809"/>
    <w:rsid w:val="00F42852"/>
    <w:rsid w:val="00F42C9B"/>
    <w:rsid w:val="00F42FF2"/>
    <w:rsid w:val="00F4315E"/>
    <w:rsid w:val="00F434E3"/>
    <w:rsid w:val="00F43687"/>
    <w:rsid w:val="00F4386C"/>
    <w:rsid w:val="00F43BAE"/>
    <w:rsid w:val="00F441D3"/>
    <w:rsid w:val="00F44573"/>
    <w:rsid w:val="00F445B2"/>
    <w:rsid w:val="00F44782"/>
    <w:rsid w:val="00F447E1"/>
    <w:rsid w:val="00F44ABC"/>
    <w:rsid w:val="00F44C25"/>
    <w:rsid w:val="00F44FAA"/>
    <w:rsid w:val="00F452D3"/>
    <w:rsid w:val="00F452E1"/>
    <w:rsid w:val="00F4545D"/>
    <w:rsid w:val="00F45567"/>
    <w:rsid w:val="00F455BA"/>
    <w:rsid w:val="00F456DA"/>
    <w:rsid w:val="00F4591B"/>
    <w:rsid w:val="00F45928"/>
    <w:rsid w:val="00F45958"/>
    <w:rsid w:val="00F45A95"/>
    <w:rsid w:val="00F45D17"/>
    <w:rsid w:val="00F45D62"/>
    <w:rsid w:val="00F45DAF"/>
    <w:rsid w:val="00F45E02"/>
    <w:rsid w:val="00F46BF0"/>
    <w:rsid w:val="00F46E94"/>
    <w:rsid w:val="00F46F7E"/>
    <w:rsid w:val="00F47244"/>
    <w:rsid w:val="00F473DF"/>
    <w:rsid w:val="00F47464"/>
    <w:rsid w:val="00F4789E"/>
    <w:rsid w:val="00F47960"/>
    <w:rsid w:val="00F47A59"/>
    <w:rsid w:val="00F47ADA"/>
    <w:rsid w:val="00F47D31"/>
    <w:rsid w:val="00F5002C"/>
    <w:rsid w:val="00F500E2"/>
    <w:rsid w:val="00F501F7"/>
    <w:rsid w:val="00F503B2"/>
    <w:rsid w:val="00F5069D"/>
    <w:rsid w:val="00F506D9"/>
    <w:rsid w:val="00F50985"/>
    <w:rsid w:val="00F50BE5"/>
    <w:rsid w:val="00F50E47"/>
    <w:rsid w:val="00F50F78"/>
    <w:rsid w:val="00F5123E"/>
    <w:rsid w:val="00F5183F"/>
    <w:rsid w:val="00F519F8"/>
    <w:rsid w:val="00F51A45"/>
    <w:rsid w:val="00F51CF7"/>
    <w:rsid w:val="00F51E87"/>
    <w:rsid w:val="00F51F2E"/>
    <w:rsid w:val="00F51F3E"/>
    <w:rsid w:val="00F5240B"/>
    <w:rsid w:val="00F52C04"/>
    <w:rsid w:val="00F52FD9"/>
    <w:rsid w:val="00F53122"/>
    <w:rsid w:val="00F5325C"/>
    <w:rsid w:val="00F53402"/>
    <w:rsid w:val="00F53448"/>
    <w:rsid w:val="00F534A6"/>
    <w:rsid w:val="00F536FB"/>
    <w:rsid w:val="00F536FE"/>
    <w:rsid w:val="00F537B1"/>
    <w:rsid w:val="00F53E68"/>
    <w:rsid w:val="00F549CF"/>
    <w:rsid w:val="00F54E4A"/>
    <w:rsid w:val="00F55171"/>
    <w:rsid w:val="00F55C3D"/>
    <w:rsid w:val="00F55E11"/>
    <w:rsid w:val="00F55E6E"/>
    <w:rsid w:val="00F5658C"/>
    <w:rsid w:val="00F565EC"/>
    <w:rsid w:val="00F568A0"/>
    <w:rsid w:val="00F56CE8"/>
    <w:rsid w:val="00F56EC3"/>
    <w:rsid w:val="00F5737C"/>
    <w:rsid w:val="00F574D6"/>
    <w:rsid w:val="00F5752D"/>
    <w:rsid w:val="00F57683"/>
    <w:rsid w:val="00F57770"/>
    <w:rsid w:val="00F577B9"/>
    <w:rsid w:val="00F57AE5"/>
    <w:rsid w:val="00F57B12"/>
    <w:rsid w:val="00F57EA1"/>
    <w:rsid w:val="00F60006"/>
    <w:rsid w:val="00F6000C"/>
    <w:rsid w:val="00F6011F"/>
    <w:rsid w:val="00F60148"/>
    <w:rsid w:val="00F606AD"/>
    <w:rsid w:val="00F60948"/>
    <w:rsid w:val="00F60A95"/>
    <w:rsid w:val="00F612CE"/>
    <w:rsid w:val="00F61343"/>
    <w:rsid w:val="00F61420"/>
    <w:rsid w:val="00F61723"/>
    <w:rsid w:val="00F617B8"/>
    <w:rsid w:val="00F617BF"/>
    <w:rsid w:val="00F619CF"/>
    <w:rsid w:val="00F621D5"/>
    <w:rsid w:val="00F62271"/>
    <w:rsid w:val="00F6261D"/>
    <w:rsid w:val="00F627B1"/>
    <w:rsid w:val="00F62B13"/>
    <w:rsid w:val="00F62C01"/>
    <w:rsid w:val="00F62D0E"/>
    <w:rsid w:val="00F6302F"/>
    <w:rsid w:val="00F630A0"/>
    <w:rsid w:val="00F63465"/>
    <w:rsid w:val="00F635F4"/>
    <w:rsid w:val="00F63F26"/>
    <w:rsid w:val="00F64075"/>
    <w:rsid w:val="00F645A2"/>
    <w:rsid w:val="00F64710"/>
    <w:rsid w:val="00F65064"/>
    <w:rsid w:val="00F65480"/>
    <w:rsid w:val="00F65681"/>
    <w:rsid w:val="00F65718"/>
    <w:rsid w:val="00F65AFA"/>
    <w:rsid w:val="00F65CA6"/>
    <w:rsid w:val="00F65F88"/>
    <w:rsid w:val="00F6644B"/>
    <w:rsid w:val="00F664A6"/>
    <w:rsid w:val="00F66699"/>
    <w:rsid w:val="00F66AAF"/>
    <w:rsid w:val="00F66C12"/>
    <w:rsid w:val="00F67266"/>
    <w:rsid w:val="00F6732D"/>
    <w:rsid w:val="00F67370"/>
    <w:rsid w:val="00F6776E"/>
    <w:rsid w:val="00F6797D"/>
    <w:rsid w:val="00F67D44"/>
    <w:rsid w:val="00F67E61"/>
    <w:rsid w:val="00F7006D"/>
    <w:rsid w:val="00F7014A"/>
    <w:rsid w:val="00F70776"/>
    <w:rsid w:val="00F707D8"/>
    <w:rsid w:val="00F70912"/>
    <w:rsid w:val="00F70A36"/>
    <w:rsid w:val="00F70A50"/>
    <w:rsid w:val="00F70C27"/>
    <w:rsid w:val="00F7101D"/>
    <w:rsid w:val="00F71517"/>
    <w:rsid w:val="00F7153C"/>
    <w:rsid w:val="00F718C0"/>
    <w:rsid w:val="00F71ADA"/>
    <w:rsid w:val="00F72100"/>
    <w:rsid w:val="00F723F4"/>
    <w:rsid w:val="00F729AD"/>
    <w:rsid w:val="00F72A44"/>
    <w:rsid w:val="00F72B07"/>
    <w:rsid w:val="00F73D11"/>
    <w:rsid w:val="00F73D1E"/>
    <w:rsid w:val="00F73DA0"/>
    <w:rsid w:val="00F73ED0"/>
    <w:rsid w:val="00F7486D"/>
    <w:rsid w:val="00F749AC"/>
    <w:rsid w:val="00F74B9C"/>
    <w:rsid w:val="00F74E07"/>
    <w:rsid w:val="00F74E63"/>
    <w:rsid w:val="00F74FDA"/>
    <w:rsid w:val="00F7521A"/>
    <w:rsid w:val="00F75355"/>
    <w:rsid w:val="00F75638"/>
    <w:rsid w:val="00F75A83"/>
    <w:rsid w:val="00F75A9D"/>
    <w:rsid w:val="00F7609F"/>
    <w:rsid w:val="00F7635F"/>
    <w:rsid w:val="00F76457"/>
    <w:rsid w:val="00F76669"/>
    <w:rsid w:val="00F76921"/>
    <w:rsid w:val="00F76ABF"/>
    <w:rsid w:val="00F76BEE"/>
    <w:rsid w:val="00F76DFA"/>
    <w:rsid w:val="00F77546"/>
    <w:rsid w:val="00F7793B"/>
    <w:rsid w:val="00F77D63"/>
    <w:rsid w:val="00F77DC4"/>
    <w:rsid w:val="00F8032C"/>
    <w:rsid w:val="00F803ED"/>
    <w:rsid w:val="00F8045A"/>
    <w:rsid w:val="00F80580"/>
    <w:rsid w:val="00F805FC"/>
    <w:rsid w:val="00F80B14"/>
    <w:rsid w:val="00F80C74"/>
    <w:rsid w:val="00F811BA"/>
    <w:rsid w:val="00F8135B"/>
    <w:rsid w:val="00F814BF"/>
    <w:rsid w:val="00F814C3"/>
    <w:rsid w:val="00F818C7"/>
    <w:rsid w:val="00F81EAA"/>
    <w:rsid w:val="00F8240D"/>
    <w:rsid w:val="00F825A5"/>
    <w:rsid w:val="00F8264C"/>
    <w:rsid w:val="00F82798"/>
    <w:rsid w:val="00F829F6"/>
    <w:rsid w:val="00F82A6C"/>
    <w:rsid w:val="00F82A74"/>
    <w:rsid w:val="00F82BAB"/>
    <w:rsid w:val="00F82D5A"/>
    <w:rsid w:val="00F82E66"/>
    <w:rsid w:val="00F83078"/>
    <w:rsid w:val="00F830AA"/>
    <w:rsid w:val="00F83201"/>
    <w:rsid w:val="00F832EC"/>
    <w:rsid w:val="00F83554"/>
    <w:rsid w:val="00F83818"/>
    <w:rsid w:val="00F83A0A"/>
    <w:rsid w:val="00F83C72"/>
    <w:rsid w:val="00F83D54"/>
    <w:rsid w:val="00F83FFE"/>
    <w:rsid w:val="00F84048"/>
    <w:rsid w:val="00F84174"/>
    <w:rsid w:val="00F843D2"/>
    <w:rsid w:val="00F8447D"/>
    <w:rsid w:val="00F845B0"/>
    <w:rsid w:val="00F848B0"/>
    <w:rsid w:val="00F84AD8"/>
    <w:rsid w:val="00F84B20"/>
    <w:rsid w:val="00F8515A"/>
    <w:rsid w:val="00F853F0"/>
    <w:rsid w:val="00F85566"/>
    <w:rsid w:val="00F8571E"/>
    <w:rsid w:val="00F8573F"/>
    <w:rsid w:val="00F85AE0"/>
    <w:rsid w:val="00F8672C"/>
    <w:rsid w:val="00F869BF"/>
    <w:rsid w:val="00F86B03"/>
    <w:rsid w:val="00F86B1F"/>
    <w:rsid w:val="00F86BC7"/>
    <w:rsid w:val="00F86CEE"/>
    <w:rsid w:val="00F86E4E"/>
    <w:rsid w:val="00F86F0A"/>
    <w:rsid w:val="00F86F19"/>
    <w:rsid w:val="00F8706E"/>
    <w:rsid w:val="00F87331"/>
    <w:rsid w:val="00F8745B"/>
    <w:rsid w:val="00F87551"/>
    <w:rsid w:val="00F8756E"/>
    <w:rsid w:val="00F87803"/>
    <w:rsid w:val="00F87C7C"/>
    <w:rsid w:val="00F87CBB"/>
    <w:rsid w:val="00F87D4D"/>
    <w:rsid w:val="00F901A2"/>
    <w:rsid w:val="00F9024C"/>
    <w:rsid w:val="00F90425"/>
    <w:rsid w:val="00F90426"/>
    <w:rsid w:val="00F906E4"/>
    <w:rsid w:val="00F90B3A"/>
    <w:rsid w:val="00F90E2E"/>
    <w:rsid w:val="00F90EFB"/>
    <w:rsid w:val="00F90FBF"/>
    <w:rsid w:val="00F9164D"/>
    <w:rsid w:val="00F9172B"/>
    <w:rsid w:val="00F917C9"/>
    <w:rsid w:val="00F91863"/>
    <w:rsid w:val="00F91BA4"/>
    <w:rsid w:val="00F91C01"/>
    <w:rsid w:val="00F92116"/>
    <w:rsid w:val="00F924DF"/>
    <w:rsid w:val="00F92653"/>
    <w:rsid w:val="00F929F1"/>
    <w:rsid w:val="00F930EF"/>
    <w:rsid w:val="00F931B3"/>
    <w:rsid w:val="00F93307"/>
    <w:rsid w:val="00F93501"/>
    <w:rsid w:val="00F9377E"/>
    <w:rsid w:val="00F937CB"/>
    <w:rsid w:val="00F937DD"/>
    <w:rsid w:val="00F939BB"/>
    <w:rsid w:val="00F93CEC"/>
    <w:rsid w:val="00F93CEF"/>
    <w:rsid w:val="00F93D2E"/>
    <w:rsid w:val="00F93E8E"/>
    <w:rsid w:val="00F93FF9"/>
    <w:rsid w:val="00F94159"/>
    <w:rsid w:val="00F94262"/>
    <w:rsid w:val="00F94285"/>
    <w:rsid w:val="00F943FF"/>
    <w:rsid w:val="00F9440B"/>
    <w:rsid w:val="00F94773"/>
    <w:rsid w:val="00F94A10"/>
    <w:rsid w:val="00F94A51"/>
    <w:rsid w:val="00F94B5E"/>
    <w:rsid w:val="00F94E43"/>
    <w:rsid w:val="00F94E5A"/>
    <w:rsid w:val="00F95399"/>
    <w:rsid w:val="00F95516"/>
    <w:rsid w:val="00F955E9"/>
    <w:rsid w:val="00F9575E"/>
    <w:rsid w:val="00F958FC"/>
    <w:rsid w:val="00F95E7A"/>
    <w:rsid w:val="00F962EC"/>
    <w:rsid w:val="00F96530"/>
    <w:rsid w:val="00F96864"/>
    <w:rsid w:val="00F96C28"/>
    <w:rsid w:val="00F96C5B"/>
    <w:rsid w:val="00F96E08"/>
    <w:rsid w:val="00F96E36"/>
    <w:rsid w:val="00F96ECB"/>
    <w:rsid w:val="00F97124"/>
    <w:rsid w:val="00F97172"/>
    <w:rsid w:val="00F973D6"/>
    <w:rsid w:val="00F974AB"/>
    <w:rsid w:val="00F97A99"/>
    <w:rsid w:val="00F97ACE"/>
    <w:rsid w:val="00F97B72"/>
    <w:rsid w:val="00F97DA3"/>
    <w:rsid w:val="00F97FB9"/>
    <w:rsid w:val="00FA0332"/>
    <w:rsid w:val="00FA04E4"/>
    <w:rsid w:val="00FA0702"/>
    <w:rsid w:val="00FA0B6D"/>
    <w:rsid w:val="00FA0F88"/>
    <w:rsid w:val="00FA14AF"/>
    <w:rsid w:val="00FA15CA"/>
    <w:rsid w:val="00FA15FE"/>
    <w:rsid w:val="00FA1621"/>
    <w:rsid w:val="00FA16B6"/>
    <w:rsid w:val="00FA1784"/>
    <w:rsid w:val="00FA18A4"/>
    <w:rsid w:val="00FA19B2"/>
    <w:rsid w:val="00FA1B1A"/>
    <w:rsid w:val="00FA1B68"/>
    <w:rsid w:val="00FA1BBD"/>
    <w:rsid w:val="00FA1C53"/>
    <w:rsid w:val="00FA1DC3"/>
    <w:rsid w:val="00FA1E13"/>
    <w:rsid w:val="00FA2357"/>
    <w:rsid w:val="00FA2537"/>
    <w:rsid w:val="00FA27C6"/>
    <w:rsid w:val="00FA29DB"/>
    <w:rsid w:val="00FA2B7C"/>
    <w:rsid w:val="00FA2C81"/>
    <w:rsid w:val="00FA2D69"/>
    <w:rsid w:val="00FA2DAB"/>
    <w:rsid w:val="00FA2E23"/>
    <w:rsid w:val="00FA37F0"/>
    <w:rsid w:val="00FA3B0B"/>
    <w:rsid w:val="00FA3CB4"/>
    <w:rsid w:val="00FA3DDE"/>
    <w:rsid w:val="00FA3FAA"/>
    <w:rsid w:val="00FA4091"/>
    <w:rsid w:val="00FA43D3"/>
    <w:rsid w:val="00FA47CE"/>
    <w:rsid w:val="00FA4D02"/>
    <w:rsid w:val="00FA4DA5"/>
    <w:rsid w:val="00FA4EBD"/>
    <w:rsid w:val="00FA4FF8"/>
    <w:rsid w:val="00FA5347"/>
    <w:rsid w:val="00FA57BA"/>
    <w:rsid w:val="00FA5DBF"/>
    <w:rsid w:val="00FA6275"/>
    <w:rsid w:val="00FA63A0"/>
    <w:rsid w:val="00FA66E0"/>
    <w:rsid w:val="00FA6ABA"/>
    <w:rsid w:val="00FA6F07"/>
    <w:rsid w:val="00FA70C7"/>
    <w:rsid w:val="00FA7197"/>
    <w:rsid w:val="00FA71F7"/>
    <w:rsid w:val="00FA7B96"/>
    <w:rsid w:val="00FA7ED0"/>
    <w:rsid w:val="00FB0048"/>
    <w:rsid w:val="00FB0131"/>
    <w:rsid w:val="00FB030F"/>
    <w:rsid w:val="00FB04D5"/>
    <w:rsid w:val="00FB07CB"/>
    <w:rsid w:val="00FB08E9"/>
    <w:rsid w:val="00FB0DE0"/>
    <w:rsid w:val="00FB10D2"/>
    <w:rsid w:val="00FB137E"/>
    <w:rsid w:val="00FB16CD"/>
    <w:rsid w:val="00FB1748"/>
    <w:rsid w:val="00FB1C76"/>
    <w:rsid w:val="00FB1DEF"/>
    <w:rsid w:val="00FB1F6C"/>
    <w:rsid w:val="00FB22C8"/>
    <w:rsid w:val="00FB2BEE"/>
    <w:rsid w:val="00FB2CCD"/>
    <w:rsid w:val="00FB2E48"/>
    <w:rsid w:val="00FB3124"/>
    <w:rsid w:val="00FB328C"/>
    <w:rsid w:val="00FB39F5"/>
    <w:rsid w:val="00FB3D4A"/>
    <w:rsid w:val="00FB3E1A"/>
    <w:rsid w:val="00FB4201"/>
    <w:rsid w:val="00FB44F1"/>
    <w:rsid w:val="00FB484F"/>
    <w:rsid w:val="00FB4A67"/>
    <w:rsid w:val="00FB4AD3"/>
    <w:rsid w:val="00FB507B"/>
    <w:rsid w:val="00FB55F1"/>
    <w:rsid w:val="00FB5DA0"/>
    <w:rsid w:val="00FB5F0F"/>
    <w:rsid w:val="00FB60C0"/>
    <w:rsid w:val="00FB642C"/>
    <w:rsid w:val="00FB64DA"/>
    <w:rsid w:val="00FB66A8"/>
    <w:rsid w:val="00FB6833"/>
    <w:rsid w:val="00FB6D2F"/>
    <w:rsid w:val="00FB6E9F"/>
    <w:rsid w:val="00FB7B3F"/>
    <w:rsid w:val="00FB7D0C"/>
    <w:rsid w:val="00FB7F00"/>
    <w:rsid w:val="00FB7FA1"/>
    <w:rsid w:val="00FB7FE4"/>
    <w:rsid w:val="00FC012D"/>
    <w:rsid w:val="00FC06A8"/>
    <w:rsid w:val="00FC0916"/>
    <w:rsid w:val="00FC0B6D"/>
    <w:rsid w:val="00FC11DB"/>
    <w:rsid w:val="00FC1222"/>
    <w:rsid w:val="00FC1245"/>
    <w:rsid w:val="00FC12F8"/>
    <w:rsid w:val="00FC13E3"/>
    <w:rsid w:val="00FC16AF"/>
    <w:rsid w:val="00FC18B9"/>
    <w:rsid w:val="00FC18EA"/>
    <w:rsid w:val="00FC1EB2"/>
    <w:rsid w:val="00FC1EE6"/>
    <w:rsid w:val="00FC1F00"/>
    <w:rsid w:val="00FC21DB"/>
    <w:rsid w:val="00FC232F"/>
    <w:rsid w:val="00FC2641"/>
    <w:rsid w:val="00FC2909"/>
    <w:rsid w:val="00FC2AC7"/>
    <w:rsid w:val="00FC2C5A"/>
    <w:rsid w:val="00FC2CD5"/>
    <w:rsid w:val="00FC2FAF"/>
    <w:rsid w:val="00FC30F8"/>
    <w:rsid w:val="00FC37C7"/>
    <w:rsid w:val="00FC3835"/>
    <w:rsid w:val="00FC397F"/>
    <w:rsid w:val="00FC3AA5"/>
    <w:rsid w:val="00FC3D08"/>
    <w:rsid w:val="00FC3DDA"/>
    <w:rsid w:val="00FC3F07"/>
    <w:rsid w:val="00FC4113"/>
    <w:rsid w:val="00FC420C"/>
    <w:rsid w:val="00FC4842"/>
    <w:rsid w:val="00FC4A42"/>
    <w:rsid w:val="00FC4AE9"/>
    <w:rsid w:val="00FC4E2A"/>
    <w:rsid w:val="00FC4FB8"/>
    <w:rsid w:val="00FC5338"/>
    <w:rsid w:val="00FC5A7F"/>
    <w:rsid w:val="00FC5D1F"/>
    <w:rsid w:val="00FC5D62"/>
    <w:rsid w:val="00FC5E44"/>
    <w:rsid w:val="00FC61F5"/>
    <w:rsid w:val="00FC6B4B"/>
    <w:rsid w:val="00FC6BEA"/>
    <w:rsid w:val="00FC6CFA"/>
    <w:rsid w:val="00FC6E45"/>
    <w:rsid w:val="00FC6E70"/>
    <w:rsid w:val="00FC72BE"/>
    <w:rsid w:val="00FC7718"/>
    <w:rsid w:val="00FC78F7"/>
    <w:rsid w:val="00FC79A1"/>
    <w:rsid w:val="00FC79B4"/>
    <w:rsid w:val="00FC7D79"/>
    <w:rsid w:val="00FD0353"/>
    <w:rsid w:val="00FD0A0F"/>
    <w:rsid w:val="00FD104F"/>
    <w:rsid w:val="00FD137A"/>
    <w:rsid w:val="00FD1493"/>
    <w:rsid w:val="00FD14D2"/>
    <w:rsid w:val="00FD1512"/>
    <w:rsid w:val="00FD15B8"/>
    <w:rsid w:val="00FD191B"/>
    <w:rsid w:val="00FD1ABE"/>
    <w:rsid w:val="00FD200B"/>
    <w:rsid w:val="00FD21C3"/>
    <w:rsid w:val="00FD2331"/>
    <w:rsid w:val="00FD24A7"/>
    <w:rsid w:val="00FD27B5"/>
    <w:rsid w:val="00FD283A"/>
    <w:rsid w:val="00FD2AE3"/>
    <w:rsid w:val="00FD2C5B"/>
    <w:rsid w:val="00FD2CCF"/>
    <w:rsid w:val="00FD2F64"/>
    <w:rsid w:val="00FD37B4"/>
    <w:rsid w:val="00FD3846"/>
    <w:rsid w:val="00FD39AA"/>
    <w:rsid w:val="00FD3AB4"/>
    <w:rsid w:val="00FD3DCF"/>
    <w:rsid w:val="00FD3ECB"/>
    <w:rsid w:val="00FD3F0E"/>
    <w:rsid w:val="00FD4279"/>
    <w:rsid w:val="00FD4302"/>
    <w:rsid w:val="00FD4390"/>
    <w:rsid w:val="00FD44A8"/>
    <w:rsid w:val="00FD44AB"/>
    <w:rsid w:val="00FD467F"/>
    <w:rsid w:val="00FD4779"/>
    <w:rsid w:val="00FD47FF"/>
    <w:rsid w:val="00FD4893"/>
    <w:rsid w:val="00FD48AB"/>
    <w:rsid w:val="00FD496C"/>
    <w:rsid w:val="00FD49D3"/>
    <w:rsid w:val="00FD4DA3"/>
    <w:rsid w:val="00FD4FDD"/>
    <w:rsid w:val="00FD529D"/>
    <w:rsid w:val="00FD539E"/>
    <w:rsid w:val="00FD54ED"/>
    <w:rsid w:val="00FD5676"/>
    <w:rsid w:val="00FD5741"/>
    <w:rsid w:val="00FD5884"/>
    <w:rsid w:val="00FD5A24"/>
    <w:rsid w:val="00FD5A7C"/>
    <w:rsid w:val="00FD6D6F"/>
    <w:rsid w:val="00FD6E17"/>
    <w:rsid w:val="00FD6FC6"/>
    <w:rsid w:val="00FD70DB"/>
    <w:rsid w:val="00FD71B7"/>
    <w:rsid w:val="00FD743C"/>
    <w:rsid w:val="00FD7613"/>
    <w:rsid w:val="00FD7B3F"/>
    <w:rsid w:val="00FD7B6A"/>
    <w:rsid w:val="00FD7BEE"/>
    <w:rsid w:val="00FD7C4C"/>
    <w:rsid w:val="00FD7E99"/>
    <w:rsid w:val="00FD7F51"/>
    <w:rsid w:val="00FE02AF"/>
    <w:rsid w:val="00FE02CD"/>
    <w:rsid w:val="00FE030E"/>
    <w:rsid w:val="00FE0358"/>
    <w:rsid w:val="00FE0391"/>
    <w:rsid w:val="00FE060A"/>
    <w:rsid w:val="00FE064B"/>
    <w:rsid w:val="00FE08E5"/>
    <w:rsid w:val="00FE09FC"/>
    <w:rsid w:val="00FE0B13"/>
    <w:rsid w:val="00FE0B17"/>
    <w:rsid w:val="00FE1096"/>
    <w:rsid w:val="00FE10FD"/>
    <w:rsid w:val="00FE18BB"/>
    <w:rsid w:val="00FE190C"/>
    <w:rsid w:val="00FE1C8C"/>
    <w:rsid w:val="00FE1CA2"/>
    <w:rsid w:val="00FE1D97"/>
    <w:rsid w:val="00FE1F0C"/>
    <w:rsid w:val="00FE2356"/>
    <w:rsid w:val="00FE2370"/>
    <w:rsid w:val="00FE23B7"/>
    <w:rsid w:val="00FE25BE"/>
    <w:rsid w:val="00FE281D"/>
    <w:rsid w:val="00FE2957"/>
    <w:rsid w:val="00FE2973"/>
    <w:rsid w:val="00FE2FE7"/>
    <w:rsid w:val="00FE3058"/>
    <w:rsid w:val="00FE3657"/>
    <w:rsid w:val="00FE36F4"/>
    <w:rsid w:val="00FE37D9"/>
    <w:rsid w:val="00FE3A82"/>
    <w:rsid w:val="00FE3A88"/>
    <w:rsid w:val="00FE3AB0"/>
    <w:rsid w:val="00FE3BFB"/>
    <w:rsid w:val="00FE3DB9"/>
    <w:rsid w:val="00FE3F4A"/>
    <w:rsid w:val="00FE3F9D"/>
    <w:rsid w:val="00FE4617"/>
    <w:rsid w:val="00FE46D3"/>
    <w:rsid w:val="00FE4816"/>
    <w:rsid w:val="00FE48C2"/>
    <w:rsid w:val="00FE48EF"/>
    <w:rsid w:val="00FE49BF"/>
    <w:rsid w:val="00FE59A1"/>
    <w:rsid w:val="00FE5D0E"/>
    <w:rsid w:val="00FE5FA0"/>
    <w:rsid w:val="00FE606A"/>
    <w:rsid w:val="00FE60AB"/>
    <w:rsid w:val="00FE629E"/>
    <w:rsid w:val="00FE64C4"/>
    <w:rsid w:val="00FE65AE"/>
    <w:rsid w:val="00FE6644"/>
    <w:rsid w:val="00FE70F1"/>
    <w:rsid w:val="00FE7372"/>
    <w:rsid w:val="00FE7462"/>
    <w:rsid w:val="00FE748F"/>
    <w:rsid w:val="00FE7B02"/>
    <w:rsid w:val="00FE7C5D"/>
    <w:rsid w:val="00FE7CA5"/>
    <w:rsid w:val="00FE7D0A"/>
    <w:rsid w:val="00FE7D29"/>
    <w:rsid w:val="00FE7D68"/>
    <w:rsid w:val="00FE7DFD"/>
    <w:rsid w:val="00FE7F3F"/>
    <w:rsid w:val="00FF03D6"/>
    <w:rsid w:val="00FF0541"/>
    <w:rsid w:val="00FF0549"/>
    <w:rsid w:val="00FF101D"/>
    <w:rsid w:val="00FF1257"/>
    <w:rsid w:val="00FF12A2"/>
    <w:rsid w:val="00FF12BF"/>
    <w:rsid w:val="00FF16D0"/>
    <w:rsid w:val="00FF1750"/>
    <w:rsid w:val="00FF19B4"/>
    <w:rsid w:val="00FF1BB8"/>
    <w:rsid w:val="00FF1CB4"/>
    <w:rsid w:val="00FF1D4C"/>
    <w:rsid w:val="00FF1D4E"/>
    <w:rsid w:val="00FF223A"/>
    <w:rsid w:val="00FF2429"/>
    <w:rsid w:val="00FF2627"/>
    <w:rsid w:val="00FF3083"/>
    <w:rsid w:val="00FF317B"/>
    <w:rsid w:val="00FF3184"/>
    <w:rsid w:val="00FF3186"/>
    <w:rsid w:val="00FF31E9"/>
    <w:rsid w:val="00FF324B"/>
    <w:rsid w:val="00FF3CB5"/>
    <w:rsid w:val="00FF3F82"/>
    <w:rsid w:val="00FF3FB5"/>
    <w:rsid w:val="00FF4136"/>
    <w:rsid w:val="00FF4161"/>
    <w:rsid w:val="00FF4B75"/>
    <w:rsid w:val="00FF4BBE"/>
    <w:rsid w:val="00FF52EB"/>
    <w:rsid w:val="00FF5810"/>
    <w:rsid w:val="00FF5BBB"/>
    <w:rsid w:val="00FF5F4A"/>
    <w:rsid w:val="00FF5FF4"/>
    <w:rsid w:val="00FF6273"/>
    <w:rsid w:val="00FF6611"/>
    <w:rsid w:val="00FF6AC9"/>
    <w:rsid w:val="00FF6CFC"/>
    <w:rsid w:val="00FF6D2F"/>
    <w:rsid w:val="00FF6D72"/>
    <w:rsid w:val="00FF7672"/>
    <w:rsid w:val="00FF787D"/>
    <w:rsid w:val="00FF7C1D"/>
    <w:rsid w:val="00FF7C60"/>
    <w:rsid w:val="00FF7CEA"/>
    <w:rsid w:val="00FF7D75"/>
    <w:rsid w:val="00FF7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6D0CF4"/>
  <w15:docId w15:val="{20616650-4973-4CA0-809F-DAE1F14E4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42B2"/>
    <w:pPr>
      <w:jc w:val="both"/>
    </w:pPr>
    <w:rPr>
      <w:sz w:val="24"/>
      <w:szCs w:val="22"/>
    </w:rPr>
  </w:style>
  <w:style w:type="paragraph" w:styleId="Heading1">
    <w:name w:val="heading 1"/>
    <w:basedOn w:val="Normal"/>
    <w:next w:val="Normal"/>
    <w:link w:val="Heading1Char"/>
    <w:uiPriority w:val="9"/>
    <w:qFormat/>
    <w:rsid w:val="00C9471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C9471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C9471B"/>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471B"/>
    <w:rPr>
      <w:rFonts w:ascii="Cambria" w:eastAsia="Times New Roman" w:hAnsi="Cambria"/>
      <w:b/>
      <w:bCs/>
      <w:kern w:val="32"/>
      <w:sz w:val="32"/>
      <w:szCs w:val="32"/>
    </w:rPr>
  </w:style>
  <w:style w:type="character" w:customStyle="1" w:styleId="Heading2Char">
    <w:name w:val="Heading 2 Char"/>
    <w:link w:val="Heading2"/>
    <w:uiPriority w:val="9"/>
    <w:rsid w:val="00C9471B"/>
    <w:rPr>
      <w:rFonts w:ascii="Cambria" w:eastAsia="Times New Roman" w:hAnsi="Cambria"/>
      <w:b/>
      <w:bCs/>
      <w:i/>
      <w:iCs/>
      <w:sz w:val="28"/>
      <w:szCs w:val="28"/>
    </w:rPr>
  </w:style>
  <w:style w:type="character" w:customStyle="1" w:styleId="Heading3Char">
    <w:name w:val="Heading 3 Char"/>
    <w:link w:val="Heading3"/>
    <w:uiPriority w:val="9"/>
    <w:rsid w:val="00C9471B"/>
    <w:rPr>
      <w:rFonts w:ascii="Cambria" w:eastAsia="Times New Roman" w:hAnsi="Cambria"/>
      <w:b/>
      <w:bCs/>
      <w:sz w:val="26"/>
      <w:szCs w:val="26"/>
    </w:rPr>
  </w:style>
  <w:style w:type="character" w:styleId="Hyperlink">
    <w:name w:val="Hyperlink"/>
    <w:uiPriority w:val="99"/>
    <w:unhideWhenUsed/>
    <w:rsid w:val="00C9471B"/>
    <w:rPr>
      <w:color w:val="0000FF"/>
      <w:u w:val="single"/>
    </w:rPr>
  </w:style>
  <w:style w:type="table" w:styleId="TableGrid">
    <w:name w:val="Table Grid"/>
    <w:basedOn w:val="TableNormal"/>
    <w:uiPriority w:val="59"/>
    <w:rsid w:val="00C94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471B"/>
    <w:pPr>
      <w:tabs>
        <w:tab w:val="center" w:pos="4680"/>
        <w:tab w:val="right" w:pos="9360"/>
      </w:tabs>
    </w:pPr>
  </w:style>
  <w:style w:type="character" w:customStyle="1" w:styleId="HeaderChar">
    <w:name w:val="Header Char"/>
    <w:link w:val="Header"/>
    <w:uiPriority w:val="99"/>
    <w:rsid w:val="00C9471B"/>
    <w:rPr>
      <w:sz w:val="24"/>
      <w:szCs w:val="22"/>
    </w:rPr>
  </w:style>
  <w:style w:type="paragraph" w:styleId="Footer">
    <w:name w:val="footer"/>
    <w:basedOn w:val="Normal"/>
    <w:link w:val="FooterChar"/>
    <w:uiPriority w:val="99"/>
    <w:unhideWhenUsed/>
    <w:rsid w:val="00C9471B"/>
    <w:pPr>
      <w:tabs>
        <w:tab w:val="center" w:pos="4680"/>
        <w:tab w:val="right" w:pos="9360"/>
      </w:tabs>
    </w:pPr>
  </w:style>
  <w:style w:type="character" w:customStyle="1" w:styleId="FooterChar">
    <w:name w:val="Footer Char"/>
    <w:link w:val="Footer"/>
    <w:uiPriority w:val="99"/>
    <w:rsid w:val="00C9471B"/>
    <w:rPr>
      <w:sz w:val="24"/>
      <w:szCs w:val="22"/>
    </w:rPr>
  </w:style>
  <w:style w:type="paragraph" w:styleId="TOCHeading">
    <w:name w:val="TOC Heading"/>
    <w:basedOn w:val="Heading1"/>
    <w:next w:val="Normal"/>
    <w:uiPriority w:val="39"/>
    <w:qFormat/>
    <w:rsid w:val="00C9471B"/>
    <w:pPr>
      <w:keepLines/>
      <w:spacing w:before="480" w:after="0" w:line="276" w:lineRule="auto"/>
      <w:jc w:val="left"/>
      <w:outlineLvl w:val="9"/>
    </w:pPr>
    <w:rPr>
      <w:rFonts w:eastAsia="MS Gothic"/>
      <w:color w:val="365F91"/>
      <w:kern w:val="0"/>
      <w:sz w:val="28"/>
      <w:szCs w:val="28"/>
      <w:lang w:eastAsia="ja-JP"/>
    </w:rPr>
  </w:style>
  <w:style w:type="paragraph" w:styleId="TOC1">
    <w:name w:val="toc 1"/>
    <w:basedOn w:val="Normal"/>
    <w:next w:val="Normal"/>
    <w:autoRedefine/>
    <w:uiPriority w:val="39"/>
    <w:unhideWhenUsed/>
    <w:rsid w:val="009F562D"/>
    <w:pPr>
      <w:tabs>
        <w:tab w:val="left" w:pos="180"/>
        <w:tab w:val="left" w:pos="540"/>
        <w:tab w:val="right" w:leader="dot" w:pos="9000"/>
      </w:tabs>
      <w:spacing w:line="276" w:lineRule="auto"/>
      <w:ind w:left="450" w:right="90" w:hanging="450"/>
      <w:jc w:val="left"/>
    </w:pPr>
    <w:rPr>
      <w:noProof/>
    </w:rPr>
  </w:style>
  <w:style w:type="paragraph" w:styleId="TOC2">
    <w:name w:val="toc 2"/>
    <w:basedOn w:val="Normal"/>
    <w:next w:val="Normal"/>
    <w:autoRedefine/>
    <w:uiPriority w:val="39"/>
    <w:unhideWhenUsed/>
    <w:rsid w:val="00F01F15"/>
    <w:pPr>
      <w:tabs>
        <w:tab w:val="right" w:leader="dot" w:pos="9180"/>
      </w:tabs>
      <w:spacing w:line="276" w:lineRule="auto"/>
      <w:ind w:left="450" w:hanging="450"/>
    </w:pPr>
  </w:style>
  <w:style w:type="paragraph" w:styleId="TOC3">
    <w:name w:val="toc 3"/>
    <w:basedOn w:val="Normal"/>
    <w:next w:val="Normal"/>
    <w:autoRedefine/>
    <w:uiPriority w:val="39"/>
    <w:unhideWhenUsed/>
    <w:rsid w:val="008F4B32"/>
    <w:pPr>
      <w:tabs>
        <w:tab w:val="right" w:leader="dot" w:pos="9180"/>
      </w:tabs>
      <w:spacing w:line="276" w:lineRule="auto"/>
    </w:pPr>
  </w:style>
  <w:style w:type="paragraph" w:styleId="BalloonText">
    <w:name w:val="Balloon Text"/>
    <w:basedOn w:val="Normal"/>
    <w:link w:val="BalloonTextChar"/>
    <w:semiHidden/>
    <w:rsid w:val="00C9471B"/>
    <w:rPr>
      <w:rFonts w:ascii="Tahoma" w:hAnsi="Tahoma"/>
      <w:sz w:val="16"/>
      <w:szCs w:val="16"/>
    </w:rPr>
  </w:style>
  <w:style w:type="character" w:customStyle="1" w:styleId="BalloonTextChar">
    <w:name w:val="Balloon Text Char"/>
    <w:link w:val="BalloonText"/>
    <w:semiHidden/>
    <w:rsid w:val="00C9471B"/>
    <w:rPr>
      <w:rFonts w:ascii="Tahoma" w:hAnsi="Tahoma" w:cs="Tahoma"/>
      <w:sz w:val="16"/>
      <w:szCs w:val="16"/>
    </w:rPr>
  </w:style>
  <w:style w:type="paragraph" w:styleId="NoSpacing">
    <w:name w:val="No Spacing"/>
    <w:uiPriority w:val="1"/>
    <w:qFormat/>
    <w:rsid w:val="00DE7D37"/>
    <w:pPr>
      <w:jc w:val="both"/>
    </w:pPr>
    <w:rPr>
      <w:sz w:val="24"/>
      <w:szCs w:val="22"/>
    </w:rPr>
  </w:style>
  <w:style w:type="paragraph" w:customStyle="1" w:styleId="Default">
    <w:name w:val="Default"/>
    <w:rsid w:val="006A7E98"/>
    <w:pPr>
      <w:autoSpaceDE w:val="0"/>
      <w:autoSpaceDN w:val="0"/>
      <w:adjustRightInd w:val="0"/>
    </w:pPr>
    <w:rPr>
      <w:rFonts w:ascii="Times New Roman PS" w:hAnsi="Times New Roman PS" w:cs="Times New Roman PS"/>
      <w:color w:val="000000"/>
      <w:sz w:val="24"/>
      <w:szCs w:val="24"/>
    </w:rPr>
  </w:style>
  <w:style w:type="character" w:customStyle="1" w:styleId="A3">
    <w:name w:val="A3"/>
    <w:uiPriority w:val="99"/>
    <w:rsid w:val="006A7E98"/>
    <w:rPr>
      <w:rFonts w:cs="Times New Roman PS"/>
      <w:b/>
      <w:bCs/>
      <w:i/>
      <w:iCs/>
      <w:color w:val="000000"/>
      <w:sz w:val="12"/>
      <w:szCs w:val="12"/>
    </w:rPr>
  </w:style>
  <w:style w:type="paragraph" w:customStyle="1" w:styleId="Pa13">
    <w:name w:val="Pa13"/>
    <w:basedOn w:val="Default"/>
    <w:next w:val="Default"/>
    <w:uiPriority w:val="99"/>
    <w:rsid w:val="00547869"/>
    <w:pPr>
      <w:spacing w:line="201" w:lineRule="atLeast"/>
    </w:pPr>
    <w:rPr>
      <w:rFonts w:cs="Times New Roman"/>
      <w:color w:val="auto"/>
    </w:rPr>
  </w:style>
  <w:style w:type="paragraph" w:customStyle="1" w:styleId="Pa14">
    <w:name w:val="Pa14"/>
    <w:basedOn w:val="Default"/>
    <w:next w:val="Default"/>
    <w:uiPriority w:val="99"/>
    <w:rsid w:val="00547869"/>
    <w:pPr>
      <w:spacing w:line="201" w:lineRule="atLeast"/>
    </w:pPr>
    <w:rPr>
      <w:rFonts w:cs="Times New Roman"/>
      <w:color w:val="auto"/>
    </w:rPr>
  </w:style>
  <w:style w:type="paragraph" w:customStyle="1" w:styleId="Pa16">
    <w:name w:val="Pa16"/>
    <w:basedOn w:val="Default"/>
    <w:next w:val="Default"/>
    <w:uiPriority w:val="99"/>
    <w:rsid w:val="00F5240B"/>
    <w:pPr>
      <w:spacing w:line="181" w:lineRule="atLeast"/>
    </w:pPr>
    <w:rPr>
      <w:rFonts w:cs="Times New Roman"/>
      <w:color w:val="auto"/>
    </w:rPr>
  </w:style>
  <w:style w:type="character" w:customStyle="1" w:styleId="A4">
    <w:name w:val="A4"/>
    <w:uiPriority w:val="99"/>
    <w:rsid w:val="008C2ACC"/>
    <w:rPr>
      <w:color w:val="000000"/>
      <w:sz w:val="12"/>
      <w:szCs w:val="12"/>
    </w:rPr>
  </w:style>
  <w:style w:type="paragraph" w:styleId="ListParagraph">
    <w:name w:val="List Paragraph"/>
    <w:basedOn w:val="Normal"/>
    <w:uiPriority w:val="34"/>
    <w:qFormat/>
    <w:rsid w:val="00751879"/>
    <w:pPr>
      <w:ind w:left="720"/>
      <w:contextualSpacing/>
      <w:jc w:val="left"/>
    </w:pPr>
    <w:rPr>
      <w:rFonts w:eastAsia="Times New Roman"/>
      <w:szCs w:val="24"/>
    </w:rPr>
  </w:style>
  <w:style w:type="paragraph" w:styleId="Caption">
    <w:name w:val="caption"/>
    <w:basedOn w:val="Normal"/>
    <w:next w:val="Normal"/>
    <w:uiPriority w:val="35"/>
    <w:unhideWhenUsed/>
    <w:qFormat/>
    <w:rsid w:val="00631F14"/>
    <w:rPr>
      <w:b/>
      <w:bCs/>
      <w:sz w:val="20"/>
      <w:szCs w:val="20"/>
    </w:rPr>
  </w:style>
  <w:style w:type="paragraph" w:styleId="TableofFigures">
    <w:name w:val="table of figures"/>
    <w:basedOn w:val="Normal"/>
    <w:next w:val="Normal"/>
    <w:uiPriority w:val="99"/>
    <w:unhideWhenUsed/>
    <w:rsid w:val="000E1362"/>
  </w:style>
  <w:style w:type="paragraph" w:styleId="NormalWeb">
    <w:name w:val="Normal (Web)"/>
    <w:basedOn w:val="Normal"/>
    <w:uiPriority w:val="99"/>
    <w:unhideWhenUsed/>
    <w:rsid w:val="003A57B0"/>
    <w:pPr>
      <w:spacing w:before="100" w:beforeAutospacing="1" w:after="100" w:afterAutospacing="1"/>
      <w:jc w:val="left"/>
    </w:pPr>
    <w:rPr>
      <w:rFonts w:eastAsia="Times New Roman"/>
      <w:szCs w:val="24"/>
    </w:rPr>
  </w:style>
  <w:style w:type="paragraph" w:styleId="PlainText">
    <w:name w:val="Plain Text"/>
    <w:basedOn w:val="Normal"/>
    <w:link w:val="PlainTextChar"/>
    <w:uiPriority w:val="99"/>
    <w:unhideWhenUsed/>
    <w:rsid w:val="00467242"/>
    <w:rPr>
      <w:rFonts w:ascii="Courier New" w:hAnsi="Courier New"/>
      <w:sz w:val="20"/>
      <w:szCs w:val="20"/>
    </w:rPr>
  </w:style>
  <w:style w:type="character" w:customStyle="1" w:styleId="PlainTextChar">
    <w:name w:val="Plain Text Char"/>
    <w:link w:val="PlainText"/>
    <w:uiPriority w:val="99"/>
    <w:rsid w:val="00467242"/>
    <w:rPr>
      <w:rFonts w:ascii="Courier New" w:hAnsi="Courier New" w:cs="Courier New"/>
    </w:rPr>
  </w:style>
  <w:style w:type="character" w:customStyle="1" w:styleId="fontstyle01">
    <w:name w:val="fontstyle01"/>
    <w:rsid w:val="00173E7A"/>
    <w:rPr>
      <w:rFonts w:ascii="Times-Roman" w:hAnsi="Times-Roman" w:hint="default"/>
      <w:b w:val="0"/>
      <w:bCs w:val="0"/>
      <w:i w:val="0"/>
      <w:iCs w:val="0"/>
      <w:color w:val="131413"/>
      <w:sz w:val="20"/>
      <w:szCs w:val="20"/>
    </w:rPr>
  </w:style>
  <w:style w:type="character" w:customStyle="1" w:styleId="fontstyle21">
    <w:name w:val="fontstyle21"/>
    <w:rsid w:val="00173E7A"/>
    <w:rPr>
      <w:rFonts w:ascii="MT2SYS" w:hAnsi="MT2SYS" w:hint="default"/>
      <w:b w:val="0"/>
      <w:bCs w:val="0"/>
      <w:i w:val="0"/>
      <w:iCs w:val="0"/>
      <w:color w:val="131413"/>
      <w:sz w:val="14"/>
      <w:szCs w:val="14"/>
    </w:rPr>
  </w:style>
  <w:style w:type="paragraph" w:customStyle="1" w:styleId="EndNoteBibliography">
    <w:name w:val="EndNote Bibliography"/>
    <w:basedOn w:val="Normal"/>
    <w:link w:val="EndNoteBibliographyChar"/>
    <w:rsid w:val="008F1582"/>
    <w:rPr>
      <w:noProof/>
    </w:rPr>
  </w:style>
  <w:style w:type="character" w:customStyle="1" w:styleId="EndNoteBibliographyChar">
    <w:name w:val="EndNote Bibliography Char"/>
    <w:link w:val="EndNoteBibliography"/>
    <w:rsid w:val="008F1582"/>
    <w:rPr>
      <w:noProof/>
      <w:sz w:val="24"/>
      <w:szCs w:val="22"/>
    </w:rPr>
  </w:style>
  <w:style w:type="paragraph" w:customStyle="1" w:styleId="EndNoteBibliographyTitle">
    <w:name w:val="EndNote Bibliography Title"/>
    <w:basedOn w:val="Normal"/>
    <w:link w:val="EndNoteBibliographyTitleChar"/>
    <w:rsid w:val="00EE64F9"/>
    <w:pPr>
      <w:jc w:val="center"/>
    </w:pPr>
    <w:rPr>
      <w:noProof/>
    </w:rPr>
  </w:style>
  <w:style w:type="character" w:customStyle="1" w:styleId="EndNoteBibliographyTitleChar">
    <w:name w:val="EndNote Bibliography Title Char"/>
    <w:link w:val="EndNoteBibliographyTitle"/>
    <w:rsid w:val="00EE64F9"/>
    <w:rPr>
      <w:noProof/>
      <w:sz w:val="24"/>
      <w:szCs w:val="22"/>
    </w:rPr>
  </w:style>
  <w:style w:type="paragraph" w:styleId="Revision">
    <w:name w:val="Revision"/>
    <w:hidden/>
    <w:uiPriority w:val="99"/>
    <w:semiHidden/>
    <w:rsid w:val="00046694"/>
    <w:rPr>
      <w:sz w:val="24"/>
      <w:szCs w:val="22"/>
    </w:rPr>
  </w:style>
  <w:style w:type="character" w:styleId="CommentReference">
    <w:name w:val="annotation reference"/>
    <w:basedOn w:val="DefaultParagraphFont"/>
    <w:uiPriority w:val="99"/>
    <w:semiHidden/>
    <w:unhideWhenUsed/>
    <w:rsid w:val="00046694"/>
    <w:rPr>
      <w:sz w:val="16"/>
      <w:szCs w:val="16"/>
    </w:rPr>
  </w:style>
  <w:style w:type="paragraph" w:styleId="CommentText">
    <w:name w:val="annotation text"/>
    <w:basedOn w:val="Normal"/>
    <w:link w:val="CommentTextChar"/>
    <w:uiPriority w:val="99"/>
    <w:semiHidden/>
    <w:unhideWhenUsed/>
    <w:rsid w:val="00046694"/>
    <w:rPr>
      <w:sz w:val="20"/>
      <w:szCs w:val="20"/>
    </w:rPr>
  </w:style>
  <w:style w:type="character" w:customStyle="1" w:styleId="CommentTextChar">
    <w:name w:val="Comment Text Char"/>
    <w:basedOn w:val="DefaultParagraphFont"/>
    <w:link w:val="CommentText"/>
    <w:uiPriority w:val="99"/>
    <w:semiHidden/>
    <w:rsid w:val="00046694"/>
  </w:style>
  <w:style w:type="paragraph" w:styleId="CommentSubject">
    <w:name w:val="annotation subject"/>
    <w:basedOn w:val="CommentText"/>
    <w:next w:val="CommentText"/>
    <w:link w:val="CommentSubjectChar"/>
    <w:uiPriority w:val="99"/>
    <w:semiHidden/>
    <w:unhideWhenUsed/>
    <w:rsid w:val="00046694"/>
    <w:rPr>
      <w:b/>
      <w:bCs/>
    </w:rPr>
  </w:style>
  <w:style w:type="character" w:customStyle="1" w:styleId="CommentSubjectChar">
    <w:name w:val="Comment Subject Char"/>
    <w:basedOn w:val="CommentTextChar"/>
    <w:link w:val="CommentSubject"/>
    <w:uiPriority w:val="99"/>
    <w:semiHidden/>
    <w:rsid w:val="00046694"/>
    <w:rPr>
      <w:b/>
      <w:bCs/>
    </w:rPr>
  </w:style>
  <w:style w:type="character" w:customStyle="1" w:styleId="UnresolvedMention1">
    <w:name w:val="Unresolved Mention1"/>
    <w:basedOn w:val="DefaultParagraphFont"/>
    <w:uiPriority w:val="99"/>
    <w:semiHidden/>
    <w:unhideWhenUsed/>
    <w:rsid w:val="00F76ABF"/>
    <w:rPr>
      <w:color w:val="605E5C"/>
      <w:shd w:val="clear" w:color="auto" w:fill="E1DFDD"/>
    </w:rPr>
  </w:style>
  <w:style w:type="paragraph" w:customStyle="1" w:styleId="EndNoteCategoryHeading">
    <w:name w:val="EndNote Category Heading"/>
    <w:basedOn w:val="Normal"/>
    <w:link w:val="EndNoteCategoryHeadingChar"/>
    <w:rsid w:val="00F238DC"/>
    <w:pPr>
      <w:spacing w:before="120" w:after="120"/>
      <w:jc w:val="left"/>
    </w:pPr>
  </w:style>
  <w:style w:type="character" w:customStyle="1" w:styleId="EndNoteCategoryHeadingChar">
    <w:name w:val="EndNote Category Heading Char"/>
    <w:basedOn w:val="DefaultParagraphFont"/>
    <w:link w:val="EndNoteCategoryHeading"/>
    <w:rsid w:val="00F238DC"/>
    <w:rPr>
      <w:sz w:val="24"/>
      <w:szCs w:val="22"/>
    </w:rPr>
  </w:style>
  <w:style w:type="paragraph" w:customStyle="1" w:styleId="EndNoteCategoryTitle">
    <w:name w:val="EndNote Category Title"/>
    <w:basedOn w:val="Normal"/>
    <w:link w:val="EndNoteCategoryTitleChar"/>
    <w:rsid w:val="00F238DC"/>
    <w:pPr>
      <w:spacing w:before="120" w:after="120"/>
      <w:jc w:val="center"/>
    </w:pPr>
  </w:style>
  <w:style w:type="character" w:customStyle="1" w:styleId="EndNoteCategoryTitleChar">
    <w:name w:val="EndNote Category Title Char"/>
    <w:basedOn w:val="DefaultParagraphFont"/>
    <w:link w:val="EndNoteCategoryTitle"/>
    <w:rsid w:val="00F238DC"/>
    <w:rPr>
      <w:sz w:val="24"/>
      <w:szCs w:val="22"/>
    </w:rPr>
  </w:style>
  <w:style w:type="character" w:styleId="UnresolvedMention">
    <w:name w:val="Unresolved Mention"/>
    <w:basedOn w:val="DefaultParagraphFont"/>
    <w:uiPriority w:val="99"/>
    <w:semiHidden/>
    <w:unhideWhenUsed/>
    <w:rsid w:val="00503F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0677">
      <w:bodyDiv w:val="1"/>
      <w:marLeft w:val="0"/>
      <w:marRight w:val="0"/>
      <w:marTop w:val="0"/>
      <w:marBottom w:val="0"/>
      <w:divBdr>
        <w:top w:val="none" w:sz="0" w:space="0" w:color="auto"/>
        <w:left w:val="none" w:sz="0" w:space="0" w:color="auto"/>
        <w:bottom w:val="none" w:sz="0" w:space="0" w:color="auto"/>
        <w:right w:val="none" w:sz="0" w:space="0" w:color="auto"/>
      </w:divBdr>
    </w:div>
    <w:div w:id="682512967">
      <w:bodyDiv w:val="1"/>
      <w:marLeft w:val="0"/>
      <w:marRight w:val="0"/>
      <w:marTop w:val="0"/>
      <w:marBottom w:val="0"/>
      <w:divBdr>
        <w:top w:val="none" w:sz="0" w:space="0" w:color="auto"/>
        <w:left w:val="none" w:sz="0" w:space="0" w:color="auto"/>
        <w:bottom w:val="none" w:sz="0" w:space="0" w:color="auto"/>
        <w:right w:val="none" w:sz="0" w:space="0" w:color="auto"/>
      </w:divBdr>
    </w:div>
    <w:div w:id="762454117">
      <w:bodyDiv w:val="1"/>
      <w:marLeft w:val="0"/>
      <w:marRight w:val="0"/>
      <w:marTop w:val="0"/>
      <w:marBottom w:val="0"/>
      <w:divBdr>
        <w:top w:val="none" w:sz="0" w:space="0" w:color="auto"/>
        <w:left w:val="none" w:sz="0" w:space="0" w:color="auto"/>
        <w:bottom w:val="none" w:sz="0" w:space="0" w:color="auto"/>
        <w:right w:val="none" w:sz="0" w:space="0" w:color="auto"/>
      </w:divBdr>
    </w:div>
    <w:div w:id="953681555">
      <w:bodyDiv w:val="1"/>
      <w:marLeft w:val="0"/>
      <w:marRight w:val="0"/>
      <w:marTop w:val="0"/>
      <w:marBottom w:val="0"/>
      <w:divBdr>
        <w:top w:val="none" w:sz="0" w:space="0" w:color="auto"/>
        <w:left w:val="none" w:sz="0" w:space="0" w:color="auto"/>
        <w:bottom w:val="none" w:sz="0" w:space="0" w:color="auto"/>
        <w:right w:val="none" w:sz="0" w:space="0" w:color="auto"/>
      </w:divBdr>
    </w:div>
    <w:div w:id="1139108489">
      <w:bodyDiv w:val="1"/>
      <w:marLeft w:val="0"/>
      <w:marRight w:val="0"/>
      <w:marTop w:val="0"/>
      <w:marBottom w:val="0"/>
      <w:divBdr>
        <w:top w:val="none" w:sz="0" w:space="0" w:color="auto"/>
        <w:left w:val="none" w:sz="0" w:space="0" w:color="auto"/>
        <w:bottom w:val="none" w:sz="0" w:space="0" w:color="auto"/>
        <w:right w:val="none" w:sz="0" w:space="0" w:color="auto"/>
      </w:divBdr>
    </w:div>
    <w:div w:id="1156730146">
      <w:bodyDiv w:val="1"/>
      <w:marLeft w:val="0"/>
      <w:marRight w:val="0"/>
      <w:marTop w:val="0"/>
      <w:marBottom w:val="0"/>
      <w:divBdr>
        <w:top w:val="none" w:sz="0" w:space="0" w:color="auto"/>
        <w:left w:val="none" w:sz="0" w:space="0" w:color="auto"/>
        <w:bottom w:val="none" w:sz="0" w:space="0" w:color="auto"/>
        <w:right w:val="none" w:sz="0" w:space="0" w:color="auto"/>
      </w:divBdr>
    </w:div>
    <w:div w:id="1159224016">
      <w:bodyDiv w:val="1"/>
      <w:marLeft w:val="0"/>
      <w:marRight w:val="0"/>
      <w:marTop w:val="0"/>
      <w:marBottom w:val="0"/>
      <w:divBdr>
        <w:top w:val="none" w:sz="0" w:space="0" w:color="auto"/>
        <w:left w:val="none" w:sz="0" w:space="0" w:color="auto"/>
        <w:bottom w:val="none" w:sz="0" w:space="0" w:color="auto"/>
        <w:right w:val="none" w:sz="0" w:space="0" w:color="auto"/>
      </w:divBdr>
    </w:div>
    <w:div w:id="1360471678">
      <w:bodyDiv w:val="1"/>
      <w:marLeft w:val="0"/>
      <w:marRight w:val="0"/>
      <w:marTop w:val="0"/>
      <w:marBottom w:val="0"/>
      <w:divBdr>
        <w:top w:val="none" w:sz="0" w:space="0" w:color="auto"/>
        <w:left w:val="none" w:sz="0" w:space="0" w:color="auto"/>
        <w:bottom w:val="none" w:sz="0" w:space="0" w:color="auto"/>
        <w:right w:val="none" w:sz="0" w:space="0" w:color="auto"/>
      </w:divBdr>
    </w:div>
    <w:div w:id="1364556475">
      <w:bodyDiv w:val="1"/>
      <w:marLeft w:val="0"/>
      <w:marRight w:val="0"/>
      <w:marTop w:val="0"/>
      <w:marBottom w:val="0"/>
      <w:divBdr>
        <w:top w:val="none" w:sz="0" w:space="0" w:color="auto"/>
        <w:left w:val="none" w:sz="0" w:space="0" w:color="auto"/>
        <w:bottom w:val="none" w:sz="0" w:space="0" w:color="auto"/>
        <w:right w:val="none" w:sz="0" w:space="0" w:color="auto"/>
      </w:divBdr>
      <w:divsChild>
        <w:div w:id="1611159183">
          <w:marLeft w:val="576"/>
          <w:marRight w:val="0"/>
          <w:marTop w:val="80"/>
          <w:marBottom w:val="0"/>
          <w:divBdr>
            <w:top w:val="none" w:sz="0" w:space="0" w:color="auto"/>
            <w:left w:val="none" w:sz="0" w:space="0" w:color="auto"/>
            <w:bottom w:val="none" w:sz="0" w:space="0" w:color="auto"/>
            <w:right w:val="none" w:sz="0" w:space="0" w:color="auto"/>
          </w:divBdr>
        </w:div>
      </w:divsChild>
    </w:div>
    <w:div w:id="1447315094">
      <w:bodyDiv w:val="1"/>
      <w:marLeft w:val="0"/>
      <w:marRight w:val="0"/>
      <w:marTop w:val="0"/>
      <w:marBottom w:val="0"/>
      <w:divBdr>
        <w:top w:val="none" w:sz="0" w:space="0" w:color="auto"/>
        <w:left w:val="none" w:sz="0" w:space="0" w:color="auto"/>
        <w:bottom w:val="none" w:sz="0" w:space="0" w:color="auto"/>
        <w:right w:val="none" w:sz="0" w:space="0" w:color="auto"/>
      </w:divBdr>
      <w:divsChild>
        <w:div w:id="2082676610">
          <w:marLeft w:val="576"/>
          <w:marRight w:val="0"/>
          <w:marTop w:val="80"/>
          <w:marBottom w:val="0"/>
          <w:divBdr>
            <w:top w:val="none" w:sz="0" w:space="0" w:color="auto"/>
            <w:left w:val="none" w:sz="0" w:space="0" w:color="auto"/>
            <w:bottom w:val="none" w:sz="0" w:space="0" w:color="auto"/>
            <w:right w:val="none" w:sz="0" w:space="0" w:color="auto"/>
          </w:divBdr>
        </w:div>
      </w:divsChild>
    </w:div>
    <w:div w:id="1691835930">
      <w:bodyDiv w:val="1"/>
      <w:marLeft w:val="0"/>
      <w:marRight w:val="0"/>
      <w:marTop w:val="0"/>
      <w:marBottom w:val="0"/>
      <w:divBdr>
        <w:top w:val="none" w:sz="0" w:space="0" w:color="auto"/>
        <w:left w:val="none" w:sz="0" w:space="0" w:color="auto"/>
        <w:bottom w:val="none" w:sz="0" w:space="0" w:color="auto"/>
        <w:right w:val="none" w:sz="0" w:space="0" w:color="auto"/>
      </w:divBdr>
    </w:div>
    <w:div w:id="1795900353">
      <w:bodyDiv w:val="1"/>
      <w:marLeft w:val="0"/>
      <w:marRight w:val="0"/>
      <w:marTop w:val="0"/>
      <w:marBottom w:val="0"/>
      <w:divBdr>
        <w:top w:val="none" w:sz="0" w:space="0" w:color="auto"/>
        <w:left w:val="none" w:sz="0" w:space="0" w:color="auto"/>
        <w:bottom w:val="none" w:sz="0" w:space="0" w:color="auto"/>
        <w:right w:val="none" w:sz="0" w:space="0" w:color="auto"/>
      </w:divBdr>
    </w:div>
    <w:div w:id="1825732039">
      <w:bodyDiv w:val="1"/>
      <w:marLeft w:val="0"/>
      <w:marRight w:val="0"/>
      <w:marTop w:val="0"/>
      <w:marBottom w:val="0"/>
      <w:divBdr>
        <w:top w:val="none" w:sz="0" w:space="0" w:color="auto"/>
        <w:left w:val="none" w:sz="0" w:space="0" w:color="auto"/>
        <w:bottom w:val="none" w:sz="0" w:space="0" w:color="auto"/>
        <w:right w:val="none" w:sz="0" w:space="0" w:color="auto"/>
      </w:divBdr>
      <w:divsChild>
        <w:div w:id="1580404490">
          <w:marLeft w:val="576"/>
          <w:marRight w:val="0"/>
          <w:marTop w:val="80"/>
          <w:marBottom w:val="0"/>
          <w:divBdr>
            <w:top w:val="none" w:sz="0" w:space="0" w:color="auto"/>
            <w:left w:val="none" w:sz="0" w:space="0" w:color="auto"/>
            <w:bottom w:val="none" w:sz="0" w:space="0" w:color="auto"/>
            <w:right w:val="none" w:sz="0" w:space="0" w:color="auto"/>
          </w:divBdr>
        </w:div>
      </w:divsChild>
    </w:div>
    <w:div w:id="1843739062">
      <w:bodyDiv w:val="1"/>
      <w:marLeft w:val="0"/>
      <w:marRight w:val="0"/>
      <w:marTop w:val="0"/>
      <w:marBottom w:val="0"/>
      <w:divBdr>
        <w:top w:val="none" w:sz="0" w:space="0" w:color="auto"/>
        <w:left w:val="none" w:sz="0" w:space="0" w:color="auto"/>
        <w:bottom w:val="none" w:sz="0" w:space="0" w:color="auto"/>
        <w:right w:val="none" w:sz="0" w:space="0" w:color="auto"/>
      </w:divBdr>
      <w:divsChild>
        <w:div w:id="1026565686">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s://www.publish.csiro.au/sr/SR9870461" TargetMode="External"/><Relationship Id="rId39" Type="http://schemas.openxmlformats.org/officeDocument/2006/relationships/hyperlink" Target="https://doi.org/https://DOI:10.1007/978-94-007-1521-9_10" TargetMode="External"/><Relationship Id="rId21" Type="http://schemas.openxmlformats.org/officeDocument/2006/relationships/chart" Target="charts/chart14.xml"/><Relationship Id="rId34" Type="http://schemas.openxmlformats.org/officeDocument/2006/relationships/hyperlink" Target="https://agris.fao.org/agris-search/search.do?recordID=XE7533693" TargetMode="External"/><Relationship Id="rId42" Type="http://schemas.openxmlformats.org/officeDocument/2006/relationships/hyperlink" Target="https://agris.fao.org/agris-search/search.do?recordID=KE9742691"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hyperlink" Target="https://www.cabdirect.org/cabdirect/abstract/20103355379" TargetMode="External"/><Relationship Id="rId11" Type="http://schemas.openxmlformats.org/officeDocument/2006/relationships/chart" Target="charts/chart4.xml"/><Relationship Id="rId24" Type="http://schemas.openxmlformats.org/officeDocument/2006/relationships/hyperlink" Target="https://doi.org/https://doi.org/10.1007/978-94-011-2326-6_9" TargetMode="External"/><Relationship Id="rId32" Type="http://schemas.openxmlformats.org/officeDocument/2006/relationships/hyperlink" Target="https://doi.org/10.20425/ijts.v10i3and4.4739" TargetMode="External"/><Relationship Id="rId37" Type="http://schemas.openxmlformats.org/officeDocument/2006/relationships/hyperlink" Target="https://doi.org/http://dx.doi.org/10.19103/AS.2017.0036.23" TargetMode="External"/><Relationship Id="rId40" Type="http://schemas.openxmlformats.org/officeDocument/2006/relationships/hyperlink" Target="https://doi.org/https://doi.org/10.1016/j.foodchem.2007.09.017"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www.sciencedirect.com/science/article/pii/S0168192300001349" TargetMode="External"/><Relationship Id="rId28" Type="http://schemas.openxmlformats.org/officeDocument/2006/relationships/hyperlink" Target="http://prr.hec.gov.pk/jspui/bitstream/123456789/5147/1/2203.pdf" TargetMode="External"/><Relationship Id="rId36" Type="http://schemas.openxmlformats.org/officeDocument/2006/relationships/hyperlink" Target="www.bdspublishing.com" TargetMode="External"/><Relationship Id="rId49" Type="http://schemas.openxmlformats.org/officeDocument/2006/relationships/header" Target="header3.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doi.org/https://doi.org/10.1080/00103628409367568" TargetMode="External"/><Relationship Id="rId44" Type="http://schemas.openxmlformats.org/officeDocument/2006/relationships/hyperlink" Target="https://www.sciencedirect.com/science/article/pii/016819238990083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yperlink" Target="https://doi.org/https://doi.org/10.1038/sj.ejcn.1602489" TargetMode="External"/><Relationship Id="rId30" Type="http://schemas.openxmlformats.org/officeDocument/2006/relationships/hyperlink" Target="https://doi.org/10.20425/ijts.v10i3and4.4740" TargetMode="External"/><Relationship Id="rId35" Type="http://schemas.openxmlformats.org/officeDocument/2006/relationships/hyperlink" Target="https://www.cabdirect.org/cabdirect/abstract/19810303497" TargetMode="External"/><Relationship Id="rId43" Type="http://schemas.openxmlformats.org/officeDocument/2006/relationships/hyperlink" Target="https://doi.org/https://doi.org/10.1002/jpln.201200175" TargetMode="External"/><Relationship Id="rId48"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doi.org/https://doi.org/10.1007/BF00447012" TargetMode="External"/><Relationship Id="rId33" Type="http://schemas.openxmlformats.org/officeDocument/2006/relationships/hyperlink" Target="https://doi.org/https://10.20425/ijts15100" TargetMode="External"/><Relationship Id="rId38" Type="http://schemas.openxmlformats.org/officeDocument/2006/relationships/hyperlink" Target="https://doi.org/DOI" TargetMode="External"/><Relationship Id="rId46" Type="http://schemas.openxmlformats.org/officeDocument/2006/relationships/header" Target="header2.xml"/><Relationship Id="rId20" Type="http://schemas.openxmlformats.org/officeDocument/2006/relationships/chart" Target="charts/chart13.xml"/><Relationship Id="rId41" Type="http://schemas.openxmlformats.org/officeDocument/2006/relationships/hyperlink" Target="https://www.cabdirect.org/cabdirect/abstract/20123079622"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MSC%20WORK\MSC%20THESISI%20PAPERS\EXCEL%20GRAPHS\Aluminium%20level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MSC%20WORK\MSC%20THESISI%20PAPERS\EXCEL%20GRAPHS\Aluminium%20level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MSC%20WORK\MSC%20THESISI%20PAPERS\EXCEL%20GRAPHS\Aluminium%20level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Sheet1!$AP$181</c:f>
              <c:strCache>
                <c:ptCount val="1"/>
                <c:pt idx="0">
                  <c:v>Timbilil</c:v>
                </c:pt>
              </c:strCache>
            </c:strRef>
          </c:tx>
          <c:spPr>
            <a:solidFill>
              <a:schemeClr val="accent1"/>
            </a:solidFill>
            <a:ln>
              <a:noFill/>
            </a:ln>
            <a:effectLst/>
          </c:spPr>
          <c:invertIfNegative val="0"/>
          <c:cat>
            <c:strRef>
              <c:f>Sheet1!$AO$182:$AO$185</c:f>
              <c:strCache>
                <c:ptCount val="4"/>
                <c:pt idx="0">
                  <c:v>0-10 cm</c:v>
                </c:pt>
                <c:pt idx="1">
                  <c:v>"10-20 cm</c:v>
                </c:pt>
                <c:pt idx="2">
                  <c:v>20-30 cm</c:v>
                </c:pt>
                <c:pt idx="3">
                  <c:v>40-60 cm</c:v>
                </c:pt>
              </c:strCache>
            </c:strRef>
          </c:cat>
          <c:val>
            <c:numRef>
              <c:f>Sheet1!$AP$182:$AP$185</c:f>
              <c:numCache>
                <c:formatCode>General</c:formatCode>
                <c:ptCount val="4"/>
                <c:pt idx="0">
                  <c:v>0.318</c:v>
                </c:pt>
                <c:pt idx="1">
                  <c:v>0.28499999999999998</c:v>
                </c:pt>
                <c:pt idx="2">
                  <c:v>0.192</c:v>
                </c:pt>
                <c:pt idx="3">
                  <c:v>0.187</c:v>
                </c:pt>
              </c:numCache>
            </c:numRef>
          </c:val>
          <c:extLst>
            <c:ext xmlns:c16="http://schemas.microsoft.com/office/drawing/2014/chart" uri="{C3380CC4-5D6E-409C-BE32-E72D297353CC}">
              <c16:uniqueId val="{00000000-A760-40AF-BBCD-173764C4805F}"/>
            </c:ext>
          </c:extLst>
        </c:ser>
        <c:ser>
          <c:idx val="1"/>
          <c:order val="1"/>
          <c:tx>
            <c:strRef>
              <c:f>Sheet1!$AQ$181</c:f>
              <c:strCache>
                <c:ptCount val="1"/>
                <c:pt idx="0">
                  <c:v>Changoi</c:v>
                </c:pt>
              </c:strCache>
            </c:strRef>
          </c:tx>
          <c:spPr>
            <a:solidFill>
              <a:schemeClr val="accent2"/>
            </a:solidFill>
            <a:ln>
              <a:noFill/>
            </a:ln>
            <a:effectLst/>
          </c:spPr>
          <c:invertIfNegative val="0"/>
          <c:cat>
            <c:strRef>
              <c:f>Sheet1!$AO$182:$AO$185</c:f>
              <c:strCache>
                <c:ptCount val="4"/>
                <c:pt idx="0">
                  <c:v>0-10 cm</c:v>
                </c:pt>
                <c:pt idx="1">
                  <c:v>"10-20 cm</c:v>
                </c:pt>
                <c:pt idx="2">
                  <c:v>20-30 cm</c:v>
                </c:pt>
                <c:pt idx="3">
                  <c:v>40-60 cm</c:v>
                </c:pt>
              </c:strCache>
            </c:strRef>
          </c:cat>
          <c:val>
            <c:numRef>
              <c:f>Sheet1!$AQ$182:$AQ$185</c:f>
              <c:numCache>
                <c:formatCode>General</c:formatCode>
                <c:ptCount val="4"/>
                <c:pt idx="0">
                  <c:v>0.27500000000000002</c:v>
                </c:pt>
                <c:pt idx="1">
                  <c:v>0.223</c:v>
                </c:pt>
                <c:pt idx="2">
                  <c:v>0.153</c:v>
                </c:pt>
                <c:pt idx="3">
                  <c:v>0.122</c:v>
                </c:pt>
              </c:numCache>
            </c:numRef>
          </c:val>
          <c:extLst>
            <c:ext xmlns:c16="http://schemas.microsoft.com/office/drawing/2014/chart" uri="{C3380CC4-5D6E-409C-BE32-E72D297353CC}">
              <c16:uniqueId val="{00000001-A760-40AF-BBCD-173764C4805F}"/>
            </c:ext>
          </c:extLst>
        </c:ser>
        <c:ser>
          <c:idx val="2"/>
          <c:order val="2"/>
          <c:tx>
            <c:strRef>
              <c:f>Sheet1!$AR$181</c:f>
              <c:strCache>
                <c:ptCount val="1"/>
                <c:pt idx="0">
                  <c:v>Arroket</c:v>
                </c:pt>
              </c:strCache>
            </c:strRef>
          </c:tx>
          <c:spPr>
            <a:solidFill>
              <a:schemeClr val="accent3"/>
            </a:solidFill>
            <a:ln>
              <a:noFill/>
            </a:ln>
            <a:effectLst/>
          </c:spPr>
          <c:invertIfNegative val="0"/>
          <c:cat>
            <c:strRef>
              <c:f>Sheet1!$AO$182:$AO$185</c:f>
              <c:strCache>
                <c:ptCount val="4"/>
                <c:pt idx="0">
                  <c:v>0-10 cm</c:v>
                </c:pt>
                <c:pt idx="1">
                  <c:v>"10-20 cm</c:v>
                </c:pt>
                <c:pt idx="2">
                  <c:v>20-30 cm</c:v>
                </c:pt>
                <c:pt idx="3">
                  <c:v>40-60 cm</c:v>
                </c:pt>
              </c:strCache>
            </c:strRef>
          </c:cat>
          <c:val>
            <c:numRef>
              <c:f>Sheet1!$AR$182:$AR$185</c:f>
              <c:numCache>
                <c:formatCode>General</c:formatCode>
                <c:ptCount val="4"/>
                <c:pt idx="0">
                  <c:v>0.252</c:v>
                </c:pt>
                <c:pt idx="1">
                  <c:v>0.249</c:v>
                </c:pt>
                <c:pt idx="2">
                  <c:v>0.192</c:v>
                </c:pt>
                <c:pt idx="3">
                  <c:v>0.17599999999999999</c:v>
                </c:pt>
              </c:numCache>
            </c:numRef>
          </c:val>
          <c:extLst>
            <c:ext xmlns:c16="http://schemas.microsoft.com/office/drawing/2014/chart" uri="{C3380CC4-5D6E-409C-BE32-E72D297353CC}">
              <c16:uniqueId val="{00000002-A760-40AF-BBCD-173764C4805F}"/>
            </c:ext>
          </c:extLst>
        </c:ser>
        <c:ser>
          <c:idx val="3"/>
          <c:order val="3"/>
          <c:tx>
            <c:strRef>
              <c:f>Sheet1!$AS$181</c:f>
              <c:strCache>
                <c:ptCount val="1"/>
                <c:pt idx="0">
                  <c:v>Kitabi</c:v>
                </c:pt>
              </c:strCache>
            </c:strRef>
          </c:tx>
          <c:spPr>
            <a:solidFill>
              <a:schemeClr val="accent4"/>
            </a:solidFill>
            <a:ln>
              <a:noFill/>
            </a:ln>
            <a:effectLst/>
          </c:spPr>
          <c:invertIfNegative val="0"/>
          <c:cat>
            <c:strRef>
              <c:f>Sheet1!$AO$182:$AO$185</c:f>
              <c:strCache>
                <c:ptCount val="4"/>
                <c:pt idx="0">
                  <c:v>0-10 cm</c:v>
                </c:pt>
                <c:pt idx="1">
                  <c:v>"10-20 cm</c:v>
                </c:pt>
                <c:pt idx="2">
                  <c:v>20-30 cm</c:v>
                </c:pt>
                <c:pt idx="3">
                  <c:v>40-60 cm</c:v>
                </c:pt>
              </c:strCache>
            </c:strRef>
          </c:cat>
          <c:val>
            <c:numRef>
              <c:f>Sheet1!$AS$182:$AS$185</c:f>
              <c:numCache>
                <c:formatCode>General</c:formatCode>
                <c:ptCount val="4"/>
                <c:pt idx="0">
                  <c:v>0.29099999999999998</c:v>
                </c:pt>
                <c:pt idx="1">
                  <c:v>0.27700000000000002</c:v>
                </c:pt>
                <c:pt idx="2">
                  <c:v>0.186</c:v>
                </c:pt>
                <c:pt idx="3">
                  <c:v>0.16800000000000001</c:v>
                </c:pt>
              </c:numCache>
            </c:numRef>
          </c:val>
          <c:extLst>
            <c:ext xmlns:c16="http://schemas.microsoft.com/office/drawing/2014/chart" uri="{C3380CC4-5D6E-409C-BE32-E72D297353CC}">
              <c16:uniqueId val="{00000003-A760-40AF-BBCD-173764C4805F}"/>
            </c:ext>
          </c:extLst>
        </c:ser>
        <c:ser>
          <c:idx val="4"/>
          <c:order val="4"/>
          <c:tx>
            <c:strRef>
              <c:f>Sheet1!$AT$181</c:f>
              <c:strCache>
                <c:ptCount val="1"/>
                <c:pt idx="0">
                  <c:v>Mulindi</c:v>
                </c:pt>
              </c:strCache>
            </c:strRef>
          </c:tx>
          <c:spPr>
            <a:solidFill>
              <a:schemeClr val="accent5"/>
            </a:solidFill>
            <a:ln>
              <a:noFill/>
            </a:ln>
            <a:effectLst/>
          </c:spPr>
          <c:invertIfNegative val="0"/>
          <c:cat>
            <c:strRef>
              <c:f>Sheet1!$AO$182:$AO$185</c:f>
              <c:strCache>
                <c:ptCount val="4"/>
                <c:pt idx="0">
                  <c:v>0-10 cm</c:v>
                </c:pt>
                <c:pt idx="1">
                  <c:v>"10-20 cm</c:v>
                </c:pt>
                <c:pt idx="2">
                  <c:v>20-30 cm</c:v>
                </c:pt>
                <c:pt idx="3">
                  <c:v>40-60 cm</c:v>
                </c:pt>
              </c:strCache>
            </c:strRef>
          </c:cat>
          <c:val>
            <c:numRef>
              <c:f>Sheet1!$AT$182:$AT$185</c:f>
              <c:numCache>
                <c:formatCode>General</c:formatCode>
                <c:ptCount val="4"/>
                <c:pt idx="0">
                  <c:v>0.245</c:v>
                </c:pt>
                <c:pt idx="1">
                  <c:v>0.217</c:v>
                </c:pt>
                <c:pt idx="2">
                  <c:v>0.20799999999999999</c:v>
                </c:pt>
                <c:pt idx="3">
                  <c:v>0.20300000000000001</c:v>
                </c:pt>
              </c:numCache>
            </c:numRef>
          </c:val>
          <c:extLst>
            <c:ext xmlns:c16="http://schemas.microsoft.com/office/drawing/2014/chart" uri="{C3380CC4-5D6E-409C-BE32-E72D297353CC}">
              <c16:uniqueId val="{00000004-A760-40AF-BBCD-173764C4805F}"/>
            </c:ext>
          </c:extLst>
        </c:ser>
        <c:ser>
          <c:idx val="5"/>
          <c:order val="5"/>
          <c:tx>
            <c:strRef>
              <c:f>Sheet1!$AU$181</c:f>
              <c:strCache>
                <c:ptCount val="1"/>
                <c:pt idx="0">
                  <c:v>Katoke</c:v>
                </c:pt>
              </c:strCache>
            </c:strRef>
          </c:tx>
          <c:spPr>
            <a:solidFill>
              <a:schemeClr val="accent6"/>
            </a:solidFill>
            <a:ln>
              <a:noFill/>
            </a:ln>
            <a:effectLst/>
          </c:spPr>
          <c:invertIfNegative val="0"/>
          <c:cat>
            <c:strRef>
              <c:f>Sheet1!$AO$182:$AO$185</c:f>
              <c:strCache>
                <c:ptCount val="4"/>
                <c:pt idx="0">
                  <c:v>0-10 cm</c:v>
                </c:pt>
                <c:pt idx="1">
                  <c:v>"10-20 cm</c:v>
                </c:pt>
                <c:pt idx="2">
                  <c:v>20-30 cm</c:v>
                </c:pt>
                <c:pt idx="3">
                  <c:v>40-60 cm</c:v>
                </c:pt>
              </c:strCache>
            </c:strRef>
          </c:cat>
          <c:val>
            <c:numRef>
              <c:f>Sheet1!$AU$182:$AU$185</c:f>
              <c:numCache>
                <c:formatCode>General</c:formatCode>
                <c:ptCount val="4"/>
                <c:pt idx="0">
                  <c:v>0.30199999999999999</c:v>
                </c:pt>
                <c:pt idx="1">
                  <c:v>0.27300000000000002</c:v>
                </c:pt>
                <c:pt idx="2">
                  <c:v>0.17499999999999999</c:v>
                </c:pt>
                <c:pt idx="3">
                  <c:v>0.152</c:v>
                </c:pt>
              </c:numCache>
            </c:numRef>
          </c:val>
          <c:extLst>
            <c:ext xmlns:c16="http://schemas.microsoft.com/office/drawing/2014/chart" uri="{C3380CC4-5D6E-409C-BE32-E72D297353CC}">
              <c16:uniqueId val="{00000005-A760-40AF-BBCD-173764C4805F}"/>
            </c:ext>
          </c:extLst>
        </c:ser>
        <c:ser>
          <c:idx val="6"/>
          <c:order val="6"/>
          <c:tx>
            <c:strRef>
              <c:f>Sheet1!$AV$181</c:f>
              <c:strCache>
                <c:ptCount val="1"/>
                <c:pt idx="0">
                  <c:v>Maruku</c:v>
                </c:pt>
              </c:strCache>
            </c:strRef>
          </c:tx>
          <c:spPr>
            <a:solidFill>
              <a:schemeClr val="accent1">
                <a:lumMod val="60000"/>
              </a:schemeClr>
            </a:solidFill>
            <a:ln>
              <a:noFill/>
            </a:ln>
            <a:effectLst/>
          </c:spPr>
          <c:invertIfNegative val="0"/>
          <c:cat>
            <c:strRef>
              <c:f>Sheet1!$AO$182:$AO$185</c:f>
              <c:strCache>
                <c:ptCount val="4"/>
                <c:pt idx="0">
                  <c:v>0-10 cm</c:v>
                </c:pt>
                <c:pt idx="1">
                  <c:v>"10-20 cm</c:v>
                </c:pt>
                <c:pt idx="2">
                  <c:v>20-30 cm</c:v>
                </c:pt>
                <c:pt idx="3">
                  <c:v>40-60 cm</c:v>
                </c:pt>
              </c:strCache>
            </c:strRef>
          </c:cat>
          <c:val>
            <c:numRef>
              <c:f>Sheet1!$AV$182:$AV$185</c:f>
              <c:numCache>
                <c:formatCode>General</c:formatCode>
                <c:ptCount val="4"/>
                <c:pt idx="0">
                  <c:v>0.20399999999999999</c:v>
                </c:pt>
                <c:pt idx="1">
                  <c:v>0.19400000000000001</c:v>
                </c:pt>
                <c:pt idx="2">
                  <c:v>0.17199999999999999</c:v>
                </c:pt>
                <c:pt idx="3">
                  <c:v>0.17799999999999999</c:v>
                </c:pt>
              </c:numCache>
            </c:numRef>
          </c:val>
          <c:extLst>
            <c:ext xmlns:c16="http://schemas.microsoft.com/office/drawing/2014/chart" uri="{C3380CC4-5D6E-409C-BE32-E72D297353CC}">
              <c16:uniqueId val="{00000006-A760-40AF-BBCD-173764C4805F}"/>
            </c:ext>
          </c:extLst>
        </c:ser>
        <c:dLbls>
          <c:showLegendKey val="0"/>
          <c:showVal val="0"/>
          <c:showCatName val="0"/>
          <c:showSerName val="0"/>
          <c:showPercent val="0"/>
          <c:showBubbleSize val="0"/>
        </c:dLbls>
        <c:gapWidth val="300"/>
        <c:axId val="523280600"/>
        <c:axId val="523283736"/>
      </c:barChart>
      <c:lineChart>
        <c:grouping val="standard"/>
        <c:varyColors val="0"/>
        <c:ser>
          <c:idx val="7"/>
          <c:order val="7"/>
          <c:tx>
            <c:strRef>
              <c:f>Sheet1!$AW$181</c:f>
              <c:strCache>
                <c:ptCount val="1"/>
              </c:strCache>
            </c:strRef>
          </c:tx>
          <c:spPr>
            <a:ln w="28575" cap="rnd">
              <a:noFill/>
              <a:round/>
            </a:ln>
            <a:effectLst/>
          </c:spPr>
          <c:marker>
            <c:symbol val="none"/>
          </c:marker>
          <c:errBars>
            <c:errDir val="y"/>
            <c:errBarType val="both"/>
            <c:errValType val="cust"/>
            <c:noEndCap val="0"/>
            <c:plus>
              <c:numRef>
                <c:f>Sheet1!$AY$182:$AY$185</c:f>
                <c:numCache>
                  <c:formatCode>General</c:formatCode>
                  <c:ptCount val="4"/>
                  <c:pt idx="0">
                    <c:v>8.0000000000000002E-3</c:v>
                  </c:pt>
                  <c:pt idx="1">
                    <c:v>1.0500000000000001E-2</c:v>
                  </c:pt>
                  <c:pt idx="2">
                    <c:v>8.9999999999999993E-3</c:v>
                  </c:pt>
                  <c:pt idx="3">
                    <c:v>8.0000000000000002E-3</c:v>
                  </c:pt>
                </c:numCache>
              </c:numRef>
            </c:plus>
            <c:minus>
              <c:numRef>
                <c:f>Sheet1!$AY$182:$AY$185</c:f>
                <c:numCache>
                  <c:formatCode>General</c:formatCode>
                  <c:ptCount val="4"/>
                  <c:pt idx="0">
                    <c:v>8.0000000000000002E-3</c:v>
                  </c:pt>
                  <c:pt idx="1">
                    <c:v>1.0500000000000001E-2</c:v>
                  </c:pt>
                  <c:pt idx="2">
                    <c:v>8.9999999999999993E-3</c:v>
                  </c:pt>
                  <c:pt idx="3">
                    <c:v>8.0000000000000002E-3</c:v>
                  </c:pt>
                </c:numCache>
              </c:numRef>
            </c:minus>
            <c:spPr>
              <a:noFill/>
              <a:ln w="9525" cap="flat" cmpd="sng" algn="ctr">
                <a:solidFill>
                  <a:schemeClr val="tx1">
                    <a:lumMod val="65000"/>
                    <a:lumOff val="35000"/>
                  </a:schemeClr>
                </a:solidFill>
                <a:round/>
              </a:ln>
              <a:effectLst/>
            </c:spPr>
          </c:errBars>
          <c:cat>
            <c:strRef>
              <c:f>Sheet1!$AO$182:$AO$185</c:f>
              <c:strCache>
                <c:ptCount val="4"/>
                <c:pt idx="0">
                  <c:v>0-10 cm</c:v>
                </c:pt>
                <c:pt idx="1">
                  <c:v>"10-20 cm</c:v>
                </c:pt>
                <c:pt idx="2">
                  <c:v>20-30 cm</c:v>
                </c:pt>
                <c:pt idx="3">
                  <c:v>40-60 cm</c:v>
                </c:pt>
              </c:strCache>
            </c:strRef>
          </c:cat>
          <c:val>
            <c:numRef>
              <c:f>Sheet1!$AW$182:$AW$185</c:f>
              <c:numCache>
                <c:formatCode>General</c:formatCode>
                <c:ptCount val="4"/>
                <c:pt idx="0">
                  <c:v>0.31</c:v>
                </c:pt>
                <c:pt idx="1">
                  <c:v>0.29499999999999998</c:v>
                </c:pt>
                <c:pt idx="2">
                  <c:v>0.2</c:v>
                </c:pt>
                <c:pt idx="3">
                  <c:v>0.19</c:v>
                </c:pt>
              </c:numCache>
            </c:numRef>
          </c:val>
          <c:smooth val="0"/>
          <c:extLst>
            <c:ext xmlns:c16="http://schemas.microsoft.com/office/drawing/2014/chart" uri="{C3380CC4-5D6E-409C-BE32-E72D297353CC}">
              <c16:uniqueId val="{00000007-A760-40AF-BBCD-173764C4805F}"/>
            </c:ext>
          </c:extLst>
        </c:ser>
        <c:dLbls>
          <c:showLegendKey val="0"/>
          <c:showVal val="0"/>
          <c:showCatName val="0"/>
          <c:showSerName val="0"/>
          <c:showPercent val="0"/>
          <c:showBubbleSize val="0"/>
        </c:dLbls>
        <c:marker val="1"/>
        <c:smooth val="0"/>
        <c:axId val="523280600"/>
        <c:axId val="523283736"/>
      </c:lineChart>
      <c:catAx>
        <c:axId val="523280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a:t>
                </a:r>
                <a:r>
                  <a:rPr lang="en-US" baseline="0"/>
                  <a:t> Depths (cm) (bares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83736"/>
        <c:crosses val="autoZero"/>
        <c:auto val="1"/>
        <c:lblAlgn val="ctr"/>
        <c:lblOffset val="100"/>
        <c:noMultiLvlLbl val="0"/>
      </c:catAx>
      <c:valAx>
        <c:axId val="523283736"/>
        <c:scaling>
          <c:orientation val="minMax"/>
          <c:max val="0.32000000000000006"/>
          <c:min val="0.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80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28927540773821"/>
          <c:y val="5.2922780851575653E-2"/>
          <c:w val="0.76710541779292518"/>
          <c:h val="0.49654448714718935"/>
        </c:manualLayout>
      </c:layout>
      <c:barChart>
        <c:barDir val="col"/>
        <c:grouping val="clustered"/>
        <c:varyColors val="0"/>
        <c:ser>
          <c:idx val="0"/>
          <c:order val="0"/>
          <c:tx>
            <c:strRef>
              <c:f>Sheet1!$AE$212</c:f>
              <c:strCache>
                <c:ptCount val="1"/>
                <c:pt idx="0">
                  <c:v>0</c:v>
                </c:pt>
              </c:strCache>
            </c:strRef>
          </c:tx>
          <c:spPr>
            <a:solidFill>
              <a:schemeClr val="accent1"/>
            </a:solidFill>
            <a:ln>
              <a:noFill/>
            </a:ln>
            <a:effectLst/>
          </c:spPr>
          <c:invertIfNegative val="0"/>
          <c:cat>
            <c:strRef>
              <c:f>Sheet1!$AD$213:$AD$220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Sheet1!$AE$213:$AE$220</c:f>
              <c:numCache>
                <c:formatCode>General</c:formatCode>
                <c:ptCount val="8"/>
                <c:pt idx="0">
                  <c:v>5.9</c:v>
                </c:pt>
                <c:pt idx="1">
                  <c:v>10.7</c:v>
                </c:pt>
                <c:pt idx="2">
                  <c:v>13.4</c:v>
                </c:pt>
                <c:pt idx="3">
                  <c:v>6.7</c:v>
                </c:pt>
                <c:pt idx="4">
                  <c:v>11.7</c:v>
                </c:pt>
                <c:pt idx="5">
                  <c:v>6.1</c:v>
                </c:pt>
                <c:pt idx="6">
                  <c:v>8.4</c:v>
                </c:pt>
                <c:pt idx="7">
                  <c:v>9.5</c:v>
                </c:pt>
              </c:numCache>
            </c:numRef>
          </c:val>
          <c:extLst>
            <c:ext xmlns:c16="http://schemas.microsoft.com/office/drawing/2014/chart" uri="{C3380CC4-5D6E-409C-BE32-E72D297353CC}">
              <c16:uniqueId val="{00000000-F357-4FC7-B76A-7DA502288A3D}"/>
            </c:ext>
          </c:extLst>
        </c:ser>
        <c:ser>
          <c:idx val="1"/>
          <c:order val="1"/>
          <c:tx>
            <c:strRef>
              <c:f>Sheet1!$AF$212</c:f>
              <c:strCache>
                <c:ptCount val="1"/>
                <c:pt idx="0">
                  <c:v>75</c:v>
                </c:pt>
              </c:strCache>
            </c:strRef>
          </c:tx>
          <c:spPr>
            <a:solidFill>
              <a:schemeClr val="accent2"/>
            </a:solidFill>
            <a:ln>
              <a:noFill/>
            </a:ln>
            <a:effectLst/>
          </c:spPr>
          <c:invertIfNegative val="0"/>
          <c:cat>
            <c:strRef>
              <c:f>Sheet1!$AD$213:$AD$220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Sheet1!$AF$213:$AF$220</c:f>
              <c:numCache>
                <c:formatCode>General</c:formatCode>
                <c:ptCount val="8"/>
                <c:pt idx="0">
                  <c:v>6.7</c:v>
                </c:pt>
                <c:pt idx="1">
                  <c:v>11.9</c:v>
                </c:pt>
                <c:pt idx="2">
                  <c:v>14.2</c:v>
                </c:pt>
                <c:pt idx="3">
                  <c:v>7.3</c:v>
                </c:pt>
                <c:pt idx="4">
                  <c:v>11.9</c:v>
                </c:pt>
                <c:pt idx="5">
                  <c:v>7</c:v>
                </c:pt>
                <c:pt idx="6">
                  <c:v>9.4</c:v>
                </c:pt>
                <c:pt idx="7">
                  <c:v>9.6</c:v>
                </c:pt>
              </c:numCache>
            </c:numRef>
          </c:val>
          <c:extLst>
            <c:ext xmlns:c16="http://schemas.microsoft.com/office/drawing/2014/chart" uri="{C3380CC4-5D6E-409C-BE32-E72D297353CC}">
              <c16:uniqueId val="{00000001-F357-4FC7-B76A-7DA502288A3D}"/>
            </c:ext>
          </c:extLst>
        </c:ser>
        <c:ser>
          <c:idx val="2"/>
          <c:order val="2"/>
          <c:tx>
            <c:strRef>
              <c:f>Sheet1!$AG$212</c:f>
              <c:strCache>
                <c:ptCount val="1"/>
                <c:pt idx="0">
                  <c:v>150</c:v>
                </c:pt>
              </c:strCache>
            </c:strRef>
          </c:tx>
          <c:spPr>
            <a:solidFill>
              <a:schemeClr val="accent3"/>
            </a:solidFill>
            <a:ln>
              <a:noFill/>
            </a:ln>
            <a:effectLst/>
          </c:spPr>
          <c:invertIfNegative val="0"/>
          <c:cat>
            <c:strRef>
              <c:f>Sheet1!$AD$213:$AD$220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Sheet1!$AG$213:$AG$220</c:f>
              <c:numCache>
                <c:formatCode>General</c:formatCode>
                <c:ptCount val="8"/>
                <c:pt idx="0">
                  <c:v>7.9</c:v>
                </c:pt>
                <c:pt idx="1">
                  <c:v>12</c:v>
                </c:pt>
                <c:pt idx="2">
                  <c:v>14.4</c:v>
                </c:pt>
                <c:pt idx="3">
                  <c:v>8.4</c:v>
                </c:pt>
                <c:pt idx="4">
                  <c:v>15</c:v>
                </c:pt>
                <c:pt idx="5">
                  <c:v>7.6</c:v>
                </c:pt>
                <c:pt idx="6">
                  <c:v>9.6</c:v>
                </c:pt>
                <c:pt idx="7">
                  <c:v>10.5</c:v>
                </c:pt>
              </c:numCache>
            </c:numRef>
          </c:val>
          <c:extLst>
            <c:ext xmlns:c16="http://schemas.microsoft.com/office/drawing/2014/chart" uri="{C3380CC4-5D6E-409C-BE32-E72D297353CC}">
              <c16:uniqueId val="{00000002-F357-4FC7-B76A-7DA502288A3D}"/>
            </c:ext>
          </c:extLst>
        </c:ser>
        <c:ser>
          <c:idx val="3"/>
          <c:order val="3"/>
          <c:tx>
            <c:strRef>
              <c:f>Sheet1!$AH$212</c:f>
              <c:strCache>
                <c:ptCount val="1"/>
                <c:pt idx="0">
                  <c:v>225</c:v>
                </c:pt>
              </c:strCache>
            </c:strRef>
          </c:tx>
          <c:spPr>
            <a:solidFill>
              <a:schemeClr val="accent4"/>
            </a:solidFill>
            <a:ln>
              <a:noFill/>
            </a:ln>
            <a:effectLst/>
          </c:spPr>
          <c:invertIfNegative val="0"/>
          <c:cat>
            <c:strRef>
              <c:f>Sheet1!$AD$213:$AD$220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Sheet1!$AH$213:$AH$220</c:f>
              <c:numCache>
                <c:formatCode>General</c:formatCode>
                <c:ptCount val="8"/>
                <c:pt idx="0">
                  <c:v>8.8000000000000007</c:v>
                </c:pt>
                <c:pt idx="1">
                  <c:v>12.4</c:v>
                </c:pt>
                <c:pt idx="2">
                  <c:v>14.7</c:v>
                </c:pt>
                <c:pt idx="3">
                  <c:v>9.4</c:v>
                </c:pt>
                <c:pt idx="4">
                  <c:v>19.100000000000001</c:v>
                </c:pt>
                <c:pt idx="5">
                  <c:v>8</c:v>
                </c:pt>
                <c:pt idx="6">
                  <c:v>9.6999999999999993</c:v>
                </c:pt>
                <c:pt idx="7">
                  <c:v>11.7</c:v>
                </c:pt>
              </c:numCache>
            </c:numRef>
          </c:val>
          <c:extLst>
            <c:ext xmlns:c16="http://schemas.microsoft.com/office/drawing/2014/chart" uri="{C3380CC4-5D6E-409C-BE32-E72D297353CC}">
              <c16:uniqueId val="{00000003-F357-4FC7-B76A-7DA502288A3D}"/>
            </c:ext>
          </c:extLst>
        </c:ser>
        <c:ser>
          <c:idx val="4"/>
          <c:order val="4"/>
          <c:tx>
            <c:strRef>
              <c:f>Sheet1!$AI$212</c:f>
              <c:strCache>
                <c:ptCount val="1"/>
                <c:pt idx="0">
                  <c:v>300</c:v>
                </c:pt>
              </c:strCache>
            </c:strRef>
          </c:tx>
          <c:spPr>
            <a:solidFill>
              <a:schemeClr val="accent5"/>
            </a:solidFill>
            <a:ln>
              <a:noFill/>
            </a:ln>
            <a:effectLst/>
          </c:spPr>
          <c:invertIfNegative val="0"/>
          <c:cat>
            <c:strRef>
              <c:f>Sheet1!$AD$213:$AD$220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Sheet1!$AI$213:$AI$220</c:f>
              <c:numCache>
                <c:formatCode>General</c:formatCode>
                <c:ptCount val="8"/>
                <c:pt idx="0">
                  <c:v>10.3</c:v>
                </c:pt>
                <c:pt idx="1">
                  <c:v>14.8</c:v>
                </c:pt>
                <c:pt idx="2">
                  <c:v>15.1</c:v>
                </c:pt>
                <c:pt idx="3">
                  <c:v>9.6999999999999993</c:v>
                </c:pt>
                <c:pt idx="4">
                  <c:v>22.1</c:v>
                </c:pt>
                <c:pt idx="5">
                  <c:v>8.3000000000000007</c:v>
                </c:pt>
                <c:pt idx="6">
                  <c:v>9.6999999999999993</c:v>
                </c:pt>
                <c:pt idx="7">
                  <c:v>12.7</c:v>
                </c:pt>
              </c:numCache>
            </c:numRef>
          </c:val>
          <c:extLst>
            <c:ext xmlns:c16="http://schemas.microsoft.com/office/drawing/2014/chart" uri="{C3380CC4-5D6E-409C-BE32-E72D297353CC}">
              <c16:uniqueId val="{00000004-F357-4FC7-B76A-7DA502288A3D}"/>
            </c:ext>
          </c:extLst>
        </c:ser>
        <c:dLbls>
          <c:showLegendKey val="0"/>
          <c:showVal val="0"/>
          <c:showCatName val="0"/>
          <c:showSerName val="0"/>
          <c:showPercent val="0"/>
          <c:showBubbleSize val="0"/>
        </c:dLbls>
        <c:gapWidth val="300"/>
        <c:axId val="65547600"/>
        <c:axId val="182447096"/>
      </c:barChart>
      <c:lineChart>
        <c:grouping val="standard"/>
        <c:varyColors val="0"/>
        <c:ser>
          <c:idx val="5"/>
          <c:order val="5"/>
          <c:tx>
            <c:strRef>
              <c:f>Sheet1!$AJ$212</c:f>
              <c:strCache>
                <c:ptCount val="1"/>
              </c:strCache>
            </c:strRef>
          </c:tx>
          <c:spPr>
            <a:ln w="28575" cap="rnd">
              <a:noFill/>
              <a:round/>
            </a:ln>
            <a:effectLst/>
          </c:spPr>
          <c:marker>
            <c:symbol val="none"/>
          </c:marker>
          <c:errBars>
            <c:errDir val="y"/>
            <c:errBarType val="both"/>
            <c:errValType val="cust"/>
            <c:noEndCap val="0"/>
            <c:plus>
              <c:numRef>
                <c:f>Sheet1!$AL$213:$AL$220</c:f>
                <c:numCache>
                  <c:formatCode>General</c:formatCode>
                  <c:ptCount val="8"/>
                  <c:pt idx="0">
                    <c:v>1.25</c:v>
                  </c:pt>
                  <c:pt idx="1">
                    <c:v>0.9</c:v>
                  </c:pt>
                  <c:pt idx="2">
                    <c:v>0.65</c:v>
                  </c:pt>
                  <c:pt idx="3">
                    <c:v>0.8</c:v>
                  </c:pt>
                  <c:pt idx="4">
                    <c:v>1.05</c:v>
                  </c:pt>
                  <c:pt idx="5">
                    <c:v>0.6</c:v>
                  </c:pt>
                  <c:pt idx="6">
                    <c:v>1.1299999999999999</c:v>
                  </c:pt>
                  <c:pt idx="7">
                    <c:v>1.65</c:v>
                  </c:pt>
                </c:numCache>
              </c:numRef>
            </c:plus>
            <c:minus>
              <c:numRef>
                <c:f>Sheet1!$AL$213:$AL$220</c:f>
                <c:numCache>
                  <c:formatCode>General</c:formatCode>
                  <c:ptCount val="8"/>
                  <c:pt idx="0">
                    <c:v>1.25</c:v>
                  </c:pt>
                  <c:pt idx="1">
                    <c:v>0.9</c:v>
                  </c:pt>
                  <c:pt idx="2">
                    <c:v>0.65</c:v>
                  </c:pt>
                  <c:pt idx="3">
                    <c:v>0.8</c:v>
                  </c:pt>
                  <c:pt idx="4">
                    <c:v>1.05</c:v>
                  </c:pt>
                  <c:pt idx="5">
                    <c:v>0.6</c:v>
                  </c:pt>
                  <c:pt idx="6">
                    <c:v>1.1299999999999999</c:v>
                  </c:pt>
                  <c:pt idx="7">
                    <c:v>1.65</c:v>
                  </c:pt>
                </c:numCache>
              </c:numRef>
            </c:minus>
            <c:spPr>
              <a:noFill/>
              <a:ln w="9525" cap="flat" cmpd="sng" algn="ctr">
                <a:solidFill>
                  <a:schemeClr val="tx1">
                    <a:lumMod val="65000"/>
                    <a:lumOff val="35000"/>
                  </a:schemeClr>
                </a:solidFill>
                <a:round/>
              </a:ln>
              <a:effectLst/>
            </c:spPr>
          </c:errBars>
          <c:cat>
            <c:strRef>
              <c:f>Sheet1!$AD$213:$AD$220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Sheet1!$AJ$213:$AJ$220</c:f>
              <c:numCache>
                <c:formatCode>General</c:formatCode>
                <c:ptCount val="8"/>
                <c:pt idx="0">
                  <c:v>10</c:v>
                </c:pt>
                <c:pt idx="1">
                  <c:v>14</c:v>
                </c:pt>
                <c:pt idx="2">
                  <c:v>15.5</c:v>
                </c:pt>
                <c:pt idx="3">
                  <c:v>10</c:v>
                </c:pt>
                <c:pt idx="4">
                  <c:v>16.5</c:v>
                </c:pt>
                <c:pt idx="5">
                  <c:v>9.5</c:v>
                </c:pt>
                <c:pt idx="6">
                  <c:v>11.5</c:v>
                </c:pt>
                <c:pt idx="7">
                  <c:v>13.5</c:v>
                </c:pt>
              </c:numCache>
            </c:numRef>
          </c:val>
          <c:smooth val="0"/>
          <c:extLst>
            <c:ext xmlns:c16="http://schemas.microsoft.com/office/drawing/2014/chart" uri="{C3380CC4-5D6E-409C-BE32-E72D297353CC}">
              <c16:uniqueId val="{00000005-F357-4FC7-B76A-7DA502288A3D}"/>
            </c:ext>
          </c:extLst>
        </c:ser>
        <c:dLbls>
          <c:showLegendKey val="0"/>
          <c:showVal val="0"/>
          <c:showCatName val="0"/>
          <c:showSerName val="0"/>
          <c:showPercent val="0"/>
          <c:showBubbleSize val="0"/>
        </c:dLbls>
        <c:marker val="1"/>
        <c:smooth val="0"/>
        <c:axId val="65547600"/>
        <c:axId val="182447096"/>
      </c:lineChart>
      <c:catAx>
        <c:axId val="65547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2447096"/>
        <c:crosses val="autoZero"/>
        <c:auto val="1"/>
        <c:lblAlgn val="ctr"/>
        <c:lblOffset val="100"/>
        <c:noMultiLvlLbl val="0"/>
      </c:catAx>
      <c:valAx>
        <c:axId val="182447096"/>
        <c:scaling>
          <c:orientation val="minMax"/>
          <c:max val="22.5"/>
          <c:min val="4"/>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4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Sheet1!$AP$244</c:f>
              <c:strCache>
                <c:ptCount val="1"/>
                <c:pt idx="0">
                  <c:v>Timbilil</c:v>
                </c:pt>
              </c:strCache>
            </c:strRef>
          </c:tx>
          <c:spPr>
            <a:solidFill>
              <a:schemeClr val="accent1"/>
            </a:solidFill>
            <a:ln>
              <a:noFill/>
            </a:ln>
            <a:effectLst/>
          </c:spPr>
          <c:invertIfNegative val="0"/>
          <c:cat>
            <c:strRef>
              <c:f>Sheet1!$AO$245:$AO$248</c:f>
              <c:strCache>
                <c:ptCount val="4"/>
                <c:pt idx="0">
                  <c:v>0-10 cm</c:v>
                </c:pt>
                <c:pt idx="1">
                  <c:v>"10-20 cm</c:v>
                </c:pt>
                <c:pt idx="2">
                  <c:v>20-30 cm</c:v>
                </c:pt>
                <c:pt idx="3">
                  <c:v>40-60 cm</c:v>
                </c:pt>
              </c:strCache>
            </c:strRef>
          </c:cat>
          <c:val>
            <c:numRef>
              <c:f>Sheet1!$AP$245:$AP$248</c:f>
              <c:numCache>
                <c:formatCode>General</c:formatCode>
                <c:ptCount val="4"/>
                <c:pt idx="0">
                  <c:v>222</c:v>
                </c:pt>
                <c:pt idx="1">
                  <c:v>232</c:v>
                </c:pt>
                <c:pt idx="2">
                  <c:v>233</c:v>
                </c:pt>
                <c:pt idx="3">
                  <c:v>247</c:v>
                </c:pt>
              </c:numCache>
            </c:numRef>
          </c:val>
          <c:extLst>
            <c:ext xmlns:c16="http://schemas.microsoft.com/office/drawing/2014/chart" uri="{C3380CC4-5D6E-409C-BE32-E72D297353CC}">
              <c16:uniqueId val="{00000000-12AF-4EB7-BF5C-49E0A552AB1B}"/>
            </c:ext>
          </c:extLst>
        </c:ser>
        <c:ser>
          <c:idx val="1"/>
          <c:order val="1"/>
          <c:tx>
            <c:strRef>
              <c:f>Sheet1!$AQ$244</c:f>
              <c:strCache>
                <c:ptCount val="1"/>
                <c:pt idx="0">
                  <c:v>Changoi</c:v>
                </c:pt>
              </c:strCache>
            </c:strRef>
          </c:tx>
          <c:spPr>
            <a:solidFill>
              <a:schemeClr val="accent2"/>
            </a:solidFill>
            <a:ln>
              <a:noFill/>
            </a:ln>
            <a:effectLst/>
          </c:spPr>
          <c:invertIfNegative val="0"/>
          <c:cat>
            <c:strRef>
              <c:f>Sheet1!$AO$245:$AO$248</c:f>
              <c:strCache>
                <c:ptCount val="4"/>
                <c:pt idx="0">
                  <c:v>0-10 cm</c:v>
                </c:pt>
                <c:pt idx="1">
                  <c:v>"10-20 cm</c:v>
                </c:pt>
                <c:pt idx="2">
                  <c:v>20-30 cm</c:v>
                </c:pt>
                <c:pt idx="3">
                  <c:v>40-60 cm</c:v>
                </c:pt>
              </c:strCache>
            </c:strRef>
          </c:cat>
          <c:val>
            <c:numRef>
              <c:f>Sheet1!$AQ$245:$AQ$248</c:f>
              <c:numCache>
                <c:formatCode>General</c:formatCode>
                <c:ptCount val="4"/>
                <c:pt idx="0">
                  <c:v>245</c:v>
                </c:pt>
                <c:pt idx="1">
                  <c:v>283</c:v>
                </c:pt>
                <c:pt idx="2">
                  <c:v>305</c:v>
                </c:pt>
                <c:pt idx="3">
                  <c:v>360</c:v>
                </c:pt>
              </c:numCache>
            </c:numRef>
          </c:val>
          <c:extLst>
            <c:ext xmlns:c16="http://schemas.microsoft.com/office/drawing/2014/chart" uri="{C3380CC4-5D6E-409C-BE32-E72D297353CC}">
              <c16:uniqueId val="{00000001-12AF-4EB7-BF5C-49E0A552AB1B}"/>
            </c:ext>
          </c:extLst>
        </c:ser>
        <c:ser>
          <c:idx val="2"/>
          <c:order val="2"/>
          <c:tx>
            <c:strRef>
              <c:f>Sheet1!$AR$244</c:f>
              <c:strCache>
                <c:ptCount val="1"/>
                <c:pt idx="0">
                  <c:v>Arroket</c:v>
                </c:pt>
              </c:strCache>
            </c:strRef>
          </c:tx>
          <c:spPr>
            <a:solidFill>
              <a:schemeClr val="accent3"/>
            </a:solidFill>
            <a:ln>
              <a:noFill/>
            </a:ln>
            <a:effectLst/>
          </c:spPr>
          <c:invertIfNegative val="0"/>
          <c:cat>
            <c:strRef>
              <c:f>Sheet1!$AO$245:$AO$248</c:f>
              <c:strCache>
                <c:ptCount val="4"/>
                <c:pt idx="0">
                  <c:v>0-10 cm</c:v>
                </c:pt>
                <c:pt idx="1">
                  <c:v>"10-20 cm</c:v>
                </c:pt>
                <c:pt idx="2">
                  <c:v>20-30 cm</c:v>
                </c:pt>
                <c:pt idx="3">
                  <c:v>40-60 cm</c:v>
                </c:pt>
              </c:strCache>
            </c:strRef>
          </c:cat>
          <c:val>
            <c:numRef>
              <c:f>Sheet1!$AR$245:$AR$248</c:f>
              <c:numCache>
                <c:formatCode>General</c:formatCode>
                <c:ptCount val="4"/>
                <c:pt idx="0">
                  <c:v>172</c:v>
                </c:pt>
                <c:pt idx="1">
                  <c:v>175</c:v>
                </c:pt>
                <c:pt idx="2">
                  <c:v>177</c:v>
                </c:pt>
                <c:pt idx="3">
                  <c:v>177</c:v>
                </c:pt>
              </c:numCache>
            </c:numRef>
          </c:val>
          <c:extLst>
            <c:ext xmlns:c16="http://schemas.microsoft.com/office/drawing/2014/chart" uri="{C3380CC4-5D6E-409C-BE32-E72D297353CC}">
              <c16:uniqueId val="{00000002-12AF-4EB7-BF5C-49E0A552AB1B}"/>
            </c:ext>
          </c:extLst>
        </c:ser>
        <c:ser>
          <c:idx val="3"/>
          <c:order val="3"/>
          <c:tx>
            <c:strRef>
              <c:f>Sheet1!$AS$244</c:f>
              <c:strCache>
                <c:ptCount val="1"/>
                <c:pt idx="0">
                  <c:v>Kitabi</c:v>
                </c:pt>
              </c:strCache>
            </c:strRef>
          </c:tx>
          <c:spPr>
            <a:solidFill>
              <a:schemeClr val="accent4"/>
            </a:solidFill>
            <a:ln>
              <a:noFill/>
            </a:ln>
            <a:effectLst/>
          </c:spPr>
          <c:invertIfNegative val="0"/>
          <c:cat>
            <c:strRef>
              <c:f>Sheet1!$AO$245:$AO$248</c:f>
              <c:strCache>
                <c:ptCount val="4"/>
                <c:pt idx="0">
                  <c:v>0-10 cm</c:v>
                </c:pt>
                <c:pt idx="1">
                  <c:v>"10-20 cm</c:v>
                </c:pt>
                <c:pt idx="2">
                  <c:v>20-30 cm</c:v>
                </c:pt>
                <c:pt idx="3">
                  <c:v>40-60 cm</c:v>
                </c:pt>
              </c:strCache>
            </c:strRef>
          </c:cat>
          <c:val>
            <c:numRef>
              <c:f>Sheet1!$AS$245:$AS$248</c:f>
              <c:numCache>
                <c:formatCode>General</c:formatCode>
                <c:ptCount val="4"/>
                <c:pt idx="0">
                  <c:v>80</c:v>
                </c:pt>
                <c:pt idx="1">
                  <c:v>87</c:v>
                </c:pt>
                <c:pt idx="2">
                  <c:v>104</c:v>
                </c:pt>
                <c:pt idx="3">
                  <c:v>133</c:v>
                </c:pt>
              </c:numCache>
            </c:numRef>
          </c:val>
          <c:extLst>
            <c:ext xmlns:c16="http://schemas.microsoft.com/office/drawing/2014/chart" uri="{C3380CC4-5D6E-409C-BE32-E72D297353CC}">
              <c16:uniqueId val="{00000003-12AF-4EB7-BF5C-49E0A552AB1B}"/>
            </c:ext>
          </c:extLst>
        </c:ser>
        <c:ser>
          <c:idx val="4"/>
          <c:order val="4"/>
          <c:tx>
            <c:strRef>
              <c:f>Sheet1!$AT$244</c:f>
              <c:strCache>
                <c:ptCount val="1"/>
                <c:pt idx="0">
                  <c:v>Mulindi</c:v>
                </c:pt>
              </c:strCache>
            </c:strRef>
          </c:tx>
          <c:spPr>
            <a:solidFill>
              <a:schemeClr val="accent5"/>
            </a:solidFill>
            <a:ln>
              <a:noFill/>
            </a:ln>
            <a:effectLst/>
          </c:spPr>
          <c:invertIfNegative val="0"/>
          <c:cat>
            <c:strRef>
              <c:f>Sheet1!$AO$245:$AO$248</c:f>
              <c:strCache>
                <c:ptCount val="4"/>
                <c:pt idx="0">
                  <c:v>0-10 cm</c:v>
                </c:pt>
                <c:pt idx="1">
                  <c:v>"10-20 cm</c:v>
                </c:pt>
                <c:pt idx="2">
                  <c:v>20-30 cm</c:v>
                </c:pt>
                <c:pt idx="3">
                  <c:v>40-60 cm</c:v>
                </c:pt>
              </c:strCache>
            </c:strRef>
          </c:cat>
          <c:val>
            <c:numRef>
              <c:f>Sheet1!$AT$245:$AT$248</c:f>
              <c:numCache>
                <c:formatCode>General</c:formatCode>
                <c:ptCount val="4"/>
                <c:pt idx="0">
                  <c:v>80</c:v>
                </c:pt>
                <c:pt idx="1">
                  <c:v>82</c:v>
                </c:pt>
                <c:pt idx="2">
                  <c:v>195</c:v>
                </c:pt>
                <c:pt idx="3">
                  <c:v>151</c:v>
                </c:pt>
              </c:numCache>
            </c:numRef>
          </c:val>
          <c:extLst>
            <c:ext xmlns:c16="http://schemas.microsoft.com/office/drawing/2014/chart" uri="{C3380CC4-5D6E-409C-BE32-E72D297353CC}">
              <c16:uniqueId val="{00000004-12AF-4EB7-BF5C-49E0A552AB1B}"/>
            </c:ext>
          </c:extLst>
        </c:ser>
        <c:ser>
          <c:idx val="5"/>
          <c:order val="5"/>
          <c:tx>
            <c:strRef>
              <c:f>Sheet1!$AU$244</c:f>
              <c:strCache>
                <c:ptCount val="1"/>
                <c:pt idx="0">
                  <c:v>Katoke</c:v>
                </c:pt>
              </c:strCache>
            </c:strRef>
          </c:tx>
          <c:spPr>
            <a:solidFill>
              <a:schemeClr val="accent6"/>
            </a:solidFill>
            <a:ln>
              <a:noFill/>
            </a:ln>
            <a:effectLst/>
          </c:spPr>
          <c:invertIfNegative val="0"/>
          <c:cat>
            <c:strRef>
              <c:f>Sheet1!$AO$245:$AO$248</c:f>
              <c:strCache>
                <c:ptCount val="4"/>
                <c:pt idx="0">
                  <c:v>0-10 cm</c:v>
                </c:pt>
                <c:pt idx="1">
                  <c:v>"10-20 cm</c:v>
                </c:pt>
                <c:pt idx="2">
                  <c:v>20-30 cm</c:v>
                </c:pt>
                <c:pt idx="3">
                  <c:v>40-60 cm</c:v>
                </c:pt>
              </c:strCache>
            </c:strRef>
          </c:cat>
          <c:val>
            <c:numRef>
              <c:f>Sheet1!$AU$245:$AU$248</c:f>
              <c:numCache>
                <c:formatCode>General</c:formatCode>
                <c:ptCount val="4"/>
                <c:pt idx="0">
                  <c:v>62</c:v>
                </c:pt>
                <c:pt idx="1">
                  <c:v>79</c:v>
                </c:pt>
                <c:pt idx="2">
                  <c:v>84</c:v>
                </c:pt>
                <c:pt idx="3">
                  <c:v>89</c:v>
                </c:pt>
              </c:numCache>
            </c:numRef>
          </c:val>
          <c:extLst>
            <c:ext xmlns:c16="http://schemas.microsoft.com/office/drawing/2014/chart" uri="{C3380CC4-5D6E-409C-BE32-E72D297353CC}">
              <c16:uniqueId val="{00000005-12AF-4EB7-BF5C-49E0A552AB1B}"/>
            </c:ext>
          </c:extLst>
        </c:ser>
        <c:ser>
          <c:idx val="6"/>
          <c:order val="6"/>
          <c:tx>
            <c:strRef>
              <c:f>Sheet1!$AV$244</c:f>
              <c:strCache>
                <c:ptCount val="1"/>
                <c:pt idx="0">
                  <c:v>Maruku</c:v>
                </c:pt>
              </c:strCache>
            </c:strRef>
          </c:tx>
          <c:spPr>
            <a:solidFill>
              <a:schemeClr val="accent1">
                <a:lumMod val="60000"/>
              </a:schemeClr>
            </a:solidFill>
            <a:ln>
              <a:noFill/>
            </a:ln>
            <a:effectLst/>
          </c:spPr>
          <c:invertIfNegative val="0"/>
          <c:cat>
            <c:strRef>
              <c:f>Sheet1!$AO$245:$AO$248</c:f>
              <c:strCache>
                <c:ptCount val="4"/>
                <c:pt idx="0">
                  <c:v>0-10 cm</c:v>
                </c:pt>
                <c:pt idx="1">
                  <c:v>"10-20 cm</c:v>
                </c:pt>
                <c:pt idx="2">
                  <c:v>20-30 cm</c:v>
                </c:pt>
                <c:pt idx="3">
                  <c:v>40-60 cm</c:v>
                </c:pt>
              </c:strCache>
            </c:strRef>
          </c:cat>
          <c:val>
            <c:numRef>
              <c:f>Sheet1!$AV$245:$AV$248</c:f>
              <c:numCache>
                <c:formatCode>General</c:formatCode>
                <c:ptCount val="4"/>
                <c:pt idx="0">
                  <c:v>78</c:v>
                </c:pt>
                <c:pt idx="1">
                  <c:v>88</c:v>
                </c:pt>
                <c:pt idx="2">
                  <c:v>131</c:v>
                </c:pt>
                <c:pt idx="3">
                  <c:v>199</c:v>
                </c:pt>
              </c:numCache>
            </c:numRef>
          </c:val>
          <c:extLst>
            <c:ext xmlns:c16="http://schemas.microsoft.com/office/drawing/2014/chart" uri="{C3380CC4-5D6E-409C-BE32-E72D297353CC}">
              <c16:uniqueId val="{00000006-12AF-4EB7-BF5C-49E0A552AB1B}"/>
            </c:ext>
          </c:extLst>
        </c:ser>
        <c:dLbls>
          <c:showLegendKey val="0"/>
          <c:showVal val="0"/>
          <c:showCatName val="0"/>
          <c:showSerName val="0"/>
          <c:showPercent val="0"/>
          <c:showBubbleSize val="0"/>
        </c:dLbls>
        <c:gapWidth val="300"/>
        <c:axId val="531661144"/>
        <c:axId val="531661536"/>
      </c:barChart>
      <c:lineChart>
        <c:grouping val="standard"/>
        <c:varyColors val="0"/>
        <c:ser>
          <c:idx val="7"/>
          <c:order val="7"/>
          <c:tx>
            <c:strRef>
              <c:f>Sheet1!$AW$244</c:f>
              <c:strCache>
                <c:ptCount val="1"/>
              </c:strCache>
            </c:strRef>
          </c:tx>
          <c:spPr>
            <a:ln w="28575" cap="rnd">
              <a:noFill/>
              <a:round/>
            </a:ln>
            <a:effectLst/>
          </c:spPr>
          <c:marker>
            <c:symbol val="none"/>
          </c:marker>
          <c:errBars>
            <c:errDir val="y"/>
            <c:errBarType val="both"/>
            <c:errValType val="cust"/>
            <c:noEndCap val="0"/>
            <c:plus>
              <c:numRef>
                <c:f>Sheet1!$AY$245:$AY$248</c:f>
                <c:numCache>
                  <c:formatCode>General</c:formatCode>
                  <c:ptCount val="4"/>
                  <c:pt idx="0">
                    <c:v>1.65</c:v>
                  </c:pt>
                  <c:pt idx="1">
                    <c:v>4</c:v>
                  </c:pt>
                  <c:pt idx="2">
                    <c:v>1.5</c:v>
                  </c:pt>
                  <c:pt idx="3">
                    <c:v>4</c:v>
                  </c:pt>
                </c:numCache>
              </c:numRef>
            </c:plus>
            <c:minus>
              <c:numRef>
                <c:f>Sheet1!$AY$245:$AY$248</c:f>
                <c:numCache>
                  <c:formatCode>General</c:formatCode>
                  <c:ptCount val="4"/>
                  <c:pt idx="0">
                    <c:v>1.65</c:v>
                  </c:pt>
                  <c:pt idx="1">
                    <c:v>4</c:v>
                  </c:pt>
                  <c:pt idx="2">
                    <c:v>1.5</c:v>
                  </c:pt>
                  <c:pt idx="3">
                    <c:v>4</c:v>
                  </c:pt>
                </c:numCache>
              </c:numRef>
            </c:minus>
            <c:spPr>
              <a:noFill/>
              <a:ln w="9525" cap="flat" cmpd="sng" algn="ctr">
                <a:solidFill>
                  <a:schemeClr val="tx1">
                    <a:lumMod val="65000"/>
                    <a:lumOff val="35000"/>
                  </a:schemeClr>
                </a:solidFill>
                <a:round/>
              </a:ln>
              <a:effectLst/>
            </c:spPr>
          </c:errBars>
          <c:cat>
            <c:strRef>
              <c:f>Sheet1!$AO$245:$AO$248</c:f>
              <c:strCache>
                <c:ptCount val="4"/>
                <c:pt idx="0">
                  <c:v>0-10 cm</c:v>
                </c:pt>
                <c:pt idx="1">
                  <c:v>"10-20 cm</c:v>
                </c:pt>
                <c:pt idx="2">
                  <c:v>20-30 cm</c:v>
                </c:pt>
                <c:pt idx="3">
                  <c:v>40-60 cm</c:v>
                </c:pt>
              </c:strCache>
            </c:strRef>
          </c:cat>
          <c:val>
            <c:numRef>
              <c:f>Sheet1!$AW$245:$AW$248</c:f>
              <c:numCache>
                <c:formatCode>General</c:formatCode>
                <c:ptCount val="4"/>
                <c:pt idx="0">
                  <c:v>200</c:v>
                </c:pt>
                <c:pt idx="1">
                  <c:v>190</c:v>
                </c:pt>
                <c:pt idx="2">
                  <c:v>200</c:v>
                </c:pt>
                <c:pt idx="3">
                  <c:v>195</c:v>
                </c:pt>
              </c:numCache>
            </c:numRef>
          </c:val>
          <c:smooth val="0"/>
          <c:extLst>
            <c:ext xmlns:c16="http://schemas.microsoft.com/office/drawing/2014/chart" uri="{C3380CC4-5D6E-409C-BE32-E72D297353CC}">
              <c16:uniqueId val="{00000007-12AF-4EB7-BF5C-49E0A552AB1B}"/>
            </c:ext>
          </c:extLst>
        </c:ser>
        <c:dLbls>
          <c:showLegendKey val="0"/>
          <c:showVal val="0"/>
          <c:showCatName val="0"/>
          <c:showSerName val="0"/>
          <c:showPercent val="0"/>
          <c:showBubbleSize val="0"/>
        </c:dLbls>
        <c:marker val="1"/>
        <c:smooth val="0"/>
        <c:axId val="531661144"/>
        <c:axId val="531661536"/>
      </c:lineChart>
      <c:catAx>
        <c:axId val="531661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a:t>
                </a:r>
                <a:r>
                  <a:rPr lang="en-US" baseline="0"/>
                  <a:t> Depths (cm) (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661536"/>
        <c:crosses val="autoZero"/>
        <c:auto val="1"/>
        <c:lblAlgn val="ctr"/>
        <c:lblOffset val="100"/>
        <c:noMultiLvlLbl val="0"/>
      </c:catAx>
      <c:valAx>
        <c:axId val="531661536"/>
        <c:scaling>
          <c:orientation val="minMax"/>
          <c:max val="365"/>
          <c:min val="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66114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60133950832939"/>
          <c:y val="4.5766590389016017E-2"/>
          <c:w val="0.76968459147384738"/>
          <c:h val="0.56462147557122244"/>
        </c:manualLayout>
      </c:layout>
      <c:barChart>
        <c:barDir val="col"/>
        <c:grouping val="clustered"/>
        <c:varyColors val="0"/>
        <c:ser>
          <c:idx val="0"/>
          <c:order val="0"/>
          <c:tx>
            <c:strRef>
              <c:f>Sheet1!$C$243</c:f>
              <c:strCache>
                <c:ptCount val="1"/>
                <c:pt idx="0">
                  <c:v>0</c:v>
                </c:pt>
              </c:strCache>
            </c:strRef>
          </c:tx>
          <c:spPr>
            <a:solidFill>
              <a:schemeClr val="accent1"/>
            </a:solidFill>
            <a:ln>
              <a:noFill/>
            </a:ln>
            <a:effectLst/>
          </c:spPr>
          <c:invertIfNegative val="0"/>
          <c:cat>
            <c:strRef>
              <c:f>Sheet1!$B$244:$B$251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Sheet1!$C$244:$C$251</c:f>
              <c:numCache>
                <c:formatCode>General</c:formatCode>
                <c:ptCount val="8"/>
                <c:pt idx="0">
                  <c:v>302</c:v>
                </c:pt>
                <c:pt idx="1">
                  <c:v>279</c:v>
                </c:pt>
                <c:pt idx="2">
                  <c:v>181</c:v>
                </c:pt>
                <c:pt idx="3">
                  <c:v>69</c:v>
                </c:pt>
                <c:pt idx="4">
                  <c:v>92</c:v>
                </c:pt>
                <c:pt idx="5">
                  <c:v>73</c:v>
                </c:pt>
                <c:pt idx="6">
                  <c:v>113</c:v>
                </c:pt>
                <c:pt idx="7">
                  <c:v>176</c:v>
                </c:pt>
              </c:numCache>
            </c:numRef>
          </c:val>
          <c:extLst>
            <c:ext xmlns:c16="http://schemas.microsoft.com/office/drawing/2014/chart" uri="{C3380CC4-5D6E-409C-BE32-E72D297353CC}">
              <c16:uniqueId val="{00000000-8629-454E-8754-C02B3B711E86}"/>
            </c:ext>
          </c:extLst>
        </c:ser>
        <c:ser>
          <c:idx val="1"/>
          <c:order val="1"/>
          <c:tx>
            <c:strRef>
              <c:f>Sheet1!$D$243</c:f>
              <c:strCache>
                <c:ptCount val="1"/>
                <c:pt idx="0">
                  <c:v>75</c:v>
                </c:pt>
              </c:strCache>
            </c:strRef>
          </c:tx>
          <c:spPr>
            <a:solidFill>
              <a:schemeClr val="accent2"/>
            </a:solidFill>
            <a:ln>
              <a:noFill/>
            </a:ln>
            <a:effectLst/>
          </c:spPr>
          <c:invertIfNegative val="0"/>
          <c:cat>
            <c:strRef>
              <c:f>Sheet1!$B$244:$B$251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Sheet1!$D$244:$D$251</c:f>
              <c:numCache>
                <c:formatCode>General</c:formatCode>
                <c:ptCount val="8"/>
                <c:pt idx="0">
                  <c:v>239</c:v>
                </c:pt>
                <c:pt idx="1">
                  <c:v>340</c:v>
                </c:pt>
                <c:pt idx="2">
                  <c:v>174</c:v>
                </c:pt>
                <c:pt idx="3">
                  <c:v>127</c:v>
                </c:pt>
                <c:pt idx="4">
                  <c:v>108</c:v>
                </c:pt>
                <c:pt idx="5">
                  <c:v>75</c:v>
                </c:pt>
                <c:pt idx="6">
                  <c:v>103</c:v>
                </c:pt>
                <c:pt idx="7">
                  <c:v>184</c:v>
                </c:pt>
              </c:numCache>
            </c:numRef>
          </c:val>
          <c:extLst>
            <c:ext xmlns:c16="http://schemas.microsoft.com/office/drawing/2014/chart" uri="{C3380CC4-5D6E-409C-BE32-E72D297353CC}">
              <c16:uniqueId val="{00000001-8629-454E-8754-C02B3B711E86}"/>
            </c:ext>
          </c:extLst>
        </c:ser>
        <c:ser>
          <c:idx val="2"/>
          <c:order val="2"/>
          <c:tx>
            <c:strRef>
              <c:f>Sheet1!$E$243</c:f>
              <c:strCache>
                <c:ptCount val="1"/>
                <c:pt idx="0">
                  <c:v>150</c:v>
                </c:pt>
              </c:strCache>
            </c:strRef>
          </c:tx>
          <c:spPr>
            <a:solidFill>
              <a:schemeClr val="accent3"/>
            </a:solidFill>
            <a:ln>
              <a:noFill/>
            </a:ln>
            <a:effectLst/>
          </c:spPr>
          <c:invertIfNegative val="0"/>
          <c:cat>
            <c:strRef>
              <c:f>Sheet1!$B$244:$B$251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Sheet1!$E$244:$E$251</c:f>
              <c:numCache>
                <c:formatCode>General</c:formatCode>
                <c:ptCount val="8"/>
                <c:pt idx="0">
                  <c:v>210</c:v>
                </c:pt>
                <c:pt idx="1">
                  <c:v>229</c:v>
                </c:pt>
                <c:pt idx="2">
                  <c:v>172</c:v>
                </c:pt>
                <c:pt idx="3">
                  <c:v>89</c:v>
                </c:pt>
                <c:pt idx="4">
                  <c:v>79</c:v>
                </c:pt>
                <c:pt idx="5">
                  <c:v>66</c:v>
                </c:pt>
                <c:pt idx="6">
                  <c:v>95</c:v>
                </c:pt>
                <c:pt idx="7">
                  <c:v>150</c:v>
                </c:pt>
              </c:numCache>
            </c:numRef>
          </c:val>
          <c:extLst>
            <c:ext xmlns:c16="http://schemas.microsoft.com/office/drawing/2014/chart" uri="{C3380CC4-5D6E-409C-BE32-E72D297353CC}">
              <c16:uniqueId val="{00000002-8629-454E-8754-C02B3B711E86}"/>
            </c:ext>
          </c:extLst>
        </c:ser>
        <c:ser>
          <c:idx val="3"/>
          <c:order val="3"/>
          <c:tx>
            <c:strRef>
              <c:f>Sheet1!$F$243</c:f>
              <c:strCache>
                <c:ptCount val="1"/>
                <c:pt idx="0">
                  <c:v>225</c:v>
                </c:pt>
              </c:strCache>
            </c:strRef>
          </c:tx>
          <c:spPr>
            <a:solidFill>
              <a:schemeClr val="accent4"/>
            </a:solidFill>
            <a:ln>
              <a:noFill/>
            </a:ln>
            <a:effectLst/>
          </c:spPr>
          <c:invertIfNegative val="0"/>
          <c:cat>
            <c:strRef>
              <c:f>Sheet1!$B$244:$B$251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Sheet1!$F$244:$F$251</c:f>
              <c:numCache>
                <c:formatCode>General</c:formatCode>
                <c:ptCount val="8"/>
                <c:pt idx="0">
                  <c:v>196</c:v>
                </c:pt>
                <c:pt idx="1">
                  <c:v>191</c:v>
                </c:pt>
                <c:pt idx="2">
                  <c:v>172</c:v>
                </c:pt>
                <c:pt idx="3">
                  <c:v>72</c:v>
                </c:pt>
                <c:pt idx="4">
                  <c:v>66</c:v>
                </c:pt>
                <c:pt idx="5">
                  <c:v>57</c:v>
                </c:pt>
                <c:pt idx="6">
                  <c:v>45</c:v>
                </c:pt>
                <c:pt idx="7">
                  <c:v>134</c:v>
                </c:pt>
              </c:numCache>
            </c:numRef>
          </c:val>
          <c:extLst>
            <c:ext xmlns:c16="http://schemas.microsoft.com/office/drawing/2014/chart" uri="{C3380CC4-5D6E-409C-BE32-E72D297353CC}">
              <c16:uniqueId val="{00000003-8629-454E-8754-C02B3B711E86}"/>
            </c:ext>
          </c:extLst>
        </c:ser>
        <c:ser>
          <c:idx val="4"/>
          <c:order val="4"/>
          <c:tx>
            <c:strRef>
              <c:f>Sheet1!$G$243</c:f>
              <c:strCache>
                <c:ptCount val="1"/>
                <c:pt idx="0">
                  <c:v>300</c:v>
                </c:pt>
              </c:strCache>
            </c:strRef>
          </c:tx>
          <c:spPr>
            <a:solidFill>
              <a:schemeClr val="accent5"/>
            </a:solidFill>
            <a:ln>
              <a:noFill/>
            </a:ln>
            <a:effectLst/>
          </c:spPr>
          <c:invertIfNegative val="0"/>
          <c:cat>
            <c:strRef>
              <c:f>Sheet1!$B$244:$B$251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Sheet1!$G$244:$G$251</c:f>
              <c:numCache>
                <c:formatCode>General</c:formatCode>
                <c:ptCount val="8"/>
                <c:pt idx="0">
                  <c:v>161</c:v>
                </c:pt>
                <c:pt idx="1">
                  <c:v>185</c:v>
                </c:pt>
                <c:pt idx="2">
                  <c:v>163</c:v>
                </c:pt>
                <c:pt idx="3">
                  <c:v>44</c:v>
                </c:pt>
                <c:pt idx="4">
                  <c:v>56</c:v>
                </c:pt>
                <c:pt idx="5">
                  <c:v>39</c:v>
                </c:pt>
                <c:pt idx="6">
                  <c:v>35</c:v>
                </c:pt>
                <c:pt idx="7">
                  <c:v>123</c:v>
                </c:pt>
              </c:numCache>
            </c:numRef>
          </c:val>
          <c:extLst>
            <c:ext xmlns:c16="http://schemas.microsoft.com/office/drawing/2014/chart" uri="{C3380CC4-5D6E-409C-BE32-E72D297353CC}">
              <c16:uniqueId val="{00000004-8629-454E-8754-C02B3B711E86}"/>
            </c:ext>
          </c:extLst>
        </c:ser>
        <c:dLbls>
          <c:showLegendKey val="0"/>
          <c:showVal val="0"/>
          <c:showCatName val="0"/>
          <c:showSerName val="0"/>
          <c:showPercent val="0"/>
          <c:showBubbleSize val="0"/>
        </c:dLbls>
        <c:gapWidth val="300"/>
        <c:axId val="531660752"/>
        <c:axId val="566712624"/>
      </c:barChart>
      <c:lineChart>
        <c:grouping val="standard"/>
        <c:varyColors val="0"/>
        <c:ser>
          <c:idx val="5"/>
          <c:order val="5"/>
          <c:tx>
            <c:strRef>
              <c:f>Sheet1!$H$243</c:f>
              <c:strCache>
                <c:ptCount val="1"/>
              </c:strCache>
            </c:strRef>
          </c:tx>
          <c:spPr>
            <a:ln w="28575" cap="rnd">
              <a:noFill/>
              <a:round/>
            </a:ln>
            <a:effectLst/>
          </c:spPr>
          <c:marker>
            <c:symbol val="none"/>
          </c:marker>
          <c:errBars>
            <c:errDir val="y"/>
            <c:errBarType val="both"/>
            <c:errValType val="cust"/>
            <c:noEndCap val="0"/>
            <c:plus>
              <c:numRef>
                <c:f>Sheet1!$J$244:$J$251</c:f>
                <c:numCache>
                  <c:formatCode>General</c:formatCode>
                  <c:ptCount val="8"/>
                  <c:pt idx="0">
                    <c:v>6.5</c:v>
                  </c:pt>
                  <c:pt idx="1">
                    <c:v>4.5</c:v>
                  </c:pt>
                  <c:pt idx="2">
                    <c:v>3</c:v>
                  </c:pt>
                  <c:pt idx="3">
                    <c:v>3.5</c:v>
                  </c:pt>
                  <c:pt idx="4">
                    <c:v>3</c:v>
                  </c:pt>
                  <c:pt idx="5">
                    <c:v>3</c:v>
                  </c:pt>
                  <c:pt idx="6">
                    <c:v>4</c:v>
                  </c:pt>
                  <c:pt idx="7">
                    <c:v>1.6</c:v>
                  </c:pt>
                </c:numCache>
              </c:numRef>
            </c:plus>
            <c:minus>
              <c:numRef>
                <c:f>Sheet1!$J$244:$J$251</c:f>
                <c:numCache>
                  <c:formatCode>General</c:formatCode>
                  <c:ptCount val="8"/>
                  <c:pt idx="0">
                    <c:v>6.5</c:v>
                  </c:pt>
                  <c:pt idx="1">
                    <c:v>4.5</c:v>
                  </c:pt>
                  <c:pt idx="2">
                    <c:v>3</c:v>
                  </c:pt>
                  <c:pt idx="3">
                    <c:v>3.5</c:v>
                  </c:pt>
                  <c:pt idx="4">
                    <c:v>3</c:v>
                  </c:pt>
                  <c:pt idx="5">
                    <c:v>3</c:v>
                  </c:pt>
                  <c:pt idx="6">
                    <c:v>4</c:v>
                  </c:pt>
                  <c:pt idx="7">
                    <c:v>1.6</c:v>
                  </c:pt>
                </c:numCache>
              </c:numRef>
            </c:minus>
            <c:spPr>
              <a:noFill/>
              <a:ln w="9525" cap="flat" cmpd="sng" algn="ctr">
                <a:solidFill>
                  <a:schemeClr val="tx1">
                    <a:lumMod val="65000"/>
                    <a:lumOff val="35000"/>
                  </a:schemeClr>
                </a:solidFill>
                <a:round/>
              </a:ln>
              <a:effectLst/>
            </c:spPr>
          </c:errBars>
          <c:cat>
            <c:strRef>
              <c:f>Sheet1!$B$244:$B$251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Sheet1!$H$244:$H$251</c:f>
              <c:numCache>
                <c:formatCode>General</c:formatCode>
                <c:ptCount val="8"/>
                <c:pt idx="0">
                  <c:v>243</c:v>
                </c:pt>
                <c:pt idx="1">
                  <c:v>243</c:v>
                </c:pt>
                <c:pt idx="2">
                  <c:v>195</c:v>
                </c:pt>
                <c:pt idx="3">
                  <c:v>100</c:v>
                </c:pt>
                <c:pt idx="4">
                  <c:v>95</c:v>
                </c:pt>
                <c:pt idx="5">
                  <c:v>80</c:v>
                </c:pt>
                <c:pt idx="6">
                  <c:v>110</c:v>
                </c:pt>
                <c:pt idx="7">
                  <c:v>185</c:v>
                </c:pt>
              </c:numCache>
            </c:numRef>
          </c:val>
          <c:smooth val="0"/>
          <c:extLst>
            <c:ext xmlns:c16="http://schemas.microsoft.com/office/drawing/2014/chart" uri="{C3380CC4-5D6E-409C-BE32-E72D297353CC}">
              <c16:uniqueId val="{00000005-8629-454E-8754-C02B3B711E86}"/>
            </c:ext>
          </c:extLst>
        </c:ser>
        <c:dLbls>
          <c:showLegendKey val="0"/>
          <c:showVal val="0"/>
          <c:showCatName val="0"/>
          <c:showSerName val="0"/>
          <c:showPercent val="0"/>
          <c:showBubbleSize val="0"/>
        </c:dLbls>
        <c:marker val="1"/>
        <c:smooth val="0"/>
        <c:axId val="531660752"/>
        <c:axId val="566712624"/>
      </c:lineChart>
      <c:catAx>
        <c:axId val="531660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6712624"/>
        <c:crosses val="autoZero"/>
        <c:auto val="1"/>
        <c:lblAlgn val="ctr"/>
        <c:lblOffset val="100"/>
        <c:noMultiLvlLbl val="0"/>
      </c:catAx>
      <c:valAx>
        <c:axId val="566712624"/>
        <c:scaling>
          <c:orientation val="minMax"/>
          <c:max val="345"/>
          <c:min val="3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66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68826767006278"/>
          <c:y val="4.5766590389016017E-2"/>
          <c:w val="0.7610302056724515"/>
          <c:h val="0.56462147557122244"/>
        </c:manualLayout>
      </c:layout>
      <c:barChart>
        <c:barDir val="col"/>
        <c:grouping val="clustered"/>
        <c:varyColors val="0"/>
        <c:ser>
          <c:idx val="0"/>
          <c:order val="0"/>
          <c:tx>
            <c:strRef>
              <c:f>Sheet1!$L$243</c:f>
              <c:strCache>
                <c:ptCount val="1"/>
                <c:pt idx="0">
                  <c:v>0</c:v>
                </c:pt>
              </c:strCache>
            </c:strRef>
          </c:tx>
          <c:spPr>
            <a:solidFill>
              <a:schemeClr val="accent1"/>
            </a:solidFill>
            <a:ln>
              <a:noFill/>
            </a:ln>
            <a:effectLst/>
          </c:spPr>
          <c:invertIfNegative val="0"/>
          <c:cat>
            <c:strRef>
              <c:f>Sheet1!$K$244:$K$251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Sheet1!$L$244:$L$251</c:f>
              <c:numCache>
                <c:formatCode>General</c:formatCode>
                <c:ptCount val="8"/>
                <c:pt idx="0">
                  <c:v>350</c:v>
                </c:pt>
                <c:pt idx="1">
                  <c:v>358</c:v>
                </c:pt>
                <c:pt idx="2">
                  <c:v>165</c:v>
                </c:pt>
                <c:pt idx="3">
                  <c:v>63</c:v>
                </c:pt>
                <c:pt idx="4">
                  <c:v>122</c:v>
                </c:pt>
                <c:pt idx="5">
                  <c:v>87</c:v>
                </c:pt>
                <c:pt idx="6">
                  <c:v>98</c:v>
                </c:pt>
                <c:pt idx="7">
                  <c:v>182</c:v>
                </c:pt>
              </c:numCache>
            </c:numRef>
          </c:val>
          <c:extLst>
            <c:ext xmlns:c16="http://schemas.microsoft.com/office/drawing/2014/chart" uri="{C3380CC4-5D6E-409C-BE32-E72D297353CC}">
              <c16:uniqueId val="{00000000-1CCD-427D-9F62-B873C7D03985}"/>
            </c:ext>
          </c:extLst>
        </c:ser>
        <c:ser>
          <c:idx val="1"/>
          <c:order val="1"/>
          <c:tx>
            <c:strRef>
              <c:f>Sheet1!$M$243</c:f>
              <c:strCache>
                <c:ptCount val="1"/>
                <c:pt idx="0">
                  <c:v>75</c:v>
                </c:pt>
              </c:strCache>
            </c:strRef>
          </c:tx>
          <c:spPr>
            <a:solidFill>
              <a:schemeClr val="accent2"/>
            </a:solidFill>
            <a:ln>
              <a:noFill/>
            </a:ln>
            <a:effectLst/>
          </c:spPr>
          <c:invertIfNegative val="0"/>
          <c:cat>
            <c:strRef>
              <c:f>Sheet1!$K$244:$K$251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Sheet1!$M$244:$M$251</c:f>
              <c:numCache>
                <c:formatCode>General</c:formatCode>
                <c:ptCount val="8"/>
                <c:pt idx="0">
                  <c:v>288</c:v>
                </c:pt>
                <c:pt idx="1">
                  <c:v>407</c:v>
                </c:pt>
                <c:pt idx="2">
                  <c:v>176</c:v>
                </c:pt>
                <c:pt idx="3">
                  <c:v>124</c:v>
                </c:pt>
                <c:pt idx="4">
                  <c:v>106</c:v>
                </c:pt>
                <c:pt idx="5">
                  <c:v>83</c:v>
                </c:pt>
                <c:pt idx="6">
                  <c:v>109</c:v>
                </c:pt>
                <c:pt idx="7">
                  <c:v>189</c:v>
                </c:pt>
              </c:numCache>
            </c:numRef>
          </c:val>
          <c:extLst>
            <c:ext xmlns:c16="http://schemas.microsoft.com/office/drawing/2014/chart" uri="{C3380CC4-5D6E-409C-BE32-E72D297353CC}">
              <c16:uniqueId val="{00000001-1CCD-427D-9F62-B873C7D03985}"/>
            </c:ext>
          </c:extLst>
        </c:ser>
        <c:ser>
          <c:idx val="2"/>
          <c:order val="2"/>
          <c:tx>
            <c:strRef>
              <c:f>Sheet1!$N$243</c:f>
              <c:strCache>
                <c:ptCount val="1"/>
                <c:pt idx="0">
                  <c:v>150</c:v>
                </c:pt>
              </c:strCache>
            </c:strRef>
          </c:tx>
          <c:spPr>
            <a:solidFill>
              <a:schemeClr val="accent3"/>
            </a:solidFill>
            <a:ln>
              <a:noFill/>
            </a:ln>
            <a:effectLst/>
          </c:spPr>
          <c:invertIfNegative val="0"/>
          <c:cat>
            <c:strRef>
              <c:f>Sheet1!$K$244:$K$251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Sheet1!$N$244:$N$251</c:f>
              <c:numCache>
                <c:formatCode>General</c:formatCode>
                <c:ptCount val="8"/>
                <c:pt idx="0">
                  <c:v>197</c:v>
                </c:pt>
                <c:pt idx="1">
                  <c:v>257</c:v>
                </c:pt>
                <c:pt idx="2">
                  <c:v>185</c:v>
                </c:pt>
                <c:pt idx="3">
                  <c:v>110</c:v>
                </c:pt>
                <c:pt idx="4">
                  <c:v>77</c:v>
                </c:pt>
                <c:pt idx="5">
                  <c:v>80</c:v>
                </c:pt>
                <c:pt idx="6">
                  <c:v>82</c:v>
                </c:pt>
                <c:pt idx="7">
                  <c:v>157</c:v>
                </c:pt>
              </c:numCache>
            </c:numRef>
          </c:val>
          <c:extLst>
            <c:ext xmlns:c16="http://schemas.microsoft.com/office/drawing/2014/chart" uri="{C3380CC4-5D6E-409C-BE32-E72D297353CC}">
              <c16:uniqueId val="{00000002-1CCD-427D-9F62-B873C7D03985}"/>
            </c:ext>
          </c:extLst>
        </c:ser>
        <c:ser>
          <c:idx val="3"/>
          <c:order val="3"/>
          <c:tx>
            <c:strRef>
              <c:f>Sheet1!$O$243</c:f>
              <c:strCache>
                <c:ptCount val="1"/>
                <c:pt idx="0">
                  <c:v>225</c:v>
                </c:pt>
              </c:strCache>
            </c:strRef>
          </c:tx>
          <c:spPr>
            <a:solidFill>
              <a:schemeClr val="accent4"/>
            </a:solidFill>
            <a:ln>
              <a:noFill/>
            </a:ln>
            <a:effectLst/>
          </c:spPr>
          <c:invertIfNegative val="0"/>
          <c:cat>
            <c:strRef>
              <c:f>Sheet1!$K$244:$K$251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Sheet1!$O$244:$O$251</c:f>
              <c:numCache>
                <c:formatCode>General</c:formatCode>
                <c:ptCount val="8"/>
                <c:pt idx="0">
                  <c:v>179</c:v>
                </c:pt>
                <c:pt idx="1">
                  <c:v>213</c:v>
                </c:pt>
                <c:pt idx="2">
                  <c:v>173</c:v>
                </c:pt>
                <c:pt idx="3">
                  <c:v>78</c:v>
                </c:pt>
                <c:pt idx="4">
                  <c:v>47</c:v>
                </c:pt>
                <c:pt idx="5">
                  <c:v>77</c:v>
                </c:pt>
                <c:pt idx="6">
                  <c:v>77</c:v>
                </c:pt>
                <c:pt idx="7">
                  <c:v>131</c:v>
                </c:pt>
              </c:numCache>
            </c:numRef>
          </c:val>
          <c:extLst>
            <c:ext xmlns:c16="http://schemas.microsoft.com/office/drawing/2014/chart" uri="{C3380CC4-5D6E-409C-BE32-E72D297353CC}">
              <c16:uniqueId val="{00000003-1CCD-427D-9F62-B873C7D03985}"/>
            </c:ext>
          </c:extLst>
        </c:ser>
        <c:ser>
          <c:idx val="4"/>
          <c:order val="4"/>
          <c:tx>
            <c:strRef>
              <c:f>Sheet1!$P$243</c:f>
              <c:strCache>
                <c:ptCount val="1"/>
                <c:pt idx="0">
                  <c:v>300</c:v>
                </c:pt>
              </c:strCache>
            </c:strRef>
          </c:tx>
          <c:spPr>
            <a:solidFill>
              <a:schemeClr val="accent5"/>
            </a:solidFill>
            <a:ln>
              <a:noFill/>
            </a:ln>
            <a:effectLst/>
          </c:spPr>
          <c:invertIfNegative val="0"/>
          <c:cat>
            <c:strRef>
              <c:f>Sheet1!$K$244:$K$251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Sheet1!$P$244:$P$251</c:f>
              <c:numCache>
                <c:formatCode>General</c:formatCode>
                <c:ptCount val="8"/>
                <c:pt idx="0">
                  <c:v>146</c:v>
                </c:pt>
                <c:pt idx="1">
                  <c:v>180</c:v>
                </c:pt>
                <c:pt idx="2">
                  <c:v>176</c:v>
                </c:pt>
                <c:pt idx="3">
                  <c:v>61</c:v>
                </c:pt>
                <c:pt idx="4">
                  <c:v>56</c:v>
                </c:pt>
                <c:pt idx="5">
                  <c:v>69</c:v>
                </c:pt>
                <c:pt idx="6">
                  <c:v>75</c:v>
                </c:pt>
                <c:pt idx="7">
                  <c:v>118</c:v>
                </c:pt>
              </c:numCache>
            </c:numRef>
          </c:val>
          <c:extLst>
            <c:ext xmlns:c16="http://schemas.microsoft.com/office/drawing/2014/chart" uri="{C3380CC4-5D6E-409C-BE32-E72D297353CC}">
              <c16:uniqueId val="{00000004-1CCD-427D-9F62-B873C7D03985}"/>
            </c:ext>
          </c:extLst>
        </c:ser>
        <c:dLbls>
          <c:showLegendKey val="0"/>
          <c:showVal val="0"/>
          <c:showCatName val="0"/>
          <c:showSerName val="0"/>
          <c:showPercent val="0"/>
          <c:showBubbleSize val="0"/>
        </c:dLbls>
        <c:gapWidth val="300"/>
        <c:axId val="566711056"/>
        <c:axId val="566711448"/>
      </c:barChart>
      <c:lineChart>
        <c:grouping val="standard"/>
        <c:varyColors val="0"/>
        <c:ser>
          <c:idx val="5"/>
          <c:order val="5"/>
          <c:tx>
            <c:strRef>
              <c:f>Sheet1!$Q$243</c:f>
              <c:strCache>
                <c:ptCount val="1"/>
              </c:strCache>
            </c:strRef>
          </c:tx>
          <c:spPr>
            <a:ln w="28575" cap="rnd">
              <a:noFill/>
              <a:round/>
            </a:ln>
            <a:effectLst/>
          </c:spPr>
          <c:marker>
            <c:symbol val="none"/>
          </c:marker>
          <c:errBars>
            <c:errDir val="y"/>
            <c:errBarType val="both"/>
            <c:errValType val="cust"/>
            <c:noEndCap val="0"/>
            <c:plus>
              <c:numRef>
                <c:f>Sheet1!$S$244:$S$251</c:f>
                <c:numCache>
                  <c:formatCode>General</c:formatCode>
                  <c:ptCount val="8"/>
                  <c:pt idx="0">
                    <c:v>5</c:v>
                  </c:pt>
                  <c:pt idx="1">
                    <c:v>4.5</c:v>
                  </c:pt>
                  <c:pt idx="2">
                    <c:v>3</c:v>
                  </c:pt>
                  <c:pt idx="3">
                    <c:v>4</c:v>
                  </c:pt>
                  <c:pt idx="4">
                    <c:v>6.5</c:v>
                  </c:pt>
                  <c:pt idx="5">
                    <c:v>3</c:v>
                  </c:pt>
                  <c:pt idx="6">
                    <c:v>3</c:v>
                  </c:pt>
                  <c:pt idx="7">
                    <c:v>1.5</c:v>
                  </c:pt>
                </c:numCache>
              </c:numRef>
            </c:plus>
            <c:minus>
              <c:numRef>
                <c:f>Sheet1!$S$244:$S$251</c:f>
                <c:numCache>
                  <c:formatCode>General</c:formatCode>
                  <c:ptCount val="8"/>
                  <c:pt idx="0">
                    <c:v>5</c:v>
                  </c:pt>
                  <c:pt idx="1">
                    <c:v>4.5</c:v>
                  </c:pt>
                  <c:pt idx="2">
                    <c:v>3</c:v>
                  </c:pt>
                  <c:pt idx="3">
                    <c:v>4</c:v>
                  </c:pt>
                  <c:pt idx="4">
                    <c:v>6.5</c:v>
                  </c:pt>
                  <c:pt idx="5">
                    <c:v>3</c:v>
                  </c:pt>
                  <c:pt idx="6">
                    <c:v>3</c:v>
                  </c:pt>
                  <c:pt idx="7">
                    <c:v>1.5</c:v>
                  </c:pt>
                </c:numCache>
              </c:numRef>
            </c:minus>
            <c:spPr>
              <a:noFill/>
              <a:ln w="9525" cap="flat" cmpd="sng" algn="ctr">
                <a:solidFill>
                  <a:schemeClr val="tx1">
                    <a:lumMod val="65000"/>
                    <a:lumOff val="35000"/>
                  </a:schemeClr>
                </a:solidFill>
                <a:round/>
              </a:ln>
              <a:effectLst/>
            </c:spPr>
          </c:errBars>
          <c:cat>
            <c:strRef>
              <c:f>Sheet1!$K$244:$K$251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Sheet1!$Q$244:$Q$251</c:f>
              <c:numCache>
                <c:formatCode>General</c:formatCode>
                <c:ptCount val="8"/>
                <c:pt idx="0">
                  <c:v>300</c:v>
                </c:pt>
                <c:pt idx="1">
                  <c:v>270</c:v>
                </c:pt>
                <c:pt idx="2">
                  <c:v>200</c:v>
                </c:pt>
                <c:pt idx="3">
                  <c:v>135</c:v>
                </c:pt>
                <c:pt idx="4">
                  <c:v>135</c:v>
                </c:pt>
                <c:pt idx="5">
                  <c:v>100</c:v>
                </c:pt>
                <c:pt idx="6">
                  <c:v>120</c:v>
                </c:pt>
                <c:pt idx="7">
                  <c:v>200</c:v>
                </c:pt>
              </c:numCache>
            </c:numRef>
          </c:val>
          <c:smooth val="0"/>
          <c:extLst>
            <c:ext xmlns:c16="http://schemas.microsoft.com/office/drawing/2014/chart" uri="{C3380CC4-5D6E-409C-BE32-E72D297353CC}">
              <c16:uniqueId val="{00000005-1CCD-427D-9F62-B873C7D03985}"/>
            </c:ext>
          </c:extLst>
        </c:ser>
        <c:dLbls>
          <c:showLegendKey val="0"/>
          <c:showVal val="0"/>
          <c:showCatName val="0"/>
          <c:showSerName val="0"/>
          <c:showPercent val="0"/>
          <c:showBubbleSize val="0"/>
        </c:dLbls>
        <c:marker val="1"/>
        <c:smooth val="0"/>
        <c:axId val="566711056"/>
        <c:axId val="566711448"/>
      </c:lineChart>
      <c:catAx>
        <c:axId val="566711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6711448"/>
        <c:crosses val="autoZero"/>
        <c:auto val="1"/>
        <c:lblAlgn val="ctr"/>
        <c:lblOffset val="100"/>
        <c:noMultiLvlLbl val="0"/>
      </c:catAx>
      <c:valAx>
        <c:axId val="566711448"/>
        <c:scaling>
          <c:orientation val="minMax"/>
          <c:max val="410"/>
          <c:min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1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60133950832939"/>
          <c:y val="4.8000000000000001E-2"/>
          <c:w val="0.76968459147384738"/>
          <c:h val="0.4632361154855642"/>
        </c:manualLayout>
      </c:layout>
      <c:barChart>
        <c:barDir val="col"/>
        <c:grouping val="clustered"/>
        <c:varyColors val="0"/>
        <c:ser>
          <c:idx val="0"/>
          <c:order val="0"/>
          <c:tx>
            <c:strRef>
              <c:f>Sheet1!$U$243</c:f>
              <c:strCache>
                <c:ptCount val="1"/>
                <c:pt idx="0">
                  <c:v>0</c:v>
                </c:pt>
              </c:strCache>
            </c:strRef>
          </c:tx>
          <c:spPr>
            <a:solidFill>
              <a:schemeClr val="accent1"/>
            </a:solidFill>
            <a:ln>
              <a:noFill/>
            </a:ln>
            <a:effectLst/>
          </c:spPr>
          <c:invertIfNegative val="0"/>
          <c:cat>
            <c:strRef>
              <c:f>Sheet1!$T$244:$T$251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Sheet1!$U$244:$U$251</c:f>
              <c:numCache>
                <c:formatCode>General</c:formatCode>
                <c:ptCount val="8"/>
                <c:pt idx="0">
                  <c:v>319</c:v>
                </c:pt>
                <c:pt idx="1">
                  <c:v>395</c:v>
                </c:pt>
                <c:pt idx="2">
                  <c:v>160</c:v>
                </c:pt>
                <c:pt idx="3">
                  <c:v>121</c:v>
                </c:pt>
                <c:pt idx="4">
                  <c:v>174</c:v>
                </c:pt>
                <c:pt idx="5">
                  <c:v>161</c:v>
                </c:pt>
                <c:pt idx="6">
                  <c:v>129</c:v>
                </c:pt>
                <c:pt idx="7">
                  <c:v>186</c:v>
                </c:pt>
              </c:numCache>
            </c:numRef>
          </c:val>
          <c:extLst>
            <c:ext xmlns:c16="http://schemas.microsoft.com/office/drawing/2014/chart" uri="{C3380CC4-5D6E-409C-BE32-E72D297353CC}">
              <c16:uniqueId val="{00000000-7846-475A-A986-32B4B76B988F}"/>
            </c:ext>
          </c:extLst>
        </c:ser>
        <c:ser>
          <c:idx val="1"/>
          <c:order val="1"/>
          <c:tx>
            <c:strRef>
              <c:f>Sheet1!$V$243</c:f>
              <c:strCache>
                <c:ptCount val="1"/>
                <c:pt idx="0">
                  <c:v>75</c:v>
                </c:pt>
              </c:strCache>
            </c:strRef>
          </c:tx>
          <c:spPr>
            <a:solidFill>
              <a:schemeClr val="accent2"/>
            </a:solidFill>
            <a:ln>
              <a:noFill/>
            </a:ln>
            <a:effectLst/>
          </c:spPr>
          <c:invertIfNegative val="0"/>
          <c:cat>
            <c:strRef>
              <c:f>Sheet1!$T$244:$T$251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Sheet1!$V$244:$V$251</c:f>
              <c:numCache>
                <c:formatCode>General</c:formatCode>
                <c:ptCount val="8"/>
                <c:pt idx="0">
                  <c:v>277</c:v>
                </c:pt>
                <c:pt idx="1">
                  <c:v>373</c:v>
                </c:pt>
                <c:pt idx="2">
                  <c:v>208</c:v>
                </c:pt>
                <c:pt idx="3">
                  <c:v>153</c:v>
                </c:pt>
                <c:pt idx="4">
                  <c:v>286</c:v>
                </c:pt>
                <c:pt idx="5">
                  <c:v>70</c:v>
                </c:pt>
                <c:pt idx="6">
                  <c:v>151</c:v>
                </c:pt>
                <c:pt idx="7">
                  <c:v>206</c:v>
                </c:pt>
              </c:numCache>
            </c:numRef>
          </c:val>
          <c:extLst>
            <c:ext xmlns:c16="http://schemas.microsoft.com/office/drawing/2014/chart" uri="{C3380CC4-5D6E-409C-BE32-E72D297353CC}">
              <c16:uniqueId val="{00000001-7846-475A-A986-32B4B76B988F}"/>
            </c:ext>
          </c:extLst>
        </c:ser>
        <c:ser>
          <c:idx val="2"/>
          <c:order val="2"/>
          <c:tx>
            <c:strRef>
              <c:f>Sheet1!$W$243</c:f>
              <c:strCache>
                <c:ptCount val="1"/>
                <c:pt idx="0">
                  <c:v>150</c:v>
                </c:pt>
              </c:strCache>
            </c:strRef>
          </c:tx>
          <c:spPr>
            <a:solidFill>
              <a:schemeClr val="accent3"/>
            </a:solidFill>
            <a:ln>
              <a:noFill/>
            </a:ln>
            <a:effectLst/>
          </c:spPr>
          <c:invertIfNegative val="0"/>
          <c:cat>
            <c:strRef>
              <c:f>Sheet1!$T$244:$T$251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Sheet1!$W$244:$W$251</c:f>
              <c:numCache>
                <c:formatCode>General</c:formatCode>
                <c:ptCount val="8"/>
                <c:pt idx="0">
                  <c:v>269</c:v>
                </c:pt>
                <c:pt idx="1">
                  <c:v>321</c:v>
                </c:pt>
                <c:pt idx="2">
                  <c:v>182</c:v>
                </c:pt>
                <c:pt idx="3">
                  <c:v>101</c:v>
                </c:pt>
                <c:pt idx="4">
                  <c:v>230</c:v>
                </c:pt>
                <c:pt idx="5">
                  <c:v>69</c:v>
                </c:pt>
                <c:pt idx="6">
                  <c:v>131</c:v>
                </c:pt>
                <c:pt idx="7">
                  <c:v>175</c:v>
                </c:pt>
              </c:numCache>
            </c:numRef>
          </c:val>
          <c:extLst>
            <c:ext xmlns:c16="http://schemas.microsoft.com/office/drawing/2014/chart" uri="{C3380CC4-5D6E-409C-BE32-E72D297353CC}">
              <c16:uniqueId val="{00000002-7846-475A-A986-32B4B76B988F}"/>
            </c:ext>
          </c:extLst>
        </c:ser>
        <c:ser>
          <c:idx val="3"/>
          <c:order val="3"/>
          <c:tx>
            <c:strRef>
              <c:f>Sheet1!$X$243</c:f>
              <c:strCache>
                <c:ptCount val="1"/>
                <c:pt idx="0">
                  <c:v>225</c:v>
                </c:pt>
              </c:strCache>
            </c:strRef>
          </c:tx>
          <c:spPr>
            <a:solidFill>
              <a:schemeClr val="accent4"/>
            </a:solidFill>
            <a:ln>
              <a:noFill/>
            </a:ln>
            <a:effectLst/>
          </c:spPr>
          <c:invertIfNegative val="0"/>
          <c:cat>
            <c:strRef>
              <c:f>Sheet1!$T$244:$T$251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Sheet1!$X$244:$X$251</c:f>
              <c:numCache>
                <c:formatCode>General</c:formatCode>
                <c:ptCount val="8"/>
                <c:pt idx="0">
                  <c:v>161</c:v>
                </c:pt>
                <c:pt idx="1">
                  <c:v>327</c:v>
                </c:pt>
                <c:pt idx="2">
                  <c:v>172</c:v>
                </c:pt>
                <c:pt idx="3">
                  <c:v>82</c:v>
                </c:pt>
                <c:pt idx="4">
                  <c:v>162</c:v>
                </c:pt>
                <c:pt idx="5">
                  <c:v>64</c:v>
                </c:pt>
                <c:pt idx="6">
                  <c:v>129</c:v>
                </c:pt>
                <c:pt idx="7">
                  <c:v>140</c:v>
                </c:pt>
              </c:numCache>
            </c:numRef>
          </c:val>
          <c:extLst>
            <c:ext xmlns:c16="http://schemas.microsoft.com/office/drawing/2014/chart" uri="{C3380CC4-5D6E-409C-BE32-E72D297353CC}">
              <c16:uniqueId val="{00000003-7846-475A-A986-32B4B76B988F}"/>
            </c:ext>
          </c:extLst>
        </c:ser>
        <c:ser>
          <c:idx val="4"/>
          <c:order val="4"/>
          <c:tx>
            <c:strRef>
              <c:f>Sheet1!$Y$243</c:f>
              <c:strCache>
                <c:ptCount val="1"/>
                <c:pt idx="0">
                  <c:v>300</c:v>
                </c:pt>
              </c:strCache>
            </c:strRef>
          </c:tx>
          <c:spPr>
            <a:solidFill>
              <a:schemeClr val="accent5"/>
            </a:solidFill>
            <a:ln>
              <a:noFill/>
            </a:ln>
            <a:effectLst/>
          </c:spPr>
          <c:invertIfNegative val="0"/>
          <c:cat>
            <c:strRef>
              <c:f>Sheet1!$T$244:$T$251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Sheet1!$Y$244:$Y$251</c:f>
              <c:numCache>
                <c:formatCode>General</c:formatCode>
                <c:ptCount val="8"/>
                <c:pt idx="0">
                  <c:v>138</c:v>
                </c:pt>
                <c:pt idx="1">
                  <c:v>288</c:v>
                </c:pt>
                <c:pt idx="2">
                  <c:v>161</c:v>
                </c:pt>
                <c:pt idx="3">
                  <c:v>65</c:v>
                </c:pt>
                <c:pt idx="4">
                  <c:v>122</c:v>
                </c:pt>
                <c:pt idx="5">
                  <c:v>58</c:v>
                </c:pt>
                <c:pt idx="6">
                  <c:v>114</c:v>
                </c:pt>
                <c:pt idx="7">
                  <c:v>120</c:v>
                </c:pt>
              </c:numCache>
            </c:numRef>
          </c:val>
          <c:extLst>
            <c:ext xmlns:c16="http://schemas.microsoft.com/office/drawing/2014/chart" uri="{C3380CC4-5D6E-409C-BE32-E72D297353CC}">
              <c16:uniqueId val="{00000004-7846-475A-A986-32B4B76B988F}"/>
            </c:ext>
          </c:extLst>
        </c:ser>
        <c:dLbls>
          <c:showLegendKey val="0"/>
          <c:showVal val="0"/>
          <c:showCatName val="0"/>
          <c:showSerName val="0"/>
          <c:showPercent val="0"/>
          <c:showBubbleSize val="0"/>
        </c:dLbls>
        <c:gapWidth val="300"/>
        <c:axId val="566709880"/>
        <c:axId val="566710272"/>
      </c:barChart>
      <c:lineChart>
        <c:grouping val="standard"/>
        <c:varyColors val="0"/>
        <c:ser>
          <c:idx val="5"/>
          <c:order val="5"/>
          <c:tx>
            <c:strRef>
              <c:f>Sheet1!$Z$243</c:f>
              <c:strCache>
                <c:ptCount val="1"/>
              </c:strCache>
            </c:strRef>
          </c:tx>
          <c:spPr>
            <a:ln w="28575" cap="rnd">
              <a:noFill/>
              <a:round/>
            </a:ln>
            <a:effectLst/>
          </c:spPr>
          <c:marker>
            <c:symbol val="none"/>
          </c:marker>
          <c:errBars>
            <c:errDir val="y"/>
            <c:errBarType val="both"/>
            <c:errValType val="cust"/>
            <c:noEndCap val="0"/>
            <c:plus>
              <c:numRef>
                <c:f>Sheet1!$AB$244:$AB$251</c:f>
                <c:numCache>
                  <c:formatCode>General</c:formatCode>
                  <c:ptCount val="8"/>
                  <c:pt idx="0">
                    <c:v>4.5</c:v>
                  </c:pt>
                  <c:pt idx="1">
                    <c:v>2.5499999999999998</c:v>
                  </c:pt>
                  <c:pt idx="2">
                    <c:v>3</c:v>
                  </c:pt>
                  <c:pt idx="3">
                    <c:v>3.5</c:v>
                  </c:pt>
                  <c:pt idx="4">
                    <c:v>4.5</c:v>
                  </c:pt>
                  <c:pt idx="5">
                    <c:v>2</c:v>
                  </c:pt>
                  <c:pt idx="6">
                    <c:v>5</c:v>
                  </c:pt>
                  <c:pt idx="7">
                    <c:v>1.5</c:v>
                  </c:pt>
                </c:numCache>
              </c:numRef>
            </c:plus>
            <c:minus>
              <c:numRef>
                <c:f>Sheet1!$AB$244:$AB$251</c:f>
                <c:numCache>
                  <c:formatCode>General</c:formatCode>
                  <c:ptCount val="8"/>
                  <c:pt idx="0">
                    <c:v>4.5</c:v>
                  </c:pt>
                  <c:pt idx="1">
                    <c:v>2.5499999999999998</c:v>
                  </c:pt>
                  <c:pt idx="2">
                    <c:v>3</c:v>
                  </c:pt>
                  <c:pt idx="3">
                    <c:v>3.5</c:v>
                  </c:pt>
                  <c:pt idx="4">
                    <c:v>4.5</c:v>
                  </c:pt>
                  <c:pt idx="5">
                    <c:v>2</c:v>
                  </c:pt>
                  <c:pt idx="6">
                    <c:v>5</c:v>
                  </c:pt>
                  <c:pt idx="7">
                    <c:v>1.5</c:v>
                  </c:pt>
                </c:numCache>
              </c:numRef>
            </c:minus>
            <c:spPr>
              <a:noFill/>
              <a:ln w="9525" cap="flat" cmpd="sng" algn="ctr">
                <a:solidFill>
                  <a:schemeClr val="tx1">
                    <a:lumMod val="65000"/>
                    <a:lumOff val="35000"/>
                  </a:schemeClr>
                </a:solidFill>
                <a:round/>
              </a:ln>
              <a:effectLst/>
            </c:spPr>
          </c:errBars>
          <c:cat>
            <c:strRef>
              <c:f>Sheet1!$T$244:$T$251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Sheet1!$Z$244:$Z$251</c:f>
              <c:numCache>
                <c:formatCode>General</c:formatCode>
                <c:ptCount val="8"/>
                <c:pt idx="0">
                  <c:v>330</c:v>
                </c:pt>
                <c:pt idx="1">
                  <c:v>380</c:v>
                </c:pt>
                <c:pt idx="2">
                  <c:v>220</c:v>
                </c:pt>
                <c:pt idx="3">
                  <c:v>165</c:v>
                </c:pt>
                <c:pt idx="4">
                  <c:v>245</c:v>
                </c:pt>
                <c:pt idx="5">
                  <c:v>90</c:v>
                </c:pt>
                <c:pt idx="6">
                  <c:v>155</c:v>
                </c:pt>
                <c:pt idx="7">
                  <c:v>220</c:v>
                </c:pt>
              </c:numCache>
            </c:numRef>
          </c:val>
          <c:smooth val="0"/>
          <c:extLst>
            <c:ext xmlns:c16="http://schemas.microsoft.com/office/drawing/2014/chart" uri="{C3380CC4-5D6E-409C-BE32-E72D297353CC}">
              <c16:uniqueId val="{00000005-7846-475A-A986-32B4B76B988F}"/>
            </c:ext>
          </c:extLst>
        </c:ser>
        <c:dLbls>
          <c:showLegendKey val="0"/>
          <c:showVal val="0"/>
          <c:showCatName val="0"/>
          <c:showSerName val="0"/>
          <c:showPercent val="0"/>
          <c:showBubbleSize val="0"/>
        </c:dLbls>
        <c:marker val="1"/>
        <c:smooth val="0"/>
        <c:axId val="566709880"/>
        <c:axId val="566710272"/>
      </c:lineChart>
      <c:catAx>
        <c:axId val="566709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6710272"/>
        <c:crosses val="autoZero"/>
        <c:auto val="1"/>
        <c:lblAlgn val="ctr"/>
        <c:lblOffset val="100"/>
        <c:noMultiLvlLbl val="0"/>
      </c:catAx>
      <c:valAx>
        <c:axId val="566710272"/>
        <c:scaling>
          <c:orientation val="minMax"/>
          <c:max val="400"/>
          <c:min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09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68826767006278"/>
          <c:y val="3.8272279934390377E-2"/>
          <c:w val="0.7610302056724515"/>
          <c:h val="0.47160618728017117"/>
        </c:manualLayout>
      </c:layout>
      <c:barChart>
        <c:barDir val="col"/>
        <c:grouping val="clustered"/>
        <c:varyColors val="0"/>
        <c:ser>
          <c:idx val="0"/>
          <c:order val="0"/>
          <c:tx>
            <c:strRef>
              <c:f>Sheet1!$AE$243</c:f>
              <c:strCache>
                <c:ptCount val="1"/>
                <c:pt idx="0">
                  <c:v>0</c:v>
                </c:pt>
              </c:strCache>
            </c:strRef>
          </c:tx>
          <c:spPr>
            <a:solidFill>
              <a:schemeClr val="accent1"/>
            </a:solidFill>
            <a:ln>
              <a:noFill/>
            </a:ln>
            <a:effectLst/>
          </c:spPr>
          <c:invertIfNegative val="0"/>
          <c:cat>
            <c:strRef>
              <c:f>Sheet1!$AD$244:$AD$251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Sheet1!$AE$244:$AE$251</c:f>
              <c:numCache>
                <c:formatCode>General</c:formatCode>
                <c:ptCount val="8"/>
                <c:pt idx="0">
                  <c:v>309</c:v>
                </c:pt>
                <c:pt idx="1">
                  <c:v>430</c:v>
                </c:pt>
                <c:pt idx="2">
                  <c:v>192</c:v>
                </c:pt>
                <c:pt idx="3">
                  <c:v>127</c:v>
                </c:pt>
                <c:pt idx="4">
                  <c:v>149</c:v>
                </c:pt>
                <c:pt idx="5">
                  <c:v>171</c:v>
                </c:pt>
                <c:pt idx="6">
                  <c:v>223</c:v>
                </c:pt>
                <c:pt idx="7">
                  <c:v>142</c:v>
                </c:pt>
              </c:numCache>
            </c:numRef>
          </c:val>
          <c:extLst>
            <c:ext xmlns:c16="http://schemas.microsoft.com/office/drawing/2014/chart" uri="{C3380CC4-5D6E-409C-BE32-E72D297353CC}">
              <c16:uniqueId val="{00000000-391D-4A8A-BC06-2412AEAF4626}"/>
            </c:ext>
          </c:extLst>
        </c:ser>
        <c:ser>
          <c:idx val="1"/>
          <c:order val="1"/>
          <c:tx>
            <c:strRef>
              <c:f>Sheet1!$AF$243</c:f>
              <c:strCache>
                <c:ptCount val="1"/>
                <c:pt idx="0">
                  <c:v>75</c:v>
                </c:pt>
              </c:strCache>
            </c:strRef>
          </c:tx>
          <c:spPr>
            <a:solidFill>
              <a:schemeClr val="accent2"/>
            </a:solidFill>
            <a:ln>
              <a:noFill/>
            </a:ln>
            <a:effectLst/>
          </c:spPr>
          <c:invertIfNegative val="0"/>
          <c:cat>
            <c:strRef>
              <c:f>Sheet1!$AD$244:$AD$251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Sheet1!$AF$244:$AF$251</c:f>
              <c:numCache>
                <c:formatCode>General</c:formatCode>
                <c:ptCount val="8"/>
                <c:pt idx="0">
                  <c:v>286</c:v>
                </c:pt>
                <c:pt idx="1">
                  <c:v>439</c:v>
                </c:pt>
                <c:pt idx="2">
                  <c:v>177</c:v>
                </c:pt>
                <c:pt idx="3">
                  <c:v>178</c:v>
                </c:pt>
                <c:pt idx="4">
                  <c:v>206</c:v>
                </c:pt>
                <c:pt idx="5">
                  <c:v>111</c:v>
                </c:pt>
                <c:pt idx="6">
                  <c:v>215</c:v>
                </c:pt>
                <c:pt idx="7">
                  <c:v>179</c:v>
                </c:pt>
              </c:numCache>
            </c:numRef>
          </c:val>
          <c:extLst>
            <c:ext xmlns:c16="http://schemas.microsoft.com/office/drawing/2014/chart" uri="{C3380CC4-5D6E-409C-BE32-E72D297353CC}">
              <c16:uniqueId val="{00000001-391D-4A8A-BC06-2412AEAF4626}"/>
            </c:ext>
          </c:extLst>
        </c:ser>
        <c:ser>
          <c:idx val="2"/>
          <c:order val="2"/>
          <c:tx>
            <c:strRef>
              <c:f>Sheet1!$AG$243</c:f>
              <c:strCache>
                <c:ptCount val="1"/>
                <c:pt idx="0">
                  <c:v>150</c:v>
                </c:pt>
              </c:strCache>
            </c:strRef>
          </c:tx>
          <c:spPr>
            <a:solidFill>
              <a:schemeClr val="accent3"/>
            </a:solidFill>
            <a:ln>
              <a:noFill/>
            </a:ln>
            <a:effectLst/>
          </c:spPr>
          <c:invertIfNegative val="0"/>
          <c:cat>
            <c:strRef>
              <c:f>Sheet1!$AD$244:$AD$251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Sheet1!$AG$244:$AG$251</c:f>
              <c:numCache>
                <c:formatCode>General</c:formatCode>
                <c:ptCount val="8"/>
                <c:pt idx="0">
                  <c:v>276</c:v>
                </c:pt>
                <c:pt idx="1">
                  <c:v>371</c:v>
                </c:pt>
                <c:pt idx="2">
                  <c:v>181</c:v>
                </c:pt>
                <c:pt idx="3">
                  <c:v>172</c:v>
                </c:pt>
                <c:pt idx="4">
                  <c:v>149</c:v>
                </c:pt>
                <c:pt idx="5">
                  <c:v>68</c:v>
                </c:pt>
                <c:pt idx="6">
                  <c:v>205</c:v>
                </c:pt>
                <c:pt idx="7">
                  <c:v>154</c:v>
                </c:pt>
              </c:numCache>
            </c:numRef>
          </c:val>
          <c:extLst>
            <c:ext xmlns:c16="http://schemas.microsoft.com/office/drawing/2014/chart" uri="{C3380CC4-5D6E-409C-BE32-E72D297353CC}">
              <c16:uniqueId val="{00000002-391D-4A8A-BC06-2412AEAF4626}"/>
            </c:ext>
          </c:extLst>
        </c:ser>
        <c:ser>
          <c:idx val="3"/>
          <c:order val="3"/>
          <c:tx>
            <c:strRef>
              <c:f>Sheet1!$AH$243</c:f>
              <c:strCache>
                <c:ptCount val="1"/>
                <c:pt idx="0">
                  <c:v>225</c:v>
                </c:pt>
              </c:strCache>
            </c:strRef>
          </c:tx>
          <c:spPr>
            <a:solidFill>
              <a:schemeClr val="accent4"/>
            </a:solidFill>
            <a:ln>
              <a:noFill/>
            </a:ln>
            <a:effectLst/>
          </c:spPr>
          <c:invertIfNegative val="0"/>
          <c:cat>
            <c:strRef>
              <c:f>Sheet1!$AD$244:$AD$251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Sheet1!$AH$244:$AH$251</c:f>
              <c:numCache>
                <c:formatCode>General</c:formatCode>
                <c:ptCount val="8"/>
                <c:pt idx="0">
                  <c:v>227</c:v>
                </c:pt>
                <c:pt idx="1">
                  <c:v>295</c:v>
                </c:pt>
                <c:pt idx="2">
                  <c:v>161</c:v>
                </c:pt>
                <c:pt idx="3">
                  <c:v>101</c:v>
                </c:pt>
                <c:pt idx="4">
                  <c:v>149</c:v>
                </c:pt>
                <c:pt idx="5">
                  <c:v>57</c:v>
                </c:pt>
                <c:pt idx="6">
                  <c:v>181</c:v>
                </c:pt>
                <c:pt idx="7">
                  <c:v>144</c:v>
                </c:pt>
              </c:numCache>
            </c:numRef>
          </c:val>
          <c:extLst>
            <c:ext xmlns:c16="http://schemas.microsoft.com/office/drawing/2014/chart" uri="{C3380CC4-5D6E-409C-BE32-E72D297353CC}">
              <c16:uniqueId val="{00000003-391D-4A8A-BC06-2412AEAF4626}"/>
            </c:ext>
          </c:extLst>
        </c:ser>
        <c:ser>
          <c:idx val="4"/>
          <c:order val="4"/>
          <c:tx>
            <c:strRef>
              <c:f>Sheet1!$AI$243</c:f>
              <c:strCache>
                <c:ptCount val="1"/>
                <c:pt idx="0">
                  <c:v>300</c:v>
                </c:pt>
              </c:strCache>
            </c:strRef>
          </c:tx>
          <c:spPr>
            <a:solidFill>
              <a:schemeClr val="accent5"/>
            </a:solidFill>
            <a:ln>
              <a:noFill/>
            </a:ln>
            <a:effectLst/>
          </c:spPr>
          <c:invertIfNegative val="0"/>
          <c:cat>
            <c:strRef>
              <c:f>Sheet1!$AD$244:$AD$251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Sheet1!$AI$244:$AI$251</c:f>
              <c:numCache>
                <c:formatCode>General</c:formatCode>
                <c:ptCount val="8"/>
                <c:pt idx="0">
                  <c:v>136</c:v>
                </c:pt>
                <c:pt idx="1">
                  <c:v>264</c:v>
                </c:pt>
                <c:pt idx="2">
                  <c:v>171</c:v>
                </c:pt>
                <c:pt idx="3">
                  <c:v>85</c:v>
                </c:pt>
                <c:pt idx="4">
                  <c:v>104</c:v>
                </c:pt>
                <c:pt idx="5">
                  <c:v>39</c:v>
                </c:pt>
                <c:pt idx="6">
                  <c:v>173</c:v>
                </c:pt>
                <c:pt idx="7">
                  <c:v>125</c:v>
                </c:pt>
              </c:numCache>
            </c:numRef>
          </c:val>
          <c:extLst>
            <c:ext xmlns:c16="http://schemas.microsoft.com/office/drawing/2014/chart" uri="{C3380CC4-5D6E-409C-BE32-E72D297353CC}">
              <c16:uniqueId val="{00000004-391D-4A8A-BC06-2412AEAF4626}"/>
            </c:ext>
          </c:extLst>
        </c:ser>
        <c:dLbls>
          <c:showLegendKey val="0"/>
          <c:showVal val="0"/>
          <c:showCatName val="0"/>
          <c:showSerName val="0"/>
          <c:showPercent val="0"/>
          <c:showBubbleSize val="0"/>
        </c:dLbls>
        <c:gapWidth val="300"/>
        <c:axId val="566713016"/>
        <c:axId val="566709488"/>
      </c:barChart>
      <c:lineChart>
        <c:grouping val="standard"/>
        <c:varyColors val="0"/>
        <c:ser>
          <c:idx val="5"/>
          <c:order val="5"/>
          <c:tx>
            <c:strRef>
              <c:f>Sheet1!$AJ$243</c:f>
              <c:strCache>
                <c:ptCount val="1"/>
              </c:strCache>
            </c:strRef>
          </c:tx>
          <c:spPr>
            <a:ln w="28575" cap="rnd">
              <a:noFill/>
              <a:round/>
            </a:ln>
            <a:effectLst/>
          </c:spPr>
          <c:marker>
            <c:symbol val="none"/>
          </c:marker>
          <c:errBars>
            <c:errDir val="y"/>
            <c:errBarType val="both"/>
            <c:errValType val="cust"/>
            <c:noEndCap val="0"/>
            <c:plus>
              <c:numRef>
                <c:f>Sheet1!$AL$244:$AL$251</c:f>
                <c:numCache>
                  <c:formatCode>General</c:formatCode>
                  <c:ptCount val="8"/>
                  <c:pt idx="0">
                    <c:v>4.5</c:v>
                  </c:pt>
                  <c:pt idx="1">
                    <c:v>4</c:v>
                  </c:pt>
                  <c:pt idx="2">
                    <c:v>4</c:v>
                  </c:pt>
                  <c:pt idx="3">
                    <c:v>1</c:v>
                  </c:pt>
                  <c:pt idx="4">
                    <c:v>8</c:v>
                  </c:pt>
                  <c:pt idx="5">
                    <c:v>2</c:v>
                  </c:pt>
                  <c:pt idx="6">
                    <c:v>5.5</c:v>
                  </c:pt>
                  <c:pt idx="7">
                    <c:v>4</c:v>
                  </c:pt>
                </c:numCache>
              </c:numRef>
            </c:plus>
            <c:minus>
              <c:numRef>
                <c:f>Sheet1!$AL$244:$AL$251</c:f>
                <c:numCache>
                  <c:formatCode>General</c:formatCode>
                  <c:ptCount val="8"/>
                  <c:pt idx="0">
                    <c:v>4.5</c:v>
                  </c:pt>
                  <c:pt idx="1">
                    <c:v>4</c:v>
                  </c:pt>
                  <c:pt idx="2">
                    <c:v>4</c:v>
                  </c:pt>
                  <c:pt idx="3">
                    <c:v>1</c:v>
                  </c:pt>
                  <c:pt idx="4">
                    <c:v>8</c:v>
                  </c:pt>
                  <c:pt idx="5">
                    <c:v>2</c:v>
                  </c:pt>
                  <c:pt idx="6">
                    <c:v>5.5</c:v>
                  </c:pt>
                  <c:pt idx="7">
                    <c:v>4</c:v>
                  </c:pt>
                </c:numCache>
              </c:numRef>
            </c:minus>
            <c:spPr>
              <a:noFill/>
              <a:ln w="9525" cap="flat" cmpd="sng" algn="ctr">
                <a:solidFill>
                  <a:schemeClr val="tx1">
                    <a:lumMod val="65000"/>
                    <a:lumOff val="35000"/>
                  </a:schemeClr>
                </a:solidFill>
                <a:round/>
              </a:ln>
              <a:effectLst/>
            </c:spPr>
          </c:errBars>
          <c:cat>
            <c:strRef>
              <c:f>Sheet1!$AD$244:$AD$251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Sheet1!$AJ$244:$AJ$251</c:f>
              <c:numCache>
                <c:formatCode>General</c:formatCode>
                <c:ptCount val="8"/>
                <c:pt idx="0">
                  <c:v>300</c:v>
                </c:pt>
                <c:pt idx="1">
                  <c:v>445</c:v>
                </c:pt>
                <c:pt idx="2">
                  <c:v>200</c:v>
                </c:pt>
                <c:pt idx="3">
                  <c:v>195</c:v>
                </c:pt>
                <c:pt idx="4">
                  <c:v>165</c:v>
                </c:pt>
                <c:pt idx="5">
                  <c:v>120</c:v>
                </c:pt>
                <c:pt idx="6">
                  <c:v>230</c:v>
                </c:pt>
                <c:pt idx="7">
                  <c:v>190</c:v>
                </c:pt>
              </c:numCache>
            </c:numRef>
          </c:val>
          <c:smooth val="0"/>
          <c:extLst>
            <c:ext xmlns:c16="http://schemas.microsoft.com/office/drawing/2014/chart" uri="{C3380CC4-5D6E-409C-BE32-E72D297353CC}">
              <c16:uniqueId val="{00000005-391D-4A8A-BC06-2412AEAF4626}"/>
            </c:ext>
          </c:extLst>
        </c:ser>
        <c:dLbls>
          <c:showLegendKey val="0"/>
          <c:showVal val="0"/>
          <c:showCatName val="0"/>
          <c:showSerName val="0"/>
          <c:showPercent val="0"/>
          <c:showBubbleSize val="0"/>
        </c:dLbls>
        <c:marker val="1"/>
        <c:smooth val="0"/>
        <c:axId val="566713016"/>
        <c:axId val="566709488"/>
      </c:lineChart>
      <c:catAx>
        <c:axId val="566713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6709488"/>
        <c:crosses val="autoZero"/>
        <c:auto val="1"/>
        <c:lblAlgn val="ctr"/>
        <c:lblOffset val="100"/>
        <c:noMultiLvlLbl val="0"/>
      </c:catAx>
      <c:valAx>
        <c:axId val="566709488"/>
        <c:scaling>
          <c:orientation val="minMax"/>
          <c:max val="450"/>
          <c:min val="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13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Sheet1!$C$181</c:f>
              <c:strCache>
                <c:ptCount val="1"/>
                <c:pt idx="0">
                  <c:v>0</c:v>
                </c:pt>
              </c:strCache>
            </c:strRef>
          </c:tx>
          <c:spPr>
            <a:solidFill>
              <a:schemeClr val="accent1"/>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Sheet1!$C$182:$C$189</c:f>
              <c:numCache>
                <c:formatCode>General</c:formatCode>
                <c:ptCount val="8"/>
                <c:pt idx="0">
                  <c:v>0.31</c:v>
                </c:pt>
                <c:pt idx="1">
                  <c:v>0.27200000000000002</c:v>
                </c:pt>
                <c:pt idx="2">
                  <c:v>0.247</c:v>
                </c:pt>
                <c:pt idx="3">
                  <c:v>0.27300000000000002</c:v>
                </c:pt>
                <c:pt idx="4">
                  <c:v>0.23</c:v>
                </c:pt>
                <c:pt idx="5">
                  <c:v>0.28499999999999998</c:v>
                </c:pt>
                <c:pt idx="6">
                  <c:v>0.193</c:v>
                </c:pt>
                <c:pt idx="7">
                  <c:v>0.26500000000000001</c:v>
                </c:pt>
              </c:numCache>
            </c:numRef>
          </c:val>
          <c:extLst>
            <c:ext xmlns:c16="http://schemas.microsoft.com/office/drawing/2014/chart" uri="{C3380CC4-5D6E-409C-BE32-E72D297353CC}">
              <c16:uniqueId val="{00000000-BCBD-4D1C-8119-4FEBAFE753FC}"/>
            </c:ext>
          </c:extLst>
        </c:ser>
        <c:ser>
          <c:idx val="1"/>
          <c:order val="1"/>
          <c:tx>
            <c:strRef>
              <c:f>Sheet1!$D$181</c:f>
              <c:strCache>
                <c:ptCount val="1"/>
                <c:pt idx="0">
                  <c:v>75</c:v>
                </c:pt>
              </c:strCache>
            </c:strRef>
          </c:tx>
          <c:spPr>
            <a:solidFill>
              <a:schemeClr val="accent2"/>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Sheet1!$D$182:$D$189</c:f>
              <c:numCache>
                <c:formatCode>General</c:formatCode>
                <c:ptCount val="8"/>
                <c:pt idx="0">
                  <c:v>0.30599999999999999</c:v>
                </c:pt>
                <c:pt idx="1">
                  <c:v>0.27200000000000002</c:v>
                </c:pt>
                <c:pt idx="2">
                  <c:v>0.249</c:v>
                </c:pt>
                <c:pt idx="3">
                  <c:v>0.28100000000000003</c:v>
                </c:pt>
                <c:pt idx="4">
                  <c:v>0.23699999999999999</c:v>
                </c:pt>
                <c:pt idx="5">
                  <c:v>0.29499999999999998</c:v>
                </c:pt>
                <c:pt idx="6">
                  <c:v>0.19800000000000001</c:v>
                </c:pt>
                <c:pt idx="7">
                  <c:v>0.26800000000000002</c:v>
                </c:pt>
              </c:numCache>
            </c:numRef>
          </c:val>
          <c:extLst>
            <c:ext xmlns:c16="http://schemas.microsoft.com/office/drawing/2014/chart" uri="{C3380CC4-5D6E-409C-BE32-E72D297353CC}">
              <c16:uniqueId val="{00000001-BCBD-4D1C-8119-4FEBAFE753FC}"/>
            </c:ext>
          </c:extLst>
        </c:ser>
        <c:ser>
          <c:idx val="2"/>
          <c:order val="2"/>
          <c:tx>
            <c:strRef>
              <c:f>Sheet1!$E$181</c:f>
              <c:strCache>
                <c:ptCount val="1"/>
                <c:pt idx="0">
                  <c:v>150</c:v>
                </c:pt>
              </c:strCache>
            </c:strRef>
          </c:tx>
          <c:spPr>
            <a:solidFill>
              <a:schemeClr val="accent3"/>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Sheet1!$E$182:$E$189</c:f>
              <c:numCache>
                <c:formatCode>General</c:formatCode>
                <c:ptCount val="8"/>
                <c:pt idx="0">
                  <c:v>0.32100000000000001</c:v>
                </c:pt>
                <c:pt idx="1">
                  <c:v>0.28100000000000003</c:v>
                </c:pt>
                <c:pt idx="2">
                  <c:v>0.255</c:v>
                </c:pt>
                <c:pt idx="3">
                  <c:v>0.29199999999999998</c:v>
                </c:pt>
                <c:pt idx="4">
                  <c:v>0.246</c:v>
                </c:pt>
                <c:pt idx="5">
                  <c:v>0.30299999999999999</c:v>
                </c:pt>
                <c:pt idx="6">
                  <c:v>0.20399999999999999</c:v>
                </c:pt>
                <c:pt idx="7">
                  <c:v>0.27600000000000002</c:v>
                </c:pt>
              </c:numCache>
            </c:numRef>
          </c:val>
          <c:extLst>
            <c:ext xmlns:c16="http://schemas.microsoft.com/office/drawing/2014/chart" uri="{C3380CC4-5D6E-409C-BE32-E72D297353CC}">
              <c16:uniqueId val="{00000002-BCBD-4D1C-8119-4FEBAFE753FC}"/>
            </c:ext>
          </c:extLst>
        </c:ser>
        <c:ser>
          <c:idx val="3"/>
          <c:order val="3"/>
          <c:tx>
            <c:strRef>
              <c:f>Sheet1!$F$181</c:f>
              <c:strCache>
                <c:ptCount val="1"/>
                <c:pt idx="0">
                  <c:v>225</c:v>
                </c:pt>
              </c:strCache>
            </c:strRef>
          </c:tx>
          <c:spPr>
            <a:solidFill>
              <a:schemeClr val="accent4"/>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Sheet1!$F$182:$F$189</c:f>
              <c:numCache>
                <c:formatCode>General</c:formatCode>
                <c:ptCount val="8"/>
                <c:pt idx="0">
                  <c:v>0.32600000000000001</c:v>
                </c:pt>
                <c:pt idx="1">
                  <c:v>0.29199999999999998</c:v>
                </c:pt>
                <c:pt idx="2">
                  <c:v>0.25900000000000001</c:v>
                </c:pt>
                <c:pt idx="3">
                  <c:v>0.29899999999999999</c:v>
                </c:pt>
                <c:pt idx="4">
                  <c:v>0.245</c:v>
                </c:pt>
                <c:pt idx="5">
                  <c:v>0.309</c:v>
                </c:pt>
                <c:pt idx="6">
                  <c:v>0.21</c:v>
                </c:pt>
                <c:pt idx="7">
                  <c:v>0.28299999999999997</c:v>
                </c:pt>
              </c:numCache>
            </c:numRef>
          </c:val>
          <c:extLst>
            <c:ext xmlns:c16="http://schemas.microsoft.com/office/drawing/2014/chart" uri="{C3380CC4-5D6E-409C-BE32-E72D297353CC}">
              <c16:uniqueId val="{00000003-BCBD-4D1C-8119-4FEBAFE753FC}"/>
            </c:ext>
          </c:extLst>
        </c:ser>
        <c:ser>
          <c:idx val="4"/>
          <c:order val="4"/>
          <c:tx>
            <c:strRef>
              <c:f>Sheet1!$G$181</c:f>
              <c:strCache>
                <c:ptCount val="1"/>
                <c:pt idx="0">
                  <c:v>300</c:v>
                </c:pt>
              </c:strCache>
            </c:strRef>
          </c:tx>
          <c:spPr>
            <a:solidFill>
              <a:schemeClr val="accent5"/>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Sheet1!$G$182:$G$189</c:f>
              <c:numCache>
                <c:formatCode>General</c:formatCode>
                <c:ptCount val="8"/>
                <c:pt idx="0">
                  <c:v>0.32900000000000001</c:v>
                </c:pt>
                <c:pt idx="1">
                  <c:v>0.25700000000000001</c:v>
                </c:pt>
                <c:pt idx="2">
                  <c:v>0.252</c:v>
                </c:pt>
                <c:pt idx="3">
                  <c:v>0.309</c:v>
                </c:pt>
                <c:pt idx="4">
                  <c:v>0.26500000000000001</c:v>
                </c:pt>
                <c:pt idx="5">
                  <c:v>0.316</c:v>
                </c:pt>
                <c:pt idx="6">
                  <c:v>0.215</c:v>
                </c:pt>
                <c:pt idx="7">
                  <c:v>0.29199999999999998</c:v>
                </c:pt>
              </c:numCache>
            </c:numRef>
          </c:val>
          <c:extLst>
            <c:ext xmlns:c16="http://schemas.microsoft.com/office/drawing/2014/chart" uri="{C3380CC4-5D6E-409C-BE32-E72D297353CC}">
              <c16:uniqueId val="{00000004-BCBD-4D1C-8119-4FEBAFE753FC}"/>
            </c:ext>
          </c:extLst>
        </c:ser>
        <c:dLbls>
          <c:showLegendKey val="0"/>
          <c:showVal val="0"/>
          <c:showCatName val="0"/>
          <c:showSerName val="0"/>
          <c:showPercent val="0"/>
          <c:showBubbleSize val="0"/>
        </c:dLbls>
        <c:gapWidth val="300"/>
        <c:axId val="523280992"/>
        <c:axId val="523281384"/>
      </c:barChart>
      <c:lineChart>
        <c:grouping val="standard"/>
        <c:varyColors val="0"/>
        <c:ser>
          <c:idx val="5"/>
          <c:order val="5"/>
          <c:tx>
            <c:strRef>
              <c:f>Sheet1!$H$181</c:f>
              <c:strCache>
                <c:ptCount val="1"/>
              </c:strCache>
            </c:strRef>
          </c:tx>
          <c:spPr>
            <a:ln w="28575" cap="rnd">
              <a:noFill/>
              <a:round/>
            </a:ln>
            <a:effectLst/>
          </c:spPr>
          <c:marker>
            <c:symbol val="none"/>
          </c:marker>
          <c:errBars>
            <c:errDir val="y"/>
            <c:errBarType val="both"/>
            <c:errValType val="cust"/>
            <c:noEndCap val="0"/>
            <c:plus>
              <c:numRef>
                <c:f>Sheet1!$J$182:$J$189</c:f>
                <c:numCache>
                  <c:formatCode>General</c:formatCode>
                  <c:ptCount val="8"/>
                  <c:pt idx="0">
                    <c:v>5.4999999999999997E-3</c:v>
                  </c:pt>
                  <c:pt idx="1">
                    <c:v>2E-3</c:v>
                  </c:pt>
                  <c:pt idx="2">
                    <c:v>2E-3</c:v>
                  </c:pt>
                  <c:pt idx="3">
                    <c:v>2E-3</c:v>
                  </c:pt>
                  <c:pt idx="4">
                    <c:v>1.2999999999999999E-2</c:v>
                  </c:pt>
                  <c:pt idx="5">
                    <c:v>2E-3</c:v>
                  </c:pt>
                  <c:pt idx="6">
                    <c:v>6.0000000000000001E-3</c:v>
                  </c:pt>
                  <c:pt idx="7">
                    <c:v>8.0000000000000002E-3</c:v>
                  </c:pt>
                </c:numCache>
              </c:numRef>
            </c:plus>
            <c:minus>
              <c:numRef>
                <c:f>Sheet1!$J$182:$J$189</c:f>
                <c:numCache>
                  <c:formatCode>General</c:formatCode>
                  <c:ptCount val="8"/>
                  <c:pt idx="0">
                    <c:v>5.4999999999999997E-3</c:v>
                  </c:pt>
                  <c:pt idx="1">
                    <c:v>2E-3</c:v>
                  </c:pt>
                  <c:pt idx="2">
                    <c:v>2E-3</c:v>
                  </c:pt>
                  <c:pt idx="3">
                    <c:v>2E-3</c:v>
                  </c:pt>
                  <c:pt idx="4">
                    <c:v>1.2999999999999999E-2</c:v>
                  </c:pt>
                  <c:pt idx="5">
                    <c:v>2E-3</c:v>
                  </c:pt>
                  <c:pt idx="6">
                    <c:v>6.0000000000000001E-3</c:v>
                  </c:pt>
                  <c:pt idx="7">
                    <c:v>8.0000000000000002E-3</c:v>
                  </c:pt>
                </c:numCache>
              </c:numRef>
            </c:minus>
            <c:spPr>
              <a:noFill/>
              <a:ln w="9525" cap="flat" cmpd="sng" algn="ctr">
                <a:solidFill>
                  <a:schemeClr val="tx1">
                    <a:lumMod val="65000"/>
                    <a:lumOff val="35000"/>
                  </a:schemeClr>
                </a:solidFill>
                <a:round/>
              </a:ln>
              <a:effectLst/>
            </c:spPr>
          </c:errBars>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Sheet1!$H$182:$H$189</c:f>
              <c:numCache>
                <c:formatCode>General</c:formatCode>
                <c:ptCount val="8"/>
                <c:pt idx="0">
                  <c:v>0.34</c:v>
                </c:pt>
                <c:pt idx="1">
                  <c:v>0.3</c:v>
                </c:pt>
                <c:pt idx="2">
                  <c:v>0.27</c:v>
                </c:pt>
                <c:pt idx="3">
                  <c:v>0.31</c:v>
                </c:pt>
                <c:pt idx="4">
                  <c:v>0.27</c:v>
                </c:pt>
                <c:pt idx="5">
                  <c:v>0.32</c:v>
                </c:pt>
                <c:pt idx="6">
                  <c:v>0.22</c:v>
                </c:pt>
                <c:pt idx="7">
                  <c:v>0.3</c:v>
                </c:pt>
              </c:numCache>
            </c:numRef>
          </c:val>
          <c:smooth val="0"/>
          <c:extLst>
            <c:ext xmlns:c16="http://schemas.microsoft.com/office/drawing/2014/chart" uri="{C3380CC4-5D6E-409C-BE32-E72D297353CC}">
              <c16:uniqueId val="{00000005-BCBD-4D1C-8119-4FEBAFE753FC}"/>
            </c:ext>
          </c:extLst>
        </c:ser>
        <c:dLbls>
          <c:showLegendKey val="0"/>
          <c:showVal val="0"/>
          <c:showCatName val="0"/>
          <c:showSerName val="0"/>
          <c:showPercent val="0"/>
          <c:showBubbleSize val="0"/>
        </c:dLbls>
        <c:marker val="1"/>
        <c:smooth val="0"/>
        <c:axId val="523280992"/>
        <c:axId val="523281384"/>
      </c:lineChart>
      <c:catAx>
        <c:axId val="523280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23281384"/>
        <c:crosses val="autoZero"/>
        <c:auto val="1"/>
        <c:lblAlgn val="ctr"/>
        <c:lblOffset val="100"/>
        <c:noMultiLvlLbl val="0"/>
      </c:catAx>
      <c:valAx>
        <c:axId val="523281384"/>
        <c:scaling>
          <c:orientation val="minMax"/>
          <c:max val="0.35000000000000003"/>
          <c:min val="0.18000000000000002"/>
        </c:scaling>
        <c:delete val="0"/>
        <c:axPos val="l"/>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8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Sheet1!$C$181</c:f>
              <c:strCache>
                <c:ptCount val="1"/>
                <c:pt idx="0">
                  <c:v>0</c:v>
                </c:pt>
              </c:strCache>
            </c:strRef>
          </c:tx>
          <c:spPr>
            <a:solidFill>
              <a:schemeClr val="accent1"/>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Sheet1!$C$182:$C$189</c:f>
              <c:numCache>
                <c:formatCode>General</c:formatCode>
                <c:ptCount val="8"/>
                <c:pt idx="0">
                  <c:v>0.31</c:v>
                </c:pt>
                <c:pt idx="1">
                  <c:v>0.27200000000000002</c:v>
                </c:pt>
                <c:pt idx="2">
                  <c:v>0.247</c:v>
                </c:pt>
                <c:pt idx="3">
                  <c:v>0.27300000000000002</c:v>
                </c:pt>
                <c:pt idx="4">
                  <c:v>0.23</c:v>
                </c:pt>
                <c:pt idx="5">
                  <c:v>0.28499999999999998</c:v>
                </c:pt>
                <c:pt idx="6">
                  <c:v>0.193</c:v>
                </c:pt>
                <c:pt idx="7">
                  <c:v>0.26500000000000001</c:v>
                </c:pt>
              </c:numCache>
            </c:numRef>
          </c:val>
          <c:extLst>
            <c:ext xmlns:c16="http://schemas.microsoft.com/office/drawing/2014/chart" uri="{C3380CC4-5D6E-409C-BE32-E72D297353CC}">
              <c16:uniqueId val="{00000000-9D0B-4C03-8970-6BBA93570392}"/>
            </c:ext>
          </c:extLst>
        </c:ser>
        <c:ser>
          <c:idx val="1"/>
          <c:order val="1"/>
          <c:tx>
            <c:strRef>
              <c:f>Sheet1!$D$181</c:f>
              <c:strCache>
                <c:ptCount val="1"/>
                <c:pt idx="0">
                  <c:v>75</c:v>
                </c:pt>
              </c:strCache>
            </c:strRef>
          </c:tx>
          <c:spPr>
            <a:solidFill>
              <a:schemeClr val="accent2"/>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Sheet1!$D$182:$D$189</c:f>
              <c:numCache>
                <c:formatCode>General</c:formatCode>
                <c:ptCount val="8"/>
                <c:pt idx="0">
                  <c:v>0.30599999999999999</c:v>
                </c:pt>
                <c:pt idx="1">
                  <c:v>0.27200000000000002</c:v>
                </c:pt>
                <c:pt idx="2">
                  <c:v>0.249</c:v>
                </c:pt>
                <c:pt idx="3">
                  <c:v>0.28100000000000003</c:v>
                </c:pt>
                <c:pt idx="4">
                  <c:v>0.23699999999999999</c:v>
                </c:pt>
                <c:pt idx="5">
                  <c:v>0.29499999999999998</c:v>
                </c:pt>
                <c:pt idx="6">
                  <c:v>0.19800000000000001</c:v>
                </c:pt>
                <c:pt idx="7">
                  <c:v>0.26800000000000002</c:v>
                </c:pt>
              </c:numCache>
            </c:numRef>
          </c:val>
          <c:extLst>
            <c:ext xmlns:c16="http://schemas.microsoft.com/office/drawing/2014/chart" uri="{C3380CC4-5D6E-409C-BE32-E72D297353CC}">
              <c16:uniqueId val="{00000001-9D0B-4C03-8970-6BBA93570392}"/>
            </c:ext>
          </c:extLst>
        </c:ser>
        <c:ser>
          <c:idx val="2"/>
          <c:order val="2"/>
          <c:tx>
            <c:strRef>
              <c:f>Sheet1!$E$181</c:f>
              <c:strCache>
                <c:ptCount val="1"/>
                <c:pt idx="0">
                  <c:v>150</c:v>
                </c:pt>
              </c:strCache>
            </c:strRef>
          </c:tx>
          <c:spPr>
            <a:solidFill>
              <a:schemeClr val="accent3"/>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Sheet1!$E$182:$E$189</c:f>
              <c:numCache>
                <c:formatCode>General</c:formatCode>
                <c:ptCount val="8"/>
                <c:pt idx="0">
                  <c:v>0.32100000000000001</c:v>
                </c:pt>
                <c:pt idx="1">
                  <c:v>0.28100000000000003</c:v>
                </c:pt>
                <c:pt idx="2">
                  <c:v>0.255</c:v>
                </c:pt>
                <c:pt idx="3">
                  <c:v>0.29199999999999998</c:v>
                </c:pt>
                <c:pt idx="4">
                  <c:v>0.246</c:v>
                </c:pt>
                <c:pt idx="5">
                  <c:v>0.30299999999999999</c:v>
                </c:pt>
                <c:pt idx="6">
                  <c:v>0.20399999999999999</c:v>
                </c:pt>
                <c:pt idx="7">
                  <c:v>0.27600000000000002</c:v>
                </c:pt>
              </c:numCache>
            </c:numRef>
          </c:val>
          <c:extLst>
            <c:ext xmlns:c16="http://schemas.microsoft.com/office/drawing/2014/chart" uri="{C3380CC4-5D6E-409C-BE32-E72D297353CC}">
              <c16:uniqueId val="{00000002-9D0B-4C03-8970-6BBA93570392}"/>
            </c:ext>
          </c:extLst>
        </c:ser>
        <c:ser>
          <c:idx val="3"/>
          <c:order val="3"/>
          <c:tx>
            <c:strRef>
              <c:f>Sheet1!$F$181</c:f>
              <c:strCache>
                <c:ptCount val="1"/>
                <c:pt idx="0">
                  <c:v>225</c:v>
                </c:pt>
              </c:strCache>
            </c:strRef>
          </c:tx>
          <c:spPr>
            <a:solidFill>
              <a:schemeClr val="accent4"/>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Sheet1!$F$182:$F$189</c:f>
              <c:numCache>
                <c:formatCode>General</c:formatCode>
                <c:ptCount val="8"/>
                <c:pt idx="0">
                  <c:v>0.32600000000000001</c:v>
                </c:pt>
                <c:pt idx="1">
                  <c:v>0.29199999999999998</c:v>
                </c:pt>
                <c:pt idx="2">
                  <c:v>0.25900000000000001</c:v>
                </c:pt>
                <c:pt idx="3">
                  <c:v>0.29899999999999999</c:v>
                </c:pt>
                <c:pt idx="4">
                  <c:v>0.245</c:v>
                </c:pt>
                <c:pt idx="5">
                  <c:v>0.309</c:v>
                </c:pt>
                <c:pt idx="6">
                  <c:v>0.21</c:v>
                </c:pt>
                <c:pt idx="7">
                  <c:v>0.28299999999999997</c:v>
                </c:pt>
              </c:numCache>
            </c:numRef>
          </c:val>
          <c:extLst>
            <c:ext xmlns:c16="http://schemas.microsoft.com/office/drawing/2014/chart" uri="{C3380CC4-5D6E-409C-BE32-E72D297353CC}">
              <c16:uniqueId val="{00000003-9D0B-4C03-8970-6BBA93570392}"/>
            </c:ext>
          </c:extLst>
        </c:ser>
        <c:ser>
          <c:idx val="4"/>
          <c:order val="4"/>
          <c:tx>
            <c:strRef>
              <c:f>Sheet1!$G$181</c:f>
              <c:strCache>
                <c:ptCount val="1"/>
                <c:pt idx="0">
                  <c:v>300</c:v>
                </c:pt>
              </c:strCache>
            </c:strRef>
          </c:tx>
          <c:spPr>
            <a:solidFill>
              <a:schemeClr val="accent5"/>
            </a:solidFill>
            <a:ln>
              <a:noFill/>
            </a:ln>
            <a:effectLst/>
          </c:spPr>
          <c:invertIfNegative val="0"/>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Sheet1!$G$182:$G$189</c:f>
              <c:numCache>
                <c:formatCode>General</c:formatCode>
                <c:ptCount val="8"/>
                <c:pt idx="0">
                  <c:v>0.32900000000000001</c:v>
                </c:pt>
                <c:pt idx="1">
                  <c:v>0.25700000000000001</c:v>
                </c:pt>
                <c:pt idx="2">
                  <c:v>0.252</c:v>
                </c:pt>
                <c:pt idx="3">
                  <c:v>0.309</c:v>
                </c:pt>
                <c:pt idx="4">
                  <c:v>0.26500000000000001</c:v>
                </c:pt>
                <c:pt idx="5">
                  <c:v>0.316</c:v>
                </c:pt>
                <c:pt idx="6">
                  <c:v>0.215</c:v>
                </c:pt>
                <c:pt idx="7">
                  <c:v>0.29199999999999998</c:v>
                </c:pt>
              </c:numCache>
            </c:numRef>
          </c:val>
          <c:extLst>
            <c:ext xmlns:c16="http://schemas.microsoft.com/office/drawing/2014/chart" uri="{C3380CC4-5D6E-409C-BE32-E72D297353CC}">
              <c16:uniqueId val="{00000004-9D0B-4C03-8970-6BBA93570392}"/>
            </c:ext>
          </c:extLst>
        </c:ser>
        <c:dLbls>
          <c:showLegendKey val="0"/>
          <c:showVal val="0"/>
          <c:showCatName val="0"/>
          <c:showSerName val="0"/>
          <c:showPercent val="0"/>
          <c:showBubbleSize val="0"/>
        </c:dLbls>
        <c:gapWidth val="300"/>
        <c:axId val="523282560"/>
        <c:axId val="523282952"/>
      </c:barChart>
      <c:lineChart>
        <c:grouping val="standard"/>
        <c:varyColors val="0"/>
        <c:ser>
          <c:idx val="5"/>
          <c:order val="5"/>
          <c:tx>
            <c:strRef>
              <c:f>Sheet1!$H$181</c:f>
              <c:strCache>
                <c:ptCount val="1"/>
              </c:strCache>
            </c:strRef>
          </c:tx>
          <c:spPr>
            <a:ln w="28575" cap="rnd">
              <a:noFill/>
              <a:round/>
            </a:ln>
            <a:effectLst/>
          </c:spPr>
          <c:marker>
            <c:symbol val="none"/>
          </c:marker>
          <c:errBars>
            <c:errDir val="y"/>
            <c:errBarType val="both"/>
            <c:errValType val="cust"/>
            <c:noEndCap val="0"/>
            <c:plus>
              <c:numRef>
                <c:f>Sheet1!$J$182:$J$189</c:f>
                <c:numCache>
                  <c:formatCode>General</c:formatCode>
                  <c:ptCount val="8"/>
                  <c:pt idx="0">
                    <c:v>5.4999999999999997E-3</c:v>
                  </c:pt>
                  <c:pt idx="1">
                    <c:v>2E-3</c:v>
                  </c:pt>
                  <c:pt idx="2">
                    <c:v>2E-3</c:v>
                  </c:pt>
                  <c:pt idx="3">
                    <c:v>2E-3</c:v>
                  </c:pt>
                  <c:pt idx="4">
                    <c:v>1.2999999999999999E-2</c:v>
                  </c:pt>
                  <c:pt idx="5">
                    <c:v>2E-3</c:v>
                  </c:pt>
                  <c:pt idx="6">
                    <c:v>6.0000000000000001E-3</c:v>
                  </c:pt>
                  <c:pt idx="7">
                    <c:v>8.0000000000000002E-3</c:v>
                  </c:pt>
                </c:numCache>
              </c:numRef>
            </c:plus>
            <c:minus>
              <c:numRef>
                <c:f>Sheet1!$J$182:$J$189</c:f>
                <c:numCache>
                  <c:formatCode>General</c:formatCode>
                  <c:ptCount val="8"/>
                  <c:pt idx="0">
                    <c:v>5.4999999999999997E-3</c:v>
                  </c:pt>
                  <c:pt idx="1">
                    <c:v>2E-3</c:v>
                  </c:pt>
                  <c:pt idx="2">
                    <c:v>2E-3</c:v>
                  </c:pt>
                  <c:pt idx="3">
                    <c:v>2E-3</c:v>
                  </c:pt>
                  <c:pt idx="4">
                    <c:v>1.2999999999999999E-2</c:v>
                  </c:pt>
                  <c:pt idx="5">
                    <c:v>2E-3</c:v>
                  </c:pt>
                  <c:pt idx="6">
                    <c:v>6.0000000000000001E-3</c:v>
                  </c:pt>
                  <c:pt idx="7">
                    <c:v>8.0000000000000002E-3</c:v>
                  </c:pt>
                </c:numCache>
              </c:numRef>
            </c:minus>
            <c:spPr>
              <a:noFill/>
              <a:ln w="9525" cap="flat" cmpd="sng" algn="ctr">
                <a:solidFill>
                  <a:schemeClr val="tx1">
                    <a:lumMod val="65000"/>
                    <a:lumOff val="35000"/>
                  </a:schemeClr>
                </a:solidFill>
                <a:round/>
              </a:ln>
              <a:effectLst/>
            </c:spPr>
          </c:errBars>
          <c:cat>
            <c:strRef>
              <c:f>Sheet1!$B$182:$B$189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Sheet1!$H$182:$H$189</c:f>
              <c:numCache>
                <c:formatCode>General</c:formatCode>
                <c:ptCount val="8"/>
                <c:pt idx="0">
                  <c:v>0.34</c:v>
                </c:pt>
                <c:pt idx="1">
                  <c:v>0.3</c:v>
                </c:pt>
                <c:pt idx="2">
                  <c:v>0.27</c:v>
                </c:pt>
                <c:pt idx="3">
                  <c:v>0.31</c:v>
                </c:pt>
                <c:pt idx="4">
                  <c:v>0.27</c:v>
                </c:pt>
                <c:pt idx="5">
                  <c:v>0.32</c:v>
                </c:pt>
                <c:pt idx="6">
                  <c:v>0.22</c:v>
                </c:pt>
                <c:pt idx="7">
                  <c:v>0.3</c:v>
                </c:pt>
              </c:numCache>
            </c:numRef>
          </c:val>
          <c:smooth val="0"/>
          <c:extLst>
            <c:ext xmlns:c16="http://schemas.microsoft.com/office/drawing/2014/chart" uri="{C3380CC4-5D6E-409C-BE32-E72D297353CC}">
              <c16:uniqueId val="{00000005-9D0B-4C03-8970-6BBA93570392}"/>
            </c:ext>
          </c:extLst>
        </c:ser>
        <c:dLbls>
          <c:showLegendKey val="0"/>
          <c:showVal val="0"/>
          <c:showCatName val="0"/>
          <c:showSerName val="0"/>
          <c:showPercent val="0"/>
          <c:showBubbleSize val="0"/>
        </c:dLbls>
        <c:marker val="1"/>
        <c:smooth val="0"/>
        <c:axId val="523282560"/>
        <c:axId val="523282952"/>
      </c:lineChart>
      <c:catAx>
        <c:axId val="523282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23282952"/>
        <c:crosses val="autoZero"/>
        <c:auto val="1"/>
        <c:lblAlgn val="ctr"/>
        <c:lblOffset val="100"/>
        <c:noMultiLvlLbl val="0"/>
      </c:catAx>
      <c:valAx>
        <c:axId val="523282952"/>
        <c:scaling>
          <c:orientation val="minMax"/>
          <c:max val="0.35000000000000003"/>
          <c:min val="0.18000000000000002"/>
        </c:scaling>
        <c:delete val="0"/>
        <c:axPos val="l"/>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8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63338436862058"/>
          <c:y val="5.8124174372523117E-2"/>
          <c:w val="0.75692834402644116"/>
          <c:h val="0.4417795067558431"/>
        </c:manualLayout>
      </c:layout>
      <c:barChart>
        <c:barDir val="col"/>
        <c:grouping val="clustered"/>
        <c:varyColors val="0"/>
        <c:ser>
          <c:idx val="0"/>
          <c:order val="0"/>
          <c:tx>
            <c:strRef>
              <c:f>Sheet1!$U$181</c:f>
              <c:strCache>
                <c:ptCount val="1"/>
                <c:pt idx="0">
                  <c:v>0</c:v>
                </c:pt>
              </c:strCache>
            </c:strRef>
          </c:tx>
          <c:spPr>
            <a:solidFill>
              <a:schemeClr val="accent1"/>
            </a:solidFill>
            <a:ln>
              <a:noFill/>
            </a:ln>
            <a:effectLst/>
          </c:spPr>
          <c:invertIfNegative val="0"/>
          <c:cat>
            <c:strRef>
              <c:f>Sheet1!$T$182:$T$189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Sheet1!$U$182:$U$189</c:f>
              <c:numCache>
                <c:formatCode>General</c:formatCode>
                <c:ptCount val="8"/>
                <c:pt idx="0">
                  <c:v>0.17899999999999999</c:v>
                </c:pt>
                <c:pt idx="1">
                  <c:v>0.14899999999999999</c:v>
                </c:pt>
                <c:pt idx="2">
                  <c:v>0.183</c:v>
                </c:pt>
                <c:pt idx="3">
                  <c:v>0.17199999999999999</c:v>
                </c:pt>
                <c:pt idx="4">
                  <c:v>0.19500000000000001</c:v>
                </c:pt>
                <c:pt idx="5">
                  <c:v>0.16500000000000001</c:v>
                </c:pt>
                <c:pt idx="6">
                  <c:v>0.152</c:v>
                </c:pt>
                <c:pt idx="7">
                  <c:v>0.16600000000000001</c:v>
                </c:pt>
              </c:numCache>
            </c:numRef>
          </c:val>
          <c:extLst>
            <c:ext xmlns:c16="http://schemas.microsoft.com/office/drawing/2014/chart" uri="{C3380CC4-5D6E-409C-BE32-E72D297353CC}">
              <c16:uniqueId val="{00000000-4DAE-4247-A134-54B020DDB153}"/>
            </c:ext>
          </c:extLst>
        </c:ser>
        <c:ser>
          <c:idx val="1"/>
          <c:order val="1"/>
          <c:tx>
            <c:strRef>
              <c:f>Sheet1!$V$181</c:f>
              <c:strCache>
                <c:ptCount val="1"/>
                <c:pt idx="0">
                  <c:v>75</c:v>
                </c:pt>
              </c:strCache>
            </c:strRef>
          </c:tx>
          <c:spPr>
            <a:solidFill>
              <a:schemeClr val="accent2"/>
            </a:solidFill>
            <a:ln>
              <a:noFill/>
            </a:ln>
            <a:effectLst/>
          </c:spPr>
          <c:invertIfNegative val="0"/>
          <c:cat>
            <c:strRef>
              <c:f>Sheet1!$T$182:$T$189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Sheet1!$V$182:$V$189</c:f>
              <c:numCache>
                <c:formatCode>General</c:formatCode>
                <c:ptCount val="8"/>
                <c:pt idx="0">
                  <c:v>0.191</c:v>
                </c:pt>
                <c:pt idx="1">
                  <c:v>0.156</c:v>
                </c:pt>
                <c:pt idx="2">
                  <c:v>0.191</c:v>
                </c:pt>
                <c:pt idx="3">
                  <c:v>0.17899999999999999</c:v>
                </c:pt>
                <c:pt idx="4">
                  <c:v>0.19900000000000001</c:v>
                </c:pt>
                <c:pt idx="5">
                  <c:v>0.17</c:v>
                </c:pt>
                <c:pt idx="6">
                  <c:v>0.16200000000000001</c:v>
                </c:pt>
                <c:pt idx="7">
                  <c:v>0.17499999999999999</c:v>
                </c:pt>
              </c:numCache>
            </c:numRef>
          </c:val>
          <c:extLst>
            <c:ext xmlns:c16="http://schemas.microsoft.com/office/drawing/2014/chart" uri="{C3380CC4-5D6E-409C-BE32-E72D297353CC}">
              <c16:uniqueId val="{00000001-4DAE-4247-A134-54B020DDB153}"/>
            </c:ext>
          </c:extLst>
        </c:ser>
        <c:ser>
          <c:idx val="2"/>
          <c:order val="2"/>
          <c:tx>
            <c:strRef>
              <c:f>Sheet1!$W$181</c:f>
              <c:strCache>
                <c:ptCount val="1"/>
                <c:pt idx="0">
                  <c:v>150</c:v>
                </c:pt>
              </c:strCache>
            </c:strRef>
          </c:tx>
          <c:spPr>
            <a:solidFill>
              <a:schemeClr val="accent3"/>
            </a:solidFill>
            <a:ln>
              <a:noFill/>
            </a:ln>
            <a:effectLst/>
          </c:spPr>
          <c:invertIfNegative val="0"/>
          <c:cat>
            <c:strRef>
              <c:f>Sheet1!$T$182:$T$189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Sheet1!$W$182:$W$189</c:f>
              <c:numCache>
                <c:formatCode>General</c:formatCode>
                <c:ptCount val="8"/>
                <c:pt idx="0">
                  <c:v>0.19400000000000001</c:v>
                </c:pt>
                <c:pt idx="1">
                  <c:v>0.14399999999999999</c:v>
                </c:pt>
                <c:pt idx="2">
                  <c:v>0.189</c:v>
                </c:pt>
                <c:pt idx="3">
                  <c:v>0.184</c:v>
                </c:pt>
                <c:pt idx="4">
                  <c:v>0.20499999999999999</c:v>
                </c:pt>
                <c:pt idx="5">
                  <c:v>0.17599999999999999</c:v>
                </c:pt>
                <c:pt idx="6">
                  <c:v>0.17599999999999999</c:v>
                </c:pt>
                <c:pt idx="7">
                  <c:v>0.185</c:v>
                </c:pt>
              </c:numCache>
            </c:numRef>
          </c:val>
          <c:extLst>
            <c:ext xmlns:c16="http://schemas.microsoft.com/office/drawing/2014/chart" uri="{C3380CC4-5D6E-409C-BE32-E72D297353CC}">
              <c16:uniqueId val="{00000002-4DAE-4247-A134-54B020DDB153}"/>
            </c:ext>
          </c:extLst>
        </c:ser>
        <c:ser>
          <c:idx val="3"/>
          <c:order val="3"/>
          <c:tx>
            <c:strRef>
              <c:f>Sheet1!$X$181</c:f>
              <c:strCache>
                <c:ptCount val="1"/>
                <c:pt idx="0">
                  <c:v>225</c:v>
                </c:pt>
              </c:strCache>
            </c:strRef>
          </c:tx>
          <c:spPr>
            <a:solidFill>
              <a:schemeClr val="accent4"/>
            </a:solidFill>
            <a:ln>
              <a:noFill/>
            </a:ln>
            <a:effectLst/>
          </c:spPr>
          <c:invertIfNegative val="0"/>
          <c:cat>
            <c:strRef>
              <c:f>Sheet1!$T$182:$T$189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Sheet1!$X$182:$X$189</c:f>
              <c:numCache>
                <c:formatCode>General</c:formatCode>
                <c:ptCount val="8"/>
                <c:pt idx="0">
                  <c:v>0.19500000000000001</c:v>
                </c:pt>
                <c:pt idx="1">
                  <c:v>0.14899999999999999</c:v>
                </c:pt>
                <c:pt idx="2">
                  <c:v>0.19600000000000001</c:v>
                </c:pt>
                <c:pt idx="3">
                  <c:v>0.19400000000000001</c:v>
                </c:pt>
                <c:pt idx="4">
                  <c:v>0.219</c:v>
                </c:pt>
                <c:pt idx="5">
                  <c:v>0.18099999999999999</c:v>
                </c:pt>
                <c:pt idx="6">
                  <c:v>0.18099999999999999</c:v>
                </c:pt>
                <c:pt idx="7">
                  <c:v>0.191</c:v>
                </c:pt>
              </c:numCache>
            </c:numRef>
          </c:val>
          <c:extLst>
            <c:ext xmlns:c16="http://schemas.microsoft.com/office/drawing/2014/chart" uri="{C3380CC4-5D6E-409C-BE32-E72D297353CC}">
              <c16:uniqueId val="{00000003-4DAE-4247-A134-54B020DDB153}"/>
            </c:ext>
          </c:extLst>
        </c:ser>
        <c:ser>
          <c:idx val="4"/>
          <c:order val="4"/>
          <c:tx>
            <c:strRef>
              <c:f>Sheet1!$Y$181</c:f>
              <c:strCache>
                <c:ptCount val="1"/>
                <c:pt idx="0">
                  <c:v>300</c:v>
                </c:pt>
              </c:strCache>
            </c:strRef>
          </c:tx>
          <c:spPr>
            <a:solidFill>
              <a:schemeClr val="accent5"/>
            </a:solidFill>
            <a:ln>
              <a:noFill/>
            </a:ln>
            <a:effectLst/>
          </c:spPr>
          <c:invertIfNegative val="0"/>
          <c:cat>
            <c:strRef>
              <c:f>Sheet1!$T$182:$T$189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Sheet1!$Y$182:$Y$189</c:f>
              <c:numCache>
                <c:formatCode>General</c:formatCode>
                <c:ptCount val="8"/>
                <c:pt idx="0">
                  <c:v>0.20100000000000001</c:v>
                </c:pt>
                <c:pt idx="1">
                  <c:v>0.16900000000000001</c:v>
                </c:pt>
                <c:pt idx="2">
                  <c:v>0.20300000000000001</c:v>
                </c:pt>
                <c:pt idx="3">
                  <c:v>0.2</c:v>
                </c:pt>
                <c:pt idx="4">
                  <c:v>0.221</c:v>
                </c:pt>
                <c:pt idx="5">
                  <c:v>0.184</c:v>
                </c:pt>
                <c:pt idx="6">
                  <c:v>0.187</c:v>
                </c:pt>
                <c:pt idx="7">
                  <c:v>0.189</c:v>
                </c:pt>
              </c:numCache>
            </c:numRef>
          </c:val>
          <c:extLst>
            <c:ext xmlns:c16="http://schemas.microsoft.com/office/drawing/2014/chart" uri="{C3380CC4-5D6E-409C-BE32-E72D297353CC}">
              <c16:uniqueId val="{00000004-4DAE-4247-A134-54B020DDB153}"/>
            </c:ext>
          </c:extLst>
        </c:ser>
        <c:dLbls>
          <c:showLegendKey val="0"/>
          <c:showVal val="0"/>
          <c:showCatName val="0"/>
          <c:showSerName val="0"/>
          <c:showPercent val="0"/>
          <c:showBubbleSize val="0"/>
        </c:dLbls>
        <c:gapWidth val="300"/>
        <c:axId val="180660856"/>
        <c:axId val="180659288"/>
      </c:barChart>
      <c:lineChart>
        <c:grouping val="standard"/>
        <c:varyColors val="0"/>
        <c:ser>
          <c:idx val="5"/>
          <c:order val="5"/>
          <c:tx>
            <c:strRef>
              <c:f>Sheet1!$Z$181</c:f>
              <c:strCache>
                <c:ptCount val="1"/>
              </c:strCache>
            </c:strRef>
          </c:tx>
          <c:spPr>
            <a:ln w="28575" cap="rnd">
              <a:noFill/>
              <a:round/>
            </a:ln>
            <a:effectLst/>
          </c:spPr>
          <c:marker>
            <c:symbol val="none"/>
          </c:marker>
          <c:errBars>
            <c:errDir val="y"/>
            <c:errBarType val="both"/>
            <c:errValType val="cust"/>
            <c:noEndCap val="0"/>
            <c:plus>
              <c:numRef>
                <c:f>Sheet1!$AB$182:$AB$189</c:f>
                <c:numCache>
                  <c:formatCode>General</c:formatCode>
                  <c:ptCount val="8"/>
                  <c:pt idx="0">
                    <c:v>1.5E-3</c:v>
                  </c:pt>
                  <c:pt idx="1">
                    <c:v>2E-3</c:v>
                  </c:pt>
                  <c:pt idx="2">
                    <c:v>1.5E-3</c:v>
                  </c:pt>
                  <c:pt idx="3">
                    <c:v>1E-3</c:v>
                  </c:pt>
                  <c:pt idx="4">
                    <c:v>2.5000000000000001E-3</c:v>
                  </c:pt>
                  <c:pt idx="5">
                    <c:v>1E-3</c:v>
                  </c:pt>
                  <c:pt idx="6">
                    <c:v>1.5E-3</c:v>
                  </c:pt>
                  <c:pt idx="7">
                    <c:v>8.5000000000000006E-3</c:v>
                  </c:pt>
                </c:numCache>
              </c:numRef>
            </c:plus>
            <c:minus>
              <c:numRef>
                <c:f>Sheet1!$AB$182:$AB$189</c:f>
                <c:numCache>
                  <c:formatCode>General</c:formatCode>
                  <c:ptCount val="8"/>
                  <c:pt idx="0">
                    <c:v>1.5E-3</c:v>
                  </c:pt>
                  <c:pt idx="1">
                    <c:v>2E-3</c:v>
                  </c:pt>
                  <c:pt idx="2">
                    <c:v>1.5E-3</c:v>
                  </c:pt>
                  <c:pt idx="3">
                    <c:v>1E-3</c:v>
                  </c:pt>
                  <c:pt idx="4">
                    <c:v>2.5000000000000001E-3</c:v>
                  </c:pt>
                  <c:pt idx="5">
                    <c:v>1E-3</c:v>
                  </c:pt>
                  <c:pt idx="6">
                    <c:v>1.5E-3</c:v>
                  </c:pt>
                  <c:pt idx="7">
                    <c:v>8.5000000000000006E-3</c:v>
                  </c:pt>
                </c:numCache>
              </c:numRef>
            </c:minus>
            <c:spPr>
              <a:noFill/>
              <a:ln w="9525" cap="flat" cmpd="sng" algn="ctr">
                <a:solidFill>
                  <a:schemeClr val="tx1">
                    <a:lumMod val="65000"/>
                    <a:lumOff val="35000"/>
                  </a:schemeClr>
                </a:solidFill>
                <a:round/>
              </a:ln>
              <a:effectLst/>
            </c:spPr>
          </c:errBars>
          <c:cat>
            <c:strRef>
              <c:f>Sheet1!$T$182:$T$189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Sheet1!$Z$182:$Z$189</c:f>
              <c:numCache>
                <c:formatCode>General</c:formatCode>
                <c:ptCount val="8"/>
                <c:pt idx="0">
                  <c:v>0.20499999999999999</c:v>
                </c:pt>
                <c:pt idx="1">
                  <c:v>0.17</c:v>
                </c:pt>
                <c:pt idx="2">
                  <c:v>0.21</c:v>
                </c:pt>
                <c:pt idx="3">
                  <c:v>0.2</c:v>
                </c:pt>
                <c:pt idx="4">
                  <c:v>0.22</c:v>
                </c:pt>
                <c:pt idx="5">
                  <c:v>0.19</c:v>
                </c:pt>
                <c:pt idx="6">
                  <c:v>0.19</c:v>
                </c:pt>
                <c:pt idx="7">
                  <c:v>0.2</c:v>
                </c:pt>
              </c:numCache>
            </c:numRef>
          </c:val>
          <c:smooth val="0"/>
          <c:extLst>
            <c:ext xmlns:c16="http://schemas.microsoft.com/office/drawing/2014/chart" uri="{C3380CC4-5D6E-409C-BE32-E72D297353CC}">
              <c16:uniqueId val="{00000005-4DAE-4247-A134-54B020DDB153}"/>
            </c:ext>
          </c:extLst>
        </c:ser>
        <c:dLbls>
          <c:showLegendKey val="0"/>
          <c:showVal val="0"/>
          <c:showCatName val="0"/>
          <c:showSerName val="0"/>
          <c:showPercent val="0"/>
          <c:showBubbleSize val="0"/>
        </c:dLbls>
        <c:marker val="1"/>
        <c:smooth val="0"/>
        <c:axId val="180660856"/>
        <c:axId val="180659288"/>
      </c:lineChart>
      <c:catAx>
        <c:axId val="180660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0659288"/>
        <c:crosses val="autoZero"/>
        <c:auto val="1"/>
        <c:lblAlgn val="ctr"/>
        <c:lblOffset val="100"/>
        <c:noMultiLvlLbl val="0"/>
      </c:catAx>
      <c:valAx>
        <c:axId val="180659288"/>
        <c:scaling>
          <c:orientation val="minMax"/>
          <c:max val="0.22500000000000003"/>
          <c:min val="0.13"/>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60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17814380976229"/>
          <c:y val="5.7068741893644616E-2"/>
          <c:w val="0.75263379180075984"/>
          <c:h val="0.45191580624406386"/>
        </c:manualLayout>
      </c:layout>
      <c:barChart>
        <c:barDir val="col"/>
        <c:grouping val="clustered"/>
        <c:varyColors val="0"/>
        <c:ser>
          <c:idx val="0"/>
          <c:order val="0"/>
          <c:tx>
            <c:strRef>
              <c:f>Sheet1!$AE$181</c:f>
              <c:strCache>
                <c:ptCount val="1"/>
                <c:pt idx="0">
                  <c:v>0</c:v>
                </c:pt>
              </c:strCache>
            </c:strRef>
          </c:tx>
          <c:spPr>
            <a:solidFill>
              <a:schemeClr val="accent1"/>
            </a:solidFill>
            <a:ln>
              <a:noFill/>
            </a:ln>
            <a:effectLst/>
          </c:spPr>
          <c:invertIfNegative val="0"/>
          <c:cat>
            <c:strRef>
              <c:f>Sheet1!$AD$182:$AD$189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Sheet1!$AE$182:$AE$189</c:f>
              <c:numCache>
                <c:formatCode>General</c:formatCode>
                <c:ptCount val="8"/>
                <c:pt idx="0">
                  <c:v>0.17899999999999999</c:v>
                </c:pt>
                <c:pt idx="1">
                  <c:v>0.108</c:v>
                </c:pt>
                <c:pt idx="2">
                  <c:v>0.158</c:v>
                </c:pt>
                <c:pt idx="3">
                  <c:v>0.157</c:v>
                </c:pt>
                <c:pt idx="4">
                  <c:v>0.192</c:v>
                </c:pt>
                <c:pt idx="5">
                  <c:v>0.13900000000000001</c:v>
                </c:pt>
                <c:pt idx="6">
                  <c:v>0.14299999999999999</c:v>
                </c:pt>
                <c:pt idx="7">
                  <c:v>0.14699999999999999</c:v>
                </c:pt>
              </c:numCache>
            </c:numRef>
          </c:val>
          <c:extLst>
            <c:ext xmlns:c16="http://schemas.microsoft.com/office/drawing/2014/chart" uri="{C3380CC4-5D6E-409C-BE32-E72D297353CC}">
              <c16:uniqueId val="{00000000-28AC-439F-ADFE-B3B44C787BA7}"/>
            </c:ext>
          </c:extLst>
        </c:ser>
        <c:ser>
          <c:idx val="1"/>
          <c:order val="1"/>
          <c:tx>
            <c:strRef>
              <c:f>Sheet1!$AF$181</c:f>
              <c:strCache>
                <c:ptCount val="1"/>
                <c:pt idx="0">
                  <c:v>75</c:v>
                </c:pt>
              </c:strCache>
            </c:strRef>
          </c:tx>
          <c:spPr>
            <a:solidFill>
              <a:schemeClr val="accent2"/>
            </a:solidFill>
            <a:ln>
              <a:noFill/>
            </a:ln>
            <a:effectLst/>
          </c:spPr>
          <c:invertIfNegative val="0"/>
          <c:cat>
            <c:strRef>
              <c:f>Sheet1!$AD$182:$AD$189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Sheet1!$AF$182:$AF$189</c:f>
              <c:numCache>
                <c:formatCode>General</c:formatCode>
                <c:ptCount val="8"/>
                <c:pt idx="0">
                  <c:v>0.182</c:v>
                </c:pt>
                <c:pt idx="1">
                  <c:v>0.115</c:v>
                </c:pt>
                <c:pt idx="2">
                  <c:v>0.16600000000000001</c:v>
                </c:pt>
                <c:pt idx="3">
                  <c:v>0.16600000000000001</c:v>
                </c:pt>
                <c:pt idx="4">
                  <c:v>0.19800000000000001</c:v>
                </c:pt>
                <c:pt idx="5">
                  <c:v>0.14599999999999999</c:v>
                </c:pt>
                <c:pt idx="6">
                  <c:v>0.158</c:v>
                </c:pt>
                <c:pt idx="7">
                  <c:v>0.155</c:v>
                </c:pt>
              </c:numCache>
            </c:numRef>
          </c:val>
          <c:extLst>
            <c:ext xmlns:c16="http://schemas.microsoft.com/office/drawing/2014/chart" uri="{C3380CC4-5D6E-409C-BE32-E72D297353CC}">
              <c16:uniqueId val="{00000001-28AC-439F-ADFE-B3B44C787BA7}"/>
            </c:ext>
          </c:extLst>
        </c:ser>
        <c:ser>
          <c:idx val="2"/>
          <c:order val="2"/>
          <c:tx>
            <c:strRef>
              <c:f>Sheet1!$AG$181</c:f>
              <c:strCache>
                <c:ptCount val="1"/>
                <c:pt idx="0">
                  <c:v>150</c:v>
                </c:pt>
              </c:strCache>
            </c:strRef>
          </c:tx>
          <c:spPr>
            <a:solidFill>
              <a:schemeClr val="accent3"/>
            </a:solidFill>
            <a:ln>
              <a:noFill/>
            </a:ln>
            <a:effectLst/>
          </c:spPr>
          <c:invertIfNegative val="0"/>
          <c:cat>
            <c:strRef>
              <c:f>Sheet1!$AD$182:$AD$189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Sheet1!$AG$182:$AG$189</c:f>
              <c:numCache>
                <c:formatCode>General</c:formatCode>
                <c:ptCount val="8"/>
                <c:pt idx="0">
                  <c:v>0.186</c:v>
                </c:pt>
                <c:pt idx="1">
                  <c:v>0.121</c:v>
                </c:pt>
                <c:pt idx="2">
                  <c:v>0.17599999999999999</c:v>
                </c:pt>
                <c:pt idx="3">
                  <c:v>0.17199999999999999</c:v>
                </c:pt>
                <c:pt idx="4">
                  <c:v>0.20599999999999999</c:v>
                </c:pt>
                <c:pt idx="5">
                  <c:v>0.153</c:v>
                </c:pt>
                <c:pt idx="6">
                  <c:v>0.186</c:v>
                </c:pt>
                <c:pt idx="7">
                  <c:v>0.16400000000000001</c:v>
                </c:pt>
              </c:numCache>
            </c:numRef>
          </c:val>
          <c:extLst>
            <c:ext xmlns:c16="http://schemas.microsoft.com/office/drawing/2014/chart" uri="{C3380CC4-5D6E-409C-BE32-E72D297353CC}">
              <c16:uniqueId val="{00000002-28AC-439F-ADFE-B3B44C787BA7}"/>
            </c:ext>
          </c:extLst>
        </c:ser>
        <c:ser>
          <c:idx val="3"/>
          <c:order val="3"/>
          <c:tx>
            <c:strRef>
              <c:f>Sheet1!$AH$181</c:f>
              <c:strCache>
                <c:ptCount val="1"/>
                <c:pt idx="0">
                  <c:v>225</c:v>
                </c:pt>
              </c:strCache>
            </c:strRef>
          </c:tx>
          <c:spPr>
            <a:solidFill>
              <a:schemeClr val="accent4"/>
            </a:solidFill>
            <a:ln>
              <a:noFill/>
            </a:ln>
            <a:effectLst/>
          </c:spPr>
          <c:invertIfNegative val="0"/>
          <c:cat>
            <c:strRef>
              <c:f>Sheet1!$AD$182:$AD$189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Sheet1!$AH$182:$AH$189</c:f>
              <c:numCache>
                <c:formatCode>General</c:formatCode>
                <c:ptCount val="8"/>
                <c:pt idx="0">
                  <c:v>0.19</c:v>
                </c:pt>
                <c:pt idx="1">
                  <c:v>0.127</c:v>
                </c:pt>
                <c:pt idx="2">
                  <c:v>0.186</c:v>
                </c:pt>
                <c:pt idx="3">
                  <c:v>0.17699999999999999</c:v>
                </c:pt>
                <c:pt idx="4">
                  <c:v>0.21099999999999999</c:v>
                </c:pt>
                <c:pt idx="5">
                  <c:v>0.156</c:v>
                </c:pt>
                <c:pt idx="6">
                  <c:v>0.19700000000000001</c:v>
                </c:pt>
                <c:pt idx="7">
                  <c:v>0.17299999999999999</c:v>
                </c:pt>
              </c:numCache>
            </c:numRef>
          </c:val>
          <c:extLst>
            <c:ext xmlns:c16="http://schemas.microsoft.com/office/drawing/2014/chart" uri="{C3380CC4-5D6E-409C-BE32-E72D297353CC}">
              <c16:uniqueId val="{00000003-28AC-439F-ADFE-B3B44C787BA7}"/>
            </c:ext>
          </c:extLst>
        </c:ser>
        <c:ser>
          <c:idx val="4"/>
          <c:order val="4"/>
          <c:tx>
            <c:strRef>
              <c:f>Sheet1!$AI$181</c:f>
              <c:strCache>
                <c:ptCount val="1"/>
                <c:pt idx="0">
                  <c:v>300</c:v>
                </c:pt>
              </c:strCache>
            </c:strRef>
          </c:tx>
          <c:spPr>
            <a:solidFill>
              <a:schemeClr val="accent5"/>
            </a:solidFill>
            <a:ln>
              <a:noFill/>
            </a:ln>
            <a:effectLst/>
          </c:spPr>
          <c:invertIfNegative val="0"/>
          <c:cat>
            <c:strRef>
              <c:f>Sheet1!$AD$182:$AD$189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Sheet1!$AI$182:$AI$189</c:f>
              <c:numCache>
                <c:formatCode>General</c:formatCode>
                <c:ptCount val="8"/>
                <c:pt idx="0">
                  <c:v>0.19700000000000001</c:v>
                </c:pt>
                <c:pt idx="1">
                  <c:v>0.13800000000000001</c:v>
                </c:pt>
                <c:pt idx="2">
                  <c:v>0.193</c:v>
                </c:pt>
                <c:pt idx="3">
                  <c:v>0.17</c:v>
                </c:pt>
                <c:pt idx="4">
                  <c:v>0.21099999999999999</c:v>
                </c:pt>
                <c:pt idx="5">
                  <c:v>0.16400000000000001</c:v>
                </c:pt>
                <c:pt idx="6">
                  <c:v>0.20399999999999999</c:v>
                </c:pt>
                <c:pt idx="7">
                  <c:v>0.17199999999999999</c:v>
                </c:pt>
              </c:numCache>
            </c:numRef>
          </c:val>
          <c:extLst>
            <c:ext xmlns:c16="http://schemas.microsoft.com/office/drawing/2014/chart" uri="{C3380CC4-5D6E-409C-BE32-E72D297353CC}">
              <c16:uniqueId val="{00000004-28AC-439F-ADFE-B3B44C787BA7}"/>
            </c:ext>
          </c:extLst>
        </c:ser>
        <c:dLbls>
          <c:showLegendKey val="0"/>
          <c:showVal val="0"/>
          <c:showCatName val="0"/>
          <c:showSerName val="0"/>
          <c:showPercent val="0"/>
          <c:showBubbleSize val="0"/>
        </c:dLbls>
        <c:gapWidth val="300"/>
        <c:axId val="180657328"/>
        <c:axId val="180658504"/>
      </c:barChart>
      <c:lineChart>
        <c:grouping val="standard"/>
        <c:varyColors val="0"/>
        <c:ser>
          <c:idx val="5"/>
          <c:order val="5"/>
          <c:tx>
            <c:strRef>
              <c:f>Sheet1!$AJ$181</c:f>
              <c:strCache>
                <c:ptCount val="1"/>
              </c:strCache>
            </c:strRef>
          </c:tx>
          <c:spPr>
            <a:ln w="28575" cap="rnd">
              <a:noFill/>
              <a:round/>
            </a:ln>
            <a:effectLst/>
          </c:spPr>
          <c:marker>
            <c:symbol val="none"/>
          </c:marker>
          <c:errBars>
            <c:errDir val="y"/>
            <c:errBarType val="both"/>
            <c:errValType val="cust"/>
            <c:noEndCap val="0"/>
            <c:plus>
              <c:numRef>
                <c:f>Sheet1!$AL$182:$AL$189</c:f>
                <c:numCache>
                  <c:formatCode>General</c:formatCode>
                  <c:ptCount val="8"/>
                  <c:pt idx="0">
                    <c:v>1.4999999999999999E-2</c:v>
                  </c:pt>
                  <c:pt idx="1">
                    <c:v>0.01</c:v>
                  </c:pt>
                  <c:pt idx="2">
                    <c:v>5.0000000000000001E-3</c:v>
                  </c:pt>
                  <c:pt idx="3">
                    <c:v>0.01</c:v>
                  </c:pt>
                  <c:pt idx="4">
                    <c:v>2.5000000000000001E-3</c:v>
                  </c:pt>
                  <c:pt idx="5">
                    <c:v>1E-3</c:v>
                  </c:pt>
                  <c:pt idx="6">
                    <c:v>2E-3</c:v>
                  </c:pt>
                  <c:pt idx="7">
                    <c:v>7.4999999999999997E-3</c:v>
                  </c:pt>
                </c:numCache>
              </c:numRef>
            </c:plus>
            <c:minus>
              <c:numRef>
                <c:f>Sheet1!$AL$182:$AL$189</c:f>
                <c:numCache>
                  <c:formatCode>General</c:formatCode>
                  <c:ptCount val="8"/>
                  <c:pt idx="0">
                    <c:v>1.4999999999999999E-2</c:v>
                  </c:pt>
                  <c:pt idx="1">
                    <c:v>0.01</c:v>
                  </c:pt>
                  <c:pt idx="2">
                    <c:v>5.0000000000000001E-3</c:v>
                  </c:pt>
                  <c:pt idx="3">
                    <c:v>0.01</c:v>
                  </c:pt>
                  <c:pt idx="4">
                    <c:v>2.5000000000000001E-3</c:v>
                  </c:pt>
                  <c:pt idx="5">
                    <c:v>1E-3</c:v>
                  </c:pt>
                  <c:pt idx="6">
                    <c:v>2E-3</c:v>
                  </c:pt>
                  <c:pt idx="7">
                    <c:v>7.4999999999999997E-3</c:v>
                  </c:pt>
                </c:numCache>
              </c:numRef>
            </c:minus>
            <c:spPr>
              <a:noFill/>
              <a:ln w="9525" cap="flat" cmpd="sng" algn="ctr">
                <a:solidFill>
                  <a:schemeClr val="tx1">
                    <a:lumMod val="65000"/>
                    <a:lumOff val="35000"/>
                  </a:schemeClr>
                </a:solidFill>
                <a:round/>
              </a:ln>
              <a:effectLst/>
            </c:spPr>
          </c:errBars>
          <c:cat>
            <c:strRef>
              <c:f>Sheet1!$AD$182:$AD$189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Sheet1!$AJ$182:$AJ$189</c:f>
              <c:numCache>
                <c:formatCode>General</c:formatCode>
                <c:ptCount val="8"/>
                <c:pt idx="0">
                  <c:v>0.20499999999999999</c:v>
                </c:pt>
                <c:pt idx="1">
                  <c:v>0.14000000000000001</c:v>
                </c:pt>
                <c:pt idx="2">
                  <c:v>0.19</c:v>
                </c:pt>
                <c:pt idx="3">
                  <c:v>0.185</c:v>
                </c:pt>
                <c:pt idx="4">
                  <c:v>0.21</c:v>
                </c:pt>
                <c:pt idx="5">
                  <c:v>0.16</c:v>
                </c:pt>
                <c:pt idx="6">
                  <c:v>0.2</c:v>
                </c:pt>
                <c:pt idx="7">
                  <c:v>0.17499999999999999</c:v>
                </c:pt>
              </c:numCache>
            </c:numRef>
          </c:val>
          <c:smooth val="0"/>
          <c:extLst>
            <c:ext xmlns:c16="http://schemas.microsoft.com/office/drawing/2014/chart" uri="{C3380CC4-5D6E-409C-BE32-E72D297353CC}">
              <c16:uniqueId val="{00000005-28AC-439F-ADFE-B3B44C787BA7}"/>
            </c:ext>
          </c:extLst>
        </c:ser>
        <c:dLbls>
          <c:showLegendKey val="0"/>
          <c:showVal val="0"/>
          <c:showCatName val="0"/>
          <c:showSerName val="0"/>
          <c:showPercent val="0"/>
          <c:showBubbleSize val="0"/>
        </c:dLbls>
        <c:marker val="1"/>
        <c:smooth val="0"/>
        <c:axId val="180657328"/>
        <c:axId val="180658504"/>
      </c:lineChart>
      <c:catAx>
        <c:axId val="180657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0658504"/>
        <c:crosses val="autoZero"/>
        <c:auto val="1"/>
        <c:lblAlgn val="ctr"/>
        <c:lblOffset val="100"/>
        <c:noMultiLvlLbl val="0"/>
      </c:catAx>
      <c:valAx>
        <c:axId val="180658504"/>
        <c:scaling>
          <c:orientation val="minMax"/>
          <c:max val="0.22000000000000003"/>
          <c:min val="9.0000000000000024E-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5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Sheet1!$AP$211</c:f>
              <c:strCache>
                <c:ptCount val="1"/>
                <c:pt idx="0">
                  <c:v>Timbilil</c:v>
                </c:pt>
              </c:strCache>
            </c:strRef>
          </c:tx>
          <c:spPr>
            <a:solidFill>
              <a:schemeClr val="accent1"/>
            </a:solidFill>
            <a:ln>
              <a:noFill/>
            </a:ln>
            <a:effectLst/>
          </c:spPr>
          <c:invertIfNegative val="0"/>
          <c:cat>
            <c:strRef>
              <c:f>Sheet1!$AO$212:$AO$215</c:f>
              <c:strCache>
                <c:ptCount val="4"/>
                <c:pt idx="0">
                  <c:v>0-10 cm</c:v>
                </c:pt>
                <c:pt idx="1">
                  <c:v>"10-20 cm</c:v>
                </c:pt>
                <c:pt idx="2">
                  <c:v>20-30 cm</c:v>
                </c:pt>
                <c:pt idx="3">
                  <c:v>40-60 cm</c:v>
                </c:pt>
              </c:strCache>
            </c:strRef>
          </c:cat>
          <c:val>
            <c:numRef>
              <c:f>Sheet1!$AP$212:$AP$215</c:f>
              <c:numCache>
                <c:formatCode>General</c:formatCode>
                <c:ptCount val="4"/>
                <c:pt idx="0">
                  <c:v>15.2</c:v>
                </c:pt>
                <c:pt idx="1">
                  <c:v>12.6</c:v>
                </c:pt>
                <c:pt idx="2">
                  <c:v>9.1999999999999993</c:v>
                </c:pt>
                <c:pt idx="3">
                  <c:v>7.9</c:v>
                </c:pt>
              </c:numCache>
            </c:numRef>
          </c:val>
          <c:extLst>
            <c:ext xmlns:c16="http://schemas.microsoft.com/office/drawing/2014/chart" uri="{C3380CC4-5D6E-409C-BE32-E72D297353CC}">
              <c16:uniqueId val="{00000000-99C5-4D00-88D3-CBA6472EC63D}"/>
            </c:ext>
          </c:extLst>
        </c:ser>
        <c:ser>
          <c:idx val="1"/>
          <c:order val="1"/>
          <c:tx>
            <c:strRef>
              <c:f>Sheet1!$AQ$211</c:f>
              <c:strCache>
                <c:ptCount val="1"/>
                <c:pt idx="0">
                  <c:v>Changoi</c:v>
                </c:pt>
              </c:strCache>
            </c:strRef>
          </c:tx>
          <c:spPr>
            <a:solidFill>
              <a:schemeClr val="accent2"/>
            </a:solidFill>
            <a:ln>
              <a:noFill/>
            </a:ln>
            <a:effectLst/>
          </c:spPr>
          <c:invertIfNegative val="0"/>
          <c:cat>
            <c:strRef>
              <c:f>Sheet1!$AO$212:$AO$215</c:f>
              <c:strCache>
                <c:ptCount val="4"/>
                <c:pt idx="0">
                  <c:v>0-10 cm</c:v>
                </c:pt>
                <c:pt idx="1">
                  <c:v>"10-20 cm</c:v>
                </c:pt>
                <c:pt idx="2">
                  <c:v>20-30 cm</c:v>
                </c:pt>
                <c:pt idx="3">
                  <c:v>40-60 cm</c:v>
                </c:pt>
              </c:strCache>
            </c:strRef>
          </c:cat>
          <c:val>
            <c:numRef>
              <c:f>Sheet1!$AQ$212:$AQ$215</c:f>
              <c:numCache>
                <c:formatCode>General</c:formatCode>
                <c:ptCount val="4"/>
                <c:pt idx="0">
                  <c:v>16.600000000000001</c:v>
                </c:pt>
                <c:pt idx="1">
                  <c:v>15</c:v>
                </c:pt>
                <c:pt idx="2">
                  <c:v>13.1</c:v>
                </c:pt>
                <c:pt idx="3">
                  <c:v>12.4</c:v>
                </c:pt>
              </c:numCache>
            </c:numRef>
          </c:val>
          <c:extLst>
            <c:ext xmlns:c16="http://schemas.microsoft.com/office/drawing/2014/chart" uri="{C3380CC4-5D6E-409C-BE32-E72D297353CC}">
              <c16:uniqueId val="{00000001-99C5-4D00-88D3-CBA6472EC63D}"/>
            </c:ext>
          </c:extLst>
        </c:ser>
        <c:ser>
          <c:idx val="2"/>
          <c:order val="2"/>
          <c:tx>
            <c:strRef>
              <c:f>Sheet1!$AR$211</c:f>
              <c:strCache>
                <c:ptCount val="1"/>
                <c:pt idx="0">
                  <c:v>Arroket</c:v>
                </c:pt>
              </c:strCache>
            </c:strRef>
          </c:tx>
          <c:spPr>
            <a:solidFill>
              <a:schemeClr val="accent3"/>
            </a:solidFill>
            <a:ln>
              <a:noFill/>
            </a:ln>
            <a:effectLst/>
          </c:spPr>
          <c:invertIfNegative val="0"/>
          <c:cat>
            <c:strRef>
              <c:f>Sheet1!$AO$212:$AO$215</c:f>
              <c:strCache>
                <c:ptCount val="4"/>
                <c:pt idx="0">
                  <c:v>0-10 cm</c:v>
                </c:pt>
                <c:pt idx="1">
                  <c:v>"10-20 cm</c:v>
                </c:pt>
                <c:pt idx="2">
                  <c:v>20-30 cm</c:v>
                </c:pt>
                <c:pt idx="3">
                  <c:v>40-60 cm</c:v>
                </c:pt>
              </c:strCache>
            </c:strRef>
          </c:cat>
          <c:val>
            <c:numRef>
              <c:f>Sheet1!$AR$212:$AR$215</c:f>
              <c:numCache>
                <c:formatCode>General</c:formatCode>
                <c:ptCount val="4"/>
                <c:pt idx="0">
                  <c:v>24.1</c:v>
                </c:pt>
                <c:pt idx="1">
                  <c:v>26.4</c:v>
                </c:pt>
                <c:pt idx="2">
                  <c:v>24.9</c:v>
                </c:pt>
                <c:pt idx="3">
                  <c:v>14.4</c:v>
                </c:pt>
              </c:numCache>
            </c:numRef>
          </c:val>
          <c:extLst>
            <c:ext xmlns:c16="http://schemas.microsoft.com/office/drawing/2014/chart" uri="{C3380CC4-5D6E-409C-BE32-E72D297353CC}">
              <c16:uniqueId val="{00000002-99C5-4D00-88D3-CBA6472EC63D}"/>
            </c:ext>
          </c:extLst>
        </c:ser>
        <c:ser>
          <c:idx val="3"/>
          <c:order val="3"/>
          <c:tx>
            <c:strRef>
              <c:f>Sheet1!$AS$211</c:f>
              <c:strCache>
                <c:ptCount val="1"/>
                <c:pt idx="0">
                  <c:v>Kitabi</c:v>
                </c:pt>
              </c:strCache>
            </c:strRef>
          </c:tx>
          <c:spPr>
            <a:solidFill>
              <a:schemeClr val="accent4"/>
            </a:solidFill>
            <a:ln>
              <a:noFill/>
            </a:ln>
            <a:effectLst/>
          </c:spPr>
          <c:invertIfNegative val="0"/>
          <c:cat>
            <c:strRef>
              <c:f>Sheet1!$AO$212:$AO$215</c:f>
              <c:strCache>
                <c:ptCount val="4"/>
                <c:pt idx="0">
                  <c:v>0-10 cm</c:v>
                </c:pt>
                <c:pt idx="1">
                  <c:v>"10-20 cm</c:v>
                </c:pt>
                <c:pt idx="2">
                  <c:v>20-30 cm</c:v>
                </c:pt>
                <c:pt idx="3">
                  <c:v>40-60 cm</c:v>
                </c:pt>
              </c:strCache>
            </c:strRef>
          </c:cat>
          <c:val>
            <c:numRef>
              <c:f>Sheet1!$AS$212:$AS$215</c:f>
              <c:numCache>
                <c:formatCode>General</c:formatCode>
                <c:ptCount val="4"/>
                <c:pt idx="0">
                  <c:v>15.3</c:v>
                </c:pt>
                <c:pt idx="1">
                  <c:v>18.7</c:v>
                </c:pt>
                <c:pt idx="2">
                  <c:v>8.6999999999999993</c:v>
                </c:pt>
                <c:pt idx="3">
                  <c:v>8.3000000000000007</c:v>
                </c:pt>
              </c:numCache>
            </c:numRef>
          </c:val>
          <c:extLst>
            <c:ext xmlns:c16="http://schemas.microsoft.com/office/drawing/2014/chart" uri="{C3380CC4-5D6E-409C-BE32-E72D297353CC}">
              <c16:uniqueId val="{00000003-99C5-4D00-88D3-CBA6472EC63D}"/>
            </c:ext>
          </c:extLst>
        </c:ser>
        <c:ser>
          <c:idx val="4"/>
          <c:order val="4"/>
          <c:tx>
            <c:strRef>
              <c:f>Sheet1!$AT$211</c:f>
              <c:strCache>
                <c:ptCount val="1"/>
                <c:pt idx="0">
                  <c:v>Mulindi</c:v>
                </c:pt>
              </c:strCache>
            </c:strRef>
          </c:tx>
          <c:spPr>
            <a:solidFill>
              <a:schemeClr val="accent5"/>
            </a:solidFill>
            <a:ln>
              <a:noFill/>
            </a:ln>
            <a:effectLst/>
          </c:spPr>
          <c:invertIfNegative val="0"/>
          <c:cat>
            <c:strRef>
              <c:f>Sheet1!$AO$212:$AO$215</c:f>
              <c:strCache>
                <c:ptCount val="4"/>
                <c:pt idx="0">
                  <c:v>0-10 cm</c:v>
                </c:pt>
                <c:pt idx="1">
                  <c:v>"10-20 cm</c:v>
                </c:pt>
                <c:pt idx="2">
                  <c:v>20-30 cm</c:v>
                </c:pt>
                <c:pt idx="3">
                  <c:v>40-60 cm</c:v>
                </c:pt>
              </c:strCache>
            </c:strRef>
          </c:cat>
          <c:val>
            <c:numRef>
              <c:f>Sheet1!$AT$212:$AT$215</c:f>
              <c:numCache>
                <c:formatCode>General</c:formatCode>
                <c:ptCount val="4"/>
                <c:pt idx="0">
                  <c:v>13</c:v>
                </c:pt>
                <c:pt idx="1">
                  <c:v>14.5</c:v>
                </c:pt>
                <c:pt idx="2">
                  <c:v>16.2</c:v>
                </c:pt>
                <c:pt idx="3">
                  <c:v>16</c:v>
                </c:pt>
              </c:numCache>
            </c:numRef>
          </c:val>
          <c:extLst>
            <c:ext xmlns:c16="http://schemas.microsoft.com/office/drawing/2014/chart" uri="{C3380CC4-5D6E-409C-BE32-E72D297353CC}">
              <c16:uniqueId val="{00000004-99C5-4D00-88D3-CBA6472EC63D}"/>
            </c:ext>
          </c:extLst>
        </c:ser>
        <c:ser>
          <c:idx val="5"/>
          <c:order val="5"/>
          <c:tx>
            <c:strRef>
              <c:f>Sheet1!$AU$211</c:f>
              <c:strCache>
                <c:ptCount val="1"/>
                <c:pt idx="0">
                  <c:v>Katoke</c:v>
                </c:pt>
              </c:strCache>
            </c:strRef>
          </c:tx>
          <c:spPr>
            <a:solidFill>
              <a:schemeClr val="accent6"/>
            </a:solidFill>
            <a:ln>
              <a:noFill/>
            </a:ln>
            <a:effectLst/>
          </c:spPr>
          <c:invertIfNegative val="0"/>
          <c:cat>
            <c:strRef>
              <c:f>Sheet1!$AO$212:$AO$215</c:f>
              <c:strCache>
                <c:ptCount val="4"/>
                <c:pt idx="0">
                  <c:v>0-10 cm</c:v>
                </c:pt>
                <c:pt idx="1">
                  <c:v>"10-20 cm</c:v>
                </c:pt>
                <c:pt idx="2">
                  <c:v>20-30 cm</c:v>
                </c:pt>
                <c:pt idx="3">
                  <c:v>40-60 cm</c:v>
                </c:pt>
              </c:strCache>
            </c:strRef>
          </c:cat>
          <c:val>
            <c:numRef>
              <c:f>Sheet1!$AU$212:$AU$215</c:f>
              <c:numCache>
                <c:formatCode>General</c:formatCode>
                <c:ptCount val="4"/>
                <c:pt idx="0">
                  <c:v>14.3</c:v>
                </c:pt>
                <c:pt idx="1">
                  <c:v>12.4</c:v>
                </c:pt>
                <c:pt idx="2">
                  <c:v>12.6</c:v>
                </c:pt>
                <c:pt idx="3">
                  <c:v>7.4</c:v>
                </c:pt>
              </c:numCache>
            </c:numRef>
          </c:val>
          <c:extLst>
            <c:ext xmlns:c16="http://schemas.microsoft.com/office/drawing/2014/chart" uri="{C3380CC4-5D6E-409C-BE32-E72D297353CC}">
              <c16:uniqueId val="{00000005-99C5-4D00-88D3-CBA6472EC63D}"/>
            </c:ext>
          </c:extLst>
        </c:ser>
        <c:ser>
          <c:idx val="6"/>
          <c:order val="6"/>
          <c:tx>
            <c:strRef>
              <c:f>Sheet1!$AV$211</c:f>
              <c:strCache>
                <c:ptCount val="1"/>
                <c:pt idx="0">
                  <c:v>Maruku</c:v>
                </c:pt>
              </c:strCache>
            </c:strRef>
          </c:tx>
          <c:spPr>
            <a:solidFill>
              <a:schemeClr val="accent1">
                <a:lumMod val="60000"/>
              </a:schemeClr>
            </a:solidFill>
            <a:ln>
              <a:noFill/>
            </a:ln>
            <a:effectLst/>
          </c:spPr>
          <c:invertIfNegative val="0"/>
          <c:cat>
            <c:strRef>
              <c:f>Sheet1!$AO$212:$AO$215</c:f>
              <c:strCache>
                <c:ptCount val="4"/>
                <c:pt idx="0">
                  <c:v>0-10 cm</c:v>
                </c:pt>
                <c:pt idx="1">
                  <c:v>"10-20 cm</c:v>
                </c:pt>
                <c:pt idx="2">
                  <c:v>20-30 cm</c:v>
                </c:pt>
                <c:pt idx="3">
                  <c:v>40-60 cm</c:v>
                </c:pt>
              </c:strCache>
            </c:strRef>
          </c:cat>
          <c:val>
            <c:numRef>
              <c:f>Sheet1!$AV$212:$AV$215</c:f>
              <c:numCache>
                <c:formatCode>General</c:formatCode>
                <c:ptCount val="4"/>
                <c:pt idx="0">
                  <c:v>11.4</c:v>
                </c:pt>
                <c:pt idx="1">
                  <c:v>9.3000000000000007</c:v>
                </c:pt>
                <c:pt idx="2">
                  <c:v>6.7</c:v>
                </c:pt>
                <c:pt idx="3">
                  <c:v>9.4</c:v>
                </c:pt>
              </c:numCache>
            </c:numRef>
          </c:val>
          <c:extLst>
            <c:ext xmlns:c16="http://schemas.microsoft.com/office/drawing/2014/chart" uri="{C3380CC4-5D6E-409C-BE32-E72D297353CC}">
              <c16:uniqueId val="{00000006-99C5-4D00-88D3-CBA6472EC63D}"/>
            </c:ext>
          </c:extLst>
        </c:ser>
        <c:dLbls>
          <c:showLegendKey val="0"/>
          <c:showVal val="0"/>
          <c:showCatName val="0"/>
          <c:showSerName val="0"/>
          <c:showPercent val="0"/>
          <c:showBubbleSize val="0"/>
        </c:dLbls>
        <c:gapWidth val="300"/>
        <c:axId val="180658896"/>
        <c:axId val="180658112"/>
      </c:barChart>
      <c:lineChart>
        <c:grouping val="standard"/>
        <c:varyColors val="0"/>
        <c:ser>
          <c:idx val="7"/>
          <c:order val="7"/>
          <c:tx>
            <c:strRef>
              <c:f>Sheet1!$AW$211</c:f>
              <c:strCache>
                <c:ptCount val="1"/>
              </c:strCache>
            </c:strRef>
          </c:tx>
          <c:spPr>
            <a:ln w="28575" cap="rnd">
              <a:noFill/>
              <a:round/>
            </a:ln>
            <a:effectLst/>
          </c:spPr>
          <c:marker>
            <c:symbol val="none"/>
          </c:marker>
          <c:errBars>
            <c:errDir val="y"/>
            <c:errBarType val="both"/>
            <c:errValType val="cust"/>
            <c:noEndCap val="0"/>
            <c:plus>
              <c:numRef>
                <c:f>Sheet1!$AY$212:$AY$215</c:f>
                <c:numCache>
                  <c:formatCode>General</c:formatCode>
                  <c:ptCount val="4"/>
                  <c:pt idx="0">
                    <c:v>0.4</c:v>
                  </c:pt>
                  <c:pt idx="1">
                    <c:v>0.4</c:v>
                  </c:pt>
                  <c:pt idx="2">
                    <c:v>0.3</c:v>
                  </c:pt>
                  <c:pt idx="3">
                    <c:v>1.7</c:v>
                  </c:pt>
                </c:numCache>
              </c:numRef>
            </c:plus>
            <c:minus>
              <c:numRef>
                <c:f>Sheet1!$AY$212:$AY$215</c:f>
                <c:numCache>
                  <c:formatCode>General</c:formatCode>
                  <c:ptCount val="4"/>
                  <c:pt idx="0">
                    <c:v>0.4</c:v>
                  </c:pt>
                  <c:pt idx="1">
                    <c:v>0.4</c:v>
                  </c:pt>
                  <c:pt idx="2">
                    <c:v>0.3</c:v>
                  </c:pt>
                  <c:pt idx="3">
                    <c:v>1.7</c:v>
                  </c:pt>
                </c:numCache>
              </c:numRef>
            </c:minus>
            <c:spPr>
              <a:noFill/>
              <a:ln w="9525" cap="flat" cmpd="sng" algn="ctr">
                <a:solidFill>
                  <a:schemeClr val="tx1">
                    <a:lumMod val="65000"/>
                    <a:lumOff val="35000"/>
                  </a:schemeClr>
                </a:solidFill>
                <a:round/>
              </a:ln>
              <a:effectLst/>
            </c:spPr>
          </c:errBars>
          <c:cat>
            <c:strRef>
              <c:f>Sheet1!$AO$212:$AO$215</c:f>
              <c:strCache>
                <c:ptCount val="4"/>
                <c:pt idx="0">
                  <c:v>0-10 cm</c:v>
                </c:pt>
                <c:pt idx="1">
                  <c:v>"10-20 cm</c:v>
                </c:pt>
                <c:pt idx="2">
                  <c:v>20-30 cm</c:v>
                </c:pt>
                <c:pt idx="3">
                  <c:v>40-60 cm</c:v>
                </c:pt>
              </c:strCache>
            </c:strRef>
          </c:cat>
          <c:val>
            <c:numRef>
              <c:f>Sheet1!$AW$212:$AW$215</c:f>
              <c:numCache>
                <c:formatCode>General</c:formatCode>
                <c:ptCount val="4"/>
                <c:pt idx="0">
                  <c:v>16.5</c:v>
                </c:pt>
                <c:pt idx="1">
                  <c:v>20</c:v>
                </c:pt>
                <c:pt idx="2">
                  <c:v>17</c:v>
                </c:pt>
                <c:pt idx="3">
                  <c:v>16</c:v>
                </c:pt>
              </c:numCache>
            </c:numRef>
          </c:val>
          <c:smooth val="0"/>
          <c:extLst>
            <c:ext xmlns:c16="http://schemas.microsoft.com/office/drawing/2014/chart" uri="{C3380CC4-5D6E-409C-BE32-E72D297353CC}">
              <c16:uniqueId val="{00000007-99C5-4D00-88D3-CBA6472EC63D}"/>
            </c:ext>
          </c:extLst>
        </c:ser>
        <c:dLbls>
          <c:showLegendKey val="0"/>
          <c:showVal val="0"/>
          <c:showCatName val="0"/>
          <c:showSerName val="0"/>
          <c:showPercent val="0"/>
          <c:showBubbleSize val="0"/>
        </c:dLbls>
        <c:marker val="1"/>
        <c:smooth val="0"/>
        <c:axId val="180658896"/>
        <c:axId val="180658112"/>
      </c:lineChart>
      <c:catAx>
        <c:axId val="180658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a:t>
                </a:r>
                <a:r>
                  <a:rPr lang="en-US" baseline="0"/>
                  <a:t> Depth (cm)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58112"/>
        <c:crosses val="autoZero"/>
        <c:auto val="1"/>
        <c:lblAlgn val="ctr"/>
        <c:lblOffset val="100"/>
        <c:noMultiLvlLbl val="0"/>
      </c:catAx>
      <c:valAx>
        <c:axId val="180658112"/>
        <c:scaling>
          <c:orientation val="minMax"/>
          <c:max val="27"/>
          <c:min val="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58896"/>
        <c:crosses val="autoZero"/>
        <c:crossBetween val="between"/>
        <c:maj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68002010129358"/>
          <c:y val="4.9988638945694164E-2"/>
          <c:w val="0.78402855352423506"/>
          <c:h val="0.51991261828467761"/>
        </c:manualLayout>
      </c:layout>
      <c:barChart>
        <c:barDir val="col"/>
        <c:grouping val="clustered"/>
        <c:varyColors val="0"/>
        <c:ser>
          <c:idx val="0"/>
          <c:order val="0"/>
          <c:tx>
            <c:strRef>
              <c:f>Sheet1!$C$212</c:f>
              <c:strCache>
                <c:ptCount val="1"/>
                <c:pt idx="0">
                  <c:v>0</c:v>
                </c:pt>
              </c:strCache>
            </c:strRef>
          </c:tx>
          <c:spPr>
            <a:solidFill>
              <a:schemeClr val="accent1"/>
            </a:solidFill>
            <a:ln>
              <a:noFill/>
            </a:ln>
            <a:effectLst/>
          </c:spPr>
          <c:invertIfNegative val="0"/>
          <c:cat>
            <c:strRef>
              <c:f>Sheet1!$B$213:$B$220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Sheet1!$C$213:$C$220</c:f>
              <c:numCache>
                <c:formatCode>General</c:formatCode>
                <c:ptCount val="8"/>
                <c:pt idx="0">
                  <c:v>10.1</c:v>
                </c:pt>
                <c:pt idx="1">
                  <c:v>12.9</c:v>
                </c:pt>
                <c:pt idx="2">
                  <c:v>14.4</c:v>
                </c:pt>
                <c:pt idx="3">
                  <c:v>8.6</c:v>
                </c:pt>
                <c:pt idx="4">
                  <c:v>10.199999999999999</c:v>
                </c:pt>
                <c:pt idx="5">
                  <c:v>12.3</c:v>
                </c:pt>
                <c:pt idx="6">
                  <c:v>10.3</c:v>
                </c:pt>
                <c:pt idx="7">
                  <c:v>11.3</c:v>
                </c:pt>
              </c:numCache>
            </c:numRef>
          </c:val>
          <c:extLst>
            <c:ext xmlns:c16="http://schemas.microsoft.com/office/drawing/2014/chart" uri="{C3380CC4-5D6E-409C-BE32-E72D297353CC}">
              <c16:uniqueId val="{00000000-AD7F-4AAD-9B25-10C5F76E02D4}"/>
            </c:ext>
          </c:extLst>
        </c:ser>
        <c:ser>
          <c:idx val="1"/>
          <c:order val="1"/>
          <c:tx>
            <c:strRef>
              <c:f>Sheet1!$D$212</c:f>
              <c:strCache>
                <c:ptCount val="1"/>
                <c:pt idx="0">
                  <c:v>75</c:v>
                </c:pt>
              </c:strCache>
            </c:strRef>
          </c:tx>
          <c:spPr>
            <a:solidFill>
              <a:schemeClr val="accent2"/>
            </a:solidFill>
            <a:ln>
              <a:noFill/>
            </a:ln>
            <a:effectLst/>
          </c:spPr>
          <c:invertIfNegative val="0"/>
          <c:cat>
            <c:strRef>
              <c:f>Sheet1!$B$213:$B$220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Sheet1!$D$213:$D$220</c:f>
              <c:numCache>
                <c:formatCode>General</c:formatCode>
                <c:ptCount val="8"/>
                <c:pt idx="0">
                  <c:v>11.3</c:v>
                </c:pt>
                <c:pt idx="1">
                  <c:v>14.2</c:v>
                </c:pt>
                <c:pt idx="2">
                  <c:v>17.3</c:v>
                </c:pt>
                <c:pt idx="3">
                  <c:v>10.3</c:v>
                </c:pt>
                <c:pt idx="4">
                  <c:v>11.7</c:v>
                </c:pt>
                <c:pt idx="5">
                  <c:v>13.4</c:v>
                </c:pt>
                <c:pt idx="6">
                  <c:v>11.2</c:v>
                </c:pt>
                <c:pt idx="7">
                  <c:v>12.8</c:v>
                </c:pt>
              </c:numCache>
            </c:numRef>
          </c:val>
          <c:extLst>
            <c:ext xmlns:c16="http://schemas.microsoft.com/office/drawing/2014/chart" uri="{C3380CC4-5D6E-409C-BE32-E72D297353CC}">
              <c16:uniqueId val="{00000001-AD7F-4AAD-9B25-10C5F76E02D4}"/>
            </c:ext>
          </c:extLst>
        </c:ser>
        <c:ser>
          <c:idx val="2"/>
          <c:order val="2"/>
          <c:tx>
            <c:strRef>
              <c:f>Sheet1!$E$212</c:f>
              <c:strCache>
                <c:ptCount val="1"/>
                <c:pt idx="0">
                  <c:v>150</c:v>
                </c:pt>
              </c:strCache>
            </c:strRef>
          </c:tx>
          <c:spPr>
            <a:solidFill>
              <a:schemeClr val="accent3"/>
            </a:solidFill>
            <a:ln>
              <a:noFill/>
            </a:ln>
            <a:effectLst/>
          </c:spPr>
          <c:invertIfNegative val="0"/>
          <c:cat>
            <c:strRef>
              <c:f>Sheet1!$B$213:$B$220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Sheet1!$E$213:$E$220</c:f>
              <c:numCache>
                <c:formatCode>General</c:formatCode>
                <c:ptCount val="8"/>
                <c:pt idx="0">
                  <c:v>13.8</c:v>
                </c:pt>
                <c:pt idx="1">
                  <c:v>17.399999999999999</c:v>
                </c:pt>
                <c:pt idx="2">
                  <c:v>29.2</c:v>
                </c:pt>
                <c:pt idx="3">
                  <c:v>11.9</c:v>
                </c:pt>
                <c:pt idx="4">
                  <c:v>14.1</c:v>
                </c:pt>
                <c:pt idx="5">
                  <c:v>14.7</c:v>
                </c:pt>
                <c:pt idx="6">
                  <c:v>11.9</c:v>
                </c:pt>
                <c:pt idx="7">
                  <c:v>16.100000000000001</c:v>
                </c:pt>
              </c:numCache>
            </c:numRef>
          </c:val>
          <c:extLst>
            <c:ext xmlns:c16="http://schemas.microsoft.com/office/drawing/2014/chart" uri="{C3380CC4-5D6E-409C-BE32-E72D297353CC}">
              <c16:uniqueId val="{00000002-AD7F-4AAD-9B25-10C5F76E02D4}"/>
            </c:ext>
          </c:extLst>
        </c:ser>
        <c:ser>
          <c:idx val="3"/>
          <c:order val="3"/>
          <c:tx>
            <c:strRef>
              <c:f>Sheet1!$F$212</c:f>
              <c:strCache>
                <c:ptCount val="1"/>
                <c:pt idx="0">
                  <c:v>225</c:v>
                </c:pt>
              </c:strCache>
            </c:strRef>
          </c:tx>
          <c:spPr>
            <a:solidFill>
              <a:schemeClr val="accent4"/>
            </a:solidFill>
            <a:ln>
              <a:noFill/>
            </a:ln>
            <a:effectLst/>
          </c:spPr>
          <c:invertIfNegative val="0"/>
          <c:cat>
            <c:strRef>
              <c:f>Sheet1!$B$213:$B$220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Sheet1!$F$213:$F$220</c:f>
              <c:numCache>
                <c:formatCode>General</c:formatCode>
                <c:ptCount val="8"/>
                <c:pt idx="0">
                  <c:v>19.7</c:v>
                </c:pt>
                <c:pt idx="1">
                  <c:v>18.899999999999999</c:v>
                </c:pt>
                <c:pt idx="2">
                  <c:v>36.4</c:v>
                </c:pt>
                <c:pt idx="3">
                  <c:v>21.6</c:v>
                </c:pt>
                <c:pt idx="4">
                  <c:v>17.3</c:v>
                </c:pt>
                <c:pt idx="5">
                  <c:v>15.6</c:v>
                </c:pt>
                <c:pt idx="6">
                  <c:v>12.2</c:v>
                </c:pt>
                <c:pt idx="7">
                  <c:v>15.8</c:v>
                </c:pt>
              </c:numCache>
            </c:numRef>
          </c:val>
          <c:extLst>
            <c:ext xmlns:c16="http://schemas.microsoft.com/office/drawing/2014/chart" uri="{C3380CC4-5D6E-409C-BE32-E72D297353CC}">
              <c16:uniqueId val="{00000003-AD7F-4AAD-9B25-10C5F76E02D4}"/>
            </c:ext>
          </c:extLst>
        </c:ser>
        <c:ser>
          <c:idx val="4"/>
          <c:order val="4"/>
          <c:tx>
            <c:strRef>
              <c:f>Sheet1!$G$212</c:f>
              <c:strCache>
                <c:ptCount val="1"/>
                <c:pt idx="0">
                  <c:v>300</c:v>
                </c:pt>
              </c:strCache>
            </c:strRef>
          </c:tx>
          <c:spPr>
            <a:solidFill>
              <a:schemeClr val="accent5"/>
            </a:solidFill>
            <a:ln>
              <a:noFill/>
            </a:ln>
            <a:effectLst/>
          </c:spPr>
          <c:invertIfNegative val="0"/>
          <c:cat>
            <c:strRef>
              <c:f>Sheet1!$B$213:$B$220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Sheet1!$G$213:$G$220</c:f>
              <c:numCache>
                <c:formatCode>General</c:formatCode>
                <c:ptCount val="8"/>
                <c:pt idx="0">
                  <c:v>21.2</c:v>
                </c:pt>
                <c:pt idx="1">
                  <c:v>19.600000000000001</c:v>
                </c:pt>
                <c:pt idx="2">
                  <c:v>0</c:v>
                </c:pt>
                <c:pt idx="3">
                  <c:v>24</c:v>
                </c:pt>
                <c:pt idx="4">
                  <c:v>15.7</c:v>
                </c:pt>
                <c:pt idx="5">
                  <c:v>15.7</c:v>
                </c:pt>
                <c:pt idx="6">
                  <c:v>11.6</c:v>
                </c:pt>
                <c:pt idx="7">
                  <c:v>18.7</c:v>
                </c:pt>
              </c:numCache>
            </c:numRef>
          </c:val>
          <c:extLst>
            <c:ext xmlns:c16="http://schemas.microsoft.com/office/drawing/2014/chart" uri="{C3380CC4-5D6E-409C-BE32-E72D297353CC}">
              <c16:uniqueId val="{00000004-AD7F-4AAD-9B25-10C5F76E02D4}"/>
            </c:ext>
          </c:extLst>
        </c:ser>
        <c:dLbls>
          <c:showLegendKey val="0"/>
          <c:showVal val="0"/>
          <c:showCatName val="0"/>
          <c:showSerName val="0"/>
          <c:showPercent val="0"/>
          <c:showBubbleSize val="0"/>
        </c:dLbls>
        <c:gapWidth val="300"/>
        <c:axId val="400092296"/>
        <c:axId val="400089552"/>
      </c:barChart>
      <c:lineChart>
        <c:grouping val="standard"/>
        <c:varyColors val="0"/>
        <c:ser>
          <c:idx val="5"/>
          <c:order val="5"/>
          <c:tx>
            <c:strRef>
              <c:f>Sheet1!$H$212</c:f>
              <c:strCache>
                <c:ptCount val="1"/>
              </c:strCache>
            </c:strRef>
          </c:tx>
          <c:spPr>
            <a:ln w="28575" cap="rnd">
              <a:noFill/>
              <a:round/>
            </a:ln>
            <a:effectLst/>
          </c:spPr>
          <c:marker>
            <c:symbol val="none"/>
          </c:marker>
          <c:errBars>
            <c:errDir val="y"/>
            <c:errBarType val="both"/>
            <c:errValType val="cust"/>
            <c:noEndCap val="0"/>
            <c:plus>
              <c:numRef>
                <c:f>Sheet1!$J$213:$J$220</c:f>
                <c:numCache>
                  <c:formatCode>General</c:formatCode>
                  <c:ptCount val="8"/>
                  <c:pt idx="0">
                    <c:v>0.6</c:v>
                  </c:pt>
                  <c:pt idx="1">
                    <c:v>0.7</c:v>
                  </c:pt>
                  <c:pt idx="2">
                    <c:v>0.7</c:v>
                  </c:pt>
                  <c:pt idx="3">
                    <c:v>0.75</c:v>
                  </c:pt>
                  <c:pt idx="4">
                    <c:v>0.7</c:v>
                  </c:pt>
                  <c:pt idx="5">
                    <c:v>0.6</c:v>
                  </c:pt>
                  <c:pt idx="6">
                    <c:v>1.1499999999999999</c:v>
                  </c:pt>
                  <c:pt idx="7">
                    <c:v>0.8</c:v>
                  </c:pt>
                </c:numCache>
              </c:numRef>
            </c:plus>
            <c:minus>
              <c:numRef>
                <c:f>Sheet1!$J$213:$J$220</c:f>
                <c:numCache>
                  <c:formatCode>General</c:formatCode>
                  <c:ptCount val="8"/>
                  <c:pt idx="0">
                    <c:v>0.6</c:v>
                  </c:pt>
                  <c:pt idx="1">
                    <c:v>0.7</c:v>
                  </c:pt>
                  <c:pt idx="2">
                    <c:v>0.7</c:v>
                  </c:pt>
                  <c:pt idx="3">
                    <c:v>0.75</c:v>
                  </c:pt>
                  <c:pt idx="4">
                    <c:v>0.7</c:v>
                  </c:pt>
                  <c:pt idx="5">
                    <c:v>0.6</c:v>
                  </c:pt>
                  <c:pt idx="6">
                    <c:v>1.1499999999999999</c:v>
                  </c:pt>
                  <c:pt idx="7">
                    <c:v>0.8</c:v>
                  </c:pt>
                </c:numCache>
              </c:numRef>
            </c:minus>
            <c:spPr>
              <a:noFill/>
              <a:ln w="9525" cap="flat" cmpd="sng" algn="ctr">
                <a:solidFill>
                  <a:schemeClr val="tx1">
                    <a:lumMod val="65000"/>
                    <a:lumOff val="35000"/>
                  </a:schemeClr>
                </a:solidFill>
                <a:round/>
              </a:ln>
              <a:effectLst/>
            </c:spPr>
          </c:errBars>
          <c:cat>
            <c:strRef>
              <c:f>Sheet1!$B$213:$B$220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Sheet1!$H$213:$H$220</c:f>
              <c:numCache>
                <c:formatCode>General</c:formatCode>
                <c:ptCount val="8"/>
                <c:pt idx="0">
                  <c:v>20</c:v>
                </c:pt>
                <c:pt idx="1">
                  <c:v>20</c:v>
                </c:pt>
                <c:pt idx="2">
                  <c:v>32</c:v>
                </c:pt>
                <c:pt idx="3">
                  <c:v>22</c:v>
                </c:pt>
                <c:pt idx="4">
                  <c:v>15.5</c:v>
                </c:pt>
                <c:pt idx="5">
                  <c:v>16</c:v>
                </c:pt>
                <c:pt idx="6">
                  <c:v>14.5</c:v>
                </c:pt>
                <c:pt idx="7">
                  <c:v>17.5</c:v>
                </c:pt>
              </c:numCache>
            </c:numRef>
          </c:val>
          <c:smooth val="0"/>
          <c:extLst>
            <c:ext xmlns:c16="http://schemas.microsoft.com/office/drawing/2014/chart" uri="{C3380CC4-5D6E-409C-BE32-E72D297353CC}">
              <c16:uniqueId val="{00000005-AD7F-4AAD-9B25-10C5F76E02D4}"/>
            </c:ext>
          </c:extLst>
        </c:ser>
        <c:dLbls>
          <c:showLegendKey val="0"/>
          <c:showVal val="0"/>
          <c:showCatName val="0"/>
          <c:showSerName val="0"/>
          <c:showPercent val="0"/>
          <c:showBubbleSize val="0"/>
        </c:dLbls>
        <c:marker val="1"/>
        <c:smooth val="0"/>
        <c:axId val="400092296"/>
        <c:axId val="400089552"/>
      </c:lineChart>
      <c:catAx>
        <c:axId val="400092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0089552"/>
        <c:crosses val="autoZero"/>
        <c:auto val="1"/>
        <c:lblAlgn val="ctr"/>
        <c:lblOffset val="100"/>
        <c:noMultiLvlLbl val="0"/>
      </c:catAx>
      <c:valAx>
        <c:axId val="400089552"/>
        <c:scaling>
          <c:orientation val="minMax"/>
          <c:max val="37"/>
          <c:min val="5"/>
        </c:scaling>
        <c:delete val="0"/>
        <c:axPos val="l"/>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09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28927540773821"/>
          <c:y val="4.9988638945694164E-2"/>
          <c:w val="0.76710541779292518"/>
          <c:h val="0.52790614874572173"/>
        </c:manualLayout>
      </c:layout>
      <c:barChart>
        <c:barDir val="col"/>
        <c:grouping val="clustered"/>
        <c:varyColors val="0"/>
        <c:ser>
          <c:idx val="0"/>
          <c:order val="0"/>
          <c:tx>
            <c:strRef>
              <c:f>Sheet1!$L$212</c:f>
              <c:strCache>
                <c:ptCount val="1"/>
                <c:pt idx="0">
                  <c:v>0</c:v>
                </c:pt>
              </c:strCache>
            </c:strRef>
          </c:tx>
          <c:spPr>
            <a:solidFill>
              <a:schemeClr val="accent1"/>
            </a:solidFill>
            <a:ln>
              <a:noFill/>
            </a:ln>
            <a:effectLst/>
          </c:spPr>
          <c:invertIfNegative val="0"/>
          <c:cat>
            <c:strRef>
              <c:f>Sheet1!$K$213:$K$220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Sheet1!$L$213:$L$220</c:f>
              <c:numCache>
                <c:formatCode>General</c:formatCode>
                <c:ptCount val="8"/>
                <c:pt idx="0">
                  <c:v>8.1999999999999993</c:v>
                </c:pt>
                <c:pt idx="1">
                  <c:v>12.9</c:v>
                </c:pt>
                <c:pt idx="2">
                  <c:v>19.8</c:v>
                </c:pt>
                <c:pt idx="3">
                  <c:v>12.3</c:v>
                </c:pt>
                <c:pt idx="4">
                  <c:v>10.6</c:v>
                </c:pt>
                <c:pt idx="5">
                  <c:v>9.6999999999999993</c:v>
                </c:pt>
                <c:pt idx="6">
                  <c:v>8.9</c:v>
                </c:pt>
                <c:pt idx="7">
                  <c:v>11.9</c:v>
                </c:pt>
              </c:numCache>
            </c:numRef>
          </c:val>
          <c:extLst>
            <c:ext xmlns:c16="http://schemas.microsoft.com/office/drawing/2014/chart" uri="{C3380CC4-5D6E-409C-BE32-E72D297353CC}">
              <c16:uniqueId val="{00000000-6251-44A6-9A6F-5C43A1343EB5}"/>
            </c:ext>
          </c:extLst>
        </c:ser>
        <c:ser>
          <c:idx val="1"/>
          <c:order val="1"/>
          <c:tx>
            <c:strRef>
              <c:f>Sheet1!$M$212</c:f>
              <c:strCache>
                <c:ptCount val="1"/>
                <c:pt idx="0">
                  <c:v>75</c:v>
                </c:pt>
              </c:strCache>
            </c:strRef>
          </c:tx>
          <c:spPr>
            <a:solidFill>
              <a:schemeClr val="accent2"/>
            </a:solidFill>
            <a:ln>
              <a:noFill/>
            </a:ln>
            <a:effectLst/>
          </c:spPr>
          <c:invertIfNegative val="0"/>
          <c:cat>
            <c:strRef>
              <c:f>Sheet1!$K$213:$K$220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Sheet1!$M$213:$M$220</c:f>
              <c:numCache>
                <c:formatCode>General</c:formatCode>
                <c:ptCount val="8"/>
                <c:pt idx="0">
                  <c:v>9.8000000000000007</c:v>
                </c:pt>
                <c:pt idx="1">
                  <c:v>13.1</c:v>
                </c:pt>
                <c:pt idx="2">
                  <c:v>22.9</c:v>
                </c:pt>
                <c:pt idx="3">
                  <c:v>14.2</c:v>
                </c:pt>
                <c:pt idx="4">
                  <c:v>12.7</c:v>
                </c:pt>
                <c:pt idx="5">
                  <c:v>10.1</c:v>
                </c:pt>
                <c:pt idx="6">
                  <c:v>9.1999999999999993</c:v>
                </c:pt>
                <c:pt idx="7">
                  <c:v>13.3</c:v>
                </c:pt>
              </c:numCache>
            </c:numRef>
          </c:val>
          <c:extLst>
            <c:ext xmlns:c16="http://schemas.microsoft.com/office/drawing/2014/chart" uri="{C3380CC4-5D6E-409C-BE32-E72D297353CC}">
              <c16:uniqueId val="{00000001-6251-44A6-9A6F-5C43A1343EB5}"/>
            </c:ext>
          </c:extLst>
        </c:ser>
        <c:ser>
          <c:idx val="2"/>
          <c:order val="2"/>
          <c:tx>
            <c:strRef>
              <c:f>Sheet1!$N$212</c:f>
              <c:strCache>
                <c:ptCount val="1"/>
                <c:pt idx="0">
                  <c:v>150</c:v>
                </c:pt>
              </c:strCache>
            </c:strRef>
          </c:tx>
          <c:spPr>
            <a:solidFill>
              <a:schemeClr val="accent3"/>
            </a:solidFill>
            <a:ln>
              <a:noFill/>
            </a:ln>
            <a:effectLst/>
          </c:spPr>
          <c:invertIfNegative val="0"/>
          <c:cat>
            <c:strRef>
              <c:f>Sheet1!$K$213:$K$220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Sheet1!$N$213:$N$220</c:f>
              <c:numCache>
                <c:formatCode>General</c:formatCode>
                <c:ptCount val="8"/>
                <c:pt idx="0">
                  <c:v>12.8</c:v>
                </c:pt>
                <c:pt idx="1">
                  <c:v>14.4</c:v>
                </c:pt>
                <c:pt idx="2">
                  <c:v>24.6</c:v>
                </c:pt>
                <c:pt idx="3">
                  <c:v>17.899999999999999</c:v>
                </c:pt>
                <c:pt idx="4">
                  <c:v>13.9</c:v>
                </c:pt>
                <c:pt idx="5">
                  <c:v>10.7</c:v>
                </c:pt>
                <c:pt idx="6">
                  <c:v>9.3000000000000007</c:v>
                </c:pt>
                <c:pt idx="7">
                  <c:v>15.5</c:v>
                </c:pt>
              </c:numCache>
            </c:numRef>
          </c:val>
          <c:extLst>
            <c:ext xmlns:c16="http://schemas.microsoft.com/office/drawing/2014/chart" uri="{C3380CC4-5D6E-409C-BE32-E72D297353CC}">
              <c16:uniqueId val="{00000002-6251-44A6-9A6F-5C43A1343EB5}"/>
            </c:ext>
          </c:extLst>
        </c:ser>
        <c:ser>
          <c:idx val="3"/>
          <c:order val="3"/>
          <c:tx>
            <c:strRef>
              <c:f>Sheet1!$O$212</c:f>
              <c:strCache>
                <c:ptCount val="1"/>
                <c:pt idx="0">
                  <c:v>225</c:v>
                </c:pt>
              </c:strCache>
            </c:strRef>
          </c:tx>
          <c:spPr>
            <a:solidFill>
              <a:schemeClr val="accent4"/>
            </a:solidFill>
            <a:ln>
              <a:noFill/>
            </a:ln>
            <a:effectLst/>
          </c:spPr>
          <c:invertIfNegative val="0"/>
          <c:cat>
            <c:strRef>
              <c:f>Sheet1!$K$213:$K$220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Sheet1!$O$213:$O$220</c:f>
              <c:numCache>
                <c:formatCode>General</c:formatCode>
                <c:ptCount val="8"/>
                <c:pt idx="0">
                  <c:v>14.1</c:v>
                </c:pt>
                <c:pt idx="1">
                  <c:v>16.600000000000001</c:v>
                </c:pt>
                <c:pt idx="2">
                  <c:v>29.9</c:v>
                </c:pt>
                <c:pt idx="3">
                  <c:v>23.1</c:v>
                </c:pt>
                <c:pt idx="4">
                  <c:v>16.100000000000001</c:v>
                </c:pt>
                <c:pt idx="5">
                  <c:v>14.7</c:v>
                </c:pt>
                <c:pt idx="6">
                  <c:v>9.4</c:v>
                </c:pt>
                <c:pt idx="7">
                  <c:v>18.399999999999999</c:v>
                </c:pt>
              </c:numCache>
            </c:numRef>
          </c:val>
          <c:extLst>
            <c:ext xmlns:c16="http://schemas.microsoft.com/office/drawing/2014/chart" uri="{C3380CC4-5D6E-409C-BE32-E72D297353CC}">
              <c16:uniqueId val="{00000003-6251-44A6-9A6F-5C43A1343EB5}"/>
            </c:ext>
          </c:extLst>
        </c:ser>
        <c:ser>
          <c:idx val="4"/>
          <c:order val="4"/>
          <c:tx>
            <c:strRef>
              <c:f>Sheet1!$P$212</c:f>
              <c:strCache>
                <c:ptCount val="1"/>
                <c:pt idx="0">
                  <c:v>300</c:v>
                </c:pt>
              </c:strCache>
            </c:strRef>
          </c:tx>
          <c:spPr>
            <a:solidFill>
              <a:schemeClr val="accent5"/>
            </a:solidFill>
            <a:ln>
              <a:noFill/>
            </a:ln>
            <a:effectLst/>
          </c:spPr>
          <c:invertIfNegative val="0"/>
          <c:cat>
            <c:strRef>
              <c:f>Sheet1!$K$213:$K$220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Sheet1!$P$213:$P$220</c:f>
              <c:numCache>
                <c:formatCode>General</c:formatCode>
                <c:ptCount val="8"/>
                <c:pt idx="0">
                  <c:v>18</c:v>
                </c:pt>
                <c:pt idx="1">
                  <c:v>17.8</c:v>
                </c:pt>
                <c:pt idx="2">
                  <c:v>35</c:v>
                </c:pt>
                <c:pt idx="3">
                  <c:v>26.1</c:v>
                </c:pt>
                <c:pt idx="4">
                  <c:v>19.100000000000001</c:v>
                </c:pt>
                <c:pt idx="5">
                  <c:v>16.899999999999999</c:v>
                </c:pt>
                <c:pt idx="6">
                  <c:v>9.4</c:v>
                </c:pt>
                <c:pt idx="7">
                  <c:v>18.600000000000001</c:v>
                </c:pt>
              </c:numCache>
            </c:numRef>
          </c:val>
          <c:extLst>
            <c:ext xmlns:c16="http://schemas.microsoft.com/office/drawing/2014/chart" uri="{C3380CC4-5D6E-409C-BE32-E72D297353CC}">
              <c16:uniqueId val="{00000004-6251-44A6-9A6F-5C43A1343EB5}"/>
            </c:ext>
          </c:extLst>
        </c:ser>
        <c:dLbls>
          <c:showLegendKey val="0"/>
          <c:showVal val="0"/>
          <c:showCatName val="0"/>
          <c:showSerName val="0"/>
          <c:showPercent val="0"/>
          <c:showBubbleSize val="0"/>
        </c:dLbls>
        <c:gapWidth val="300"/>
        <c:axId val="400090336"/>
        <c:axId val="400090728"/>
      </c:barChart>
      <c:lineChart>
        <c:grouping val="standard"/>
        <c:varyColors val="0"/>
        <c:ser>
          <c:idx val="5"/>
          <c:order val="5"/>
          <c:tx>
            <c:strRef>
              <c:f>Sheet1!$Q$212</c:f>
              <c:strCache>
                <c:ptCount val="1"/>
              </c:strCache>
            </c:strRef>
          </c:tx>
          <c:spPr>
            <a:ln w="28575" cap="rnd">
              <a:noFill/>
              <a:round/>
            </a:ln>
            <a:effectLst/>
          </c:spPr>
          <c:marker>
            <c:symbol val="none"/>
          </c:marker>
          <c:errBars>
            <c:errDir val="y"/>
            <c:errBarType val="both"/>
            <c:errValType val="cust"/>
            <c:noEndCap val="0"/>
            <c:plus>
              <c:numRef>
                <c:f>Sheet1!$S$213:$S$220</c:f>
                <c:numCache>
                  <c:formatCode>General</c:formatCode>
                  <c:ptCount val="8"/>
                  <c:pt idx="0">
                    <c:v>0.95</c:v>
                  </c:pt>
                  <c:pt idx="1">
                    <c:v>0.75</c:v>
                  </c:pt>
                  <c:pt idx="2">
                    <c:v>0.8</c:v>
                  </c:pt>
                  <c:pt idx="3">
                    <c:v>0.85</c:v>
                  </c:pt>
                  <c:pt idx="4">
                    <c:v>0.8</c:v>
                  </c:pt>
                  <c:pt idx="5">
                    <c:v>0.7</c:v>
                  </c:pt>
                  <c:pt idx="6">
                    <c:v>0.2</c:v>
                  </c:pt>
                  <c:pt idx="7">
                    <c:v>0.4</c:v>
                  </c:pt>
                </c:numCache>
              </c:numRef>
            </c:plus>
            <c:minus>
              <c:numRef>
                <c:f>Sheet1!$S$213:$S$220</c:f>
                <c:numCache>
                  <c:formatCode>General</c:formatCode>
                  <c:ptCount val="8"/>
                  <c:pt idx="0">
                    <c:v>0.95</c:v>
                  </c:pt>
                  <c:pt idx="1">
                    <c:v>0.75</c:v>
                  </c:pt>
                  <c:pt idx="2">
                    <c:v>0.8</c:v>
                  </c:pt>
                  <c:pt idx="3">
                    <c:v>0.85</c:v>
                  </c:pt>
                  <c:pt idx="4">
                    <c:v>0.8</c:v>
                  </c:pt>
                  <c:pt idx="5">
                    <c:v>0.7</c:v>
                  </c:pt>
                  <c:pt idx="6">
                    <c:v>0.2</c:v>
                  </c:pt>
                  <c:pt idx="7">
                    <c:v>0.4</c:v>
                  </c:pt>
                </c:numCache>
              </c:numRef>
            </c:minus>
            <c:spPr>
              <a:noFill/>
              <a:ln w="9525" cap="flat" cmpd="sng" algn="ctr">
                <a:solidFill>
                  <a:schemeClr val="tx1">
                    <a:lumMod val="65000"/>
                    <a:lumOff val="35000"/>
                  </a:schemeClr>
                </a:solidFill>
                <a:round/>
              </a:ln>
              <a:effectLst/>
            </c:spPr>
          </c:errBars>
          <c:cat>
            <c:strRef>
              <c:f>Sheet1!$K$213:$K$220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Sheet1!$Q$213:$Q$220</c:f>
              <c:numCache>
                <c:formatCode>General</c:formatCode>
                <c:ptCount val="8"/>
                <c:pt idx="0">
                  <c:v>15</c:v>
                </c:pt>
                <c:pt idx="1">
                  <c:v>17</c:v>
                </c:pt>
                <c:pt idx="2">
                  <c:v>30</c:v>
                </c:pt>
                <c:pt idx="3">
                  <c:v>24</c:v>
                </c:pt>
                <c:pt idx="4">
                  <c:v>16.5</c:v>
                </c:pt>
                <c:pt idx="5">
                  <c:v>15</c:v>
                </c:pt>
                <c:pt idx="6">
                  <c:v>12.5</c:v>
                </c:pt>
                <c:pt idx="7">
                  <c:v>20</c:v>
                </c:pt>
              </c:numCache>
            </c:numRef>
          </c:val>
          <c:smooth val="0"/>
          <c:extLst>
            <c:ext xmlns:c16="http://schemas.microsoft.com/office/drawing/2014/chart" uri="{C3380CC4-5D6E-409C-BE32-E72D297353CC}">
              <c16:uniqueId val="{00000005-6251-44A6-9A6F-5C43A1343EB5}"/>
            </c:ext>
          </c:extLst>
        </c:ser>
        <c:dLbls>
          <c:showLegendKey val="0"/>
          <c:showVal val="0"/>
          <c:showCatName val="0"/>
          <c:showSerName val="0"/>
          <c:showPercent val="0"/>
          <c:showBubbleSize val="0"/>
        </c:dLbls>
        <c:marker val="1"/>
        <c:smooth val="0"/>
        <c:axId val="400090336"/>
        <c:axId val="400090728"/>
      </c:lineChart>
      <c:catAx>
        <c:axId val="400090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0090728"/>
        <c:crosses val="autoZero"/>
        <c:auto val="1"/>
        <c:lblAlgn val="ctr"/>
        <c:lblOffset val="100"/>
        <c:noMultiLvlLbl val="0"/>
      </c:catAx>
      <c:valAx>
        <c:axId val="400090728"/>
        <c:scaling>
          <c:orientation val="minMax"/>
          <c:max val="35.5"/>
          <c:min val="7"/>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09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68002010129358"/>
          <c:y val="5.3075995174909532E-2"/>
          <c:w val="0.78402855352423506"/>
          <c:h val="0.51322435720866622"/>
        </c:manualLayout>
      </c:layout>
      <c:barChart>
        <c:barDir val="col"/>
        <c:grouping val="clustered"/>
        <c:varyColors val="0"/>
        <c:ser>
          <c:idx val="0"/>
          <c:order val="0"/>
          <c:tx>
            <c:strRef>
              <c:f>Sheet1!$U$212</c:f>
              <c:strCache>
                <c:ptCount val="1"/>
                <c:pt idx="0">
                  <c:v>0</c:v>
                </c:pt>
              </c:strCache>
            </c:strRef>
          </c:tx>
          <c:spPr>
            <a:solidFill>
              <a:schemeClr val="accent1"/>
            </a:solidFill>
            <a:ln>
              <a:noFill/>
            </a:ln>
            <a:effectLst/>
          </c:spPr>
          <c:invertIfNegative val="0"/>
          <c:cat>
            <c:strRef>
              <c:f>Sheet1!$T$213:$T$220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Sheet1!$U$213:$U$220</c:f>
              <c:numCache>
                <c:formatCode>General</c:formatCode>
                <c:ptCount val="8"/>
                <c:pt idx="0">
                  <c:v>6.2</c:v>
                </c:pt>
                <c:pt idx="1">
                  <c:v>0</c:v>
                </c:pt>
                <c:pt idx="2">
                  <c:v>15.4</c:v>
                </c:pt>
                <c:pt idx="3">
                  <c:v>7.7</c:v>
                </c:pt>
                <c:pt idx="4">
                  <c:v>12.3</c:v>
                </c:pt>
                <c:pt idx="5">
                  <c:v>8.6999999999999993</c:v>
                </c:pt>
                <c:pt idx="6">
                  <c:v>6.6</c:v>
                </c:pt>
                <c:pt idx="7">
                  <c:v>9.9</c:v>
                </c:pt>
              </c:numCache>
            </c:numRef>
          </c:val>
          <c:extLst>
            <c:ext xmlns:c16="http://schemas.microsoft.com/office/drawing/2014/chart" uri="{C3380CC4-5D6E-409C-BE32-E72D297353CC}">
              <c16:uniqueId val="{00000000-3B78-4FDA-89F4-EB4C4BE2FC75}"/>
            </c:ext>
          </c:extLst>
        </c:ser>
        <c:ser>
          <c:idx val="1"/>
          <c:order val="1"/>
          <c:tx>
            <c:strRef>
              <c:f>Sheet1!$V$212</c:f>
              <c:strCache>
                <c:ptCount val="1"/>
                <c:pt idx="0">
                  <c:v>75</c:v>
                </c:pt>
              </c:strCache>
            </c:strRef>
          </c:tx>
          <c:spPr>
            <a:solidFill>
              <a:schemeClr val="accent2"/>
            </a:solidFill>
            <a:ln>
              <a:noFill/>
            </a:ln>
            <a:effectLst/>
          </c:spPr>
          <c:invertIfNegative val="0"/>
          <c:cat>
            <c:strRef>
              <c:f>Sheet1!$T$213:$T$220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Sheet1!$V$213:$V$220</c:f>
              <c:numCache>
                <c:formatCode>General</c:formatCode>
                <c:ptCount val="8"/>
                <c:pt idx="0">
                  <c:v>7.7</c:v>
                </c:pt>
                <c:pt idx="1">
                  <c:v>12.9</c:v>
                </c:pt>
                <c:pt idx="2">
                  <c:v>21.9</c:v>
                </c:pt>
                <c:pt idx="3">
                  <c:v>7.8</c:v>
                </c:pt>
                <c:pt idx="4">
                  <c:v>16.100000000000001</c:v>
                </c:pt>
                <c:pt idx="5">
                  <c:v>10.199999999999999</c:v>
                </c:pt>
                <c:pt idx="6">
                  <c:v>6.6</c:v>
                </c:pt>
                <c:pt idx="7">
                  <c:v>12.1</c:v>
                </c:pt>
              </c:numCache>
            </c:numRef>
          </c:val>
          <c:extLst>
            <c:ext xmlns:c16="http://schemas.microsoft.com/office/drawing/2014/chart" uri="{C3380CC4-5D6E-409C-BE32-E72D297353CC}">
              <c16:uniqueId val="{00000001-3B78-4FDA-89F4-EB4C4BE2FC75}"/>
            </c:ext>
          </c:extLst>
        </c:ser>
        <c:ser>
          <c:idx val="2"/>
          <c:order val="2"/>
          <c:tx>
            <c:strRef>
              <c:f>Sheet1!$W$212</c:f>
              <c:strCache>
                <c:ptCount val="1"/>
                <c:pt idx="0">
                  <c:v>150</c:v>
                </c:pt>
              </c:strCache>
            </c:strRef>
          </c:tx>
          <c:spPr>
            <a:solidFill>
              <a:schemeClr val="accent3"/>
            </a:solidFill>
            <a:ln>
              <a:noFill/>
            </a:ln>
            <a:effectLst/>
          </c:spPr>
          <c:invertIfNegative val="0"/>
          <c:cat>
            <c:strRef>
              <c:f>Sheet1!$T$213:$T$220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Sheet1!$W$213:$W$220</c:f>
              <c:numCache>
                <c:formatCode>General</c:formatCode>
                <c:ptCount val="8"/>
                <c:pt idx="0">
                  <c:v>9.6999999999999993</c:v>
                </c:pt>
                <c:pt idx="1">
                  <c:v>13.2</c:v>
                </c:pt>
                <c:pt idx="2">
                  <c:v>23</c:v>
                </c:pt>
                <c:pt idx="3">
                  <c:v>9.1999999999999993</c:v>
                </c:pt>
                <c:pt idx="4">
                  <c:v>16.399999999999999</c:v>
                </c:pt>
                <c:pt idx="5">
                  <c:v>11.4</c:v>
                </c:pt>
                <c:pt idx="6">
                  <c:v>6.7</c:v>
                </c:pt>
                <c:pt idx="7">
                  <c:v>14</c:v>
                </c:pt>
              </c:numCache>
            </c:numRef>
          </c:val>
          <c:extLst>
            <c:ext xmlns:c16="http://schemas.microsoft.com/office/drawing/2014/chart" uri="{C3380CC4-5D6E-409C-BE32-E72D297353CC}">
              <c16:uniqueId val="{00000002-3B78-4FDA-89F4-EB4C4BE2FC75}"/>
            </c:ext>
          </c:extLst>
        </c:ser>
        <c:ser>
          <c:idx val="3"/>
          <c:order val="3"/>
          <c:tx>
            <c:strRef>
              <c:f>Sheet1!$X$212</c:f>
              <c:strCache>
                <c:ptCount val="1"/>
                <c:pt idx="0">
                  <c:v>225</c:v>
                </c:pt>
              </c:strCache>
            </c:strRef>
          </c:tx>
          <c:spPr>
            <a:solidFill>
              <a:schemeClr val="accent4"/>
            </a:solidFill>
            <a:ln>
              <a:noFill/>
            </a:ln>
            <a:effectLst/>
          </c:spPr>
          <c:invertIfNegative val="0"/>
          <c:cat>
            <c:strRef>
              <c:f>Sheet1!$T$213:$T$220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Sheet1!$X$213:$X$220</c:f>
              <c:numCache>
                <c:formatCode>General</c:formatCode>
                <c:ptCount val="8"/>
                <c:pt idx="0">
                  <c:v>10.6</c:v>
                </c:pt>
                <c:pt idx="1">
                  <c:v>13.7</c:v>
                </c:pt>
                <c:pt idx="2">
                  <c:v>31</c:v>
                </c:pt>
                <c:pt idx="3">
                  <c:v>9.4</c:v>
                </c:pt>
                <c:pt idx="4">
                  <c:v>18</c:v>
                </c:pt>
                <c:pt idx="5">
                  <c:v>15.1</c:v>
                </c:pt>
                <c:pt idx="6">
                  <c:v>6.8</c:v>
                </c:pt>
                <c:pt idx="7">
                  <c:v>14.3</c:v>
                </c:pt>
              </c:numCache>
            </c:numRef>
          </c:val>
          <c:extLst>
            <c:ext xmlns:c16="http://schemas.microsoft.com/office/drawing/2014/chart" uri="{C3380CC4-5D6E-409C-BE32-E72D297353CC}">
              <c16:uniqueId val="{00000003-3B78-4FDA-89F4-EB4C4BE2FC75}"/>
            </c:ext>
          </c:extLst>
        </c:ser>
        <c:ser>
          <c:idx val="4"/>
          <c:order val="4"/>
          <c:tx>
            <c:strRef>
              <c:f>Sheet1!$Y$212</c:f>
              <c:strCache>
                <c:ptCount val="1"/>
                <c:pt idx="0">
                  <c:v>300</c:v>
                </c:pt>
              </c:strCache>
            </c:strRef>
          </c:tx>
          <c:spPr>
            <a:solidFill>
              <a:schemeClr val="accent5"/>
            </a:solidFill>
            <a:ln>
              <a:noFill/>
            </a:ln>
            <a:effectLst/>
          </c:spPr>
          <c:invertIfNegative val="0"/>
          <c:cat>
            <c:strRef>
              <c:f>Sheet1!$T$213:$T$220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Sheet1!$Y$213:$Y$220</c:f>
              <c:numCache>
                <c:formatCode>General</c:formatCode>
                <c:ptCount val="8"/>
                <c:pt idx="0">
                  <c:v>11.7</c:v>
                </c:pt>
                <c:pt idx="1">
                  <c:v>13.7</c:v>
                </c:pt>
                <c:pt idx="2">
                  <c:v>33</c:v>
                </c:pt>
                <c:pt idx="3">
                  <c:v>9.4</c:v>
                </c:pt>
                <c:pt idx="4">
                  <c:v>18.3</c:v>
                </c:pt>
                <c:pt idx="5">
                  <c:v>17.7</c:v>
                </c:pt>
                <c:pt idx="6">
                  <c:v>6.8</c:v>
                </c:pt>
                <c:pt idx="7">
                  <c:v>15</c:v>
                </c:pt>
              </c:numCache>
            </c:numRef>
          </c:val>
          <c:extLst>
            <c:ext xmlns:c16="http://schemas.microsoft.com/office/drawing/2014/chart" uri="{C3380CC4-5D6E-409C-BE32-E72D297353CC}">
              <c16:uniqueId val="{00000004-3B78-4FDA-89F4-EB4C4BE2FC75}"/>
            </c:ext>
          </c:extLst>
        </c:ser>
        <c:dLbls>
          <c:showLegendKey val="0"/>
          <c:showVal val="0"/>
          <c:showCatName val="0"/>
          <c:showSerName val="0"/>
          <c:showPercent val="0"/>
          <c:showBubbleSize val="0"/>
        </c:dLbls>
        <c:gapWidth val="300"/>
        <c:axId val="400091904"/>
        <c:axId val="65546816"/>
      </c:barChart>
      <c:lineChart>
        <c:grouping val="standard"/>
        <c:varyColors val="0"/>
        <c:ser>
          <c:idx val="5"/>
          <c:order val="5"/>
          <c:tx>
            <c:strRef>
              <c:f>Sheet1!$Z$212</c:f>
              <c:strCache>
                <c:ptCount val="1"/>
              </c:strCache>
            </c:strRef>
          </c:tx>
          <c:spPr>
            <a:ln w="28575" cap="rnd">
              <a:noFill/>
              <a:round/>
            </a:ln>
            <a:effectLst/>
          </c:spPr>
          <c:marker>
            <c:symbol val="none"/>
          </c:marker>
          <c:errBars>
            <c:errDir val="y"/>
            <c:errBarType val="both"/>
            <c:errValType val="cust"/>
            <c:noEndCap val="0"/>
            <c:plus>
              <c:numRef>
                <c:f>Sheet1!$AB$213:$AB$220</c:f>
                <c:numCache>
                  <c:formatCode>General</c:formatCode>
                  <c:ptCount val="8"/>
                  <c:pt idx="0">
                    <c:v>1</c:v>
                  </c:pt>
                  <c:pt idx="1">
                    <c:v>0.8</c:v>
                  </c:pt>
                  <c:pt idx="2">
                    <c:v>0.75</c:v>
                  </c:pt>
                  <c:pt idx="3">
                    <c:v>0.7</c:v>
                  </c:pt>
                  <c:pt idx="4">
                    <c:v>0.9</c:v>
                  </c:pt>
                  <c:pt idx="5">
                    <c:v>1.05</c:v>
                  </c:pt>
                  <c:pt idx="6">
                    <c:v>0.9</c:v>
                  </c:pt>
                  <c:pt idx="7">
                    <c:v>0.3</c:v>
                  </c:pt>
                </c:numCache>
              </c:numRef>
            </c:plus>
            <c:minus>
              <c:numRef>
                <c:f>Sheet1!$AB$213:$AB$220</c:f>
                <c:numCache>
                  <c:formatCode>General</c:formatCode>
                  <c:ptCount val="8"/>
                  <c:pt idx="0">
                    <c:v>1</c:v>
                  </c:pt>
                  <c:pt idx="1">
                    <c:v>0.8</c:v>
                  </c:pt>
                  <c:pt idx="2">
                    <c:v>0.75</c:v>
                  </c:pt>
                  <c:pt idx="3">
                    <c:v>0.7</c:v>
                  </c:pt>
                  <c:pt idx="4">
                    <c:v>0.9</c:v>
                  </c:pt>
                  <c:pt idx="5">
                    <c:v>1.05</c:v>
                  </c:pt>
                  <c:pt idx="6">
                    <c:v>0.9</c:v>
                  </c:pt>
                  <c:pt idx="7">
                    <c:v>0.3</c:v>
                  </c:pt>
                </c:numCache>
              </c:numRef>
            </c:minus>
            <c:spPr>
              <a:noFill/>
              <a:ln w="9525" cap="flat" cmpd="sng" algn="ctr">
                <a:solidFill>
                  <a:schemeClr val="tx1">
                    <a:lumMod val="65000"/>
                    <a:lumOff val="35000"/>
                  </a:schemeClr>
                </a:solidFill>
                <a:round/>
              </a:ln>
              <a:effectLst/>
            </c:spPr>
          </c:errBars>
          <c:cat>
            <c:strRef>
              <c:f>Sheet1!$T$213:$T$220</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Sheet1!$Z$213:$Z$220</c:f>
              <c:numCache>
                <c:formatCode>General</c:formatCode>
                <c:ptCount val="8"/>
                <c:pt idx="0">
                  <c:v>12</c:v>
                </c:pt>
                <c:pt idx="1">
                  <c:v>15</c:v>
                </c:pt>
                <c:pt idx="2">
                  <c:v>32</c:v>
                </c:pt>
                <c:pt idx="3">
                  <c:v>12</c:v>
                </c:pt>
                <c:pt idx="4">
                  <c:v>18</c:v>
                </c:pt>
                <c:pt idx="5">
                  <c:v>16</c:v>
                </c:pt>
                <c:pt idx="6">
                  <c:v>8</c:v>
                </c:pt>
                <c:pt idx="7">
                  <c:v>15.5</c:v>
                </c:pt>
              </c:numCache>
            </c:numRef>
          </c:val>
          <c:smooth val="0"/>
          <c:extLst>
            <c:ext xmlns:c16="http://schemas.microsoft.com/office/drawing/2014/chart" uri="{C3380CC4-5D6E-409C-BE32-E72D297353CC}">
              <c16:uniqueId val="{00000005-3B78-4FDA-89F4-EB4C4BE2FC75}"/>
            </c:ext>
          </c:extLst>
        </c:ser>
        <c:dLbls>
          <c:showLegendKey val="0"/>
          <c:showVal val="0"/>
          <c:showCatName val="0"/>
          <c:showSerName val="0"/>
          <c:showPercent val="0"/>
          <c:showBubbleSize val="0"/>
        </c:dLbls>
        <c:marker val="1"/>
        <c:smooth val="0"/>
        <c:axId val="400091904"/>
        <c:axId val="65546816"/>
      </c:lineChart>
      <c:catAx>
        <c:axId val="400091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r>
                  <a:rPr lang="en-US" baseline="0"/>
                  <a:t> (bars are LSDs, p</a:t>
                </a:r>
                <a:r>
                  <a:rPr lang="en-US" baseline="0">
                    <a:latin typeface="Aptos Narrow" panose="020B0004020202020204" pitchFamily="34" charset="0"/>
                  </a:rPr>
                  <a:t>≤0.05)</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546816"/>
        <c:crosses val="autoZero"/>
        <c:auto val="1"/>
        <c:lblAlgn val="ctr"/>
        <c:lblOffset val="100"/>
        <c:noMultiLvlLbl val="0"/>
      </c:catAx>
      <c:valAx>
        <c:axId val="65546816"/>
        <c:scaling>
          <c:orientation val="minMax"/>
          <c:max val="33.5"/>
          <c:min val="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ppm</a:t>
                </a:r>
              </a:p>
              <a:p>
                <a:pPr>
                  <a:defRPr/>
                </a:pP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09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6E22D-F56B-4A4E-B475-7633C7010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14722</Words>
  <Characters>83919</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98445</CharactersWithSpaces>
  <SharedDoc>false</SharedDoc>
  <HLinks>
    <vt:vector size="30" baseType="variant">
      <vt:variant>
        <vt:i4>3276881</vt:i4>
      </vt:variant>
      <vt:variant>
        <vt:i4>241</vt:i4>
      </vt:variant>
      <vt:variant>
        <vt:i4>0</vt:i4>
      </vt:variant>
      <vt:variant>
        <vt:i4>5</vt:i4>
      </vt:variant>
      <vt:variant>
        <vt:lpwstr>https://DOI:10.1007/978-94-007-1521-9_10</vt:lpwstr>
      </vt:variant>
      <vt:variant>
        <vt:lpwstr/>
      </vt:variant>
      <vt:variant>
        <vt:i4>2621479</vt:i4>
      </vt:variant>
      <vt:variant>
        <vt:i4>238</vt:i4>
      </vt:variant>
      <vt:variant>
        <vt:i4>0</vt:i4>
      </vt:variant>
      <vt:variant>
        <vt:i4>5</vt:i4>
      </vt:variant>
      <vt:variant>
        <vt:lpwstr>http://dx.doi.org/10.19103/AS.2017.0036.23</vt:lpwstr>
      </vt:variant>
      <vt:variant>
        <vt:lpwstr/>
      </vt:variant>
      <vt:variant>
        <vt:i4>65558</vt:i4>
      </vt:variant>
      <vt:variant>
        <vt:i4>235</vt:i4>
      </vt:variant>
      <vt:variant>
        <vt:i4>0</vt:i4>
      </vt:variant>
      <vt:variant>
        <vt:i4>5</vt:i4>
      </vt:variant>
      <vt:variant>
        <vt:lpwstr>www.bdspublishing.com</vt:lpwstr>
      </vt:variant>
      <vt:variant>
        <vt:lpwstr/>
      </vt:variant>
      <vt:variant>
        <vt:i4>720982</vt:i4>
      </vt:variant>
      <vt:variant>
        <vt:i4>232</vt:i4>
      </vt:variant>
      <vt:variant>
        <vt:i4>0</vt:i4>
      </vt:variant>
      <vt:variant>
        <vt:i4>5</vt:i4>
      </vt:variant>
      <vt:variant>
        <vt:lpwstr>https://10.0.79.201/ijts15100</vt:lpwstr>
      </vt:variant>
      <vt:variant>
        <vt:lpwstr/>
      </vt:variant>
      <vt:variant>
        <vt:i4>720954</vt:i4>
      </vt:variant>
      <vt:variant>
        <vt:i4>0</vt:i4>
      </vt:variant>
      <vt:variant>
        <vt:i4>0</vt:i4>
      </vt:variant>
      <vt:variant>
        <vt:i4>5</vt:i4>
      </vt:variant>
      <vt:variant>
        <vt:lpwstr>mailto:rombori@yahoo.com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SDI 1084</cp:lastModifiedBy>
  <cp:revision>6</cp:revision>
  <cp:lastPrinted>2018-12-15T00:19:00Z</cp:lastPrinted>
  <dcterms:created xsi:type="dcterms:W3CDTF">2025-11-25T18:28:00Z</dcterms:created>
  <dcterms:modified xsi:type="dcterms:W3CDTF">2025-11-27T07:22:00Z</dcterms:modified>
</cp:coreProperties>
</file>