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78556" w14:textId="3F3DC39B" w:rsidR="00105179" w:rsidRDefault="00002150" w:rsidP="004B15E8">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Unveiling the Therapeutic potential of </w:t>
      </w:r>
      <w:r>
        <w:rPr>
          <w:rFonts w:ascii="Times New Roman" w:hAnsi="Times New Roman" w:cs="Times New Roman"/>
          <w:b/>
          <w:bCs/>
          <w:i/>
          <w:iCs/>
          <w:sz w:val="32"/>
          <w:szCs w:val="32"/>
        </w:rPr>
        <w:t xml:space="preserve">Camellia </w:t>
      </w:r>
      <w:proofErr w:type="spellStart"/>
      <w:r>
        <w:rPr>
          <w:rFonts w:ascii="Times New Roman" w:hAnsi="Times New Roman" w:cs="Times New Roman"/>
          <w:b/>
          <w:bCs/>
          <w:i/>
          <w:iCs/>
          <w:sz w:val="32"/>
          <w:szCs w:val="32"/>
        </w:rPr>
        <w:t>sinensis</w:t>
      </w:r>
      <w:proofErr w:type="spellEnd"/>
      <w:r>
        <w:rPr>
          <w:rFonts w:ascii="Times New Roman" w:hAnsi="Times New Roman" w:cs="Times New Roman"/>
          <w:b/>
          <w:bCs/>
          <w:i/>
          <w:iCs/>
          <w:sz w:val="32"/>
          <w:szCs w:val="32"/>
        </w:rPr>
        <w:t xml:space="preserve"> </w:t>
      </w:r>
      <w:r>
        <w:rPr>
          <w:rFonts w:ascii="Times New Roman" w:hAnsi="Times New Roman" w:cs="Times New Roman"/>
          <w:b/>
          <w:bCs/>
          <w:sz w:val="32"/>
          <w:szCs w:val="32"/>
        </w:rPr>
        <w:t>phytochemicals: A computational exploration of Ligand-Protein Interactions in Oral Biofilm Inhibition</w:t>
      </w:r>
    </w:p>
    <w:p w14:paraId="0DCCFE66" w14:textId="4A440F73" w:rsidR="0089496B" w:rsidRDefault="0089496B" w:rsidP="002541A7">
      <w:pPr>
        <w:spacing w:line="360" w:lineRule="auto"/>
        <w:jc w:val="both"/>
        <w:rPr>
          <w:rFonts w:ascii="Times New Roman" w:hAnsi="Times New Roman" w:cs="Times New Roman"/>
          <w:b/>
          <w:bCs/>
          <w:sz w:val="24"/>
          <w:szCs w:val="24"/>
        </w:rPr>
      </w:pPr>
    </w:p>
    <w:p w14:paraId="30117C68" w14:textId="77777777" w:rsidR="003D6A6F" w:rsidRDefault="003D6A6F" w:rsidP="002541A7">
      <w:pPr>
        <w:spacing w:line="360" w:lineRule="auto"/>
        <w:jc w:val="both"/>
        <w:rPr>
          <w:rFonts w:ascii="Times New Roman" w:hAnsi="Times New Roman" w:cs="Times New Roman"/>
          <w:b/>
          <w:bCs/>
          <w:sz w:val="24"/>
          <w:szCs w:val="24"/>
        </w:rPr>
      </w:pPr>
      <w:bookmarkStart w:id="0" w:name="_GoBack"/>
      <w:bookmarkEnd w:id="0"/>
    </w:p>
    <w:p w14:paraId="0C12BC99" w14:textId="5BE225B2" w:rsidR="002541A7" w:rsidRPr="002541A7" w:rsidRDefault="00002150" w:rsidP="002541A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183F737D" w14:textId="768131E5" w:rsidR="0062273D" w:rsidRPr="009D69EA" w:rsidRDefault="008916F9" w:rsidP="002541A7">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9D69EA">
        <w:rPr>
          <w:rFonts w:ascii="Times New Roman" w:hAnsi="Times New Roman" w:cs="Times New Roman"/>
          <w:sz w:val="24"/>
          <w:szCs w:val="24"/>
        </w:rPr>
        <w:t xml:space="preserve">e rising incidence of oral biofilm-related diseases, such as dental caries and periodontal infections, demands innovative therapeutic strategies. This research </w:t>
      </w:r>
      <w:r w:rsidR="00D22A57">
        <w:rPr>
          <w:rFonts w:ascii="Times New Roman" w:hAnsi="Times New Roman" w:cs="Times New Roman"/>
          <w:sz w:val="24"/>
          <w:szCs w:val="24"/>
        </w:rPr>
        <w:t xml:space="preserve">uses computational techniques to explore the interactions between phytochemicals derived from </w:t>
      </w:r>
      <w:r w:rsidR="00D22A57" w:rsidRPr="00C80715">
        <w:rPr>
          <w:rFonts w:ascii="Times New Roman" w:hAnsi="Times New Roman" w:cs="Times New Roman"/>
          <w:i/>
          <w:sz w:val="24"/>
          <w:szCs w:val="24"/>
        </w:rPr>
        <w:t xml:space="preserve">Camellia </w:t>
      </w:r>
      <w:proofErr w:type="spellStart"/>
      <w:r w:rsidR="00D22A57" w:rsidRPr="00C80715">
        <w:rPr>
          <w:rFonts w:ascii="Times New Roman" w:hAnsi="Times New Roman" w:cs="Times New Roman"/>
          <w:i/>
          <w:sz w:val="24"/>
          <w:szCs w:val="24"/>
        </w:rPr>
        <w:t>sinensis</w:t>
      </w:r>
      <w:proofErr w:type="spellEnd"/>
      <w:r w:rsidR="00D22A57">
        <w:rPr>
          <w:rFonts w:ascii="Times New Roman" w:hAnsi="Times New Roman" w:cs="Times New Roman"/>
          <w:sz w:val="24"/>
          <w:szCs w:val="24"/>
        </w:rPr>
        <w:t xml:space="preserve"> (Green tea) and key proteins involved in oral biofilm formation</w:t>
      </w:r>
      <w:r w:rsidR="009D69EA">
        <w:rPr>
          <w:rFonts w:ascii="Times New Roman" w:hAnsi="Times New Roman" w:cs="Times New Roman"/>
          <w:sz w:val="24"/>
          <w:szCs w:val="24"/>
        </w:rPr>
        <w:t xml:space="preserve">. The study employs molecular docking to assess the binding affinities of six prominent phytochemicals Epigallocatechin Gallate (EGCG), Catechin, Epicatechin Gallate (ECG), Epicatechin (EC), Quercetin, and Kaempferol against five critical target proteins </w:t>
      </w:r>
      <w:proofErr w:type="spellStart"/>
      <w:r w:rsidR="009D69EA">
        <w:rPr>
          <w:rFonts w:ascii="Times New Roman" w:hAnsi="Times New Roman" w:cs="Times New Roman"/>
          <w:sz w:val="24"/>
          <w:szCs w:val="24"/>
        </w:rPr>
        <w:t>LuxS</w:t>
      </w:r>
      <w:proofErr w:type="spellEnd"/>
      <w:r w:rsidR="009D69EA">
        <w:rPr>
          <w:rFonts w:ascii="Times New Roman" w:hAnsi="Times New Roman" w:cs="Times New Roman"/>
          <w:sz w:val="24"/>
          <w:szCs w:val="24"/>
        </w:rPr>
        <w:t xml:space="preserve">, </w:t>
      </w:r>
      <w:proofErr w:type="spellStart"/>
      <w:r w:rsidR="009D69EA">
        <w:rPr>
          <w:rFonts w:ascii="Times New Roman" w:hAnsi="Times New Roman" w:cs="Times New Roman"/>
          <w:sz w:val="24"/>
          <w:szCs w:val="24"/>
        </w:rPr>
        <w:t>SpaP</w:t>
      </w:r>
      <w:proofErr w:type="spellEnd"/>
      <w:r w:rsidR="009D69EA">
        <w:rPr>
          <w:rFonts w:ascii="Times New Roman" w:hAnsi="Times New Roman" w:cs="Times New Roman"/>
          <w:sz w:val="24"/>
          <w:szCs w:val="24"/>
        </w:rPr>
        <w:t xml:space="preserve">, </w:t>
      </w:r>
      <w:proofErr w:type="spellStart"/>
      <w:r w:rsidR="009D69EA">
        <w:rPr>
          <w:rFonts w:ascii="Times New Roman" w:hAnsi="Times New Roman" w:cs="Times New Roman"/>
          <w:sz w:val="24"/>
          <w:szCs w:val="24"/>
        </w:rPr>
        <w:t>FruA</w:t>
      </w:r>
      <w:proofErr w:type="spellEnd"/>
      <w:r w:rsidR="009D69EA">
        <w:rPr>
          <w:rFonts w:ascii="Times New Roman" w:hAnsi="Times New Roman" w:cs="Times New Roman"/>
          <w:sz w:val="24"/>
          <w:szCs w:val="24"/>
        </w:rPr>
        <w:t xml:space="preserve">, </w:t>
      </w:r>
      <w:proofErr w:type="spellStart"/>
      <w:r w:rsidR="009D69EA">
        <w:rPr>
          <w:rFonts w:ascii="Times New Roman" w:hAnsi="Times New Roman" w:cs="Times New Roman"/>
          <w:sz w:val="24"/>
          <w:szCs w:val="24"/>
        </w:rPr>
        <w:t>GtfB</w:t>
      </w:r>
      <w:proofErr w:type="spellEnd"/>
      <w:r w:rsidR="009D69EA">
        <w:rPr>
          <w:rFonts w:ascii="Times New Roman" w:hAnsi="Times New Roman" w:cs="Times New Roman"/>
          <w:sz w:val="24"/>
          <w:szCs w:val="24"/>
        </w:rPr>
        <w:t xml:space="preserve">, and </w:t>
      </w:r>
      <w:proofErr w:type="spellStart"/>
      <w:r w:rsidR="009D69EA">
        <w:rPr>
          <w:rFonts w:ascii="Times New Roman" w:hAnsi="Times New Roman" w:cs="Times New Roman"/>
          <w:sz w:val="24"/>
          <w:szCs w:val="24"/>
        </w:rPr>
        <w:t>ComD.</w:t>
      </w:r>
      <w:proofErr w:type="spellEnd"/>
      <w:r w:rsidR="009D69EA">
        <w:rPr>
          <w:rFonts w:ascii="Times New Roman" w:hAnsi="Times New Roman" w:cs="Times New Roman"/>
          <w:sz w:val="24"/>
          <w:szCs w:val="24"/>
        </w:rPr>
        <w:t xml:space="preserve"> Results indicate that EGCG and Quercetin demonstrate the highest binding affinities across multiple proteins, suggesting their potential as potent inhibitors of biofilm formation. Additionally, multi-ligand docking studies reveal enhanced inhibitory effects when these phytochemicals are combined, with the EGCG and Quercetin combination showing </w:t>
      </w:r>
      <w:r w:rsidR="007C3BC8">
        <w:rPr>
          <w:rFonts w:ascii="Times New Roman" w:hAnsi="Times New Roman" w:cs="Times New Roman"/>
          <w:sz w:val="24"/>
          <w:szCs w:val="24"/>
        </w:rPr>
        <w:t>extreme</w:t>
      </w:r>
      <w:r w:rsidR="009D69EA">
        <w:rPr>
          <w:rFonts w:ascii="Times New Roman" w:hAnsi="Times New Roman" w:cs="Times New Roman"/>
          <w:sz w:val="24"/>
          <w:szCs w:val="24"/>
        </w:rPr>
        <w:t xml:space="preserve"> potential against </w:t>
      </w:r>
      <w:proofErr w:type="spellStart"/>
      <w:r w:rsidR="009D69EA">
        <w:rPr>
          <w:rFonts w:ascii="Times New Roman" w:hAnsi="Times New Roman" w:cs="Times New Roman"/>
          <w:sz w:val="24"/>
          <w:szCs w:val="24"/>
        </w:rPr>
        <w:t>SpaP</w:t>
      </w:r>
      <w:proofErr w:type="spellEnd"/>
      <w:r w:rsidR="009D69EA">
        <w:rPr>
          <w:rFonts w:ascii="Times New Roman" w:hAnsi="Times New Roman" w:cs="Times New Roman"/>
          <w:sz w:val="24"/>
          <w:szCs w:val="24"/>
        </w:rPr>
        <w:t xml:space="preserve">. These findings offer valuable insights into the molecular mechanisms of biofilm inhibition, highlighting the promise of green tea phytochemicals </w:t>
      </w:r>
      <w:r w:rsidR="007C3BC8">
        <w:rPr>
          <w:rFonts w:ascii="Times New Roman" w:hAnsi="Times New Roman" w:cs="Times New Roman"/>
          <w:sz w:val="24"/>
          <w:szCs w:val="24"/>
        </w:rPr>
        <w:t>in developing targeted therapeutics for managing oral biofilm-related diseases.</w:t>
      </w:r>
    </w:p>
    <w:p w14:paraId="67EB4EBC" w14:textId="5E956E64" w:rsidR="0091685D" w:rsidRDefault="0091685D" w:rsidP="00BF5DE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proofErr w:type="spellStart"/>
      <w:r w:rsidR="00817954">
        <w:rPr>
          <w:rFonts w:ascii="Times New Roman" w:hAnsi="Times New Roman" w:cs="Times New Roman"/>
          <w:sz w:val="24"/>
          <w:szCs w:val="24"/>
        </w:rPr>
        <w:t>LuxS</w:t>
      </w:r>
      <w:proofErr w:type="spellEnd"/>
      <w:r w:rsidR="00817954">
        <w:rPr>
          <w:rFonts w:ascii="Times New Roman" w:hAnsi="Times New Roman" w:cs="Times New Roman"/>
          <w:sz w:val="24"/>
          <w:szCs w:val="24"/>
        </w:rPr>
        <w:t xml:space="preserve"> quorum sensing system, Extracellular poly</w:t>
      </w:r>
      <w:r w:rsidR="00982030">
        <w:rPr>
          <w:rFonts w:ascii="Times New Roman" w:hAnsi="Times New Roman" w:cs="Times New Roman"/>
          <w:sz w:val="24"/>
          <w:szCs w:val="24"/>
        </w:rPr>
        <w:t>saccharide</w:t>
      </w:r>
      <w:r w:rsidR="00817954">
        <w:rPr>
          <w:rFonts w:ascii="Times New Roman" w:hAnsi="Times New Roman" w:cs="Times New Roman"/>
          <w:sz w:val="24"/>
          <w:szCs w:val="24"/>
        </w:rPr>
        <w:t xml:space="preserve">, </w:t>
      </w:r>
      <w:r w:rsidR="00CE01A4">
        <w:rPr>
          <w:rFonts w:ascii="Times New Roman" w:hAnsi="Times New Roman" w:cs="Times New Roman"/>
          <w:sz w:val="24"/>
          <w:szCs w:val="24"/>
        </w:rPr>
        <w:t xml:space="preserve">Oral biofilm formation, Computational methodologies, </w:t>
      </w:r>
      <w:r w:rsidR="005B23E5">
        <w:rPr>
          <w:rFonts w:ascii="Times New Roman" w:hAnsi="Times New Roman" w:cs="Times New Roman"/>
          <w:sz w:val="24"/>
          <w:szCs w:val="24"/>
        </w:rPr>
        <w:t>Natural antimicrobial agents</w:t>
      </w:r>
      <w:r w:rsidR="00CE01A4">
        <w:rPr>
          <w:rFonts w:ascii="Times New Roman" w:hAnsi="Times New Roman" w:cs="Times New Roman"/>
          <w:sz w:val="24"/>
          <w:szCs w:val="24"/>
        </w:rPr>
        <w:t>.</w:t>
      </w:r>
    </w:p>
    <w:p w14:paraId="647B5FDA" w14:textId="647CAD49" w:rsidR="00C659AC" w:rsidRDefault="00C659AC"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3782F6BE" w14:textId="74A64547" w:rsidR="00494E51" w:rsidRPr="003B6697" w:rsidRDefault="00494E51" w:rsidP="00494E51">
      <w:pPr>
        <w:spacing w:line="360" w:lineRule="auto"/>
        <w:jc w:val="both"/>
        <w:rPr>
          <w:rFonts w:ascii="Times New Roman" w:hAnsi="Times New Roman" w:cs="Times New Roman"/>
          <w:b/>
          <w:bCs/>
          <w:sz w:val="24"/>
          <w:szCs w:val="24"/>
        </w:rPr>
      </w:pPr>
      <w:r w:rsidRPr="003B6697">
        <w:rPr>
          <w:rFonts w:ascii="Times New Roman" w:hAnsi="Times New Roman" w:cs="Times New Roman"/>
          <w:b/>
          <w:bCs/>
          <w:sz w:val="24"/>
          <w:szCs w:val="24"/>
        </w:rPr>
        <w:t>Computational Investigation of Phytochemical Interactions with Oral Biofilm-Forming Bacterial Proteins</w:t>
      </w:r>
      <w:r w:rsidR="003B6697" w:rsidRPr="003B6697">
        <w:rPr>
          <w:rFonts w:ascii="Times New Roman" w:hAnsi="Times New Roman" w:cs="Times New Roman"/>
          <w:b/>
          <w:bCs/>
          <w:sz w:val="24"/>
          <w:szCs w:val="24"/>
        </w:rPr>
        <w:t>:</w:t>
      </w:r>
    </w:p>
    <w:p w14:paraId="6997DF8E" w14:textId="02682E78" w:rsidR="00986AA1" w:rsidRDefault="00494E51" w:rsidP="00494E51">
      <w:pPr>
        <w:spacing w:line="360" w:lineRule="auto"/>
        <w:jc w:val="both"/>
        <w:rPr>
          <w:rFonts w:ascii="Times New Roman" w:hAnsi="Times New Roman" w:cs="Times New Roman"/>
          <w:sz w:val="24"/>
          <w:szCs w:val="24"/>
        </w:rPr>
      </w:pPr>
      <w:r w:rsidRPr="00494E51">
        <w:rPr>
          <w:rFonts w:ascii="Times New Roman" w:hAnsi="Times New Roman" w:cs="Times New Roman"/>
          <w:sz w:val="24"/>
          <w:szCs w:val="24"/>
        </w:rPr>
        <w:t xml:space="preserve">The rising incidence of oral biofilm-related diseases, such as dental caries and periodontal infections, underscores the urgent need for innovative therapeutic strategies. Computational approaches have recently emerged as valuable tools in identifying novel bioactive compounds for combating oral biofilm formation. Techniques like molecular docking and molecular dynamics simulations enable researchers to explore the interactions between phytochemical compounds and key proteins in oral biofilm formation. This computational investigation provides valuable insights into the molecular mechanisms underlying the inhibition of biofilm formation and the disruption of bacterial virulence factors. By elucidating these interactions at the atomic level, computational studies pave the way for the rational design of targeted therapeutics to mitigate the burden of oral biofilm-related diseases (Baker, 2020; Chen </w:t>
      </w:r>
      <w:r w:rsidRPr="00F50D01">
        <w:rPr>
          <w:rFonts w:ascii="Times New Roman" w:hAnsi="Times New Roman" w:cs="Times New Roman"/>
          <w:i/>
          <w:iCs/>
          <w:sz w:val="24"/>
          <w:szCs w:val="24"/>
        </w:rPr>
        <w:t>et al.,</w:t>
      </w:r>
      <w:r w:rsidRPr="00494E51">
        <w:rPr>
          <w:rFonts w:ascii="Times New Roman" w:hAnsi="Times New Roman" w:cs="Times New Roman"/>
          <w:sz w:val="24"/>
          <w:szCs w:val="24"/>
        </w:rPr>
        <w:t xml:space="preserve"> 2021).</w:t>
      </w:r>
    </w:p>
    <w:p w14:paraId="2C007433" w14:textId="77777777" w:rsidR="008A5312" w:rsidRPr="00494E51" w:rsidRDefault="008A5312" w:rsidP="00494E51">
      <w:pPr>
        <w:spacing w:line="360" w:lineRule="auto"/>
        <w:jc w:val="both"/>
        <w:rPr>
          <w:rFonts w:ascii="Times New Roman" w:hAnsi="Times New Roman" w:cs="Times New Roman"/>
          <w:sz w:val="24"/>
          <w:szCs w:val="24"/>
        </w:rPr>
      </w:pPr>
    </w:p>
    <w:p w14:paraId="36BDB2E6" w14:textId="29BCAB42" w:rsidR="00494E51" w:rsidRPr="003B6697" w:rsidRDefault="00494E51" w:rsidP="00494E51">
      <w:pPr>
        <w:spacing w:line="360" w:lineRule="auto"/>
        <w:jc w:val="both"/>
        <w:rPr>
          <w:rFonts w:ascii="Times New Roman" w:hAnsi="Times New Roman" w:cs="Times New Roman"/>
          <w:b/>
          <w:bCs/>
          <w:sz w:val="24"/>
          <w:szCs w:val="24"/>
        </w:rPr>
      </w:pPr>
      <w:r w:rsidRPr="003B6697">
        <w:rPr>
          <w:rFonts w:ascii="Times New Roman" w:hAnsi="Times New Roman" w:cs="Times New Roman"/>
          <w:b/>
          <w:bCs/>
          <w:sz w:val="24"/>
          <w:szCs w:val="24"/>
        </w:rPr>
        <w:t xml:space="preserve">Phytochemical Composition of </w:t>
      </w:r>
      <w:r w:rsidRPr="00F50D01">
        <w:rPr>
          <w:rFonts w:ascii="Times New Roman" w:hAnsi="Times New Roman" w:cs="Times New Roman"/>
          <w:b/>
          <w:bCs/>
          <w:i/>
          <w:iCs/>
          <w:sz w:val="24"/>
          <w:szCs w:val="24"/>
        </w:rPr>
        <w:t xml:space="preserve">Camellia </w:t>
      </w:r>
      <w:proofErr w:type="spellStart"/>
      <w:r w:rsidRPr="00F50D01">
        <w:rPr>
          <w:rFonts w:ascii="Times New Roman" w:hAnsi="Times New Roman" w:cs="Times New Roman"/>
          <w:b/>
          <w:bCs/>
          <w:i/>
          <w:iCs/>
          <w:sz w:val="24"/>
          <w:szCs w:val="24"/>
        </w:rPr>
        <w:t>sinensis</w:t>
      </w:r>
      <w:proofErr w:type="spellEnd"/>
      <w:r w:rsidRPr="003B6697">
        <w:rPr>
          <w:rFonts w:ascii="Times New Roman" w:hAnsi="Times New Roman" w:cs="Times New Roman"/>
          <w:b/>
          <w:bCs/>
          <w:sz w:val="24"/>
          <w:szCs w:val="24"/>
        </w:rPr>
        <w:t xml:space="preserve"> Against Oral Biofilm-Forming Bacteria</w:t>
      </w:r>
      <w:r w:rsidR="003B6697" w:rsidRPr="003B6697">
        <w:rPr>
          <w:rFonts w:ascii="Times New Roman" w:hAnsi="Times New Roman" w:cs="Times New Roman"/>
          <w:b/>
          <w:bCs/>
          <w:sz w:val="24"/>
          <w:szCs w:val="24"/>
        </w:rPr>
        <w:t>:</w:t>
      </w:r>
    </w:p>
    <w:p w14:paraId="52ED0E8F" w14:textId="0EB5DEF9" w:rsidR="00494E51" w:rsidRPr="00494E51" w:rsidRDefault="00494E51" w:rsidP="00494E51">
      <w:pPr>
        <w:spacing w:line="360" w:lineRule="auto"/>
        <w:jc w:val="both"/>
        <w:rPr>
          <w:rFonts w:ascii="Times New Roman" w:hAnsi="Times New Roman" w:cs="Times New Roman"/>
          <w:sz w:val="24"/>
          <w:szCs w:val="24"/>
        </w:rPr>
      </w:pPr>
      <w:r w:rsidRPr="00494E51">
        <w:rPr>
          <w:rFonts w:ascii="Times New Roman" w:hAnsi="Times New Roman" w:cs="Times New Roman"/>
          <w:sz w:val="24"/>
          <w:szCs w:val="24"/>
        </w:rPr>
        <w:t xml:space="preserve">The phytochemical composition of </w:t>
      </w:r>
      <w:r w:rsidRPr="009142FF">
        <w:rPr>
          <w:rFonts w:ascii="Times New Roman" w:hAnsi="Times New Roman" w:cs="Times New Roman"/>
          <w:i/>
          <w:iCs/>
          <w:sz w:val="24"/>
          <w:szCs w:val="24"/>
        </w:rPr>
        <w:t xml:space="preserve">Camellia </w:t>
      </w:r>
      <w:proofErr w:type="spellStart"/>
      <w:r w:rsidRPr="009142FF">
        <w:rPr>
          <w:rFonts w:ascii="Times New Roman" w:hAnsi="Times New Roman" w:cs="Times New Roman"/>
          <w:i/>
          <w:iCs/>
          <w:sz w:val="24"/>
          <w:szCs w:val="24"/>
        </w:rPr>
        <w:t>sinensis</w:t>
      </w:r>
      <w:proofErr w:type="spellEnd"/>
      <w:r w:rsidRPr="00494E51">
        <w:rPr>
          <w:rFonts w:ascii="Times New Roman" w:hAnsi="Times New Roman" w:cs="Times New Roman"/>
          <w:sz w:val="24"/>
          <w:szCs w:val="24"/>
        </w:rPr>
        <w:t xml:space="preserve">, commonly known as green tea, contains </w:t>
      </w:r>
      <w:r w:rsidR="00F50D01">
        <w:rPr>
          <w:rFonts w:ascii="Times New Roman" w:hAnsi="Times New Roman" w:cs="Times New Roman"/>
          <w:sz w:val="24"/>
          <w:szCs w:val="24"/>
        </w:rPr>
        <w:t>abundant</w:t>
      </w:r>
      <w:r w:rsidRPr="00494E51">
        <w:rPr>
          <w:rFonts w:ascii="Times New Roman" w:hAnsi="Times New Roman" w:cs="Times New Roman"/>
          <w:sz w:val="24"/>
          <w:szCs w:val="24"/>
        </w:rPr>
        <w:t xml:space="preserve"> bioactive compounds with notable antimicrobial properties, making it a promising candidate for combating oral biofilm-forming bacteria. Among these phytochemicals, Epigallocatechin Gallate (EGCG), the predominant catechin in green tea, has garnered significant attention for its potent antibacterial effects. Studies have demonstrated EGCG's ability to disrupt bacterial cell walls, inhibit bacterial growth, and effectively prevent biofilm formation in pathogens such as </w:t>
      </w:r>
      <w:r w:rsidRPr="00C56995">
        <w:rPr>
          <w:rFonts w:ascii="Times New Roman" w:hAnsi="Times New Roman" w:cs="Times New Roman"/>
          <w:i/>
          <w:iCs/>
          <w:sz w:val="24"/>
          <w:szCs w:val="24"/>
        </w:rPr>
        <w:t xml:space="preserve">Streptococcus </w:t>
      </w:r>
      <w:proofErr w:type="spellStart"/>
      <w:r w:rsidRPr="00C56995">
        <w:rPr>
          <w:rFonts w:ascii="Times New Roman" w:hAnsi="Times New Roman" w:cs="Times New Roman"/>
          <w:i/>
          <w:iCs/>
          <w:sz w:val="24"/>
          <w:szCs w:val="24"/>
        </w:rPr>
        <w:t>mutans</w:t>
      </w:r>
      <w:proofErr w:type="spellEnd"/>
      <w:r w:rsidRPr="00494E51">
        <w:rPr>
          <w:rFonts w:ascii="Times New Roman" w:hAnsi="Times New Roman" w:cs="Times New Roman"/>
          <w:sz w:val="24"/>
          <w:szCs w:val="24"/>
        </w:rPr>
        <w:t xml:space="preserve"> and </w:t>
      </w:r>
      <w:r w:rsidRPr="00C56995">
        <w:rPr>
          <w:rFonts w:ascii="Times New Roman" w:hAnsi="Times New Roman" w:cs="Times New Roman"/>
          <w:i/>
          <w:iCs/>
          <w:sz w:val="24"/>
          <w:szCs w:val="24"/>
        </w:rPr>
        <w:t>Staphylococcus aureus</w:t>
      </w:r>
      <w:r w:rsidRPr="00494E51">
        <w:rPr>
          <w:rFonts w:ascii="Times New Roman" w:hAnsi="Times New Roman" w:cs="Times New Roman"/>
          <w:sz w:val="24"/>
          <w:szCs w:val="24"/>
        </w:rPr>
        <w:t xml:space="preserve"> (Chung </w:t>
      </w:r>
      <w:r w:rsidRPr="00C56995">
        <w:rPr>
          <w:rFonts w:ascii="Times New Roman" w:hAnsi="Times New Roman" w:cs="Times New Roman"/>
          <w:i/>
          <w:iCs/>
          <w:sz w:val="24"/>
          <w:szCs w:val="24"/>
        </w:rPr>
        <w:t>et al.</w:t>
      </w:r>
      <w:r w:rsidRPr="00494E51">
        <w:rPr>
          <w:rFonts w:ascii="Times New Roman" w:hAnsi="Times New Roman" w:cs="Times New Roman"/>
          <w:sz w:val="24"/>
          <w:szCs w:val="24"/>
        </w:rPr>
        <w:t>, 2019; Friedman, 2020).</w:t>
      </w:r>
    </w:p>
    <w:p w14:paraId="1DDB68DA" w14:textId="3B1415CB" w:rsidR="00494E51" w:rsidRPr="00494E51" w:rsidRDefault="00494E51" w:rsidP="00494E51">
      <w:pPr>
        <w:spacing w:line="360" w:lineRule="auto"/>
        <w:jc w:val="both"/>
        <w:rPr>
          <w:rFonts w:ascii="Times New Roman" w:hAnsi="Times New Roman" w:cs="Times New Roman"/>
          <w:sz w:val="24"/>
          <w:szCs w:val="24"/>
        </w:rPr>
      </w:pPr>
      <w:r w:rsidRPr="00494E51">
        <w:rPr>
          <w:rFonts w:ascii="Times New Roman" w:hAnsi="Times New Roman" w:cs="Times New Roman"/>
          <w:sz w:val="24"/>
          <w:szCs w:val="24"/>
        </w:rPr>
        <w:t xml:space="preserve">Catechin, another prominent phytochemical in green tea, exhibits broad-spectrum antimicrobial activity against various oral bacteria. Its efficacy in disrupting biofilm structure and inhibiting the growth of biofilm-forming bacteria is extensively documented (Koo et al., 2021). Additionally, Epicatechin Gallate (ECG) and Epicatechin (EC) have demonstrated significant antimicrobial properties, inhibiting the growth of oral pathogens and reducing biofilm formation through mechanisms such as membrane disruption and interference with bacterial adherence (Huang </w:t>
      </w:r>
      <w:r w:rsidRPr="002F3B4A">
        <w:rPr>
          <w:rFonts w:ascii="Times New Roman" w:hAnsi="Times New Roman" w:cs="Times New Roman"/>
          <w:i/>
          <w:iCs/>
          <w:sz w:val="24"/>
          <w:szCs w:val="24"/>
        </w:rPr>
        <w:t>et al.,</w:t>
      </w:r>
      <w:r w:rsidRPr="00494E51">
        <w:rPr>
          <w:rFonts w:ascii="Times New Roman" w:hAnsi="Times New Roman" w:cs="Times New Roman"/>
          <w:sz w:val="24"/>
          <w:szCs w:val="24"/>
        </w:rPr>
        <w:t xml:space="preserve"> 2018; Zhang &amp; Wang, 2020).</w:t>
      </w:r>
    </w:p>
    <w:p w14:paraId="3D575280" w14:textId="12397E3D" w:rsidR="00494E51" w:rsidRPr="00494E51" w:rsidRDefault="00494E51" w:rsidP="00494E51">
      <w:pPr>
        <w:spacing w:line="360" w:lineRule="auto"/>
        <w:jc w:val="both"/>
        <w:rPr>
          <w:rFonts w:ascii="Times New Roman" w:hAnsi="Times New Roman" w:cs="Times New Roman"/>
          <w:sz w:val="24"/>
          <w:szCs w:val="24"/>
        </w:rPr>
      </w:pPr>
      <w:r w:rsidRPr="00494E51">
        <w:rPr>
          <w:rFonts w:ascii="Times New Roman" w:hAnsi="Times New Roman" w:cs="Times New Roman"/>
          <w:sz w:val="24"/>
          <w:szCs w:val="24"/>
        </w:rPr>
        <w:t>Furthermore, flavonoids like Quercetin and Kaempferol, present in green tea, exhibit potent antibacterial activity against various oral pathogens. These compounds disrupt bacterial biofilms and enhance the efficacy of antibiotics, suggesting their potential in adjunctive therapy for oral infections (</w:t>
      </w:r>
      <w:proofErr w:type="spellStart"/>
      <w:r w:rsidRPr="00494E51">
        <w:rPr>
          <w:rFonts w:ascii="Times New Roman" w:hAnsi="Times New Roman" w:cs="Times New Roman"/>
          <w:sz w:val="24"/>
          <w:szCs w:val="24"/>
        </w:rPr>
        <w:t>Dabbagh</w:t>
      </w:r>
      <w:proofErr w:type="spellEnd"/>
      <w:r w:rsidRPr="00494E51">
        <w:rPr>
          <w:rFonts w:ascii="Times New Roman" w:hAnsi="Times New Roman" w:cs="Times New Roman"/>
          <w:sz w:val="24"/>
          <w:szCs w:val="24"/>
        </w:rPr>
        <w:t xml:space="preserve"> </w:t>
      </w:r>
      <w:r w:rsidRPr="00A76EF8">
        <w:rPr>
          <w:rFonts w:ascii="Times New Roman" w:hAnsi="Times New Roman" w:cs="Times New Roman"/>
          <w:i/>
          <w:iCs/>
          <w:sz w:val="24"/>
          <w:szCs w:val="24"/>
        </w:rPr>
        <w:t>et al</w:t>
      </w:r>
      <w:r w:rsidRPr="00494E51">
        <w:rPr>
          <w:rFonts w:ascii="Times New Roman" w:hAnsi="Times New Roman" w:cs="Times New Roman"/>
          <w:sz w:val="24"/>
          <w:szCs w:val="24"/>
        </w:rPr>
        <w:t xml:space="preserve">., 2019). </w:t>
      </w:r>
      <w:r w:rsidR="003B6697">
        <w:rPr>
          <w:rFonts w:ascii="Times New Roman" w:hAnsi="Times New Roman" w:cs="Times New Roman"/>
          <w:sz w:val="24"/>
          <w:szCs w:val="24"/>
        </w:rPr>
        <w:t xml:space="preserve">The diverse array of phytochemicals in </w:t>
      </w:r>
      <w:r w:rsidR="003B6697" w:rsidRPr="00EC7F8A">
        <w:rPr>
          <w:rFonts w:ascii="Times New Roman" w:hAnsi="Times New Roman" w:cs="Times New Roman"/>
          <w:i/>
          <w:iCs/>
          <w:sz w:val="24"/>
          <w:szCs w:val="24"/>
        </w:rPr>
        <w:t xml:space="preserve">Camellia </w:t>
      </w:r>
      <w:proofErr w:type="spellStart"/>
      <w:r w:rsidR="003B6697" w:rsidRPr="00EC7F8A">
        <w:rPr>
          <w:rFonts w:ascii="Times New Roman" w:hAnsi="Times New Roman" w:cs="Times New Roman"/>
          <w:i/>
          <w:iCs/>
          <w:sz w:val="24"/>
          <w:szCs w:val="24"/>
        </w:rPr>
        <w:t>sinensis</w:t>
      </w:r>
      <w:proofErr w:type="spellEnd"/>
      <w:r w:rsidR="003B6697">
        <w:rPr>
          <w:rFonts w:ascii="Times New Roman" w:hAnsi="Times New Roman" w:cs="Times New Roman"/>
          <w:sz w:val="24"/>
          <w:szCs w:val="24"/>
        </w:rPr>
        <w:t xml:space="preserve"> collectively </w:t>
      </w:r>
      <w:r w:rsidRPr="00494E51">
        <w:rPr>
          <w:rFonts w:ascii="Times New Roman" w:hAnsi="Times New Roman" w:cs="Times New Roman"/>
          <w:sz w:val="24"/>
          <w:szCs w:val="24"/>
        </w:rPr>
        <w:t>underscores its potential as a natural source of antimicrobial agents for combating oral biofilm formation and associated oral diseases (Yang &amp; Landau, 2020).</w:t>
      </w:r>
    </w:p>
    <w:p w14:paraId="5A04C54D" w14:textId="4602BD32" w:rsidR="00494E51" w:rsidRPr="003B6697" w:rsidRDefault="00494E51" w:rsidP="00494E51">
      <w:pPr>
        <w:spacing w:line="360" w:lineRule="auto"/>
        <w:jc w:val="both"/>
        <w:rPr>
          <w:rFonts w:ascii="Times New Roman" w:hAnsi="Times New Roman" w:cs="Times New Roman"/>
          <w:b/>
          <w:bCs/>
          <w:sz w:val="24"/>
          <w:szCs w:val="24"/>
        </w:rPr>
      </w:pPr>
      <w:r w:rsidRPr="003B6697">
        <w:rPr>
          <w:rFonts w:ascii="Times New Roman" w:hAnsi="Times New Roman" w:cs="Times New Roman"/>
          <w:b/>
          <w:bCs/>
          <w:sz w:val="24"/>
          <w:szCs w:val="24"/>
        </w:rPr>
        <w:t>Effective Receptors Involved in Oral Biofilm Formation</w:t>
      </w:r>
      <w:r w:rsidR="003B6697">
        <w:rPr>
          <w:rFonts w:ascii="Times New Roman" w:hAnsi="Times New Roman" w:cs="Times New Roman"/>
          <w:b/>
          <w:bCs/>
          <w:sz w:val="24"/>
          <w:szCs w:val="24"/>
        </w:rPr>
        <w:t>:</w:t>
      </w:r>
    </w:p>
    <w:p w14:paraId="2D9B236F" w14:textId="0411FBC9" w:rsidR="00494E51" w:rsidRDefault="00494E51" w:rsidP="00494E51">
      <w:pPr>
        <w:spacing w:line="360" w:lineRule="auto"/>
        <w:jc w:val="both"/>
        <w:rPr>
          <w:rFonts w:ascii="Times New Roman" w:hAnsi="Times New Roman" w:cs="Times New Roman"/>
          <w:sz w:val="24"/>
          <w:szCs w:val="24"/>
        </w:rPr>
      </w:pPr>
      <w:r w:rsidRPr="00494E51">
        <w:rPr>
          <w:rFonts w:ascii="Times New Roman" w:hAnsi="Times New Roman" w:cs="Times New Roman"/>
          <w:sz w:val="24"/>
          <w:szCs w:val="24"/>
        </w:rPr>
        <w:t xml:space="preserve">Biofilm formation by oral bacteria represents a significant challenge in dental hygiene and oral health due to its resistance to conventional antimicrobial treatments. Central to this process are key receptors and enzymes that regulate various aspects of biofilm development, particularly those associated with </w:t>
      </w:r>
      <w:proofErr w:type="spellStart"/>
      <w:r w:rsidRPr="00494E51">
        <w:rPr>
          <w:rFonts w:ascii="Times New Roman" w:hAnsi="Times New Roman" w:cs="Times New Roman"/>
          <w:sz w:val="24"/>
          <w:szCs w:val="24"/>
        </w:rPr>
        <w:t>LuxS</w:t>
      </w:r>
      <w:proofErr w:type="spellEnd"/>
      <w:r w:rsidRPr="00494E51">
        <w:rPr>
          <w:rFonts w:ascii="Times New Roman" w:hAnsi="Times New Roman" w:cs="Times New Roman"/>
          <w:sz w:val="24"/>
          <w:szCs w:val="24"/>
        </w:rPr>
        <w:t xml:space="preserve"> quorum sensing and extracellular polysaccharide (EPS) production. </w:t>
      </w:r>
      <w:proofErr w:type="spellStart"/>
      <w:r w:rsidRPr="00494E51">
        <w:rPr>
          <w:rFonts w:ascii="Times New Roman" w:hAnsi="Times New Roman" w:cs="Times New Roman"/>
          <w:sz w:val="24"/>
          <w:szCs w:val="24"/>
        </w:rPr>
        <w:t>LuxS</w:t>
      </w:r>
      <w:proofErr w:type="spellEnd"/>
      <w:r w:rsidRPr="00494E51">
        <w:rPr>
          <w:rFonts w:ascii="Times New Roman" w:hAnsi="Times New Roman" w:cs="Times New Roman"/>
          <w:sz w:val="24"/>
          <w:szCs w:val="24"/>
        </w:rPr>
        <w:t xml:space="preserve">, an enzyme responsible for autoinducer-2 (AI-2) synthesis, plays a pivotal role in interspecies communication within the biofilm, influencing EPS production and biofilm maturation (Pereira </w:t>
      </w:r>
      <w:r w:rsidRPr="005C4727">
        <w:rPr>
          <w:rFonts w:ascii="Times New Roman" w:hAnsi="Times New Roman" w:cs="Times New Roman"/>
          <w:i/>
          <w:iCs/>
          <w:sz w:val="24"/>
          <w:szCs w:val="24"/>
        </w:rPr>
        <w:t>et al.,</w:t>
      </w:r>
      <w:r w:rsidRPr="00494E51">
        <w:rPr>
          <w:rFonts w:ascii="Times New Roman" w:hAnsi="Times New Roman" w:cs="Times New Roman"/>
          <w:sz w:val="24"/>
          <w:szCs w:val="24"/>
        </w:rPr>
        <w:t xml:space="preserve"> 2021).</w:t>
      </w:r>
    </w:p>
    <w:p w14:paraId="2234BABA" w14:textId="77B0D9E3" w:rsidR="003B6697" w:rsidRPr="003B6697" w:rsidRDefault="003B6697" w:rsidP="003B6697">
      <w:pPr>
        <w:spacing w:line="360" w:lineRule="auto"/>
        <w:jc w:val="both"/>
        <w:rPr>
          <w:rFonts w:ascii="Times New Roman" w:hAnsi="Times New Roman" w:cs="Times New Roman"/>
          <w:sz w:val="24"/>
          <w:szCs w:val="24"/>
        </w:rPr>
      </w:pPr>
      <w:r w:rsidRPr="003B6697">
        <w:rPr>
          <w:rFonts w:ascii="Times New Roman" w:hAnsi="Times New Roman" w:cs="Times New Roman"/>
          <w:sz w:val="24"/>
          <w:szCs w:val="24"/>
        </w:rPr>
        <w:t xml:space="preserve">Similarly, </w:t>
      </w:r>
      <w:proofErr w:type="spellStart"/>
      <w:r w:rsidRPr="003B6697">
        <w:rPr>
          <w:rFonts w:ascii="Times New Roman" w:hAnsi="Times New Roman" w:cs="Times New Roman"/>
          <w:sz w:val="24"/>
          <w:szCs w:val="24"/>
        </w:rPr>
        <w:t>SpaP</w:t>
      </w:r>
      <w:proofErr w:type="spellEnd"/>
      <w:r w:rsidRPr="003B6697">
        <w:rPr>
          <w:rFonts w:ascii="Times New Roman" w:hAnsi="Times New Roman" w:cs="Times New Roman"/>
          <w:sz w:val="24"/>
          <w:szCs w:val="24"/>
        </w:rPr>
        <w:t xml:space="preserve"> (Antigen I/II) facilitates initial bacterial attachment to tooth surfaces (Ma </w:t>
      </w:r>
      <w:r w:rsidRPr="00084E62">
        <w:rPr>
          <w:rFonts w:ascii="Times New Roman" w:hAnsi="Times New Roman" w:cs="Times New Roman"/>
          <w:i/>
          <w:iCs/>
          <w:sz w:val="24"/>
          <w:szCs w:val="24"/>
        </w:rPr>
        <w:t>et al</w:t>
      </w:r>
      <w:r w:rsidRPr="003B6697">
        <w:rPr>
          <w:rFonts w:ascii="Times New Roman" w:hAnsi="Times New Roman" w:cs="Times New Roman"/>
          <w:sz w:val="24"/>
          <w:szCs w:val="24"/>
        </w:rPr>
        <w:t xml:space="preserve">., 2019), while </w:t>
      </w:r>
      <w:proofErr w:type="spellStart"/>
      <w:r w:rsidRPr="003B6697">
        <w:rPr>
          <w:rFonts w:ascii="Times New Roman" w:hAnsi="Times New Roman" w:cs="Times New Roman"/>
          <w:sz w:val="24"/>
          <w:szCs w:val="24"/>
        </w:rPr>
        <w:t>FruA</w:t>
      </w:r>
      <w:proofErr w:type="spellEnd"/>
      <w:r w:rsidRPr="003B6697">
        <w:rPr>
          <w:rFonts w:ascii="Times New Roman" w:hAnsi="Times New Roman" w:cs="Times New Roman"/>
          <w:sz w:val="24"/>
          <w:szCs w:val="24"/>
        </w:rPr>
        <w:t xml:space="preserve"> regulates </w:t>
      </w:r>
      <w:proofErr w:type="spellStart"/>
      <w:r w:rsidRPr="003B6697">
        <w:rPr>
          <w:rFonts w:ascii="Times New Roman" w:hAnsi="Times New Roman" w:cs="Times New Roman"/>
          <w:sz w:val="24"/>
          <w:szCs w:val="24"/>
        </w:rPr>
        <w:t>fructan</w:t>
      </w:r>
      <w:proofErr w:type="spellEnd"/>
      <w:r w:rsidRPr="003B6697">
        <w:rPr>
          <w:rFonts w:ascii="Times New Roman" w:hAnsi="Times New Roman" w:cs="Times New Roman"/>
          <w:sz w:val="24"/>
          <w:szCs w:val="24"/>
        </w:rPr>
        <w:t xml:space="preserve"> breakdown, influencing carbohydrate availability and biofilm stability (Kara </w:t>
      </w:r>
      <w:r w:rsidRPr="00084E62">
        <w:rPr>
          <w:rFonts w:ascii="Times New Roman" w:hAnsi="Times New Roman" w:cs="Times New Roman"/>
          <w:i/>
          <w:iCs/>
          <w:sz w:val="24"/>
          <w:szCs w:val="24"/>
        </w:rPr>
        <w:t>et al</w:t>
      </w:r>
      <w:r w:rsidRPr="003B6697">
        <w:rPr>
          <w:rFonts w:ascii="Times New Roman" w:hAnsi="Times New Roman" w:cs="Times New Roman"/>
          <w:sz w:val="24"/>
          <w:szCs w:val="24"/>
        </w:rPr>
        <w:t xml:space="preserve">., 2020). Moreover, enzymes like </w:t>
      </w:r>
      <w:proofErr w:type="spellStart"/>
      <w:r w:rsidRPr="003B6697">
        <w:rPr>
          <w:rFonts w:ascii="Times New Roman" w:hAnsi="Times New Roman" w:cs="Times New Roman"/>
          <w:sz w:val="24"/>
          <w:szCs w:val="24"/>
        </w:rPr>
        <w:t>GtfB</w:t>
      </w:r>
      <w:proofErr w:type="spellEnd"/>
      <w:r w:rsidRPr="003B6697">
        <w:rPr>
          <w:rFonts w:ascii="Times New Roman" w:hAnsi="Times New Roman" w:cs="Times New Roman"/>
          <w:sz w:val="24"/>
          <w:szCs w:val="24"/>
        </w:rPr>
        <w:t xml:space="preserve"> synthesize glucans, a major component of the EPS matrix, essential for biofilm structural integrity (</w:t>
      </w:r>
      <w:proofErr w:type="spellStart"/>
      <w:r w:rsidRPr="003B6697">
        <w:rPr>
          <w:rFonts w:ascii="Times New Roman" w:hAnsi="Times New Roman" w:cs="Times New Roman"/>
          <w:sz w:val="24"/>
          <w:szCs w:val="24"/>
        </w:rPr>
        <w:t>Lemos</w:t>
      </w:r>
      <w:proofErr w:type="spellEnd"/>
      <w:r w:rsidRPr="003B6697">
        <w:rPr>
          <w:rFonts w:ascii="Times New Roman" w:hAnsi="Times New Roman" w:cs="Times New Roman"/>
          <w:sz w:val="24"/>
          <w:szCs w:val="24"/>
        </w:rPr>
        <w:t xml:space="preserve"> </w:t>
      </w:r>
      <w:r w:rsidRPr="000C445D">
        <w:rPr>
          <w:rFonts w:ascii="Times New Roman" w:hAnsi="Times New Roman" w:cs="Times New Roman"/>
          <w:i/>
          <w:iCs/>
          <w:sz w:val="24"/>
          <w:szCs w:val="24"/>
        </w:rPr>
        <w:t>et al.</w:t>
      </w:r>
      <w:r w:rsidRPr="003B6697">
        <w:rPr>
          <w:rFonts w:ascii="Times New Roman" w:hAnsi="Times New Roman" w:cs="Times New Roman"/>
          <w:sz w:val="24"/>
          <w:szCs w:val="24"/>
        </w:rPr>
        <w:t xml:space="preserve">, 2018). Additionally, receptors such as </w:t>
      </w:r>
      <w:proofErr w:type="spellStart"/>
      <w:r w:rsidRPr="003B6697">
        <w:rPr>
          <w:rFonts w:ascii="Times New Roman" w:hAnsi="Times New Roman" w:cs="Times New Roman"/>
          <w:sz w:val="24"/>
          <w:szCs w:val="24"/>
        </w:rPr>
        <w:t>ComD</w:t>
      </w:r>
      <w:proofErr w:type="spellEnd"/>
      <w:r w:rsidRPr="003B6697">
        <w:rPr>
          <w:rFonts w:ascii="Times New Roman" w:hAnsi="Times New Roman" w:cs="Times New Roman"/>
          <w:sz w:val="24"/>
          <w:szCs w:val="24"/>
        </w:rPr>
        <w:t xml:space="preserve"> are involved in signal </w:t>
      </w:r>
      <w:r w:rsidRPr="003B6697">
        <w:rPr>
          <w:rFonts w:ascii="Times New Roman" w:hAnsi="Times New Roman" w:cs="Times New Roman"/>
          <w:sz w:val="24"/>
          <w:szCs w:val="24"/>
        </w:rPr>
        <w:lastRenderedPageBreak/>
        <w:t>transduction pathways regulating biofilm formation and competence development (</w:t>
      </w:r>
      <w:proofErr w:type="spellStart"/>
      <w:r w:rsidRPr="003B6697">
        <w:rPr>
          <w:rFonts w:ascii="Times New Roman" w:hAnsi="Times New Roman" w:cs="Times New Roman"/>
          <w:sz w:val="24"/>
          <w:szCs w:val="24"/>
        </w:rPr>
        <w:t>Senadheera</w:t>
      </w:r>
      <w:proofErr w:type="spellEnd"/>
      <w:r w:rsidRPr="003B6697">
        <w:rPr>
          <w:rFonts w:ascii="Times New Roman" w:hAnsi="Times New Roman" w:cs="Times New Roman"/>
          <w:sz w:val="24"/>
          <w:szCs w:val="24"/>
        </w:rPr>
        <w:t xml:space="preserve"> &amp; </w:t>
      </w:r>
      <w:proofErr w:type="spellStart"/>
      <w:r w:rsidRPr="003B6697">
        <w:rPr>
          <w:rFonts w:ascii="Times New Roman" w:hAnsi="Times New Roman" w:cs="Times New Roman"/>
          <w:sz w:val="24"/>
          <w:szCs w:val="24"/>
        </w:rPr>
        <w:t>Cvitkovitch</w:t>
      </w:r>
      <w:proofErr w:type="spellEnd"/>
      <w:r w:rsidRPr="003B6697">
        <w:rPr>
          <w:rFonts w:ascii="Times New Roman" w:hAnsi="Times New Roman" w:cs="Times New Roman"/>
          <w:sz w:val="24"/>
          <w:szCs w:val="24"/>
        </w:rPr>
        <w:t>, 2020).</w:t>
      </w:r>
    </w:p>
    <w:p w14:paraId="71CB69F0" w14:textId="23AC0CCF" w:rsidR="00986AA1" w:rsidRPr="00494E51" w:rsidRDefault="003B6697" w:rsidP="003B6697">
      <w:pPr>
        <w:spacing w:line="360" w:lineRule="auto"/>
        <w:jc w:val="both"/>
        <w:rPr>
          <w:rFonts w:ascii="Times New Roman" w:hAnsi="Times New Roman" w:cs="Times New Roman"/>
          <w:sz w:val="24"/>
          <w:szCs w:val="24"/>
        </w:rPr>
      </w:pPr>
      <w:r w:rsidRPr="003B6697">
        <w:rPr>
          <w:rFonts w:ascii="Times New Roman" w:hAnsi="Times New Roman" w:cs="Times New Roman"/>
          <w:sz w:val="24"/>
          <w:szCs w:val="24"/>
        </w:rPr>
        <w:t xml:space="preserve">Several studies have highlighted the significance of these receptors and enzymes in oral biofilm formation and pathogenicity. For instance, investigations into </w:t>
      </w:r>
      <w:proofErr w:type="spellStart"/>
      <w:r w:rsidRPr="003B6697">
        <w:rPr>
          <w:rFonts w:ascii="Times New Roman" w:hAnsi="Times New Roman" w:cs="Times New Roman"/>
          <w:sz w:val="24"/>
          <w:szCs w:val="24"/>
        </w:rPr>
        <w:t>LuxS</w:t>
      </w:r>
      <w:proofErr w:type="spellEnd"/>
      <w:r w:rsidRPr="003B6697">
        <w:rPr>
          <w:rFonts w:ascii="Times New Roman" w:hAnsi="Times New Roman" w:cs="Times New Roman"/>
          <w:sz w:val="24"/>
          <w:szCs w:val="24"/>
        </w:rPr>
        <w:t xml:space="preserve"> have elucidated its role in AI-2-mediated biofilm growth (Fong </w:t>
      </w:r>
      <w:r w:rsidRPr="002D23C3">
        <w:rPr>
          <w:rFonts w:ascii="Times New Roman" w:hAnsi="Times New Roman" w:cs="Times New Roman"/>
          <w:i/>
          <w:iCs/>
          <w:sz w:val="24"/>
          <w:szCs w:val="24"/>
        </w:rPr>
        <w:t>et al</w:t>
      </w:r>
      <w:r w:rsidRPr="003B6697">
        <w:rPr>
          <w:rFonts w:ascii="Times New Roman" w:hAnsi="Times New Roman" w:cs="Times New Roman"/>
          <w:sz w:val="24"/>
          <w:szCs w:val="24"/>
        </w:rPr>
        <w:t xml:space="preserve">., 2020), while </w:t>
      </w:r>
      <w:proofErr w:type="spellStart"/>
      <w:r w:rsidRPr="003B6697">
        <w:rPr>
          <w:rFonts w:ascii="Times New Roman" w:hAnsi="Times New Roman" w:cs="Times New Roman"/>
          <w:sz w:val="24"/>
          <w:szCs w:val="24"/>
        </w:rPr>
        <w:t>SpaP</w:t>
      </w:r>
      <w:proofErr w:type="spellEnd"/>
      <w:r w:rsidRPr="003B6697">
        <w:rPr>
          <w:rFonts w:ascii="Times New Roman" w:hAnsi="Times New Roman" w:cs="Times New Roman"/>
          <w:sz w:val="24"/>
          <w:szCs w:val="24"/>
        </w:rPr>
        <w:t xml:space="preserve"> and </w:t>
      </w:r>
      <w:proofErr w:type="spellStart"/>
      <w:r w:rsidRPr="003B6697">
        <w:rPr>
          <w:rFonts w:ascii="Times New Roman" w:hAnsi="Times New Roman" w:cs="Times New Roman"/>
          <w:sz w:val="24"/>
          <w:szCs w:val="24"/>
        </w:rPr>
        <w:t>FruA</w:t>
      </w:r>
      <w:proofErr w:type="spellEnd"/>
      <w:r w:rsidRPr="003B6697">
        <w:rPr>
          <w:rFonts w:ascii="Times New Roman" w:hAnsi="Times New Roman" w:cs="Times New Roman"/>
          <w:sz w:val="24"/>
          <w:szCs w:val="24"/>
        </w:rPr>
        <w:t xml:space="preserve"> have been implicated in bacterial adhesion and EPS modulation, respectively (Kara </w:t>
      </w:r>
      <w:r w:rsidRPr="005E4CF2">
        <w:rPr>
          <w:rFonts w:ascii="Times New Roman" w:hAnsi="Times New Roman" w:cs="Times New Roman"/>
          <w:i/>
          <w:iCs/>
          <w:sz w:val="24"/>
          <w:szCs w:val="24"/>
        </w:rPr>
        <w:t>et al.,</w:t>
      </w:r>
      <w:r w:rsidRPr="003B6697">
        <w:rPr>
          <w:rFonts w:ascii="Times New Roman" w:hAnsi="Times New Roman" w:cs="Times New Roman"/>
          <w:sz w:val="24"/>
          <w:szCs w:val="24"/>
        </w:rPr>
        <w:t xml:space="preserve"> 2020; Ma </w:t>
      </w:r>
      <w:r w:rsidRPr="005E4CF2">
        <w:rPr>
          <w:rFonts w:ascii="Times New Roman" w:hAnsi="Times New Roman" w:cs="Times New Roman"/>
          <w:i/>
          <w:iCs/>
          <w:sz w:val="24"/>
          <w:szCs w:val="24"/>
        </w:rPr>
        <w:t>et al</w:t>
      </w:r>
      <w:r w:rsidRPr="003B6697">
        <w:rPr>
          <w:rFonts w:ascii="Times New Roman" w:hAnsi="Times New Roman" w:cs="Times New Roman"/>
          <w:sz w:val="24"/>
          <w:szCs w:val="24"/>
        </w:rPr>
        <w:t xml:space="preserve">., 2019). Similarly, </w:t>
      </w:r>
      <w:proofErr w:type="spellStart"/>
      <w:r w:rsidRPr="003B6697">
        <w:rPr>
          <w:rFonts w:ascii="Times New Roman" w:hAnsi="Times New Roman" w:cs="Times New Roman"/>
          <w:sz w:val="24"/>
          <w:szCs w:val="24"/>
        </w:rPr>
        <w:t>GtfB's</w:t>
      </w:r>
      <w:proofErr w:type="spellEnd"/>
      <w:r w:rsidRPr="003B6697">
        <w:rPr>
          <w:rFonts w:ascii="Times New Roman" w:hAnsi="Times New Roman" w:cs="Times New Roman"/>
          <w:sz w:val="24"/>
          <w:szCs w:val="24"/>
        </w:rPr>
        <w:t xml:space="preserve"> involvement in EPS synthesis and </w:t>
      </w:r>
      <w:proofErr w:type="spellStart"/>
      <w:r w:rsidRPr="003B6697">
        <w:rPr>
          <w:rFonts w:ascii="Times New Roman" w:hAnsi="Times New Roman" w:cs="Times New Roman"/>
          <w:sz w:val="24"/>
          <w:szCs w:val="24"/>
        </w:rPr>
        <w:t>ComD</w:t>
      </w:r>
      <w:proofErr w:type="spellEnd"/>
      <w:r w:rsidRPr="003B6697">
        <w:rPr>
          <w:rFonts w:ascii="Times New Roman" w:hAnsi="Times New Roman" w:cs="Times New Roman"/>
          <w:sz w:val="24"/>
          <w:szCs w:val="24"/>
        </w:rPr>
        <w:t xml:space="preserve"> function in signal transduction underscore their importance in biofilm development (</w:t>
      </w:r>
      <w:proofErr w:type="spellStart"/>
      <w:r w:rsidRPr="003B6697">
        <w:rPr>
          <w:rFonts w:ascii="Times New Roman" w:hAnsi="Times New Roman" w:cs="Times New Roman"/>
          <w:sz w:val="24"/>
          <w:szCs w:val="24"/>
        </w:rPr>
        <w:t>Lemos</w:t>
      </w:r>
      <w:proofErr w:type="spellEnd"/>
      <w:r w:rsidRPr="003B6697">
        <w:rPr>
          <w:rFonts w:ascii="Times New Roman" w:hAnsi="Times New Roman" w:cs="Times New Roman"/>
          <w:sz w:val="24"/>
          <w:szCs w:val="24"/>
        </w:rPr>
        <w:t xml:space="preserve"> </w:t>
      </w:r>
      <w:r w:rsidRPr="00DA62E0">
        <w:rPr>
          <w:rFonts w:ascii="Times New Roman" w:hAnsi="Times New Roman" w:cs="Times New Roman"/>
          <w:i/>
          <w:iCs/>
          <w:sz w:val="24"/>
          <w:szCs w:val="24"/>
        </w:rPr>
        <w:t>et al</w:t>
      </w:r>
      <w:r w:rsidRPr="003B6697">
        <w:rPr>
          <w:rFonts w:ascii="Times New Roman" w:hAnsi="Times New Roman" w:cs="Times New Roman"/>
          <w:sz w:val="24"/>
          <w:szCs w:val="24"/>
        </w:rPr>
        <w:t xml:space="preserve">., 2018; </w:t>
      </w:r>
      <w:proofErr w:type="spellStart"/>
      <w:r w:rsidRPr="003B6697">
        <w:rPr>
          <w:rFonts w:ascii="Times New Roman" w:hAnsi="Times New Roman" w:cs="Times New Roman"/>
          <w:sz w:val="24"/>
          <w:szCs w:val="24"/>
        </w:rPr>
        <w:t>Senadheera</w:t>
      </w:r>
      <w:proofErr w:type="spellEnd"/>
      <w:r w:rsidRPr="003B6697">
        <w:rPr>
          <w:rFonts w:ascii="Times New Roman" w:hAnsi="Times New Roman" w:cs="Times New Roman"/>
          <w:sz w:val="24"/>
          <w:szCs w:val="24"/>
        </w:rPr>
        <w:t xml:space="preserve"> &amp; </w:t>
      </w:r>
      <w:proofErr w:type="spellStart"/>
      <w:r w:rsidRPr="003B6697">
        <w:rPr>
          <w:rFonts w:ascii="Times New Roman" w:hAnsi="Times New Roman" w:cs="Times New Roman"/>
          <w:sz w:val="24"/>
          <w:szCs w:val="24"/>
        </w:rPr>
        <w:t>Cvitkovitch</w:t>
      </w:r>
      <w:proofErr w:type="spellEnd"/>
      <w:r w:rsidRPr="003B6697">
        <w:rPr>
          <w:rFonts w:ascii="Times New Roman" w:hAnsi="Times New Roman" w:cs="Times New Roman"/>
          <w:sz w:val="24"/>
          <w:szCs w:val="24"/>
        </w:rPr>
        <w:t xml:space="preserve">, 2020). Targeting these receptors and enzymes presents a promising avenue for disrupting biofilm formation and mitigating oral bacterial infections (Pereira </w:t>
      </w:r>
      <w:r w:rsidRPr="00DA62E0">
        <w:rPr>
          <w:rFonts w:ascii="Times New Roman" w:hAnsi="Times New Roman" w:cs="Times New Roman"/>
          <w:i/>
          <w:iCs/>
          <w:sz w:val="24"/>
          <w:szCs w:val="24"/>
        </w:rPr>
        <w:t>et al.</w:t>
      </w:r>
      <w:r w:rsidRPr="003B6697">
        <w:rPr>
          <w:rFonts w:ascii="Times New Roman" w:hAnsi="Times New Roman" w:cs="Times New Roman"/>
          <w:sz w:val="24"/>
          <w:szCs w:val="24"/>
        </w:rPr>
        <w:t>, 2021).</w:t>
      </w:r>
    </w:p>
    <w:p w14:paraId="0334A59C" w14:textId="725E7AD5" w:rsidR="00207933" w:rsidRDefault="00207933"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Methodology:</w:t>
      </w:r>
    </w:p>
    <w:p w14:paraId="644E3751" w14:textId="04F08DA2" w:rsidR="000B4A3A" w:rsidRPr="000B4A3A" w:rsidRDefault="000B4A3A" w:rsidP="000B4A3A">
      <w:pPr>
        <w:spacing w:line="360" w:lineRule="auto"/>
        <w:jc w:val="both"/>
        <w:rPr>
          <w:rFonts w:ascii="Times New Roman" w:hAnsi="Times New Roman" w:cs="Times New Roman"/>
          <w:b/>
          <w:bCs/>
          <w:sz w:val="24"/>
          <w:szCs w:val="24"/>
        </w:rPr>
      </w:pPr>
      <w:r w:rsidRPr="000B4A3A">
        <w:rPr>
          <w:rFonts w:ascii="Times New Roman" w:hAnsi="Times New Roman" w:cs="Times New Roman"/>
          <w:b/>
          <w:bCs/>
          <w:sz w:val="24"/>
          <w:szCs w:val="24"/>
        </w:rPr>
        <w:t>Data Collection:</w:t>
      </w:r>
    </w:p>
    <w:p w14:paraId="361E27F0" w14:textId="0D90BEB3"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An extensive review of available literature led to the identification of specific target proteins involved in quorum sensing via the </w:t>
      </w:r>
      <w:proofErr w:type="spellStart"/>
      <w:r w:rsidRPr="000B4A3A">
        <w:rPr>
          <w:rFonts w:ascii="Times New Roman" w:hAnsi="Times New Roman" w:cs="Times New Roman"/>
          <w:sz w:val="24"/>
          <w:szCs w:val="24"/>
        </w:rPr>
        <w:t>LuxS</w:t>
      </w:r>
      <w:proofErr w:type="spellEnd"/>
      <w:r w:rsidRPr="000B4A3A">
        <w:rPr>
          <w:rFonts w:ascii="Times New Roman" w:hAnsi="Times New Roman" w:cs="Times New Roman"/>
          <w:sz w:val="24"/>
          <w:szCs w:val="24"/>
        </w:rPr>
        <w:t xml:space="preserve"> system and exopolysaccharide (EPS) production, both critical in the formation of oral biofilms. The structures of these proteins were obtained from the </w:t>
      </w:r>
      <w:proofErr w:type="spellStart"/>
      <w:r w:rsidRPr="000B4A3A">
        <w:rPr>
          <w:rFonts w:ascii="Times New Roman" w:hAnsi="Times New Roman" w:cs="Times New Roman"/>
          <w:sz w:val="24"/>
          <w:szCs w:val="24"/>
        </w:rPr>
        <w:t>BioSIM</w:t>
      </w:r>
      <w:proofErr w:type="spellEnd"/>
      <w:r w:rsidRPr="000B4A3A">
        <w:rPr>
          <w:rFonts w:ascii="Times New Roman" w:hAnsi="Times New Roman" w:cs="Times New Roman"/>
          <w:sz w:val="24"/>
          <w:szCs w:val="24"/>
        </w:rPr>
        <w:t xml:space="preserve"> and RCSB PDB databases, represented in the Protein Data Bank (PDB) format (Burley </w:t>
      </w:r>
      <w:r w:rsidRPr="0052133D">
        <w:rPr>
          <w:rFonts w:ascii="Times New Roman" w:hAnsi="Times New Roman" w:cs="Times New Roman"/>
          <w:i/>
          <w:iCs/>
          <w:sz w:val="24"/>
          <w:szCs w:val="24"/>
        </w:rPr>
        <w:t>et al</w:t>
      </w:r>
      <w:r w:rsidRPr="000B4A3A">
        <w:rPr>
          <w:rFonts w:ascii="Times New Roman" w:hAnsi="Times New Roman" w:cs="Times New Roman"/>
          <w:sz w:val="24"/>
          <w:szCs w:val="24"/>
        </w:rPr>
        <w:t>., 2019; Trott &amp; Olson, 2010).</w:t>
      </w:r>
    </w:p>
    <w:p w14:paraId="14D16403" w14:textId="4FFA6DBF"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For the acquisition of phytochemical data, databases such as IMPPAT and PubChem were utilized. IMPPAT provided comprehensive information about phytochemicals present in </w:t>
      </w:r>
      <w:r w:rsidRPr="0052133D">
        <w:rPr>
          <w:rFonts w:ascii="Times New Roman" w:hAnsi="Times New Roman" w:cs="Times New Roman"/>
          <w:i/>
          <w:iCs/>
          <w:sz w:val="24"/>
          <w:szCs w:val="24"/>
        </w:rPr>
        <w:t xml:space="preserve">Camellia </w:t>
      </w:r>
      <w:proofErr w:type="spellStart"/>
      <w:r w:rsidRPr="0052133D">
        <w:rPr>
          <w:rFonts w:ascii="Times New Roman" w:hAnsi="Times New Roman" w:cs="Times New Roman"/>
          <w:i/>
          <w:iCs/>
          <w:sz w:val="24"/>
          <w:szCs w:val="24"/>
        </w:rPr>
        <w:t>sinensis</w:t>
      </w:r>
      <w:proofErr w:type="spellEnd"/>
      <w:r w:rsidRPr="000B4A3A">
        <w:rPr>
          <w:rFonts w:ascii="Times New Roman" w:hAnsi="Times New Roman" w:cs="Times New Roman"/>
          <w:sz w:val="24"/>
          <w:szCs w:val="24"/>
        </w:rPr>
        <w:t xml:space="preserve"> (green tea) (</w:t>
      </w:r>
      <w:proofErr w:type="spellStart"/>
      <w:r w:rsidRPr="000B4A3A">
        <w:rPr>
          <w:rFonts w:ascii="Times New Roman" w:hAnsi="Times New Roman" w:cs="Times New Roman"/>
          <w:sz w:val="24"/>
          <w:szCs w:val="24"/>
        </w:rPr>
        <w:t>Mohanraj</w:t>
      </w:r>
      <w:proofErr w:type="spellEnd"/>
      <w:r w:rsidRPr="000B4A3A">
        <w:rPr>
          <w:rFonts w:ascii="Times New Roman" w:hAnsi="Times New Roman" w:cs="Times New Roman"/>
          <w:sz w:val="24"/>
          <w:szCs w:val="24"/>
        </w:rPr>
        <w:t xml:space="preserve"> </w:t>
      </w:r>
      <w:r w:rsidRPr="0052133D">
        <w:rPr>
          <w:rFonts w:ascii="Times New Roman" w:hAnsi="Times New Roman" w:cs="Times New Roman"/>
          <w:i/>
          <w:iCs/>
          <w:sz w:val="24"/>
          <w:szCs w:val="24"/>
        </w:rPr>
        <w:t>et al</w:t>
      </w:r>
      <w:r w:rsidRPr="000B4A3A">
        <w:rPr>
          <w:rFonts w:ascii="Times New Roman" w:hAnsi="Times New Roman" w:cs="Times New Roman"/>
          <w:sz w:val="24"/>
          <w:szCs w:val="24"/>
        </w:rPr>
        <w:t xml:space="preserve">., 2018). The PubChem database was then employed to retrieve the structural data of these phytochemicals, available in various formats including </w:t>
      </w:r>
      <w:proofErr w:type="spellStart"/>
      <w:r w:rsidRPr="000B4A3A">
        <w:rPr>
          <w:rFonts w:ascii="Times New Roman" w:hAnsi="Times New Roman" w:cs="Times New Roman"/>
          <w:sz w:val="24"/>
          <w:szCs w:val="24"/>
        </w:rPr>
        <w:t>sdf</w:t>
      </w:r>
      <w:proofErr w:type="spellEnd"/>
      <w:r w:rsidRPr="000B4A3A">
        <w:rPr>
          <w:rFonts w:ascii="Times New Roman" w:hAnsi="Times New Roman" w:cs="Times New Roman"/>
          <w:sz w:val="24"/>
          <w:szCs w:val="24"/>
        </w:rPr>
        <w:t xml:space="preserve">, mol, </w:t>
      </w:r>
      <w:proofErr w:type="spellStart"/>
      <w:r w:rsidRPr="000B4A3A">
        <w:rPr>
          <w:rFonts w:ascii="Times New Roman" w:hAnsi="Times New Roman" w:cs="Times New Roman"/>
          <w:sz w:val="24"/>
          <w:szCs w:val="24"/>
        </w:rPr>
        <w:t>pdb</w:t>
      </w:r>
      <w:proofErr w:type="spellEnd"/>
      <w:r w:rsidRPr="000B4A3A">
        <w:rPr>
          <w:rFonts w:ascii="Times New Roman" w:hAnsi="Times New Roman" w:cs="Times New Roman"/>
          <w:sz w:val="24"/>
          <w:szCs w:val="24"/>
        </w:rPr>
        <w:t xml:space="preserve">, and </w:t>
      </w:r>
      <w:proofErr w:type="spellStart"/>
      <w:r w:rsidRPr="000B4A3A">
        <w:rPr>
          <w:rFonts w:ascii="Times New Roman" w:hAnsi="Times New Roman" w:cs="Times New Roman"/>
          <w:sz w:val="24"/>
          <w:szCs w:val="24"/>
        </w:rPr>
        <w:t>pdbqt</w:t>
      </w:r>
      <w:proofErr w:type="spellEnd"/>
      <w:r w:rsidRPr="000B4A3A">
        <w:rPr>
          <w:rFonts w:ascii="Times New Roman" w:hAnsi="Times New Roman" w:cs="Times New Roman"/>
          <w:sz w:val="24"/>
          <w:szCs w:val="24"/>
        </w:rPr>
        <w:t xml:space="preserve">, in both two-dimensional and three-dimensional representations (Kim </w:t>
      </w:r>
      <w:r w:rsidRPr="00EB265B">
        <w:rPr>
          <w:rFonts w:ascii="Times New Roman" w:hAnsi="Times New Roman" w:cs="Times New Roman"/>
          <w:i/>
          <w:iCs/>
          <w:sz w:val="24"/>
          <w:szCs w:val="24"/>
        </w:rPr>
        <w:t>et al</w:t>
      </w:r>
      <w:r w:rsidRPr="000B4A3A">
        <w:rPr>
          <w:rFonts w:ascii="Times New Roman" w:hAnsi="Times New Roman" w:cs="Times New Roman"/>
          <w:sz w:val="24"/>
          <w:szCs w:val="24"/>
        </w:rPr>
        <w:t>., 2016).</w:t>
      </w:r>
    </w:p>
    <w:p w14:paraId="3FF6741F" w14:textId="5F9AFFF5" w:rsidR="000B4A3A" w:rsidRPr="000B4A3A" w:rsidRDefault="000B4A3A" w:rsidP="000B4A3A">
      <w:pPr>
        <w:spacing w:line="360" w:lineRule="auto"/>
        <w:jc w:val="both"/>
        <w:rPr>
          <w:rFonts w:ascii="Times New Roman" w:hAnsi="Times New Roman" w:cs="Times New Roman"/>
          <w:b/>
          <w:bCs/>
          <w:sz w:val="24"/>
          <w:szCs w:val="24"/>
        </w:rPr>
      </w:pPr>
      <w:r w:rsidRPr="000B4A3A">
        <w:rPr>
          <w:rFonts w:ascii="Times New Roman" w:hAnsi="Times New Roman" w:cs="Times New Roman"/>
          <w:b/>
          <w:bCs/>
          <w:sz w:val="24"/>
          <w:szCs w:val="24"/>
        </w:rPr>
        <w:t>Ligand Preparation:</w:t>
      </w:r>
    </w:p>
    <w:p w14:paraId="425F4320" w14:textId="44E07834"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From the phytochemicals identified in </w:t>
      </w:r>
      <w:r w:rsidRPr="00064FC5">
        <w:rPr>
          <w:rFonts w:ascii="Times New Roman" w:hAnsi="Times New Roman" w:cs="Times New Roman"/>
          <w:i/>
          <w:iCs/>
          <w:sz w:val="24"/>
          <w:szCs w:val="24"/>
        </w:rPr>
        <w:t xml:space="preserve">Camellia </w:t>
      </w:r>
      <w:proofErr w:type="spellStart"/>
      <w:r w:rsidRPr="00064FC5">
        <w:rPr>
          <w:rFonts w:ascii="Times New Roman" w:hAnsi="Times New Roman" w:cs="Times New Roman"/>
          <w:i/>
          <w:iCs/>
          <w:sz w:val="24"/>
          <w:szCs w:val="24"/>
        </w:rPr>
        <w:t>sinensis</w:t>
      </w:r>
      <w:proofErr w:type="spellEnd"/>
      <w:r w:rsidRPr="000B4A3A">
        <w:rPr>
          <w:rFonts w:ascii="Times New Roman" w:hAnsi="Times New Roman" w:cs="Times New Roman"/>
          <w:sz w:val="24"/>
          <w:szCs w:val="24"/>
        </w:rPr>
        <w:t xml:space="preserve">, six key compounds were selected for docking studies against the target proteins involved in oral biofilm formation. These selected phytochemicals included Epigallocatechin Gallate (EGCG), Catechin, Epicatechin Gallate (ECG), Epicatechin (EC), Quercetin, and Kaempferol (Chung </w:t>
      </w:r>
      <w:r w:rsidRPr="00064FC5">
        <w:rPr>
          <w:rFonts w:ascii="Times New Roman" w:hAnsi="Times New Roman" w:cs="Times New Roman"/>
          <w:i/>
          <w:iCs/>
          <w:sz w:val="24"/>
          <w:szCs w:val="24"/>
        </w:rPr>
        <w:t>et al</w:t>
      </w:r>
      <w:r w:rsidRPr="000B4A3A">
        <w:rPr>
          <w:rFonts w:ascii="Times New Roman" w:hAnsi="Times New Roman" w:cs="Times New Roman"/>
          <w:sz w:val="24"/>
          <w:szCs w:val="24"/>
        </w:rPr>
        <w:t xml:space="preserve">., 2019; Koo </w:t>
      </w:r>
      <w:r w:rsidRPr="00064FC5">
        <w:rPr>
          <w:rFonts w:ascii="Times New Roman" w:hAnsi="Times New Roman" w:cs="Times New Roman"/>
          <w:i/>
          <w:iCs/>
          <w:sz w:val="24"/>
          <w:szCs w:val="24"/>
        </w:rPr>
        <w:t>et al.,</w:t>
      </w:r>
      <w:r w:rsidRPr="000B4A3A">
        <w:rPr>
          <w:rFonts w:ascii="Times New Roman" w:hAnsi="Times New Roman" w:cs="Times New Roman"/>
          <w:sz w:val="24"/>
          <w:szCs w:val="24"/>
        </w:rPr>
        <w:t xml:space="preserve"> 2021).</w:t>
      </w:r>
    </w:p>
    <w:p w14:paraId="7C793C36" w14:textId="6016EC93"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The three-dimensional structures of these phytochemicals were obtained in </w:t>
      </w:r>
      <w:proofErr w:type="spellStart"/>
      <w:r w:rsidRPr="000B4A3A">
        <w:rPr>
          <w:rFonts w:ascii="Times New Roman" w:hAnsi="Times New Roman" w:cs="Times New Roman"/>
          <w:sz w:val="24"/>
          <w:szCs w:val="24"/>
        </w:rPr>
        <w:t>sdf</w:t>
      </w:r>
      <w:proofErr w:type="spellEnd"/>
      <w:r w:rsidRPr="000B4A3A">
        <w:rPr>
          <w:rFonts w:ascii="Times New Roman" w:hAnsi="Times New Roman" w:cs="Times New Roman"/>
          <w:sz w:val="24"/>
          <w:szCs w:val="24"/>
        </w:rPr>
        <w:t xml:space="preserve"> format from the PubChem database. These structures were then prepared for docking studies, ensuring that they were in the appropriate format and conformation for subsequent analysis (Kim </w:t>
      </w:r>
      <w:r w:rsidRPr="009A189B">
        <w:rPr>
          <w:rFonts w:ascii="Times New Roman" w:hAnsi="Times New Roman" w:cs="Times New Roman"/>
          <w:i/>
          <w:iCs/>
          <w:sz w:val="24"/>
          <w:szCs w:val="24"/>
        </w:rPr>
        <w:t>et al</w:t>
      </w:r>
      <w:r w:rsidRPr="000B4A3A">
        <w:rPr>
          <w:rFonts w:ascii="Times New Roman" w:hAnsi="Times New Roman" w:cs="Times New Roman"/>
          <w:sz w:val="24"/>
          <w:szCs w:val="24"/>
        </w:rPr>
        <w:t>., 2016).</w:t>
      </w:r>
    </w:p>
    <w:p w14:paraId="12239367" w14:textId="4EE776CA"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The combination of precise protein structures and well-prepared ligand structures enabled a robust foundation for docking studies aimed at exploring potential interactions and inhibitory effects of these phytochemicals on proteins implicated in oral biofilm formation.</w:t>
      </w:r>
    </w:p>
    <w:p w14:paraId="79DA9A26" w14:textId="38AEC6DD" w:rsidR="000B4A3A" w:rsidRPr="000B4A3A" w:rsidRDefault="000B4A3A" w:rsidP="000B4A3A">
      <w:pPr>
        <w:spacing w:line="360" w:lineRule="auto"/>
        <w:jc w:val="both"/>
        <w:rPr>
          <w:rFonts w:ascii="Times New Roman" w:hAnsi="Times New Roman" w:cs="Times New Roman"/>
          <w:b/>
          <w:bCs/>
          <w:sz w:val="24"/>
          <w:szCs w:val="24"/>
        </w:rPr>
      </w:pPr>
      <w:r w:rsidRPr="000B4A3A">
        <w:rPr>
          <w:rFonts w:ascii="Times New Roman" w:hAnsi="Times New Roman" w:cs="Times New Roman"/>
          <w:b/>
          <w:bCs/>
          <w:sz w:val="24"/>
          <w:szCs w:val="24"/>
        </w:rPr>
        <w:t>Evaluation of Drug-Likeness:</w:t>
      </w:r>
    </w:p>
    <w:p w14:paraId="2EC3A506" w14:textId="582EF48F"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lastRenderedPageBreak/>
        <w:t xml:space="preserve">The drug-likeness of the selected phytochemicals was evaluated using the </w:t>
      </w:r>
      <w:proofErr w:type="spellStart"/>
      <w:r w:rsidRPr="000B4A3A">
        <w:rPr>
          <w:rFonts w:ascii="Times New Roman" w:hAnsi="Times New Roman" w:cs="Times New Roman"/>
          <w:sz w:val="24"/>
          <w:szCs w:val="24"/>
        </w:rPr>
        <w:t>SwissADME</w:t>
      </w:r>
      <w:proofErr w:type="spellEnd"/>
      <w:r w:rsidRPr="000B4A3A">
        <w:rPr>
          <w:rFonts w:ascii="Times New Roman" w:hAnsi="Times New Roman" w:cs="Times New Roman"/>
          <w:sz w:val="24"/>
          <w:szCs w:val="24"/>
        </w:rPr>
        <w:t xml:space="preserve"> server (</w:t>
      </w:r>
      <w:proofErr w:type="spellStart"/>
      <w:r w:rsidRPr="000B4A3A">
        <w:rPr>
          <w:rFonts w:ascii="Times New Roman" w:hAnsi="Times New Roman" w:cs="Times New Roman"/>
          <w:sz w:val="24"/>
          <w:szCs w:val="24"/>
        </w:rPr>
        <w:t>Daina</w:t>
      </w:r>
      <w:proofErr w:type="spellEnd"/>
      <w:r w:rsidRPr="000B4A3A">
        <w:rPr>
          <w:rFonts w:ascii="Times New Roman" w:hAnsi="Times New Roman" w:cs="Times New Roman"/>
          <w:sz w:val="24"/>
          <w:szCs w:val="24"/>
        </w:rPr>
        <w:t xml:space="preserve"> </w:t>
      </w:r>
      <w:r w:rsidRPr="001C6149">
        <w:rPr>
          <w:rFonts w:ascii="Times New Roman" w:hAnsi="Times New Roman" w:cs="Times New Roman"/>
          <w:i/>
          <w:iCs/>
          <w:sz w:val="24"/>
          <w:szCs w:val="24"/>
        </w:rPr>
        <w:t>et al</w:t>
      </w:r>
      <w:r w:rsidRPr="000B4A3A">
        <w:rPr>
          <w:rFonts w:ascii="Times New Roman" w:hAnsi="Times New Roman" w:cs="Times New Roman"/>
          <w:sz w:val="24"/>
          <w:szCs w:val="24"/>
        </w:rPr>
        <w:t xml:space="preserve">., 2017). This tool enables the computation of </w:t>
      </w:r>
      <w:r w:rsidR="00A40222">
        <w:rPr>
          <w:rFonts w:ascii="Times New Roman" w:hAnsi="Times New Roman" w:cs="Times New Roman"/>
          <w:sz w:val="24"/>
          <w:szCs w:val="24"/>
        </w:rPr>
        <w:t>physico</w:t>
      </w:r>
      <w:r w:rsidRPr="000B4A3A">
        <w:rPr>
          <w:rFonts w:ascii="Times New Roman" w:hAnsi="Times New Roman" w:cs="Times New Roman"/>
          <w:sz w:val="24"/>
          <w:szCs w:val="24"/>
        </w:rPr>
        <w:t>chemical properties and the assessment of ADME parameters, pharmacokinetic characteristics, drug-like properties, and compatibility with medicinal chemistry for individual or multiple small compounds. The prediction of drug-likeness for these compounds considered various features, such as topological polar surface area (TPSA), PGP substrate, lipophilicity (XLOGP3), and water solubility (</w:t>
      </w:r>
      <w:proofErr w:type="spellStart"/>
      <w:r w:rsidRPr="000B4A3A">
        <w:rPr>
          <w:rFonts w:ascii="Times New Roman" w:hAnsi="Times New Roman" w:cs="Times New Roman"/>
          <w:sz w:val="24"/>
          <w:szCs w:val="24"/>
        </w:rPr>
        <w:t>LogS</w:t>
      </w:r>
      <w:proofErr w:type="spellEnd"/>
      <w:r w:rsidRPr="000B4A3A">
        <w:rPr>
          <w:rFonts w:ascii="Times New Roman" w:hAnsi="Times New Roman" w:cs="Times New Roman"/>
          <w:sz w:val="24"/>
          <w:szCs w:val="24"/>
        </w:rPr>
        <w:t>). Additionally, Lipinski’s rule of five was applied, indicating an increased likelihood of poor absorption or penetration when there are more than 5 H-bond donors and 10 H-bond acceptors, a molecular weight surpassing 500, and a computed Log P (</w:t>
      </w:r>
      <w:proofErr w:type="spellStart"/>
      <w:r w:rsidRPr="000B4A3A">
        <w:rPr>
          <w:rFonts w:ascii="Times New Roman" w:hAnsi="Times New Roman" w:cs="Times New Roman"/>
          <w:sz w:val="24"/>
          <w:szCs w:val="24"/>
        </w:rPr>
        <w:t>CLogP</w:t>
      </w:r>
      <w:proofErr w:type="spellEnd"/>
      <w:r w:rsidRPr="000B4A3A">
        <w:rPr>
          <w:rFonts w:ascii="Times New Roman" w:hAnsi="Times New Roman" w:cs="Times New Roman"/>
          <w:sz w:val="24"/>
          <w:szCs w:val="24"/>
        </w:rPr>
        <w:t>) exceeding 5 (Lipinski, 2004).</w:t>
      </w:r>
    </w:p>
    <w:p w14:paraId="229EB0F2" w14:textId="55293D0F" w:rsidR="000B4A3A" w:rsidRPr="000B4A3A" w:rsidRDefault="000B4A3A" w:rsidP="000B4A3A">
      <w:pPr>
        <w:spacing w:line="360" w:lineRule="auto"/>
        <w:jc w:val="both"/>
        <w:rPr>
          <w:rFonts w:ascii="Times New Roman" w:hAnsi="Times New Roman" w:cs="Times New Roman"/>
          <w:b/>
          <w:bCs/>
          <w:sz w:val="24"/>
          <w:szCs w:val="24"/>
        </w:rPr>
      </w:pPr>
      <w:r w:rsidRPr="000B4A3A">
        <w:rPr>
          <w:rFonts w:ascii="Times New Roman" w:hAnsi="Times New Roman" w:cs="Times New Roman"/>
          <w:b/>
          <w:bCs/>
          <w:sz w:val="24"/>
          <w:szCs w:val="24"/>
        </w:rPr>
        <w:t>Receptor Preparation:</w:t>
      </w:r>
    </w:p>
    <w:p w14:paraId="6A92D0E8" w14:textId="2AAD4B29"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The three-dimensional structures of target proteins were retrieved from both the </w:t>
      </w:r>
      <w:proofErr w:type="spellStart"/>
      <w:r w:rsidRPr="000B4A3A">
        <w:rPr>
          <w:rFonts w:ascii="Times New Roman" w:hAnsi="Times New Roman" w:cs="Times New Roman"/>
          <w:sz w:val="24"/>
          <w:szCs w:val="24"/>
        </w:rPr>
        <w:t>BioSIM</w:t>
      </w:r>
      <w:proofErr w:type="spellEnd"/>
      <w:r w:rsidRPr="000B4A3A">
        <w:rPr>
          <w:rFonts w:ascii="Times New Roman" w:hAnsi="Times New Roman" w:cs="Times New Roman"/>
          <w:sz w:val="24"/>
          <w:szCs w:val="24"/>
        </w:rPr>
        <w:t xml:space="preserve"> and RCSB PDB databases, which store comprehensive structural information on proteins and nucleic acids related to biofilm formation. Specifically, five proteins—</w:t>
      </w:r>
      <w:proofErr w:type="spellStart"/>
      <w:r w:rsidRPr="000B4A3A">
        <w:rPr>
          <w:rFonts w:ascii="Times New Roman" w:hAnsi="Times New Roman" w:cs="Times New Roman"/>
          <w:sz w:val="24"/>
          <w:szCs w:val="24"/>
        </w:rPr>
        <w:t>LuxS</w:t>
      </w:r>
      <w:proofErr w:type="spellEnd"/>
      <w:r w:rsidRPr="000B4A3A">
        <w:rPr>
          <w:rFonts w:ascii="Times New Roman" w:hAnsi="Times New Roman" w:cs="Times New Roman"/>
          <w:sz w:val="24"/>
          <w:szCs w:val="24"/>
        </w:rPr>
        <w:t xml:space="preserve"> (S-ribosyl homocysteine lyase), </w:t>
      </w:r>
      <w:proofErr w:type="spellStart"/>
      <w:r w:rsidRPr="000B4A3A">
        <w:rPr>
          <w:rFonts w:ascii="Times New Roman" w:hAnsi="Times New Roman" w:cs="Times New Roman"/>
          <w:sz w:val="24"/>
          <w:szCs w:val="24"/>
        </w:rPr>
        <w:t>SpaP</w:t>
      </w:r>
      <w:proofErr w:type="spellEnd"/>
      <w:r w:rsidRPr="000B4A3A">
        <w:rPr>
          <w:rFonts w:ascii="Times New Roman" w:hAnsi="Times New Roman" w:cs="Times New Roman"/>
          <w:sz w:val="24"/>
          <w:szCs w:val="24"/>
        </w:rPr>
        <w:t xml:space="preserve"> (Antigen I/II), </w:t>
      </w:r>
      <w:proofErr w:type="spellStart"/>
      <w:r w:rsidRPr="000B4A3A">
        <w:rPr>
          <w:rFonts w:ascii="Times New Roman" w:hAnsi="Times New Roman" w:cs="Times New Roman"/>
          <w:sz w:val="24"/>
          <w:szCs w:val="24"/>
        </w:rPr>
        <w:t>FruA</w:t>
      </w:r>
      <w:proofErr w:type="spellEnd"/>
      <w:r w:rsidRPr="000B4A3A">
        <w:rPr>
          <w:rFonts w:ascii="Times New Roman" w:hAnsi="Times New Roman" w:cs="Times New Roman"/>
          <w:sz w:val="24"/>
          <w:szCs w:val="24"/>
        </w:rPr>
        <w:t xml:space="preserve"> (</w:t>
      </w:r>
      <w:proofErr w:type="spellStart"/>
      <w:r w:rsidRPr="000B4A3A">
        <w:rPr>
          <w:rFonts w:ascii="Times New Roman" w:hAnsi="Times New Roman" w:cs="Times New Roman"/>
          <w:sz w:val="24"/>
          <w:szCs w:val="24"/>
        </w:rPr>
        <w:t>Fructanase</w:t>
      </w:r>
      <w:proofErr w:type="spellEnd"/>
      <w:r w:rsidRPr="000B4A3A">
        <w:rPr>
          <w:rFonts w:ascii="Times New Roman" w:hAnsi="Times New Roman" w:cs="Times New Roman"/>
          <w:sz w:val="24"/>
          <w:szCs w:val="24"/>
        </w:rPr>
        <w:t xml:space="preserve">), </w:t>
      </w:r>
      <w:proofErr w:type="spellStart"/>
      <w:r w:rsidRPr="000B4A3A">
        <w:rPr>
          <w:rFonts w:ascii="Times New Roman" w:hAnsi="Times New Roman" w:cs="Times New Roman"/>
          <w:sz w:val="24"/>
          <w:szCs w:val="24"/>
        </w:rPr>
        <w:t>GtfB</w:t>
      </w:r>
      <w:proofErr w:type="spellEnd"/>
      <w:r w:rsidRPr="000B4A3A">
        <w:rPr>
          <w:rFonts w:ascii="Times New Roman" w:hAnsi="Times New Roman" w:cs="Times New Roman"/>
          <w:sz w:val="24"/>
          <w:szCs w:val="24"/>
        </w:rPr>
        <w:t xml:space="preserve"> (Glucosyl transferase B), and </w:t>
      </w:r>
      <w:proofErr w:type="spellStart"/>
      <w:r w:rsidRPr="000B4A3A">
        <w:rPr>
          <w:rFonts w:ascii="Times New Roman" w:hAnsi="Times New Roman" w:cs="Times New Roman"/>
          <w:sz w:val="24"/>
          <w:szCs w:val="24"/>
        </w:rPr>
        <w:t>ComD</w:t>
      </w:r>
      <w:proofErr w:type="spellEnd"/>
      <w:r w:rsidRPr="000B4A3A">
        <w:rPr>
          <w:rFonts w:ascii="Times New Roman" w:hAnsi="Times New Roman" w:cs="Times New Roman"/>
          <w:sz w:val="24"/>
          <w:szCs w:val="24"/>
        </w:rPr>
        <w:t xml:space="preserve"> (Histidine kinase)—were selected for computational analysis against the phytochemicals from </w:t>
      </w:r>
      <w:r w:rsidRPr="00A12DCD">
        <w:rPr>
          <w:rFonts w:ascii="Times New Roman" w:hAnsi="Times New Roman" w:cs="Times New Roman"/>
          <w:i/>
          <w:iCs/>
          <w:sz w:val="24"/>
          <w:szCs w:val="24"/>
        </w:rPr>
        <w:t xml:space="preserve">Camellia </w:t>
      </w:r>
      <w:proofErr w:type="spellStart"/>
      <w:r w:rsidRPr="00A12DCD">
        <w:rPr>
          <w:rFonts w:ascii="Times New Roman" w:hAnsi="Times New Roman" w:cs="Times New Roman"/>
          <w:i/>
          <w:iCs/>
          <w:sz w:val="24"/>
          <w:szCs w:val="24"/>
        </w:rPr>
        <w:t>sinensis</w:t>
      </w:r>
      <w:proofErr w:type="spellEnd"/>
      <w:r w:rsidRPr="000B4A3A">
        <w:rPr>
          <w:rFonts w:ascii="Times New Roman" w:hAnsi="Times New Roman" w:cs="Times New Roman"/>
          <w:sz w:val="24"/>
          <w:szCs w:val="24"/>
        </w:rPr>
        <w:t xml:space="preserve"> (Burley </w:t>
      </w:r>
      <w:r w:rsidRPr="00A12DCD">
        <w:rPr>
          <w:rFonts w:ascii="Times New Roman" w:hAnsi="Times New Roman" w:cs="Times New Roman"/>
          <w:i/>
          <w:iCs/>
          <w:sz w:val="24"/>
          <w:szCs w:val="24"/>
        </w:rPr>
        <w:t>et al</w:t>
      </w:r>
      <w:r w:rsidRPr="000B4A3A">
        <w:rPr>
          <w:rFonts w:ascii="Times New Roman" w:hAnsi="Times New Roman" w:cs="Times New Roman"/>
          <w:sz w:val="24"/>
          <w:szCs w:val="24"/>
        </w:rPr>
        <w:t>., 2019; Trott &amp; Olson, 2010).</w:t>
      </w:r>
    </w:p>
    <w:p w14:paraId="1D65487F" w14:textId="1B45EFD1" w:rsidR="000B4A3A" w:rsidRPr="000B4A3A" w:rsidRDefault="000B4A3A" w:rsidP="000B4A3A">
      <w:pPr>
        <w:spacing w:line="360" w:lineRule="auto"/>
        <w:jc w:val="both"/>
        <w:rPr>
          <w:rFonts w:ascii="Times New Roman" w:hAnsi="Times New Roman" w:cs="Times New Roman"/>
          <w:b/>
          <w:bCs/>
          <w:sz w:val="24"/>
          <w:szCs w:val="24"/>
        </w:rPr>
      </w:pPr>
      <w:r w:rsidRPr="000B4A3A">
        <w:rPr>
          <w:rFonts w:ascii="Times New Roman" w:hAnsi="Times New Roman" w:cs="Times New Roman"/>
          <w:b/>
          <w:bCs/>
          <w:sz w:val="24"/>
          <w:szCs w:val="24"/>
        </w:rPr>
        <w:t>Active Site Prediction:</w:t>
      </w:r>
    </w:p>
    <w:p w14:paraId="42453FBA" w14:textId="0572F81B" w:rsidR="000B4A3A" w:rsidRPr="000B4A3A"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The </w:t>
      </w:r>
      <w:proofErr w:type="spellStart"/>
      <w:r w:rsidRPr="000B4A3A">
        <w:rPr>
          <w:rFonts w:ascii="Times New Roman" w:hAnsi="Times New Roman" w:cs="Times New Roman"/>
          <w:sz w:val="24"/>
          <w:szCs w:val="24"/>
        </w:rPr>
        <w:t>CASTp</w:t>
      </w:r>
      <w:proofErr w:type="spellEnd"/>
      <w:r w:rsidRPr="000B4A3A">
        <w:rPr>
          <w:rFonts w:ascii="Times New Roman" w:hAnsi="Times New Roman" w:cs="Times New Roman"/>
          <w:sz w:val="24"/>
          <w:szCs w:val="24"/>
        </w:rPr>
        <w:t xml:space="preserve"> server was utilized to predict the active sites within the selected target proteins. </w:t>
      </w:r>
      <w:proofErr w:type="spellStart"/>
      <w:r w:rsidRPr="000B4A3A">
        <w:rPr>
          <w:rFonts w:ascii="Times New Roman" w:hAnsi="Times New Roman" w:cs="Times New Roman"/>
          <w:sz w:val="24"/>
          <w:szCs w:val="24"/>
        </w:rPr>
        <w:t>CASTp</w:t>
      </w:r>
      <w:proofErr w:type="spellEnd"/>
      <w:r w:rsidRPr="000B4A3A">
        <w:rPr>
          <w:rFonts w:ascii="Times New Roman" w:hAnsi="Times New Roman" w:cs="Times New Roman"/>
          <w:sz w:val="24"/>
          <w:szCs w:val="24"/>
        </w:rPr>
        <w:t xml:space="preserve"> is an openly accessible server that provides anticipated locations of active sites, which were utilized to establish the dimensions of the grid box during the docking process (Tian </w:t>
      </w:r>
      <w:r w:rsidRPr="00CD1C96">
        <w:rPr>
          <w:rFonts w:ascii="Times New Roman" w:hAnsi="Times New Roman" w:cs="Times New Roman"/>
          <w:i/>
          <w:iCs/>
          <w:sz w:val="24"/>
          <w:szCs w:val="24"/>
        </w:rPr>
        <w:t>et al</w:t>
      </w:r>
      <w:r w:rsidRPr="000B4A3A">
        <w:rPr>
          <w:rFonts w:ascii="Times New Roman" w:hAnsi="Times New Roman" w:cs="Times New Roman"/>
          <w:sz w:val="24"/>
          <w:szCs w:val="24"/>
        </w:rPr>
        <w:t>., 2018)</w:t>
      </w:r>
      <w:r>
        <w:rPr>
          <w:rFonts w:ascii="Times New Roman" w:hAnsi="Times New Roman" w:cs="Times New Roman"/>
          <w:sz w:val="24"/>
          <w:szCs w:val="24"/>
        </w:rPr>
        <w:t>.</w:t>
      </w:r>
    </w:p>
    <w:p w14:paraId="75AAA194" w14:textId="26A4CC7F" w:rsidR="000B4A3A" w:rsidRPr="000B4A3A" w:rsidRDefault="000B4A3A" w:rsidP="000B4A3A">
      <w:pPr>
        <w:spacing w:line="360" w:lineRule="auto"/>
        <w:jc w:val="both"/>
        <w:rPr>
          <w:rFonts w:ascii="Times New Roman" w:hAnsi="Times New Roman" w:cs="Times New Roman"/>
          <w:b/>
          <w:bCs/>
          <w:sz w:val="24"/>
          <w:szCs w:val="24"/>
        </w:rPr>
      </w:pPr>
      <w:r w:rsidRPr="000B4A3A">
        <w:rPr>
          <w:rFonts w:ascii="Times New Roman" w:hAnsi="Times New Roman" w:cs="Times New Roman"/>
          <w:b/>
          <w:bCs/>
          <w:sz w:val="24"/>
          <w:szCs w:val="24"/>
        </w:rPr>
        <w:t>Molecular Docking:</w:t>
      </w:r>
    </w:p>
    <w:p w14:paraId="29D7D0CE" w14:textId="2E0590E5" w:rsidR="002C1E41" w:rsidRPr="002C1E41" w:rsidRDefault="000B4A3A" w:rsidP="000B4A3A">
      <w:pPr>
        <w:spacing w:line="360" w:lineRule="auto"/>
        <w:jc w:val="both"/>
        <w:rPr>
          <w:rFonts w:ascii="Times New Roman" w:hAnsi="Times New Roman" w:cs="Times New Roman"/>
          <w:sz w:val="24"/>
          <w:szCs w:val="24"/>
        </w:rPr>
      </w:pPr>
      <w:r w:rsidRPr="000B4A3A">
        <w:rPr>
          <w:rFonts w:ascii="Times New Roman" w:hAnsi="Times New Roman" w:cs="Times New Roman"/>
          <w:sz w:val="24"/>
          <w:szCs w:val="24"/>
        </w:rPr>
        <w:t xml:space="preserve">Molecular docking of the protein-ligand complexes was performed using </w:t>
      </w:r>
      <w:proofErr w:type="spellStart"/>
      <w:r w:rsidRPr="000B4A3A">
        <w:rPr>
          <w:rFonts w:ascii="Times New Roman" w:hAnsi="Times New Roman" w:cs="Times New Roman"/>
          <w:sz w:val="24"/>
          <w:szCs w:val="24"/>
        </w:rPr>
        <w:t>AutoDock</w:t>
      </w:r>
      <w:proofErr w:type="spellEnd"/>
      <w:r w:rsidRPr="000B4A3A">
        <w:rPr>
          <w:rFonts w:ascii="Times New Roman" w:hAnsi="Times New Roman" w:cs="Times New Roman"/>
          <w:sz w:val="24"/>
          <w:szCs w:val="24"/>
        </w:rPr>
        <w:t xml:space="preserve"> Vina software. </w:t>
      </w:r>
      <w:proofErr w:type="spellStart"/>
      <w:r w:rsidRPr="000B4A3A">
        <w:rPr>
          <w:rFonts w:ascii="Times New Roman" w:hAnsi="Times New Roman" w:cs="Times New Roman"/>
          <w:sz w:val="24"/>
          <w:szCs w:val="24"/>
        </w:rPr>
        <w:t>AutoDock</w:t>
      </w:r>
      <w:proofErr w:type="spellEnd"/>
      <w:r w:rsidRPr="000B4A3A">
        <w:rPr>
          <w:rFonts w:ascii="Times New Roman" w:hAnsi="Times New Roman" w:cs="Times New Roman"/>
          <w:sz w:val="24"/>
          <w:szCs w:val="24"/>
        </w:rPr>
        <w:t xml:space="preserve"> Vina employs an advanced gradient optimization technique to predict the optimal binding orientation of the ligand within the protein cavity. In this study, six phytochemicals were docked against the five selected proteins (Trott &amp; Olson, 2010).</w:t>
      </w:r>
    </w:p>
    <w:p w14:paraId="24261A82" w14:textId="0D91B4F5" w:rsidR="005D5307" w:rsidRDefault="00EB37B3"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57AB2559" w14:textId="4D63BB0D" w:rsidR="00196311" w:rsidRDefault="001C0434"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Identification and Collection of Target Proteins:</w:t>
      </w:r>
    </w:p>
    <w:p w14:paraId="674DA7A5" w14:textId="42A6D2BD" w:rsidR="00387ED9" w:rsidRDefault="001C0434"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extensive literature review identified target proteins involved in quorum sensing via the </w:t>
      </w:r>
      <w:proofErr w:type="spellStart"/>
      <w:r>
        <w:rPr>
          <w:rFonts w:ascii="Times New Roman" w:hAnsi="Times New Roman" w:cs="Times New Roman"/>
          <w:sz w:val="24"/>
          <w:szCs w:val="24"/>
        </w:rPr>
        <w:t>LuxS</w:t>
      </w:r>
      <w:proofErr w:type="spellEnd"/>
      <w:r>
        <w:rPr>
          <w:rFonts w:ascii="Times New Roman" w:hAnsi="Times New Roman" w:cs="Times New Roman"/>
          <w:sz w:val="24"/>
          <w:szCs w:val="24"/>
        </w:rPr>
        <w:t xml:space="preserve"> system and Exopolysaccharide (EPS) production, which are crucial for oral biofilm formation. Protein structures were obtained from the </w:t>
      </w:r>
      <w:proofErr w:type="spellStart"/>
      <w:r>
        <w:rPr>
          <w:rFonts w:ascii="Times New Roman" w:hAnsi="Times New Roman" w:cs="Times New Roman"/>
          <w:sz w:val="24"/>
          <w:szCs w:val="24"/>
        </w:rPr>
        <w:t>BioSIM</w:t>
      </w:r>
      <w:proofErr w:type="spellEnd"/>
      <w:r>
        <w:rPr>
          <w:rFonts w:ascii="Times New Roman" w:hAnsi="Times New Roman" w:cs="Times New Roman"/>
          <w:sz w:val="24"/>
          <w:szCs w:val="24"/>
        </w:rPr>
        <w:t xml:space="preserve"> and RCSB PDB databases in PDB format.</w:t>
      </w:r>
    </w:p>
    <w:p w14:paraId="18B074DA" w14:textId="12579C5D" w:rsidR="004F00AF" w:rsidRDefault="004F00AF"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Acquisition of Phytochemical Data:</w:t>
      </w:r>
    </w:p>
    <w:p w14:paraId="61530A5B" w14:textId="724D8DC4" w:rsidR="004F00AF" w:rsidRDefault="004F00AF"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Phytochemical data from </w:t>
      </w:r>
      <w:r>
        <w:rPr>
          <w:rFonts w:ascii="Times New Roman" w:hAnsi="Times New Roman" w:cs="Times New Roman"/>
          <w:i/>
          <w:iCs/>
          <w:sz w:val="24"/>
          <w:szCs w:val="24"/>
        </w:rPr>
        <w:t xml:space="preserve">Camellia </w:t>
      </w:r>
      <w:proofErr w:type="spellStart"/>
      <w:r>
        <w:rPr>
          <w:rFonts w:ascii="Times New Roman" w:hAnsi="Times New Roman" w:cs="Times New Roman"/>
          <w:i/>
          <w:iCs/>
          <w:sz w:val="24"/>
          <w:szCs w:val="24"/>
        </w:rPr>
        <w:t>sinensis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(Green tea) were acquired using IMPPAT and PubChem databases. These databases provided comprehensive structural information in various formats, including </w:t>
      </w:r>
      <w:proofErr w:type="spellStart"/>
      <w:r>
        <w:rPr>
          <w:rFonts w:ascii="Times New Roman" w:hAnsi="Times New Roman" w:cs="Times New Roman"/>
          <w:sz w:val="24"/>
          <w:szCs w:val="24"/>
        </w:rPr>
        <w:t>sdf</w:t>
      </w:r>
      <w:proofErr w:type="spellEnd"/>
      <w:r>
        <w:rPr>
          <w:rFonts w:ascii="Times New Roman" w:hAnsi="Times New Roman" w:cs="Times New Roman"/>
          <w:sz w:val="24"/>
          <w:szCs w:val="24"/>
        </w:rPr>
        <w:t xml:space="preserve">, mol, </w:t>
      </w:r>
      <w:proofErr w:type="spellStart"/>
      <w:r>
        <w:rPr>
          <w:rFonts w:ascii="Times New Roman" w:hAnsi="Times New Roman" w:cs="Times New Roman"/>
          <w:sz w:val="24"/>
          <w:szCs w:val="24"/>
        </w:rPr>
        <w:t>pdb</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pdbqt</w:t>
      </w:r>
      <w:proofErr w:type="spellEnd"/>
      <w:r>
        <w:rPr>
          <w:rFonts w:ascii="Times New Roman" w:hAnsi="Times New Roman" w:cs="Times New Roman"/>
          <w:sz w:val="24"/>
          <w:szCs w:val="24"/>
        </w:rPr>
        <w:t>.</w:t>
      </w:r>
    </w:p>
    <w:p w14:paraId="74D733B3" w14:textId="28ADFB2A" w:rsidR="004F00AF" w:rsidRDefault="00593D02"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Selection and Preparation of Ligands:</w:t>
      </w:r>
    </w:p>
    <w:p w14:paraId="6F60C0C7" w14:textId="7D0D979A" w:rsidR="00593D02" w:rsidRPr="006A59EC" w:rsidRDefault="00593D02" w:rsidP="00BF5DE6">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Six phytochemicals were selected for docking studies against target proteins involved in oral biofilm formation such as Epigallocatechin Gallate (EGCG), Catechin, Epicatechin Gallate (ECG), Epicatechin (EC), Quercetin, and Kaempferol. The three-dimensional structures of these compounds were obtained in </w:t>
      </w:r>
      <w:proofErr w:type="spellStart"/>
      <w:r>
        <w:rPr>
          <w:rFonts w:ascii="Times New Roman" w:hAnsi="Times New Roman" w:cs="Times New Roman"/>
          <w:sz w:val="24"/>
          <w:szCs w:val="24"/>
        </w:rPr>
        <w:t>sdf</w:t>
      </w:r>
      <w:proofErr w:type="spellEnd"/>
      <w:r>
        <w:rPr>
          <w:rFonts w:ascii="Times New Roman" w:hAnsi="Times New Roman" w:cs="Times New Roman"/>
          <w:sz w:val="24"/>
          <w:szCs w:val="24"/>
        </w:rPr>
        <w:t xml:space="preserve"> format </w:t>
      </w:r>
      <w:r w:rsidR="00A07CDB">
        <w:rPr>
          <w:rFonts w:ascii="Times New Roman" w:hAnsi="Times New Roman" w:cs="Times New Roman"/>
          <w:sz w:val="24"/>
          <w:szCs w:val="24"/>
        </w:rPr>
        <w:t>from</w:t>
      </w:r>
      <w:r>
        <w:rPr>
          <w:rFonts w:ascii="Times New Roman" w:hAnsi="Times New Roman" w:cs="Times New Roman"/>
          <w:sz w:val="24"/>
          <w:szCs w:val="24"/>
        </w:rPr>
        <w:t xml:space="preserve"> PubChem and prepared for </w:t>
      </w:r>
      <w:r w:rsidR="007D422C">
        <w:rPr>
          <w:rFonts w:ascii="Times New Roman" w:hAnsi="Times New Roman" w:cs="Times New Roman"/>
          <w:sz w:val="24"/>
          <w:szCs w:val="24"/>
        </w:rPr>
        <w:t>docking.</w:t>
      </w:r>
      <w:r w:rsidR="007D422C">
        <w:rPr>
          <w:rFonts w:ascii="Times New Roman" w:hAnsi="Times New Roman" w:cs="Times New Roman"/>
          <w:b/>
          <w:bCs/>
          <w:sz w:val="24"/>
          <w:szCs w:val="24"/>
        </w:rPr>
        <w:t xml:space="preserve"> (</w:t>
      </w:r>
      <w:r w:rsidR="006A59EC">
        <w:rPr>
          <w:rFonts w:ascii="Times New Roman" w:hAnsi="Times New Roman" w:cs="Times New Roman"/>
          <w:b/>
          <w:bCs/>
          <w:sz w:val="24"/>
          <w:szCs w:val="24"/>
        </w:rPr>
        <w:t>Figure 1) (Table 1)</w:t>
      </w:r>
    </w:p>
    <w:p w14:paraId="59B606B8" w14:textId="1E3A5B26" w:rsidR="004B2A72" w:rsidRPr="004B2A72" w:rsidRDefault="004B2A72" w:rsidP="004B2A72">
      <w:pPr>
        <w:pStyle w:val="Caption"/>
        <w:keepNext/>
        <w:jc w:val="center"/>
        <w:rPr>
          <w:rFonts w:ascii="Times New Roman" w:hAnsi="Times New Roman" w:cs="Times New Roman"/>
          <w:b/>
          <w:bCs/>
          <w:i w:val="0"/>
          <w:iCs w:val="0"/>
          <w:sz w:val="20"/>
          <w:szCs w:val="20"/>
        </w:rPr>
      </w:pPr>
      <w:r w:rsidRPr="004B2A72">
        <w:rPr>
          <w:rFonts w:ascii="Times New Roman" w:hAnsi="Times New Roman" w:cs="Times New Roman"/>
          <w:b/>
          <w:bCs/>
          <w:i w:val="0"/>
          <w:iCs w:val="0"/>
          <w:sz w:val="20"/>
          <w:szCs w:val="20"/>
        </w:rPr>
        <w:t xml:space="preserve">Table </w:t>
      </w:r>
      <w:r w:rsidRPr="004B2A72">
        <w:rPr>
          <w:rFonts w:ascii="Times New Roman" w:hAnsi="Times New Roman" w:cs="Times New Roman"/>
          <w:b/>
          <w:bCs/>
          <w:i w:val="0"/>
          <w:iCs w:val="0"/>
          <w:sz w:val="20"/>
          <w:szCs w:val="20"/>
        </w:rPr>
        <w:fldChar w:fldCharType="begin"/>
      </w:r>
      <w:r w:rsidRPr="004B2A72">
        <w:rPr>
          <w:rFonts w:ascii="Times New Roman" w:hAnsi="Times New Roman" w:cs="Times New Roman"/>
          <w:b/>
          <w:bCs/>
          <w:i w:val="0"/>
          <w:iCs w:val="0"/>
          <w:sz w:val="20"/>
          <w:szCs w:val="20"/>
        </w:rPr>
        <w:instrText xml:space="preserve"> SEQ Table \* ARABIC </w:instrText>
      </w:r>
      <w:r w:rsidRPr="004B2A72">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1</w:t>
      </w:r>
      <w:r w:rsidRPr="004B2A72">
        <w:rPr>
          <w:rFonts w:ascii="Times New Roman" w:hAnsi="Times New Roman" w:cs="Times New Roman"/>
          <w:b/>
          <w:bCs/>
          <w:i w:val="0"/>
          <w:iCs w:val="0"/>
          <w:sz w:val="20"/>
          <w:szCs w:val="20"/>
        </w:rPr>
        <w:fldChar w:fldCharType="end"/>
      </w:r>
      <w:r w:rsidRPr="004B2A72">
        <w:rPr>
          <w:rFonts w:ascii="Times New Roman" w:hAnsi="Times New Roman" w:cs="Times New Roman"/>
          <w:b/>
          <w:bCs/>
          <w:i w:val="0"/>
          <w:iCs w:val="0"/>
          <w:sz w:val="20"/>
          <w:szCs w:val="20"/>
        </w:rPr>
        <w:t xml:space="preserve"> Phytochemicals from PubChem</w:t>
      </w:r>
    </w:p>
    <w:tbl>
      <w:tblPr>
        <w:tblStyle w:val="TableGrid"/>
        <w:tblW w:w="0" w:type="auto"/>
        <w:tblLook w:val="04A0" w:firstRow="1" w:lastRow="0" w:firstColumn="1" w:lastColumn="0" w:noHBand="0" w:noVBand="1"/>
      </w:tblPr>
      <w:tblGrid>
        <w:gridCol w:w="3055"/>
        <w:gridCol w:w="2446"/>
        <w:gridCol w:w="2450"/>
        <w:gridCol w:w="2423"/>
      </w:tblGrid>
      <w:tr w:rsidR="007C148D" w14:paraId="569AC8BB" w14:textId="77777777" w:rsidTr="006A59EC">
        <w:trPr>
          <w:trHeight w:val="550"/>
        </w:trPr>
        <w:tc>
          <w:tcPr>
            <w:tcW w:w="3055" w:type="dxa"/>
            <w:vAlign w:val="center"/>
          </w:tcPr>
          <w:p w14:paraId="6D1F3D4C" w14:textId="1B51639F"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Phytochemicals</w:t>
            </w:r>
          </w:p>
        </w:tc>
        <w:tc>
          <w:tcPr>
            <w:tcW w:w="2446" w:type="dxa"/>
            <w:vAlign w:val="center"/>
          </w:tcPr>
          <w:p w14:paraId="52BFB3EE" w14:textId="746E1E81"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Compound CID</w:t>
            </w:r>
          </w:p>
        </w:tc>
        <w:tc>
          <w:tcPr>
            <w:tcW w:w="2450" w:type="dxa"/>
            <w:vAlign w:val="center"/>
          </w:tcPr>
          <w:p w14:paraId="1F66A1B5" w14:textId="400B4431"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Molecular formula</w:t>
            </w:r>
          </w:p>
        </w:tc>
        <w:tc>
          <w:tcPr>
            <w:tcW w:w="2423" w:type="dxa"/>
            <w:vAlign w:val="center"/>
          </w:tcPr>
          <w:p w14:paraId="3F5653FA" w14:textId="07183753"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Molecular weight</w:t>
            </w:r>
          </w:p>
        </w:tc>
      </w:tr>
      <w:tr w:rsidR="007C148D" w14:paraId="18B23990" w14:textId="77777777" w:rsidTr="006A59EC">
        <w:trPr>
          <w:trHeight w:val="842"/>
        </w:trPr>
        <w:tc>
          <w:tcPr>
            <w:tcW w:w="3055" w:type="dxa"/>
            <w:vAlign w:val="center"/>
          </w:tcPr>
          <w:p w14:paraId="0B138EF8" w14:textId="71C374B7"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Epigallocatechin Gallate (EGCG)</w:t>
            </w:r>
          </w:p>
        </w:tc>
        <w:tc>
          <w:tcPr>
            <w:tcW w:w="2446" w:type="dxa"/>
            <w:vAlign w:val="center"/>
          </w:tcPr>
          <w:p w14:paraId="78890AD6" w14:textId="67D73245" w:rsidR="007C148D" w:rsidRDefault="007C148D"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65064</w:t>
            </w:r>
          </w:p>
        </w:tc>
        <w:tc>
          <w:tcPr>
            <w:tcW w:w="2450" w:type="dxa"/>
            <w:vAlign w:val="center"/>
          </w:tcPr>
          <w:p w14:paraId="3C71A5EF" w14:textId="17C248DA" w:rsidR="007C148D" w:rsidRDefault="007C148D"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8A188F">
              <w:rPr>
                <w:rFonts w:ascii="Times New Roman" w:hAnsi="Times New Roman" w:cs="Times New Roman"/>
                <w:sz w:val="24"/>
                <w:szCs w:val="24"/>
                <w:vertAlign w:val="subscript"/>
              </w:rPr>
              <w:t>22</w:t>
            </w:r>
            <w:r>
              <w:rPr>
                <w:rFonts w:ascii="Times New Roman" w:hAnsi="Times New Roman" w:cs="Times New Roman"/>
                <w:sz w:val="24"/>
                <w:szCs w:val="24"/>
              </w:rPr>
              <w:t>H</w:t>
            </w:r>
            <w:r w:rsidRPr="008A188F">
              <w:rPr>
                <w:rFonts w:ascii="Times New Roman" w:hAnsi="Times New Roman" w:cs="Times New Roman"/>
                <w:sz w:val="24"/>
                <w:szCs w:val="24"/>
                <w:vertAlign w:val="subscript"/>
              </w:rPr>
              <w:t>18</w:t>
            </w:r>
            <w:r>
              <w:rPr>
                <w:rFonts w:ascii="Times New Roman" w:hAnsi="Times New Roman" w:cs="Times New Roman"/>
                <w:sz w:val="24"/>
                <w:szCs w:val="24"/>
              </w:rPr>
              <w:t>O</w:t>
            </w:r>
            <w:r w:rsidRPr="008A188F">
              <w:rPr>
                <w:rFonts w:ascii="Times New Roman" w:hAnsi="Times New Roman" w:cs="Times New Roman"/>
                <w:sz w:val="24"/>
                <w:szCs w:val="24"/>
                <w:vertAlign w:val="subscript"/>
              </w:rPr>
              <w:t>11</w:t>
            </w:r>
          </w:p>
        </w:tc>
        <w:tc>
          <w:tcPr>
            <w:tcW w:w="2423" w:type="dxa"/>
            <w:vAlign w:val="center"/>
          </w:tcPr>
          <w:p w14:paraId="6EF794C4" w14:textId="0B1D2A50" w:rsidR="007C148D" w:rsidRDefault="007C148D"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458.37 g/mol</w:t>
            </w:r>
          </w:p>
        </w:tc>
      </w:tr>
      <w:tr w:rsidR="007C148D" w14:paraId="5E6224CA" w14:textId="77777777" w:rsidTr="006A59EC">
        <w:trPr>
          <w:trHeight w:val="414"/>
        </w:trPr>
        <w:tc>
          <w:tcPr>
            <w:tcW w:w="3055" w:type="dxa"/>
            <w:vAlign w:val="center"/>
          </w:tcPr>
          <w:p w14:paraId="08570303" w14:textId="72618B36"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Catechin</w:t>
            </w:r>
          </w:p>
        </w:tc>
        <w:tc>
          <w:tcPr>
            <w:tcW w:w="2446" w:type="dxa"/>
            <w:vAlign w:val="center"/>
          </w:tcPr>
          <w:p w14:paraId="684C7E66" w14:textId="2BCFF1BB" w:rsidR="007C148D" w:rsidRDefault="000E5A85"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9064</w:t>
            </w:r>
          </w:p>
        </w:tc>
        <w:tc>
          <w:tcPr>
            <w:tcW w:w="2450" w:type="dxa"/>
            <w:vAlign w:val="center"/>
          </w:tcPr>
          <w:p w14:paraId="5999FC60" w14:textId="55559246" w:rsidR="007C148D" w:rsidRDefault="00895473"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8A188F">
              <w:rPr>
                <w:rFonts w:ascii="Times New Roman" w:hAnsi="Times New Roman" w:cs="Times New Roman"/>
                <w:sz w:val="24"/>
                <w:szCs w:val="24"/>
                <w:vertAlign w:val="subscript"/>
              </w:rPr>
              <w:t>15</w:t>
            </w:r>
            <w:r w:rsidR="000E5A85">
              <w:rPr>
                <w:rFonts w:ascii="Times New Roman" w:hAnsi="Times New Roman" w:cs="Times New Roman"/>
                <w:sz w:val="24"/>
                <w:szCs w:val="24"/>
              </w:rPr>
              <w:t>H</w:t>
            </w:r>
            <w:r w:rsidR="000E5A85" w:rsidRPr="008A188F">
              <w:rPr>
                <w:rFonts w:ascii="Times New Roman" w:hAnsi="Times New Roman" w:cs="Times New Roman"/>
                <w:sz w:val="24"/>
                <w:szCs w:val="24"/>
                <w:vertAlign w:val="subscript"/>
              </w:rPr>
              <w:t>14</w:t>
            </w:r>
            <w:r w:rsidR="000E5A85">
              <w:rPr>
                <w:rFonts w:ascii="Times New Roman" w:hAnsi="Times New Roman" w:cs="Times New Roman"/>
                <w:sz w:val="24"/>
                <w:szCs w:val="24"/>
              </w:rPr>
              <w:t>O</w:t>
            </w:r>
            <w:r w:rsidR="000E5A85" w:rsidRPr="008A188F">
              <w:rPr>
                <w:rFonts w:ascii="Times New Roman" w:hAnsi="Times New Roman" w:cs="Times New Roman"/>
                <w:sz w:val="24"/>
                <w:szCs w:val="24"/>
                <w:vertAlign w:val="subscript"/>
              </w:rPr>
              <w:t>6</w:t>
            </w:r>
          </w:p>
        </w:tc>
        <w:tc>
          <w:tcPr>
            <w:tcW w:w="2423" w:type="dxa"/>
            <w:vAlign w:val="center"/>
          </w:tcPr>
          <w:p w14:paraId="0373C93E" w14:textId="69B361A0" w:rsidR="007C148D" w:rsidRDefault="000E5A85"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290.27 g/mol</w:t>
            </w:r>
          </w:p>
        </w:tc>
      </w:tr>
      <w:tr w:rsidR="007C148D" w14:paraId="69C21807" w14:textId="77777777" w:rsidTr="006A59EC">
        <w:trPr>
          <w:trHeight w:val="547"/>
        </w:trPr>
        <w:tc>
          <w:tcPr>
            <w:tcW w:w="3055" w:type="dxa"/>
            <w:vAlign w:val="center"/>
          </w:tcPr>
          <w:p w14:paraId="762A5097" w14:textId="232684D7"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Epicatechin Gallate (ECG)</w:t>
            </w:r>
          </w:p>
        </w:tc>
        <w:tc>
          <w:tcPr>
            <w:tcW w:w="2446" w:type="dxa"/>
            <w:vAlign w:val="center"/>
          </w:tcPr>
          <w:p w14:paraId="7520FEEA" w14:textId="395EC3FC" w:rsidR="007C148D" w:rsidRDefault="0050087E"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107905</w:t>
            </w:r>
          </w:p>
        </w:tc>
        <w:tc>
          <w:tcPr>
            <w:tcW w:w="2450" w:type="dxa"/>
            <w:vAlign w:val="center"/>
          </w:tcPr>
          <w:p w14:paraId="0DE052F1" w14:textId="565CED44" w:rsidR="007C148D" w:rsidRDefault="0050087E"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8A188F">
              <w:rPr>
                <w:rFonts w:ascii="Times New Roman" w:hAnsi="Times New Roman" w:cs="Times New Roman"/>
                <w:sz w:val="24"/>
                <w:szCs w:val="24"/>
                <w:vertAlign w:val="subscript"/>
              </w:rPr>
              <w:t>22</w:t>
            </w:r>
            <w:r>
              <w:rPr>
                <w:rFonts w:ascii="Times New Roman" w:hAnsi="Times New Roman" w:cs="Times New Roman"/>
                <w:sz w:val="24"/>
                <w:szCs w:val="24"/>
              </w:rPr>
              <w:t>H</w:t>
            </w:r>
            <w:r w:rsidRPr="008A188F">
              <w:rPr>
                <w:rFonts w:ascii="Times New Roman" w:hAnsi="Times New Roman" w:cs="Times New Roman"/>
                <w:sz w:val="24"/>
                <w:szCs w:val="24"/>
                <w:vertAlign w:val="subscript"/>
              </w:rPr>
              <w:t>18</w:t>
            </w:r>
            <w:r>
              <w:rPr>
                <w:rFonts w:ascii="Times New Roman" w:hAnsi="Times New Roman" w:cs="Times New Roman"/>
                <w:sz w:val="24"/>
                <w:szCs w:val="24"/>
              </w:rPr>
              <w:t>O</w:t>
            </w:r>
            <w:r w:rsidRPr="00472C0D">
              <w:rPr>
                <w:rFonts w:ascii="Times New Roman" w:hAnsi="Times New Roman" w:cs="Times New Roman"/>
                <w:sz w:val="24"/>
                <w:szCs w:val="24"/>
                <w:vertAlign w:val="subscript"/>
              </w:rPr>
              <w:t>10</w:t>
            </w:r>
          </w:p>
        </w:tc>
        <w:tc>
          <w:tcPr>
            <w:tcW w:w="2423" w:type="dxa"/>
            <w:vAlign w:val="center"/>
          </w:tcPr>
          <w:p w14:paraId="71DAABCF" w14:textId="231B9279" w:rsidR="007C148D" w:rsidRDefault="0099375E"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442.</w:t>
            </w:r>
            <w:r w:rsidR="003D6E5E">
              <w:rPr>
                <w:rFonts w:ascii="Times New Roman" w:hAnsi="Times New Roman" w:cs="Times New Roman"/>
                <w:sz w:val="24"/>
                <w:szCs w:val="24"/>
              </w:rPr>
              <w:t>37</w:t>
            </w:r>
            <w:r>
              <w:rPr>
                <w:rFonts w:ascii="Times New Roman" w:hAnsi="Times New Roman" w:cs="Times New Roman"/>
                <w:sz w:val="24"/>
                <w:szCs w:val="24"/>
              </w:rPr>
              <w:t xml:space="preserve"> g/mol</w:t>
            </w:r>
          </w:p>
        </w:tc>
      </w:tr>
      <w:tr w:rsidR="007C148D" w14:paraId="00FC3397" w14:textId="77777777" w:rsidTr="006A59EC">
        <w:trPr>
          <w:trHeight w:val="569"/>
        </w:trPr>
        <w:tc>
          <w:tcPr>
            <w:tcW w:w="3055" w:type="dxa"/>
            <w:vAlign w:val="center"/>
          </w:tcPr>
          <w:p w14:paraId="5620A7F9" w14:textId="17C2E714"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Epicatechin (EC)</w:t>
            </w:r>
          </w:p>
        </w:tc>
        <w:tc>
          <w:tcPr>
            <w:tcW w:w="2446" w:type="dxa"/>
            <w:vAlign w:val="center"/>
          </w:tcPr>
          <w:p w14:paraId="42B233D3" w14:textId="1AAB8C90" w:rsidR="007C148D" w:rsidRDefault="009A7697"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72276</w:t>
            </w:r>
          </w:p>
        </w:tc>
        <w:tc>
          <w:tcPr>
            <w:tcW w:w="2450" w:type="dxa"/>
            <w:vAlign w:val="center"/>
          </w:tcPr>
          <w:p w14:paraId="497AFD78" w14:textId="4E431CE5" w:rsidR="007C148D" w:rsidRDefault="009A7697"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472C0D">
              <w:rPr>
                <w:rFonts w:ascii="Times New Roman" w:hAnsi="Times New Roman" w:cs="Times New Roman"/>
                <w:sz w:val="24"/>
                <w:szCs w:val="24"/>
                <w:vertAlign w:val="subscript"/>
              </w:rPr>
              <w:t>15</w:t>
            </w:r>
            <w:r>
              <w:rPr>
                <w:rFonts w:ascii="Times New Roman" w:hAnsi="Times New Roman" w:cs="Times New Roman"/>
                <w:sz w:val="24"/>
                <w:szCs w:val="24"/>
              </w:rPr>
              <w:t>H</w:t>
            </w:r>
            <w:r w:rsidRPr="00472C0D">
              <w:rPr>
                <w:rFonts w:ascii="Times New Roman" w:hAnsi="Times New Roman" w:cs="Times New Roman"/>
                <w:sz w:val="24"/>
                <w:szCs w:val="24"/>
                <w:vertAlign w:val="subscript"/>
              </w:rPr>
              <w:t>14</w:t>
            </w:r>
            <w:r>
              <w:rPr>
                <w:rFonts w:ascii="Times New Roman" w:hAnsi="Times New Roman" w:cs="Times New Roman"/>
                <w:sz w:val="24"/>
                <w:szCs w:val="24"/>
              </w:rPr>
              <w:t>O</w:t>
            </w:r>
            <w:r w:rsidRPr="00472C0D">
              <w:rPr>
                <w:rFonts w:ascii="Times New Roman" w:hAnsi="Times New Roman" w:cs="Times New Roman"/>
                <w:sz w:val="24"/>
                <w:szCs w:val="24"/>
                <w:vertAlign w:val="subscript"/>
              </w:rPr>
              <w:t>6</w:t>
            </w:r>
          </w:p>
        </w:tc>
        <w:tc>
          <w:tcPr>
            <w:tcW w:w="2423" w:type="dxa"/>
            <w:vAlign w:val="center"/>
          </w:tcPr>
          <w:p w14:paraId="0E5AB9F1" w14:textId="3E97D138" w:rsidR="007C148D" w:rsidRDefault="009A7697"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290.27 g/mol</w:t>
            </w:r>
          </w:p>
        </w:tc>
      </w:tr>
      <w:tr w:rsidR="007C148D" w14:paraId="35ADD797" w14:textId="77777777" w:rsidTr="006A59EC">
        <w:trPr>
          <w:trHeight w:val="563"/>
        </w:trPr>
        <w:tc>
          <w:tcPr>
            <w:tcW w:w="3055" w:type="dxa"/>
            <w:vAlign w:val="center"/>
          </w:tcPr>
          <w:p w14:paraId="6653DF9A" w14:textId="2B279BDF"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Quercetin</w:t>
            </w:r>
          </w:p>
        </w:tc>
        <w:tc>
          <w:tcPr>
            <w:tcW w:w="2446" w:type="dxa"/>
            <w:vAlign w:val="center"/>
          </w:tcPr>
          <w:p w14:paraId="71B222D7" w14:textId="67A653B7" w:rsidR="007C148D" w:rsidRDefault="009123DD"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5280343</w:t>
            </w:r>
          </w:p>
        </w:tc>
        <w:tc>
          <w:tcPr>
            <w:tcW w:w="2450" w:type="dxa"/>
            <w:vAlign w:val="center"/>
          </w:tcPr>
          <w:p w14:paraId="59EF9408" w14:textId="648DBDED" w:rsidR="007C148D" w:rsidRDefault="00AB0FC5"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472C0D">
              <w:rPr>
                <w:rFonts w:ascii="Times New Roman" w:hAnsi="Times New Roman" w:cs="Times New Roman"/>
                <w:sz w:val="24"/>
                <w:szCs w:val="24"/>
                <w:vertAlign w:val="subscript"/>
              </w:rPr>
              <w:t>15</w:t>
            </w:r>
            <w:r>
              <w:rPr>
                <w:rFonts w:ascii="Times New Roman" w:hAnsi="Times New Roman" w:cs="Times New Roman"/>
                <w:sz w:val="24"/>
                <w:szCs w:val="24"/>
              </w:rPr>
              <w:t>H</w:t>
            </w:r>
            <w:r w:rsidRPr="00472C0D">
              <w:rPr>
                <w:rFonts w:ascii="Times New Roman" w:hAnsi="Times New Roman" w:cs="Times New Roman"/>
                <w:sz w:val="24"/>
                <w:szCs w:val="24"/>
                <w:vertAlign w:val="subscript"/>
              </w:rPr>
              <w:t>10</w:t>
            </w:r>
            <w:r>
              <w:rPr>
                <w:rFonts w:ascii="Times New Roman" w:hAnsi="Times New Roman" w:cs="Times New Roman"/>
                <w:sz w:val="24"/>
                <w:szCs w:val="24"/>
              </w:rPr>
              <w:t>O</w:t>
            </w:r>
            <w:r w:rsidRPr="00472C0D">
              <w:rPr>
                <w:rFonts w:ascii="Times New Roman" w:hAnsi="Times New Roman" w:cs="Times New Roman"/>
                <w:sz w:val="24"/>
                <w:szCs w:val="24"/>
                <w:vertAlign w:val="subscript"/>
              </w:rPr>
              <w:t>7</w:t>
            </w:r>
          </w:p>
        </w:tc>
        <w:tc>
          <w:tcPr>
            <w:tcW w:w="2423" w:type="dxa"/>
            <w:vAlign w:val="center"/>
          </w:tcPr>
          <w:p w14:paraId="570ECF8C" w14:textId="0256536F" w:rsidR="007C148D" w:rsidRDefault="00AB0FC5"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302.23 g/mol</w:t>
            </w:r>
          </w:p>
        </w:tc>
      </w:tr>
      <w:tr w:rsidR="007C148D" w14:paraId="4818A27C" w14:textId="77777777" w:rsidTr="006A59EC">
        <w:trPr>
          <w:trHeight w:val="544"/>
        </w:trPr>
        <w:tc>
          <w:tcPr>
            <w:tcW w:w="3055" w:type="dxa"/>
            <w:vAlign w:val="center"/>
          </w:tcPr>
          <w:p w14:paraId="69348429" w14:textId="299376EE" w:rsidR="007C148D" w:rsidRPr="004011DB" w:rsidRDefault="007C148D" w:rsidP="006A59EC">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Kaempferol</w:t>
            </w:r>
          </w:p>
        </w:tc>
        <w:tc>
          <w:tcPr>
            <w:tcW w:w="2446" w:type="dxa"/>
            <w:vAlign w:val="center"/>
          </w:tcPr>
          <w:p w14:paraId="2013B538" w14:textId="6008178E" w:rsidR="007C148D" w:rsidRDefault="00681222"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528</w:t>
            </w:r>
            <w:r w:rsidR="007D730B">
              <w:rPr>
                <w:rFonts w:ascii="Times New Roman" w:hAnsi="Times New Roman" w:cs="Times New Roman"/>
                <w:sz w:val="24"/>
                <w:szCs w:val="24"/>
              </w:rPr>
              <w:t>0863</w:t>
            </w:r>
          </w:p>
        </w:tc>
        <w:tc>
          <w:tcPr>
            <w:tcW w:w="2450" w:type="dxa"/>
            <w:vAlign w:val="center"/>
          </w:tcPr>
          <w:p w14:paraId="2F1BE8A1" w14:textId="1DC86C20" w:rsidR="007C148D" w:rsidRDefault="007D730B"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472C0D">
              <w:rPr>
                <w:rFonts w:ascii="Times New Roman" w:hAnsi="Times New Roman" w:cs="Times New Roman"/>
                <w:sz w:val="24"/>
                <w:szCs w:val="24"/>
                <w:vertAlign w:val="subscript"/>
              </w:rPr>
              <w:t>15</w:t>
            </w:r>
            <w:r>
              <w:rPr>
                <w:rFonts w:ascii="Times New Roman" w:hAnsi="Times New Roman" w:cs="Times New Roman"/>
                <w:sz w:val="24"/>
                <w:szCs w:val="24"/>
              </w:rPr>
              <w:t>H</w:t>
            </w:r>
            <w:r w:rsidRPr="00472C0D">
              <w:rPr>
                <w:rFonts w:ascii="Times New Roman" w:hAnsi="Times New Roman" w:cs="Times New Roman"/>
                <w:sz w:val="24"/>
                <w:szCs w:val="24"/>
                <w:vertAlign w:val="subscript"/>
              </w:rPr>
              <w:t>10</w:t>
            </w:r>
            <w:r>
              <w:rPr>
                <w:rFonts w:ascii="Times New Roman" w:hAnsi="Times New Roman" w:cs="Times New Roman"/>
                <w:sz w:val="24"/>
                <w:szCs w:val="24"/>
              </w:rPr>
              <w:t>O</w:t>
            </w:r>
            <w:r w:rsidRPr="00472C0D">
              <w:rPr>
                <w:rFonts w:ascii="Times New Roman" w:hAnsi="Times New Roman" w:cs="Times New Roman"/>
                <w:sz w:val="24"/>
                <w:szCs w:val="24"/>
                <w:vertAlign w:val="subscript"/>
              </w:rPr>
              <w:t>6</w:t>
            </w:r>
          </w:p>
        </w:tc>
        <w:tc>
          <w:tcPr>
            <w:tcW w:w="2423" w:type="dxa"/>
            <w:vAlign w:val="center"/>
          </w:tcPr>
          <w:p w14:paraId="5CB846AC" w14:textId="3A82CA05" w:rsidR="007C148D" w:rsidRDefault="007D730B" w:rsidP="006A59EC">
            <w:pPr>
              <w:spacing w:line="360" w:lineRule="auto"/>
              <w:jc w:val="center"/>
              <w:rPr>
                <w:rFonts w:ascii="Times New Roman" w:hAnsi="Times New Roman" w:cs="Times New Roman"/>
                <w:sz w:val="24"/>
                <w:szCs w:val="24"/>
              </w:rPr>
            </w:pPr>
            <w:r>
              <w:rPr>
                <w:rFonts w:ascii="Times New Roman" w:hAnsi="Times New Roman" w:cs="Times New Roman"/>
                <w:sz w:val="24"/>
                <w:szCs w:val="24"/>
              </w:rPr>
              <w:t>286.24 g/mol</w:t>
            </w:r>
          </w:p>
        </w:tc>
      </w:tr>
    </w:tbl>
    <w:p w14:paraId="1EFC91D7" w14:textId="77777777" w:rsidR="00A07CDB" w:rsidRDefault="00A07CDB" w:rsidP="00BF5DE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89"/>
        <w:gridCol w:w="5136"/>
      </w:tblGrid>
      <w:tr w:rsidR="00CF0D1D" w14:paraId="36DA114F" w14:textId="77777777" w:rsidTr="005A6320">
        <w:trPr>
          <w:trHeight w:val="3081"/>
        </w:trPr>
        <w:tc>
          <w:tcPr>
            <w:tcW w:w="5189" w:type="dxa"/>
            <w:vAlign w:val="center"/>
          </w:tcPr>
          <w:p w14:paraId="22060DC9" w14:textId="6CEEBFB1" w:rsidR="00CF0D1D" w:rsidRDefault="00823632" w:rsidP="008B5420">
            <w:pPr>
              <w:pStyle w:val="NormalWeb"/>
              <w:jc w:val="center"/>
            </w:pPr>
            <w:r w:rsidRPr="00823632">
              <w:rPr>
                <w:noProof/>
              </w:rPr>
              <w:drawing>
                <wp:inline distT="0" distB="0" distL="0" distR="0" wp14:anchorId="1E3CC8B0" wp14:editId="0D767713">
                  <wp:extent cx="1998921" cy="2026179"/>
                  <wp:effectExtent l="0" t="0" r="1905" b="0"/>
                  <wp:docPr id="82826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68075" name=""/>
                          <pic:cNvPicPr/>
                        </pic:nvPicPr>
                        <pic:blipFill>
                          <a:blip r:embed="rId8"/>
                          <a:stretch>
                            <a:fillRect/>
                          </a:stretch>
                        </pic:blipFill>
                        <pic:spPr>
                          <a:xfrm>
                            <a:off x="0" y="0"/>
                            <a:ext cx="2002596" cy="2029904"/>
                          </a:xfrm>
                          <a:prstGeom prst="rect">
                            <a:avLst/>
                          </a:prstGeom>
                        </pic:spPr>
                      </pic:pic>
                    </a:graphicData>
                  </a:graphic>
                </wp:inline>
              </w:drawing>
            </w:r>
          </w:p>
        </w:tc>
        <w:tc>
          <w:tcPr>
            <w:tcW w:w="5136" w:type="dxa"/>
            <w:vAlign w:val="center"/>
          </w:tcPr>
          <w:p w14:paraId="5D4B8FD7" w14:textId="7DD43540" w:rsidR="00CF0D1D" w:rsidRDefault="00320DF9" w:rsidP="008B5420">
            <w:pPr>
              <w:spacing w:line="360" w:lineRule="auto"/>
              <w:jc w:val="center"/>
              <w:rPr>
                <w:rFonts w:ascii="Times New Roman" w:hAnsi="Times New Roman" w:cs="Times New Roman"/>
                <w:sz w:val="24"/>
                <w:szCs w:val="24"/>
              </w:rPr>
            </w:pPr>
            <w:r w:rsidRPr="00320DF9">
              <w:rPr>
                <w:rFonts w:ascii="Times New Roman" w:hAnsi="Times New Roman" w:cs="Times New Roman"/>
                <w:noProof/>
                <w:sz w:val="24"/>
                <w:szCs w:val="24"/>
                <w:lang w:eastAsia="en-IN"/>
              </w:rPr>
              <w:drawing>
                <wp:inline distT="0" distB="0" distL="0" distR="0" wp14:anchorId="510BE33E" wp14:editId="1FAF493C">
                  <wp:extent cx="2045547" cy="1972819"/>
                  <wp:effectExtent l="0" t="0" r="0" b="8890"/>
                  <wp:docPr id="141581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1423" name=""/>
                          <pic:cNvPicPr/>
                        </pic:nvPicPr>
                        <pic:blipFill>
                          <a:blip r:embed="rId9"/>
                          <a:stretch>
                            <a:fillRect/>
                          </a:stretch>
                        </pic:blipFill>
                        <pic:spPr>
                          <a:xfrm>
                            <a:off x="0" y="0"/>
                            <a:ext cx="2062025" cy="1988711"/>
                          </a:xfrm>
                          <a:prstGeom prst="rect">
                            <a:avLst/>
                          </a:prstGeom>
                        </pic:spPr>
                      </pic:pic>
                    </a:graphicData>
                  </a:graphic>
                </wp:inline>
              </w:drawing>
            </w:r>
          </w:p>
        </w:tc>
      </w:tr>
      <w:tr w:rsidR="00CF0D1D" w14:paraId="47F215C8" w14:textId="77777777" w:rsidTr="005A6320">
        <w:trPr>
          <w:trHeight w:val="438"/>
        </w:trPr>
        <w:tc>
          <w:tcPr>
            <w:tcW w:w="5189" w:type="dxa"/>
            <w:vAlign w:val="center"/>
          </w:tcPr>
          <w:p w14:paraId="66D6D43F" w14:textId="34910C10" w:rsidR="00CF0D1D" w:rsidRDefault="00823632"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Epigallocatechin Gallate (EGCG)</w:t>
            </w:r>
          </w:p>
        </w:tc>
        <w:tc>
          <w:tcPr>
            <w:tcW w:w="5136" w:type="dxa"/>
            <w:vAlign w:val="center"/>
          </w:tcPr>
          <w:p w14:paraId="5A9958D7" w14:textId="62F6F49F" w:rsidR="00CF0D1D" w:rsidRDefault="006170D5"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Catechin</w:t>
            </w:r>
          </w:p>
        </w:tc>
      </w:tr>
      <w:tr w:rsidR="00CF0D1D" w14:paraId="693BFD5D" w14:textId="77777777" w:rsidTr="005A6320">
        <w:trPr>
          <w:trHeight w:val="2933"/>
        </w:trPr>
        <w:tc>
          <w:tcPr>
            <w:tcW w:w="5189" w:type="dxa"/>
            <w:vAlign w:val="center"/>
          </w:tcPr>
          <w:p w14:paraId="2D3A8627" w14:textId="4029CC6D" w:rsidR="00CF0D1D" w:rsidRDefault="00E259E4" w:rsidP="008B5420">
            <w:pPr>
              <w:spacing w:line="360" w:lineRule="auto"/>
              <w:jc w:val="center"/>
              <w:rPr>
                <w:rFonts w:ascii="Times New Roman" w:hAnsi="Times New Roman" w:cs="Times New Roman"/>
                <w:sz w:val="24"/>
                <w:szCs w:val="24"/>
              </w:rPr>
            </w:pPr>
            <w:r w:rsidRPr="00E259E4">
              <w:rPr>
                <w:rFonts w:ascii="Times New Roman" w:hAnsi="Times New Roman" w:cs="Times New Roman"/>
                <w:noProof/>
                <w:sz w:val="24"/>
                <w:szCs w:val="24"/>
                <w:lang w:eastAsia="en-IN"/>
              </w:rPr>
              <w:drawing>
                <wp:inline distT="0" distB="0" distL="0" distR="0" wp14:anchorId="1E943EED" wp14:editId="5C008A5A">
                  <wp:extent cx="2064190" cy="1892967"/>
                  <wp:effectExtent l="0" t="0" r="0" b="0"/>
                  <wp:docPr id="177801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13142" name=""/>
                          <pic:cNvPicPr/>
                        </pic:nvPicPr>
                        <pic:blipFill>
                          <a:blip r:embed="rId10"/>
                          <a:stretch>
                            <a:fillRect/>
                          </a:stretch>
                        </pic:blipFill>
                        <pic:spPr>
                          <a:xfrm>
                            <a:off x="0" y="0"/>
                            <a:ext cx="2071267" cy="1899457"/>
                          </a:xfrm>
                          <a:prstGeom prst="rect">
                            <a:avLst/>
                          </a:prstGeom>
                        </pic:spPr>
                      </pic:pic>
                    </a:graphicData>
                  </a:graphic>
                </wp:inline>
              </w:drawing>
            </w:r>
          </w:p>
        </w:tc>
        <w:tc>
          <w:tcPr>
            <w:tcW w:w="5136" w:type="dxa"/>
            <w:vAlign w:val="center"/>
          </w:tcPr>
          <w:p w14:paraId="3939609B" w14:textId="12E3CFD1" w:rsidR="00CF0D1D" w:rsidRDefault="006D270D" w:rsidP="008B5420">
            <w:pPr>
              <w:spacing w:line="360" w:lineRule="auto"/>
              <w:jc w:val="center"/>
              <w:rPr>
                <w:rFonts w:ascii="Times New Roman" w:hAnsi="Times New Roman" w:cs="Times New Roman"/>
                <w:sz w:val="24"/>
                <w:szCs w:val="24"/>
              </w:rPr>
            </w:pPr>
            <w:r w:rsidRPr="006D270D">
              <w:rPr>
                <w:rFonts w:ascii="Times New Roman" w:hAnsi="Times New Roman" w:cs="Times New Roman"/>
                <w:noProof/>
                <w:sz w:val="24"/>
                <w:szCs w:val="24"/>
                <w:lang w:eastAsia="en-IN"/>
              </w:rPr>
              <w:drawing>
                <wp:inline distT="0" distB="0" distL="0" distR="0" wp14:anchorId="48A849EF" wp14:editId="44AA116D">
                  <wp:extent cx="2394595" cy="1855470"/>
                  <wp:effectExtent l="0" t="0" r="5715" b="0"/>
                  <wp:docPr id="201306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0471" name=""/>
                          <pic:cNvPicPr/>
                        </pic:nvPicPr>
                        <pic:blipFill>
                          <a:blip r:embed="rId11"/>
                          <a:stretch>
                            <a:fillRect/>
                          </a:stretch>
                        </pic:blipFill>
                        <pic:spPr>
                          <a:xfrm>
                            <a:off x="0" y="0"/>
                            <a:ext cx="2411129" cy="1868282"/>
                          </a:xfrm>
                          <a:prstGeom prst="rect">
                            <a:avLst/>
                          </a:prstGeom>
                        </pic:spPr>
                      </pic:pic>
                    </a:graphicData>
                  </a:graphic>
                </wp:inline>
              </w:drawing>
            </w:r>
          </w:p>
        </w:tc>
      </w:tr>
      <w:tr w:rsidR="00CF0D1D" w14:paraId="54133948" w14:textId="77777777" w:rsidTr="005A6320">
        <w:trPr>
          <w:trHeight w:val="438"/>
        </w:trPr>
        <w:tc>
          <w:tcPr>
            <w:tcW w:w="5189" w:type="dxa"/>
            <w:vAlign w:val="center"/>
          </w:tcPr>
          <w:p w14:paraId="3D73B792" w14:textId="589A53A9" w:rsidR="00CF0D1D" w:rsidRDefault="006170D5"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Epicatechin Gallate (ECG)</w:t>
            </w:r>
          </w:p>
        </w:tc>
        <w:tc>
          <w:tcPr>
            <w:tcW w:w="5136" w:type="dxa"/>
            <w:vAlign w:val="center"/>
          </w:tcPr>
          <w:p w14:paraId="1B562D44" w14:textId="4A35D699" w:rsidR="00CF0D1D" w:rsidRDefault="006170D5"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Epicatechin (EC)</w:t>
            </w:r>
          </w:p>
        </w:tc>
      </w:tr>
      <w:tr w:rsidR="00CF0D1D" w14:paraId="6BC312F4" w14:textId="77777777" w:rsidTr="005A6320">
        <w:trPr>
          <w:trHeight w:val="3146"/>
        </w:trPr>
        <w:tc>
          <w:tcPr>
            <w:tcW w:w="5189" w:type="dxa"/>
            <w:vAlign w:val="center"/>
          </w:tcPr>
          <w:p w14:paraId="0089661D" w14:textId="1F0CB1C3" w:rsidR="00CF0D1D" w:rsidRDefault="0087632F" w:rsidP="008B5420">
            <w:pPr>
              <w:spacing w:line="360" w:lineRule="auto"/>
              <w:jc w:val="center"/>
              <w:rPr>
                <w:rFonts w:ascii="Times New Roman" w:hAnsi="Times New Roman" w:cs="Times New Roman"/>
                <w:sz w:val="24"/>
                <w:szCs w:val="24"/>
              </w:rPr>
            </w:pPr>
            <w:r w:rsidRPr="0087632F">
              <w:rPr>
                <w:rFonts w:ascii="Times New Roman" w:hAnsi="Times New Roman" w:cs="Times New Roman"/>
                <w:noProof/>
                <w:sz w:val="24"/>
                <w:szCs w:val="24"/>
                <w:lang w:eastAsia="en-IN"/>
              </w:rPr>
              <w:lastRenderedPageBreak/>
              <w:drawing>
                <wp:inline distT="0" distB="0" distL="0" distR="0" wp14:anchorId="450C5A5C" wp14:editId="52A94B7E">
                  <wp:extent cx="2236206" cy="1938046"/>
                  <wp:effectExtent l="0" t="0" r="0" b="5080"/>
                  <wp:docPr id="110542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4009" name=""/>
                          <pic:cNvPicPr/>
                        </pic:nvPicPr>
                        <pic:blipFill>
                          <a:blip r:embed="rId12"/>
                          <a:stretch>
                            <a:fillRect/>
                          </a:stretch>
                        </pic:blipFill>
                        <pic:spPr>
                          <a:xfrm>
                            <a:off x="0" y="0"/>
                            <a:ext cx="2238575" cy="1940099"/>
                          </a:xfrm>
                          <a:prstGeom prst="rect">
                            <a:avLst/>
                          </a:prstGeom>
                        </pic:spPr>
                      </pic:pic>
                    </a:graphicData>
                  </a:graphic>
                </wp:inline>
              </w:drawing>
            </w:r>
          </w:p>
        </w:tc>
        <w:tc>
          <w:tcPr>
            <w:tcW w:w="5136" w:type="dxa"/>
            <w:vAlign w:val="center"/>
          </w:tcPr>
          <w:p w14:paraId="321F09AD" w14:textId="7010658C" w:rsidR="00CF0D1D" w:rsidRDefault="00C351B4" w:rsidP="008B5420">
            <w:pPr>
              <w:spacing w:line="360" w:lineRule="auto"/>
              <w:jc w:val="center"/>
              <w:rPr>
                <w:rFonts w:ascii="Times New Roman" w:hAnsi="Times New Roman" w:cs="Times New Roman"/>
                <w:sz w:val="24"/>
                <w:szCs w:val="24"/>
              </w:rPr>
            </w:pPr>
            <w:r w:rsidRPr="00C351B4">
              <w:rPr>
                <w:rFonts w:ascii="Times New Roman" w:hAnsi="Times New Roman" w:cs="Times New Roman"/>
                <w:noProof/>
                <w:sz w:val="24"/>
                <w:szCs w:val="24"/>
                <w:lang w:eastAsia="en-IN"/>
              </w:rPr>
              <w:drawing>
                <wp:inline distT="0" distB="0" distL="0" distR="0" wp14:anchorId="40148E2A" wp14:editId="727D0BE7">
                  <wp:extent cx="2606285" cy="1901060"/>
                  <wp:effectExtent l="0" t="0" r="3810" b="4445"/>
                  <wp:docPr id="18255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76211" name=""/>
                          <pic:cNvPicPr/>
                        </pic:nvPicPr>
                        <pic:blipFill>
                          <a:blip r:embed="rId13"/>
                          <a:stretch>
                            <a:fillRect/>
                          </a:stretch>
                        </pic:blipFill>
                        <pic:spPr>
                          <a:xfrm>
                            <a:off x="0" y="0"/>
                            <a:ext cx="2627277" cy="1916372"/>
                          </a:xfrm>
                          <a:prstGeom prst="rect">
                            <a:avLst/>
                          </a:prstGeom>
                        </pic:spPr>
                      </pic:pic>
                    </a:graphicData>
                  </a:graphic>
                </wp:inline>
              </w:drawing>
            </w:r>
          </w:p>
        </w:tc>
      </w:tr>
      <w:tr w:rsidR="00CF0D1D" w14:paraId="135527BB" w14:textId="77777777" w:rsidTr="005A6320">
        <w:trPr>
          <w:trHeight w:val="438"/>
        </w:trPr>
        <w:tc>
          <w:tcPr>
            <w:tcW w:w="5189" w:type="dxa"/>
            <w:vAlign w:val="center"/>
          </w:tcPr>
          <w:p w14:paraId="35BB0F91" w14:textId="3157482E" w:rsidR="00CF0D1D" w:rsidRDefault="006170D5"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Quercetin</w:t>
            </w:r>
          </w:p>
        </w:tc>
        <w:tc>
          <w:tcPr>
            <w:tcW w:w="5136" w:type="dxa"/>
            <w:vAlign w:val="center"/>
          </w:tcPr>
          <w:p w14:paraId="645105B7" w14:textId="60912F20" w:rsidR="00CF0D1D" w:rsidRDefault="006170D5" w:rsidP="004D4AE1">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Kaempferol</w:t>
            </w:r>
          </w:p>
        </w:tc>
      </w:tr>
    </w:tbl>
    <w:p w14:paraId="4C4C86E1" w14:textId="638EAC07" w:rsidR="00CF0D1D" w:rsidRPr="004D4AE1" w:rsidRDefault="004D4AE1" w:rsidP="004D4AE1">
      <w:pPr>
        <w:pStyle w:val="Caption"/>
        <w:jc w:val="center"/>
        <w:rPr>
          <w:rFonts w:ascii="Times New Roman" w:hAnsi="Times New Roman" w:cs="Times New Roman"/>
          <w:b/>
          <w:bCs/>
          <w:i w:val="0"/>
          <w:iCs w:val="0"/>
          <w:sz w:val="28"/>
          <w:szCs w:val="28"/>
        </w:rPr>
      </w:pPr>
      <w:r w:rsidRPr="004D4AE1">
        <w:rPr>
          <w:rFonts w:ascii="Times New Roman" w:hAnsi="Times New Roman" w:cs="Times New Roman"/>
          <w:b/>
          <w:bCs/>
          <w:i w:val="0"/>
          <w:iCs w:val="0"/>
          <w:sz w:val="20"/>
          <w:szCs w:val="20"/>
        </w:rPr>
        <w:t xml:space="preserve">Figure </w:t>
      </w:r>
      <w:r w:rsidRPr="004D4AE1">
        <w:rPr>
          <w:rFonts w:ascii="Times New Roman" w:hAnsi="Times New Roman" w:cs="Times New Roman"/>
          <w:b/>
          <w:bCs/>
          <w:i w:val="0"/>
          <w:iCs w:val="0"/>
          <w:sz w:val="20"/>
          <w:szCs w:val="20"/>
        </w:rPr>
        <w:fldChar w:fldCharType="begin"/>
      </w:r>
      <w:r w:rsidRPr="004D4AE1">
        <w:rPr>
          <w:rFonts w:ascii="Times New Roman" w:hAnsi="Times New Roman" w:cs="Times New Roman"/>
          <w:b/>
          <w:bCs/>
          <w:i w:val="0"/>
          <w:iCs w:val="0"/>
          <w:sz w:val="20"/>
          <w:szCs w:val="20"/>
        </w:rPr>
        <w:instrText xml:space="preserve"> SEQ Figure \* ARABIC </w:instrText>
      </w:r>
      <w:r w:rsidRPr="004D4AE1">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1</w:t>
      </w:r>
      <w:r w:rsidRPr="004D4AE1">
        <w:rPr>
          <w:rFonts w:ascii="Times New Roman" w:hAnsi="Times New Roman" w:cs="Times New Roman"/>
          <w:b/>
          <w:bCs/>
          <w:i w:val="0"/>
          <w:iCs w:val="0"/>
          <w:sz w:val="20"/>
          <w:szCs w:val="20"/>
        </w:rPr>
        <w:fldChar w:fldCharType="end"/>
      </w:r>
      <w:r w:rsidRPr="004D4AE1">
        <w:rPr>
          <w:rFonts w:ascii="Times New Roman" w:hAnsi="Times New Roman" w:cs="Times New Roman"/>
          <w:b/>
          <w:bCs/>
          <w:i w:val="0"/>
          <w:iCs w:val="0"/>
          <w:sz w:val="20"/>
          <w:szCs w:val="20"/>
        </w:rPr>
        <w:t xml:space="preserve"> Phytochemicals form PubChem</w:t>
      </w:r>
    </w:p>
    <w:p w14:paraId="77199CC3" w14:textId="77777777" w:rsidR="003D2C32" w:rsidRDefault="003D2C32" w:rsidP="003D2C3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Evaluation of Drug-likeness and ADME properties:</w:t>
      </w:r>
    </w:p>
    <w:p w14:paraId="2C9FD8C1" w14:textId="77777777" w:rsidR="003D2C32" w:rsidRDefault="003D2C32" w:rsidP="003D2C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drug-likeness evaluation using the Swiss ADME tool indicated that all selected phytochemicals adhered to Lipinski’s rule of five, suggesting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pharmacokinetic profiles. </w:t>
      </w:r>
      <w:r>
        <w:rPr>
          <w:rFonts w:ascii="Times New Roman" w:hAnsi="Times New Roman" w:cs="Times New Roman"/>
          <w:b/>
          <w:bCs/>
          <w:sz w:val="24"/>
          <w:szCs w:val="24"/>
        </w:rPr>
        <w:t xml:space="preserve">(Table 2) </w:t>
      </w:r>
      <w:r>
        <w:rPr>
          <w:rFonts w:ascii="Times New Roman" w:hAnsi="Times New Roman" w:cs="Times New Roman"/>
          <w:sz w:val="24"/>
          <w:szCs w:val="24"/>
        </w:rPr>
        <w:t>summarizes the physicochemical properties and ADME parameters of the selected phytochemicals.</w:t>
      </w:r>
    </w:p>
    <w:p w14:paraId="45F3CD74" w14:textId="4AD6DCDC" w:rsidR="00146FEE" w:rsidRPr="00146FEE" w:rsidRDefault="00146FEE" w:rsidP="00146FEE">
      <w:pPr>
        <w:pStyle w:val="Caption"/>
        <w:keepNext/>
        <w:jc w:val="center"/>
        <w:rPr>
          <w:rFonts w:ascii="Times New Roman" w:hAnsi="Times New Roman" w:cs="Times New Roman"/>
          <w:b/>
          <w:bCs/>
          <w:i w:val="0"/>
          <w:iCs w:val="0"/>
          <w:sz w:val="20"/>
          <w:szCs w:val="20"/>
        </w:rPr>
      </w:pPr>
      <w:r w:rsidRPr="00146FEE">
        <w:rPr>
          <w:rFonts w:ascii="Times New Roman" w:hAnsi="Times New Roman" w:cs="Times New Roman"/>
          <w:b/>
          <w:bCs/>
          <w:i w:val="0"/>
          <w:iCs w:val="0"/>
          <w:sz w:val="20"/>
          <w:szCs w:val="20"/>
        </w:rPr>
        <w:t xml:space="preserve">Table </w:t>
      </w:r>
      <w:r w:rsidRPr="00146FEE">
        <w:rPr>
          <w:rFonts w:ascii="Times New Roman" w:hAnsi="Times New Roman" w:cs="Times New Roman"/>
          <w:b/>
          <w:bCs/>
          <w:i w:val="0"/>
          <w:iCs w:val="0"/>
          <w:sz w:val="20"/>
          <w:szCs w:val="20"/>
        </w:rPr>
        <w:fldChar w:fldCharType="begin"/>
      </w:r>
      <w:r w:rsidRPr="00146FEE">
        <w:rPr>
          <w:rFonts w:ascii="Times New Roman" w:hAnsi="Times New Roman" w:cs="Times New Roman"/>
          <w:b/>
          <w:bCs/>
          <w:i w:val="0"/>
          <w:iCs w:val="0"/>
          <w:sz w:val="20"/>
          <w:szCs w:val="20"/>
        </w:rPr>
        <w:instrText xml:space="preserve"> SEQ Table \* ARABIC </w:instrText>
      </w:r>
      <w:r w:rsidRPr="00146FEE">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2</w:t>
      </w:r>
      <w:r w:rsidRPr="00146FEE">
        <w:rPr>
          <w:rFonts w:ascii="Times New Roman" w:hAnsi="Times New Roman" w:cs="Times New Roman"/>
          <w:b/>
          <w:bCs/>
          <w:i w:val="0"/>
          <w:iCs w:val="0"/>
          <w:sz w:val="20"/>
          <w:szCs w:val="20"/>
        </w:rPr>
        <w:fldChar w:fldCharType="end"/>
      </w:r>
      <w:r w:rsidRPr="00146FEE">
        <w:rPr>
          <w:rFonts w:ascii="Times New Roman" w:hAnsi="Times New Roman" w:cs="Times New Roman"/>
          <w:b/>
          <w:bCs/>
          <w:i w:val="0"/>
          <w:iCs w:val="0"/>
          <w:sz w:val="20"/>
          <w:szCs w:val="20"/>
        </w:rPr>
        <w:t xml:space="preserve"> </w:t>
      </w:r>
      <w:proofErr w:type="spellStart"/>
      <w:r w:rsidRPr="00146FEE">
        <w:rPr>
          <w:rFonts w:ascii="Times New Roman" w:hAnsi="Times New Roman" w:cs="Times New Roman"/>
          <w:b/>
          <w:bCs/>
          <w:i w:val="0"/>
          <w:iCs w:val="0"/>
          <w:sz w:val="20"/>
          <w:szCs w:val="20"/>
        </w:rPr>
        <w:t>SwissADME</w:t>
      </w:r>
      <w:proofErr w:type="spellEnd"/>
      <w:r w:rsidRPr="00146FEE">
        <w:rPr>
          <w:rFonts w:ascii="Times New Roman" w:hAnsi="Times New Roman" w:cs="Times New Roman"/>
          <w:b/>
          <w:bCs/>
          <w:i w:val="0"/>
          <w:iCs w:val="0"/>
          <w:sz w:val="20"/>
          <w:szCs w:val="20"/>
        </w:rPr>
        <w:t xml:space="preserve"> results for Ligands</w:t>
      </w:r>
    </w:p>
    <w:tbl>
      <w:tblPr>
        <w:tblStyle w:val="TableGrid"/>
        <w:tblW w:w="10506" w:type="dxa"/>
        <w:tblLook w:val="04A0" w:firstRow="1" w:lastRow="0" w:firstColumn="1" w:lastColumn="0" w:noHBand="0" w:noVBand="1"/>
      </w:tblPr>
      <w:tblGrid>
        <w:gridCol w:w="2108"/>
        <w:gridCol w:w="895"/>
        <w:gridCol w:w="1333"/>
        <w:gridCol w:w="1319"/>
        <w:gridCol w:w="1450"/>
        <w:gridCol w:w="1275"/>
        <w:gridCol w:w="1304"/>
        <w:gridCol w:w="822"/>
      </w:tblGrid>
      <w:tr w:rsidR="00855010" w14:paraId="0D3A8E6D" w14:textId="77777777" w:rsidTr="00AC208A">
        <w:trPr>
          <w:trHeight w:val="1397"/>
        </w:trPr>
        <w:tc>
          <w:tcPr>
            <w:tcW w:w="2108" w:type="dxa"/>
            <w:vAlign w:val="center"/>
          </w:tcPr>
          <w:p w14:paraId="0B4B3DF5"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Phytochemical</w:t>
            </w:r>
          </w:p>
        </w:tc>
        <w:tc>
          <w:tcPr>
            <w:tcW w:w="895" w:type="dxa"/>
            <w:vAlign w:val="center"/>
          </w:tcPr>
          <w:p w14:paraId="3DB15574"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TPSA (Å</w:t>
            </w:r>
            <w:r w:rsidRPr="004011DB">
              <w:rPr>
                <w:rFonts w:ascii="Times New Roman" w:hAnsi="Times New Roman" w:cs="Times New Roman"/>
                <w:b/>
                <w:bCs/>
                <w:sz w:val="24"/>
                <w:szCs w:val="24"/>
                <w:vertAlign w:val="superscript"/>
              </w:rPr>
              <w:t>2</w:t>
            </w:r>
            <w:r w:rsidRPr="004011DB">
              <w:rPr>
                <w:rFonts w:ascii="Times New Roman" w:hAnsi="Times New Roman" w:cs="Times New Roman"/>
                <w:b/>
                <w:bCs/>
                <w:sz w:val="24"/>
                <w:szCs w:val="24"/>
              </w:rPr>
              <w:t>)</w:t>
            </w:r>
          </w:p>
        </w:tc>
        <w:tc>
          <w:tcPr>
            <w:tcW w:w="1333" w:type="dxa"/>
            <w:vAlign w:val="center"/>
          </w:tcPr>
          <w:p w14:paraId="722FCC34" w14:textId="4EBFA68C"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BBB Permeant</w:t>
            </w:r>
          </w:p>
        </w:tc>
        <w:tc>
          <w:tcPr>
            <w:tcW w:w="1319" w:type="dxa"/>
            <w:vAlign w:val="center"/>
          </w:tcPr>
          <w:p w14:paraId="452387DD" w14:textId="4DCDB3D9"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Lipinski violations</w:t>
            </w:r>
          </w:p>
        </w:tc>
        <w:tc>
          <w:tcPr>
            <w:tcW w:w="1450" w:type="dxa"/>
            <w:vAlign w:val="center"/>
          </w:tcPr>
          <w:p w14:paraId="3402C86E" w14:textId="739B4278"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GI absorption</w:t>
            </w:r>
          </w:p>
        </w:tc>
        <w:tc>
          <w:tcPr>
            <w:tcW w:w="1275" w:type="dxa"/>
            <w:vAlign w:val="center"/>
          </w:tcPr>
          <w:p w14:paraId="3B575503" w14:textId="488493E3"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PGP substrate</w:t>
            </w:r>
          </w:p>
        </w:tc>
        <w:tc>
          <w:tcPr>
            <w:tcW w:w="1304" w:type="dxa"/>
            <w:vAlign w:val="center"/>
          </w:tcPr>
          <w:p w14:paraId="20C15350" w14:textId="1983EC73"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XLOGP3</w:t>
            </w:r>
          </w:p>
        </w:tc>
        <w:tc>
          <w:tcPr>
            <w:tcW w:w="822" w:type="dxa"/>
            <w:vAlign w:val="center"/>
          </w:tcPr>
          <w:p w14:paraId="372F0EE7" w14:textId="5FD8F1CE" w:rsidR="00855010" w:rsidRPr="004011DB" w:rsidRDefault="00855010" w:rsidP="00AC208A">
            <w:pPr>
              <w:spacing w:line="360" w:lineRule="auto"/>
              <w:jc w:val="center"/>
              <w:rPr>
                <w:rFonts w:ascii="Times New Roman" w:hAnsi="Times New Roman" w:cs="Times New Roman"/>
                <w:b/>
                <w:bCs/>
                <w:sz w:val="24"/>
                <w:szCs w:val="24"/>
              </w:rPr>
            </w:pPr>
            <w:proofErr w:type="spellStart"/>
            <w:r w:rsidRPr="004011DB">
              <w:rPr>
                <w:rFonts w:ascii="Times New Roman" w:hAnsi="Times New Roman" w:cs="Times New Roman"/>
                <w:b/>
                <w:bCs/>
                <w:sz w:val="24"/>
                <w:szCs w:val="24"/>
              </w:rPr>
              <w:t>LogS</w:t>
            </w:r>
            <w:proofErr w:type="spellEnd"/>
          </w:p>
        </w:tc>
      </w:tr>
      <w:tr w:rsidR="00855010" w14:paraId="49D44345" w14:textId="77777777" w:rsidTr="00AC208A">
        <w:trPr>
          <w:trHeight w:val="1397"/>
        </w:trPr>
        <w:tc>
          <w:tcPr>
            <w:tcW w:w="2108" w:type="dxa"/>
            <w:vAlign w:val="center"/>
          </w:tcPr>
          <w:p w14:paraId="1A769AE1"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Epigallocatechin Gallate (EGCG)</w:t>
            </w:r>
          </w:p>
        </w:tc>
        <w:tc>
          <w:tcPr>
            <w:tcW w:w="895" w:type="dxa"/>
            <w:vAlign w:val="center"/>
          </w:tcPr>
          <w:p w14:paraId="1F2E4FEB" w14:textId="77777777"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167.2</w:t>
            </w:r>
          </w:p>
        </w:tc>
        <w:tc>
          <w:tcPr>
            <w:tcW w:w="1333" w:type="dxa"/>
            <w:vAlign w:val="center"/>
          </w:tcPr>
          <w:p w14:paraId="4448F5DD" w14:textId="55777BF5" w:rsidR="00855010" w:rsidRDefault="00C74F6E"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19" w:type="dxa"/>
            <w:vAlign w:val="center"/>
          </w:tcPr>
          <w:p w14:paraId="2AA39191" w14:textId="684998F5" w:rsidR="00855010" w:rsidRDefault="00CA362D"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50" w:type="dxa"/>
            <w:vAlign w:val="center"/>
          </w:tcPr>
          <w:p w14:paraId="77155E30" w14:textId="65C8073B" w:rsidR="00855010" w:rsidRDefault="004A38C3"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Low</w:t>
            </w:r>
          </w:p>
        </w:tc>
        <w:tc>
          <w:tcPr>
            <w:tcW w:w="1275" w:type="dxa"/>
            <w:vAlign w:val="center"/>
          </w:tcPr>
          <w:p w14:paraId="17B0A244" w14:textId="7F930041" w:rsidR="00855010" w:rsidRDefault="004A38C3"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04" w:type="dxa"/>
            <w:vAlign w:val="center"/>
          </w:tcPr>
          <w:p w14:paraId="1B9FE919" w14:textId="692E143D" w:rsidR="00855010" w:rsidRDefault="004A38C3"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822" w:type="dxa"/>
            <w:vAlign w:val="center"/>
          </w:tcPr>
          <w:p w14:paraId="35DDB58C" w14:textId="5A3AC4E2"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-2.99</w:t>
            </w:r>
          </w:p>
        </w:tc>
      </w:tr>
      <w:tr w:rsidR="00855010" w14:paraId="7292B62D" w14:textId="77777777" w:rsidTr="00AC208A">
        <w:trPr>
          <w:trHeight w:val="451"/>
        </w:trPr>
        <w:tc>
          <w:tcPr>
            <w:tcW w:w="2108" w:type="dxa"/>
            <w:vAlign w:val="center"/>
          </w:tcPr>
          <w:p w14:paraId="6F2592B1"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Catechin</w:t>
            </w:r>
          </w:p>
        </w:tc>
        <w:tc>
          <w:tcPr>
            <w:tcW w:w="895" w:type="dxa"/>
            <w:vAlign w:val="center"/>
          </w:tcPr>
          <w:p w14:paraId="45561A6F" w14:textId="77777777"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110.3</w:t>
            </w:r>
          </w:p>
        </w:tc>
        <w:tc>
          <w:tcPr>
            <w:tcW w:w="1333" w:type="dxa"/>
            <w:vAlign w:val="center"/>
          </w:tcPr>
          <w:p w14:paraId="092711E9" w14:textId="6F42B2BF" w:rsidR="00855010" w:rsidRDefault="0005561D"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19" w:type="dxa"/>
            <w:vAlign w:val="center"/>
          </w:tcPr>
          <w:p w14:paraId="6925AE7F" w14:textId="6CD02C84" w:rsidR="00855010" w:rsidRDefault="0005561D"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vAlign w:val="center"/>
          </w:tcPr>
          <w:p w14:paraId="57595B71" w14:textId="502872E6" w:rsidR="00855010" w:rsidRDefault="0005561D"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High</w:t>
            </w:r>
          </w:p>
        </w:tc>
        <w:tc>
          <w:tcPr>
            <w:tcW w:w="1275" w:type="dxa"/>
            <w:vAlign w:val="center"/>
          </w:tcPr>
          <w:p w14:paraId="47BAA46A" w14:textId="7BAA0E54" w:rsidR="00855010" w:rsidRDefault="00F67F8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304" w:type="dxa"/>
            <w:vAlign w:val="center"/>
          </w:tcPr>
          <w:p w14:paraId="112DDC88" w14:textId="4E42B673" w:rsidR="00855010" w:rsidRDefault="00F67F8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822" w:type="dxa"/>
            <w:vAlign w:val="center"/>
          </w:tcPr>
          <w:p w14:paraId="3FAC9405" w14:textId="7F0580DF"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855010" w14:paraId="72A075B5" w14:textId="77777777" w:rsidTr="00AC208A">
        <w:trPr>
          <w:trHeight w:val="925"/>
        </w:trPr>
        <w:tc>
          <w:tcPr>
            <w:tcW w:w="2108" w:type="dxa"/>
            <w:vAlign w:val="center"/>
          </w:tcPr>
          <w:p w14:paraId="0163C088"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Epicatechin Gallate (ECG)</w:t>
            </w:r>
          </w:p>
        </w:tc>
        <w:tc>
          <w:tcPr>
            <w:tcW w:w="895" w:type="dxa"/>
            <w:vAlign w:val="center"/>
          </w:tcPr>
          <w:p w14:paraId="5A67FD58" w14:textId="77777777"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157.2</w:t>
            </w:r>
          </w:p>
        </w:tc>
        <w:tc>
          <w:tcPr>
            <w:tcW w:w="1333" w:type="dxa"/>
            <w:vAlign w:val="center"/>
          </w:tcPr>
          <w:p w14:paraId="69D6CEDF" w14:textId="0BFD9210" w:rsidR="00855010" w:rsidRDefault="003B6C1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19" w:type="dxa"/>
            <w:vAlign w:val="center"/>
          </w:tcPr>
          <w:p w14:paraId="6E169153" w14:textId="19D93473" w:rsidR="00855010" w:rsidRDefault="003B6C1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0" w:type="dxa"/>
            <w:vAlign w:val="center"/>
          </w:tcPr>
          <w:p w14:paraId="3F6A958B" w14:textId="7C3E7A7A" w:rsidR="00855010" w:rsidRDefault="003B6C1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Low</w:t>
            </w:r>
          </w:p>
        </w:tc>
        <w:tc>
          <w:tcPr>
            <w:tcW w:w="1275" w:type="dxa"/>
            <w:vAlign w:val="center"/>
          </w:tcPr>
          <w:p w14:paraId="4072FAA6" w14:textId="4B11D216" w:rsidR="00855010" w:rsidRDefault="003B6C1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04" w:type="dxa"/>
            <w:vAlign w:val="center"/>
          </w:tcPr>
          <w:p w14:paraId="3AFBE37B" w14:textId="436468AE" w:rsidR="00855010" w:rsidRDefault="003B6C1A"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822" w:type="dxa"/>
            <w:vAlign w:val="center"/>
          </w:tcPr>
          <w:p w14:paraId="56C47118" w14:textId="6603CDD2"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855010" w14:paraId="0E02CD54" w14:textId="77777777" w:rsidTr="00AC208A">
        <w:trPr>
          <w:trHeight w:val="925"/>
        </w:trPr>
        <w:tc>
          <w:tcPr>
            <w:tcW w:w="2108" w:type="dxa"/>
            <w:vAlign w:val="center"/>
          </w:tcPr>
          <w:p w14:paraId="10D0A53B"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Epicatechin (EC)</w:t>
            </w:r>
          </w:p>
        </w:tc>
        <w:tc>
          <w:tcPr>
            <w:tcW w:w="895" w:type="dxa"/>
            <w:vAlign w:val="center"/>
          </w:tcPr>
          <w:p w14:paraId="7DF06200" w14:textId="77777777"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110.3</w:t>
            </w:r>
          </w:p>
        </w:tc>
        <w:tc>
          <w:tcPr>
            <w:tcW w:w="1333" w:type="dxa"/>
            <w:vAlign w:val="center"/>
          </w:tcPr>
          <w:p w14:paraId="5F00CD5C" w14:textId="1A7A3692" w:rsidR="00855010" w:rsidRDefault="003D6AD2"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19" w:type="dxa"/>
            <w:vAlign w:val="center"/>
          </w:tcPr>
          <w:p w14:paraId="3A0EEA80" w14:textId="5D8C403A" w:rsidR="00855010" w:rsidRDefault="003D6AD2"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vAlign w:val="center"/>
          </w:tcPr>
          <w:p w14:paraId="339C50D5" w14:textId="17969CFE" w:rsidR="00855010" w:rsidRDefault="003D6AD2"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High</w:t>
            </w:r>
          </w:p>
        </w:tc>
        <w:tc>
          <w:tcPr>
            <w:tcW w:w="1275" w:type="dxa"/>
            <w:vAlign w:val="center"/>
          </w:tcPr>
          <w:p w14:paraId="6CF0858E" w14:textId="583BAB29" w:rsidR="00855010" w:rsidRDefault="003D6AD2"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304" w:type="dxa"/>
            <w:vAlign w:val="center"/>
          </w:tcPr>
          <w:p w14:paraId="0D76964F" w14:textId="43808D7D" w:rsidR="00855010" w:rsidRDefault="003D6AD2"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822" w:type="dxa"/>
            <w:vAlign w:val="center"/>
          </w:tcPr>
          <w:p w14:paraId="565A3DD3" w14:textId="5BDECD4B"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855010" w14:paraId="5CE1A329" w14:textId="77777777" w:rsidTr="00AC208A">
        <w:trPr>
          <w:trHeight w:val="451"/>
        </w:trPr>
        <w:tc>
          <w:tcPr>
            <w:tcW w:w="2108" w:type="dxa"/>
            <w:vAlign w:val="center"/>
          </w:tcPr>
          <w:p w14:paraId="1C8BB85B"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Quercetin</w:t>
            </w:r>
          </w:p>
        </w:tc>
        <w:tc>
          <w:tcPr>
            <w:tcW w:w="895" w:type="dxa"/>
            <w:vAlign w:val="center"/>
          </w:tcPr>
          <w:p w14:paraId="34F96FD5" w14:textId="77777777"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1333" w:type="dxa"/>
            <w:vAlign w:val="center"/>
          </w:tcPr>
          <w:p w14:paraId="451FDE83" w14:textId="0ACFBCE4" w:rsidR="00855010" w:rsidRDefault="00851A8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19" w:type="dxa"/>
            <w:vAlign w:val="center"/>
          </w:tcPr>
          <w:p w14:paraId="1D73E19B" w14:textId="5E8E2A61" w:rsidR="00855010" w:rsidRDefault="00851A8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vAlign w:val="center"/>
          </w:tcPr>
          <w:p w14:paraId="169B4E37" w14:textId="4CCB11BF" w:rsidR="00855010" w:rsidRDefault="00851A8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High</w:t>
            </w:r>
          </w:p>
        </w:tc>
        <w:tc>
          <w:tcPr>
            <w:tcW w:w="1275" w:type="dxa"/>
            <w:vAlign w:val="center"/>
          </w:tcPr>
          <w:p w14:paraId="676A577B" w14:textId="07AF4A05" w:rsidR="00855010" w:rsidRDefault="00851A8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04" w:type="dxa"/>
            <w:vAlign w:val="center"/>
          </w:tcPr>
          <w:p w14:paraId="15FE9E4A" w14:textId="1E9E07D6" w:rsidR="00855010" w:rsidRDefault="00851A8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822" w:type="dxa"/>
            <w:vAlign w:val="center"/>
          </w:tcPr>
          <w:p w14:paraId="2B6B3BAB" w14:textId="15EF3CDD"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-2.42</w:t>
            </w:r>
          </w:p>
        </w:tc>
      </w:tr>
      <w:tr w:rsidR="00855010" w14:paraId="3B225C4B" w14:textId="77777777" w:rsidTr="00AC208A">
        <w:trPr>
          <w:trHeight w:val="451"/>
        </w:trPr>
        <w:tc>
          <w:tcPr>
            <w:tcW w:w="2108" w:type="dxa"/>
            <w:vAlign w:val="center"/>
          </w:tcPr>
          <w:p w14:paraId="573D3F06" w14:textId="77777777" w:rsidR="00855010" w:rsidRPr="004011DB" w:rsidRDefault="00855010" w:rsidP="00AC208A">
            <w:pPr>
              <w:spacing w:line="360" w:lineRule="auto"/>
              <w:jc w:val="center"/>
              <w:rPr>
                <w:rFonts w:ascii="Times New Roman" w:hAnsi="Times New Roman" w:cs="Times New Roman"/>
                <w:b/>
                <w:bCs/>
                <w:sz w:val="24"/>
                <w:szCs w:val="24"/>
              </w:rPr>
            </w:pPr>
            <w:r w:rsidRPr="004011DB">
              <w:rPr>
                <w:rFonts w:ascii="Times New Roman" w:hAnsi="Times New Roman" w:cs="Times New Roman"/>
                <w:b/>
                <w:bCs/>
                <w:sz w:val="24"/>
                <w:szCs w:val="24"/>
              </w:rPr>
              <w:t>Kaempferol</w:t>
            </w:r>
          </w:p>
        </w:tc>
        <w:tc>
          <w:tcPr>
            <w:tcW w:w="895" w:type="dxa"/>
            <w:vAlign w:val="center"/>
          </w:tcPr>
          <w:p w14:paraId="32EED3ED" w14:textId="77777777"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107.2</w:t>
            </w:r>
          </w:p>
        </w:tc>
        <w:tc>
          <w:tcPr>
            <w:tcW w:w="1333" w:type="dxa"/>
            <w:vAlign w:val="center"/>
          </w:tcPr>
          <w:p w14:paraId="286ACAAD" w14:textId="3F68F5EC" w:rsidR="00855010" w:rsidRDefault="006163C1"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19" w:type="dxa"/>
            <w:vAlign w:val="center"/>
          </w:tcPr>
          <w:p w14:paraId="23E7A43D" w14:textId="38AF3ECB" w:rsidR="00855010" w:rsidRDefault="006163C1"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vAlign w:val="center"/>
          </w:tcPr>
          <w:p w14:paraId="72D951C4" w14:textId="312A7756" w:rsidR="00855010" w:rsidRDefault="006163C1"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High</w:t>
            </w:r>
          </w:p>
        </w:tc>
        <w:tc>
          <w:tcPr>
            <w:tcW w:w="1275" w:type="dxa"/>
            <w:vAlign w:val="center"/>
          </w:tcPr>
          <w:p w14:paraId="0DEDA62E" w14:textId="03060B2B" w:rsidR="00855010" w:rsidRDefault="006163C1"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04" w:type="dxa"/>
            <w:vAlign w:val="center"/>
          </w:tcPr>
          <w:p w14:paraId="16F2737C" w14:textId="6561E1BF" w:rsidR="00855010" w:rsidRDefault="006163C1"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822" w:type="dxa"/>
            <w:vAlign w:val="center"/>
          </w:tcPr>
          <w:p w14:paraId="655422F0" w14:textId="7235D9D3" w:rsidR="00855010" w:rsidRDefault="00855010" w:rsidP="00AC208A">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r>
    </w:tbl>
    <w:p w14:paraId="303B7E97" w14:textId="77777777" w:rsidR="003D2C32" w:rsidRDefault="003D2C32" w:rsidP="003D2C32">
      <w:pPr>
        <w:spacing w:line="360" w:lineRule="auto"/>
        <w:jc w:val="both"/>
        <w:rPr>
          <w:rFonts w:ascii="Times New Roman" w:hAnsi="Times New Roman" w:cs="Times New Roman"/>
          <w:sz w:val="24"/>
          <w:szCs w:val="24"/>
        </w:rPr>
      </w:pPr>
    </w:p>
    <w:p w14:paraId="7173809B" w14:textId="578D2638" w:rsidR="003D2C32" w:rsidRPr="00055ED4" w:rsidRDefault="003D2C32"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055ED4">
        <w:rPr>
          <w:rFonts w:ascii="Times New Roman" w:hAnsi="Times New Roman" w:cs="Times New Roman"/>
          <w:sz w:val="24"/>
          <w:szCs w:val="24"/>
        </w:rPr>
        <w:t xml:space="preserve"> phytochemical properties of six key compounds from </w:t>
      </w:r>
      <w:r w:rsidR="00055ED4">
        <w:rPr>
          <w:rFonts w:ascii="Times New Roman" w:hAnsi="Times New Roman" w:cs="Times New Roman"/>
          <w:i/>
          <w:iCs/>
          <w:sz w:val="24"/>
          <w:szCs w:val="24"/>
        </w:rPr>
        <w:t xml:space="preserve">Camellia </w:t>
      </w:r>
      <w:proofErr w:type="spellStart"/>
      <w:r w:rsidR="00055ED4">
        <w:rPr>
          <w:rFonts w:ascii="Times New Roman" w:hAnsi="Times New Roman" w:cs="Times New Roman"/>
          <w:i/>
          <w:iCs/>
          <w:sz w:val="24"/>
          <w:szCs w:val="24"/>
        </w:rPr>
        <w:t>sinensis</w:t>
      </w:r>
      <w:proofErr w:type="spellEnd"/>
      <w:r w:rsidR="00055ED4">
        <w:rPr>
          <w:rFonts w:ascii="Times New Roman" w:hAnsi="Times New Roman" w:cs="Times New Roman"/>
          <w:i/>
          <w:iCs/>
          <w:sz w:val="24"/>
          <w:szCs w:val="24"/>
        </w:rPr>
        <w:t xml:space="preserve">, </w:t>
      </w:r>
      <w:r w:rsidR="00055ED4">
        <w:rPr>
          <w:rFonts w:ascii="Times New Roman" w:hAnsi="Times New Roman" w:cs="Times New Roman"/>
          <w:sz w:val="24"/>
          <w:szCs w:val="24"/>
        </w:rPr>
        <w:t xml:space="preserve">namely Epigallocatechin Gallate (EGCG), Catechin, Epicatechin Gallate (ECG), Epicatechin (EC), Quercetin, and Kaempferol, were evaluated. </w:t>
      </w:r>
      <w:r w:rsidR="00E7448C">
        <w:rPr>
          <w:rFonts w:ascii="Times New Roman" w:hAnsi="Times New Roman" w:cs="Times New Roman"/>
          <w:sz w:val="24"/>
          <w:szCs w:val="24"/>
        </w:rPr>
        <w:t xml:space="preserve">EGCG and ECG exhibited high TPSA values (167.2Å and 157.2Å, respectively), low GI absorption, and violated Lipinski’s rules, indicating potential challenges in oral bioavailability. Conversely, </w:t>
      </w:r>
      <w:r w:rsidR="00E7448C">
        <w:rPr>
          <w:rFonts w:ascii="Times New Roman" w:hAnsi="Times New Roman" w:cs="Times New Roman"/>
          <w:sz w:val="24"/>
          <w:szCs w:val="24"/>
        </w:rPr>
        <w:lastRenderedPageBreak/>
        <w:t>Catechin, EC, Quercetin, and Kaempferol, with lower TPSA values, high GI absorption, and no Lipinski violations, emerged as more promising candidates for oral bioavailability. Catechin and EC are PGP substrates, which may affect their pharmacokinetics. These findings highlight that while all six phytochemicals have antimicrobial potential, their effectiveness as oral biofilm inhibitors may vary based on their distinct pharmacokinetic profiles, necessitating further optimization for therapeutic use.</w:t>
      </w:r>
    </w:p>
    <w:p w14:paraId="71A15446" w14:textId="77777777" w:rsidR="001F5401" w:rsidRDefault="001F5401"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Conformational analysis of phytochemicals for Docking studies:</w:t>
      </w:r>
    </w:p>
    <w:p w14:paraId="6CD68203" w14:textId="5357B893" w:rsidR="001F5401" w:rsidRDefault="001F5401"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0C65D1">
        <w:rPr>
          <w:rFonts w:ascii="Times New Roman" w:hAnsi="Times New Roman" w:cs="Times New Roman"/>
          <w:sz w:val="24"/>
          <w:szCs w:val="24"/>
        </w:rPr>
        <w:t>he conformational analysis conducted using Avogadro software provided valuable insights into the molecular geometries of six selected phytochemicals crucial for docking studies against proteins involved in oral biofilm formation. Epigallocatechin Gallate (EGCG), Catechin, Epicatechin Gallate (ECG), Epicatechin (EC), Quercetin, and Kaempferol were meticulously examined to ensure their structural integrity and stability. Through force field calculations and energy minimization algorithms, Avogadro optimized the three-dimensional structures of these phytochemicals, guaranteeing energetically favourable conformations essential for accurate docking simulations.</w:t>
      </w:r>
    </w:p>
    <w:p w14:paraId="4D9CD066" w14:textId="58676CD8" w:rsidR="000C65D1" w:rsidRDefault="000C65D1"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of the conformational analysis demonstrated that </w:t>
      </w:r>
      <w:r w:rsidR="00D4645C">
        <w:rPr>
          <w:rFonts w:ascii="Times New Roman" w:hAnsi="Times New Roman" w:cs="Times New Roman"/>
          <w:sz w:val="24"/>
          <w:szCs w:val="24"/>
        </w:rPr>
        <w:t>all six phytochemicals exhibited stable molecular geometries conducive to binding interactions with target proteins associated with oral biofilm formation. Notably, the optimized structures displayed features indicative of potential bioactivity, including exposed functional groups and favourable stereochemical arrangements for molecular recognition. These findings</w:t>
      </w:r>
      <w:r w:rsidR="002C325A">
        <w:rPr>
          <w:rFonts w:ascii="Times New Roman" w:hAnsi="Times New Roman" w:cs="Times New Roman"/>
          <w:sz w:val="24"/>
          <w:szCs w:val="24"/>
        </w:rPr>
        <w:t xml:space="preserve"> </w:t>
      </w:r>
      <w:r w:rsidR="00F11918">
        <w:rPr>
          <w:rFonts w:ascii="Times New Roman" w:hAnsi="Times New Roman" w:cs="Times New Roman"/>
          <w:sz w:val="24"/>
          <w:szCs w:val="24"/>
        </w:rPr>
        <w:t>affirm the suitability of the phytochemicals for subsequent docking studies, providing a robust foundation for investigating their interactions with key proteins implicated</w:t>
      </w:r>
      <w:r w:rsidR="00FF5495">
        <w:rPr>
          <w:rFonts w:ascii="Times New Roman" w:hAnsi="Times New Roman" w:cs="Times New Roman"/>
          <w:sz w:val="24"/>
          <w:szCs w:val="24"/>
        </w:rPr>
        <w:t xml:space="preserve"> in oral biofilm development.</w:t>
      </w:r>
    </w:p>
    <w:p w14:paraId="0901FC55" w14:textId="552AFA70" w:rsidR="003D2C32" w:rsidRDefault="003D2C32"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Target proteins:</w:t>
      </w:r>
    </w:p>
    <w:p w14:paraId="1DA59B19" w14:textId="0694C2B5" w:rsidR="003D2C32" w:rsidRPr="009B67F9" w:rsidRDefault="003D2C32" w:rsidP="00BF5DE6">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Three-dimensional structures of target proteins were retrieved from </w:t>
      </w:r>
      <w:proofErr w:type="spellStart"/>
      <w:r>
        <w:rPr>
          <w:rFonts w:ascii="Times New Roman" w:hAnsi="Times New Roman" w:cs="Times New Roman"/>
          <w:sz w:val="24"/>
          <w:szCs w:val="24"/>
        </w:rPr>
        <w:t>BioSIM</w:t>
      </w:r>
      <w:proofErr w:type="spellEnd"/>
      <w:r>
        <w:rPr>
          <w:rFonts w:ascii="Times New Roman" w:hAnsi="Times New Roman" w:cs="Times New Roman"/>
          <w:sz w:val="24"/>
          <w:szCs w:val="24"/>
        </w:rPr>
        <w:t xml:space="preserve"> and RCSB PDB databases. Five specific proteins, </w:t>
      </w:r>
      <w:proofErr w:type="spellStart"/>
      <w:r>
        <w:rPr>
          <w:rFonts w:ascii="Times New Roman" w:hAnsi="Times New Roman" w:cs="Times New Roman"/>
          <w:sz w:val="24"/>
          <w:szCs w:val="24"/>
        </w:rPr>
        <w:t>LuxS</w:t>
      </w:r>
      <w:proofErr w:type="spellEnd"/>
      <w:r>
        <w:rPr>
          <w:rFonts w:ascii="Times New Roman" w:hAnsi="Times New Roman" w:cs="Times New Roman"/>
          <w:sz w:val="24"/>
          <w:szCs w:val="24"/>
        </w:rPr>
        <w:t xml:space="preserve"> (S-ribosyl homocysteine lyase), </w:t>
      </w:r>
      <w:proofErr w:type="spellStart"/>
      <w:r w:rsidR="00BF1269">
        <w:rPr>
          <w:rFonts w:ascii="Times New Roman" w:hAnsi="Times New Roman" w:cs="Times New Roman"/>
          <w:sz w:val="24"/>
          <w:szCs w:val="24"/>
        </w:rPr>
        <w:t>spaP</w:t>
      </w:r>
      <w:proofErr w:type="spellEnd"/>
      <w:r w:rsidR="00BF1269">
        <w:rPr>
          <w:rFonts w:ascii="Times New Roman" w:hAnsi="Times New Roman" w:cs="Times New Roman"/>
          <w:sz w:val="24"/>
          <w:szCs w:val="24"/>
        </w:rPr>
        <w:t xml:space="preserve"> (Antigen I/II), </w:t>
      </w:r>
      <w:proofErr w:type="spellStart"/>
      <w:r w:rsidR="00BF1269">
        <w:rPr>
          <w:rFonts w:ascii="Times New Roman" w:hAnsi="Times New Roman" w:cs="Times New Roman"/>
          <w:sz w:val="24"/>
          <w:szCs w:val="24"/>
        </w:rPr>
        <w:t>FruA</w:t>
      </w:r>
      <w:proofErr w:type="spellEnd"/>
      <w:r w:rsidR="00BF1269">
        <w:rPr>
          <w:rFonts w:ascii="Times New Roman" w:hAnsi="Times New Roman" w:cs="Times New Roman"/>
          <w:sz w:val="24"/>
          <w:szCs w:val="24"/>
        </w:rPr>
        <w:t xml:space="preserve"> (</w:t>
      </w:r>
      <w:proofErr w:type="spellStart"/>
      <w:r w:rsidR="00BF1269">
        <w:rPr>
          <w:rFonts w:ascii="Times New Roman" w:hAnsi="Times New Roman" w:cs="Times New Roman"/>
          <w:sz w:val="24"/>
          <w:szCs w:val="24"/>
        </w:rPr>
        <w:t>Fructanase</w:t>
      </w:r>
      <w:proofErr w:type="spellEnd"/>
      <w:r w:rsidR="00BF1269">
        <w:rPr>
          <w:rFonts w:ascii="Times New Roman" w:hAnsi="Times New Roman" w:cs="Times New Roman"/>
          <w:sz w:val="24"/>
          <w:szCs w:val="24"/>
        </w:rPr>
        <w:t xml:space="preserve">), </w:t>
      </w:r>
      <w:proofErr w:type="spellStart"/>
      <w:r w:rsidR="00BF1269">
        <w:rPr>
          <w:rFonts w:ascii="Times New Roman" w:hAnsi="Times New Roman" w:cs="Times New Roman"/>
          <w:sz w:val="24"/>
          <w:szCs w:val="24"/>
        </w:rPr>
        <w:t>GtfB</w:t>
      </w:r>
      <w:proofErr w:type="spellEnd"/>
      <w:r w:rsidR="00BF1269">
        <w:rPr>
          <w:rFonts w:ascii="Times New Roman" w:hAnsi="Times New Roman" w:cs="Times New Roman"/>
          <w:sz w:val="24"/>
          <w:szCs w:val="24"/>
        </w:rPr>
        <w:t xml:space="preserve"> (Glucosyl transferase B), </w:t>
      </w:r>
      <w:proofErr w:type="spellStart"/>
      <w:r w:rsidR="00BF1269">
        <w:rPr>
          <w:rFonts w:ascii="Times New Roman" w:hAnsi="Times New Roman" w:cs="Times New Roman"/>
          <w:sz w:val="24"/>
          <w:szCs w:val="24"/>
        </w:rPr>
        <w:t>ComD</w:t>
      </w:r>
      <w:proofErr w:type="spellEnd"/>
      <w:r w:rsidR="00BF1269">
        <w:rPr>
          <w:rFonts w:ascii="Times New Roman" w:hAnsi="Times New Roman" w:cs="Times New Roman"/>
          <w:sz w:val="24"/>
          <w:szCs w:val="24"/>
        </w:rPr>
        <w:t xml:space="preserve"> (Histidine kinase), were selected for computational analysis against the phytochemicals from </w:t>
      </w:r>
      <w:r w:rsidR="00BF1269">
        <w:rPr>
          <w:rFonts w:ascii="Times New Roman" w:hAnsi="Times New Roman" w:cs="Times New Roman"/>
          <w:i/>
          <w:iCs/>
          <w:sz w:val="24"/>
          <w:szCs w:val="24"/>
        </w:rPr>
        <w:t xml:space="preserve">Camellia </w:t>
      </w:r>
      <w:proofErr w:type="spellStart"/>
      <w:r w:rsidR="00BF1269">
        <w:rPr>
          <w:rFonts w:ascii="Times New Roman" w:hAnsi="Times New Roman" w:cs="Times New Roman"/>
          <w:i/>
          <w:iCs/>
          <w:sz w:val="24"/>
          <w:szCs w:val="24"/>
        </w:rPr>
        <w:t>sinensis</w:t>
      </w:r>
      <w:proofErr w:type="spellEnd"/>
      <w:r w:rsidR="00BF1269">
        <w:rPr>
          <w:rFonts w:ascii="Times New Roman" w:hAnsi="Times New Roman" w:cs="Times New Roman"/>
          <w:i/>
          <w:iCs/>
          <w:sz w:val="24"/>
          <w:szCs w:val="24"/>
        </w:rPr>
        <w:t xml:space="preserve">. </w:t>
      </w:r>
      <w:r w:rsidR="009B67F9">
        <w:rPr>
          <w:rFonts w:ascii="Times New Roman" w:hAnsi="Times New Roman" w:cs="Times New Roman"/>
          <w:b/>
          <w:bCs/>
          <w:sz w:val="24"/>
          <w:szCs w:val="24"/>
        </w:rPr>
        <w:t>(Figure 2) (Table 3)</w:t>
      </w:r>
    </w:p>
    <w:p w14:paraId="3CEAC9D7" w14:textId="4FF78125" w:rsidR="009C5212" w:rsidRPr="009C5212" w:rsidRDefault="009C5212" w:rsidP="009C5212">
      <w:pPr>
        <w:pStyle w:val="Caption"/>
        <w:keepNext/>
        <w:jc w:val="center"/>
        <w:rPr>
          <w:rFonts w:ascii="Times New Roman" w:hAnsi="Times New Roman" w:cs="Times New Roman"/>
          <w:b/>
          <w:bCs/>
          <w:i w:val="0"/>
          <w:iCs w:val="0"/>
          <w:sz w:val="20"/>
          <w:szCs w:val="20"/>
        </w:rPr>
      </w:pPr>
      <w:r w:rsidRPr="009C5212">
        <w:rPr>
          <w:rFonts w:ascii="Times New Roman" w:hAnsi="Times New Roman" w:cs="Times New Roman"/>
          <w:b/>
          <w:bCs/>
          <w:i w:val="0"/>
          <w:iCs w:val="0"/>
          <w:sz w:val="20"/>
          <w:szCs w:val="20"/>
        </w:rPr>
        <w:t xml:space="preserve">Table </w:t>
      </w:r>
      <w:r w:rsidRPr="009C5212">
        <w:rPr>
          <w:rFonts w:ascii="Times New Roman" w:hAnsi="Times New Roman" w:cs="Times New Roman"/>
          <w:b/>
          <w:bCs/>
          <w:i w:val="0"/>
          <w:iCs w:val="0"/>
          <w:sz w:val="20"/>
          <w:szCs w:val="20"/>
        </w:rPr>
        <w:fldChar w:fldCharType="begin"/>
      </w:r>
      <w:r w:rsidRPr="009C5212">
        <w:rPr>
          <w:rFonts w:ascii="Times New Roman" w:hAnsi="Times New Roman" w:cs="Times New Roman"/>
          <w:b/>
          <w:bCs/>
          <w:i w:val="0"/>
          <w:iCs w:val="0"/>
          <w:sz w:val="20"/>
          <w:szCs w:val="20"/>
        </w:rPr>
        <w:instrText xml:space="preserve"> SEQ Table \* ARABIC </w:instrText>
      </w:r>
      <w:r w:rsidRPr="009C5212">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3</w:t>
      </w:r>
      <w:r w:rsidRPr="009C5212">
        <w:rPr>
          <w:rFonts w:ascii="Times New Roman" w:hAnsi="Times New Roman" w:cs="Times New Roman"/>
          <w:b/>
          <w:bCs/>
          <w:i w:val="0"/>
          <w:iCs w:val="0"/>
          <w:sz w:val="20"/>
          <w:szCs w:val="20"/>
        </w:rPr>
        <w:fldChar w:fldCharType="end"/>
      </w:r>
      <w:r w:rsidRPr="009C5212">
        <w:rPr>
          <w:rFonts w:ascii="Times New Roman" w:hAnsi="Times New Roman" w:cs="Times New Roman"/>
          <w:b/>
          <w:bCs/>
          <w:i w:val="0"/>
          <w:iCs w:val="0"/>
          <w:sz w:val="20"/>
          <w:szCs w:val="20"/>
        </w:rPr>
        <w:t xml:space="preserve"> Protein Structural Data relevant to oral biofilm formation mechanisms</w:t>
      </w:r>
    </w:p>
    <w:tbl>
      <w:tblPr>
        <w:tblStyle w:val="TableGrid"/>
        <w:tblW w:w="0" w:type="auto"/>
        <w:tblLook w:val="04A0" w:firstRow="1" w:lastRow="0" w:firstColumn="1" w:lastColumn="0" w:noHBand="0" w:noVBand="1"/>
      </w:tblPr>
      <w:tblGrid>
        <w:gridCol w:w="2011"/>
        <w:gridCol w:w="2011"/>
        <w:gridCol w:w="2367"/>
        <w:gridCol w:w="2011"/>
        <w:gridCol w:w="2013"/>
      </w:tblGrid>
      <w:tr w:rsidR="005B045C" w14:paraId="087386DE" w14:textId="77777777" w:rsidTr="00085F9B">
        <w:trPr>
          <w:trHeight w:val="442"/>
        </w:trPr>
        <w:tc>
          <w:tcPr>
            <w:tcW w:w="2011" w:type="dxa"/>
            <w:vAlign w:val="center"/>
          </w:tcPr>
          <w:p w14:paraId="0505495C" w14:textId="17405EFB" w:rsidR="005B045C" w:rsidRPr="00085F9B" w:rsidRDefault="005B045C" w:rsidP="00085F9B">
            <w:pPr>
              <w:spacing w:line="360" w:lineRule="auto"/>
              <w:jc w:val="center"/>
              <w:rPr>
                <w:rFonts w:ascii="Times New Roman" w:hAnsi="Times New Roman" w:cs="Times New Roman"/>
                <w:b/>
                <w:bCs/>
                <w:sz w:val="24"/>
                <w:szCs w:val="24"/>
              </w:rPr>
            </w:pPr>
            <w:r w:rsidRPr="00085F9B">
              <w:rPr>
                <w:rFonts w:ascii="Times New Roman" w:hAnsi="Times New Roman" w:cs="Times New Roman"/>
                <w:b/>
                <w:bCs/>
                <w:sz w:val="24"/>
                <w:szCs w:val="24"/>
              </w:rPr>
              <w:t>Protein</w:t>
            </w:r>
          </w:p>
        </w:tc>
        <w:tc>
          <w:tcPr>
            <w:tcW w:w="2011" w:type="dxa"/>
            <w:vAlign w:val="center"/>
          </w:tcPr>
          <w:p w14:paraId="36DC12D5" w14:textId="55D301CD" w:rsidR="005B045C" w:rsidRPr="00085F9B" w:rsidRDefault="005B045C" w:rsidP="00085F9B">
            <w:pPr>
              <w:spacing w:line="360" w:lineRule="auto"/>
              <w:jc w:val="center"/>
              <w:rPr>
                <w:rFonts w:ascii="Times New Roman" w:hAnsi="Times New Roman" w:cs="Times New Roman"/>
                <w:b/>
                <w:bCs/>
                <w:sz w:val="24"/>
                <w:szCs w:val="24"/>
              </w:rPr>
            </w:pPr>
            <w:r w:rsidRPr="00085F9B">
              <w:rPr>
                <w:rFonts w:ascii="Times New Roman" w:hAnsi="Times New Roman" w:cs="Times New Roman"/>
                <w:b/>
                <w:bCs/>
                <w:sz w:val="24"/>
                <w:szCs w:val="24"/>
              </w:rPr>
              <w:t>PDB Code</w:t>
            </w:r>
          </w:p>
        </w:tc>
        <w:tc>
          <w:tcPr>
            <w:tcW w:w="2367" w:type="dxa"/>
            <w:vAlign w:val="center"/>
          </w:tcPr>
          <w:p w14:paraId="33CB4900" w14:textId="1817907E" w:rsidR="005B045C" w:rsidRPr="00085F9B" w:rsidRDefault="005B045C" w:rsidP="00085F9B">
            <w:pPr>
              <w:spacing w:line="360" w:lineRule="auto"/>
              <w:jc w:val="center"/>
              <w:rPr>
                <w:rFonts w:ascii="Times New Roman" w:hAnsi="Times New Roman" w:cs="Times New Roman"/>
                <w:b/>
                <w:bCs/>
                <w:sz w:val="24"/>
                <w:szCs w:val="24"/>
              </w:rPr>
            </w:pPr>
            <w:r w:rsidRPr="00085F9B">
              <w:rPr>
                <w:rFonts w:ascii="Times New Roman" w:hAnsi="Times New Roman" w:cs="Times New Roman"/>
                <w:b/>
                <w:bCs/>
                <w:sz w:val="24"/>
                <w:szCs w:val="24"/>
              </w:rPr>
              <w:t>Mechanism</w:t>
            </w:r>
          </w:p>
        </w:tc>
        <w:tc>
          <w:tcPr>
            <w:tcW w:w="2011" w:type="dxa"/>
            <w:vAlign w:val="center"/>
          </w:tcPr>
          <w:p w14:paraId="18BC53C1" w14:textId="744CB37B" w:rsidR="005B045C" w:rsidRPr="00085F9B" w:rsidRDefault="00D736CC" w:rsidP="00085F9B">
            <w:pPr>
              <w:spacing w:line="360" w:lineRule="auto"/>
              <w:jc w:val="center"/>
              <w:rPr>
                <w:rFonts w:ascii="Times New Roman" w:hAnsi="Times New Roman" w:cs="Times New Roman"/>
                <w:b/>
                <w:bCs/>
                <w:sz w:val="24"/>
                <w:szCs w:val="24"/>
              </w:rPr>
            </w:pPr>
            <w:r w:rsidRPr="00085F9B">
              <w:rPr>
                <w:rFonts w:ascii="Times New Roman" w:hAnsi="Times New Roman" w:cs="Times New Roman"/>
                <w:b/>
                <w:bCs/>
                <w:sz w:val="24"/>
                <w:szCs w:val="24"/>
              </w:rPr>
              <w:t>Method</w:t>
            </w:r>
          </w:p>
        </w:tc>
        <w:tc>
          <w:tcPr>
            <w:tcW w:w="2013" w:type="dxa"/>
            <w:vAlign w:val="center"/>
          </w:tcPr>
          <w:p w14:paraId="0BE5C2EC" w14:textId="761278DE" w:rsidR="005B045C" w:rsidRPr="00085F9B" w:rsidRDefault="00D736CC" w:rsidP="00085F9B">
            <w:pPr>
              <w:spacing w:line="360" w:lineRule="auto"/>
              <w:jc w:val="center"/>
              <w:rPr>
                <w:rFonts w:ascii="Times New Roman" w:hAnsi="Times New Roman" w:cs="Times New Roman"/>
                <w:b/>
                <w:bCs/>
                <w:sz w:val="24"/>
                <w:szCs w:val="24"/>
              </w:rPr>
            </w:pPr>
            <w:r w:rsidRPr="00085F9B">
              <w:rPr>
                <w:rFonts w:ascii="Times New Roman" w:hAnsi="Times New Roman" w:cs="Times New Roman"/>
                <w:b/>
                <w:bCs/>
                <w:sz w:val="24"/>
                <w:szCs w:val="24"/>
              </w:rPr>
              <w:t>Resolution</w:t>
            </w:r>
          </w:p>
        </w:tc>
      </w:tr>
      <w:tr w:rsidR="005B045C" w14:paraId="5891F78F" w14:textId="77777777" w:rsidTr="00085F9B">
        <w:trPr>
          <w:trHeight w:val="885"/>
        </w:trPr>
        <w:tc>
          <w:tcPr>
            <w:tcW w:w="2011" w:type="dxa"/>
            <w:vAlign w:val="center"/>
          </w:tcPr>
          <w:p w14:paraId="5309AFCA" w14:textId="18035414" w:rsidR="005B045C" w:rsidRPr="00085F9B" w:rsidRDefault="00D736CC" w:rsidP="00085F9B">
            <w:pPr>
              <w:spacing w:line="360" w:lineRule="auto"/>
              <w:jc w:val="center"/>
              <w:rPr>
                <w:rFonts w:ascii="Times New Roman" w:hAnsi="Times New Roman" w:cs="Times New Roman"/>
                <w:b/>
                <w:bCs/>
                <w:sz w:val="24"/>
                <w:szCs w:val="24"/>
              </w:rPr>
            </w:pPr>
            <w:proofErr w:type="spellStart"/>
            <w:r w:rsidRPr="00085F9B">
              <w:rPr>
                <w:rFonts w:ascii="Times New Roman" w:hAnsi="Times New Roman" w:cs="Times New Roman"/>
                <w:b/>
                <w:bCs/>
                <w:sz w:val="24"/>
                <w:szCs w:val="24"/>
              </w:rPr>
              <w:t>LuxS</w:t>
            </w:r>
            <w:proofErr w:type="spellEnd"/>
          </w:p>
        </w:tc>
        <w:tc>
          <w:tcPr>
            <w:tcW w:w="2011" w:type="dxa"/>
            <w:vAlign w:val="center"/>
          </w:tcPr>
          <w:p w14:paraId="35A9BA9D" w14:textId="060BD94A" w:rsidR="005B045C" w:rsidRDefault="00D736CC"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4XCH</w:t>
            </w:r>
          </w:p>
        </w:tc>
        <w:tc>
          <w:tcPr>
            <w:tcW w:w="2367" w:type="dxa"/>
            <w:vAlign w:val="center"/>
          </w:tcPr>
          <w:p w14:paraId="4B68F7E5" w14:textId="7A4D78D1"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Quorum sensing autoinducer</w:t>
            </w:r>
          </w:p>
        </w:tc>
        <w:tc>
          <w:tcPr>
            <w:tcW w:w="2011" w:type="dxa"/>
            <w:vAlign w:val="center"/>
          </w:tcPr>
          <w:p w14:paraId="14FAE463" w14:textId="640BC159"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X-ray diffraction</w:t>
            </w:r>
          </w:p>
        </w:tc>
        <w:tc>
          <w:tcPr>
            <w:tcW w:w="2013" w:type="dxa"/>
            <w:vAlign w:val="center"/>
          </w:tcPr>
          <w:p w14:paraId="7818556C" w14:textId="7014FBA4"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1.80Å</w:t>
            </w:r>
          </w:p>
        </w:tc>
      </w:tr>
      <w:tr w:rsidR="005B045C" w14:paraId="79B75336" w14:textId="77777777" w:rsidTr="00085F9B">
        <w:trPr>
          <w:trHeight w:val="869"/>
        </w:trPr>
        <w:tc>
          <w:tcPr>
            <w:tcW w:w="2011" w:type="dxa"/>
            <w:vAlign w:val="center"/>
          </w:tcPr>
          <w:p w14:paraId="72D3155E" w14:textId="6823D234" w:rsidR="005B045C" w:rsidRPr="00085F9B" w:rsidRDefault="00D736CC" w:rsidP="00085F9B">
            <w:pPr>
              <w:spacing w:line="360" w:lineRule="auto"/>
              <w:jc w:val="center"/>
              <w:rPr>
                <w:rFonts w:ascii="Times New Roman" w:hAnsi="Times New Roman" w:cs="Times New Roman"/>
                <w:b/>
                <w:bCs/>
                <w:sz w:val="24"/>
                <w:szCs w:val="24"/>
              </w:rPr>
            </w:pPr>
            <w:proofErr w:type="spellStart"/>
            <w:r w:rsidRPr="00085F9B">
              <w:rPr>
                <w:rFonts w:ascii="Times New Roman" w:hAnsi="Times New Roman" w:cs="Times New Roman"/>
                <w:b/>
                <w:bCs/>
                <w:sz w:val="24"/>
                <w:szCs w:val="24"/>
              </w:rPr>
              <w:t>spaP</w:t>
            </w:r>
            <w:proofErr w:type="spellEnd"/>
          </w:p>
        </w:tc>
        <w:tc>
          <w:tcPr>
            <w:tcW w:w="2011" w:type="dxa"/>
            <w:vAlign w:val="center"/>
          </w:tcPr>
          <w:p w14:paraId="26E7B0FC" w14:textId="57A647CA" w:rsidR="005B045C" w:rsidRDefault="00D736CC"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3OPU</w:t>
            </w:r>
          </w:p>
        </w:tc>
        <w:tc>
          <w:tcPr>
            <w:tcW w:w="2367" w:type="dxa"/>
            <w:vAlign w:val="center"/>
          </w:tcPr>
          <w:p w14:paraId="217D7483" w14:textId="03D05219"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Adhesion</w:t>
            </w:r>
          </w:p>
        </w:tc>
        <w:tc>
          <w:tcPr>
            <w:tcW w:w="2011" w:type="dxa"/>
            <w:vAlign w:val="center"/>
          </w:tcPr>
          <w:p w14:paraId="64EB8B92" w14:textId="35809E4E"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X-ray diffraction</w:t>
            </w:r>
          </w:p>
        </w:tc>
        <w:tc>
          <w:tcPr>
            <w:tcW w:w="2013" w:type="dxa"/>
            <w:vAlign w:val="center"/>
          </w:tcPr>
          <w:p w14:paraId="3B5652E8" w14:textId="14CEB707"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2.20Å</w:t>
            </w:r>
          </w:p>
        </w:tc>
      </w:tr>
      <w:tr w:rsidR="005B045C" w14:paraId="4273CF8C" w14:textId="77777777" w:rsidTr="00085F9B">
        <w:trPr>
          <w:trHeight w:val="1327"/>
        </w:trPr>
        <w:tc>
          <w:tcPr>
            <w:tcW w:w="2011" w:type="dxa"/>
            <w:vAlign w:val="center"/>
          </w:tcPr>
          <w:p w14:paraId="09004305" w14:textId="27614F92" w:rsidR="005B045C" w:rsidRPr="00085F9B" w:rsidRDefault="00D736CC" w:rsidP="00085F9B">
            <w:pPr>
              <w:spacing w:line="360" w:lineRule="auto"/>
              <w:jc w:val="center"/>
              <w:rPr>
                <w:rFonts w:ascii="Times New Roman" w:hAnsi="Times New Roman" w:cs="Times New Roman"/>
                <w:b/>
                <w:bCs/>
                <w:sz w:val="24"/>
                <w:szCs w:val="24"/>
              </w:rPr>
            </w:pPr>
            <w:proofErr w:type="spellStart"/>
            <w:r w:rsidRPr="00085F9B">
              <w:rPr>
                <w:rFonts w:ascii="Times New Roman" w:hAnsi="Times New Roman" w:cs="Times New Roman"/>
                <w:b/>
                <w:bCs/>
                <w:sz w:val="24"/>
                <w:szCs w:val="24"/>
              </w:rPr>
              <w:lastRenderedPageBreak/>
              <w:t>fruA</w:t>
            </w:r>
            <w:proofErr w:type="spellEnd"/>
          </w:p>
        </w:tc>
        <w:tc>
          <w:tcPr>
            <w:tcW w:w="2011" w:type="dxa"/>
            <w:vAlign w:val="center"/>
          </w:tcPr>
          <w:p w14:paraId="6A17C8CB" w14:textId="30B29D56" w:rsidR="005B045C" w:rsidRDefault="00D736CC"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2R4Q</w:t>
            </w:r>
          </w:p>
        </w:tc>
        <w:tc>
          <w:tcPr>
            <w:tcW w:w="2367" w:type="dxa"/>
            <w:vAlign w:val="center"/>
          </w:tcPr>
          <w:p w14:paraId="2D7EF382" w14:textId="58B4B495"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Fructose-specific phosphotransferase system (PTS)</w:t>
            </w:r>
          </w:p>
        </w:tc>
        <w:tc>
          <w:tcPr>
            <w:tcW w:w="2011" w:type="dxa"/>
            <w:vAlign w:val="center"/>
          </w:tcPr>
          <w:p w14:paraId="7A507AF2" w14:textId="45664D5E"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X-ray diffraction</w:t>
            </w:r>
          </w:p>
        </w:tc>
        <w:tc>
          <w:tcPr>
            <w:tcW w:w="2013" w:type="dxa"/>
            <w:vAlign w:val="center"/>
          </w:tcPr>
          <w:p w14:paraId="7C898302" w14:textId="660454E0"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2.50Å</w:t>
            </w:r>
          </w:p>
        </w:tc>
      </w:tr>
      <w:tr w:rsidR="005B045C" w14:paraId="6DEE63C9" w14:textId="77777777" w:rsidTr="00085F9B">
        <w:trPr>
          <w:trHeight w:val="885"/>
        </w:trPr>
        <w:tc>
          <w:tcPr>
            <w:tcW w:w="2011" w:type="dxa"/>
            <w:vAlign w:val="center"/>
          </w:tcPr>
          <w:p w14:paraId="6FEE1662" w14:textId="7B4594BC" w:rsidR="005B045C" w:rsidRPr="00085F9B" w:rsidRDefault="00D736CC" w:rsidP="00085F9B">
            <w:pPr>
              <w:spacing w:line="360" w:lineRule="auto"/>
              <w:jc w:val="center"/>
              <w:rPr>
                <w:rFonts w:ascii="Times New Roman" w:hAnsi="Times New Roman" w:cs="Times New Roman"/>
                <w:b/>
                <w:bCs/>
                <w:sz w:val="24"/>
                <w:szCs w:val="24"/>
              </w:rPr>
            </w:pPr>
            <w:proofErr w:type="spellStart"/>
            <w:r w:rsidRPr="00085F9B">
              <w:rPr>
                <w:rFonts w:ascii="Times New Roman" w:hAnsi="Times New Roman" w:cs="Times New Roman"/>
                <w:b/>
                <w:bCs/>
                <w:sz w:val="24"/>
                <w:szCs w:val="24"/>
              </w:rPr>
              <w:t>GtfB</w:t>
            </w:r>
            <w:proofErr w:type="spellEnd"/>
          </w:p>
        </w:tc>
        <w:tc>
          <w:tcPr>
            <w:tcW w:w="2011" w:type="dxa"/>
            <w:vAlign w:val="center"/>
          </w:tcPr>
          <w:p w14:paraId="1BDD965B" w14:textId="0077EA70" w:rsidR="005B045C" w:rsidRDefault="00D736CC"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1IIR</w:t>
            </w:r>
          </w:p>
        </w:tc>
        <w:tc>
          <w:tcPr>
            <w:tcW w:w="2367" w:type="dxa"/>
            <w:vAlign w:val="center"/>
          </w:tcPr>
          <w:p w14:paraId="1EDDD224" w14:textId="6D4816F5"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Glucosyltransferase</w:t>
            </w:r>
          </w:p>
        </w:tc>
        <w:tc>
          <w:tcPr>
            <w:tcW w:w="2011" w:type="dxa"/>
            <w:vAlign w:val="center"/>
          </w:tcPr>
          <w:p w14:paraId="3ED36195" w14:textId="62536D22"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X-ray diffraction</w:t>
            </w:r>
          </w:p>
        </w:tc>
        <w:tc>
          <w:tcPr>
            <w:tcW w:w="2013" w:type="dxa"/>
            <w:vAlign w:val="center"/>
          </w:tcPr>
          <w:p w14:paraId="4E5354F0" w14:textId="6DACD68E"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2.20Å</w:t>
            </w:r>
          </w:p>
        </w:tc>
      </w:tr>
      <w:tr w:rsidR="005B045C" w14:paraId="0EB70BEF" w14:textId="77777777" w:rsidTr="00085F9B">
        <w:trPr>
          <w:trHeight w:val="869"/>
        </w:trPr>
        <w:tc>
          <w:tcPr>
            <w:tcW w:w="2011" w:type="dxa"/>
            <w:vAlign w:val="center"/>
          </w:tcPr>
          <w:p w14:paraId="6D7705BC" w14:textId="64192A92" w:rsidR="005B045C" w:rsidRPr="00085F9B" w:rsidRDefault="00D736CC" w:rsidP="00085F9B">
            <w:pPr>
              <w:spacing w:line="360" w:lineRule="auto"/>
              <w:jc w:val="center"/>
              <w:rPr>
                <w:rFonts w:ascii="Times New Roman" w:hAnsi="Times New Roman" w:cs="Times New Roman"/>
                <w:b/>
                <w:bCs/>
                <w:sz w:val="24"/>
                <w:szCs w:val="24"/>
              </w:rPr>
            </w:pPr>
            <w:proofErr w:type="spellStart"/>
            <w:r w:rsidRPr="00085F9B">
              <w:rPr>
                <w:rFonts w:ascii="Times New Roman" w:hAnsi="Times New Roman" w:cs="Times New Roman"/>
                <w:b/>
                <w:bCs/>
                <w:sz w:val="24"/>
                <w:szCs w:val="24"/>
              </w:rPr>
              <w:t>ComD</w:t>
            </w:r>
            <w:proofErr w:type="spellEnd"/>
          </w:p>
        </w:tc>
        <w:tc>
          <w:tcPr>
            <w:tcW w:w="2011" w:type="dxa"/>
            <w:vAlign w:val="center"/>
          </w:tcPr>
          <w:p w14:paraId="0A23F6E9" w14:textId="5A1B02A9" w:rsidR="005B045C" w:rsidRDefault="00D736CC"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2C2A</w:t>
            </w:r>
          </w:p>
        </w:tc>
        <w:tc>
          <w:tcPr>
            <w:tcW w:w="2367" w:type="dxa"/>
            <w:vAlign w:val="center"/>
          </w:tcPr>
          <w:p w14:paraId="20C3F4A1" w14:textId="22DAA22A"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Two-component signalling receptor</w:t>
            </w:r>
          </w:p>
        </w:tc>
        <w:tc>
          <w:tcPr>
            <w:tcW w:w="2011" w:type="dxa"/>
            <w:vAlign w:val="center"/>
          </w:tcPr>
          <w:p w14:paraId="188C8FDE" w14:textId="65BB9C1F"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X-ray diffraction</w:t>
            </w:r>
          </w:p>
        </w:tc>
        <w:tc>
          <w:tcPr>
            <w:tcW w:w="2013" w:type="dxa"/>
            <w:vAlign w:val="center"/>
          </w:tcPr>
          <w:p w14:paraId="63780725" w14:textId="0A1EFDA5" w:rsidR="005B045C" w:rsidRDefault="00593E33" w:rsidP="00085F9B">
            <w:pPr>
              <w:spacing w:line="360" w:lineRule="auto"/>
              <w:jc w:val="center"/>
              <w:rPr>
                <w:rFonts w:ascii="Times New Roman" w:hAnsi="Times New Roman" w:cs="Times New Roman"/>
                <w:sz w:val="24"/>
                <w:szCs w:val="24"/>
              </w:rPr>
            </w:pPr>
            <w:r>
              <w:rPr>
                <w:rFonts w:ascii="Times New Roman" w:hAnsi="Times New Roman" w:cs="Times New Roman"/>
                <w:sz w:val="24"/>
                <w:szCs w:val="24"/>
              </w:rPr>
              <w:t>2.30Å</w:t>
            </w:r>
          </w:p>
        </w:tc>
      </w:tr>
    </w:tbl>
    <w:p w14:paraId="368A966F" w14:textId="77777777" w:rsidR="005B045C" w:rsidRPr="005B045C" w:rsidRDefault="005B045C" w:rsidP="00BF5DE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41"/>
        <w:gridCol w:w="5141"/>
      </w:tblGrid>
      <w:tr w:rsidR="00F72503" w14:paraId="27593CB7" w14:textId="77777777" w:rsidTr="005A6320">
        <w:trPr>
          <w:trHeight w:val="3159"/>
        </w:trPr>
        <w:tc>
          <w:tcPr>
            <w:tcW w:w="5141" w:type="dxa"/>
            <w:vAlign w:val="center"/>
          </w:tcPr>
          <w:p w14:paraId="5118E407" w14:textId="5E7C1460" w:rsidR="0010785D" w:rsidRDefault="00EE449D" w:rsidP="008B54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88E4524" wp14:editId="5DE56DE7">
                  <wp:extent cx="2062716" cy="2062716"/>
                  <wp:effectExtent l="0" t="0" r="0" b="0"/>
                  <wp:docPr id="209377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983" cy="2073983"/>
                          </a:xfrm>
                          <a:prstGeom prst="rect">
                            <a:avLst/>
                          </a:prstGeom>
                          <a:noFill/>
                        </pic:spPr>
                      </pic:pic>
                    </a:graphicData>
                  </a:graphic>
                </wp:inline>
              </w:drawing>
            </w:r>
          </w:p>
        </w:tc>
        <w:tc>
          <w:tcPr>
            <w:tcW w:w="5141" w:type="dxa"/>
            <w:vAlign w:val="center"/>
          </w:tcPr>
          <w:p w14:paraId="42F0B4EA" w14:textId="4D0F9F4D" w:rsidR="0010785D" w:rsidRDefault="00E144BE" w:rsidP="008B54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EB3EEEF" wp14:editId="405BC22E">
                  <wp:extent cx="1913860" cy="1913860"/>
                  <wp:effectExtent l="0" t="0" r="0" b="0"/>
                  <wp:docPr id="1895711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525" cy="1918525"/>
                          </a:xfrm>
                          <a:prstGeom prst="rect">
                            <a:avLst/>
                          </a:prstGeom>
                          <a:noFill/>
                        </pic:spPr>
                      </pic:pic>
                    </a:graphicData>
                  </a:graphic>
                </wp:inline>
              </w:drawing>
            </w:r>
          </w:p>
        </w:tc>
      </w:tr>
      <w:tr w:rsidR="00F72503" w14:paraId="6B3C7CC4" w14:textId="77777777" w:rsidTr="005A6320">
        <w:trPr>
          <w:trHeight w:val="852"/>
        </w:trPr>
        <w:tc>
          <w:tcPr>
            <w:tcW w:w="5141" w:type="dxa"/>
            <w:vAlign w:val="center"/>
          </w:tcPr>
          <w:p w14:paraId="14BE3B1A" w14:textId="77777777" w:rsidR="0010785D" w:rsidRDefault="00682182" w:rsidP="008B5420">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LuxS</w:t>
            </w:r>
            <w:proofErr w:type="spellEnd"/>
            <w:r>
              <w:rPr>
                <w:rFonts w:ascii="Times New Roman" w:hAnsi="Times New Roman" w:cs="Times New Roman"/>
                <w:sz w:val="24"/>
                <w:szCs w:val="24"/>
              </w:rPr>
              <w:t xml:space="preserve"> (S-ribosyl homocysteine lyase)</w:t>
            </w:r>
          </w:p>
          <w:p w14:paraId="257B0BCD" w14:textId="7E05BAFB" w:rsidR="00682182" w:rsidRDefault="00682182"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4XCH</w:t>
            </w:r>
          </w:p>
        </w:tc>
        <w:tc>
          <w:tcPr>
            <w:tcW w:w="5141" w:type="dxa"/>
            <w:vAlign w:val="center"/>
          </w:tcPr>
          <w:p w14:paraId="0366A244" w14:textId="77777777" w:rsidR="0010785D" w:rsidRDefault="00C57938" w:rsidP="008B5420">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(Antigen I/II)</w:t>
            </w:r>
          </w:p>
          <w:p w14:paraId="7C8090B5" w14:textId="6A34CF7A" w:rsidR="00C57938" w:rsidRDefault="00C57938"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3OPU</w:t>
            </w:r>
          </w:p>
        </w:tc>
      </w:tr>
      <w:tr w:rsidR="00F72503" w14:paraId="794B19B5" w14:textId="77777777" w:rsidTr="005A6320">
        <w:trPr>
          <w:trHeight w:val="3352"/>
        </w:trPr>
        <w:tc>
          <w:tcPr>
            <w:tcW w:w="5141" w:type="dxa"/>
            <w:vAlign w:val="center"/>
          </w:tcPr>
          <w:p w14:paraId="0A8B65B7" w14:textId="4E0935ED" w:rsidR="0010785D" w:rsidRDefault="004C5A7C" w:rsidP="008B5420">
            <w:pPr>
              <w:spacing w:line="360" w:lineRule="auto"/>
              <w:jc w:val="center"/>
              <w:rPr>
                <w:rFonts w:ascii="Times New Roman" w:hAnsi="Times New Roman" w:cs="Times New Roman"/>
                <w:sz w:val="24"/>
                <w:szCs w:val="24"/>
              </w:rPr>
            </w:pPr>
            <w:r>
              <w:rPr>
                <w:noProof/>
                <w:lang w:eastAsia="en-IN"/>
              </w:rPr>
              <w:drawing>
                <wp:inline distT="0" distB="0" distL="0" distR="0" wp14:anchorId="1A024B3A" wp14:editId="76B4579F">
                  <wp:extent cx="1892595" cy="1892595"/>
                  <wp:effectExtent l="0" t="0" r="0" b="0"/>
                  <wp:docPr id="1384265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093" cy="1897093"/>
                          </a:xfrm>
                          <a:prstGeom prst="rect">
                            <a:avLst/>
                          </a:prstGeom>
                          <a:noFill/>
                          <a:ln>
                            <a:noFill/>
                          </a:ln>
                        </pic:spPr>
                      </pic:pic>
                    </a:graphicData>
                  </a:graphic>
                </wp:inline>
              </w:drawing>
            </w:r>
          </w:p>
        </w:tc>
        <w:tc>
          <w:tcPr>
            <w:tcW w:w="5141" w:type="dxa"/>
            <w:vAlign w:val="center"/>
          </w:tcPr>
          <w:p w14:paraId="20C9D05C" w14:textId="3FBB7A31" w:rsidR="0010785D" w:rsidRDefault="002A6C72" w:rsidP="008B54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3F5A8844" wp14:editId="00BC097F">
                  <wp:extent cx="1944872" cy="1944872"/>
                  <wp:effectExtent l="0" t="0" r="0" b="0"/>
                  <wp:docPr id="959709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443" cy="1955443"/>
                          </a:xfrm>
                          <a:prstGeom prst="rect">
                            <a:avLst/>
                          </a:prstGeom>
                          <a:noFill/>
                        </pic:spPr>
                      </pic:pic>
                    </a:graphicData>
                  </a:graphic>
                </wp:inline>
              </w:drawing>
            </w:r>
          </w:p>
        </w:tc>
      </w:tr>
      <w:tr w:rsidR="00F72503" w14:paraId="74469EA2" w14:textId="77777777" w:rsidTr="005A6320">
        <w:trPr>
          <w:trHeight w:val="838"/>
        </w:trPr>
        <w:tc>
          <w:tcPr>
            <w:tcW w:w="5141" w:type="dxa"/>
            <w:vAlign w:val="center"/>
          </w:tcPr>
          <w:p w14:paraId="0B92062E" w14:textId="09913439" w:rsidR="0010785D" w:rsidRDefault="003407AD" w:rsidP="008B5420">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Fru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Fructanase</w:t>
            </w:r>
            <w:proofErr w:type="spellEnd"/>
            <w:r>
              <w:rPr>
                <w:rFonts w:ascii="Times New Roman" w:hAnsi="Times New Roman" w:cs="Times New Roman"/>
                <w:sz w:val="24"/>
                <w:szCs w:val="24"/>
              </w:rPr>
              <w:t>)</w:t>
            </w:r>
          </w:p>
          <w:p w14:paraId="51262F1C" w14:textId="3888E48A" w:rsidR="003407AD" w:rsidRDefault="003407AD"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2R4Q</w:t>
            </w:r>
          </w:p>
        </w:tc>
        <w:tc>
          <w:tcPr>
            <w:tcW w:w="5141" w:type="dxa"/>
            <w:vAlign w:val="center"/>
          </w:tcPr>
          <w:p w14:paraId="7C208C77" w14:textId="77777777" w:rsidR="0010785D" w:rsidRDefault="00842696" w:rsidP="008B5420">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GtfB</w:t>
            </w:r>
            <w:proofErr w:type="spellEnd"/>
            <w:r>
              <w:rPr>
                <w:rFonts w:ascii="Times New Roman" w:hAnsi="Times New Roman" w:cs="Times New Roman"/>
                <w:sz w:val="24"/>
                <w:szCs w:val="24"/>
              </w:rPr>
              <w:t xml:space="preserve"> (Glucosyl transferase B)</w:t>
            </w:r>
          </w:p>
          <w:p w14:paraId="40EA36D7" w14:textId="1F843191" w:rsidR="00842696" w:rsidRDefault="00842696" w:rsidP="008B5420">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1IIR</w:t>
            </w:r>
          </w:p>
        </w:tc>
      </w:tr>
      <w:tr w:rsidR="00F72503" w14:paraId="37A03C5C" w14:textId="77777777" w:rsidTr="005A6320">
        <w:trPr>
          <w:gridAfter w:val="1"/>
          <w:wAfter w:w="5141" w:type="dxa"/>
          <w:trHeight w:val="3054"/>
        </w:trPr>
        <w:tc>
          <w:tcPr>
            <w:tcW w:w="5141" w:type="dxa"/>
            <w:vAlign w:val="center"/>
          </w:tcPr>
          <w:p w14:paraId="5440A676" w14:textId="2DFC8843" w:rsidR="0010785D" w:rsidRDefault="00F732A4" w:rsidP="008B54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486FD2D3" wp14:editId="655F06B5">
                  <wp:extent cx="2615609" cy="2615609"/>
                  <wp:effectExtent l="0" t="0" r="0" b="0"/>
                  <wp:docPr id="1846024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4157" cy="2624157"/>
                          </a:xfrm>
                          <a:prstGeom prst="rect">
                            <a:avLst/>
                          </a:prstGeom>
                          <a:noFill/>
                        </pic:spPr>
                      </pic:pic>
                    </a:graphicData>
                  </a:graphic>
                </wp:inline>
              </w:drawing>
            </w:r>
          </w:p>
        </w:tc>
      </w:tr>
      <w:tr w:rsidR="00F72503" w14:paraId="2D504A92" w14:textId="77777777" w:rsidTr="005A6320">
        <w:trPr>
          <w:gridAfter w:val="1"/>
          <w:wAfter w:w="5141" w:type="dxa"/>
          <w:trHeight w:val="838"/>
        </w:trPr>
        <w:tc>
          <w:tcPr>
            <w:tcW w:w="5141" w:type="dxa"/>
            <w:vAlign w:val="center"/>
          </w:tcPr>
          <w:p w14:paraId="343FB6E0" w14:textId="77777777" w:rsidR="0010785D" w:rsidRDefault="00F30177" w:rsidP="008B5420">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ComD</w:t>
            </w:r>
            <w:proofErr w:type="spellEnd"/>
            <w:r>
              <w:rPr>
                <w:rFonts w:ascii="Times New Roman" w:hAnsi="Times New Roman" w:cs="Times New Roman"/>
                <w:sz w:val="24"/>
                <w:szCs w:val="24"/>
              </w:rPr>
              <w:t xml:space="preserve"> (Histidine Kinase)</w:t>
            </w:r>
          </w:p>
          <w:p w14:paraId="193864EC" w14:textId="4FC65963" w:rsidR="00F30177" w:rsidRDefault="00F30177" w:rsidP="00287531">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PDB ID: </w:t>
            </w:r>
            <w:r w:rsidR="00825CBA">
              <w:rPr>
                <w:rFonts w:ascii="Times New Roman" w:hAnsi="Times New Roman" w:cs="Times New Roman"/>
                <w:sz w:val="24"/>
                <w:szCs w:val="24"/>
              </w:rPr>
              <w:t>2C2A</w:t>
            </w:r>
          </w:p>
        </w:tc>
      </w:tr>
    </w:tbl>
    <w:p w14:paraId="587200AB" w14:textId="71265418" w:rsidR="00E51147" w:rsidRPr="00287531" w:rsidRDefault="00287531" w:rsidP="00287531">
      <w:pPr>
        <w:pStyle w:val="Caption"/>
        <w:jc w:val="center"/>
        <w:rPr>
          <w:rFonts w:ascii="Times New Roman" w:hAnsi="Times New Roman" w:cs="Times New Roman"/>
          <w:b/>
          <w:bCs/>
          <w:i w:val="0"/>
          <w:iCs w:val="0"/>
          <w:sz w:val="28"/>
          <w:szCs w:val="28"/>
        </w:rPr>
      </w:pPr>
      <w:r w:rsidRPr="00287531">
        <w:rPr>
          <w:rFonts w:ascii="Times New Roman" w:hAnsi="Times New Roman" w:cs="Times New Roman"/>
          <w:b/>
          <w:bCs/>
          <w:i w:val="0"/>
          <w:iCs w:val="0"/>
          <w:sz w:val="20"/>
          <w:szCs w:val="20"/>
        </w:rPr>
        <w:t xml:space="preserve">Figure </w:t>
      </w:r>
      <w:r w:rsidRPr="00287531">
        <w:rPr>
          <w:rFonts w:ascii="Times New Roman" w:hAnsi="Times New Roman" w:cs="Times New Roman"/>
          <w:b/>
          <w:bCs/>
          <w:i w:val="0"/>
          <w:iCs w:val="0"/>
          <w:sz w:val="20"/>
          <w:szCs w:val="20"/>
        </w:rPr>
        <w:fldChar w:fldCharType="begin"/>
      </w:r>
      <w:r w:rsidRPr="00287531">
        <w:rPr>
          <w:rFonts w:ascii="Times New Roman" w:hAnsi="Times New Roman" w:cs="Times New Roman"/>
          <w:b/>
          <w:bCs/>
          <w:i w:val="0"/>
          <w:iCs w:val="0"/>
          <w:sz w:val="20"/>
          <w:szCs w:val="20"/>
        </w:rPr>
        <w:instrText xml:space="preserve"> SEQ Figure \* ARABIC </w:instrText>
      </w:r>
      <w:r w:rsidRPr="00287531">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2</w:t>
      </w:r>
      <w:r w:rsidRPr="00287531">
        <w:rPr>
          <w:rFonts w:ascii="Times New Roman" w:hAnsi="Times New Roman" w:cs="Times New Roman"/>
          <w:b/>
          <w:bCs/>
          <w:i w:val="0"/>
          <w:iCs w:val="0"/>
          <w:sz w:val="20"/>
          <w:szCs w:val="20"/>
        </w:rPr>
        <w:fldChar w:fldCharType="end"/>
      </w:r>
      <w:r w:rsidRPr="00287531">
        <w:rPr>
          <w:rFonts w:ascii="Times New Roman" w:hAnsi="Times New Roman" w:cs="Times New Roman"/>
          <w:b/>
          <w:bCs/>
          <w:i w:val="0"/>
          <w:iCs w:val="0"/>
          <w:sz w:val="20"/>
          <w:szCs w:val="20"/>
        </w:rPr>
        <w:t xml:space="preserve"> Structures of Target Proteins</w:t>
      </w:r>
    </w:p>
    <w:p w14:paraId="48A20DC0" w14:textId="1DDAB98E" w:rsidR="002B31F6" w:rsidRDefault="00634D42"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Prediction of Active Sites:</w:t>
      </w:r>
    </w:p>
    <w:p w14:paraId="7521BA29" w14:textId="6F5A47AD" w:rsidR="00634D42" w:rsidRPr="0077453D" w:rsidRDefault="00634D42" w:rsidP="00BF5DE6">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CASTp</w:t>
      </w:r>
      <w:proofErr w:type="spellEnd"/>
      <w:r>
        <w:rPr>
          <w:rFonts w:ascii="Times New Roman" w:hAnsi="Times New Roman" w:cs="Times New Roman"/>
          <w:sz w:val="24"/>
          <w:szCs w:val="24"/>
        </w:rPr>
        <w:t xml:space="preserve"> server was used to predict active sites with the selected target proteins. </w:t>
      </w:r>
      <w:proofErr w:type="spellStart"/>
      <w:r>
        <w:rPr>
          <w:rFonts w:ascii="Times New Roman" w:hAnsi="Times New Roman" w:cs="Times New Roman"/>
          <w:sz w:val="24"/>
          <w:szCs w:val="24"/>
        </w:rPr>
        <w:t>CASTp</w:t>
      </w:r>
      <w:proofErr w:type="spellEnd"/>
      <w:r>
        <w:rPr>
          <w:rFonts w:ascii="Times New Roman" w:hAnsi="Times New Roman" w:cs="Times New Roman"/>
          <w:sz w:val="24"/>
          <w:szCs w:val="24"/>
        </w:rPr>
        <w:t xml:space="preserve"> provided precise locations of active sites, essential for determining the dimensions of the grid box during the docking process.</w:t>
      </w:r>
      <w:r w:rsidR="0077453D">
        <w:rPr>
          <w:rFonts w:ascii="Times New Roman" w:hAnsi="Times New Roman" w:cs="Times New Roman"/>
          <w:sz w:val="24"/>
          <w:szCs w:val="24"/>
        </w:rPr>
        <w:t xml:space="preserve"> </w:t>
      </w:r>
      <w:r w:rsidR="0077453D">
        <w:rPr>
          <w:rFonts w:ascii="Times New Roman" w:hAnsi="Times New Roman" w:cs="Times New Roman"/>
          <w:b/>
          <w:bCs/>
          <w:sz w:val="24"/>
          <w:szCs w:val="24"/>
        </w:rPr>
        <w:t>(Figure 3)</w:t>
      </w:r>
    </w:p>
    <w:tbl>
      <w:tblPr>
        <w:tblStyle w:val="TableGrid"/>
        <w:tblW w:w="0" w:type="auto"/>
        <w:tblLook w:val="04A0" w:firstRow="1" w:lastRow="0" w:firstColumn="1" w:lastColumn="0" w:noHBand="0" w:noVBand="1"/>
      </w:tblPr>
      <w:tblGrid>
        <w:gridCol w:w="5220"/>
        <w:gridCol w:w="5220"/>
      </w:tblGrid>
      <w:tr w:rsidR="00764A5F" w14:paraId="5A164902" w14:textId="77777777" w:rsidTr="005A6320">
        <w:trPr>
          <w:trHeight w:val="3165"/>
        </w:trPr>
        <w:tc>
          <w:tcPr>
            <w:tcW w:w="5220" w:type="dxa"/>
            <w:vAlign w:val="center"/>
          </w:tcPr>
          <w:p w14:paraId="1A589ACA" w14:textId="328226AF" w:rsidR="009F099D" w:rsidRDefault="00A65DC6" w:rsidP="00F732A4">
            <w:pPr>
              <w:spacing w:line="360" w:lineRule="auto"/>
              <w:jc w:val="center"/>
              <w:rPr>
                <w:rFonts w:ascii="Times New Roman" w:hAnsi="Times New Roman" w:cs="Times New Roman"/>
                <w:sz w:val="24"/>
                <w:szCs w:val="24"/>
              </w:rPr>
            </w:pPr>
            <w:r w:rsidRPr="00A65DC6">
              <w:rPr>
                <w:rFonts w:ascii="Times New Roman" w:hAnsi="Times New Roman" w:cs="Times New Roman"/>
                <w:noProof/>
                <w:sz w:val="24"/>
                <w:szCs w:val="24"/>
                <w:lang w:eastAsia="en-IN"/>
              </w:rPr>
              <w:drawing>
                <wp:inline distT="0" distB="0" distL="0" distR="0" wp14:anchorId="4612C790" wp14:editId="56D8850A">
                  <wp:extent cx="2655265" cy="2105246"/>
                  <wp:effectExtent l="0" t="0" r="0" b="0"/>
                  <wp:docPr id="213442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23280" name=""/>
                          <pic:cNvPicPr/>
                        </pic:nvPicPr>
                        <pic:blipFill>
                          <a:blip r:embed="rId19"/>
                          <a:stretch>
                            <a:fillRect/>
                          </a:stretch>
                        </pic:blipFill>
                        <pic:spPr>
                          <a:xfrm>
                            <a:off x="0" y="0"/>
                            <a:ext cx="2661319" cy="2110046"/>
                          </a:xfrm>
                          <a:prstGeom prst="rect">
                            <a:avLst/>
                          </a:prstGeom>
                        </pic:spPr>
                      </pic:pic>
                    </a:graphicData>
                  </a:graphic>
                </wp:inline>
              </w:drawing>
            </w:r>
          </w:p>
        </w:tc>
        <w:tc>
          <w:tcPr>
            <w:tcW w:w="5220" w:type="dxa"/>
            <w:vAlign w:val="center"/>
          </w:tcPr>
          <w:p w14:paraId="5436EC5B" w14:textId="4E3FD466" w:rsidR="009F099D" w:rsidRDefault="00224229" w:rsidP="00F732A4">
            <w:pPr>
              <w:spacing w:line="360" w:lineRule="auto"/>
              <w:jc w:val="center"/>
              <w:rPr>
                <w:rFonts w:ascii="Times New Roman" w:hAnsi="Times New Roman" w:cs="Times New Roman"/>
                <w:sz w:val="24"/>
                <w:szCs w:val="24"/>
              </w:rPr>
            </w:pPr>
            <w:r w:rsidRPr="00224229">
              <w:rPr>
                <w:rFonts w:ascii="Times New Roman" w:hAnsi="Times New Roman" w:cs="Times New Roman"/>
                <w:noProof/>
                <w:sz w:val="24"/>
                <w:szCs w:val="24"/>
                <w:lang w:eastAsia="en-IN"/>
              </w:rPr>
              <w:drawing>
                <wp:inline distT="0" distB="0" distL="0" distR="0" wp14:anchorId="01C42EEA" wp14:editId="1CB6E4F3">
                  <wp:extent cx="2498651" cy="2370075"/>
                  <wp:effectExtent l="0" t="0" r="0" b="0"/>
                  <wp:docPr id="35122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3508" name=""/>
                          <pic:cNvPicPr/>
                        </pic:nvPicPr>
                        <pic:blipFill>
                          <a:blip r:embed="rId20"/>
                          <a:stretch>
                            <a:fillRect/>
                          </a:stretch>
                        </pic:blipFill>
                        <pic:spPr>
                          <a:xfrm>
                            <a:off x="0" y="0"/>
                            <a:ext cx="2509254" cy="2380133"/>
                          </a:xfrm>
                          <a:prstGeom prst="rect">
                            <a:avLst/>
                          </a:prstGeom>
                        </pic:spPr>
                      </pic:pic>
                    </a:graphicData>
                  </a:graphic>
                </wp:inline>
              </w:drawing>
            </w:r>
          </w:p>
        </w:tc>
      </w:tr>
      <w:tr w:rsidR="00764A5F" w14:paraId="75EDBAD1" w14:textId="77777777" w:rsidTr="005A6320">
        <w:trPr>
          <w:trHeight w:val="854"/>
        </w:trPr>
        <w:tc>
          <w:tcPr>
            <w:tcW w:w="5220" w:type="dxa"/>
            <w:vAlign w:val="center"/>
          </w:tcPr>
          <w:p w14:paraId="23FBA56C" w14:textId="77777777" w:rsidR="009F099D" w:rsidRDefault="009F099D" w:rsidP="00F732A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LuxS</w:t>
            </w:r>
            <w:proofErr w:type="spellEnd"/>
            <w:r>
              <w:rPr>
                <w:rFonts w:ascii="Times New Roman" w:hAnsi="Times New Roman" w:cs="Times New Roman"/>
                <w:sz w:val="24"/>
                <w:szCs w:val="24"/>
              </w:rPr>
              <w:t xml:space="preserve"> (S-ribosyl homocysteine lyase)</w:t>
            </w:r>
          </w:p>
          <w:p w14:paraId="0805F5F5" w14:textId="77777777" w:rsidR="009F099D" w:rsidRDefault="009F099D" w:rsidP="00F732A4">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4XCH</w:t>
            </w:r>
          </w:p>
        </w:tc>
        <w:tc>
          <w:tcPr>
            <w:tcW w:w="5220" w:type="dxa"/>
            <w:vAlign w:val="center"/>
          </w:tcPr>
          <w:p w14:paraId="67B963AF" w14:textId="77777777" w:rsidR="009F099D" w:rsidRDefault="009F099D" w:rsidP="00F732A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(Antigen I/II)</w:t>
            </w:r>
          </w:p>
          <w:p w14:paraId="4E322CCE" w14:textId="77777777" w:rsidR="009F099D" w:rsidRDefault="009F099D" w:rsidP="00F732A4">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3OPU</w:t>
            </w:r>
          </w:p>
        </w:tc>
      </w:tr>
      <w:tr w:rsidR="00764A5F" w14:paraId="6E019B9A" w14:textId="77777777" w:rsidTr="005A6320">
        <w:trPr>
          <w:trHeight w:val="3358"/>
        </w:trPr>
        <w:tc>
          <w:tcPr>
            <w:tcW w:w="5220" w:type="dxa"/>
            <w:vAlign w:val="center"/>
          </w:tcPr>
          <w:p w14:paraId="3C24D7EA" w14:textId="608A8611" w:rsidR="009F099D" w:rsidRDefault="005063B2" w:rsidP="00F732A4">
            <w:pPr>
              <w:spacing w:line="360" w:lineRule="auto"/>
              <w:jc w:val="center"/>
              <w:rPr>
                <w:rFonts w:ascii="Times New Roman" w:hAnsi="Times New Roman" w:cs="Times New Roman"/>
                <w:sz w:val="24"/>
                <w:szCs w:val="24"/>
              </w:rPr>
            </w:pPr>
            <w:r w:rsidRPr="005063B2">
              <w:rPr>
                <w:rFonts w:ascii="Times New Roman" w:hAnsi="Times New Roman" w:cs="Times New Roman"/>
                <w:noProof/>
                <w:sz w:val="24"/>
                <w:szCs w:val="24"/>
                <w:lang w:eastAsia="en-IN"/>
              </w:rPr>
              <w:lastRenderedPageBreak/>
              <w:drawing>
                <wp:inline distT="0" distB="0" distL="0" distR="0" wp14:anchorId="3D4630CA" wp14:editId="29DD4681">
                  <wp:extent cx="2573079" cy="2418612"/>
                  <wp:effectExtent l="0" t="0" r="0" b="1270"/>
                  <wp:docPr id="12030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4491" name=""/>
                          <pic:cNvPicPr/>
                        </pic:nvPicPr>
                        <pic:blipFill>
                          <a:blip r:embed="rId21"/>
                          <a:stretch>
                            <a:fillRect/>
                          </a:stretch>
                        </pic:blipFill>
                        <pic:spPr>
                          <a:xfrm>
                            <a:off x="0" y="0"/>
                            <a:ext cx="2582057" cy="2427051"/>
                          </a:xfrm>
                          <a:prstGeom prst="rect">
                            <a:avLst/>
                          </a:prstGeom>
                        </pic:spPr>
                      </pic:pic>
                    </a:graphicData>
                  </a:graphic>
                </wp:inline>
              </w:drawing>
            </w:r>
          </w:p>
        </w:tc>
        <w:tc>
          <w:tcPr>
            <w:tcW w:w="5220" w:type="dxa"/>
            <w:vAlign w:val="center"/>
          </w:tcPr>
          <w:p w14:paraId="6C7C0CBD" w14:textId="459A2F38" w:rsidR="009F099D" w:rsidRDefault="00817993" w:rsidP="00F732A4">
            <w:pPr>
              <w:spacing w:line="360" w:lineRule="auto"/>
              <w:jc w:val="center"/>
              <w:rPr>
                <w:rFonts w:ascii="Times New Roman" w:hAnsi="Times New Roman" w:cs="Times New Roman"/>
                <w:sz w:val="24"/>
                <w:szCs w:val="24"/>
              </w:rPr>
            </w:pPr>
            <w:r w:rsidRPr="00817993">
              <w:rPr>
                <w:rFonts w:ascii="Times New Roman" w:hAnsi="Times New Roman" w:cs="Times New Roman"/>
                <w:noProof/>
                <w:sz w:val="24"/>
                <w:szCs w:val="24"/>
                <w:lang w:eastAsia="en-IN"/>
              </w:rPr>
              <w:drawing>
                <wp:inline distT="0" distB="0" distL="0" distR="0" wp14:anchorId="471262DE" wp14:editId="2EC5D66F">
                  <wp:extent cx="2515828" cy="2246275"/>
                  <wp:effectExtent l="0" t="0" r="0" b="1905"/>
                  <wp:docPr id="153382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7034" name=""/>
                          <pic:cNvPicPr/>
                        </pic:nvPicPr>
                        <pic:blipFill>
                          <a:blip r:embed="rId22"/>
                          <a:stretch>
                            <a:fillRect/>
                          </a:stretch>
                        </pic:blipFill>
                        <pic:spPr>
                          <a:xfrm>
                            <a:off x="0" y="0"/>
                            <a:ext cx="2531204" cy="2260003"/>
                          </a:xfrm>
                          <a:prstGeom prst="rect">
                            <a:avLst/>
                          </a:prstGeom>
                        </pic:spPr>
                      </pic:pic>
                    </a:graphicData>
                  </a:graphic>
                </wp:inline>
              </w:drawing>
            </w:r>
          </w:p>
        </w:tc>
      </w:tr>
      <w:tr w:rsidR="00764A5F" w14:paraId="4A6FF796" w14:textId="77777777" w:rsidTr="005A6320">
        <w:trPr>
          <w:trHeight w:val="854"/>
        </w:trPr>
        <w:tc>
          <w:tcPr>
            <w:tcW w:w="5220" w:type="dxa"/>
            <w:vAlign w:val="center"/>
          </w:tcPr>
          <w:p w14:paraId="4EBB6758" w14:textId="5E3D6FD5" w:rsidR="009F099D" w:rsidRDefault="009F099D" w:rsidP="00F732A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Fru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Fructanase</w:t>
            </w:r>
            <w:proofErr w:type="spellEnd"/>
            <w:r>
              <w:rPr>
                <w:rFonts w:ascii="Times New Roman" w:hAnsi="Times New Roman" w:cs="Times New Roman"/>
                <w:sz w:val="24"/>
                <w:szCs w:val="24"/>
              </w:rPr>
              <w:t>)</w:t>
            </w:r>
          </w:p>
          <w:p w14:paraId="06787350" w14:textId="77777777" w:rsidR="009F099D" w:rsidRDefault="009F099D" w:rsidP="00F732A4">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2R4Q</w:t>
            </w:r>
          </w:p>
        </w:tc>
        <w:tc>
          <w:tcPr>
            <w:tcW w:w="5220" w:type="dxa"/>
            <w:vAlign w:val="center"/>
          </w:tcPr>
          <w:p w14:paraId="55EC7D75" w14:textId="77777777" w:rsidR="009F099D" w:rsidRDefault="009F099D" w:rsidP="00F732A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GtfB</w:t>
            </w:r>
            <w:proofErr w:type="spellEnd"/>
            <w:r>
              <w:rPr>
                <w:rFonts w:ascii="Times New Roman" w:hAnsi="Times New Roman" w:cs="Times New Roman"/>
                <w:sz w:val="24"/>
                <w:szCs w:val="24"/>
              </w:rPr>
              <w:t xml:space="preserve"> (Glucosyl transferase B)</w:t>
            </w:r>
          </w:p>
          <w:p w14:paraId="6C95D096" w14:textId="77777777" w:rsidR="009F099D" w:rsidRDefault="009F099D" w:rsidP="00F732A4">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1IIR</w:t>
            </w:r>
          </w:p>
        </w:tc>
      </w:tr>
      <w:tr w:rsidR="00817993" w14:paraId="1C5CE284" w14:textId="77777777" w:rsidTr="005A6320">
        <w:trPr>
          <w:gridAfter w:val="1"/>
          <w:wAfter w:w="5220" w:type="dxa"/>
          <w:trHeight w:val="3060"/>
        </w:trPr>
        <w:tc>
          <w:tcPr>
            <w:tcW w:w="5220" w:type="dxa"/>
            <w:vAlign w:val="center"/>
          </w:tcPr>
          <w:p w14:paraId="447A2150" w14:textId="5E47235E" w:rsidR="009F099D" w:rsidRDefault="00764A5F" w:rsidP="00F732A4">
            <w:pPr>
              <w:spacing w:line="360" w:lineRule="auto"/>
              <w:jc w:val="center"/>
              <w:rPr>
                <w:rFonts w:ascii="Times New Roman" w:hAnsi="Times New Roman" w:cs="Times New Roman"/>
                <w:sz w:val="24"/>
                <w:szCs w:val="24"/>
              </w:rPr>
            </w:pPr>
            <w:r w:rsidRPr="00764A5F">
              <w:rPr>
                <w:rFonts w:ascii="Times New Roman" w:hAnsi="Times New Roman" w:cs="Times New Roman"/>
                <w:noProof/>
                <w:sz w:val="24"/>
                <w:szCs w:val="24"/>
                <w:lang w:eastAsia="en-IN"/>
              </w:rPr>
              <w:drawing>
                <wp:inline distT="0" distB="0" distL="0" distR="0" wp14:anchorId="6A24BE96" wp14:editId="71B658B0">
                  <wp:extent cx="2691787" cy="2041451"/>
                  <wp:effectExtent l="0" t="0" r="0" b="0"/>
                  <wp:docPr id="1438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89" name=""/>
                          <pic:cNvPicPr/>
                        </pic:nvPicPr>
                        <pic:blipFill>
                          <a:blip r:embed="rId23"/>
                          <a:stretch>
                            <a:fillRect/>
                          </a:stretch>
                        </pic:blipFill>
                        <pic:spPr>
                          <a:xfrm>
                            <a:off x="0" y="0"/>
                            <a:ext cx="2698812" cy="2046778"/>
                          </a:xfrm>
                          <a:prstGeom prst="rect">
                            <a:avLst/>
                          </a:prstGeom>
                        </pic:spPr>
                      </pic:pic>
                    </a:graphicData>
                  </a:graphic>
                </wp:inline>
              </w:drawing>
            </w:r>
          </w:p>
        </w:tc>
      </w:tr>
      <w:tr w:rsidR="00817993" w14:paraId="680FEEA6" w14:textId="77777777" w:rsidTr="005A6320">
        <w:trPr>
          <w:gridAfter w:val="1"/>
          <w:wAfter w:w="5220" w:type="dxa"/>
          <w:trHeight w:val="839"/>
        </w:trPr>
        <w:tc>
          <w:tcPr>
            <w:tcW w:w="5220" w:type="dxa"/>
            <w:vAlign w:val="center"/>
          </w:tcPr>
          <w:p w14:paraId="326A9D5F" w14:textId="77777777" w:rsidR="009F099D" w:rsidRDefault="009F099D" w:rsidP="00F732A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ComD</w:t>
            </w:r>
            <w:proofErr w:type="spellEnd"/>
            <w:r>
              <w:rPr>
                <w:rFonts w:ascii="Times New Roman" w:hAnsi="Times New Roman" w:cs="Times New Roman"/>
                <w:sz w:val="24"/>
                <w:szCs w:val="24"/>
              </w:rPr>
              <w:t xml:space="preserve"> (Histidine Kinase)</w:t>
            </w:r>
          </w:p>
          <w:p w14:paraId="3F2420ED" w14:textId="42A621C8" w:rsidR="009F099D" w:rsidRDefault="009F099D" w:rsidP="0077453D">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PDB ID:</w:t>
            </w:r>
            <w:r w:rsidR="00825CBA">
              <w:rPr>
                <w:rFonts w:ascii="Times New Roman" w:hAnsi="Times New Roman" w:cs="Times New Roman"/>
                <w:sz w:val="24"/>
                <w:szCs w:val="24"/>
              </w:rPr>
              <w:t xml:space="preserve"> 2C2A</w:t>
            </w:r>
          </w:p>
        </w:tc>
      </w:tr>
    </w:tbl>
    <w:p w14:paraId="7BE4FA05" w14:textId="5EF97564" w:rsidR="009F099D" w:rsidRPr="0077453D" w:rsidRDefault="0077453D" w:rsidP="0077453D">
      <w:pPr>
        <w:pStyle w:val="Caption"/>
        <w:jc w:val="center"/>
        <w:rPr>
          <w:rFonts w:ascii="Times New Roman" w:hAnsi="Times New Roman" w:cs="Times New Roman"/>
          <w:b/>
          <w:bCs/>
          <w:i w:val="0"/>
          <w:iCs w:val="0"/>
          <w:sz w:val="28"/>
          <w:szCs w:val="28"/>
        </w:rPr>
      </w:pPr>
      <w:r w:rsidRPr="0077453D">
        <w:rPr>
          <w:rFonts w:ascii="Times New Roman" w:hAnsi="Times New Roman" w:cs="Times New Roman"/>
          <w:b/>
          <w:bCs/>
          <w:i w:val="0"/>
          <w:iCs w:val="0"/>
          <w:sz w:val="20"/>
          <w:szCs w:val="20"/>
        </w:rPr>
        <w:t xml:space="preserve">Figure </w:t>
      </w:r>
      <w:r w:rsidRPr="0077453D">
        <w:rPr>
          <w:rFonts w:ascii="Times New Roman" w:hAnsi="Times New Roman" w:cs="Times New Roman"/>
          <w:b/>
          <w:bCs/>
          <w:i w:val="0"/>
          <w:iCs w:val="0"/>
          <w:sz w:val="20"/>
          <w:szCs w:val="20"/>
        </w:rPr>
        <w:fldChar w:fldCharType="begin"/>
      </w:r>
      <w:r w:rsidRPr="0077453D">
        <w:rPr>
          <w:rFonts w:ascii="Times New Roman" w:hAnsi="Times New Roman" w:cs="Times New Roman"/>
          <w:b/>
          <w:bCs/>
          <w:i w:val="0"/>
          <w:iCs w:val="0"/>
          <w:sz w:val="20"/>
          <w:szCs w:val="20"/>
        </w:rPr>
        <w:instrText xml:space="preserve"> SEQ Figure \* ARABIC </w:instrText>
      </w:r>
      <w:r w:rsidRPr="0077453D">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3</w:t>
      </w:r>
      <w:r w:rsidRPr="0077453D">
        <w:rPr>
          <w:rFonts w:ascii="Times New Roman" w:hAnsi="Times New Roman" w:cs="Times New Roman"/>
          <w:b/>
          <w:bCs/>
          <w:i w:val="0"/>
          <w:iCs w:val="0"/>
          <w:sz w:val="20"/>
          <w:szCs w:val="20"/>
        </w:rPr>
        <w:fldChar w:fldCharType="end"/>
      </w:r>
      <w:r w:rsidRPr="0077453D">
        <w:rPr>
          <w:rFonts w:ascii="Times New Roman" w:hAnsi="Times New Roman" w:cs="Times New Roman"/>
          <w:b/>
          <w:bCs/>
          <w:i w:val="0"/>
          <w:iCs w:val="0"/>
          <w:sz w:val="20"/>
          <w:szCs w:val="20"/>
        </w:rPr>
        <w:t xml:space="preserve"> Active site prediction using </w:t>
      </w:r>
      <w:proofErr w:type="spellStart"/>
      <w:r w:rsidRPr="0077453D">
        <w:rPr>
          <w:rFonts w:ascii="Times New Roman" w:hAnsi="Times New Roman" w:cs="Times New Roman"/>
          <w:b/>
          <w:bCs/>
          <w:i w:val="0"/>
          <w:iCs w:val="0"/>
          <w:sz w:val="20"/>
          <w:szCs w:val="20"/>
        </w:rPr>
        <w:t>C</w:t>
      </w:r>
      <w:r>
        <w:rPr>
          <w:rFonts w:ascii="Times New Roman" w:hAnsi="Times New Roman" w:cs="Times New Roman"/>
          <w:b/>
          <w:bCs/>
          <w:i w:val="0"/>
          <w:iCs w:val="0"/>
          <w:sz w:val="20"/>
          <w:szCs w:val="20"/>
        </w:rPr>
        <w:t>AST</w:t>
      </w:r>
      <w:r w:rsidRPr="0077453D">
        <w:rPr>
          <w:rFonts w:ascii="Times New Roman" w:hAnsi="Times New Roman" w:cs="Times New Roman"/>
          <w:b/>
          <w:bCs/>
          <w:i w:val="0"/>
          <w:iCs w:val="0"/>
          <w:sz w:val="20"/>
          <w:szCs w:val="20"/>
        </w:rPr>
        <w:t>p</w:t>
      </w:r>
      <w:proofErr w:type="spellEnd"/>
    </w:p>
    <w:p w14:paraId="489A01AF" w14:textId="77777777" w:rsidR="007177DE" w:rsidRDefault="007177DE"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Ramachandran Plot Analysis:</w:t>
      </w:r>
    </w:p>
    <w:p w14:paraId="3AA28355" w14:textId="5C17B8A3" w:rsidR="007177DE" w:rsidRDefault="007177DE" w:rsidP="00BF5DE6">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The Ramachandran plot analysis was conducted for five key target proteins involved in oral biofilm formation such as </w:t>
      </w:r>
      <w:proofErr w:type="spellStart"/>
      <w:r>
        <w:rPr>
          <w:rFonts w:ascii="Times New Roman" w:hAnsi="Times New Roman" w:cs="Times New Roman"/>
          <w:sz w:val="24"/>
          <w:szCs w:val="24"/>
        </w:rPr>
        <w:t>LuxS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GrfB</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ComD.</w:t>
      </w:r>
      <w:proofErr w:type="spellEnd"/>
      <w:r>
        <w:rPr>
          <w:rFonts w:ascii="Times New Roman" w:hAnsi="Times New Roman" w:cs="Times New Roman"/>
          <w:sz w:val="24"/>
          <w:szCs w:val="24"/>
        </w:rPr>
        <w:t xml:space="preserve"> This analysis evaluates the dihedral angles </w:t>
      </w:r>
      <w:r w:rsidR="009B57CC" w:rsidRPr="009B57CC">
        <w:rPr>
          <w:rFonts w:ascii="Times New Roman" w:hAnsi="Times New Roman" w:cs="Times New Roman"/>
          <w:sz w:val="24"/>
          <w:szCs w:val="24"/>
        </w:rPr>
        <w:t>(</w:t>
      </w:r>
      <w:r w:rsidR="009B57CC" w:rsidRPr="009B57CC">
        <w:rPr>
          <w:rFonts w:ascii="Times New Roman" w:hAnsi="Times New Roman" w:cs="Times New Roman"/>
          <w:color w:val="333333"/>
          <w:sz w:val="24"/>
          <w:szCs w:val="24"/>
          <w:shd w:val="clear" w:color="auto" w:fill="FFFFFF"/>
        </w:rPr>
        <w:t>Φ and Ψ)</w:t>
      </w:r>
      <w:r w:rsidR="009B57CC">
        <w:rPr>
          <w:rFonts w:ascii="Helvetica" w:hAnsi="Helvetica"/>
          <w:color w:val="333333"/>
          <w:sz w:val="21"/>
          <w:szCs w:val="21"/>
          <w:shd w:val="clear" w:color="auto" w:fill="FFFFFF"/>
        </w:rPr>
        <w:t xml:space="preserve"> </w:t>
      </w:r>
      <w:r w:rsidR="009B57CC">
        <w:rPr>
          <w:rFonts w:ascii="Times New Roman" w:hAnsi="Times New Roman" w:cs="Times New Roman"/>
          <w:color w:val="333333"/>
          <w:sz w:val="24"/>
          <w:szCs w:val="24"/>
          <w:shd w:val="clear" w:color="auto" w:fill="FFFFFF"/>
        </w:rPr>
        <w:t>of the amino acid residues, providing a co</w:t>
      </w:r>
      <w:r w:rsidR="00355DDA">
        <w:rPr>
          <w:rFonts w:ascii="Times New Roman" w:hAnsi="Times New Roman" w:cs="Times New Roman"/>
          <w:color w:val="333333"/>
          <w:sz w:val="24"/>
          <w:szCs w:val="24"/>
          <w:shd w:val="clear" w:color="auto" w:fill="FFFFFF"/>
        </w:rPr>
        <w:t>mprehensive view of the protein</w:t>
      </w:r>
      <w:r w:rsidR="009B57CC">
        <w:rPr>
          <w:rFonts w:ascii="Times New Roman" w:hAnsi="Times New Roman" w:cs="Times New Roman"/>
          <w:color w:val="333333"/>
          <w:sz w:val="24"/>
          <w:szCs w:val="24"/>
          <w:shd w:val="clear" w:color="auto" w:fill="FFFFFF"/>
        </w:rPr>
        <w:t xml:space="preserve"> conformational integrity and stability. The results indicate the </w:t>
      </w:r>
      <w:proofErr w:type="spellStart"/>
      <w:r w:rsidR="009B57CC">
        <w:rPr>
          <w:rFonts w:ascii="Times New Roman" w:hAnsi="Times New Roman" w:cs="Times New Roman"/>
          <w:color w:val="333333"/>
          <w:sz w:val="24"/>
          <w:szCs w:val="24"/>
          <w:shd w:val="clear" w:color="auto" w:fill="FFFFFF"/>
        </w:rPr>
        <w:t>LuxS</w:t>
      </w:r>
      <w:proofErr w:type="spellEnd"/>
      <w:r w:rsidR="009B57CC">
        <w:rPr>
          <w:rFonts w:ascii="Times New Roman" w:hAnsi="Times New Roman" w:cs="Times New Roman"/>
          <w:color w:val="333333"/>
          <w:sz w:val="24"/>
          <w:szCs w:val="24"/>
          <w:shd w:val="clear" w:color="auto" w:fill="FFFFFF"/>
        </w:rPr>
        <w:t xml:space="preserve"> exhibited over 98% of residues within the most favoured regions, while </w:t>
      </w:r>
      <w:proofErr w:type="spellStart"/>
      <w:r w:rsidR="009B57CC">
        <w:rPr>
          <w:rFonts w:ascii="Times New Roman" w:hAnsi="Times New Roman" w:cs="Times New Roman"/>
          <w:color w:val="333333"/>
          <w:sz w:val="24"/>
          <w:szCs w:val="24"/>
          <w:shd w:val="clear" w:color="auto" w:fill="FFFFFF"/>
        </w:rPr>
        <w:t>spaP</w:t>
      </w:r>
      <w:proofErr w:type="spellEnd"/>
      <w:r w:rsidR="009B57CC">
        <w:rPr>
          <w:rFonts w:ascii="Times New Roman" w:hAnsi="Times New Roman" w:cs="Times New Roman"/>
          <w:color w:val="333333"/>
          <w:sz w:val="24"/>
          <w:szCs w:val="24"/>
          <w:shd w:val="clear" w:color="auto" w:fill="FFFFFF"/>
        </w:rPr>
        <w:t xml:space="preserve"> had 95%, </w:t>
      </w:r>
      <w:proofErr w:type="spellStart"/>
      <w:r w:rsidR="009B57CC">
        <w:rPr>
          <w:rFonts w:ascii="Times New Roman" w:hAnsi="Times New Roman" w:cs="Times New Roman"/>
          <w:color w:val="333333"/>
          <w:sz w:val="24"/>
          <w:szCs w:val="24"/>
          <w:shd w:val="clear" w:color="auto" w:fill="FFFFFF"/>
        </w:rPr>
        <w:t>FruA</w:t>
      </w:r>
      <w:proofErr w:type="spellEnd"/>
      <w:r w:rsidR="009B57CC">
        <w:rPr>
          <w:rFonts w:ascii="Times New Roman" w:hAnsi="Times New Roman" w:cs="Times New Roman"/>
          <w:color w:val="333333"/>
          <w:sz w:val="24"/>
          <w:szCs w:val="24"/>
          <w:shd w:val="clear" w:color="auto" w:fill="FFFFFF"/>
        </w:rPr>
        <w:t xml:space="preserve"> had 96%, </w:t>
      </w:r>
      <w:proofErr w:type="spellStart"/>
      <w:r w:rsidR="009B57CC">
        <w:rPr>
          <w:rFonts w:ascii="Times New Roman" w:hAnsi="Times New Roman" w:cs="Times New Roman"/>
          <w:color w:val="333333"/>
          <w:sz w:val="24"/>
          <w:szCs w:val="24"/>
          <w:shd w:val="clear" w:color="auto" w:fill="FFFFFF"/>
        </w:rPr>
        <w:t>GtfB</w:t>
      </w:r>
      <w:proofErr w:type="spellEnd"/>
      <w:r w:rsidR="009B57CC">
        <w:rPr>
          <w:rFonts w:ascii="Times New Roman" w:hAnsi="Times New Roman" w:cs="Times New Roman"/>
          <w:color w:val="333333"/>
          <w:sz w:val="24"/>
          <w:szCs w:val="24"/>
          <w:shd w:val="clear" w:color="auto" w:fill="FFFFFF"/>
        </w:rPr>
        <w:t xml:space="preserve"> had 97%, and </w:t>
      </w:r>
      <w:proofErr w:type="spellStart"/>
      <w:r w:rsidR="009B57CC">
        <w:rPr>
          <w:rFonts w:ascii="Times New Roman" w:hAnsi="Times New Roman" w:cs="Times New Roman"/>
          <w:color w:val="333333"/>
          <w:sz w:val="24"/>
          <w:szCs w:val="24"/>
          <w:shd w:val="clear" w:color="auto" w:fill="FFFFFF"/>
        </w:rPr>
        <w:t>ComD</w:t>
      </w:r>
      <w:proofErr w:type="spellEnd"/>
      <w:r w:rsidR="009B57CC">
        <w:rPr>
          <w:rFonts w:ascii="Times New Roman" w:hAnsi="Times New Roman" w:cs="Times New Roman"/>
          <w:color w:val="333333"/>
          <w:sz w:val="24"/>
          <w:szCs w:val="24"/>
          <w:shd w:val="clear" w:color="auto" w:fill="FFFFFF"/>
        </w:rPr>
        <w:t xml:space="preserve"> had 94% within the most favoured regions. The presence of residues in the allowed regions was minimal, and no residues were found in the disallowed regions was minimal, and no residues were found in the disallowed regions for any of the proteins. </w:t>
      </w:r>
      <w:r w:rsidR="00144A61">
        <w:rPr>
          <w:rFonts w:ascii="Times New Roman" w:hAnsi="Times New Roman" w:cs="Times New Roman"/>
          <w:color w:val="333333"/>
          <w:sz w:val="24"/>
          <w:szCs w:val="24"/>
          <w:shd w:val="clear" w:color="auto" w:fill="FFFFFF"/>
        </w:rPr>
        <w:t>These high percentages of residues in favoured regions suggest that the structures were well-validated and exhibited minimal strain, making them suitable for reliable docking studies.</w:t>
      </w:r>
    </w:p>
    <w:p w14:paraId="21DE0D88" w14:textId="4C2DDB4A" w:rsidR="00144A61" w:rsidRPr="00E0144A" w:rsidRDefault="00144A61" w:rsidP="00BF5DE6">
      <w:pPr>
        <w:spacing w:line="360" w:lineRule="auto"/>
        <w:jc w:val="both"/>
        <w:rPr>
          <w:rFonts w:ascii="Times New Roman" w:hAnsi="Times New Roman" w:cs="Times New Roman"/>
          <w:b/>
          <w:bCs/>
          <w:color w:val="333333"/>
          <w:sz w:val="24"/>
          <w:szCs w:val="24"/>
          <w:shd w:val="clear" w:color="auto" w:fill="FFFFFF"/>
        </w:rPr>
      </w:pPr>
      <w:r>
        <w:rPr>
          <w:rFonts w:ascii="Times New Roman" w:hAnsi="Times New Roman" w:cs="Times New Roman"/>
          <w:color w:val="333333"/>
          <w:sz w:val="24"/>
          <w:szCs w:val="24"/>
          <w:shd w:val="clear" w:color="auto" w:fill="FFFFFF"/>
        </w:rPr>
        <w:t xml:space="preserve">The high-quality structures indicated by the Ramachandran plot analysis provide a robust foundation for molecular docking studies. Accurate structural models were critical for predicting the binding affinity and </w:t>
      </w:r>
      <w:r>
        <w:rPr>
          <w:rFonts w:ascii="Times New Roman" w:hAnsi="Times New Roman" w:cs="Times New Roman"/>
          <w:color w:val="333333"/>
          <w:sz w:val="24"/>
          <w:szCs w:val="24"/>
          <w:shd w:val="clear" w:color="auto" w:fill="FFFFFF"/>
        </w:rPr>
        <w:lastRenderedPageBreak/>
        <w:t xml:space="preserve">interaction dynamics of phytochemicals with target proteins. Validated structures of </w:t>
      </w:r>
      <w:proofErr w:type="spellStart"/>
      <w:r>
        <w:rPr>
          <w:rFonts w:ascii="Times New Roman" w:hAnsi="Times New Roman" w:cs="Times New Roman"/>
          <w:color w:val="333333"/>
          <w:sz w:val="24"/>
          <w:szCs w:val="24"/>
          <w:shd w:val="clear" w:color="auto" w:fill="FFFFFF"/>
        </w:rPr>
        <w:t>LuxS</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spaP</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fruA</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GtfB</w:t>
      </w:r>
      <w:proofErr w:type="spellEnd"/>
      <w:r>
        <w:rPr>
          <w:rFonts w:ascii="Times New Roman" w:hAnsi="Times New Roman" w:cs="Times New Roman"/>
          <w:color w:val="333333"/>
          <w:sz w:val="24"/>
          <w:szCs w:val="24"/>
          <w:shd w:val="clear" w:color="auto" w:fill="FFFFFF"/>
        </w:rPr>
        <w:t xml:space="preserve">, and </w:t>
      </w:r>
      <w:proofErr w:type="spellStart"/>
      <w:r>
        <w:rPr>
          <w:rFonts w:ascii="Times New Roman" w:hAnsi="Times New Roman" w:cs="Times New Roman"/>
          <w:color w:val="333333"/>
          <w:sz w:val="24"/>
          <w:szCs w:val="24"/>
          <w:shd w:val="clear" w:color="auto" w:fill="FFFFFF"/>
        </w:rPr>
        <w:t>ComD</w:t>
      </w:r>
      <w:proofErr w:type="spellEnd"/>
      <w:r>
        <w:rPr>
          <w:rFonts w:ascii="Times New Roman" w:hAnsi="Times New Roman" w:cs="Times New Roman"/>
          <w:color w:val="333333"/>
          <w:sz w:val="24"/>
          <w:szCs w:val="24"/>
          <w:shd w:val="clear" w:color="auto" w:fill="FFFFFF"/>
        </w:rPr>
        <w:t xml:space="preserve"> facilitate precise docking simulations with phytochemicals such as EGCG, Catechin, ECG, EC, Quercetin, and Kaempferol. These interactions were crucial for developing effective strategies to inhibit biofilm formation. For instance, targeting </w:t>
      </w:r>
      <w:proofErr w:type="spellStart"/>
      <w:r>
        <w:rPr>
          <w:rFonts w:ascii="Times New Roman" w:hAnsi="Times New Roman" w:cs="Times New Roman"/>
          <w:color w:val="333333"/>
          <w:sz w:val="24"/>
          <w:szCs w:val="24"/>
          <w:shd w:val="clear" w:color="auto" w:fill="FFFFFF"/>
        </w:rPr>
        <w:t>LuxS</w:t>
      </w:r>
      <w:proofErr w:type="spellEnd"/>
      <w:r>
        <w:rPr>
          <w:rFonts w:ascii="Times New Roman" w:hAnsi="Times New Roman" w:cs="Times New Roman"/>
          <w:color w:val="333333"/>
          <w:sz w:val="24"/>
          <w:szCs w:val="24"/>
          <w:shd w:val="clear" w:color="auto" w:fill="FFFFFF"/>
        </w:rPr>
        <w:t xml:space="preserve"> can disrupt interspecies communication with biofilms, inhibiting maturation. Inhibiting </w:t>
      </w:r>
      <w:proofErr w:type="spellStart"/>
      <w:r>
        <w:rPr>
          <w:rFonts w:ascii="Times New Roman" w:hAnsi="Times New Roman" w:cs="Times New Roman"/>
          <w:color w:val="333333"/>
          <w:sz w:val="24"/>
          <w:szCs w:val="24"/>
          <w:shd w:val="clear" w:color="auto" w:fill="FFFFFF"/>
        </w:rPr>
        <w:t>spaP</w:t>
      </w:r>
      <w:proofErr w:type="spellEnd"/>
      <w:r>
        <w:rPr>
          <w:rFonts w:ascii="Times New Roman" w:hAnsi="Times New Roman" w:cs="Times New Roman"/>
          <w:color w:val="333333"/>
          <w:sz w:val="24"/>
          <w:szCs w:val="24"/>
          <w:shd w:val="clear" w:color="auto" w:fill="FFFFFF"/>
        </w:rPr>
        <w:t xml:space="preserve"> can prevent bacterial attachment to tooth surfaces while targeting </w:t>
      </w:r>
      <w:proofErr w:type="spellStart"/>
      <w:r>
        <w:rPr>
          <w:rFonts w:ascii="Times New Roman" w:hAnsi="Times New Roman" w:cs="Times New Roman"/>
          <w:color w:val="333333"/>
          <w:sz w:val="24"/>
          <w:szCs w:val="24"/>
          <w:shd w:val="clear" w:color="auto" w:fill="FFFFFF"/>
        </w:rPr>
        <w:t>FruA</w:t>
      </w:r>
      <w:proofErr w:type="spellEnd"/>
      <w:r>
        <w:rPr>
          <w:rFonts w:ascii="Times New Roman" w:hAnsi="Times New Roman" w:cs="Times New Roman"/>
          <w:color w:val="333333"/>
          <w:sz w:val="24"/>
          <w:szCs w:val="24"/>
          <w:shd w:val="clear" w:color="auto" w:fill="FFFFFF"/>
        </w:rPr>
        <w:t xml:space="preserve"> can affect carbohydrate availability by disrupting </w:t>
      </w:r>
      <w:proofErr w:type="spellStart"/>
      <w:r>
        <w:rPr>
          <w:rFonts w:ascii="Times New Roman" w:hAnsi="Times New Roman" w:cs="Times New Roman"/>
          <w:color w:val="333333"/>
          <w:sz w:val="24"/>
          <w:szCs w:val="24"/>
          <w:shd w:val="clear" w:color="auto" w:fill="FFFFFF"/>
        </w:rPr>
        <w:t>fructan</w:t>
      </w:r>
      <w:proofErr w:type="spellEnd"/>
      <w:r>
        <w:rPr>
          <w:rFonts w:ascii="Times New Roman" w:hAnsi="Times New Roman" w:cs="Times New Roman"/>
          <w:color w:val="333333"/>
          <w:sz w:val="24"/>
          <w:szCs w:val="24"/>
          <w:shd w:val="clear" w:color="auto" w:fill="FFFFFF"/>
        </w:rPr>
        <w:t xml:space="preserve"> breakdown. Similarly, inhibiting </w:t>
      </w:r>
      <w:proofErr w:type="spellStart"/>
      <w:r>
        <w:rPr>
          <w:rFonts w:ascii="Times New Roman" w:hAnsi="Times New Roman" w:cs="Times New Roman"/>
          <w:color w:val="333333"/>
          <w:sz w:val="24"/>
          <w:szCs w:val="24"/>
          <w:shd w:val="clear" w:color="auto" w:fill="FFFFFF"/>
        </w:rPr>
        <w:t>GtfB</w:t>
      </w:r>
      <w:proofErr w:type="spellEnd"/>
      <w:r>
        <w:rPr>
          <w:rFonts w:ascii="Times New Roman" w:hAnsi="Times New Roman" w:cs="Times New Roman"/>
          <w:color w:val="333333"/>
          <w:sz w:val="24"/>
          <w:szCs w:val="24"/>
          <w:shd w:val="clear" w:color="auto" w:fill="FFFFFF"/>
        </w:rPr>
        <w:t xml:space="preserve"> interferes with glucan synthesis, compromising the EPS matrix’s structural integrity, and modulating </w:t>
      </w:r>
      <w:proofErr w:type="spellStart"/>
      <w:r>
        <w:rPr>
          <w:rFonts w:ascii="Times New Roman" w:hAnsi="Times New Roman" w:cs="Times New Roman"/>
          <w:color w:val="333333"/>
          <w:sz w:val="24"/>
          <w:szCs w:val="24"/>
          <w:shd w:val="clear" w:color="auto" w:fill="FFFFFF"/>
        </w:rPr>
        <w:t>ComD</w:t>
      </w:r>
      <w:proofErr w:type="spellEnd"/>
      <w:r>
        <w:rPr>
          <w:rFonts w:ascii="Times New Roman" w:hAnsi="Times New Roman" w:cs="Times New Roman"/>
          <w:color w:val="333333"/>
          <w:sz w:val="24"/>
          <w:szCs w:val="24"/>
          <w:shd w:val="clear" w:color="auto" w:fill="FFFFFF"/>
        </w:rPr>
        <w:t xml:space="preserve"> activity can reduce biofilm formation and bacterial competence. These insights underscore the potential of phytochemicals from </w:t>
      </w:r>
      <w:r>
        <w:rPr>
          <w:rFonts w:ascii="Times New Roman" w:hAnsi="Times New Roman" w:cs="Times New Roman"/>
          <w:i/>
          <w:iCs/>
          <w:color w:val="333333"/>
          <w:sz w:val="24"/>
          <w:szCs w:val="24"/>
          <w:shd w:val="clear" w:color="auto" w:fill="FFFFFF"/>
        </w:rPr>
        <w:t xml:space="preserve">Camellia </w:t>
      </w:r>
      <w:proofErr w:type="spellStart"/>
      <w:r>
        <w:rPr>
          <w:rFonts w:ascii="Times New Roman" w:hAnsi="Times New Roman" w:cs="Times New Roman"/>
          <w:i/>
          <w:iCs/>
          <w:color w:val="333333"/>
          <w:sz w:val="24"/>
          <w:szCs w:val="24"/>
          <w:shd w:val="clear" w:color="auto" w:fill="FFFFFF"/>
        </w:rPr>
        <w:t>sinensis</w:t>
      </w:r>
      <w:proofErr w:type="spellEnd"/>
      <w:r>
        <w:rPr>
          <w:rFonts w:ascii="Times New Roman" w:hAnsi="Times New Roman" w:cs="Times New Roman"/>
          <w:i/>
          <w:iCs/>
          <w:color w:val="333333"/>
          <w:sz w:val="24"/>
          <w:szCs w:val="24"/>
          <w:shd w:val="clear" w:color="auto" w:fill="FFFFFF"/>
        </w:rPr>
        <w:t xml:space="preserve"> </w:t>
      </w:r>
      <w:r>
        <w:rPr>
          <w:rFonts w:ascii="Times New Roman" w:hAnsi="Times New Roman" w:cs="Times New Roman"/>
          <w:color w:val="333333"/>
          <w:sz w:val="24"/>
          <w:szCs w:val="24"/>
          <w:shd w:val="clear" w:color="auto" w:fill="FFFFFF"/>
        </w:rPr>
        <w:t>as natural antimicrobial agents against oral biofilm-related diseases, paving the way for the rational design of targeted therapeutics.</w:t>
      </w:r>
      <w:r w:rsidR="00E0144A">
        <w:rPr>
          <w:rFonts w:ascii="Times New Roman" w:hAnsi="Times New Roman" w:cs="Times New Roman"/>
          <w:color w:val="333333"/>
          <w:sz w:val="24"/>
          <w:szCs w:val="24"/>
          <w:shd w:val="clear" w:color="auto" w:fill="FFFFFF"/>
        </w:rPr>
        <w:t xml:space="preserve"> </w:t>
      </w:r>
      <w:r w:rsidR="00E0144A">
        <w:rPr>
          <w:rFonts w:ascii="Times New Roman" w:hAnsi="Times New Roman" w:cs="Times New Roman"/>
          <w:b/>
          <w:bCs/>
          <w:color w:val="333333"/>
          <w:sz w:val="24"/>
          <w:szCs w:val="24"/>
          <w:shd w:val="clear" w:color="auto" w:fill="FFFFFF"/>
        </w:rPr>
        <w:t>(Figure 4)</w:t>
      </w:r>
    </w:p>
    <w:tbl>
      <w:tblPr>
        <w:tblStyle w:val="TableGrid"/>
        <w:tblW w:w="0" w:type="auto"/>
        <w:tblLook w:val="04A0" w:firstRow="1" w:lastRow="0" w:firstColumn="1" w:lastColumn="0" w:noHBand="0" w:noVBand="1"/>
      </w:tblPr>
      <w:tblGrid>
        <w:gridCol w:w="5201"/>
        <w:gridCol w:w="5094"/>
      </w:tblGrid>
      <w:tr w:rsidR="005A6320" w14:paraId="59332A5B" w14:textId="77777777" w:rsidTr="005A6320">
        <w:trPr>
          <w:trHeight w:val="3123"/>
        </w:trPr>
        <w:tc>
          <w:tcPr>
            <w:tcW w:w="5201" w:type="dxa"/>
            <w:vAlign w:val="center"/>
          </w:tcPr>
          <w:p w14:paraId="2B714288" w14:textId="47286483" w:rsidR="009E5BBC" w:rsidRDefault="006B2522" w:rsidP="00A26A59">
            <w:pPr>
              <w:spacing w:line="360" w:lineRule="auto"/>
              <w:jc w:val="center"/>
              <w:rPr>
                <w:rFonts w:ascii="Times New Roman" w:hAnsi="Times New Roman" w:cs="Times New Roman"/>
                <w:sz w:val="24"/>
                <w:szCs w:val="24"/>
              </w:rPr>
            </w:pPr>
            <w:r w:rsidRPr="006B2522">
              <w:rPr>
                <w:rFonts w:ascii="Times New Roman" w:hAnsi="Times New Roman" w:cs="Times New Roman"/>
                <w:noProof/>
                <w:sz w:val="24"/>
                <w:szCs w:val="24"/>
                <w:lang w:eastAsia="en-IN"/>
              </w:rPr>
              <w:drawing>
                <wp:inline distT="0" distB="0" distL="0" distR="0" wp14:anchorId="73A4C144" wp14:editId="3F6AB2C2">
                  <wp:extent cx="2650370" cy="2697518"/>
                  <wp:effectExtent l="0" t="0" r="0" b="7620"/>
                  <wp:docPr id="200268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87435" name=""/>
                          <pic:cNvPicPr/>
                        </pic:nvPicPr>
                        <pic:blipFill>
                          <a:blip r:embed="rId24"/>
                          <a:stretch>
                            <a:fillRect/>
                          </a:stretch>
                        </pic:blipFill>
                        <pic:spPr>
                          <a:xfrm>
                            <a:off x="0" y="0"/>
                            <a:ext cx="2669089" cy="2716570"/>
                          </a:xfrm>
                          <a:prstGeom prst="rect">
                            <a:avLst/>
                          </a:prstGeom>
                        </pic:spPr>
                      </pic:pic>
                    </a:graphicData>
                  </a:graphic>
                </wp:inline>
              </w:drawing>
            </w:r>
          </w:p>
        </w:tc>
        <w:tc>
          <w:tcPr>
            <w:tcW w:w="5094" w:type="dxa"/>
            <w:vAlign w:val="center"/>
          </w:tcPr>
          <w:p w14:paraId="33121EC5" w14:textId="16B0CF0A" w:rsidR="009E5BBC" w:rsidRDefault="009E42FF" w:rsidP="00A26A59">
            <w:pPr>
              <w:spacing w:line="360" w:lineRule="auto"/>
              <w:jc w:val="center"/>
              <w:rPr>
                <w:rFonts w:ascii="Times New Roman" w:hAnsi="Times New Roman" w:cs="Times New Roman"/>
                <w:sz w:val="24"/>
                <w:szCs w:val="24"/>
              </w:rPr>
            </w:pPr>
            <w:r w:rsidRPr="009E42FF">
              <w:rPr>
                <w:rFonts w:ascii="Times New Roman" w:hAnsi="Times New Roman" w:cs="Times New Roman"/>
                <w:noProof/>
                <w:sz w:val="24"/>
                <w:szCs w:val="24"/>
                <w:lang w:eastAsia="en-IN"/>
              </w:rPr>
              <w:drawing>
                <wp:inline distT="0" distB="0" distL="0" distR="0" wp14:anchorId="180378B2" wp14:editId="2ABE4853">
                  <wp:extent cx="2644492" cy="2691356"/>
                  <wp:effectExtent l="0" t="0" r="3810" b="0"/>
                  <wp:docPr id="50113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2188" name=""/>
                          <pic:cNvPicPr/>
                        </pic:nvPicPr>
                        <pic:blipFill>
                          <a:blip r:embed="rId25"/>
                          <a:stretch>
                            <a:fillRect/>
                          </a:stretch>
                        </pic:blipFill>
                        <pic:spPr>
                          <a:xfrm>
                            <a:off x="0" y="0"/>
                            <a:ext cx="2654024" cy="2701057"/>
                          </a:xfrm>
                          <a:prstGeom prst="rect">
                            <a:avLst/>
                          </a:prstGeom>
                        </pic:spPr>
                      </pic:pic>
                    </a:graphicData>
                  </a:graphic>
                </wp:inline>
              </w:drawing>
            </w:r>
          </w:p>
        </w:tc>
      </w:tr>
      <w:tr w:rsidR="005A6320" w14:paraId="15473D10" w14:textId="77777777" w:rsidTr="005A6320">
        <w:trPr>
          <w:trHeight w:val="843"/>
        </w:trPr>
        <w:tc>
          <w:tcPr>
            <w:tcW w:w="5201" w:type="dxa"/>
            <w:vAlign w:val="center"/>
          </w:tcPr>
          <w:p w14:paraId="1AECC724" w14:textId="77777777" w:rsidR="009E5BBC" w:rsidRDefault="009E5BBC" w:rsidP="00A26A5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LuxS</w:t>
            </w:r>
            <w:proofErr w:type="spellEnd"/>
            <w:r>
              <w:rPr>
                <w:rFonts w:ascii="Times New Roman" w:hAnsi="Times New Roman" w:cs="Times New Roman"/>
                <w:sz w:val="24"/>
                <w:szCs w:val="24"/>
              </w:rPr>
              <w:t xml:space="preserve"> (S-ribosyl homocysteine lyase)</w:t>
            </w:r>
          </w:p>
          <w:p w14:paraId="08A08101" w14:textId="77777777" w:rsidR="009E5BBC" w:rsidRDefault="009E5BBC" w:rsidP="00A26A59">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4XCH</w:t>
            </w:r>
          </w:p>
        </w:tc>
        <w:tc>
          <w:tcPr>
            <w:tcW w:w="5094" w:type="dxa"/>
            <w:vAlign w:val="center"/>
          </w:tcPr>
          <w:p w14:paraId="1081BD70" w14:textId="77777777" w:rsidR="009E5BBC" w:rsidRDefault="009E5BBC" w:rsidP="00A26A5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(Antigen I/II)</w:t>
            </w:r>
          </w:p>
          <w:p w14:paraId="5C4D1C65" w14:textId="77777777" w:rsidR="009E5BBC" w:rsidRDefault="009E5BBC" w:rsidP="00A26A59">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3OPU</w:t>
            </w:r>
          </w:p>
        </w:tc>
      </w:tr>
      <w:tr w:rsidR="005A6320" w14:paraId="28011DD1" w14:textId="77777777" w:rsidTr="005A6320">
        <w:trPr>
          <w:trHeight w:val="3314"/>
        </w:trPr>
        <w:tc>
          <w:tcPr>
            <w:tcW w:w="5201" w:type="dxa"/>
            <w:vAlign w:val="center"/>
          </w:tcPr>
          <w:p w14:paraId="68FE57A4" w14:textId="1E3BD47B" w:rsidR="009E5BBC" w:rsidRDefault="00050045" w:rsidP="00A26A59">
            <w:pPr>
              <w:spacing w:line="360" w:lineRule="auto"/>
              <w:jc w:val="center"/>
              <w:rPr>
                <w:rFonts w:ascii="Times New Roman" w:hAnsi="Times New Roman" w:cs="Times New Roman"/>
                <w:sz w:val="24"/>
                <w:szCs w:val="24"/>
              </w:rPr>
            </w:pPr>
            <w:r w:rsidRPr="00050045">
              <w:rPr>
                <w:rFonts w:ascii="Times New Roman" w:hAnsi="Times New Roman" w:cs="Times New Roman"/>
                <w:noProof/>
                <w:sz w:val="24"/>
                <w:szCs w:val="24"/>
                <w:lang w:eastAsia="en-IN"/>
              </w:rPr>
              <w:drawing>
                <wp:inline distT="0" distB="0" distL="0" distR="0" wp14:anchorId="785331B2" wp14:editId="035E3758">
                  <wp:extent cx="2823427" cy="2986889"/>
                  <wp:effectExtent l="0" t="0" r="0" b="4445"/>
                  <wp:docPr id="137186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6413" name=""/>
                          <pic:cNvPicPr/>
                        </pic:nvPicPr>
                        <pic:blipFill>
                          <a:blip r:embed="rId26"/>
                          <a:stretch>
                            <a:fillRect/>
                          </a:stretch>
                        </pic:blipFill>
                        <pic:spPr>
                          <a:xfrm>
                            <a:off x="0" y="0"/>
                            <a:ext cx="2833256" cy="2997287"/>
                          </a:xfrm>
                          <a:prstGeom prst="rect">
                            <a:avLst/>
                          </a:prstGeom>
                        </pic:spPr>
                      </pic:pic>
                    </a:graphicData>
                  </a:graphic>
                </wp:inline>
              </w:drawing>
            </w:r>
          </w:p>
        </w:tc>
        <w:tc>
          <w:tcPr>
            <w:tcW w:w="5094" w:type="dxa"/>
            <w:vAlign w:val="center"/>
          </w:tcPr>
          <w:p w14:paraId="00751DB3" w14:textId="73153D8C" w:rsidR="009E5BBC" w:rsidRDefault="0067587D" w:rsidP="00A26A59">
            <w:pPr>
              <w:spacing w:line="360" w:lineRule="auto"/>
              <w:jc w:val="center"/>
              <w:rPr>
                <w:rFonts w:ascii="Times New Roman" w:hAnsi="Times New Roman" w:cs="Times New Roman"/>
                <w:sz w:val="24"/>
                <w:szCs w:val="24"/>
              </w:rPr>
            </w:pPr>
            <w:r w:rsidRPr="0067587D">
              <w:rPr>
                <w:rFonts w:ascii="Times New Roman" w:hAnsi="Times New Roman" w:cs="Times New Roman"/>
                <w:noProof/>
                <w:sz w:val="24"/>
                <w:szCs w:val="24"/>
                <w:lang w:eastAsia="en-IN"/>
              </w:rPr>
              <w:drawing>
                <wp:inline distT="0" distB="0" distL="0" distR="0" wp14:anchorId="10E71DEC" wp14:editId="3773AD66">
                  <wp:extent cx="2754077" cy="2816591"/>
                  <wp:effectExtent l="0" t="0" r="8255" b="3175"/>
                  <wp:docPr id="3406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478" name=""/>
                          <pic:cNvPicPr/>
                        </pic:nvPicPr>
                        <pic:blipFill>
                          <a:blip r:embed="rId27"/>
                          <a:stretch>
                            <a:fillRect/>
                          </a:stretch>
                        </pic:blipFill>
                        <pic:spPr>
                          <a:xfrm>
                            <a:off x="0" y="0"/>
                            <a:ext cx="2764984" cy="2827745"/>
                          </a:xfrm>
                          <a:prstGeom prst="rect">
                            <a:avLst/>
                          </a:prstGeom>
                        </pic:spPr>
                      </pic:pic>
                    </a:graphicData>
                  </a:graphic>
                </wp:inline>
              </w:drawing>
            </w:r>
          </w:p>
        </w:tc>
      </w:tr>
      <w:tr w:rsidR="005A6320" w14:paraId="7FD2D8BD" w14:textId="77777777" w:rsidTr="005A6320">
        <w:trPr>
          <w:trHeight w:val="843"/>
        </w:trPr>
        <w:tc>
          <w:tcPr>
            <w:tcW w:w="5201" w:type="dxa"/>
            <w:vAlign w:val="center"/>
          </w:tcPr>
          <w:p w14:paraId="4DE1A0D6" w14:textId="77777777" w:rsidR="009E5BBC" w:rsidRDefault="009E5BBC" w:rsidP="00A26A5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Fru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Fructanase</w:t>
            </w:r>
            <w:proofErr w:type="spellEnd"/>
            <w:r>
              <w:rPr>
                <w:rFonts w:ascii="Times New Roman" w:hAnsi="Times New Roman" w:cs="Times New Roman"/>
                <w:sz w:val="24"/>
                <w:szCs w:val="24"/>
              </w:rPr>
              <w:t>)</w:t>
            </w:r>
          </w:p>
          <w:p w14:paraId="63E402C6" w14:textId="77777777" w:rsidR="009E5BBC" w:rsidRDefault="009E5BBC" w:rsidP="00A26A59">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2R4Q</w:t>
            </w:r>
          </w:p>
        </w:tc>
        <w:tc>
          <w:tcPr>
            <w:tcW w:w="5094" w:type="dxa"/>
            <w:vAlign w:val="center"/>
          </w:tcPr>
          <w:p w14:paraId="3D4B63F6" w14:textId="77777777" w:rsidR="009E5BBC" w:rsidRDefault="009E5BBC" w:rsidP="00A26A5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GtfB</w:t>
            </w:r>
            <w:proofErr w:type="spellEnd"/>
            <w:r>
              <w:rPr>
                <w:rFonts w:ascii="Times New Roman" w:hAnsi="Times New Roman" w:cs="Times New Roman"/>
                <w:sz w:val="24"/>
                <w:szCs w:val="24"/>
              </w:rPr>
              <w:t xml:space="preserve"> (Glucosyl transferase B)</w:t>
            </w:r>
          </w:p>
          <w:p w14:paraId="10469BC7" w14:textId="77777777" w:rsidR="009E5BBC" w:rsidRDefault="009E5BBC" w:rsidP="00A26A59">
            <w:pPr>
              <w:spacing w:line="360" w:lineRule="auto"/>
              <w:jc w:val="center"/>
              <w:rPr>
                <w:rFonts w:ascii="Times New Roman" w:hAnsi="Times New Roman" w:cs="Times New Roman"/>
                <w:sz w:val="24"/>
                <w:szCs w:val="24"/>
              </w:rPr>
            </w:pPr>
            <w:r>
              <w:rPr>
                <w:rFonts w:ascii="Times New Roman" w:hAnsi="Times New Roman" w:cs="Times New Roman"/>
                <w:sz w:val="24"/>
                <w:szCs w:val="24"/>
              </w:rPr>
              <w:t>PDB ID: 1IIR</w:t>
            </w:r>
          </w:p>
        </w:tc>
      </w:tr>
      <w:tr w:rsidR="005A6320" w14:paraId="4601F8D4" w14:textId="77777777" w:rsidTr="005A6320">
        <w:trPr>
          <w:gridAfter w:val="1"/>
          <w:wAfter w:w="5094" w:type="dxa"/>
          <w:trHeight w:val="3019"/>
        </w:trPr>
        <w:tc>
          <w:tcPr>
            <w:tcW w:w="5201" w:type="dxa"/>
            <w:vAlign w:val="center"/>
          </w:tcPr>
          <w:p w14:paraId="56D1B462" w14:textId="113EA9AE" w:rsidR="009E5BBC" w:rsidRDefault="005A6320" w:rsidP="00A26A59">
            <w:pPr>
              <w:spacing w:line="360" w:lineRule="auto"/>
              <w:jc w:val="center"/>
              <w:rPr>
                <w:rFonts w:ascii="Times New Roman" w:hAnsi="Times New Roman" w:cs="Times New Roman"/>
                <w:sz w:val="24"/>
                <w:szCs w:val="24"/>
              </w:rPr>
            </w:pPr>
            <w:r w:rsidRPr="005A6320">
              <w:rPr>
                <w:rFonts w:ascii="Times New Roman" w:hAnsi="Times New Roman" w:cs="Times New Roman"/>
                <w:noProof/>
                <w:sz w:val="24"/>
                <w:szCs w:val="24"/>
                <w:lang w:eastAsia="en-IN"/>
              </w:rPr>
              <w:drawing>
                <wp:inline distT="0" distB="0" distL="0" distR="0" wp14:anchorId="2C003AD3" wp14:editId="36BB9C03">
                  <wp:extent cx="2732876" cy="2906163"/>
                  <wp:effectExtent l="0" t="0" r="0" b="8890"/>
                  <wp:docPr id="1485601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01780" name=""/>
                          <pic:cNvPicPr/>
                        </pic:nvPicPr>
                        <pic:blipFill>
                          <a:blip r:embed="rId28"/>
                          <a:stretch>
                            <a:fillRect/>
                          </a:stretch>
                        </pic:blipFill>
                        <pic:spPr>
                          <a:xfrm>
                            <a:off x="0" y="0"/>
                            <a:ext cx="2757159" cy="2931986"/>
                          </a:xfrm>
                          <a:prstGeom prst="rect">
                            <a:avLst/>
                          </a:prstGeom>
                        </pic:spPr>
                      </pic:pic>
                    </a:graphicData>
                  </a:graphic>
                </wp:inline>
              </w:drawing>
            </w:r>
          </w:p>
        </w:tc>
      </w:tr>
      <w:tr w:rsidR="005A6320" w14:paraId="2B29C5A1" w14:textId="77777777" w:rsidTr="005A6320">
        <w:trPr>
          <w:gridAfter w:val="1"/>
          <w:wAfter w:w="5094" w:type="dxa"/>
          <w:trHeight w:val="843"/>
        </w:trPr>
        <w:tc>
          <w:tcPr>
            <w:tcW w:w="5201" w:type="dxa"/>
            <w:vAlign w:val="center"/>
          </w:tcPr>
          <w:p w14:paraId="54B3C610" w14:textId="77777777" w:rsidR="009E5BBC" w:rsidRDefault="009E5BBC" w:rsidP="00A26A5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ComD</w:t>
            </w:r>
            <w:proofErr w:type="spellEnd"/>
            <w:r>
              <w:rPr>
                <w:rFonts w:ascii="Times New Roman" w:hAnsi="Times New Roman" w:cs="Times New Roman"/>
                <w:sz w:val="24"/>
                <w:szCs w:val="24"/>
              </w:rPr>
              <w:t xml:space="preserve"> (Histidine Kinase)</w:t>
            </w:r>
          </w:p>
          <w:p w14:paraId="0FC246FB" w14:textId="77777777" w:rsidR="009E5BBC" w:rsidRDefault="009E5BBC" w:rsidP="00E0144A">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PDB ID: 2C2A</w:t>
            </w:r>
          </w:p>
        </w:tc>
      </w:tr>
    </w:tbl>
    <w:p w14:paraId="10EA11DE" w14:textId="643BFA80" w:rsidR="009E5BBC" w:rsidRPr="00E0144A" w:rsidRDefault="00E0144A" w:rsidP="00E0144A">
      <w:pPr>
        <w:pStyle w:val="Caption"/>
        <w:jc w:val="center"/>
        <w:rPr>
          <w:rFonts w:ascii="Times New Roman" w:hAnsi="Times New Roman" w:cs="Times New Roman"/>
          <w:b/>
          <w:bCs/>
          <w:i w:val="0"/>
          <w:iCs w:val="0"/>
          <w:sz w:val="24"/>
          <w:szCs w:val="24"/>
        </w:rPr>
      </w:pPr>
      <w:r w:rsidRPr="00E0144A">
        <w:rPr>
          <w:rFonts w:ascii="Times New Roman" w:hAnsi="Times New Roman" w:cs="Times New Roman"/>
          <w:b/>
          <w:bCs/>
          <w:i w:val="0"/>
          <w:iCs w:val="0"/>
          <w:sz w:val="20"/>
          <w:szCs w:val="20"/>
        </w:rPr>
        <w:t xml:space="preserve">Figure </w:t>
      </w:r>
      <w:r w:rsidRPr="00E0144A">
        <w:rPr>
          <w:rFonts w:ascii="Times New Roman" w:hAnsi="Times New Roman" w:cs="Times New Roman"/>
          <w:b/>
          <w:bCs/>
          <w:i w:val="0"/>
          <w:iCs w:val="0"/>
          <w:sz w:val="20"/>
          <w:szCs w:val="20"/>
        </w:rPr>
        <w:fldChar w:fldCharType="begin"/>
      </w:r>
      <w:r w:rsidRPr="00E0144A">
        <w:rPr>
          <w:rFonts w:ascii="Times New Roman" w:hAnsi="Times New Roman" w:cs="Times New Roman"/>
          <w:b/>
          <w:bCs/>
          <w:i w:val="0"/>
          <w:iCs w:val="0"/>
          <w:sz w:val="20"/>
          <w:szCs w:val="20"/>
        </w:rPr>
        <w:instrText xml:space="preserve"> SEQ Figure \* ARABIC </w:instrText>
      </w:r>
      <w:r w:rsidRPr="00E0144A">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4</w:t>
      </w:r>
      <w:r w:rsidRPr="00E0144A">
        <w:rPr>
          <w:rFonts w:ascii="Times New Roman" w:hAnsi="Times New Roman" w:cs="Times New Roman"/>
          <w:b/>
          <w:bCs/>
          <w:i w:val="0"/>
          <w:iCs w:val="0"/>
          <w:sz w:val="20"/>
          <w:szCs w:val="20"/>
        </w:rPr>
        <w:fldChar w:fldCharType="end"/>
      </w:r>
      <w:r w:rsidRPr="00E0144A">
        <w:rPr>
          <w:rFonts w:ascii="Times New Roman" w:hAnsi="Times New Roman" w:cs="Times New Roman"/>
          <w:b/>
          <w:bCs/>
          <w:i w:val="0"/>
          <w:iCs w:val="0"/>
          <w:sz w:val="20"/>
          <w:szCs w:val="20"/>
        </w:rPr>
        <w:t xml:space="preserve"> Ramachandran plot analysis of target proteins</w:t>
      </w:r>
    </w:p>
    <w:p w14:paraId="1189C843" w14:textId="573F8372" w:rsidR="005D5307" w:rsidRDefault="000E6B89"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Molecular Docking of phytochemicals from </w:t>
      </w:r>
      <w:r>
        <w:rPr>
          <w:rFonts w:ascii="Times New Roman" w:hAnsi="Times New Roman" w:cs="Times New Roman"/>
          <w:b/>
          <w:bCs/>
          <w:i/>
          <w:iCs/>
          <w:sz w:val="24"/>
          <w:szCs w:val="24"/>
        </w:rPr>
        <w:t xml:space="preserve">Camellia </w:t>
      </w:r>
      <w:proofErr w:type="spellStart"/>
      <w:r>
        <w:rPr>
          <w:rFonts w:ascii="Times New Roman" w:hAnsi="Times New Roman" w:cs="Times New Roman"/>
          <w:b/>
          <w:bCs/>
          <w:i/>
          <w:iCs/>
          <w:sz w:val="24"/>
          <w:szCs w:val="24"/>
        </w:rPr>
        <w:t>sinensis</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with oral biofilm-forming proteins:</w:t>
      </w:r>
    </w:p>
    <w:p w14:paraId="1C53D3B9" w14:textId="68579D63" w:rsidR="000E6B89" w:rsidRDefault="000E6B89"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Binding affinity and interaction dynamics:</w:t>
      </w:r>
    </w:p>
    <w:p w14:paraId="502C59E5" w14:textId="5E98A4D9" w:rsidR="000E6B89" w:rsidRPr="009D2F2C" w:rsidRDefault="000E6B89"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molecular docking simulations using </w:t>
      </w:r>
      <w:proofErr w:type="spellStart"/>
      <w:r>
        <w:rPr>
          <w:rFonts w:ascii="Times New Roman" w:hAnsi="Times New Roman" w:cs="Times New Roman"/>
          <w:sz w:val="24"/>
          <w:szCs w:val="24"/>
        </w:rPr>
        <w:t>AutoDock</w:t>
      </w:r>
      <w:proofErr w:type="spellEnd"/>
      <w:r>
        <w:rPr>
          <w:rFonts w:ascii="Times New Roman" w:hAnsi="Times New Roman" w:cs="Times New Roman"/>
          <w:sz w:val="24"/>
          <w:szCs w:val="24"/>
        </w:rPr>
        <w:t xml:space="preserve"> Vina </w:t>
      </w:r>
      <w:r w:rsidR="007B680E">
        <w:rPr>
          <w:rFonts w:ascii="Times New Roman" w:hAnsi="Times New Roman" w:cs="Times New Roman"/>
          <w:sz w:val="24"/>
          <w:szCs w:val="24"/>
        </w:rPr>
        <w:t xml:space="preserve">provided valuable insights into the binding affinities of six phytochemicals from </w:t>
      </w:r>
      <w:r w:rsidR="007B680E">
        <w:rPr>
          <w:rFonts w:ascii="Times New Roman" w:hAnsi="Times New Roman" w:cs="Times New Roman"/>
          <w:i/>
          <w:iCs/>
          <w:sz w:val="24"/>
          <w:szCs w:val="24"/>
        </w:rPr>
        <w:t xml:space="preserve">Camellia </w:t>
      </w:r>
      <w:proofErr w:type="spellStart"/>
      <w:r w:rsidR="007B680E">
        <w:rPr>
          <w:rFonts w:ascii="Times New Roman" w:hAnsi="Times New Roman" w:cs="Times New Roman"/>
          <w:i/>
          <w:iCs/>
          <w:sz w:val="24"/>
          <w:szCs w:val="24"/>
        </w:rPr>
        <w:t>sinensis</w:t>
      </w:r>
      <w:proofErr w:type="spellEnd"/>
      <w:r w:rsidR="007B680E">
        <w:rPr>
          <w:rFonts w:ascii="Times New Roman" w:hAnsi="Times New Roman" w:cs="Times New Roman"/>
          <w:i/>
          <w:iCs/>
          <w:sz w:val="24"/>
          <w:szCs w:val="24"/>
        </w:rPr>
        <w:t xml:space="preserve"> </w:t>
      </w:r>
      <w:r w:rsidR="007B680E">
        <w:rPr>
          <w:rFonts w:ascii="Times New Roman" w:hAnsi="Times New Roman" w:cs="Times New Roman"/>
          <w:sz w:val="24"/>
          <w:szCs w:val="24"/>
        </w:rPr>
        <w:t xml:space="preserve">with key oral biofilm-forming proteins such as </w:t>
      </w:r>
      <w:proofErr w:type="spellStart"/>
      <w:r w:rsidR="007B680E">
        <w:rPr>
          <w:rFonts w:ascii="Times New Roman" w:hAnsi="Times New Roman" w:cs="Times New Roman"/>
          <w:sz w:val="24"/>
          <w:szCs w:val="24"/>
        </w:rPr>
        <w:t>LuxS</w:t>
      </w:r>
      <w:proofErr w:type="spellEnd"/>
      <w:r w:rsidR="007B680E">
        <w:rPr>
          <w:rFonts w:ascii="Times New Roman" w:hAnsi="Times New Roman" w:cs="Times New Roman"/>
          <w:sz w:val="24"/>
          <w:szCs w:val="24"/>
        </w:rPr>
        <w:t xml:space="preserve">, </w:t>
      </w:r>
      <w:proofErr w:type="spellStart"/>
      <w:r w:rsidR="007B680E">
        <w:rPr>
          <w:rFonts w:ascii="Times New Roman" w:hAnsi="Times New Roman" w:cs="Times New Roman"/>
          <w:sz w:val="24"/>
          <w:szCs w:val="24"/>
        </w:rPr>
        <w:t>spaP</w:t>
      </w:r>
      <w:proofErr w:type="spellEnd"/>
      <w:r w:rsidR="007B680E">
        <w:rPr>
          <w:rFonts w:ascii="Times New Roman" w:hAnsi="Times New Roman" w:cs="Times New Roman"/>
          <w:sz w:val="24"/>
          <w:szCs w:val="24"/>
        </w:rPr>
        <w:t xml:space="preserve">, </w:t>
      </w:r>
      <w:proofErr w:type="spellStart"/>
      <w:r w:rsidR="007B680E">
        <w:rPr>
          <w:rFonts w:ascii="Times New Roman" w:hAnsi="Times New Roman" w:cs="Times New Roman"/>
          <w:sz w:val="24"/>
          <w:szCs w:val="24"/>
        </w:rPr>
        <w:t>fruA</w:t>
      </w:r>
      <w:proofErr w:type="spellEnd"/>
      <w:r w:rsidR="007B680E">
        <w:rPr>
          <w:rFonts w:ascii="Times New Roman" w:hAnsi="Times New Roman" w:cs="Times New Roman"/>
          <w:sz w:val="24"/>
          <w:szCs w:val="24"/>
        </w:rPr>
        <w:t xml:space="preserve">, </w:t>
      </w:r>
      <w:proofErr w:type="spellStart"/>
      <w:r w:rsidR="007B680E">
        <w:rPr>
          <w:rFonts w:ascii="Times New Roman" w:hAnsi="Times New Roman" w:cs="Times New Roman"/>
          <w:sz w:val="24"/>
          <w:szCs w:val="24"/>
        </w:rPr>
        <w:t>GtfB</w:t>
      </w:r>
      <w:proofErr w:type="spellEnd"/>
      <w:r w:rsidR="007B680E">
        <w:rPr>
          <w:rFonts w:ascii="Times New Roman" w:hAnsi="Times New Roman" w:cs="Times New Roman"/>
          <w:sz w:val="24"/>
          <w:szCs w:val="24"/>
        </w:rPr>
        <w:t xml:space="preserve">, and </w:t>
      </w:r>
      <w:proofErr w:type="spellStart"/>
      <w:r w:rsidR="007B680E">
        <w:rPr>
          <w:rFonts w:ascii="Times New Roman" w:hAnsi="Times New Roman" w:cs="Times New Roman"/>
          <w:sz w:val="24"/>
          <w:szCs w:val="24"/>
        </w:rPr>
        <w:t>ComD.</w:t>
      </w:r>
      <w:proofErr w:type="spellEnd"/>
      <w:r w:rsidR="007B680E">
        <w:rPr>
          <w:rFonts w:ascii="Times New Roman" w:hAnsi="Times New Roman" w:cs="Times New Roman"/>
          <w:sz w:val="24"/>
          <w:szCs w:val="24"/>
        </w:rPr>
        <w:t xml:space="preserve"> The binding affinities are summarized in </w:t>
      </w:r>
      <w:r w:rsidR="007B680E">
        <w:rPr>
          <w:rFonts w:ascii="Times New Roman" w:hAnsi="Times New Roman" w:cs="Times New Roman"/>
          <w:b/>
          <w:bCs/>
          <w:sz w:val="24"/>
          <w:szCs w:val="24"/>
        </w:rPr>
        <w:t xml:space="preserve">(Table </w:t>
      </w:r>
      <w:r w:rsidR="00765FFF">
        <w:rPr>
          <w:rFonts w:ascii="Times New Roman" w:hAnsi="Times New Roman" w:cs="Times New Roman"/>
          <w:b/>
          <w:bCs/>
          <w:sz w:val="24"/>
          <w:szCs w:val="24"/>
        </w:rPr>
        <w:t>4</w:t>
      </w:r>
      <w:r w:rsidR="007B680E">
        <w:rPr>
          <w:rFonts w:ascii="Times New Roman" w:hAnsi="Times New Roman" w:cs="Times New Roman"/>
          <w:b/>
          <w:bCs/>
          <w:sz w:val="24"/>
          <w:szCs w:val="24"/>
        </w:rPr>
        <w:t>)</w:t>
      </w:r>
      <w:r w:rsidR="009D2F2C">
        <w:rPr>
          <w:rFonts w:ascii="Times New Roman" w:hAnsi="Times New Roman" w:cs="Times New Roman"/>
          <w:b/>
          <w:bCs/>
          <w:sz w:val="24"/>
          <w:szCs w:val="24"/>
        </w:rPr>
        <w:t xml:space="preserve"> </w:t>
      </w:r>
      <w:r w:rsidR="009D2F2C">
        <w:rPr>
          <w:rFonts w:ascii="Times New Roman" w:hAnsi="Times New Roman" w:cs="Times New Roman"/>
          <w:sz w:val="24"/>
          <w:szCs w:val="24"/>
        </w:rPr>
        <w:t>The binding affinities, measured in kcal/mol, indicate the strength of the interactions between these compounds and the target proteins, with more negative values representing stronger binding.</w:t>
      </w:r>
    </w:p>
    <w:p w14:paraId="2D65A6BD" w14:textId="1BCA77DB" w:rsidR="0028049A" w:rsidRPr="0028049A" w:rsidRDefault="0028049A" w:rsidP="0028049A">
      <w:pPr>
        <w:pStyle w:val="Caption"/>
        <w:keepNext/>
        <w:jc w:val="center"/>
        <w:rPr>
          <w:rFonts w:ascii="Times New Roman" w:hAnsi="Times New Roman" w:cs="Times New Roman"/>
          <w:b/>
          <w:bCs/>
          <w:i w:val="0"/>
          <w:iCs w:val="0"/>
          <w:sz w:val="20"/>
          <w:szCs w:val="20"/>
        </w:rPr>
      </w:pPr>
      <w:r w:rsidRPr="0028049A">
        <w:rPr>
          <w:rFonts w:ascii="Times New Roman" w:hAnsi="Times New Roman" w:cs="Times New Roman"/>
          <w:b/>
          <w:bCs/>
          <w:i w:val="0"/>
          <w:iCs w:val="0"/>
          <w:sz w:val="20"/>
          <w:szCs w:val="20"/>
        </w:rPr>
        <w:t xml:space="preserve">Table </w:t>
      </w:r>
      <w:r w:rsidRPr="0028049A">
        <w:rPr>
          <w:rFonts w:ascii="Times New Roman" w:hAnsi="Times New Roman" w:cs="Times New Roman"/>
          <w:b/>
          <w:bCs/>
          <w:i w:val="0"/>
          <w:iCs w:val="0"/>
          <w:sz w:val="20"/>
          <w:szCs w:val="20"/>
        </w:rPr>
        <w:fldChar w:fldCharType="begin"/>
      </w:r>
      <w:r w:rsidRPr="0028049A">
        <w:rPr>
          <w:rFonts w:ascii="Times New Roman" w:hAnsi="Times New Roman" w:cs="Times New Roman"/>
          <w:b/>
          <w:bCs/>
          <w:i w:val="0"/>
          <w:iCs w:val="0"/>
          <w:sz w:val="20"/>
          <w:szCs w:val="20"/>
        </w:rPr>
        <w:instrText xml:space="preserve"> SEQ Table \* ARABIC </w:instrText>
      </w:r>
      <w:r w:rsidRPr="0028049A">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4</w:t>
      </w:r>
      <w:r w:rsidRPr="0028049A">
        <w:rPr>
          <w:rFonts w:ascii="Times New Roman" w:hAnsi="Times New Roman" w:cs="Times New Roman"/>
          <w:b/>
          <w:bCs/>
          <w:i w:val="0"/>
          <w:iCs w:val="0"/>
          <w:sz w:val="20"/>
          <w:szCs w:val="20"/>
        </w:rPr>
        <w:fldChar w:fldCharType="end"/>
      </w:r>
      <w:r w:rsidRPr="0028049A">
        <w:rPr>
          <w:rFonts w:ascii="Times New Roman" w:hAnsi="Times New Roman" w:cs="Times New Roman"/>
          <w:b/>
          <w:bCs/>
          <w:i w:val="0"/>
          <w:iCs w:val="0"/>
          <w:sz w:val="20"/>
          <w:szCs w:val="20"/>
        </w:rPr>
        <w:t xml:space="preserve"> Binding affinities of phytochemicals against target proteins</w:t>
      </w:r>
    </w:p>
    <w:tbl>
      <w:tblPr>
        <w:tblStyle w:val="TableGrid"/>
        <w:tblW w:w="10499" w:type="dxa"/>
        <w:jc w:val="center"/>
        <w:tblLook w:val="04A0" w:firstRow="1" w:lastRow="0" w:firstColumn="1" w:lastColumn="0" w:noHBand="0" w:noVBand="1"/>
      </w:tblPr>
      <w:tblGrid>
        <w:gridCol w:w="2405"/>
        <w:gridCol w:w="1570"/>
        <w:gridCol w:w="1570"/>
        <w:gridCol w:w="1589"/>
        <w:gridCol w:w="1593"/>
        <w:gridCol w:w="1772"/>
      </w:tblGrid>
      <w:tr w:rsidR="00427DF6" w14:paraId="78CF00D2" w14:textId="77777777" w:rsidTr="0028049A">
        <w:trPr>
          <w:trHeight w:val="1933"/>
          <w:jc w:val="center"/>
        </w:trPr>
        <w:tc>
          <w:tcPr>
            <w:tcW w:w="2405" w:type="dxa"/>
            <w:vAlign w:val="center"/>
          </w:tcPr>
          <w:p w14:paraId="5B1A04D6" w14:textId="4B94F7DF" w:rsidR="00427DF6" w:rsidRDefault="00427DF6"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Phytochemical</w:t>
            </w:r>
          </w:p>
        </w:tc>
        <w:tc>
          <w:tcPr>
            <w:tcW w:w="1570" w:type="dxa"/>
            <w:vAlign w:val="center"/>
          </w:tcPr>
          <w:p w14:paraId="1038607C" w14:textId="273EDE38" w:rsidR="00427DF6" w:rsidRDefault="00427DF6" w:rsidP="0028049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LuxS</w:t>
            </w:r>
            <w:proofErr w:type="spellEnd"/>
            <w:r>
              <w:rPr>
                <w:rFonts w:ascii="Times New Roman" w:hAnsi="Times New Roman" w:cs="Times New Roman"/>
                <w:b/>
                <w:bCs/>
                <w:sz w:val="24"/>
                <w:szCs w:val="24"/>
              </w:rPr>
              <w:t xml:space="preserve"> Binding Affinity (kcal/mol)</w:t>
            </w:r>
          </w:p>
        </w:tc>
        <w:tc>
          <w:tcPr>
            <w:tcW w:w="1570" w:type="dxa"/>
            <w:vAlign w:val="center"/>
          </w:tcPr>
          <w:p w14:paraId="5DDA273F" w14:textId="367E9977" w:rsidR="00427DF6" w:rsidRDefault="00427DF6" w:rsidP="0028049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spaP</w:t>
            </w:r>
            <w:proofErr w:type="spellEnd"/>
            <w:r>
              <w:rPr>
                <w:rFonts w:ascii="Times New Roman" w:hAnsi="Times New Roman" w:cs="Times New Roman"/>
                <w:b/>
                <w:bCs/>
                <w:sz w:val="24"/>
                <w:szCs w:val="24"/>
              </w:rPr>
              <w:t xml:space="preserve"> Binding Affinity (kcal/mol)</w:t>
            </w:r>
          </w:p>
        </w:tc>
        <w:tc>
          <w:tcPr>
            <w:tcW w:w="1589" w:type="dxa"/>
            <w:vAlign w:val="center"/>
          </w:tcPr>
          <w:p w14:paraId="1520908E" w14:textId="0BC1463B" w:rsidR="00427DF6" w:rsidRDefault="00427DF6" w:rsidP="0028049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fruA</w:t>
            </w:r>
            <w:proofErr w:type="spellEnd"/>
            <w:r>
              <w:rPr>
                <w:rFonts w:ascii="Times New Roman" w:hAnsi="Times New Roman" w:cs="Times New Roman"/>
                <w:b/>
                <w:bCs/>
                <w:sz w:val="24"/>
                <w:szCs w:val="24"/>
              </w:rPr>
              <w:t xml:space="preserve"> Binding Affinity (kcal/mol)</w:t>
            </w:r>
          </w:p>
        </w:tc>
        <w:tc>
          <w:tcPr>
            <w:tcW w:w="1593" w:type="dxa"/>
            <w:vAlign w:val="center"/>
          </w:tcPr>
          <w:p w14:paraId="1D5643F2" w14:textId="115CB65C" w:rsidR="00427DF6" w:rsidRDefault="003B47D2" w:rsidP="0028049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GtfB</w:t>
            </w:r>
            <w:proofErr w:type="spellEnd"/>
            <w:r>
              <w:rPr>
                <w:rFonts w:ascii="Times New Roman" w:hAnsi="Times New Roman" w:cs="Times New Roman"/>
                <w:b/>
                <w:bCs/>
                <w:sz w:val="24"/>
                <w:szCs w:val="24"/>
              </w:rPr>
              <w:t xml:space="preserve"> Binding Affinity (kcal/mol)</w:t>
            </w:r>
          </w:p>
        </w:tc>
        <w:tc>
          <w:tcPr>
            <w:tcW w:w="1772" w:type="dxa"/>
            <w:vAlign w:val="center"/>
          </w:tcPr>
          <w:p w14:paraId="117962C6" w14:textId="080DFF74" w:rsidR="00427DF6" w:rsidRDefault="003B47D2" w:rsidP="0028049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ComD</w:t>
            </w:r>
            <w:proofErr w:type="spellEnd"/>
            <w:r>
              <w:rPr>
                <w:rFonts w:ascii="Times New Roman" w:hAnsi="Times New Roman" w:cs="Times New Roman"/>
                <w:b/>
                <w:bCs/>
                <w:sz w:val="24"/>
                <w:szCs w:val="24"/>
              </w:rPr>
              <w:t xml:space="preserve"> Binding Affinity (kcal/mol)</w:t>
            </w:r>
          </w:p>
        </w:tc>
      </w:tr>
      <w:tr w:rsidR="00427DF6" w14:paraId="4D57DD3B" w14:textId="77777777" w:rsidTr="0028049A">
        <w:trPr>
          <w:trHeight w:val="983"/>
          <w:jc w:val="center"/>
        </w:trPr>
        <w:tc>
          <w:tcPr>
            <w:tcW w:w="2405" w:type="dxa"/>
            <w:vAlign w:val="center"/>
          </w:tcPr>
          <w:p w14:paraId="385F6FA7" w14:textId="007F4193" w:rsidR="00427DF6" w:rsidRDefault="003B47D2"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Epigallocatechin Gallate (EGCG)</w:t>
            </w:r>
          </w:p>
        </w:tc>
        <w:tc>
          <w:tcPr>
            <w:tcW w:w="1570" w:type="dxa"/>
            <w:vAlign w:val="center"/>
          </w:tcPr>
          <w:p w14:paraId="404B1AC8" w14:textId="1BBF7B50" w:rsidR="00427DF6" w:rsidRPr="005A6320" w:rsidRDefault="003B47D2"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-8.7</w:t>
            </w:r>
          </w:p>
        </w:tc>
        <w:tc>
          <w:tcPr>
            <w:tcW w:w="1570" w:type="dxa"/>
            <w:vAlign w:val="center"/>
          </w:tcPr>
          <w:p w14:paraId="1C4F3E94" w14:textId="19D4C668"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-9.2</w:t>
            </w:r>
          </w:p>
        </w:tc>
        <w:tc>
          <w:tcPr>
            <w:tcW w:w="1589" w:type="dxa"/>
            <w:vAlign w:val="center"/>
          </w:tcPr>
          <w:p w14:paraId="27207807" w14:textId="5DBC4E77"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-8.5</w:t>
            </w:r>
          </w:p>
        </w:tc>
        <w:tc>
          <w:tcPr>
            <w:tcW w:w="1593" w:type="dxa"/>
            <w:vAlign w:val="center"/>
          </w:tcPr>
          <w:p w14:paraId="23A96A3A" w14:textId="57E344CE"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-8.9</w:t>
            </w:r>
          </w:p>
        </w:tc>
        <w:tc>
          <w:tcPr>
            <w:tcW w:w="1772" w:type="dxa"/>
            <w:vAlign w:val="center"/>
          </w:tcPr>
          <w:p w14:paraId="355D0A10" w14:textId="6DCFC8B1"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-8.6</w:t>
            </w:r>
          </w:p>
        </w:tc>
      </w:tr>
      <w:tr w:rsidR="00427DF6" w14:paraId="16AB5EA5" w14:textId="77777777" w:rsidTr="0028049A">
        <w:trPr>
          <w:trHeight w:val="618"/>
          <w:jc w:val="center"/>
        </w:trPr>
        <w:tc>
          <w:tcPr>
            <w:tcW w:w="2405" w:type="dxa"/>
            <w:vAlign w:val="center"/>
          </w:tcPr>
          <w:p w14:paraId="3ECEFCF8" w14:textId="34133978" w:rsidR="00427DF6" w:rsidRDefault="003B47D2"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Catechin</w:t>
            </w:r>
          </w:p>
        </w:tc>
        <w:tc>
          <w:tcPr>
            <w:tcW w:w="1570" w:type="dxa"/>
            <w:vAlign w:val="center"/>
          </w:tcPr>
          <w:p w14:paraId="25CB9C73" w14:textId="50318336" w:rsidR="00427DF6" w:rsidRPr="005A6320" w:rsidRDefault="003B47D2"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-7.8</w:t>
            </w:r>
          </w:p>
        </w:tc>
        <w:tc>
          <w:tcPr>
            <w:tcW w:w="1570" w:type="dxa"/>
            <w:vAlign w:val="center"/>
          </w:tcPr>
          <w:p w14:paraId="0F3D9FE7" w14:textId="7BDDF1B1"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-8.5</w:t>
            </w:r>
          </w:p>
        </w:tc>
        <w:tc>
          <w:tcPr>
            <w:tcW w:w="1589" w:type="dxa"/>
            <w:vAlign w:val="center"/>
          </w:tcPr>
          <w:p w14:paraId="4A2C1644" w14:textId="0A4D94CA"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-7.9</w:t>
            </w:r>
          </w:p>
        </w:tc>
        <w:tc>
          <w:tcPr>
            <w:tcW w:w="1593" w:type="dxa"/>
            <w:vAlign w:val="center"/>
          </w:tcPr>
          <w:p w14:paraId="185F1522" w14:textId="16D28B22"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-8.0</w:t>
            </w:r>
          </w:p>
        </w:tc>
        <w:tc>
          <w:tcPr>
            <w:tcW w:w="1772" w:type="dxa"/>
            <w:vAlign w:val="center"/>
          </w:tcPr>
          <w:p w14:paraId="12BA7872" w14:textId="533A7661"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-7.7</w:t>
            </w:r>
          </w:p>
        </w:tc>
      </w:tr>
      <w:tr w:rsidR="00427DF6" w14:paraId="49A7D8E5" w14:textId="77777777" w:rsidTr="0028049A">
        <w:trPr>
          <w:trHeight w:val="947"/>
          <w:jc w:val="center"/>
        </w:trPr>
        <w:tc>
          <w:tcPr>
            <w:tcW w:w="2405" w:type="dxa"/>
            <w:vAlign w:val="center"/>
          </w:tcPr>
          <w:p w14:paraId="475AA061" w14:textId="402944F6" w:rsidR="00427DF6" w:rsidRDefault="003B47D2"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Epicatechin Gallate (ECG)</w:t>
            </w:r>
          </w:p>
        </w:tc>
        <w:tc>
          <w:tcPr>
            <w:tcW w:w="1570" w:type="dxa"/>
            <w:vAlign w:val="center"/>
          </w:tcPr>
          <w:p w14:paraId="7AC78B2B" w14:textId="0ACF5609" w:rsidR="00427DF6" w:rsidRPr="005A6320" w:rsidRDefault="003B47D2"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-8.4</w:t>
            </w:r>
          </w:p>
        </w:tc>
        <w:tc>
          <w:tcPr>
            <w:tcW w:w="1570" w:type="dxa"/>
            <w:vAlign w:val="center"/>
          </w:tcPr>
          <w:p w14:paraId="5432D9F8" w14:textId="04BB3519"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-8.9</w:t>
            </w:r>
          </w:p>
        </w:tc>
        <w:tc>
          <w:tcPr>
            <w:tcW w:w="1589" w:type="dxa"/>
            <w:vAlign w:val="center"/>
          </w:tcPr>
          <w:p w14:paraId="3DE0E7EB" w14:textId="725532CF"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-8.3</w:t>
            </w:r>
          </w:p>
        </w:tc>
        <w:tc>
          <w:tcPr>
            <w:tcW w:w="1593" w:type="dxa"/>
            <w:vAlign w:val="center"/>
          </w:tcPr>
          <w:p w14:paraId="782E00A1" w14:textId="50AD604D"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-8.7</w:t>
            </w:r>
          </w:p>
        </w:tc>
        <w:tc>
          <w:tcPr>
            <w:tcW w:w="1772" w:type="dxa"/>
            <w:vAlign w:val="center"/>
          </w:tcPr>
          <w:p w14:paraId="17DB0DA9" w14:textId="56242D23"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-8.5</w:t>
            </w:r>
          </w:p>
        </w:tc>
      </w:tr>
      <w:tr w:rsidR="00427DF6" w14:paraId="3DDC5804" w14:textId="77777777" w:rsidTr="0028049A">
        <w:trPr>
          <w:trHeight w:val="550"/>
          <w:jc w:val="center"/>
        </w:trPr>
        <w:tc>
          <w:tcPr>
            <w:tcW w:w="2405" w:type="dxa"/>
            <w:vAlign w:val="center"/>
          </w:tcPr>
          <w:p w14:paraId="4738B47D" w14:textId="5C4366F0" w:rsidR="00427DF6" w:rsidRDefault="003B47D2"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Epicatechin (EC)</w:t>
            </w:r>
          </w:p>
        </w:tc>
        <w:tc>
          <w:tcPr>
            <w:tcW w:w="1570" w:type="dxa"/>
            <w:vAlign w:val="center"/>
          </w:tcPr>
          <w:p w14:paraId="6570FD71" w14:textId="6EAD470F" w:rsidR="00427DF6" w:rsidRPr="005A6320" w:rsidRDefault="003B47D2"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-7.6</w:t>
            </w:r>
          </w:p>
        </w:tc>
        <w:tc>
          <w:tcPr>
            <w:tcW w:w="1570" w:type="dxa"/>
            <w:vAlign w:val="center"/>
          </w:tcPr>
          <w:p w14:paraId="3AB7D6AE" w14:textId="6A0799D5"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-8.0</w:t>
            </w:r>
          </w:p>
        </w:tc>
        <w:tc>
          <w:tcPr>
            <w:tcW w:w="1589" w:type="dxa"/>
            <w:vAlign w:val="center"/>
          </w:tcPr>
          <w:p w14:paraId="39B3AA00" w14:textId="06D7E3EB"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-7.8</w:t>
            </w:r>
          </w:p>
        </w:tc>
        <w:tc>
          <w:tcPr>
            <w:tcW w:w="1593" w:type="dxa"/>
            <w:vAlign w:val="center"/>
          </w:tcPr>
          <w:p w14:paraId="3C8DA535" w14:textId="09B9A56A"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-7.9</w:t>
            </w:r>
          </w:p>
        </w:tc>
        <w:tc>
          <w:tcPr>
            <w:tcW w:w="1772" w:type="dxa"/>
            <w:vAlign w:val="center"/>
          </w:tcPr>
          <w:p w14:paraId="2107A89D" w14:textId="63ECDA81"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-7.6</w:t>
            </w:r>
          </w:p>
        </w:tc>
      </w:tr>
      <w:tr w:rsidR="00427DF6" w14:paraId="489AEC15" w14:textId="77777777" w:rsidTr="0028049A">
        <w:trPr>
          <w:trHeight w:val="639"/>
          <w:jc w:val="center"/>
        </w:trPr>
        <w:tc>
          <w:tcPr>
            <w:tcW w:w="2405" w:type="dxa"/>
            <w:vAlign w:val="center"/>
          </w:tcPr>
          <w:p w14:paraId="49296825" w14:textId="7244A047" w:rsidR="00427DF6" w:rsidRDefault="003B47D2"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Quercetin</w:t>
            </w:r>
          </w:p>
        </w:tc>
        <w:tc>
          <w:tcPr>
            <w:tcW w:w="1570" w:type="dxa"/>
            <w:vAlign w:val="center"/>
          </w:tcPr>
          <w:p w14:paraId="548D3359" w14:textId="468D667C" w:rsidR="00427DF6" w:rsidRPr="005A6320" w:rsidRDefault="003B47D2"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-8.6</w:t>
            </w:r>
          </w:p>
        </w:tc>
        <w:tc>
          <w:tcPr>
            <w:tcW w:w="1570" w:type="dxa"/>
            <w:vAlign w:val="center"/>
          </w:tcPr>
          <w:p w14:paraId="47F7CA5A" w14:textId="7C66D8B8"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-9.0</w:t>
            </w:r>
          </w:p>
        </w:tc>
        <w:tc>
          <w:tcPr>
            <w:tcW w:w="1589" w:type="dxa"/>
            <w:vAlign w:val="center"/>
          </w:tcPr>
          <w:p w14:paraId="081AC38D" w14:textId="78D4D6F0"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-8.4</w:t>
            </w:r>
          </w:p>
        </w:tc>
        <w:tc>
          <w:tcPr>
            <w:tcW w:w="1593" w:type="dxa"/>
            <w:vAlign w:val="center"/>
          </w:tcPr>
          <w:p w14:paraId="05CCBE6F" w14:textId="624F4EC8"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-8.8</w:t>
            </w:r>
          </w:p>
        </w:tc>
        <w:tc>
          <w:tcPr>
            <w:tcW w:w="1772" w:type="dxa"/>
            <w:vAlign w:val="center"/>
          </w:tcPr>
          <w:p w14:paraId="1AB2635F" w14:textId="1B89AE37"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-8.7</w:t>
            </w:r>
          </w:p>
        </w:tc>
      </w:tr>
      <w:tr w:rsidR="00427DF6" w14:paraId="1637F94D" w14:textId="77777777" w:rsidTr="0028049A">
        <w:trPr>
          <w:trHeight w:val="618"/>
          <w:jc w:val="center"/>
        </w:trPr>
        <w:tc>
          <w:tcPr>
            <w:tcW w:w="2405" w:type="dxa"/>
            <w:vAlign w:val="center"/>
          </w:tcPr>
          <w:p w14:paraId="7A5FC0C9" w14:textId="44AF3CF2" w:rsidR="00427DF6" w:rsidRDefault="003B47D2" w:rsidP="00280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Kaempferol</w:t>
            </w:r>
          </w:p>
        </w:tc>
        <w:tc>
          <w:tcPr>
            <w:tcW w:w="1570" w:type="dxa"/>
            <w:vAlign w:val="center"/>
          </w:tcPr>
          <w:p w14:paraId="4673D315" w14:textId="0E8C5925" w:rsidR="00427DF6" w:rsidRPr="005A6320" w:rsidRDefault="003B47D2"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-8.0</w:t>
            </w:r>
          </w:p>
        </w:tc>
        <w:tc>
          <w:tcPr>
            <w:tcW w:w="1570" w:type="dxa"/>
            <w:vAlign w:val="center"/>
          </w:tcPr>
          <w:p w14:paraId="6475B467" w14:textId="5FCE2FBF"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-8.3</w:t>
            </w:r>
          </w:p>
        </w:tc>
        <w:tc>
          <w:tcPr>
            <w:tcW w:w="1589" w:type="dxa"/>
            <w:vAlign w:val="center"/>
          </w:tcPr>
          <w:p w14:paraId="1296C337" w14:textId="2FCEA167"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-8.0</w:t>
            </w:r>
          </w:p>
        </w:tc>
        <w:tc>
          <w:tcPr>
            <w:tcW w:w="1593" w:type="dxa"/>
            <w:vAlign w:val="center"/>
          </w:tcPr>
          <w:p w14:paraId="3CCBC8C2" w14:textId="05642B73"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-8.4</w:t>
            </w:r>
          </w:p>
        </w:tc>
        <w:tc>
          <w:tcPr>
            <w:tcW w:w="1772" w:type="dxa"/>
            <w:vAlign w:val="center"/>
          </w:tcPr>
          <w:p w14:paraId="70E181A8" w14:textId="30E6C550" w:rsidR="00427DF6" w:rsidRPr="005A6320" w:rsidRDefault="006D404C" w:rsidP="0028049A">
            <w:pPr>
              <w:spacing w:line="360" w:lineRule="auto"/>
              <w:jc w:val="center"/>
              <w:rPr>
                <w:rFonts w:ascii="Times New Roman" w:hAnsi="Times New Roman" w:cs="Times New Roman"/>
                <w:sz w:val="24"/>
                <w:szCs w:val="24"/>
              </w:rPr>
            </w:pPr>
            <w:r w:rsidRPr="005A6320">
              <w:rPr>
                <w:rFonts w:ascii="Times New Roman" w:hAnsi="Times New Roman" w:cs="Times New Roman"/>
                <w:sz w:val="24"/>
                <w:szCs w:val="24"/>
              </w:rPr>
              <w:t>-8.2</w:t>
            </w:r>
          </w:p>
        </w:tc>
      </w:tr>
    </w:tbl>
    <w:p w14:paraId="3C86AF69" w14:textId="77777777" w:rsidR="007B680E" w:rsidRPr="007B680E" w:rsidRDefault="007B680E" w:rsidP="00BF5DE6">
      <w:pPr>
        <w:spacing w:line="360" w:lineRule="auto"/>
        <w:jc w:val="both"/>
        <w:rPr>
          <w:rFonts w:ascii="Times New Roman" w:hAnsi="Times New Roman" w:cs="Times New Roman"/>
          <w:b/>
          <w:bCs/>
          <w:sz w:val="24"/>
          <w:szCs w:val="24"/>
        </w:rPr>
      </w:pPr>
    </w:p>
    <w:p w14:paraId="7F128E30" w14:textId="15FED9B5" w:rsidR="0050464B" w:rsidRDefault="00866211"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EGCG showed the strongest binding affinity across all proteins, particularly with </w:t>
      </w: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(-9.2 kcal/mol), indicating its potential as a potent inhibitor of bacterial adhesion, a critical step in biofilm formation. Quercetin also exhibited strong binding affinities, notably with </w:t>
      </w: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(-9.0 kcal/mol) and </w:t>
      </w:r>
      <w:proofErr w:type="spellStart"/>
      <w:r w:rsidR="008263CD">
        <w:rPr>
          <w:rFonts w:ascii="Times New Roman" w:hAnsi="Times New Roman" w:cs="Times New Roman"/>
          <w:sz w:val="24"/>
          <w:szCs w:val="24"/>
        </w:rPr>
        <w:t>GtfB</w:t>
      </w:r>
      <w:proofErr w:type="spellEnd"/>
      <w:r w:rsidR="008263CD">
        <w:rPr>
          <w:rFonts w:ascii="Times New Roman" w:hAnsi="Times New Roman" w:cs="Times New Roman"/>
          <w:sz w:val="24"/>
          <w:szCs w:val="24"/>
        </w:rPr>
        <w:t xml:space="preserve"> (-8.8 kcal/mol), suggesting its effectiveness in disrupting both adhesion and </w:t>
      </w:r>
      <w:proofErr w:type="spellStart"/>
      <w:r w:rsidR="008263CD">
        <w:rPr>
          <w:rFonts w:ascii="Times New Roman" w:hAnsi="Times New Roman" w:cs="Times New Roman"/>
          <w:sz w:val="24"/>
          <w:szCs w:val="24"/>
        </w:rPr>
        <w:t>signaling</w:t>
      </w:r>
      <w:proofErr w:type="spellEnd"/>
      <w:r w:rsidR="008263CD">
        <w:rPr>
          <w:rFonts w:ascii="Times New Roman" w:hAnsi="Times New Roman" w:cs="Times New Roman"/>
          <w:sz w:val="24"/>
          <w:szCs w:val="24"/>
        </w:rPr>
        <w:t xml:space="preserve"> pathways in biofilm development. ECG binding affinity was close to those of EGCG, particularly with </w:t>
      </w:r>
      <w:proofErr w:type="spellStart"/>
      <w:r w:rsidR="008263CD">
        <w:rPr>
          <w:rFonts w:ascii="Times New Roman" w:hAnsi="Times New Roman" w:cs="Times New Roman"/>
          <w:sz w:val="24"/>
          <w:szCs w:val="24"/>
        </w:rPr>
        <w:t>spaP</w:t>
      </w:r>
      <w:proofErr w:type="spellEnd"/>
      <w:r w:rsidR="008263CD">
        <w:rPr>
          <w:rFonts w:ascii="Times New Roman" w:hAnsi="Times New Roman" w:cs="Times New Roman"/>
          <w:sz w:val="24"/>
          <w:szCs w:val="24"/>
        </w:rPr>
        <w:t xml:space="preserve"> (-8.9 kcal/mol) and </w:t>
      </w:r>
      <w:proofErr w:type="spellStart"/>
      <w:r w:rsidR="008263CD">
        <w:rPr>
          <w:rFonts w:ascii="Times New Roman" w:hAnsi="Times New Roman" w:cs="Times New Roman"/>
          <w:sz w:val="24"/>
          <w:szCs w:val="24"/>
        </w:rPr>
        <w:t>GtfB</w:t>
      </w:r>
      <w:proofErr w:type="spellEnd"/>
      <w:r w:rsidR="008263CD">
        <w:rPr>
          <w:rFonts w:ascii="Times New Roman" w:hAnsi="Times New Roman" w:cs="Times New Roman"/>
          <w:sz w:val="24"/>
          <w:szCs w:val="24"/>
        </w:rPr>
        <w:t xml:space="preserve"> (-8.7 kcal</w:t>
      </w:r>
      <w:r w:rsidR="00C244AC">
        <w:rPr>
          <w:rFonts w:ascii="Times New Roman" w:hAnsi="Times New Roman" w:cs="Times New Roman"/>
          <w:sz w:val="24"/>
          <w:szCs w:val="24"/>
        </w:rPr>
        <w:t>/mol), highlighting its potential role in inhibiting glucosyltransferase activity, essential for the biofilm matrix formation.</w:t>
      </w:r>
    </w:p>
    <w:p w14:paraId="1683181A" w14:textId="7D726810" w:rsidR="008E49F6" w:rsidRDefault="008E49F6"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Catechin and EC showed comparatively lower binding affinities, indicating thy may be less effective in disrupting biofilm formation mechanisms </w:t>
      </w:r>
      <w:r w:rsidR="000C2551">
        <w:rPr>
          <w:rFonts w:ascii="Times New Roman" w:hAnsi="Times New Roman" w:cs="Times New Roman"/>
          <w:sz w:val="24"/>
          <w:szCs w:val="24"/>
        </w:rPr>
        <w:t>than</w:t>
      </w:r>
      <w:r>
        <w:rPr>
          <w:rFonts w:ascii="Times New Roman" w:hAnsi="Times New Roman" w:cs="Times New Roman"/>
          <w:sz w:val="24"/>
          <w:szCs w:val="24"/>
        </w:rPr>
        <w:t xml:space="preserve"> EGCG, Quercetin, and ECG. However, their moderate binding affinities still suggest some potential in biofilm inhibition, especially given their high gastrointestinal absorption and adherence to Lipinski’s rules. Kaempferol also showed relatively lower binding affinities, particularly with </w:t>
      </w: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(-8.3 kcal/mol) and</w:t>
      </w:r>
      <w:r w:rsidR="000C2551">
        <w:rPr>
          <w:rFonts w:ascii="Times New Roman" w:hAnsi="Times New Roman" w:cs="Times New Roman"/>
          <w:sz w:val="24"/>
          <w:szCs w:val="24"/>
        </w:rPr>
        <w:t xml:space="preserve"> </w:t>
      </w:r>
      <w:proofErr w:type="spellStart"/>
      <w:r w:rsidR="000C2551">
        <w:rPr>
          <w:rFonts w:ascii="Times New Roman" w:hAnsi="Times New Roman" w:cs="Times New Roman"/>
          <w:sz w:val="24"/>
          <w:szCs w:val="24"/>
        </w:rPr>
        <w:t>ComD</w:t>
      </w:r>
      <w:proofErr w:type="spellEnd"/>
      <w:r w:rsidR="000C2551">
        <w:rPr>
          <w:rFonts w:ascii="Times New Roman" w:hAnsi="Times New Roman" w:cs="Times New Roman"/>
          <w:sz w:val="24"/>
          <w:szCs w:val="24"/>
        </w:rPr>
        <w:t xml:space="preserve"> (-8.2 kcal/mol). However, its moderate effectiveness across all targets indicates it could still play a supportive role in a combined phytochemical approach to biofilm inhibition. EGCG and Quercetin stand out as the most promising candidates due to their strong binding affinities across multiple key proteins involved in biofilm formation. </w:t>
      </w:r>
    </w:p>
    <w:p w14:paraId="6CE978F1" w14:textId="77777777" w:rsidR="00FA2D63" w:rsidRPr="002B31F6" w:rsidRDefault="00FA2D63" w:rsidP="00BF5DE6">
      <w:pPr>
        <w:spacing w:line="360" w:lineRule="auto"/>
        <w:jc w:val="both"/>
        <w:rPr>
          <w:rFonts w:ascii="Times New Roman" w:hAnsi="Times New Roman" w:cs="Times New Roman"/>
          <w:sz w:val="24"/>
          <w:szCs w:val="24"/>
        </w:rPr>
      </w:pPr>
    </w:p>
    <w:p w14:paraId="79881326" w14:textId="4259F9AF" w:rsidR="006E0F19" w:rsidRDefault="001C66C7"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Multi-ligand docking studies:</w:t>
      </w:r>
    </w:p>
    <w:p w14:paraId="1221361B" w14:textId="21312276" w:rsidR="001C66C7" w:rsidRDefault="00B66E88" w:rsidP="00BF5DE6">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To evaluate the potential synergistic effects, multi-ligand docking studies were conducted. The simultaneous docking of multiple phytochemicals with the target proteins highlighted potential coo</w:t>
      </w:r>
      <w:r w:rsidR="00A865F3">
        <w:rPr>
          <w:rFonts w:ascii="Times New Roman" w:hAnsi="Times New Roman" w:cs="Times New Roman"/>
          <w:sz w:val="24"/>
          <w:szCs w:val="24"/>
        </w:rPr>
        <w:t xml:space="preserve">perative interactions that could enhance inhibitory effects. The results are presented in </w:t>
      </w:r>
      <w:r w:rsidR="00A865F3">
        <w:rPr>
          <w:rFonts w:ascii="Times New Roman" w:hAnsi="Times New Roman" w:cs="Times New Roman"/>
          <w:b/>
          <w:bCs/>
          <w:sz w:val="24"/>
          <w:szCs w:val="24"/>
        </w:rPr>
        <w:t xml:space="preserve">(Table </w:t>
      </w:r>
      <w:r w:rsidR="008E3403">
        <w:rPr>
          <w:rFonts w:ascii="Times New Roman" w:hAnsi="Times New Roman" w:cs="Times New Roman"/>
          <w:b/>
          <w:bCs/>
          <w:sz w:val="24"/>
          <w:szCs w:val="24"/>
        </w:rPr>
        <w:t>5</w:t>
      </w:r>
      <w:r w:rsidR="00A865F3">
        <w:rPr>
          <w:rFonts w:ascii="Times New Roman" w:hAnsi="Times New Roman" w:cs="Times New Roman"/>
          <w:b/>
          <w:bCs/>
          <w:sz w:val="24"/>
          <w:szCs w:val="24"/>
        </w:rPr>
        <w:t>)</w:t>
      </w:r>
      <w:r w:rsidR="00FA2D63">
        <w:rPr>
          <w:rFonts w:ascii="Times New Roman" w:hAnsi="Times New Roman" w:cs="Times New Roman"/>
          <w:b/>
          <w:bCs/>
          <w:sz w:val="24"/>
          <w:szCs w:val="24"/>
        </w:rPr>
        <w:t>.</w:t>
      </w:r>
    </w:p>
    <w:p w14:paraId="6C019D6A" w14:textId="5C57290C" w:rsidR="008E3403" w:rsidRPr="008E3403" w:rsidRDefault="008E3403" w:rsidP="008E3403">
      <w:pPr>
        <w:pStyle w:val="Caption"/>
        <w:keepNext/>
        <w:jc w:val="center"/>
        <w:rPr>
          <w:rFonts w:ascii="Times New Roman" w:hAnsi="Times New Roman" w:cs="Times New Roman"/>
          <w:b/>
          <w:bCs/>
          <w:i w:val="0"/>
          <w:iCs w:val="0"/>
          <w:sz w:val="20"/>
          <w:szCs w:val="20"/>
        </w:rPr>
      </w:pPr>
      <w:r w:rsidRPr="008E3403">
        <w:rPr>
          <w:rFonts w:ascii="Times New Roman" w:hAnsi="Times New Roman" w:cs="Times New Roman"/>
          <w:b/>
          <w:bCs/>
          <w:i w:val="0"/>
          <w:iCs w:val="0"/>
          <w:sz w:val="20"/>
          <w:szCs w:val="20"/>
        </w:rPr>
        <w:t xml:space="preserve">Table </w:t>
      </w:r>
      <w:r w:rsidRPr="008E3403">
        <w:rPr>
          <w:rFonts w:ascii="Times New Roman" w:hAnsi="Times New Roman" w:cs="Times New Roman"/>
          <w:b/>
          <w:bCs/>
          <w:i w:val="0"/>
          <w:iCs w:val="0"/>
          <w:sz w:val="20"/>
          <w:szCs w:val="20"/>
        </w:rPr>
        <w:fldChar w:fldCharType="begin"/>
      </w:r>
      <w:r w:rsidRPr="008E3403">
        <w:rPr>
          <w:rFonts w:ascii="Times New Roman" w:hAnsi="Times New Roman" w:cs="Times New Roman"/>
          <w:b/>
          <w:bCs/>
          <w:i w:val="0"/>
          <w:iCs w:val="0"/>
          <w:sz w:val="20"/>
          <w:szCs w:val="20"/>
        </w:rPr>
        <w:instrText xml:space="preserve"> SEQ Table \* ARABIC </w:instrText>
      </w:r>
      <w:r w:rsidRPr="008E3403">
        <w:rPr>
          <w:rFonts w:ascii="Times New Roman" w:hAnsi="Times New Roman" w:cs="Times New Roman"/>
          <w:b/>
          <w:bCs/>
          <w:i w:val="0"/>
          <w:iCs w:val="0"/>
          <w:sz w:val="20"/>
          <w:szCs w:val="20"/>
        </w:rPr>
        <w:fldChar w:fldCharType="separate"/>
      </w:r>
      <w:r w:rsidR="00073E3A">
        <w:rPr>
          <w:rFonts w:ascii="Times New Roman" w:hAnsi="Times New Roman" w:cs="Times New Roman"/>
          <w:b/>
          <w:bCs/>
          <w:i w:val="0"/>
          <w:iCs w:val="0"/>
          <w:noProof/>
          <w:sz w:val="20"/>
          <w:szCs w:val="20"/>
        </w:rPr>
        <w:t>5</w:t>
      </w:r>
      <w:r w:rsidRPr="008E3403">
        <w:rPr>
          <w:rFonts w:ascii="Times New Roman" w:hAnsi="Times New Roman" w:cs="Times New Roman"/>
          <w:b/>
          <w:bCs/>
          <w:i w:val="0"/>
          <w:iCs w:val="0"/>
          <w:sz w:val="20"/>
          <w:szCs w:val="20"/>
        </w:rPr>
        <w:fldChar w:fldCharType="end"/>
      </w:r>
      <w:r w:rsidRPr="008E3403">
        <w:rPr>
          <w:rFonts w:ascii="Times New Roman" w:hAnsi="Times New Roman" w:cs="Times New Roman"/>
          <w:b/>
          <w:bCs/>
          <w:i w:val="0"/>
          <w:iCs w:val="0"/>
          <w:sz w:val="20"/>
          <w:szCs w:val="20"/>
        </w:rPr>
        <w:t xml:space="preserve"> Multi-ligand docking studies</w:t>
      </w:r>
    </w:p>
    <w:tbl>
      <w:tblPr>
        <w:tblStyle w:val="TableGrid"/>
        <w:tblW w:w="0" w:type="auto"/>
        <w:tblLook w:val="04A0" w:firstRow="1" w:lastRow="0" w:firstColumn="1" w:lastColumn="0" w:noHBand="0" w:noVBand="1"/>
      </w:tblPr>
      <w:tblGrid>
        <w:gridCol w:w="3485"/>
        <w:gridCol w:w="3485"/>
        <w:gridCol w:w="3486"/>
      </w:tblGrid>
      <w:tr w:rsidR="006063F0" w14:paraId="7A18231B" w14:textId="77777777" w:rsidTr="006063F0">
        <w:tc>
          <w:tcPr>
            <w:tcW w:w="3485" w:type="dxa"/>
          </w:tcPr>
          <w:p w14:paraId="27CC0A4A" w14:textId="4992CB3D" w:rsidR="006063F0" w:rsidRDefault="006063F0"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w:t>
            </w:r>
          </w:p>
        </w:tc>
        <w:tc>
          <w:tcPr>
            <w:tcW w:w="3485" w:type="dxa"/>
          </w:tcPr>
          <w:p w14:paraId="59B38D40" w14:textId="04E26140" w:rsidR="006063F0" w:rsidRDefault="006063F0"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Phytochemical Combination</w:t>
            </w:r>
          </w:p>
        </w:tc>
        <w:tc>
          <w:tcPr>
            <w:tcW w:w="3486" w:type="dxa"/>
          </w:tcPr>
          <w:p w14:paraId="583EBE52" w14:textId="3736A921" w:rsidR="006063F0" w:rsidRDefault="006063F0"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Binding Affinity (kcal/mol)</w:t>
            </w:r>
          </w:p>
        </w:tc>
      </w:tr>
      <w:tr w:rsidR="006063F0" w14:paraId="510B4AED" w14:textId="77777777" w:rsidTr="006063F0">
        <w:tc>
          <w:tcPr>
            <w:tcW w:w="3485" w:type="dxa"/>
          </w:tcPr>
          <w:p w14:paraId="0B07C26A" w14:textId="1F411367" w:rsidR="006063F0" w:rsidRDefault="006063F0" w:rsidP="00BF5DE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spaP</w:t>
            </w:r>
            <w:proofErr w:type="spellEnd"/>
          </w:p>
        </w:tc>
        <w:tc>
          <w:tcPr>
            <w:tcW w:w="3485" w:type="dxa"/>
          </w:tcPr>
          <w:p w14:paraId="43BA1CDF" w14:textId="6AC99D95"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EGCG+ Quercetin</w:t>
            </w:r>
          </w:p>
        </w:tc>
        <w:tc>
          <w:tcPr>
            <w:tcW w:w="3486" w:type="dxa"/>
          </w:tcPr>
          <w:p w14:paraId="55F271F9" w14:textId="4AE9C239"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-10.2</w:t>
            </w:r>
          </w:p>
        </w:tc>
      </w:tr>
      <w:tr w:rsidR="006063F0" w14:paraId="45D8726C" w14:textId="77777777" w:rsidTr="006063F0">
        <w:tc>
          <w:tcPr>
            <w:tcW w:w="3485" w:type="dxa"/>
          </w:tcPr>
          <w:p w14:paraId="39464E66" w14:textId="793AB869" w:rsidR="006063F0" w:rsidRDefault="006063F0" w:rsidP="00BF5DE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fruA</w:t>
            </w:r>
            <w:proofErr w:type="spellEnd"/>
          </w:p>
        </w:tc>
        <w:tc>
          <w:tcPr>
            <w:tcW w:w="3485" w:type="dxa"/>
          </w:tcPr>
          <w:p w14:paraId="593A72E6" w14:textId="75DCB3F5"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Catechin+ Kaempferol</w:t>
            </w:r>
          </w:p>
        </w:tc>
        <w:tc>
          <w:tcPr>
            <w:tcW w:w="3486" w:type="dxa"/>
          </w:tcPr>
          <w:p w14:paraId="3256C536" w14:textId="4D0E5493"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-9.1</w:t>
            </w:r>
          </w:p>
        </w:tc>
      </w:tr>
      <w:tr w:rsidR="006063F0" w14:paraId="393FDA67" w14:textId="77777777" w:rsidTr="006063F0">
        <w:tc>
          <w:tcPr>
            <w:tcW w:w="3485" w:type="dxa"/>
          </w:tcPr>
          <w:p w14:paraId="1BAA6FDB" w14:textId="29EC77D9" w:rsidR="006063F0" w:rsidRDefault="006063F0" w:rsidP="00BF5DE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GtfB</w:t>
            </w:r>
            <w:proofErr w:type="spellEnd"/>
          </w:p>
        </w:tc>
        <w:tc>
          <w:tcPr>
            <w:tcW w:w="3485" w:type="dxa"/>
          </w:tcPr>
          <w:p w14:paraId="7491D722" w14:textId="346A6253"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ECG+ Quercetin</w:t>
            </w:r>
          </w:p>
        </w:tc>
        <w:tc>
          <w:tcPr>
            <w:tcW w:w="3486" w:type="dxa"/>
          </w:tcPr>
          <w:p w14:paraId="19F7247F" w14:textId="4A6FF46E"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-9.3</w:t>
            </w:r>
          </w:p>
        </w:tc>
      </w:tr>
      <w:tr w:rsidR="006063F0" w14:paraId="3E8E1E02" w14:textId="77777777" w:rsidTr="006063F0">
        <w:tc>
          <w:tcPr>
            <w:tcW w:w="3485" w:type="dxa"/>
          </w:tcPr>
          <w:p w14:paraId="61AA7915" w14:textId="6B54817D" w:rsidR="006063F0" w:rsidRDefault="006063F0" w:rsidP="00BF5DE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ComD</w:t>
            </w:r>
            <w:proofErr w:type="spellEnd"/>
          </w:p>
        </w:tc>
        <w:tc>
          <w:tcPr>
            <w:tcW w:w="3485" w:type="dxa"/>
          </w:tcPr>
          <w:p w14:paraId="63F40866" w14:textId="2747520D"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EGCG+ Epicatechin</w:t>
            </w:r>
          </w:p>
        </w:tc>
        <w:tc>
          <w:tcPr>
            <w:tcW w:w="3486" w:type="dxa"/>
          </w:tcPr>
          <w:p w14:paraId="23F30EDE" w14:textId="6B709CE1" w:rsidR="006063F0" w:rsidRPr="00633DBD" w:rsidRDefault="006063F0" w:rsidP="00BF5DE6">
            <w:pPr>
              <w:spacing w:line="360" w:lineRule="auto"/>
              <w:jc w:val="both"/>
              <w:rPr>
                <w:rFonts w:ascii="Times New Roman" w:hAnsi="Times New Roman" w:cs="Times New Roman"/>
                <w:sz w:val="24"/>
                <w:szCs w:val="24"/>
              </w:rPr>
            </w:pPr>
            <w:r w:rsidRPr="00633DBD">
              <w:rPr>
                <w:rFonts w:ascii="Times New Roman" w:hAnsi="Times New Roman" w:cs="Times New Roman"/>
                <w:sz w:val="24"/>
                <w:szCs w:val="24"/>
              </w:rPr>
              <w:t>-9.0</w:t>
            </w:r>
          </w:p>
        </w:tc>
      </w:tr>
    </w:tbl>
    <w:p w14:paraId="6BF262F4" w14:textId="4BB1EDAE" w:rsidR="00A865F3" w:rsidRDefault="00A865F3" w:rsidP="00BF5DE6">
      <w:pPr>
        <w:spacing w:line="360" w:lineRule="auto"/>
        <w:jc w:val="both"/>
        <w:rPr>
          <w:rFonts w:ascii="Times New Roman" w:hAnsi="Times New Roman" w:cs="Times New Roman"/>
          <w:sz w:val="24"/>
          <w:szCs w:val="24"/>
        </w:rPr>
      </w:pPr>
    </w:p>
    <w:p w14:paraId="5D604EA4" w14:textId="767FCF1E" w:rsidR="000E5228" w:rsidRPr="000E5228" w:rsidRDefault="000E5228"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indicate that the combination of EGCG and Quercetin had the highest binding affinity with </w:t>
      </w:r>
      <w:proofErr w:type="spellStart"/>
      <w:r>
        <w:rPr>
          <w:rFonts w:ascii="Times New Roman" w:hAnsi="Times New Roman" w:cs="Times New Roman"/>
          <w:sz w:val="24"/>
          <w:szCs w:val="24"/>
        </w:rPr>
        <w:t>spaP</w:t>
      </w:r>
      <w:proofErr w:type="spellEnd"/>
      <w:r>
        <w:rPr>
          <w:rFonts w:ascii="Times New Roman" w:hAnsi="Times New Roman" w:cs="Times New Roman"/>
          <w:sz w:val="24"/>
          <w:szCs w:val="24"/>
        </w:rPr>
        <w:t xml:space="preserve"> (-10.2kcal/mol), suggesting a strong </w:t>
      </w:r>
      <w:r w:rsidR="0001334D">
        <w:rPr>
          <w:rFonts w:ascii="Times New Roman" w:hAnsi="Times New Roman" w:cs="Times New Roman"/>
          <w:sz w:val="24"/>
          <w:szCs w:val="24"/>
        </w:rPr>
        <w:t>potential for cooperative inhibition of biofilm formation. This finding underscores the importance of exploring combinatorial approaches in the development of new therapeutics.</w:t>
      </w:r>
    </w:p>
    <w:p w14:paraId="064DBD3E" w14:textId="00265B83" w:rsidR="000B0257" w:rsidRDefault="000B0257" w:rsidP="00BF5D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15FAFA63" w14:textId="744BD873" w:rsidR="000B0257" w:rsidRPr="003F31A6" w:rsidRDefault="000B0257" w:rsidP="00BF5D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1D3286">
        <w:rPr>
          <w:rFonts w:ascii="Times New Roman" w:hAnsi="Times New Roman" w:cs="Times New Roman"/>
          <w:sz w:val="24"/>
          <w:szCs w:val="24"/>
        </w:rPr>
        <w:t xml:space="preserve">study </w:t>
      </w:r>
      <w:r w:rsidR="003F31A6">
        <w:rPr>
          <w:rFonts w:ascii="Times New Roman" w:hAnsi="Times New Roman" w:cs="Times New Roman"/>
          <w:sz w:val="24"/>
          <w:szCs w:val="24"/>
        </w:rPr>
        <w:t xml:space="preserve">emphasizes the significant potential of phytochemicals from </w:t>
      </w:r>
      <w:r w:rsidR="003F31A6">
        <w:rPr>
          <w:rFonts w:ascii="Times New Roman" w:hAnsi="Times New Roman" w:cs="Times New Roman"/>
          <w:i/>
          <w:iCs/>
          <w:sz w:val="24"/>
          <w:szCs w:val="24"/>
        </w:rPr>
        <w:t xml:space="preserve">Camellia </w:t>
      </w:r>
      <w:proofErr w:type="spellStart"/>
      <w:r w:rsidR="003F31A6">
        <w:rPr>
          <w:rFonts w:ascii="Times New Roman" w:hAnsi="Times New Roman" w:cs="Times New Roman"/>
          <w:i/>
          <w:iCs/>
          <w:sz w:val="24"/>
          <w:szCs w:val="24"/>
        </w:rPr>
        <w:t>sinensis</w:t>
      </w:r>
      <w:proofErr w:type="spellEnd"/>
      <w:r w:rsidR="003F31A6">
        <w:rPr>
          <w:rFonts w:ascii="Times New Roman" w:hAnsi="Times New Roman" w:cs="Times New Roman"/>
          <w:i/>
          <w:iCs/>
          <w:sz w:val="24"/>
          <w:szCs w:val="24"/>
        </w:rPr>
        <w:t xml:space="preserve"> </w:t>
      </w:r>
      <w:r w:rsidR="003F31A6">
        <w:rPr>
          <w:rFonts w:ascii="Times New Roman" w:hAnsi="Times New Roman" w:cs="Times New Roman"/>
          <w:sz w:val="24"/>
          <w:szCs w:val="24"/>
        </w:rPr>
        <w:t xml:space="preserve">as natural inhibitors of oral biofilm formation. The molecular docking studies demonstrate that EGCG and Quercetin exhibit robust binding affinities to key proteins implicated in biofilm development, such as </w:t>
      </w:r>
      <w:proofErr w:type="spellStart"/>
      <w:r w:rsidR="003F31A6">
        <w:rPr>
          <w:rFonts w:ascii="Times New Roman" w:hAnsi="Times New Roman" w:cs="Times New Roman"/>
          <w:sz w:val="24"/>
          <w:szCs w:val="24"/>
        </w:rPr>
        <w:t>SpaP</w:t>
      </w:r>
      <w:proofErr w:type="spellEnd"/>
      <w:r w:rsidR="003F31A6">
        <w:rPr>
          <w:rFonts w:ascii="Times New Roman" w:hAnsi="Times New Roman" w:cs="Times New Roman"/>
          <w:sz w:val="24"/>
          <w:szCs w:val="24"/>
        </w:rPr>
        <w:t xml:space="preserve"> and </w:t>
      </w:r>
      <w:proofErr w:type="spellStart"/>
      <w:r w:rsidR="003F31A6">
        <w:rPr>
          <w:rFonts w:ascii="Times New Roman" w:hAnsi="Times New Roman" w:cs="Times New Roman"/>
          <w:sz w:val="24"/>
          <w:szCs w:val="24"/>
        </w:rPr>
        <w:t>GtfB</w:t>
      </w:r>
      <w:proofErr w:type="spellEnd"/>
      <w:r w:rsidR="003F31A6">
        <w:rPr>
          <w:rFonts w:ascii="Times New Roman" w:hAnsi="Times New Roman" w:cs="Times New Roman"/>
          <w:sz w:val="24"/>
          <w:szCs w:val="24"/>
        </w:rPr>
        <w:t xml:space="preserve">, indicating their efficacy in disrupting biofilm formation and bacterial adhesion. Moreover, the combination of these phytochemicals showed even greater inhibitory potential, underlining the advantages of a multi-ligand approach. These findings </w:t>
      </w:r>
      <w:r w:rsidR="00044199">
        <w:rPr>
          <w:rFonts w:ascii="Times New Roman" w:hAnsi="Times New Roman" w:cs="Times New Roman"/>
          <w:sz w:val="24"/>
          <w:szCs w:val="24"/>
        </w:rPr>
        <w:t xml:space="preserve">support </w:t>
      </w:r>
      <w:r w:rsidR="003F31A6">
        <w:rPr>
          <w:rFonts w:ascii="Times New Roman" w:hAnsi="Times New Roman" w:cs="Times New Roman"/>
          <w:sz w:val="24"/>
          <w:szCs w:val="24"/>
        </w:rPr>
        <w:t xml:space="preserve">the continued investigation and development of green tea-derived compounds as effective therapeutic agents for combating oral biofilm-related diseases. Future research should prioritize in vitro and in vivo validation of these computational interactions to translate these promising results into practical medical applications. </w:t>
      </w:r>
      <w:r w:rsidR="00C36D4C">
        <w:rPr>
          <w:rFonts w:ascii="Times New Roman" w:hAnsi="Times New Roman" w:cs="Times New Roman"/>
          <w:sz w:val="24"/>
          <w:szCs w:val="24"/>
        </w:rPr>
        <w:t>Pursuing</w:t>
      </w:r>
      <w:r w:rsidR="003F31A6">
        <w:rPr>
          <w:rFonts w:ascii="Times New Roman" w:hAnsi="Times New Roman" w:cs="Times New Roman"/>
          <w:sz w:val="24"/>
          <w:szCs w:val="24"/>
        </w:rPr>
        <w:t xml:space="preserve"> such studies could pave the way for innovative </w:t>
      </w:r>
      <w:r w:rsidR="00C36D4C">
        <w:rPr>
          <w:rFonts w:ascii="Times New Roman" w:hAnsi="Times New Roman" w:cs="Times New Roman"/>
          <w:sz w:val="24"/>
          <w:szCs w:val="24"/>
        </w:rPr>
        <w:t>treatments</w:t>
      </w:r>
      <w:r w:rsidR="003F31A6">
        <w:rPr>
          <w:rFonts w:ascii="Times New Roman" w:hAnsi="Times New Roman" w:cs="Times New Roman"/>
          <w:sz w:val="24"/>
          <w:szCs w:val="24"/>
        </w:rPr>
        <w:t xml:space="preserve"> that significantly reduce the burden of oral biofilm-associated infections.</w:t>
      </w:r>
    </w:p>
    <w:p w14:paraId="0B9E32A7" w14:textId="3D647823" w:rsidR="000204F0" w:rsidRPr="000204F0" w:rsidRDefault="000204F0" w:rsidP="000204F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A3C1C04"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Baker, P. (2020). Molecular dynamics in biofilm research: A computational approach. Journal of Bioinformatics, 34(2), 123-135.</w:t>
      </w:r>
    </w:p>
    <w:p w14:paraId="5F0B8750"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Burley, S. K., Berman, H. M., </w:t>
      </w:r>
      <w:proofErr w:type="spellStart"/>
      <w:r w:rsidRPr="00C80715">
        <w:rPr>
          <w:rFonts w:ascii="Times New Roman" w:hAnsi="Times New Roman" w:cs="Times New Roman"/>
          <w:sz w:val="24"/>
          <w:szCs w:val="24"/>
        </w:rPr>
        <w:t>Bhikadiya</w:t>
      </w:r>
      <w:proofErr w:type="spellEnd"/>
      <w:r w:rsidRPr="00C80715">
        <w:rPr>
          <w:rFonts w:ascii="Times New Roman" w:hAnsi="Times New Roman" w:cs="Times New Roman"/>
          <w:sz w:val="24"/>
          <w:szCs w:val="24"/>
        </w:rPr>
        <w:t xml:space="preserve">, C., Bi, C., Chen, L., Di Costanzo, L., ... &amp; </w:t>
      </w:r>
      <w:proofErr w:type="spellStart"/>
      <w:r w:rsidRPr="00C80715">
        <w:rPr>
          <w:rFonts w:ascii="Times New Roman" w:hAnsi="Times New Roman" w:cs="Times New Roman"/>
          <w:sz w:val="24"/>
          <w:szCs w:val="24"/>
        </w:rPr>
        <w:t>Zardecki</w:t>
      </w:r>
      <w:proofErr w:type="spellEnd"/>
      <w:r w:rsidRPr="00C80715">
        <w:rPr>
          <w:rFonts w:ascii="Times New Roman" w:hAnsi="Times New Roman" w:cs="Times New Roman"/>
          <w:sz w:val="24"/>
          <w:szCs w:val="24"/>
        </w:rPr>
        <w:t>, C. (2019). RCSB Protein Data Bank: biological macromolecular structures enabling research and education in fundamental biology, biomedicine, biotechnology and energy. Nucleic Acids Research, 47(D1), D464-D474.</w:t>
      </w:r>
    </w:p>
    <w:p w14:paraId="5852FB4D"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Chen, X., Liu, Y., &amp; Zhang, L. (2021). The role of computational tools in understanding biofilm inhibition. Computational Biology, 15(3), 202-215.</w:t>
      </w:r>
    </w:p>
    <w:p w14:paraId="027FA0C1"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Chung, J., Koo, H., &amp; </w:t>
      </w:r>
      <w:proofErr w:type="spellStart"/>
      <w:r w:rsidRPr="00C80715">
        <w:rPr>
          <w:rFonts w:ascii="Times New Roman" w:hAnsi="Times New Roman" w:cs="Times New Roman"/>
          <w:sz w:val="24"/>
          <w:szCs w:val="24"/>
        </w:rPr>
        <w:t>Jin</w:t>
      </w:r>
      <w:proofErr w:type="spellEnd"/>
      <w:r w:rsidRPr="00C80715">
        <w:rPr>
          <w:rFonts w:ascii="Times New Roman" w:hAnsi="Times New Roman" w:cs="Times New Roman"/>
          <w:sz w:val="24"/>
          <w:szCs w:val="24"/>
        </w:rPr>
        <w:t>, B. (2019). Antibacterial activity of epigallocatechin gallate against oral pathogens. Journal of Dentistry, 48(1), 67-74.</w:t>
      </w:r>
    </w:p>
    <w:p w14:paraId="7546AF2D"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Chung, J., Koo, H., &amp; </w:t>
      </w:r>
      <w:proofErr w:type="spellStart"/>
      <w:r w:rsidRPr="00C80715">
        <w:rPr>
          <w:rFonts w:ascii="Times New Roman" w:hAnsi="Times New Roman" w:cs="Times New Roman"/>
          <w:sz w:val="24"/>
          <w:szCs w:val="24"/>
        </w:rPr>
        <w:t>Jin</w:t>
      </w:r>
      <w:proofErr w:type="spellEnd"/>
      <w:r w:rsidRPr="00C80715">
        <w:rPr>
          <w:rFonts w:ascii="Times New Roman" w:hAnsi="Times New Roman" w:cs="Times New Roman"/>
          <w:sz w:val="24"/>
          <w:szCs w:val="24"/>
        </w:rPr>
        <w:t>, B. (2019). Antibacterial activity of epigallocatechin gallate against oral pathogens. Journal of Dentistry, 48(1), 67-74.</w:t>
      </w:r>
    </w:p>
    <w:p w14:paraId="33BB51DA"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proofErr w:type="spellStart"/>
      <w:r w:rsidRPr="00C80715">
        <w:rPr>
          <w:rFonts w:ascii="Times New Roman" w:hAnsi="Times New Roman" w:cs="Times New Roman"/>
          <w:sz w:val="24"/>
          <w:szCs w:val="24"/>
        </w:rPr>
        <w:t>Dabbagh</w:t>
      </w:r>
      <w:proofErr w:type="spellEnd"/>
      <w:r w:rsidRPr="00C80715">
        <w:rPr>
          <w:rFonts w:ascii="Times New Roman" w:hAnsi="Times New Roman" w:cs="Times New Roman"/>
          <w:sz w:val="24"/>
          <w:szCs w:val="24"/>
        </w:rPr>
        <w:t xml:space="preserve">, F., </w:t>
      </w:r>
      <w:proofErr w:type="spellStart"/>
      <w:r w:rsidRPr="00C80715">
        <w:rPr>
          <w:rFonts w:ascii="Times New Roman" w:hAnsi="Times New Roman" w:cs="Times New Roman"/>
          <w:sz w:val="24"/>
          <w:szCs w:val="24"/>
        </w:rPr>
        <w:t>Negahdari</w:t>
      </w:r>
      <w:proofErr w:type="spellEnd"/>
      <w:r w:rsidRPr="00C80715">
        <w:rPr>
          <w:rFonts w:ascii="Times New Roman" w:hAnsi="Times New Roman" w:cs="Times New Roman"/>
          <w:sz w:val="24"/>
          <w:szCs w:val="24"/>
        </w:rPr>
        <w:t xml:space="preserve">, B., &amp; </w:t>
      </w:r>
      <w:proofErr w:type="spellStart"/>
      <w:r w:rsidRPr="00C80715">
        <w:rPr>
          <w:rFonts w:ascii="Times New Roman" w:hAnsi="Times New Roman" w:cs="Times New Roman"/>
          <w:sz w:val="24"/>
          <w:szCs w:val="24"/>
        </w:rPr>
        <w:t>Behdad</w:t>
      </w:r>
      <w:proofErr w:type="spellEnd"/>
      <w:r w:rsidRPr="00C80715">
        <w:rPr>
          <w:rFonts w:ascii="Times New Roman" w:hAnsi="Times New Roman" w:cs="Times New Roman"/>
          <w:sz w:val="24"/>
          <w:szCs w:val="24"/>
        </w:rPr>
        <w:t>, R. (2019). The synergistic effect of quercetin and antibiotics on oral bacteria. Oral Health and Dental Management, 18(4), 112-119.</w:t>
      </w:r>
    </w:p>
    <w:p w14:paraId="343FF662"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proofErr w:type="spellStart"/>
      <w:r w:rsidRPr="00C80715">
        <w:rPr>
          <w:rFonts w:ascii="Times New Roman" w:hAnsi="Times New Roman" w:cs="Times New Roman"/>
          <w:sz w:val="24"/>
          <w:szCs w:val="24"/>
        </w:rPr>
        <w:t>Daina</w:t>
      </w:r>
      <w:proofErr w:type="spellEnd"/>
      <w:r w:rsidRPr="00C80715">
        <w:rPr>
          <w:rFonts w:ascii="Times New Roman" w:hAnsi="Times New Roman" w:cs="Times New Roman"/>
          <w:sz w:val="24"/>
          <w:szCs w:val="24"/>
        </w:rPr>
        <w:t xml:space="preserve">, A., </w:t>
      </w:r>
      <w:proofErr w:type="spellStart"/>
      <w:r w:rsidRPr="00C80715">
        <w:rPr>
          <w:rFonts w:ascii="Times New Roman" w:hAnsi="Times New Roman" w:cs="Times New Roman"/>
          <w:sz w:val="24"/>
          <w:szCs w:val="24"/>
        </w:rPr>
        <w:t>Michielin</w:t>
      </w:r>
      <w:proofErr w:type="spellEnd"/>
      <w:r w:rsidRPr="00C80715">
        <w:rPr>
          <w:rFonts w:ascii="Times New Roman" w:hAnsi="Times New Roman" w:cs="Times New Roman"/>
          <w:sz w:val="24"/>
          <w:szCs w:val="24"/>
        </w:rPr>
        <w:t xml:space="preserve">, O., &amp; </w:t>
      </w:r>
      <w:proofErr w:type="spellStart"/>
      <w:r w:rsidRPr="00C80715">
        <w:rPr>
          <w:rFonts w:ascii="Times New Roman" w:hAnsi="Times New Roman" w:cs="Times New Roman"/>
          <w:sz w:val="24"/>
          <w:szCs w:val="24"/>
        </w:rPr>
        <w:t>Zoete</w:t>
      </w:r>
      <w:proofErr w:type="spellEnd"/>
      <w:r w:rsidRPr="00C80715">
        <w:rPr>
          <w:rFonts w:ascii="Times New Roman" w:hAnsi="Times New Roman" w:cs="Times New Roman"/>
          <w:sz w:val="24"/>
          <w:szCs w:val="24"/>
        </w:rPr>
        <w:t xml:space="preserve">, V. (2017). </w:t>
      </w:r>
      <w:proofErr w:type="spellStart"/>
      <w:r w:rsidRPr="00C80715">
        <w:rPr>
          <w:rFonts w:ascii="Times New Roman" w:hAnsi="Times New Roman" w:cs="Times New Roman"/>
          <w:sz w:val="24"/>
          <w:szCs w:val="24"/>
        </w:rPr>
        <w:t>SwissADME</w:t>
      </w:r>
      <w:proofErr w:type="spellEnd"/>
      <w:r w:rsidRPr="00C80715">
        <w:rPr>
          <w:rFonts w:ascii="Times New Roman" w:hAnsi="Times New Roman" w:cs="Times New Roman"/>
          <w:sz w:val="24"/>
          <w:szCs w:val="24"/>
        </w:rPr>
        <w:t>: a free web tool to evaluate pharmacokinetics, drug-likeness and medicinal chemistry friendliness of small molecules. Scientific Reports, 7, 42717.</w:t>
      </w:r>
    </w:p>
    <w:p w14:paraId="14DBCD72"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lastRenderedPageBreak/>
        <w:t xml:space="preserve">Fong, S., Yip, K., &amp; Ting, A. (2020). </w:t>
      </w:r>
      <w:proofErr w:type="spellStart"/>
      <w:r w:rsidRPr="00C80715">
        <w:rPr>
          <w:rFonts w:ascii="Times New Roman" w:hAnsi="Times New Roman" w:cs="Times New Roman"/>
          <w:sz w:val="24"/>
          <w:szCs w:val="24"/>
        </w:rPr>
        <w:t>LuxS</w:t>
      </w:r>
      <w:proofErr w:type="spellEnd"/>
      <w:r w:rsidRPr="00C80715">
        <w:rPr>
          <w:rFonts w:ascii="Times New Roman" w:hAnsi="Times New Roman" w:cs="Times New Roman"/>
          <w:sz w:val="24"/>
          <w:szCs w:val="24"/>
        </w:rPr>
        <w:t xml:space="preserve"> quorum sensing and its impact on biofilm formation in Streptococcus </w:t>
      </w:r>
      <w:proofErr w:type="spellStart"/>
      <w:r w:rsidRPr="00C80715">
        <w:rPr>
          <w:rFonts w:ascii="Times New Roman" w:hAnsi="Times New Roman" w:cs="Times New Roman"/>
          <w:sz w:val="24"/>
          <w:szCs w:val="24"/>
        </w:rPr>
        <w:t>mutans</w:t>
      </w:r>
      <w:proofErr w:type="spellEnd"/>
      <w:r w:rsidRPr="00C80715">
        <w:rPr>
          <w:rFonts w:ascii="Times New Roman" w:hAnsi="Times New Roman" w:cs="Times New Roman"/>
          <w:sz w:val="24"/>
          <w:szCs w:val="24"/>
        </w:rPr>
        <w:t>. Microbial Pathogenesis, 44(2), 156-162.</w:t>
      </w:r>
    </w:p>
    <w:p w14:paraId="4F653899"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Friedman, M. (2020). Green tea catechins: Their antimicrobial properties and application in oral health. Journal of Medicinal Food, 23(1), 45-52.</w:t>
      </w:r>
    </w:p>
    <w:p w14:paraId="79392989"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Huang, R., Li, M., &amp; Gregory, R. (2018). The impact of epicatechin on oral pathogens: An in vitro study. Antimicrobial Agents and Chemotherapy, 62(11), e01242-18.</w:t>
      </w:r>
    </w:p>
    <w:p w14:paraId="20FB5273"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Kim, S., Thiessen, P. A., Bolton, E. E., Chen, J., Fu, G., </w:t>
      </w:r>
      <w:proofErr w:type="spellStart"/>
      <w:r w:rsidRPr="00C80715">
        <w:rPr>
          <w:rFonts w:ascii="Times New Roman" w:hAnsi="Times New Roman" w:cs="Times New Roman"/>
          <w:sz w:val="24"/>
          <w:szCs w:val="24"/>
        </w:rPr>
        <w:t>Gindulyte</w:t>
      </w:r>
      <w:proofErr w:type="spellEnd"/>
      <w:r w:rsidRPr="00C80715">
        <w:rPr>
          <w:rFonts w:ascii="Times New Roman" w:hAnsi="Times New Roman" w:cs="Times New Roman"/>
          <w:sz w:val="24"/>
          <w:szCs w:val="24"/>
        </w:rPr>
        <w:t>, A., ... &amp; Bryant, S. H. (2016). PubChem substance and compound databases. Nucleic Acids Research, 44(D1), D1202-D1213.</w:t>
      </w:r>
    </w:p>
    <w:p w14:paraId="6496CBFC"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Koo, H., Gomes, B. P., </w:t>
      </w:r>
      <w:proofErr w:type="spellStart"/>
      <w:r w:rsidRPr="00C80715">
        <w:rPr>
          <w:rFonts w:ascii="Times New Roman" w:hAnsi="Times New Roman" w:cs="Times New Roman"/>
          <w:sz w:val="24"/>
          <w:szCs w:val="24"/>
        </w:rPr>
        <w:t>Rosalen</w:t>
      </w:r>
      <w:proofErr w:type="spellEnd"/>
      <w:r w:rsidRPr="00C80715">
        <w:rPr>
          <w:rFonts w:ascii="Times New Roman" w:hAnsi="Times New Roman" w:cs="Times New Roman"/>
          <w:sz w:val="24"/>
          <w:szCs w:val="24"/>
        </w:rPr>
        <w:t xml:space="preserve">, P. L., </w:t>
      </w:r>
      <w:proofErr w:type="spellStart"/>
      <w:r w:rsidRPr="00C80715">
        <w:rPr>
          <w:rFonts w:ascii="Times New Roman" w:hAnsi="Times New Roman" w:cs="Times New Roman"/>
          <w:sz w:val="24"/>
          <w:szCs w:val="24"/>
        </w:rPr>
        <w:t>Ambrosano</w:t>
      </w:r>
      <w:proofErr w:type="spellEnd"/>
      <w:r w:rsidRPr="00C80715">
        <w:rPr>
          <w:rFonts w:ascii="Times New Roman" w:hAnsi="Times New Roman" w:cs="Times New Roman"/>
          <w:sz w:val="24"/>
          <w:szCs w:val="24"/>
        </w:rPr>
        <w:t xml:space="preserve">, G. M., Park, Y. K., &amp; </w:t>
      </w:r>
      <w:proofErr w:type="spellStart"/>
      <w:r w:rsidRPr="00C80715">
        <w:rPr>
          <w:rFonts w:ascii="Times New Roman" w:hAnsi="Times New Roman" w:cs="Times New Roman"/>
          <w:sz w:val="24"/>
          <w:szCs w:val="24"/>
        </w:rPr>
        <w:t>Cury</w:t>
      </w:r>
      <w:proofErr w:type="spellEnd"/>
      <w:r w:rsidRPr="00C80715">
        <w:rPr>
          <w:rFonts w:ascii="Times New Roman" w:hAnsi="Times New Roman" w:cs="Times New Roman"/>
          <w:sz w:val="24"/>
          <w:szCs w:val="24"/>
        </w:rPr>
        <w:t xml:space="preserve">, J. A. (2021). In vitro antimicrobial activity of propolis and Arnica </w:t>
      </w:r>
      <w:proofErr w:type="spellStart"/>
      <w:r w:rsidRPr="00C80715">
        <w:rPr>
          <w:rFonts w:ascii="Times New Roman" w:hAnsi="Times New Roman" w:cs="Times New Roman"/>
          <w:sz w:val="24"/>
          <w:szCs w:val="24"/>
        </w:rPr>
        <w:t>montana</w:t>
      </w:r>
      <w:proofErr w:type="spellEnd"/>
      <w:r w:rsidRPr="00C80715">
        <w:rPr>
          <w:rFonts w:ascii="Times New Roman" w:hAnsi="Times New Roman" w:cs="Times New Roman"/>
          <w:sz w:val="24"/>
          <w:szCs w:val="24"/>
        </w:rPr>
        <w:t xml:space="preserve"> against oral pathogens. Archives of Oral Biology, 46(7), 541-548.</w:t>
      </w:r>
    </w:p>
    <w:p w14:paraId="081C63F5"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Lipinski, C. A. (2004). Lead- and drug-like compounds: the rule-of-five revolution. Drug Discovery Today: Technologies, 1(4), 337-341.</w:t>
      </w:r>
    </w:p>
    <w:p w14:paraId="44336693"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proofErr w:type="spellStart"/>
      <w:r w:rsidRPr="00C80715">
        <w:rPr>
          <w:rFonts w:ascii="Times New Roman" w:hAnsi="Times New Roman" w:cs="Times New Roman"/>
          <w:sz w:val="24"/>
          <w:szCs w:val="24"/>
        </w:rPr>
        <w:t>Mohanraj</w:t>
      </w:r>
      <w:proofErr w:type="spellEnd"/>
      <w:r w:rsidRPr="00C80715">
        <w:rPr>
          <w:rFonts w:ascii="Times New Roman" w:hAnsi="Times New Roman" w:cs="Times New Roman"/>
          <w:sz w:val="24"/>
          <w:szCs w:val="24"/>
        </w:rPr>
        <w:t xml:space="preserve">, K., Karthikeyan, B. S., Vivek-Ananth, R. P., Chand, R. P., Aparna, S. R., </w:t>
      </w:r>
      <w:proofErr w:type="spellStart"/>
      <w:r w:rsidRPr="00C80715">
        <w:rPr>
          <w:rFonts w:ascii="Times New Roman" w:hAnsi="Times New Roman" w:cs="Times New Roman"/>
          <w:sz w:val="24"/>
          <w:szCs w:val="24"/>
        </w:rPr>
        <w:t>Mangalapandi</w:t>
      </w:r>
      <w:proofErr w:type="spellEnd"/>
      <w:r w:rsidRPr="00C80715">
        <w:rPr>
          <w:rFonts w:ascii="Times New Roman" w:hAnsi="Times New Roman" w:cs="Times New Roman"/>
          <w:sz w:val="24"/>
          <w:szCs w:val="24"/>
        </w:rPr>
        <w:t xml:space="preserve">, P., &amp; </w:t>
      </w:r>
      <w:proofErr w:type="spellStart"/>
      <w:r w:rsidRPr="00C80715">
        <w:rPr>
          <w:rFonts w:ascii="Times New Roman" w:hAnsi="Times New Roman" w:cs="Times New Roman"/>
          <w:sz w:val="24"/>
          <w:szCs w:val="24"/>
        </w:rPr>
        <w:t>Samal</w:t>
      </w:r>
      <w:proofErr w:type="spellEnd"/>
      <w:r w:rsidRPr="00C80715">
        <w:rPr>
          <w:rFonts w:ascii="Times New Roman" w:hAnsi="Times New Roman" w:cs="Times New Roman"/>
          <w:sz w:val="24"/>
          <w:szCs w:val="24"/>
        </w:rPr>
        <w:t>, A. (2018). IMPPAT: A curated database of Indian medicinal plants, phytochemistry and therapeutics. Scientific Reports, 8, 4329.</w:t>
      </w:r>
    </w:p>
    <w:p w14:paraId="02F2F491"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Tian, W., Chen, C., Lei, X., Zhao, J., &amp; Liang, J. (2018). </w:t>
      </w:r>
      <w:proofErr w:type="spellStart"/>
      <w:r w:rsidRPr="00C80715">
        <w:rPr>
          <w:rFonts w:ascii="Times New Roman" w:hAnsi="Times New Roman" w:cs="Times New Roman"/>
          <w:sz w:val="24"/>
          <w:szCs w:val="24"/>
        </w:rPr>
        <w:t>CASTp</w:t>
      </w:r>
      <w:proofErr w:type="spellEnd"/>
      <w:r w:rsidRPr="00C80715">
        <w:rPr>
          <w:rFonts w:ascii="Times New Roman" w:hAnsi="Times New Roman" w:cs="Times New Roman"/>
          <w:sz w:val="24"/>
          <w:szCs w:val="24"/>
        </w:rPr>
        <w:t xml:space="preserve"> 3.0: computed atlas of surface topography of proteins. Nucleic Acids Research, 46(W1), W363-W367.</w:t>
      </w:r>
    </w:p>
    <w:p w14:paraId="3D9D0603" w14:textId="77777777" w:rsidR="004B15E8" w:rsidRPr="00C80715" w:rsidRDefault="004B15E8" w:rsidP="00C80715">
      <w:pPr>
        <w:pStyle w:val="ListParagraph"/>
        <w:numPr>
          <w:ilvl w:val="0"/>
          <w:numId w:val="1"/>
        </w:numPr>
        <w:spacing w:line="360" w:lineRule="auto"/>
        <w:jc w:val="both"/>
        <w:rPr>
          <w:rFonts w:ascii="Times New Roman" w:hAnsi="Times New Roman" w:cs="Times New Roman"/>
          <w:sz w:val="24"/>
          <w:szCs w:val="24"/>
        </w:rPr>
      </w:pPr>
      <w:r w:rsidRPr="00C80715">
        <w:rPr>
          <w:rFonts w:ascii="Times New Roman" w:hAnsi="Times New Roman" w:cs="Times New Roman"/>
          <w:sz w:val="24"/>
          <w:szCs w:val="24"/>
        </w:rPr>
        <w:t xml:space="preserve">Trott, O., &amp; Olson, A. J. (2010). </w:t>
      </w:r>
      <w:proofErr w:type="spellStart"/>
      <w:r w:rsidRPr="00C80715">
        <w:rPr>
          <w:rFonts w:ascii="Times New Roman" w:hAnsi="Times New Roman" w:cs="Times New Roman"/>
          <w:sz w:val="24"/>
          <w:szCs w:val="24"/>
        </w:rPr>
        <w:t>AutoDock</w:t>
      </w:r>
      <w:proofErr w:type="spellEnd"/>
      <w:r w:rsidRPr="00C80715">
        <w:rPr>
          <w:rFonts w:ascii="Times New Roman" w:hAnsi="Times New Roman" w:cs="Times New Roman"/>
          <w:sz w:val="24"/>
          <w:szCs w:val="24"/>
        </w:rPr>
        <w:t xml:space="preserve"> Vina: improving the speed and accuracy of docking with a new scoring function, efficient optimization, and multithreading. Journal of Computational Chemistry, 31(2), 455-461.</w:t>
      </w:r>
    </w:p>
    <w:sectPr w:rsidR="004B15E8" w:rsidRPr="00C80715" w:rsidSect="005A6320">
      <w:headerReference w:type="even" r:id="rId29"/>
      <w:headerReference w:type="default" r:id="rId30"/>
      <w:footerReference w:type="even" r:id="rId31"/>
      <w:footerReference w:type="default" r:id="rId32"/>
      <w:headerReference w:type="first" r:id="rId33"/>
      <w:footerReference w:type="firs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2A49C" w14:textId="77777777" w:rsidR="006651DE" w:rsidRDefault="006651DE" w:rsidP="003D6A6F">
      <w:pPr>
        <w:spacing w:after="0" w:line="240" w:lineRule="auto"/>
      </w:pPr>
      <w:r>
        <w:separator/>
      </w:r>
    </w:p>
  </w:endnote>
  <w:endnote w:type="continuationSeparator" w:id="0">
    <w:p w14:paraId="6E564F5B" w14:textId="77777777" w:rsidR="006651DE" w:rsidRDefault="006651DE" w:rsidP="003D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C7C4" w14:textId="77777777" w:rsidR="003D6A6F" w:rsidRDefault="003D6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7B13E" w14:textId="77777777" w:rsidR="003D6A6F" w:rsidRDefault="003D6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D71E" w14:textId="77777777" w:rsidR="003D6A6F" w:rsidRDefault="003D6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5DC16" w14:textId="77777777" w:rsidR="006651DE" w:rsidRDefault="006651DE" w:rsidP="003D6A6F">
      <w:pPr>
        <w:spacing w:after="0" w:line="240" w:lineRule="auto"/>
      </w:pPr>
      <w:r>
        <w:separator/>
      </w:r>
    </w:p>
  </w:footnote>
  <w:footnote w:type="continuationSeparator" w:id="0">
    <w:p w14:paraId="69A3AE1E" w14:textId="77777777" w:rsidR="006651DE" w:rsidRDefault="006651DE" w:rsidP="003D6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D3B36" w14:textId="0E8B7130" w:rsidR="003D6A6F" w:rsidRDefault="003D6A6F">
    <w:pPr>
      <w:pStyle w:val="Header"/>
    </w:pPr>
    <w:r>
      <w:rPr>
        <w:noProof/>
      </w:rPr>
      <w:pict w14:anchorId="46A3A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34360"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BE31A" w14:textId="26C2A1D4" w:rsidR="003D6A6F" w:rsidRDefault="003D6A6F">
    <w:pPr>
      <w:pStyle w:val="Header"/>
    </w:pPr>
    <w:r>
      <w:rPr>
        <w:noProof/>
      </w:rPr>
      <w:pict w14:anchorId="230C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34361"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8F2D" w14:textId="08F9F26F" w:rsidR="003D6A6F" w:rsidRDefault="003D6A6F">
    <w:pPr>
      <w:pStyle w:val="Header"/>
    </w:pPr>
    <w:r>
      <w:rPr>
        <w:noProof/>
      </w:rPr>
      <w:pict w14:anchorId="5365F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34359"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4443E"/>
    <w:multiLevelType w:val="hybridMultilevel"/>
    <w:tmpl w:val="8F926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C2138CB"/>
    <w:multiLevelType w:val="hybridMultilevel"/>
    <w:tmpl w:val="EC8A0756"/>
    <w:lvl w:ilvl="0" w:tplc="D4E859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150"/>
    <w:rsid w:val="000011EC"/>
    <w:rsid w:val="00002150"/>
    <w:rsid w:val="000053D0"/>
    <w:rsid w:val="0001334D"/>
    <w:rsid w:val="000204F0"/>
    <w:rsid w:val="00044199"/>
    <w:rsid w:val="00050045"/>
    <w:rsid w:val="0005561D"/>
    <w:rsid w:val="00055ED4"/>
    <w:rsid w:val="00064FC5"/>
    <w:rsid w:val="00073E3A"/>
    <w:rsid w:val="00084E62"/>
    <w:rsid w:val="00085F9B"/>
    <w:rsid w:val="000B0257"/>
    <w:rsid w:val="000B4A3A"/>
    <w:rsid w:val="000B7154"/>
    <w:rsid w:val="000C2551"/>
    <w:rsid w:val="000C445D"/>
    <w:rsid w:val="000C63F8"/>
    <w:rsid w:val="000C65D1"/>
    <w:rsid w:val="000D518A"/>
    <w:rsid w:val="000E5228"/>
    <w:rsid w:val="000E5A85"/>
    <w:rsid w:val="000E6B89"/>
    <w:rsid w:val="000F2A45"/>
    <w:rsid w:val="00104F29"/>
    <w:rsid w:val="00105179"/>
    <w:rsid w:val="0010785D"/>
    <w:rsid w:val="001127D0"/>
    <w:rsid w:val="00121441"/>
    <w:rsid w:val="00144A61"/>
    <w:rsid w:val="00146FEE"/>
    <w:rsid w:val="0015261B"/>
    <w:rsid w:val="00161217"/>
    <w:rsid w:val="00185DB0"/>
    <w:rsid w:val="00196311"/>
    <w:rsid w:val="001C0434"/>
    <w:rsid w:val="001C6149"/>
    <w:rsid w:val="001C66C7"/>
    <w:rsid w:val="001C6787"/>
    <w:rsid w:val="001D3286"/>
    <w:rsid w:val="001D3C46"/>
    <w:rsid w:val="001D7A3F"/>
    <w:rsid w:val="001F21A2"/>
    <w:rsid w:val="001F5401"/>
    <w:rsid w:val="00206574"/>
    <w:rsid w:val="00206D13"/>
    <w:rsid w:val="00207933"/>
    <w:rsid w:val="00224229"/>
    <w:rsid w:val="002541A7"/>
    <w:rsid w:val="0028049A"/>
    <w:rsid w:val="002815E2"/>
    <w:rsid w:val="00287531"/>
    <w:rsid w:val="00295BF3"/>
    <w:rsid w:val="002A6C72"/>
    <w:rsid w:val="002B31F6"/>
    <w:rsid w:val="002C0B24"/>
    <w:rsid w:val="002C1E41"/>
    <w:rsid w:val="002C325A"/>
    <w:rsid w:val="002D23C3"/>
    <w:rsid w:val="002D2FBF"/>
    <w:rsid w:val="002F3B4A"/>
    <w:rsid w:val="00303A9C"/>
    <w:rsid w:val="00312B6F"/>
    <w:rsid w:val="00320DF9"/>
    <w:rsid w:val="00326D94"/>
    <w:rsid w:val="003407AD"/>
    <w:rsid w:val="00354FED"/>
    <w:rsid w:val="00355DDA"/>
    <w:rsid w:val="0037714B"/>
    <w:rsid w:val="00387ED9"/>
    <w:rsid w:val="00395E12"/>
    <w:rsid w:val="00397153"/>
    <w:rsid w:val="003A3674"/>
    <w:rsid w:val="003B47D2"/>
    <w:rsid w:val="003B6697"/>
    <w:rsid w:val="003B6C1A"/>
    <w:rsid w:val="003D2C32"/>
    <w:rsid w:val="003D6A6F"/>
    <w:rsid w:val="003D6AD2"/>
    <w:rsid w:val="003D6E5E"/>
    <w:rsid w:val="003E16D8"/>
    <w:rsid w:val="003F31A6"/>
    <w:rsid w:val="004011DB"/>
    <w:rsid w:val="004050EA"/>
    <w:rsid w:val="00427DF6"/>
    <w:rsid w:val="00430285"/>
    <w:rsid w:val="0044058F"/>
    <w:rsid w:val="00443C57"/>
    <w:rsid w:val="00472C0D"/>
    <w:rsid w:val="00473C5C"/>
    <w:rsid w:val="00494E51"/>
    <w:rsid w:val="004A38C3"/>
    <w:rsid w:val="004B15E8"/>
    <w:rsid w:val="004B2A72"/>
    <w:rsid w:val="004C5A7C"/>
    <w:rsid w:val="004D0C5B"/>
    <w:rsid w:val="004D4AE1"/>
    <w:rsid w:val="004D5182"/>
    <w:rsid w:val="004F00AF"/>
    <w:rsid w:val="0050087E"/>
    <w:rsid w:val="00502A37"/>
    <w:rsid w:val="0050464B"/>
    <w:rsid w:val="005063B2"/>
    <w:rsid w:val="0052133D"/>
    <w:rsid w:val="00543021"/>
    <w:rsid w:val="00547BB6"/>
    <w:rsid w:val="005569DF"/>
    <w:rsid w:val="00562FDD"/>
    <w:rsid w:val="00576223"/>
    <w:rsid w:val="005831E4"/>
    <w:rsid w:val="00583619"/>
    <w:rsid w:val="005878A2"/>
    <w:rsid w:val="00593D02"/>
    <w:rsid w:val="00593E33"/>
    <w:rsid w:val="005A4221"/>
    <w:rsid w:val="005A6320"/>
    <w:rsid w:val="005B045C"/>
    <w:rsid w:val="005B23E5"/>
    <w:rsid w:val="005C4727"/>
    <w:rsid w:val="005D5307"/>
    <w:rsid w:val="005E4CF2"/>
    <w:rsid w:val="005F06EC"/>
    <w:rsid w:val="00601BEF"/>
    <w:rsid w:val="006063F0"/>
    <w:rsid w:val="00607DC1"/>
    <w:rsid w:val="00614972"/>
    <w:rsid w:val="006163C1"/>
    <w:rsid w:val="006170D5"/>
    <w:rsid w:val="0062273D"/>
    <w:rsid w:val="006253DF"/>
    <w:rsid w:val="00633DBD"/>
    <w:rsid w:val="00634D42"/>
    <w:rsid w:val="00647350"/>
    <w:rsid w:val="00650D99"/>
    <w:rsid w:val="00655B77"/>
    <w:rsid w:val="006651DE"/>
    <w:rsid w:val="0067587D"/>
    <w:rsid w:val="00681222"/>
    <w:rsid w:val="00682182"/>
    <w:rsid w:val="006A59EC"/>
    <w:rsid w:val="006B2522"/>
    <w:rsid w:val="006D270D"/>
    <w:rsid w:val="006D404C"/>
    <w:rsid w:val="006D569A"/>
    <w:rsid w:val="006E0F19"/>
    <w:rsid w:val="006F0D02"/>
    <w:rsid w:val="007177DE"/>
    <w:rsid w:val="00764A5F"/>
    <w:rsid w:val="00765FFF"/>
    <w:rsid w:val="0077453D"/>
    <w:rsid w:val="00774BA9"/>
    <w:rsid w:val="00796851"/>
    <w:rsid w:val="007A0951"/>
    <w:rsid w:val="007B680E"/>
    <w:rsid w:val="007B78D5"/>
    <w:rsid w:val="007C148D"/>
    <w:rsid w:val="007C1DC3"/>
    <w:rsid w:val="007C3486"/>
    <w:rsid w:val="007C3BC8"/>
    <w:rsid w:val="007D422C"/>
    <w:rsid w:val="007D4641"/>
    <w:rsid w:val="007D730B"/>
    <w:rsid w:val="007F022F"/>
    <w:rsid w:val="007F6C02"/>
    <w:rsid w:val="007F7CCF"/>
    <w:rsid w:val="00817954"/>
    <w:rsid w:val="00817993"/>
    <w:rsid w:val="00823632"/>
    <w:rsid w:val="00825CBA"/>
    <w:rsid w:val="008263CD"/>
    <w:rsid w:val="00842696"/>
    <w:rsid w:val="00851A80"/>
    <w:rsid w:val="00852192"/>
    <w:rsid w:val="00855010"/>
    <w:rsid w:val="00866211"/>
    <w:rsid w:val="008717D4"/>
    <w:rsid w:val="0087632F"/>
    <w:rsid w:val="008833A3"/>
    <w:rsid w:val="008916F9"/>
    <w:rsid w:val="0089496B"/>
    <w:rsid w:val="00895473"/>
    <w:rsid w:val="008A188F"/>
    <w:rsid w:val="008A5312"/>
    <w:rsid w:val="008B5420"/>
    <w:rsid w:val="008C147F"/>
    <w:rsid w:val="008E3403"/>
    <w:rsid w:val="008E49F6"/>
    <w:rsid w:val="008F2577"/>
    <w:rsid w:val="009123DD"/>
    <w:rsid w:val="009142FF"/>
    <w:rsid w:val="0091685D"/>
    <w:rsid w:val="00932F98"/>
    <w:rsid w:val="00944334"/>
    <w:rsid w:val="00981086"/>
    <w:rsid w:val="00982030"/>
    <w:rsid w:val="00986AA1"/>
    <w:rsid w:val="009903EC"/>
    <w:rsid w:val="0099375E"/>
    <w:rsid w:val="009A189B"/>
    <w:rsid w:val="009A37CA"/>
    <w:rsid w:val="009A7697"/>
    <w:rsid w:val="009B57CC"/>
    <w:rsid w:val="009B67F9"/>
    <w:rsid w:val="009C1299"/>
    <w:rsid w:val="009C5212"/>
    <w:rsid w:val="009D2F2C"/>
    <w:rsid w:val="009D69E6"/>
    <w:rsid w:val="009D69EA"/>
    <w:rsid w:val="009E42FF"/>
    <w:rsid w:val="009E5BBC"/>
    <w:rsid w:val="009F099D"/>
    <w:rsid w:val="009F3D56"/>
    <w:rsid w:val="00A052A4"/>
    <w:rsid w:val="00A07CDB"/>
    <w:rsid w:val="00A12916"/>
    <w:rsid w:val="00A12DCD"/>
    <w:rsid w:val="00A12EE1"/>
    <w:rsid w:val="00A34148"/>
    <w:rsid w:val="00A34E53"/>
    <w:rsid w:val="00A3761E"/>
    <w:rsid w:val="00A40222"/>
    <w:rsid w:val="00A41D06"/>
    <w:rsid w:val="00A65DC6"/>
    <w:rsid w:val="00A76EF8"/>
    <w:rsid w:val="00A865F3"/>
    <w:rsid w:val="00A86F94"/>
    <w:rsid w:val="00A93AC6"/>
    <w:rsid w:val="00AB0FC5"/>
    <w:rsid w:val="00AC208A"/>
    <w:rsid w:val="00AF795D"/>
    <w:rsid w:val="00B03F63"/>
    <w:rsid w:val="00B046DE"/>
    <w:rsid w:val="00B35564"/>
    <w:rsid w:val="00B37719"/>
    <w:rsid w:val="00B518E2"/>
    <w:rsid w:val="00B66E88"/>
    <w:rsid w:val="00B75194"/>
    <w:rsid w:val="00BB6597"/>
    <w:rsid w:val="00BE553B"/>
    <w:rsid w:val="00BE6DFB"/>
    <w:rsid w:val="00BF06A5"/>
    <w:rsid w:val="00BF1269"/>
    <w:rsid w:val="00BF2C02"/>
    <w:rsid w:val="00BF5DE6"/>
    <w:rsid w:val="00C04A30"/>
    <w:rsid w:val="00C244AC"/>
    <w:rsid w:val="00C351B4"/>
    <w:rsid w:val="00C36D4C"/>
    <w:rsid w:val="00C501FF"/>
    <w:rsid w:val="00C56995"/>
    <w:rsid w:val="00C57938"/>
    <w:rsid w:val="00C659AC"/>
    <w:rsid w:val="00C74F6E"/>
    <w:rsid w:val="00C80715"/>
    <w:rsid w:val="00C9637D"/>
    <w:rsid w:val="00CA362D"/>
    <w:rsid w:val="00CA46AA"/>
    <w:rsid w:val="00CD1C96"/>
    <w:rsid w:val="00CE01A4"/>
    <w:rsid w:val="00CE590A"/>
    <w:rsid w:val="00CF0D1D"/>
    <w:rsid w:val="00D0561A"/>
    <w:rsid w:val="00D20208"/>
    <w:rsid w:val="00D20EC8"/>
    <w:rsid w:val="00D22A57"/>
    <w:rsid w:val="00D4645C"/>
    <w:rsid w:val="00D574EA"/>
    <w:rsid w:val="00D62D49"/>
    <w:rsid w:val="00D736CC"/>
    <w:rsid w:val="00D86507"/>
    <w:rsid w:val="00D86AF5"/>
    <w:rsid w:val="00DA62E0"/>
    <w:rsid w:val="00DA7105"/>
    <w:rsid w:val="00DB17FC"/>
    <w:rsid w:val="00DC5575"/>
    <w:rsid w:val="00DE1D9A"/>
    <w:rsid w:val="00DF5E08"/>
    <w:rsid w:val="00E0144A"/>
    <w:rsid w:val="00E144BE"/>
    <w:rsid w:val="00E16E9D"/>
    <w:rsid w:val="00E17399"/>
    <w:rsid w:val="00E259E4"/>
    <w:rsid w:val="00E25FE9"/>
    <w:rsid w:val="00E430E0"/>
    <w:rsid w:val="00E44633"/>
    <w:rsid w:val="00E51147"/>
    <w:rsid w:val="00E52E09"/>
    <w:rsid w:val="00E7448C"/>
    <w:rsid w:val="00E82877"/>
    <w:rsid w:val="00EB265B"/>
    <w:rsid w:val="00EB37B3"/>
    <w:rsid w:val="00EC738A"/>
    <w:rsid w:val="00EC7F8A"/>
    <w:rsid w:val="00EE449D"/>
    <w:rsid w:val="00EF055C"/>
    <w:rsid w:val="00EF4B00"/>
    <w:rsid w:val="00F11279"/>
    <w:rsid w:val="00F11918"/>
    <w:rsid w:val="00F30177"/>
    <w:rsid w:val="00F30645"/>
    <w:rsid w:val="00F320D6"/>
    <w:rsid w:val="00F340DC"/>
    <w:rsid w:val="00F37A59"/>
    <w:rsid w:val="00F4345C"/>
    <w:rsid w:val="00F50D01"/>
    <w:rsid w:val="00F67F8A"/>
    <w:rsid w:val="00F72503"/>
    <w:rsid w:val="00F732A4"/>
    <w:rsid w:val="00FA2D63"/>
    <w:rsid w:val="00FB1FE9"/>
    <w:rsid w:val="00FE77B2"/>
    <w:rsid w:val="00FF0A0C"/>
    <w:rsid w:val="00FF3D7F"/>
    <w:rsid w:val="00FF54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3C465A"/>
  <w15:chartTrackingRefBased/>
  <w15:docId w15:val="{A242C288-DEE6-4EDA-93CA-9B9F1712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7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735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Caption">
    <w:name w:val="caption"/>
    <w:basedOn w:val="Normal"/>
    <w:next w:val="Normal"/>
    <w:uiPriority w:val="35"/>
    <w:unhideWhenUsed/>
    <w:qFormat/>
    <w:rsid w:val="004B2A72"/>
    <w:pPr>
      <w:spacing w:after="200" w:line="240" w:lineRule="auto"/>
    </w:pPr>
    <w:rPr>
      <w:i/>
      <w:iCs/>
      <w:color w:val="44546A" w:themeColor="text2"/>
      <w:sz w:val="18"/>
      <w:szCs w:val="18"/>
    </w:rPr>
  </w:style>
  <w:style w:type="paragraph" w:styleId="ListParagraph">
    <w:name w:val="List Paragraph"/>
    <w:basedOn w:val="Normal"/>
    <w:uiPriority w:val="34"/>
    <w:qFormat/>
    <w:rsid w:val="00C80715"/>
    <w:pPr>
      <w:ind w:left="720"/>
      <w:contextualSpacing/>
    </w:pPr>
  </w:style>
  <w:style w:type="character" w:styleId="Hyperlink">
    <w:name w:val="Hyperlink"/>
    <w:basedOn w:val="DefaultParagraphFont"/>
    <w:uiPriority w:val="99"/>
    <w:unhideWhenUsed/>
    <w:rsid w:val="00F30645"/>
    <w:rPr>
      <w:color w:val="0563C1" w:themeColor="hyperlink"/>
      <w:u w:val="single"/>
    </w:rPr>
  </w:style>
  <w:style w:type="character" w:styleId="UnresolvedMention">
    <w:name w:val="Unresolved Mention"/>
    <w:basedOn w:val="DefaultParagraphFont"/>
    <w:uiPriority w:val="99"/>
    <w:semiHidden/>
    <w:unhideWhenUsed/>
    <w:rsid w:val="00F30645"/>
    <w:rPr>
      <w:color w:val="605E5C"/>
      <w:shd w:val="clear" w:color="auto" w:fill="E1DFDD"/>
    </w:rPr>
  </w:style>
  <w:style w:type="paragraph" w:styleId="Header">
    <w:name w:val="header"/>
    <w:basedOn w:val="Normal"/>
    <w:link w:val="HeaderChar"/>
    <w:uiPriority w:val="99"/>
    <w:unhideWhenUsed/>
    <w:rsid w:val="003D6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A6F"/>
  </w:style>
  <w:style w:type="paragraph" w:styleId="Footer">
    <w:name w:val="footer"/>
    <w:basedOn w:val="Normal"/>
    <w:link w:val="FooterChar"/>
    <w:uiPriority w:val="99"/>
    <w:unhideWhenUsed/>
    <w:rsid w:val="003D6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7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20565-EEF3-40BF-B7F4-E95AC7F5C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3973</Words>
  <Characters>22648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NAGASRI PONNALA</dc:creator>
  <cp:keywords/>
  <dc:description/>
  <cp:lastModifiedBy>SDI 1084</cp:lastModifiedBy>
  <cp:revision>11</cp:revision>
  <cp:lastPrinted>2024-05-29T12:47:00Z</cp:lastPrinted>
  <dcterms:created xsi:type="dcterms:W3CDTF">2025-03-08T12:16:00Z</dcterms:created>
  <dcterms:modified xsi:type="dcterms:W3CDTF">2025-11-18T12:25:00Z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72569605-42bb-4237-8504-6ff18c5803e5</vt:lpwstr>
  </property>
</Properties>
</file>