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7DA27" w14:textId="77777777" w:rsidR="00754C9A" w:rsidRDefault="00754C9A" w:rsidP="00441B6F">
      <w:pPr>
        <w:pStyle w:val="Title"/>
        <w:spacing w:after="0"/>
        <w:jc w:val="both"/>
        <w:rPr>
          <w:rFonts w:ascii="Arial" w:hAnsi="Arial" w:cs="Arial"/>
        </w:rPr>
      </w:pPr>
    </w:p>
    <w:p w14:paraId="1258E1D6" w14:textId="30684068" w:rsidR="00A258C3" w:rsidRPr="00B01A76" w:rsidRDefault="00B01A76" w:rsidP="00B01A76">
      <w:pPr>
        <w:spacing w:before="100" w:beforeAutospacing="1" w:after="100" w:afterAutospacing="1" w:line="276" w:lineRule="auto"/>
        <w:jc w:val="right"/>
        <w:outlineLvl w:val="0"/>
        <w:rPr>
          <w:rFonts w:ascii="Times New Roman" w:hAnsi="Times New Roman"/>
          <w:b/>
          <w:bCs/>
          <w:kern w:val="36"/>
          <w:sz w:val="44"/>
          <w:szCs w:val="44"/>
          <w:lang w:val="en-IN" w:eastAsia="en-IN"/>
        </w:rPr>
      </w:pPr>
      <w:r w:rsidRPr="00565695">
        <w:rPr>
          <w:rFonts w:ascii="Times New Roman" w:hAnsi="Times New Roman"/>
          <w:b/>
          <w:bCs/>
          <w:kern w:val="36"/>
          <w:sz w:val="44"/>
          <w:szCs w:val="44"/>
          <w:lang w:val="en-IN" w:eastAsia="en-IN"/>
        </w:rPr>
        <w:t>Impact of Co-operative Agricultural Credit on Borrower Farmers</w:t>
      </w:r>
      <w:r w:rsidR="00125358">
        <w:rPr>
          <w:rFonts w:ascii="Times New Roman" w:hAnsi="Times New Roman"/>
          <w:b/>
          <w:bCs/>
          <w:kern w:val="36"/>
          <w:sz w:val="44"/>
          <w:szCs w:val="44"/>
          <w:lang w:val="en-IN" w:eastAsia="en-IN"/>
        </w:rPr>
        <w:t xml:space="preserve"> in Kerala</w:t>
      </w:r>
    </w:p>
    <w:p w14:paraId="2F75B746" w14:textId="77777777" w:rsidR="0094719A" w:rsidRDefault="0094719A" w:rsidP="007604C7">
      <w:pPr>
        <w:pStyle w:val="Affiliation"/>
        <w:spacing w:after="0" w:line="240" w:lineRule="auto"/>
        <w:rPr>
          <w:rFonts w:ascii="Arial" w:hAnsi="Arial" w:cs="Arial"/>
          <w:i/>
          <w:sz w:val="16"/>
        </w:rPr>
      </w:pPr>
    </w:p>
    <w:p w14:paraId="42D04A73" w14:textId="77777777" w:rsidR="0094719A" w:rsidRPr="00FB3A86" w:rsidRDefault="0094719A" w:rsidP="007604C7">
      <w:pPr>
        <w:pStyle w:val="Affiliation"/>
        <w:spacing w:after="0" w:line="240" w:lineRule="auto"/>
        <w:rPr>
          <w:rFonts w:ascii="Arial" w:hAnsi="Arial" w:cs="Arial"/>
        </w:rPr>
      </w:pPr>
    </w:p>
    <w:p w14:paraId="387FD18C" w14:textId="1EA77584" w:rsidR="00B01FCD" w:rsidRPr="00FB3A86" w:rsidRDefault="00916DD4" w:rsidP="00441B6F">
      <w:pPr>
        <w:pStyle w:val="Copyright"/>
        <w:spacing w:after="0" w:line="240" w:lineRule="auto"/>
        <w:jc w:val="both"/>
        <w:rPr>
          <w:rFonts w:ascii="Arial" w:hAnsi="Arial" w:cs="Arial"/>
        </w:rPr>
        <w:sectPr w:rsidR="00B01FCD" w:rsidRPr="00FB3A86" w:rsidSect="0095535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8D189AC" wp14:editId="3C302926">
                <wp:extent cx="5303520" cy="635"/>
                <wp:effectExtent l="13335" t="18415" r="17145" b="10160"/>
                <wp:docPr id="115459423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5D126E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A96AFDE"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1E5A07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C094BD7" w14:textId="77777777" w:rsidTr="001E44FE">
        <w:tc>
          <w:tcPr>
            <w:tcW w:w="9576" w:type="dxa"/>
            <w:shd w:val="clear" w:color="auto" w:fill="F2F2F2"/>
          </w:tcPr>
          <w:p w14:paraId="72269EF6" w14:textId="77777777" w:rsidR="00780BA7" w:rsidRDefault="00682ECD" w:rsidP="00335793">
            <w:pPr>
              <w:pStyle w:val="NormalWeb"/>
              <w:spacing w:line="276" w:lineRule="auto"/>
              <w:jc w:val="both"/>
              <w:rPr>
                <w:rFonts w:ascii="Arial" w:hAnsi="Arial" w:cs="Arial"/>
                <w:sz w:val="20"/>
                <w:szCs w:val="20"/>
              </w:rPr>
            </w:pPr>
            <w:r w:rsidRPr="00682ECD">
              <w:rPr>
                <w:rFonts w:ascii="Arial" w:hAnsi="Arial" w:cs="Arial"/>
                <w:sz w:val="20"/>
                <w:szCs w:val="20"/>
              </w:rPr>
              <w:t xml:space="preserve">Access to institutional credit is essential for improving agricultural productivity, reducing financial vulnerability and enabling timely investment in farm operations. Co-operative credit institutions play a key role in this process, particularly for small and marginal farmers who face limited access to formal banking channels. </w:t>
            </w:r>
          </w:p>
          <w:p w14:paraId="4C3D9CCC" w14:textId="77777777" w:rsidR="00780BA7" w:rsidRDefault="00780BA7" w:rsidP="00335793">
            <w:pPr>
              <w:pStyle w:val="NormalWeb"/>
              <w:spacing w:line="276" w:lineRule="auto"/>
              <w:jc w:val="both"/>
              <w:rPr>
                <w:rFonts w:ascii="Arial" w:hAnsi="Arial" w:cs="Arial"/>
                <w:sz w:val="20"/>
                <w:szCs w:val="20"/>
              </w:rPr>
            </w:pPr>
            <w:proofErr w:type="spellStart"/>
            <w:proofErr w:type="gramStart"/>
            <w:r w:rsidRPr="007604C7">
              <w:rPr>
                <w:rFonts w:ascii="Arial" w:hAnsi="Arial" w:cs="Arial"/>
                <w:b/>
                <w:sz w:val="20"/>
                <w:szCs w:val="20"/>
              </w:rPr>
              <w:t>Aim:</w:t>
            </w:r>
            <w:r w:rsidR="00682ECD" w:rsidRPr="00682ECD">
              <w:rPr>
                <w:rFonts w:ascii="Arial" w:hAnsi="Arial" w:cs="Arial"/>
                <w:sz w:val="20"/>
                <w:szCs w:val="20"/>
              </w:rPr>
              <w:t>This</w:t>
            </w:r>
            <w:proofErr w:type="spellEnd"/>
            <w:proofErr w:type="gramEnd"/>
            <w:r w:rsidR="00682ECD" w:rsidRPr="00682ECD">
              <w:rPr>
                <w:rFonts w:ascii="Arial" w:hAnsi="Arial" w:cs="Arial"/>
                <w:sz w:val="20"/>
                <w:szCs w:val="20"/>
              </w:rPr>
              <w:t xml:space="preserve"> study examined the impact of co-operative agricultural credit on borrower households and assessed the extent of loan utilisation in Kerala. </w:t>
            </w:r>
          </w:p>
          <w:p w14:paraId="378D20B7" w14:textId="77777777" w:rsidR="00780BA7" w:rsidRDefault="00780BA7" w:rsidP="00335793">
            <w:pPr>
              <w:pStyle w:val="NormalWeb"/>
              <w:spacing w:line="276" w:lineRule="auto"/>
              <w:jc w:val="both"/>
              <w:rPr>
                <w:rFonts w:ascii="Arial" w:hAnsi="Arial" w:cs="Arial"/>
                <w:sz w:val="20"/>
                <w:szCs w:val="20"/>
              </w:rPr>
            </w:pPr>
            <w:r w:rsidRPr="007604C7">
              <w:rPr>
                <w:rFonts w:ascii="Arial" w:hAnsi="Arial" w:cs="Arial"/>
                <w:b/>
                <w:sz w:val="20"/>
                <w:szCs w:val="20"/>
              </w:rPr>
              <w:t>Place and Duration of Study</w:t>
            </w:r>
            <w:r>
              <w:rPr>
                <w:rFonts w:ascii="Arial" w:hAnsi="Arial" w:cs="Arial"/>
                <w:sz w:val="20"/>
                <w:szCs w:val="20"/>
              </w:rPr>
              <w:t xml:space="preserve">: </w:t>
            </w:r>
            <w:r w:rsidR="00682ECD" w:rsidRPr="00682ECD">
              <w:rPr>
                <w:rFonts w:ascii="Arial" w:hAnsi="Arial" w:cs="Arial"/>
                <w:sz w:val="20"/>
                <w:szCs w:val="20"/>
              </w:rPr>
              <w:t xml:space="preserve">A cross-sectional analytical design was adopted, and primary data </w:t>
            </w:r>
            <w:r w:rsidR="00503ED7">
              <w:rPr>
                <w:rFonts w:ascii="Arial" w:hAnsi="Arial" w:cs="Arial"/>
                <w:sz w:val="20"/>
                <w:szCs w:val="20"/>
              </w:rPr>
              <w:t>was</w:t>
            </w:r>
            <w:r w:rsidR="00E1739B">
              <w:rPr>
                <w:rFonts w:ascii="Arial" w:hAnsi="Arial" w:cs="Arial"/>
                <w:sz w:val="20"/>
                <w:szCs w:val="20"/>
              </w:rPr>
              <w:t xml:space="preserve"> </w:t>
            </w:r>
            <w:r w:rsidR="00682ECD" w:rsidRPr="00682ECD">
              <w:rPr>
                <w:rFonts w:ascii="Arial" w:hAnsi="Arial" w:cs="Arial"/>
                <w:sz w:val="20"/>
                <w:szCs w:val="20"/>
              </w:rPr>
              <w:t xml:space="preserve">collected from 160 co-operative loan </w:t>
            </w:r>
            <w:r w:rsidR="00682ECD">
              <w:rPr>
                <w:rFonts w:ascii="Arial" w:hAnsi="Arial" w:cs="Arial"/>
                <w:sz w:val="20"/>
                <w:szCs w:val="20"/>
              </w:rPr>
              <w:t xml:space="preserve">borrower farmers </w:t>
            </w:r>
            <w:r w:rsidR="00682ECD" w:rsidRPr="00682ECD">
              <w:rPr>
                <w:rFonts w:ascii="Arial" w:hAnsi="Arial" w:cs="Arial"/>
                <w:sz w:val="20"/>
                <w:szCs w:val="20"/>
              </w:rPr>
              <w:t>from four representative districts of Kerala</w:t>
            </w:r>
            <w:r>
              <w:rPr>
                <w:rFonts w:ascii="Arial" w:hAnsi="Arial" w:cs="Arial"/>
                <w:sz w:val="20"/>
                <w:szCs w:val="20"/>
              </w:rPr>
              <w:t xml:space="preserve"> namely </w:t>
            </w:r>
            <w:proofErr w:type="spellStart"/>
            <w:r>
              <w:rPr>
                <w:rFonts w:ascii="Arial" w:hAnsi="Arial" w:cs="Arial"/>
                <w:sz w:val="20"/>
                <w:szCs w:val="20"/>
              </w:rPr>
              <w:t>Pathanamthitta</w:t>
            </w:r>
            <w:proofErr w:type="spellEnd"/>
            <w:r>
              <w:rPr>
                <w:rFonts w:ascii="Arial" w:hAnsi="Arial" w:cs="Arial"/>
                <w:sz w:val="20"/>
                <w:szCs w:val="20"/>
              </w:rPr>
              <w:t>, Alappuzha, Palakkad and Malappuram during the 2024-25 agricultural year</w:t>
            </w:r>
            <w:r w:rsidR="00682ECD" w:rsidRPr="00682ECD">
              <w:rPr>
                <w:rFonts w:ascii="Arial" w:hAnsi="Arial" w:cs="Arial"/>
                <w:sz w:val="20"/>
                <w:szCs w:val="20"/>
              </w:rPr>
              <w:t xml:space="preserve">. </w:t>
            </w:r>
          </w:p>
          <w:p w14:paraId="16B1E65A" w14:textId="308BCF4B" w:rsidR="00780BA7" w:rsidRDefault="00780BA7" w:rsidP="00780BA7">
            <w:pPr>
              <w:pStyle w:val="NormalWeb"/>
              <w:spacing w:line="276" w:lineRule="auto"/>
              <w:jc w:val="both"/>
              <w:rPr>
                <w:rFonts w:ascii="Arial" w:hAnsi="Arial" w:cs="Arial"/>
                <w:sz w:val="20"/>
                <w:szCs w:val="20"/>
              </w:rPr>
            </w:pPr>
            <w:r w:rsidRPr="007604C7">
              <w:rPr>
                <w:rFonts w:ascii="Arial" w:hAnsi="Arial" w:cs="Arial"/>
                <w:b/>
                <w:sz w:val="20"/>
                <w:szCs w:val="20"/>
              </w:rPr>
              <w:t>Methodology:</w:t>
            </w:r>
            <w:r w:rsidR="00682ECD" w:rsidRPr="00682ECD">
              <w:rPr>
                <w:rFonts w:ascii="Arial" w:hAnsi="Arial" w:cs="Arial"/>
                <w:sz w:val="20"/>
                <w:szCs w:val="20"/>
              </w:rPr>
              <w:t xml:space="preserve"> </w:t>
            </w:r>
            <w:r w:rsidRPr="00682ECD">
              <w:rPr>
                <w:rFonts w:ascii="Arial" w:hAnsi="Arial" w:cs="Arial"/>
                <w:sz w:val="20"/>
                <w:szCs w:val="20"/>
              </w:rPr>
              <w:t xml:space="preserve">Two blocks were selected from each district based on the presence and activity level of co-operative lending institutions. From each selected block, 20 borrower households were chosen through simple random sampling, resulting in a final sample size of 160 </w:t>
            </w:r>
            <w:proofErr w:type="spellStart"/>
            <w:proofErr w:type="gramStart"/>
            <w:r w:rsidRPr="00682ECD">
              <w:rPr>
                <w:rFonts w:ascii="Arial" w:hAnsi="Arial" w:cs="Arial"/>
                <w:sz w:val="20"/>
                <w:szCs w:val="20"/>
              </w:rPr>
              <w:t>respondents.Primary</w:t>
            </w:r>
            <w:proofErr w:type="spellEnd"/>
            <w:proofErr w:type="gramEnd"/>
            <w:r w:rsidRPr="00682ECD">
              <w:rPr>
                <w:rFonts w:ascii="Arial" w:hAnsi="Arial" w:cs="Arial"/>
                <w:sz w:val="20"/>
                <w:szCs w:val="20"/>
              </w:rPr>
              <w:t xml:space="preserve"> data </w:t>
            </w:r>
            <w:r>
              <w:rPr>
                <w:rFonts w:ascii="Arial" w:hAnsi="Arial" w:cs="Arial"/>
                <w:sz w:val="20"/>
                <w:szCs w:val="20"/>
              </w:rPr>
              <w:t xml:space="preserve">was </w:t>
            </w:r>
            <w:r w:rsidRPr="00682ECD">
              <w:rPr>
                <w:rFonts w:ascii="Arial" w:hAnsi="Arial" w:cs="Arial"/>
                <w:sz w:val="20"/>
                <w:szCs w:val="20"/>
              </w:rPr>
              <w:t>collected using a structured interview schedule that captured socio-economic characteristics, landholding, cropping pattern, loan amount, loan utilisation behaviour and income details. Two Ordinary Least Squares (OLS) log-linear regression models were employed for analys</w:t>
            </w:r>
            <w:r>
              <w:rPr>
                <w:rFonts w:ascii="Arial" w:hAnsi="Arial" w:cs="Arial"/>
                <w:sz w:val="20"/>
                <w:szCs w:val="20"/>
              </w:rPr>
              <w:t>ing the data</w:t>
            </w:r>
            <w:r w:rsidRPr="00682ECD">
              <w:rPr>
                <w:rFonts w:ascii="Arial" w:hAnsi="Arial" w:cs="Arial"/>
                <w:sz w:val="20"/>
                <w:szCs w:val="20"/>
              </w:rPr>
              <w:t>. The first model examined the factors influencing the amount of co-operative credit borrowed, using demographic, farm-level and financial variables as predictors</w:t>
            </w:r>
            <w:r>
              <w:rPr>
                <w:rFonts w:ascii="Arial" w:hAnsi="Arial" w:cs="Arial"/>
                <w:sz w:val="20"/>
                <w:szCs w:val="20"/>
              </w:rPr>
              <w:t>. Second model examined the factors affecting farm income</w:t>
            </w:r>
            <w:r w:rsidR="00432373">
              <w:rPr>
                <w:rFonts w:ascii="Arial" w:hAnsi="Arial" w:cs="Arial"/>
                <w:sz w:val="20"/>
                <w:szCs w:val="20"/>
              </w:rPr>
              <w:t xml:space="preserve"> and loan utilization pattern was analysed using percentage analysis.</w:t>
            </w:r>
          </w:p>
          <w:p w14:paraId="0C063A1A" w14:textId="77777777" w:rsidR="00432373" w:rsidRDefault="00432373" w:rsidP="00335793">
            <w:pPr>
              <w:pStyle w:val="NormalWeb"/>
              <w:spacing w:line="276" w:lineRule="auto"/>
              <w:jc w:val="both"/>
              <w:rPr>
                <w:rFonts w:ascii="Arial" w:hAnsi="Arial" w:cs="Arial"/>
                <w:sz w:val="20"/>
                <w:szCs w:val="20"/>
              </w:rPr>
            </w:pPr>
            <w:r w:rsidRPr="007604C7">
              <w:rPr>
                <w:rFonts w:ascii="Arial" w:hAnsi="Arial" w:cs="Arial"/>
                <w:b/>
                <w:sz w:val="20"/>
                <w:szCs w:val="20"/>
              </w:rPr>
              <w:t>Results:</w:t>
            </w:r>
            <w:r>
              <w:rPr>
                <w:rFonts w:ascii="Arial" w:hAnsi="Arial" w:cs="Arial"/>
                <w:b/>
                <w:sz w:val="20"/>
                <w:szCs w:val="20"/>
              </w:rPr>
              <w:t xml:space="preserve"> </w:t>
            </w:r>
            <w:r w:rsidR="00503ED7">
              <w:rPr>
                <w:rFonts w:ascii="Arial" w:hAnsi="Arial" w:cs="Arial"/>
                <w:sz w:val="20"/>
                <w:szCs w:val="20"/>
              </w:rPr>
              <w:t>F</w:t>
            </w:r>
            <w:r w:rsidR="00682ECD" w:rsidRPr="00682ECD">
              <w:rPr>
                <w:rFonts w:ascii="Arial" w:hAnsi="Arial" w:cs="Arial"/>
                <w:sz w:val="20"/>
                <w:szCs w:val="20"/>
              </w:rPr>
              <w:t xml:space="preserve">indings showed variation in loan utilisation across respondents, with a considerable share of loans diverted towards non-agricultural purposes. Results from an Ordinary Least Squares log-linear regression model indicated that the loan size was influenced mainly by collateral availability and outstanding loans. A second model examining determinants of borrowing showed that the amount of credit borrowed did not have a significant effect on farm income, while factors such as cultivated area, age and production-related expenses were more strongly associated with income levels. </w:t>
            </w:r>
          </w:p>
          <w:p w14:paraId="014A5771" w14:textId="60A1B209" w:rsidR="00505F06" w:rsidRPr="00335793" w:rsidRDefault="00432373" w:rsidP="00335793">
            <w:pPr>
              <w:pStyle w:val="NormalWeb"/>
              <w:spacing w:line="276" w:lineRule="auto"/>
              <w:jc w:val="both"/>
              <w:rPr>
                <w:rFonts w:ascii="Arial" w:hAnsi="Arial" w:cs="Arial"/>
                <w:sz w:val="20"/>
                <w:szCs w:val="20"/>
              </w:rPr>
            </w:pPr>
            <w:r w:rsidRPr="007604C7">
              <w:rPr>
                <w:rFonts w:ascii="Arial" w:hAnsi="Arial" w:cs="Arial"/>
                <w:b/>
                <w:sz w:val="20"/>
                <w:szCs w:val="20"/>
              </w:rPr>
              <w:t>Conclusion:</w:t>
            </w:r>
            <w:r>
              <w:rPr>
                <w:rFonts w:ascii="Arial" w:hAnsi="Arial" w:cs="Arial"/>
                <w:sz w:val="20"/>
                <w:szCs w:val="20"/>
              </w:rPr>
              <w:t xml:space="preserve"> </w:t>
            </w:r>
            <w:r w:rsidR="00682ECD" w:rsidRPr="00682ECD">
              <w:rPr>
                <w:rFonts w:ascii="Arial" w:hAnsi="Arial" w:cs="Arial"/>
                <w:sz w:val="20"/>
                <w:szCs w:val="20"/>
              </w:rPr>
              <w:t>The findings suggest that although co-operative credit remains an important financial source for rural households, its effect on income enhancement is limited due to diversion</w:t>
            </w:r>
            <w:r w:rsidR="00F23E4B">
              <w:rPr>
                <w:rFonts w:ascii="Arial" w:hAnsi="Arial" w:cs="Arial"/>
                <w:sz w:val="20"/>
                <w:szCs w:val="20"/>
              </w:rPr>
              <w:t>.</w:t>
            </w:r>
            <w:r>
              <w:rPr>
                <w:rFonts w:ascii="Arial" w:hAnsi="Arial" w:cs="Arial"/>
                <w:sz w:val="20"/>
                <w:szCs w:val="20"/>
              </w:rPr>
              <w:t xml:space="preserve"> </w:t>
            </w:r>
            <w:r w:rsidR="00682ECD" w:rsidRPr="00682ECD">
              <w:rPr>
                <w:rFonts w:ascii="Arial" w:hAnsi="Arial" w:cs="Arial"/>
                <w:sz w:val="20"/>
                <w:szCs w:val="20"/>
              </w:rPr>
              <w:t>Strengthening utilisation monitoring and promoting investment-oriented lending may improve the developmental effectiveness of co-operative credit in Kerala.</w:t>
            </w:r>
          </w:p>
        </w:tc>
      </w:tr>
    </w:tbl>
    <w:p w14:paraId="2BAF3D04" w14:textId="77777777" w:rsidR="0024282C" w:rsidRPr="00B01A76" w:rsidRDefault="00682ECD" w:rsidP="00B01A76">
      <w:pPr>
        <w:spacing w:before="100" w:beforeAutospacing="1" w:after="100" w:afterAutospacing="1" w:line="276" w:lineRule="auto"/>
        <w:jc w:val="both"/>
        <w:outlineLvl w:val="2"/>
        <w:rPr>
          <w:rFonts w:ascii="Arial" w:hAnsi="Arial" w:cs="Arial"/>
          <w:b/>
          <w:bCs/>
          <w:i/>
          <w:lang w:val="en-IN" w:eastAsia="en-IN"/>
        </w:rPr>
      </w:pPr>
      <w:r w:rsidRPr="00682ECD">
        <w:rPr>
          <w:rFonts w:ascii="Arial" w:hAnsi="Arial" w:cs="Arial"/>
          <w:bCs/>
          <w:i/>
          <w:lang w:val="en-IN" w:eastAsia="en-IN"/>
        </w:rPr>
        <w:lastRenderedPageBreak/>
        <w:t>Keywords:</w:t>
      </w:r>
      <w:r w:rsidRPr="00682ECD">
        <w:rPr>
          <w:rFonts w:ascii="Arial" w:hAnsi="Arial" w:cs="Arial"/>
          <w:b/>
          <w:bCs/>
          <w:i/>
          <w:lang w:val="en-IN" w:eastAsia="en-IN"/>
        </w:rPr>
        <w:t xml:space="preserve"> </w:t>
      </w:r>
      <w:r w:rsidRPr="00682ECD">
        <w:rPr>
          <w:rFonts w:ascii="Arial" w:hAnsi="Arial" w:cs="Arial"/>
          <w:i/>
          <w:lang w:val="en-IN" w:eastAsia="en-IN"/>
        </w:rPr>
        <w:t>Co-operative credit, loan utilisation, farm income, borrowing behaviour, OLS regression.</w:t>
      </w:r>
    </w:p>
    <w:p w14:paraId="7CC4937C"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C5AFA1E" w14:textId="3EC526AE" w:rsidR="00682ECD" w:rsidRPr="00682ECD" w:rsidRDefault="00682ECD" w:rsidP="00682ECD">
      <w:pPr>
        <w:spacing w:before="100" w:beforeAutospacing="1" w:after="100" w:afterAutospacing="1" w:line="276" w:lineRule="auto"/>
        <w:ind w:firstLine="720"/>
        <w:jc w:val="both"/>
        <w:rPr>
          <w:rFonts w:ascii="Arial" w:hAnsi="Arial" w:cs="Arial"/>
          <w:lang w:val="en-IN" w:eastAsia="en-IN"/>
        </w:rPr>
      </w:pPr>
      <w:r w:rsidRPr="00682ECD">
        <w:rPr>
          <w:rFonts w:ascii="Arial" w:hAnsi="Arial" w:cs="Arial"/>
          <w:lang w:val="en-IN" w:eastAsia="en-IN"/>
        </w:rPr>
        <w:t xml:space="preserve">Co-operative banks form a major source of institutional agricultural credit in India and play a key role in supporting small and marginal farmers. In Kerala, PACS and PCARDBs serve as the core of the rural credit system and are crucial in giving access for low-income and rural population to banking. There were 1645 PACS in Kerala in 2023 and the three-tier credit structure is currently being replaced by a two-tier structure as per a policy decision made by the government. Through its affiliated PCARDBs, </w:t>
      </w:r>
      <w:r w:rsidR="00105552">
        <w:rPr>
          <w:rFonts w:ascii="Arial" w:hAnsi="Arial" w:cs="Arial"/>
          <w:lang w:val="en-IN" w:eastAsia="en-IN"/>
        </w:rPr>
        <w:t xml:space="preserve">the </w:t>
      </w:r>
      <w:r w:rsidRPr="00682ECD">
        <w:rPr>
          <w:rFonts w:ascii="Arial" w:hAnsi="Arial" w:cs="Arial"/>
          <w:lang w:val="en-IN" w:eastAsia="en-IN"/>
        </w:rPr>
        <w:t xml:space="preserve">Kerala State Co-operative Agriculture Rural Development Bank (KSCARDB) advances credit for agricultural and allied activities, non-farm sector, and rural housing. In 2023, ₹5,47,987.92 crore was disbursed as advances in the state by commercial and co-operative banks, out of which 11 percent was disbursed by co-operative banks (GOK, 2023). </w:t>
      </w:r>
    </w:p>
    <w:p w14:paraId="693A08B8" w14:textId="4B6E8FB3" w:rsidR="00682ECD" w:rsidRPr="00682ECD" w:rsidRDefault="00682ECD" w:rsidP="00682ECD">
      <w:pPr>
        <w:pStyle w:val="NormalWeb"/>
        <w:spacing w:line="276" w:lineRule="auto"/>
        <w:jc w:val="both"/>
        <w:rPr>
          <w:rFonts w:ascii="Arial" w:hAnsi="Arial" w:cs="Arial"/>
          <w:sz w:val="20"/>
          <w:szCs w:val="20"/>
        </w:rPr>
      </w:pPr>
      <w:r w:rsidRPr="00682ECD">
        <w:rPr>
          <w:rFonts w:ascii="Arial" w:hAnsi="Arial" w:cs="Arial"/>
          <w:sz w:val="20"/>
          <w:szCs w:val="20"/>
        </w:rPr>
        <w:tab/>
        <w:t>These institutions are expected to provide affordable and timely credit to meet both short-term and long-term agricultural requirements. Short-term credit supports seasonal operations such as seed purchase, fertilizer application, crop protection measures and labour expenses, whereas long-term credit is required for investment activities including machinery, irrigation structures, livestock development and land improvement. Access to institutional credit is therefore considered essential for improving agricultural productivity, stabilising income flows and reducing dependence on informal moneylenders who often charge high interest rates. Reliable credit availability also helps farmers manage production risks, adopt improved technologies, and overcome liquidity constraints that otherwise limit farm expansion or diversification. In this context, co-operative credit institutions are expected to function not only as financial intermediaries but also as catalysts of rural development by promoting financial inclusion, enabling productive investment, and supporting sustainable agricultural growth</w:t>
      </w:r>
      <w:r w:rsidR="00302C53">
        <w:rPr>
          <w:rFonts w:ascii="Arial" w:hAnsi="Arial" w:cs="Arial"/>
          <w:sz w:val="20"/>
          <w:szCs w:val="20"/>
        </w:rPr>
        <w:t xml:space="preserve"> (Reddy </w:t>
      </w:r>
      <w:r w:rsidR="00EE224E">
        <w:rPr>
          <w:rFonts w:ascii="Arial" w:hAnsi="Arial" w:cs="Arial"/>
          <w:i/>
          <w:sz w:val="20"/>
          <w:szCs w:val="20"/>
        </w:rPr>
        <w:t>et al</w:t>
      </w:r>
      <w:r w:rsidR="009B5C11">
        <w:rPr>
          <w:rFonts w:ascii="Arial" w:hAnsi="Arial" w:cs="Arial"/>
          <w:i/>
          <w:sz w:val="20"/>
          <w:szCs w:val="20"/>
        </w:rPr>
        <w:t>.</w:t>
      </w:r>
      <w:r w:rsidR="00302C53">
        <w:rPr>
          <w:rFonts w:ascii="Arial" w:hAnsi="Arial" w:cs="Arial"/>
          <w:sz w:val="20"/>
          <w:szCs w:val="20"/>
        </w:rPr>
        <w:t xml:space="preserve">, </w:t>
      </w:r>
      <w:r w:rsidR="00EE224E">
        <w:rPr>
          <w:rFonts w:ascii="Arial" w:hAnsi="Arial" w:cs="Arial"/>
          <w:sz w:val="20"/>
          <w:szCs w:val="20"/>
        </w:rPr>
        <w:t>2015</w:t>
      </w:r>
      <w:r w:rsidR="00302C53">
        <w:rPr>
          <w:rFonts w:ascii="Arial" w:hAnsi="Arial" w:cs="Arial"/>
          <w:sz w:val="20"/>
          <w:szCs w:val="20"/>
        </w:rPr>
        <w:t>)</w:t>
      </w:r>
      <w:r w:rsidRPr="00682ECD">
        <w:rPr>
          <w:rFonts w:ascii="Arial" w:hAnsi="Arial" w:cs="Arial"/>
          <w:sz w:val="20"/>
          <w:szCs w:val="20"/>
        </w:rPr>
        <w:t>.</w:t>
      </w:r>
    </w:p>
    <w:p w14:paraId="726D610B" w14:textId="6836E5A7" w:rsidR="00682ECD" w:rsidRPr="00682ECD" w:rsidRDefault="00682ECD" w:rsidP="00682ECD">
      <w:pPr>
        <w:pStyle w:val="NormalWeb"/>
        <w:spacing w:line="276" w:lineRule="auto"/>
        <w:jc w:val="both"/>
        <w:rPr>
          <w:rFonts w:ascii="Arial" w:hAnsi="Arial" w:cs="Arial"/>
          <w:sz w:val="20"/>
          <w:szCs w:val="20"/>
        </w:rPr>
      </w:pPr>
      <w:r w:rsidRPr="00682ECD">
        <w:rPr>
          <w:rFonts w:ascii="Arial" w:hAnsi="Arial" w:cs="Arial"/>
          <w:sz w:val="20"/>
          <w:szCs w:val="20"/>
        </w:rPr>
        <w:tab/>
      </w:r>
      <w:r w:rsidRPr="00682ECD">
        <w:rPr>
          <w:rFonts w:ascii="Arial" w:hAnsi="Arial" w:cs="Arial"/>
          <w:sz w:val="20"/>
          <w:szCs w:val="20"/>
          <w:lang w:val="en-GB"/>
        </w:rPr>
        <w:t>Despite the wide coverage of co-operative credit in Kerala, concerns remain regarding the productive use of borrowed funds and the extent to which such credit contributes to improvements in farmer livelihoods.</w:t>
      </w:r>
      <w:r w:rsidRPr="00682ECD">
        <w:rPr>
          <w:rFonts w:ascii="Arial" w:hAnsi="Arial" w:cs="Arial"/>
          <w:sz w:val="20"/>
          <w:szCs w:val="20"/>
        </w:rPr>
        <w:t xml:space="preserve"> There are concerns regarding the gap between the sanctioned loan amount and the actual financial requirements of farm operations, which may limit the investment capacity of borrowers. In many cases, a portion of the borrowed amount is diverted towards household consumption needs, social obligations, medical expenses or repayment of existing debts</w:t>
      </w:r>
      <w:r w:rsidR="00F23E4B">
        <w:rPr>
          <w:rFonts w:ascii="Arial" w:hAnsi="Arial" w:cs="Arial"/>
          <w:sz w:val="20"/>
          <w:szCs w:val="20"/>
        </w:rPr>
        <w:t xml:space="preserve"> (Raj </w:t>
      </w:r>
      <w:r w:rsidR="00F23E4B">
        <w:rPr>
          <w:rFonts w:ascii="Arial" w:hAnsi="Arial" w:cs="Arial"/>
          <w:i/>
          <w:sz w:val="20"/>
          <w:szCs w:val="20"/>
        </w:rPr>
        <w:t xml:space="preserve">et al., </w:t>
      </w:r>
      <w:r w:rsidR="00F23E4B">
        <w:rPr>
          <w:rFonts w:ascii="Arial" w:hAnsi="Arial" w:cs="Arial"/>
          <w:sz w:val="20"/>
          <w:szCs w:val="20"/>
        </w:rPr>
        <w:t>2023)</w:t>
      </w:r>
      <w:r w:rsidRPr="00682ECD">
        <w:rPr>
          <w:rFonts w:ascii="Arial" w:hAnsi="Arial" w:cs="Arial"/>
          <w:sz w:val="20"/>
          <w:szCs w:val="20"/>
        </w:rPr>
        <w:t>. Such diversion reduces the potential of credit to generate productive returns and weakens its expected contribution to farm income enhancement. The dominance of short-term crop-based credit, rather than long-term investment finance, may also restrict opportunities for technology adoption, mechanisation or capital formation. As a result, the developmental role of co-operative credit in improving agricultural productivity and strengthening rural livelihoods may not be fully realised.</w:t>
      </w:r>
    </w:p>
    <w:p w14:paraId="6930D9E8" w14:textId="1959C174" w:rsidR="00682ECD" w:rsidRDefault="00682ECD" w:rsidP="00682ECD">
      <w:pPr>
        <w:pStyle w:val="NormalWeb"/>
        <w:spacing w:line="276" w:lineRule="auto"/>
        <w:jc w:val="both"/>
        <w:rPr>
          <w:rFonts w:ascii="Arial" w:hAnsi="Arial" w:cs="Arial"/>
          <w:sz w:val="20"/>
          <w:szCs w:val="20"/>
        </w:rPr>
      </w:pPr>
      <w:r w:rsidRPr="00682ECD">
        <w:rPr>
          <w:rFonts w:ascii="Arial" w:hAnsi="Arial" w:cs="Arial"/>
          <w:sz w:val="20"/>
          <w:szCs w:val="20"/>
        </w:rPr>
        <w:tab/>
        <w:t>In this background, the present study analyses the utilisation pattern of co-operative agricultural credit among borrower households and examines its effect on farm income</w:t>
      </w:r>
      <w:r w:rsidR="00702783">
        <w:rPr>
          <w:rFonts w:ascii="Arial" w:hAnsi="Arial" w:cs="Arial"/>
          <w:sz w:val="20"/>
          <w:szCs w:val="20"/>
        </w:rPr>
        <w:t xml:space="preserve"> in Kerala</w:t>
      </w:r>
      <w:r w:rsidRPr="00682ECD">
        <w:rPr>
          <w:rFonts w:ascii="Arial" w:hAnsi="Arial" w:cs="Arial"/>
          <w:sz w:val="20"/>
          <w:szCs w:val="20"/>
        </w:rPr>
        <w:t>. The study also identifies the socio-economic and institutional factors influencing the amount of credit borrowed. By generating empirical evidence from primary survey data, the study contributes to ongoing discussions on the performance and relevance of co-operative credit in rural financing. The findings are expected to offer useful inputs for policymakers, co-operative institutions and extension agencies in strengthening the design and implementation of credit services, ensuring better utilisation and improving the developmental outcomes of institutional lending in Kerala.</w:t>
      </w:r>
    </w:p>
    <w:p w14:paraId="12247D50" w14:textId="77777777" w:rsidR="00733641" w:rsidRDefault="00D96F3F" w:rsidP="00682ECD">
      <w:pPr>
        <w:pStyle w:val="NormalWeb"/>
        <w:spacing w:line="276" w:lineRule="auto"/>
        <w:jc w:val="both"/>
        <w:rPr>
          <w:rFonts w:ascii="Arial" w:hAnsi="Arial" w:cs="Arial"/>
          <w:b/>
          <w:sz w:val="22"/>
          <w:szCs w:val="20"/>
        </w:rPr>
      </w:pPr>
      <w:r>
        <w:rPr>
          <w:rFonts w:ascii="Arial" w:hAnsi="Arial" w:cs="Arial"/>
          <w:b/>
          <w:sz w:val="22"/>
          <w:szCs w:val="20"/>
        </w:rPr>
        <w:t>2.REVIEW OF LITERATURE</w:t>
      </w:r>
    </w:p>
    <w:p w14:paraId="1CE82C59" w14:textId="00C5C1DE" w:rsidR="00021CDF" w:rsidRDefault="00021CDF" w:rsidP="00682ECD">
      <w:pPr>
        <w:pStyle w:val="NormalWeb"/>
        <w:spacing w:line="276" w:lineRule="auto"/>
        <w:jc w:val="both"/>
        <w:rPr>
          <w:rFonts w:ascii="Arial" w:hAnsi="Arial" w:cs="Arial"/>
          <w:sz w:val="20"/>
        </w:rPr>
      </w:pPr>
      <w:r w:rsidRPr="00B4183B">
        <w:rPr>
          <w:rFonts w:ascii="Arial" w:hAnsi="Arial" w:cs="Arial"/>
          <w:sz w:val="20"/>
        </w:rPr>
        <w:t xml:space="preserve">Sharma and </w:t>
      </w:r>
      <w:proofErr w:type="spellStart"/>
      <w:r w:rsidRPr="00B4183B">
        <w:rPr>
          <w:rFonts w:ascii="Arial" w:hAnsi="Arial" w:cs="Arial"/>
          <w:sz w:val="20"/>
        </w:rPr>
        <w:t>Kumawat</w:t>
      </w:r>
      <w:proofErr w:type="spellEnd"/>
      <w:r w:rsidRPr="00B4183B">
        <w:rPr>
          <w:rFonts w:ascii="Arial" w:hAnsi="Arial" w:cs="Arial"/>
          <w:sz w:val="20"/>
        </w:rPr>
        <w:t xml:space="preserve"> (2014) reported that in Rajasthan, 70.59 percent of borrower farmers used institutional credit fully for the intended purpose, while 23.98 percent utilised the loan </w:t>
      </w:r>
      <w:r w:rsidR="001B0396" w:rsidRPr="00B4183B">
        <w:rPr>
          <w:rFonts w:ascii="Arial" w:hAnsi="Arial" w:cs="Arial"/>
          <w:sz w:val="20"/>
        </w:rPr>
        <w:t xml:space="preserve">only partially </w:t>
      </w:r>
      <w:r w:rsidRPr="00B4183B">
        <w:rPr>
          <w:rFonts w:ascii="Arial" w:hAnsi="Arial" w:cs="Arial"/>
          <w:sz w:val="20"/>
        </w:rPr>
        <w:t xml:space="preserve">and 5.43 percent diverted it entirely for non-prescribed uses. The extent of diversion varied by farm size, with marginal farmers showing the highest rate of complete diversion (7.27 percent), followed by semi-medium (6.67 percent), small (5.88 percent) and medium farmers (3.85 percent). Notably, none of the large farmers diverted the sanctioned loan amount. Full utilisation was highest among large farmers (83.83 percent) and lowest among marginal farmers (61.62 percent), demonstrating a clear positive association between farm size and utilisation efficiency. In contrast, partial utilisation showed the opposite trend, being highest among marginal borrowers (30.91 percent) and lowest among large farmers (16.67 percent). This pattern suggests that farmers </w:t>
      </w:r>
      <w:r w:rsidR="001B0396">
        <w:rPr>
          <w:rFonts w:ascii="Arial" w:hAnsi="Arial" w:cs="Arial"/>
          <w:sz w:val="20"/>
        </w:rPr>
        <w:t xml:space="preserve">with smaller </w:t>
      </w:r>
      <w:r w:rsidR="001B0396">
        <w:rPr>
          <w:rFonts w:ascii="Arial" w:hAnsi="Arial" w:cs="Arial"/>
          <w:sz w:val="20"/>
        </w:rPr>
        <w:lastRenderedPageBreak/>
        <w:t>ho</w:t>
      </w:r>
      <w:r w:rsidR="00302C53">
        <w:rPr>
          <w:rFonts w:ascii="Arial" w:hAnsi="Arial" w:cs="Arial"/>
          <w:sz w:val="20"/>
        </w:rPr>
        <w:t>ld</w:t>
      </w:r>
      <w:r w:rsidR="001B0396">
        <w:rPr>
          <w:rFonts w:ascii="Arial" w:hAnsi="Arial" w:cs="Arial"/>
          <w:sz w:val="20"/>
        </w:rPr>
        <w:t xml:space="preserve">ings </w:t>
      </w:r>
      <w:r w:rsidRPr="00B4183B">
        <w:rPr>
          <w:rFonts w:ascii="Arial" w:hAnsi="Arial" w:cs="Arial"/>
          <w:sz w:val="20"/>
        </w:rPr>
        <w:t>may face greater financial pressures or competing household needs, resulting in a higher likelihood of loan diversion.</w:t>
      </w:r>
    </w:p>
    <w:p w14:paraId="11FA1459" w14:textId="6B8BABDA" w:rsidR="00D76A98" w:rsidRPr="00D76A98" w:rsidRDefault="00D76A98" w:rsidP="00682ECD">
      <w:pPr>
        <w:pStyle w:val="NormalWeb"/>
        <w:spacing w:line="276" w:lineRule="auto"/>
        <w:jc w:val="both"/>
        <w:rPr>
          <w:rFonts w:ascii="Arial" w:hAnsi="Arial" w:cs="Arial"/>
          <w:sz w:val="20"/>
          <w:szCs w:val="20"/>
        </w:rPr>
      </w:pPr>
      <w:proofErr w:type="spellStart"/>
      <w:r w:rsidRPr="00D76A98">
        <w:rPr>
          <w:rFonts w:ascii="Arial" w:hAnsi="Arial" w:cs="Arial"/>
          <w:sz w:val="20"/>
          <w:szCs w:val="20"/>
        </w:rPr>
        <w:t>Sujesh</w:t>
      </w:r>
      <w:proofErr w:type="spellEnd"/>
      <w:r w:rsidRPr="00D76A98">
        <w:rPr>
          <w:rFonts w:ascii="Arial" w:hAnsi="Arial" w:cs="Arial"/>
          <w:sz w:val="20"/>
          <w:szCs w:val="20"/>
        </w:rPr>
        <w:t xml:space="preserve"> and </w:t>
      </w:r>
      <w:proofErr w:type="spellStart"/>
      <w:r w:rsidRPr="00D76A98">
        <w:rPr>
          <w:rFonts w:ascii="Arial" w:hAnsi="Arial" w:cs="Arial"/>
          <w:sz w:val="20"/>
          <w:szCs w:val="20"/>
        </w:rPr>
        <w:t>Udayakumar</w:t>
      </w:r>
      <w:proofErr w:type="spellEnd"/>
      <w:r>
        <w:rPr>
          <w:rFonts w:ascii="Arial" w:hAnsi="Arial" w:cs="Arial"/>
          <w:sz w:val="20"/>
          <w:szCs w:val="20"/>
        </w:rPr>
        <w:t xml:space="preserve"> (2018)</w:t>
      </w:r>
      <w:r w:rsidRPr="00D76A98">
        <w:rPr>
          <w:rFonts w:ascii="Arial" w:hAnsi="Arial" w:cs="Arial"/>
          <w:sz w:val="20"/>
          <w:szCs w:val="20"/>
        </w:rPr>
        <w:t xml:space="preserve"> reported that 46 percent of agricultural borrowers from cooperative banks in Kozhikode district diverted their loans, while only 54 percent used them for intended purposes. Diversion was significantly higher among male borrowers and those not primarily dependent on agriculture. Tenant farmers showed the least diversion, suggesting stronger utilisation discipline where livelihoods depend directly on farming. The study highlighted that borrower characteristics and loan type play important role in determining the likelihood of credit diversion in Kerala’s cooperative lending system.</w:t>
      </w:r>
    </w:p>
    <w:p w14:paraId="7B3A2E30" w14:textId="5E25860D" w:rsidR="00B4183B" w:rsidRPr="00B4183B" w:rsidRDefault="00B4183B" w:rsidP="00B4183B">
      <w:pPr>
        <w:pStyle w:val="NormalWeb"/>
        <w:spacing w:line="276" w:lineRule="auto"/>
        <w:jc w:val="both"/>
        <w:rPr>
          <w:rFonts w:ascii="Arial" w:hAnsi="Arial" w:cs="Arial"/>
          <w:sz w:val="20"/>
        </w:rPr>
      </w:pPr>
      <w:proofErr w:type="spellStart"/>
      <w:r w:rsidRPr="00B4183B">
        <w:rPr>
          <w:rFonts w:ascii="Arial" w:hAnsi="Arial" w:cs="Arial"/>
          <w:sz w:val="20"/>
        </w:rPr>
        <w:t>Narayanamoorthy</w:t>
      </w:r>
      <w:proofErr w:type="spellEnd"/>
      <w:r w:rsidRPr="00B4183B">
        <w:rPr>
          <w:rFonts w:ascii="Arial" w:hAnsi="Arial" w:cs="Arial"/>
          <w:sz w:val="20"/>
        </w:rPr>
        <w:t xml:space="preserve"> and </w:t>
      </w:r>
      <w:proofErr w:type="spellStart"/>
      <w:r w:rsidRPr="00B4183B">
        <w:rPr>
          <w:rFonts w:ascii="Arial" w:hAnsi="Arial" w:cs="Arial"/>
          <w:sz w:val="20"/>
        </w:rPr>
        <w:t>Sujitha</w:t>
      </w:r>
      <w:proofErr w:type="spellEnd"/>
      <w:r w:rsidRPr="00B4183B">
        <w:rPr>
          <w:rFonts w:ascii="Arial" w:hAnsi="Arial" w:cs="Arial"/>
          <w:sz w:val="20"/>
        </w:rPr>
        <w:t xml:space="preserve"> (2021) examined the determinants of income among agricultural households and found that literacy level, production expenditure and irrigated area were the most influential factors. The regression analysis showed that higher literacy rates were associated with increased household income, suggesting that education improves farmers’ ability to adopt modern technologies and engage more effectively with markets. Irrigation also emerged as a significant predictor, indicating that access to assured water supply contributes to better productivity and income stability. Additionally, expenditure on crop production</w:t>
      </w:r>
      <w:r w:rsidR="001B0396">
        <w:rPr>
          <w:rFonts w:ascii="Arial" w:hAnsi="Arial" w:cs="Arial"/>
          <w:sz w:val="20"/>
        </w:rPr>
        <w:t>,</w:t>
      </w:r>
      <w:r w:rsidR="00302C53">
        <w:rPr>
          <w:rFonts w:ascii="Arial" w:hAnsi="Arial" w:cs="Arial"/>
          <w:sz w:val="20"/>
        </w:rPr>
        <w:t xml:space="preserve"> p</w:t>
      </w:r>
      <w:r w:rsidRPr="00B4183B">
        <w:rPr>
          <w:rFonts w:ascii="Arial" w:hAnsi="Arial" w:cs="Arial"/>
          <w:sz w:val="20"/>
        </w:rPr>
        <w:t>articularly spending on yield-enhancing inputs such as improved seeds, fertilizers and pesticides</w:t>
      </w:r>
      <w:r w:rsidR="00E72E26">
        <w:rPr>
          <w:rFonts w:ascii="Arial" w:hAnsi="Arial" w:cs="Arial"/>
          <w:sz w:val="20"/>
        </w:rPr>
        <w:t xml:space="preserve"> </w:t>
      </w:r>
      <w:r w:rsidRPr="00B4183B">
        <w:rPr>
          <w:rFonts w:ascii="Arial" w:hAnsi="Arial" w:cs="Arial"/>
          <w:sz w:val="20"/>
        </w:rPr>
        <w:t>was positively linked to both total income and net income from crop production. The authors emphasized that improving literacy, expanding irrigation facilities and encouraging the use of modern agricultural inputs are important pathways for enhancing farm income. They also highlighted the relevance of collecting data on farmers’ market awareness to better understand its role in income variation.</w:t>
      </w:r>
    </w:p>
    <w:p w14:paraId="020AD7FC" w14:textId="6A8B2A69" w:rsidR="00F925F6" w:rsidRDefault="00F925F6" w:rsidP="00F925F6">
      <w:pPr>
        <w:pStyle w:val="NormalWeb"/>
        <w:spacing w:line="276" w:lineRule="auto"/>
        <w:jc w:val="both"/>
        <w:rPr>
          <w:rFonts w:ascii="Arial" w:hAnsi="Arial" w:cs="Arial"/>
          <w:sz w:val="20"/>
          <w:szCs w:val="20"/>
        </w:rPr>
      </w:pPr>
      <w:r w:rsidRPr="00F925F6">
        <w:rPr>
          <w:rFonts w:ascii="Arial" w:hAnsi="Arial" w:cs="Arial"/>
          <w:sz w:val="20"/>
          <w:szCs w:val="20"/>
        </w:rPr>
        <w:t>Tiwari et al. (2021) applied a log-linear Cobb</w:t>
      </w:r>
      <w:r>
        <w:rPr>
          <w:rFonts w:ascii="Arial" w:hAnsi="Arial" w:cs="Arial"/>
          <w:sz w:val="20"/>
          <w:szCs w:val="20"/>
        </w:rPr>
        <w:t>-</w:t>
      </w:r>
      <w:r w:rsidRPr="00F925F6">
        <w:rPr>
          <w:rFonts w:ascii="Arial" w:hAnsi="Arial" w:cs="Arial"/>
          <w:sz w:val="20"/>
          <w:szCs w:val="20"/>
        </w:rPr>
        <w:t>Douglas production function to assess how socio-economic factors influence farm income and supplemented this with descriptive statistics to profile household characteristics. Their regression findings showed that landholding size, irrigation intensity, expenditure on farm inputs and employment generation significantly increased farm income among beneficiary farmers. Among non-beneficiary farmers, variables such as age, education, input expenditure and employment generation were found to positively influence income. The study concludes that strengthening the factors identified as significant could contribute to improving farmers’ income levels, and suggests that policymakers may use these insights to design context-specific interventions for both beneficiary and non-beneficiary farming households.</w:t>
      </w:r>
    </w:p>
    <w:p w14:paraId="77E6FD12" w14:textId="567C0DF9" w:rsidR="009B5C11" w:rsidRPr="007604C7" w:rsidRDefault="009B5C11" w:rsidP="00F925F6">
      <w:pPr>
        <w:pStyle w:val="NormalWeb"/>
        <w:spacing w:line="276" w:lineRule="auto"/>
        <w:jc w:val="both"/>
        <w:rPr>
          <w:rFonts w:ascii="Arial" w:hAnsi="Arial" w:cs="Arial"/>
          <w:sz w:val="20"/>
          <w:szCs w:val="20"/>
          <w:lang w:val="en-US"/>
        </w:rPr>
      </w:pPr>
      <w:r>
        <w:rPr>
          <w:rFonts w:ascii="Arial" w:hAnsi="Arial" w:cs="Arial"/>
          <w:sz w:val="20"/>
          <w:szCs w:val="20"/>
        </w:rPr>
        <w:t xml:space="preserve">Johnson and Paul (2024) analysed the </w:t>
      </w:r>
      <w:r w:rsidRPr="00CF37FA">
        <w:rPr>
          <w:rFonts w:ascii="Arial" w:hAnsi="Arial" w:cs="Arial"/>
          <w:sz w:val="20"/>
          <w:szCs w:val="20"/>
          <w:lang w:val="en-US"/>
        </w:rPr>
        <w:t xml:space="preserve">loan distribution pattern of PACS in Kerala between 2008 and 2019 </w:t>
      </w:r>
      <w:r>
        <w:rPr>
          <w:rFonts w:ascii="Arial" w:hAnsi="Arial" w:cs="Arial"/>
          <w:sz w:val="20"/>
          <w:szCs w:val="20"/>
          <w:lang w:val="en-US"/>
        </w:rPr>
        <w:t xml:space="preserve">and found </w:t>
      </w:r>
      <w:r w:rsidRPr="00CF37FA">
        <w:rPr>
          <w:rFonts w:ascii="Arial" w:hAnsi="Arial" w:cs="Arial"/>
          <w:sz w:val="20"/>
          <w:szCs w:val="20"/>
          <w:lang w:val="en-US"/>
        </w:rPr>
        <w:t xml:space="preserve">notable shifts in member borrowing </w:t>
      </w:r>
      <w:proofErr w:type="spellStart"/>
      <w:r w:rsidRPr="00CF37FA">
        <w:rPr>
          <w:rFonts w:ascii="Arial" w:hAnsi="Arial" w:cs="Arial"/>
          <w:sz w:val="20"/>
          <w:szCs w:val="20"/>
          <w:lang w:val="en-US"/>
        </w:rPr>
        <w:t>behaviour</w:t>
      </w:r>
      <w:proofErr w:type="spellEnd"/>
      <w:r w:rsidRPr="00CF37FA">
        <w:rPr>
          <w:rFonts w:ascii="Arial" w:hAnsi="Arial" w:cs="Arial"/>
          <w:sz w:val="20"/>
          <w:szCs w:val="20"/>
          <w:lang w:val="en-US"/>
        </w:rPr>
        <w:t xml:space="preserve"> and financial requirements. Short-term loans accounted for the largest share, reflecting the predominance of immediate and seasonal credit needs among borrowers. However, the gradual increase in medium- and long-term lending suggests a growing inclination toward investment-oriented and long-duration financial support. Variations in the proportion of borrowing members, alongside rising levels of outstanding and overdue loans, point to a changing and increasingly complex credit environment. These developments </w:t>
      </w:r>
      <w:proofErr w:type="spellStart"/>
      <w:r w:rsidRPr="00CF37FA">
        <w:rPr>
          <w:rFonts w:ascii="Arial" w:hAnsi="Arial" w:cs="Arial"/>
          <w:sz w:val="20"/>
          <w:szCs w:val="20"/>
          <w:lang w:val="en-US"/>
        </w:rPr>
        <w:t>emphasise</w:t>
      </w:r>
      <w:proofErr w:type="spellEnd"/>
      <w:r w:rsidRPr="00CF37FA">
        <w:rPr>
          <w:rFonts w:ascii="Arial" w:hAnsi="Arial" w:cs="Arial"/>
          <w:sz w:val="20"/>
          <w:szCs w:val="20"/>
          <w:lang w:val="en-US"/>
        </w:rPr>
        <w:t xml:space="preserve"> the importance of refining lending strategies to ensure that credit remains accessible while maintaining sound repayment discipline and institutional financial stability.</w:t>
      </w:r>
    </w:p>
    <w:p w14:paraId="0F965F9C" w14:textId="3045C42D" w:rsidR="00B30A64" w:rsidRPr="00B30A64" w:rsidRDefault="00B30A64" w:rsidP="00682ECD">
      <w:pPr>
        <w:pStyle w:val="NormalWeb"/>
        <w:spacing w:line="276" w:lineRule="auto"/>
        <w:jc w:val="both"/>
        <w:rPr>
          <w:rFonts w:ascii="Arial" w:hAnsi="Arial" w:cs="Arial"/>
          <w:sz w:val="20"/>
          <w:szCs w:val="20"/>
          <w:lang w:val="en-US"/>
        </w:rPr>
      </w:pPr>
      <w:r w:rsidRPr="00B30A64">
        <w:rPr>
          <w:rFonts w:ascii="Arial" w:hAnsi="Arial" w:cs="Arial"/>
          <w:sz w:val="20"/>
          <w:szCs w:val="20"/>
          <w:lang w:val="en-US"/>
        </w:rPr>
        <w:t xml:space="preserve">Raj </w:t>
      </w:r>
      <w:r w:rsidRPr="003C0AAF">
        <w:rPr>
          <w:rFonts w:ascii="Arial" w:hAnsi="Arial" w:cs="Arial"/>
          <w:sz w:val="20"/>
          <w:szCs w:val="20"/>
          <w:lang w:val="en-US"/>
        </w:rPr>
        <w:t>et a</w:t>
      </w:r>
      <w:r w:rsidRPr="00EE224E">
        <w:rPr>
          <w:rFonts w:ascii="Arial" w:hAnsi="Arial" w:cs="Arial"/>
          <w:sz w:val="20"/>
          <w:szCs w:val="20"/>
          <w:lang w:val="en-US"/>
        </w:rPr>
        <w:t>l., (2024) r</w:t>
      </w:r>
      <w:proofErr w:type="spellStart"/>
      <w:r w:rsidRPr="00EE224E">
        <w:rPr>
          <w:rFonts w:ascii="Arial" w:hAnsi="Arial" w:cs="Arial"/>
          <w:sz w:val="20"/>
          <w:szCs w:val="20"/>
        </w:rPr>
        <w:t>eported</w:t>
      </w:r>
      <w:proofErr w:type="spellEnd"/>
      <w:r w:rsidRPr="00EE224E">
        <w:rPr>
          <w:rFonts w:ascii="Arial" w:hAnsi="Arial" w:cs="Arial"/>
          <w:sz w:val="20"/>
          <w:szCs w:val="20"/>
        </w:rPr>
        <w:t xml:space="preserve"> the diversion of agricultural credit towards non-productive uses such as repayment of existing debts and housing-related expenditures in both Palakkad and Wayanad districts. Credit diversion was measured as the proportion of the total loan amount utilised for non-agricultural purposes. Their findings indicated that the extent of diversion was higher among borrower farmers in Wayanad (20.7 percent) compared to those in Palakkad (19.1 percent), reflecting greater reliance on credit for non-productive financial needs in the former district.</w:t>
      </w:r>
    </w:p>
    <w:p w14:paraId="7D4DCD3B" w14:textId="77777777" w:rsidR="007F7B32" w:rsidRDefault="00D96F3F" w:rsidP="00441B6F">
      <w:pPr>
        <w:pStyle w:val="AbstHead"/>
        <w:spacing w:after="0"/>
        <w:jc w:val="both"/>
        <w:rPr>
          <w:rFonts w:ascii="Arial" w:hAnsi="Arial" w:cs="Arial"/>
        </w:rPr>
      </w:pPr>
      <w:r>
        <w:rPr>
          <w:rFonts w:ascii="Arial" w:hAnsi="Arial" w:cs="Arial"/>
        </w:rPr>
        <w:t>3</w:t>
      </w:r>
      <w:r w:rsidR="00902823">
        <w:rPr>
          <w:rFonts w:ascii="Arial" w:hAnsi="Arial" w:cs="Arial"/>
        </w:rPr>
        <w:t xml:space="preserve">. </w:t>
      </w:r>
      <w:r w:rsidR="006B57D0">
        <w:rPr>
          <w:rFonts w:ascii="Arial" w:hAnsi="Arial" w:cs="Arial"/>
        </w:rPr>
        <w:t>methodology</w:t>
      </w:r>
      <w:r w:rsidR="007F7B32">
        <w:rPr>
          <w:rFonts w:ascii="Arial" w:hAnsi="Arial" w:cs="Arial"/>
        </w:rPr>
        <w:t xml:space="preserve"> </w:t>
      </w:r>
    </w:p>
    <w:p w14:paraId="2CC75249" w14:textId="594E92FA" w:rsidR="00682ECD" w:rsidRPr="00682ECD" w:rsidRDefault="00682ECD" w:rsidP="00682ECD">
      <w:pPr>
        <w:pStyle w:val="NormalWeb"/>
        <w:spacing w:line="276" w:lineRule="auto"/>
        <w:ind w:firstLine="720"/>
        <w:jc w:val="both"/>
        <w:rPr>
          <w:rFonts w:ascii="Arial" w:hAnsi="Arial" w:cs="Arial"/>
          <w:sz w:val="20"/>
          <w:szCs w:val="20"/>
        </w:rPr>
      </w:pPr>
      <w:r w:rsidRPr="00682ECD">
        <w:rPr>
          <w:rFonts w:ascii="Arial" w:hAnsi="Arial" w:cs="Arial"/>
          <w:sz w:val="20"/>
          <w:szCs w:val="20"/>
        </w:rPr>
        <w:t xml:space="preserve">The study was conducted in four representative districts of Kerala namely Palakkad, Malappuram, </w:t>
      </w:r>
      <w:proofErr w:type="spellStart"/>
      <w:r w:rsidRPr="00682ECD">
        <w:rPr>
          <w:rFonts w:ascii="Arial" w:hAnsi="Arial" w:cs="Arial"/>
          <w:sz w:val="20"/>
          <w:szCs w:val="20"/>
        </w:rPr>
        <w:t>Pathanamthitta</w:t>
      </w:r>
      <w:proofErr w:type="spellEnd"/>
      <w:r w:rsidRPr="00682ECD">
        <w:rPr>
          <w:rFonts w:ascii="Arial" w:hAnsi="Arial" w:cs="Arial"/>
          <w:sz w:val="20"/>
          <w:szCs w:val="20"/>
        </w:rPr>
        <w:t xml:space="preserve"> and Alappuzha. Two blocks were selected from each district based on the presence and activity level of co-operative lending institutions. From each selected block, 20 borrower households were chosen through simple random sampling, resulting in a final sample size of 160 respondents. Primary data </w:t>
      </w:r>
      <w:r w:rsidR="00302C53">
        <w:rPr>
          <w:rFonts w:ascii="Arial" w:hAnsi="Arial" w:cs="Arial"/>
          <w:sz w:val="20"/>
          <w:szCs w:val="20"/>
        </w:rPr>
        <w:t>was</w:t>
      </w:r>
      <w:r w:rsidR="00E72E26">
        <w:rPr>
          <w:rFonts w:ascii="Arial" w:hAnsi="Arial" w:cs="Arial"/>
          <w:sz w:val="20"/>
          <w:szCs w:val="20"/>
        </w:rPr>
        <w:t xml:space="preserve"> </w:t>
      </w:r>
      <w:r w:rsidRPr="00682ECD">
        <w:rPr>
          <w:rFonts w:ascii="Arial" w:hAnsi="Arial" w:cs="Arial"/>
          <w:sz w:val="20"/>
          <w:szCs w:val="20"/>
        </w:rPr>
        <w:t xml:space="preserve">collected using a structured interview schedule that captured socio-economic characteristics, landholding, cropping pattern, loan amount, loan utilisation behaviour and income details. </w:t>
      </w:r>
    </w:p>
    <w:p w14:paraId="75AC8C1D" w14:textId="3E4901F6" w:rsidR="00BD0A51" w:rsidRDefault="00682ECD" w:rsidP="00BD0A51">
      <w:pPr>
        <w:pStyle w:val="NormalWeb"/>
        <w:spacing w:line="276" w:lineRule="auto"/>
        <w:ind w:firstLine="720"/>
        <w:jc w:val="both"/>
        <w:rPr>
          <w:rFonts w:ascii="Arial" w:hAnsi="Arial" w:cs="Arial"/>
          <w:sz w:val="20"/>
          <w:szCs w:val="20"/>
          <w:lang w:val="en-GB"/>
        </w:rPr>
      </w:pPr>
      <w:r w:rsidRPr="00682ECD">
        <w:rPr>
          <w:rFonts w:ascii="Arial" w:hAnsi="Arial" w:cs="Arial"/>
          <w:sz w:val="20"/>
          <w:szCs w:val="20"/>
        </w:rPr>
        <w:lastRenderedPageBreak/>
        <w:t xml:space="preserve">Two Ordinary Least Squares (OLS) log-linear regression models were employed for </w:t>
      </w:r>
      <w:r w:rsidR="00CE6FBD" w:rsidRPr="00682ECD">
        <w:rPr>
          <w:rFonts w:ascii="Arial" w:hAnsi="Arial" w:cs="Arial"/>
          <w:sz w:val="20"/>
          <w:szCs w:val="20"/>
        </w:rPr>
        <w:t>analys</w:t>
      </w:r>
      <w:r w:rsidR="00CE6FBD">
        <w:rPr>
          <w:rFonts w:ascii="Arial" w:hAnsi="Arial" w:cs="Arial"/>
          <w:sz w:val="20"/>
          <w:szCs w:val="20"/>
        </w:rPr>
        <w:t>ing the data</w:t>
      </w:r>
      <w:r w:rsidRPr="00682ECD">
        <w:rPr>
          <w:rFonts w:ascii="Arial" w:hAnsi="Arial" w:cs="Arial"/>
          <w:sz w:val="20"/>
          <w:szCs w:val="20"/>
        </w:rPr>
        <w:t xml:space="preserve">. The first model examined the factors influencing the amount of co-operative credit borrowed, using demographic, farm-level and financial variables as predictors. </w:t>
      </w:r>
      <w:r w:rsidRPr="00682ECD">
        <w:rPr>
          <w:rFonts w:ascii="Arial" w:hAnsi="Arial" w:cs="Arial"/>
          <w:sz w:val="20"/>
          <w:szCs w:val="20"/>
          <w:lang w:val="en-GB"/>
        </w:rPr>
        <w:t xml:space="preserve">It was assumed that socio-economic and farm characteristics would influence the amount of credit borrowed. </w:t>
      </w:r>
    </w:p>
    <w:p w14:paraId="77882D51" w14:textId="77777777" w:rsidR="007D19AF" w:rsidRPr="00BD0A51" w:rsidRDefault="007D19AF" w:rsidP="00562879">
      <w:pPr>
        <w:pStyle w:val="NormalWeb"/>
        <w:spacing w:line="276" w:lineRule="auto"/>
        <w:ind w:firstLine="720"/>
        <w:jc w:val="both"/>
        <w:rPr>
          <w:rFonts w:ascii="Arial" w:hAnsi="Arial" w:cs="Arial"/>
          <w:bCs/>
          <w:sz w:val="20"/>
          <w:szCs w:val="20"/>
          <w:lang w:val="en-GB"/>
        </w:rPr>
      </w:pPr>
      <m:oMathPara>
        <m:oMath>
          <m:r>
            <w:rPr>
              <w:rFonts w:ascii="Cambria Math" w:hAnsi="Cambria Math" w:cs="Arial"/>
              <w:sz w:val="20"/>
              <w:szCs w:val="20"/>
              <w:lang w:val="en-GB"/>
            </w:rPr>
            <m:t>ln</m:t>
          </m:r>
          <m:d>
            <m:dPr>
              <m:ctrlPr>
                <w:rPr>
                  <w:rFonts w:ascii="Cambria Math" w:hAnsi="Cambria Math" w:cs="Arial"/>
                  <w:bCs/>
                  <w:i/>
                  <w:sz w:val="20"/>
                  <w:szCs w:val="20"/>
                  <w:lang w:val="en-GB"/>
                </w:rPr>
              </m:ctrlPr>
            </m:dPr>
            <m:e>
              <m:r>
                <w:rPr>
                  <w:rFonts w:ascii="Cambria Math" w:hAnsi="Cambria Math" w:cs="Arial"/>
                  <w:sz w:val="20"/>
                  <w:szCs w:val="20"/>
                  <w:lang w:val="en-GB"/>
                </w:rPr>
                <m:t>Y</m:t>
              </m:r>
            </m:e>
          </m:d>
          <m:r>
            <w:rPr>
              <w:rFonts w:ascii="Cambria Math" w:hAnsi="Cambria Math" w:cs="Arial"/>
              <w:sz w:val="20"/>
              <w:szCs w:val="20"/>
              <w:lang w:val="en-GB"/>
            </w:rPr>
            <m:t>=</m:t>
          </m:r>
          <m:sSub>
            <m:sSubPr>
              <m:ctrlPr>
                <w:rPr>
                  <w:rFonts w:ascii="Cambria Math" w:hAnsi="Cambria Math" w:cs="Arial"/>
                  <w:bCs/>
                  <w:i/>
                  <w:sz w:val="20"/>
                  <w:szCs w:val="20"/>
                  <w:lang w:val="en-GB"/>
                </w:rPr>
              </m:ctrlPr>
            </m:sSubPr>
            <m:e>
              <m:r>
                <w:rPr>
                  <w:rFonts w:ascii="Cambria Math" w:hAnsi="Cambria Math" w:cs="Arial"/>
                  <w:sz w:val="20"/>
                  <w:szCs w:val="20"/>
                  <w:lang w:val="en-GB"/>
                </w:rPr>
                <m:t>β</m:t>
              </m:r>
            </m:e>
            <m:sub>
              <m:r>
                <w:rPr>
                  <w:rFonts w:ascii="Cambria Math" w:hAnsi="Cambria Math" w:cs="Arial"/>
                  <w:sz w:val="20"/>
                  <w:szCs w:val="20"/>
                  <w:lang w:val="en-GB"/>
                </w:rPr>
                <m:t>0</m:t>
              </m:r>
            </m:sub>
          </m:sSub>
          <m:r>
            <w:rPr>
              <w:rFonts w:ascii="Cambria Math" w:hAnsi="Cambria Math" w:cs="Arial"/>
              <w:sz w:val="20"/>
              <w:szCs w:val="20"/>
              <w:lang w:val="en-GB"/>
            </w:rPr>
            <m:t>+</m:t>
          </m:r>
          <m:sSub>
            <m:sSubPr>
              <m:ctrlPr>
                <w:rPr>
                  <w:rFonts w:ascii="Cambria Math" w:hAnsi="Cambria Math" w:cs="Arial"/>
                  <w:bCs/>
                  <w:i/>
                  <w:sz w:val="20"/>
                  <w:szCs w:val="20"/>
                  <w:lang w:val="en-GB"/>
                </w:rPr>
              </m:ctrlPr>
            </m:sSubPr>
            <m:e>
              <m:r>
                <w:rPr>
                  <w:rFonts w:ascii="Cambria Math" w:hAnsi="Cambria Math" w:cs="Arial"/>
                  <w:sz w:val="20"/>
                  <w:szCs w:val="20"/>
                  <w:lang w:val="en-GB"/>
                </w:rPr>
                <m:t>β</m:t>
              </m:r>
            </m:e>
            <m:sub>
              <m:r>
                <w:rPr>
                  <w:rFonts w:ascii="Cambria Math" w:hAnsi="Cambria Math" w:cs="Arial"/>
                  <w:sz w:val="20"/>
                  <w:szCs w:val="20"/>
                  <w:lang w:val="en-GB"/>
                </w:rPr>
                <m:t>1</m:t>
              </m:r>
            </m:sub>
          </m:sSub>
          <m:r>
            <w:rPr>
              <w:rFonts w:ascii="Cambria Math" w:hAnsi="Cambria Math" w:cs="Arial"/>
              <w:sz w:val="20"/>
              <w:szCs w:val="20"/>
              <w:lang w:val="en-GB"/>
            </w:rPr>
            <m:t>ln</m:t>
          </m:r>
          <m:d>
            <m:dPr>
              <m:ctrlPr>
                <w:rPr>
                  <w:rFonts w:ascii="Cambria Math" w:hAnsi="Cambria Math" w:cs="Arial"/>
                  <w:bCs/>
                  <w:i/>
                  <w:sz w:val="20"/>
                  <w:szCs w:val="20"/>
                  <w:lang w:val="en-GB"/>
                </w:rPr>
              </m:ctrlPr>
            </m:dPr>
            <m:e>
              <m:r>
                <w:rPr>
                  <w:rFonts w:ascii="Cambria Math" w:hAnsi="Cambria Math" w:cs="Arial"/>
                  <w:sz w:val="20"/>
                  <w:szCs w:val="20"/>
                  <w:lang w:val="en-GB"/>
                </w:rPr>
                <m:t>Age</m:t>
              </m:r>
            </m:e>
          </m:d>
          <m:r>
            <w:rPr>
              <w:rFonts w:ascii="Cambria Math" w:hAnsi="Cambria Math" w:cs="Arial"/>
              <w:sz w:val="20"/>
              <w:szCs w:val="20"/>
              <w:lang w:val="en-GB"/>
            </w:rPr>
            <m:t>+</m:t>
          </m:r>
          <m:sSub>
            <m:sSubPr>
              <m:ctrlPr>
                <w:rPr>
                  <w:rFonts w:ascii="Cambria Math" w:hAnsi="Cambria Math" w:cs="Arial"/>
                  <w:bCs/>
                  <w:i/>
                  <w:sz w:val="20"/>
                  <w:szCs w:val="20"/>
                  <w:lang w:val="en-GB"/>
                </w:rPr>
              </m:ctrlPr>
            </m:sSubPr>
            <m:e>
              <m:r>
                <w:rPr>
                  <w:rFonts w:ascii="Cambria Math" w:hAnsi="Cambria Math" w:cs="Arial"/>
                  <w:sz w:val="20"/>
                  <w:szCs w:val="20"/>
                  <w:lang w:val="en-GB"/>
                </w:rPr>
                <m:t>β</m:t>
              </m:r>
            </m:e>
            <m:sub>
              <m:r>
                <w:rPr>
                  <w:rFonts w:ascii="Cambria Math" w:hAnsi="Cambria Math" w:cs="Arial"/>
                  <w:sz w:val="20"/>
                  <w:szCs w:val="20"/>
                  <w:lang w:val="en-GB"/>
                </w:rPr>
                <m:t>2</m:t>
              </m:r>
            </m:sub>
          </m:sSub>
          <m:r>
            <w:rPr>
              <w:rFonts w:ascii="Cambria Math" w:hAnsi="Cambria Math" w:cs="Arial"/>
              <w:sz w:val="20"/>
              <w:szCs w:val="20"/>
              <w:lang w:val="en-GB"/>
            </w:rPr>
            <m:t>ln</m:t>
          </m:r>
          <m:d>
            <m:dPr>
              <m:ctrlPr>
                <w:rPr>
                  <w:rFonts w:ascii="Cambria Math" w:hAnsi="Cambria Math" w:cs="Arial"/>
                  <w:bCs/>
                  <w:i/>
                  <w:sz w:val="20"/>
                  <w:szCs w:val="20"/>
                  <w:lang w:val="en-GB"/>
                </w:rPr>
              </m:ctrlPr>
            </m:dPr>
            <m:e>
              <m:r>
                <w:rPr>
                  <w:rFonts w:ascii="Cambria Math" w:hAnsi="Cambria Math" w:cs="Arial"/>
                  <w:sz w:val="20"/>
                  <w:szCs w:val="20"/>
                  <w:lang w:val="en-GB"/>
                </w:rPr>
                <m:t>Education</m:t>
              </m:r>
            </m:e>
          </m:d>
          <m:r>
            <w:rPr>
              <w:rFonts w:ascii="Cambria Math" w:hAnsi="Cambria Math" w:cs="Arial"/>
              <w:sz w:val="20"/>
              <w:szCs w:val="20"/>
              <w:lang w:val="en-GB"/>
            </w:rPr>
            <m:t>+</m:t>
          </m:r>
          <m:sSub>
            <m:sSubPr>
              <m:ctrlPr>
                <w:rPr>
                  <w:rFonts w:ascii="Cambria Math" w:hAnsi="Cambria Math" w:cs="Arial"/>
                  <w:bCs/>
                  <w:i/>
                  <w:sz w:val="20"/>
                  <w:szCs w:val="20"/>
                  <w:lang w:val="en-GB"/>
                </w:rPr>
              </m:ctrlPr>
            </m:sSubPr>
            <m:e>
              <m:r>
                <w:rPr>
                  <w:rFonts w:ascii="Cambria Math" w:hAnsi="Cambria Math" w:cs="Arial"/>
                  <w:sz w:val="20"/>
                  <w:szCs w:val="20"/>
                  <w:lang w:val="en-GB"/>
                </w:rPr>
                <m:t>β</m:t>
              </m:r>
            </m:e>
            <m:sub>
              <m:r>
                <w:rPr>
                  <w:rFonts w:ascii="Cambria Math" w:hAnsi="Cambria Math" w:cs="Arial"/>
                  <w:sz w:val="20"/>
                  <w:szCs w:val="20"/>
                  <w:lang w:val="en-GB"/>
                </w:rPr>
                <m:t>3</m:t>
              </m:r>
            </m:sub>
          </m:sSub>
          <m:r>
            <w:rPr>
              <w:rFonts w:ascii="Cambria Math" w:hAnsi="Cambria Math" w:cs="Arial"/>
              <w:sz w:val="20"/>
              <w:szCs w:val="20"/>
              <w:lang w:val="en-GB"/>
            </w:rPr>
            <m:t>ln</m:t>
          </m:r>
          <m:d>
            <m:dPr>
              <m:ctrlPr>
                <w:rPr>
                  <w:rFonts w:ascii="Cambria Math" w:hAnsi="Cambria Math" w:cs="Arial"/>
                  <w:bCs/>
                  <w:i/>
                  <w:sz w:val="20"/>
                  <w:szCs w:val="20"/>
                  <w:lang w:val="en-GB"/>
                </w:rPr>
              </m:ctrlPr>
            </m:dPr>
            <m:e>
              <m:r>
                <w:rPr>
                  <w:rFonts w:ascii="Cambria Math" w:hAnsi="Cambria Math" w:cs="Arial"/>
                  <w:sz w:val="20"/>
                  <w:szCs w:val="20"/>
                  <w:lang w:val="en-GB"/>
                </w:rPr>
                <m:t>Farmingexperience</m:t>
              </m:r>
            </m:e>
          </m:d>
          <m:r>
            <w:rPr>
              <w:rFonts w:ascii="Cambria Math" w:hAnsi="Cambria Math" w:cs="Arial"/>
              <w:sz w:val="20"/>
              <w:szCs w:val="20"/>
              <w:lang w:val="en-GB"/>
            </w:rPr>
            <m:t>+</m:t>
          </m:r>
          <m:sSub>
            <m:sSubPr>
              <m:ctrlPr>
                <w:rPr>
                  <w:rFonts w:ascii="Cambria Math" w:hAnsi="Cambria Math" w:cs="Arial"/>
                  <w:bCs/>
                  <w:i/>
                  <w:sz w:val="20"/>
                  <w:szCs w:val="20"/>
                  <w:lang w:val="en-GB"/>
                </w:rPr>
              </m:ctrlPr>
            </m:sSubPr>
            <m:e>
              <m:r>
                <w:rPr>
                  <w:rFonts w:ascii="Cambria Math" w:hAnsi="Cambria Math" w:cs="Arial"/>
                  <w:sz w:val="20"/>
                  <w:szCs w:val="20"/>
                  <w:lang w:val="en-GB"/>
                </w:rPr>
                <m:t>β</m:t>
              </m:r>
            </m:e>
            <m:sub>
              <m:r>
                <w:rPr>
                  <w:rFonts w:ascii="Cambria Math" w:hAnsi="Cambria Math" w:cs="Arial"/>
                  <w:sz w:val="20"/>
                  <w:szCs w:val="20"/>
                  <w:lang w:val="en-GB"/>
                </w:rPr>
                <m:t>4</m:t>
              </m:r>
            </m:sub>
          </m:sSub>
          <m:r>
            <w:rPr>
              <w:rFonts w:ascii="Cambria Math" w:hAnsi="Cambria Math" w:cs="Arial"/>
              <w:sz w:val="20"/>
              <w:szCs w:val="20"/>
              <w:lang w:val="en-GB"/>
            </w:rPr>
            <m:t>ln</m:t>
          </m:r>
          <m:d>
            <m:dPr>
              <m:ctrlPr>
                <w:rPr>
                  <w:rFonts w:ascii="Cambria Math" w:hAnsi="Cambria Math" w:cs="Arial"/>
                  <w:bCs/>
                  <w:i/>
                  <w:sz w:val="20"/>
                  <w:szCs w:val="20"/>
                  <w:lang w:val="en-GB"/>
                </w:rPr>
              </m:ctrlPr>
            </m:dPr>
            <m:e>
              <m:r>
                <w:rPr>
                  <w:rFonts w:ascii="Cambria Math" w:hAnsi="Cambria Math" w:cs="Arial"/>
                  <w:sz w:val="20"/>
                  <w:szCs w:val="20"/>
                  <w:lang w:val="en-GB"/>
                </w:rPr>
                <m:t>Incomefromothersources</m:t>
              </m:r>
            </m:e>
          </m:d>
          <m:r>
            <w:rPr>
              <w:rFonts w:ascii="Cambria Math" w:hAnsi="Cambria Math" w:cs="Arial"/>
              <w:sz w:val="20"/>
              <w:szCs w:val="20"/>
              <w:lang w:val="en-GB"/>
            </w:rPr>
            <m:t>+</m:t>
          </m:r>
          <m:sSub>
            <m:sSubPr>
              <m:ctrlPr>
                <w:rPr>
                  <w:rFonts w:ascii="Cambria Math" w:hAnsi="Cambria Math" w:cs="Arial"/>
                  <w:bCs/>
                  <w:i/>
                  <w:sz w:val="20"/>
                  <w:szCs w:val="20"/>
                  <w:lang w:val="en-GB"/>
                </w:rPr>
              </m:ctrlPr>
            </m:sSubPr>
            <m:e>
              <m:r>
                <w:rPr>
                  <w:rFonts w:ascii="Cambria Math" w:hAnsi="Cambria Math" w:cs="Arial"/>
                  <w:sz w:val="20"/>
                  <w:szCs w:val="20"/>
                  <w:lang w:val="en-GB"/>
                </w:rPr>
                <m:t>β</m:t>
              </m:r>
            </m:e>
            <m:sub>
              <m:r>
                <w:rPr>
                  <w:rFonts w:ascii="Cambria Math" w:hAnsi="Cambria Math" w:cs="Arial"/>
                  <w:sz w:val="20"/>
                  <w:szCs w:val="20"/>
                  <w:lang w:val="en-GB"/>
                </w:rPr>
                <m:t>5</m:t>
              </m:r>
            </m:sub>
          </m:sSub>
          <m:r>
            <w:rPr>
              <w:rFonts w:ascii="Cambria Math" w:hAnsi="Cambria Math" w:cs="Arial"/>
              <w:sz w:val="20"/>
              <w:szCs w:val="20"/>
              <w:lang w:val="en-GB"/>
            </w:rPr>
            <m:t>ln</m:t>
          </m:r>
          <m:d>
            <m:dPr>
              <m:ctrlPr>
                <w:rPr>
                  <w:rFonts w:ascii="Cambria Math" w:hAnsi="Cambria Math" w:cs="Arial"/>
                  <w:bCs/>
                  <w:i/>
                  <w:sz w:val="20"/>
                  <w:szCs w:val="20"/>
                  <w:lang w:val="en-GB"/>
                </w:rPr>
              </m:ctrlPr>
            </m:dPr>
            <m:e>
              <m:r>
                <w:rPr>
                  <w:rFonts w:ascii="Cambria Math" w:hAnsi="Cambria Math" w:cs="Arial"/>
                  <w:sz w:val="20"/>
                  <w:szCs w:val="20"/>
                  <w:lang w:val="en-GB"/>
                </w:rPr>
                <m:t>Cultivatedarea</m:t>
              </m:r>
            </m:e>
          </m:d>
          <m:r>
            <w:rPr>
              <w:rFonts w:ascii="Cambria Math" w:hAnsi="Cambria Math" w:cs="Arial"/>
              <w:sz w:val="20"/>
              <w:szCs w:val="20"/>
              <w:lang w:val="en-GB"/>
            </w:rPr>
            <m:t>+</m:t>
          </m:r>
          <m:sSub>
            <m:sSubPr>
              <m:ctrlPr>
                <w:rPr>
                  <w:rFonts w:ascii="Cambria Math" w:hAnsi="Cambria Math" w:cs="Arial"/>
                  <w:bCs/>
                  <w:i/>
                  <w:sz w:val="20"/>
                  <w:szCs w:val="20"/>
                  <w:lang w:val="en-GB"/>
                </w:rPr>
              </m:ctrlPr>
            </m:sSubPr>
            <m:e>
              <m:r>
                <w:rPr>
                  <w:rFonts w:ascii="Cambria Math" w:hAnsi="Cambria Math" w:cs="Arial"/>
                  <w:sz w:val="20"/>
                  <w:szCs w:val="20"/>
                  <w:lang w:val="en-GB"/>
                </w:rPr>
                <m:t>β</m:t>
              </m:r>
            </m:e>
            <m:sub>
              <m:r>
                <w:rPr>
                  <w:rFonts w:ascii="Cambria Math" w:hAnsi="Cambria Math" w:cs="Arial"/>
                  <w:sz w:val="20"/>
                  <w:szCs w:val="20"/>
                  <w:lang w:val="en-GB"/>
                </w:rPr>
                <m:t>6</m:t>
              </m:r>
            </m:sub>
          </m:sSub>
          <m:r>
            <w:rPr>
              <w:rFonts w:ascii="Cambria Math" w:hAnsi="Cambria Math" w:cs="Arial"/>
              <w:sz w:val="20"/>
              <w:szCs w:val="20"/>
              <w:lang w:val="en-GB"/>
            </w:rPr>
            <m:t>ln(Costofproduction+</m:t>
          </m:r>
          <m:sSub>
            <m:sSubPr>
              <m:ctrlPr>
                <w:rPr>
                  <w:rFonts w:ascii="Cambria Math" w:hAnsi="Cambria Math" w:cs="Arial"/>
                  <w:bCs/>
                  <w:i/>
                  <w:sz w:val="20"/>
                  <w:szCs w:val="20"/>
                  <w:lang w:val="en-GB"/>
                </w:rPr>
              </m:ctrlPr>
            </m:sSubPr>
            <m:e>
              <m:r>
                <w:rPr>
                  <w:rFonts w:ascii="Cambria Math" w:hAnsi="Cambria Math" w:cs="Arial"/>
                  <w:sz w:val="20"/>
                  <w:szCs w:val="20"/>
                  <w:lang w:val="en-GB"/>
                </w:rPr>
                <m:t>β</m:t>
              </m:r>
            </m:e>
            <m:sub>
              <m:r>
                <w:rPr>
                  <w:rFonts w:ascii="Cambria Math" w:hAnsi="Cambria Math" w:cs="Arial"/>
                  <w:sz w:val="20"/>
                  <w:szCs w:val="20"/>
                  <w:lang w:val="en-GB"/>
                </w:rPr>
                <m:t>7</m:t>
              </m:r>
            </m:sub>
          </m:sSub>
          <m:r>
            <w:rPr>
              <w:rFonts w:ascii="Cambria Math" w:hAnsi="Cambria Math" w:cs="Arial"/>
              <w:sz w:val="20"/>
              <w:szCs w:val="20"/>
              <w:lang w:val="en-GB"/>
            </w:rPr>
            <m:t>ln</m:t>
          </m:r>
          <m:d>
            <m:dPr>
              <m:ctrlPr>
                <w:rPr>
                  <w:rFonts w:ascii="Cambria Math" w:hAnsi="Cambria Math" w:cs="Arial"/>
                  <w:bCs/>
                  <w:i/>
                  <w:sz w:val="20"/>
                  <w:szCs w:val="20"/>
                  <w:lang w:val="en-GB"/>
                </w:rPr>
              </m:ctrlPr>
            </m:dPr>
            <m:e>
              <m:r>
                <w:rPr>
                  <w:rFonts w:ascii="Cambria Math" w:hAnsi="Cambria Math" w:cs="Arial"/>
                  <w:sz w:val="20"/>
                  <w:szCs w:val="20"/>
                  <w:lang w:val="en-GB"/>
                </w:rPr>
                <m:t>Farmincome</m:t>
              </m:r>
            </m:e>
          </m:d>
          <m:r>
            <w:rPr>
              <w:rFonts w:ascii="Cambria Math" w:hAnsi="Cambria Math" w:cs="Arial"/>
              <w:sz w:val="20"/>
              <w:szCs w:val="20"/>
              <w:lang w:val="en-GB"/>
            </w:rPr>
            <m:t>+</m:t>
          </m:r>
          <m:sSub>
            <m:sSubPr>
              <m:ctrlPr>
                <w:rPr>
                  <w:rFonts w:ascii="Cambria Math" w:hAnsi="Cambria Math" w:cs="Arial"/>
                  <w:bCs/>
                  <w:i/>
                  <w:sz w:val="20"/>
                  <w:szCs w:val="20"/>
                  <w:lang w:val="en-GB"/>
                </w:rPr>
              </m:ctrlPr>
            </m:sSubPr>
            <m:e>
              <m:r>
                <w:rPr>
                  <w:rFonts w:ascii="Cambria Math" w:hAnsi="Cambria Math" w:cs="Arial"/>
                  <w:sz w:val="20"/>
                  <w:szCs w:val="20"/>
                  <w:lang w:val="en-GB"/>
                </w:rPr>
                <m:t>β</m:t>
              </m:r>
            </m:e>
            <m:sub>
              <m:r>
                <w:rPr>
                  <w:rFonts w:ascii="Cambria Math" w:hAnsi="Cambria Math" w:cs="Arial"/>
                  <w:sz w:val="20"/>
                  <w:szCs w:val="20"/>
                  <w:lang w:val="en-GB"/>
                </w:rPr>
                <m:t>8</m:t>
              </m:r>
            </m:sub>
          </m:sSub>
          <m:r>
            <w:rPr>
              <w:rFonts w:ascii="Cambria Math" w:hAnsi="Cambria Math" w:cs="Arial"/>
              <w:sz w:val="20"/>
              <w:szCs w:val="20"/>
              <w:lang w:val="en-GB"/>
            </w:rPr>
            <m:t>ln</m:t>
          </m:r>
          <m:d>
            <m:dPr>
              <m:ctrlPr>
                <w:rPr>
                  <w:rFonts w:ascii="Cambria Math" w:hAnsi="Cambria Math" w:cs="Arial"/>
                  <w:bCs/>
                  <w:i/>
                  <w:sz w:val="20"/>
                  <w:szCs w:val="20"/>
                  <w:lang w:val="en-GB"/>
                </w:rPr>
              </m:ctrlPr>
            </m:dPr>
            <m:e>
              <m:r>
                <w:rPr>
                  <w:rFonts w:ascii="Cambria Math" w:hAnsi="Cambria Math" w:cs="Arial"/>
                  <w:sz w:val="20"/>
                  <w:szCs w:val="20"/>
                  <w:lang w:val="en-GB"/>
                </w:rPr>
                <m:t>Otherloanoutstanding</m:t>
              </m:r>
            </m:e>
          </m:d>
          <m:r>
            <w:rPr>
              <w:rFonts w:ascii="Cambria Math" w:hAnsi="Cambria Math" w:cs="Arial"/>
              <w:sz w:val="20"/>
              <w:szCs w:val="20"/>
              <w:lang w:val="en-GB"/>
            </w:rPr>
            <m:t>+</m:t>
          </m:r>
          <m:sSub>
            <m:sSubPr>
              <m:ctrlPr>
                <w:rPr>
                  <w:rFonts w:ascii="Cambria Math" w:hAnsi="Cambria Math" w:cs="Arial"/>
                  <w:bCs/>
                  <w:i/>
                  <w:sz w:val="20"/>
                  <w:szCs w:val="20"/>
                  <w:lang w:val="en-GB"/>
                </w:rPr>
              </m:ctrlPr>
            </m:sSubPr>
            <m:e>
              <m:r>
                <w:rPr>
                  <w:rFonts w:ascii="Cambria Math" w:hAnsi="Cambria Math" w:cs="Arial"/>
                  <w:sz w:val="20"/>
                  <w:szCs w:val="20"/>
                  <w:lang w:val="en-GB"/>
                </w:rPr>
                <m:t>β</m:t>
              </m:r>
            </m:e>
            <m:sub>
              <m:r>
                <w:rPr>
                  <w:rFonts w:ascii="Cambria Math" w:hAnsi="Cambria Math" w:cs="Arial"/>
                  <w:sz w:val="20"/>
                  <w:szCs w:val="20"/>
                  <w:lang w:val="en-GB"/>
                </w:rPr>
                <m:t>9</m:t>
              </m:r>
            </m:sub>
          </m:sSub>
          <m:r>
            <w:rPr>
              <w:rFonts w:ascii="Cambria Math" w:hAnsi="Cambria Math" w:cs="Arial"/>
              <w:sz w:val="20"/>
              <w:szCs w:val="20"/>
              <w:lang w:val="en-GB"/>
            </w:rPr>
            <m:t>Security+ε</m:t>
          </m:r>
        </m:oMath>
      </m:oMathPara>
    </w:p>
    <w:p w14:paraId="3E3F7523" w14:textId="77777777" w:rsidR="00BD0A51" w:rsidRDefault="00BD0A51" w:rsidP="00562879">
      <w:pPr>
        <w:pStyle w:val="NormalWeb"/>
        <w:spacing w:line="276" w:lineRule="auto"/>
        <w:jc w:val="both"/>
        <w:rPr>
          <w:rFonts w:ascii="Arial" w:hAnsi="Arial" w:cs="Arial"/>
          <w:sz w:val="20"/>
          <w:szCs w:val="20"/>
          <w:lang w:val="en-GB"/>
        </w:rPr>
      </w:pPr>
      <w:r>
        <w:rPr>
          <w:rFonts w:ascii="Arial" w:hAnsi="Arial" w:cs="Arial"/>
          <w:sz w:val="20"/>
          <w:szCs w:val="20"/>
          <w:lang w:val="en-GB"/>
        </w:rPr>
        <w:t>Where,</w:t>
      </w:r>
    </w:p>
    <w:p w14:paraId="237D8B2B" w14:textId="77777777" w:rsidR="00BD0A51" w:rsidRPr="00BD0A51" w:rsidRDefault="00BD0A51" w:rsidP="00562879">
      <w:pPr>
        <w:pStyle w:val="NormalWeb"/>
        <w:spacing w:line="276" w:lineRule="auto"/>
        <w:jc w:val="both"/>
        <w:rPr>
          <w:rFonts w:ascii="Arial" w:hAnsi="Arial" w:cs="Arial"/>
          <w:sz w:val="20"/>
          <w:szCs w:val="20"/>
          <w:lang w:val="en-GB"/>
        </w:rPr>
      </w:pPr>
      <w:r w:rsidRPr="00BD0A51">
        <w:rPr>
          <w:rFonts w:ascii="Arial" w:hAnsi="Arial" w:cs="Arial"/>
          <w:sz w:val="20"/>
          <w:szCs w:val="20"/>
          <w:lang w:val="en-GB"/>
        </w:rPr>
        <w:t>Y = Amount of co-operative credit borrowed</w:t>
      </w:r>
    </w:p>
    <w:p w14:paraId="2250C717" w14:textId="77777777" w:rsidR="00BD0A51" w:rsidRPr="00BD0A51" w:rsidRDefault="00BD0A51" w:rsidP="00562879">
      <w:pPr>
        <w:pStyle w:val="NormalWeb"/>
        <w:spacing w:line="276" w:lineRule="auto"/>
        <w:jc w:val="both"/>
        <w:rPr>
          <w:rFonts w:ascii="Arial" w:hAnsi="Arial" w:cs="Arial"/>
          <w:sz w:val="20"/>
          <w:szCs w:val="20"/>
          <w:lang w:val="en-GB"/>
        </w:rPr>
      </w:pPr>
      <w:r w:rsidRPr="00BD0A51">
        <w:rPr>
          <w:rFonts w:ascii="Arial" w:hAnsi="Arial" w:cs="Arial"/>
          <w:sz w:val="20"/>
          <w:szCs w:val="20"/>
          <w:lang w:val="en-GB"/>
        </w:rPr>
        <w:t xml:space="preserve">All explanatory variables are expressed in natural logarithms except Security </w:t>
      </w:r>
      <w:r>
        <w:rPr>
          <w:rFonts w:ascii="Arial" w:hAnsi="Arial" w:cs="Arial"/>
          <w:sz w:val="20"/>
          <w:szCs w:val="20"/>
          <w:lang w:val="en-GB"/>
        </w:rPr>
        <w:t>(d</w:t>
      </w:r>
      <w:r w:rsidRPr="00BD0A51">
        <w:rPr>
          <w:rFonts w:ascii="Arial" w:hAnsi="Arial" w:cs="Arial"/>
          <w:sz w:val="20"/>
          <w:szCs w:val="20"/>
          <w:lang w:val="en-GB"/>
        </w:rPr>
        <w:t>ummy</w:t>
      </w:r>
      <w:r>
        <w:rPr>
          <w:rFonts w:ascii="Arial" w:hAnsi="Arial" w:cs="Arial"/>
          <w:sz w:val="20"/>
          <w:szCs w:val="20"/>
          <w:lang w:val="en-GB"/>
        </w:rPr>
        <w:t>)</w:t>
      </w:r>
      <w:r w:rsidRPr="00BD0A51">
        <w:rPr>
          <w:rFonts w:ascii="Arial" w:hAnsi="Arial" w:cs="Arial"/>
          <w:sz w:val="20"/>
          <w:szCs w:val="20"/>
          <w:lang w:val="en-GB"/>
        </w:rPr>
        <w:t>, which is coded as:</w:t>
      </w:r>
    </w:p>
    <w:p w14:paraId="0FF2885D" w14:textId="77777777" w:rsidR="00BD0A51" w:rsidRDefault="00BD0A51" w:rsidP="00562879">
      <w:pPr>
        <w:pStyle w:val="NormalWeb"/>
        <w:spacing w:line="276" w:lineRule="auto"/>
        <w:jc w:val="both"/>
        <w:rPr>
          <w:rFonts w:ascii="Arial" w:hAnsi="Arial" w:cs="Arial"/>
          <w:sz w:val="20"/>
          <w:szCs w:val="20"/>
          <w:lang w:val="en-GB"/>
        </w:rPr>
      </w:pPr>
      <w:r w:rsidRPr="00BD0A51">
        <w:rPr>
          <w:rFonts w:ascii="Arial" w:hAnsi="Arial" w:cs="Arial"/>
          <w:sz w:val="20"/>
          <w:szCs w:val="20"/>
          <w:lang w:val="en-GB"/>
        </w:rPr>
        <w:t>1 = Loan issued with collateral/security</w:t>
      </w:r>
    </w:p>
    <w:p w14:paraId="66660471" w14:textId="77777777" w:rsidR="00BD0A51" w:rsidRDefault="00BD0A51" w:rsidP="00562879">
      <w:pPr>
        <w:pStyle w:val="NormalWeb"/>
        <w:spacing w:line="276" w:lineRule="auto"/>
        <w:jc w:val="both"/>
        <w:rPr>
          <w:rFonts w:ascii="Arial" w:hAnsi="Arial" w:cs="Arial"/>
          <w:sz w:val="20"/>
          <w:szCs w:val="20"/>
          <w:lang w:val="en-GB"/>
        </w:rPr>
      </w:pPr>
      <w:r w:rsidRPr="00BD0A51">
        <w:rPr>
          <w:rFonts w:ascii="Arial" w:hAnsi="Arial" w:cs="Arial"/>
          <w:sz w:val="20"/>
          <w:szCs w:val="20"/>
          <w:lang w:val="en-GB"/>
        </w:rPr>
        <w:t>0 = Loan issued without collateral/security</w:t>
      </w:r>
    </w:p>
    <w:p w14:paraId="72C546C7" w14:textId="77777777" w:rsidR="00BD0A51" w:rsidRPr="00DD79E0" w:rsidRDefault="00BD0A51" w:rsidP="00562879">
      <w:pPr>
        <w:pStyle w:val="NormalWeb"/>
        <w:spacing w:line="276" w:lineRule="auto"/>
        <w:jc w:val="both"/>
        <w:rPr>
          <w:rFonts w:ascii="Arial" w:hAnsi="Arial" w:cs="Arial"/>
          <w:sz w:val="20"/>
          <w:szCs w:val="20"/>
        </w:rPr>
      </w:pPr>
      <w:r w:rsidRPr="00DD79E0">
        <w:rPr>
          <w:rStyle w:val="mord"/>
          <w:rFonts w:ascii="Arial" w:hAnsi="Arial" w:cs="Arial"/>
          <w:i/>
          <w:sz w:val="20"/>
          <w:szCs w:val="20"/>
        </w:rPr>
        <w:t>β</w:t>
      </w:r>
      <w:r w:rsidRPr="00DD79E0">
        <w:rPr>
          <w:rStyle w:val="mord"/>
          <w:rFonts w:ascii="Arial" w:hAnsi="Arial" w:cs="Arial"/>
          <w:i/>
          <w:sz w:val="20"/>
          <w:szCs w:val="20"/>
          <w:vertAlign w:val="subscript"/>
        </w:rPr>
        <w:t>0</w:t>
      </w:r>
      <w:r w:rsidRPr="00DD79E0">
        <w:rPr>
          <w:rStyle w:val="vlist-s"/>
          <w:rFonts w:ascii="Arial" w:hAnsi="Arial" w:cs="Arial"/>
          <w:i/>
          <w:sz w:val="20"/>
          <w:szCs w:val="20"/>
        </w:rPr>
        <w:t>​</w:t>
      </w:r>
      <w:r w:rsidRPr="00DD79E0">
        <w:rPr>
          <w:rFonts w:ascii="Arial" w:hAnsi="Arial" w:cs="Arial"/>
          <w:sz w:val="20"/>
          <w:szCs w:val="20"/>
        </w:rPr>
        <w:t xml:space="preserve"> represents the constant term, </w:t>
      </w:r>
      <w:r w:rsidRPr="00DD79E0">
        <w:rPr>
          <w:rStyle w:val="katex-mathml"/>
          <w:rFonts w:ascii="Arial" w:hAnsi="Arial" w:cs="Arial"/>
          <w:i/>
          <w:sz w:val="20"/>
          <w:szCs w:val="20"/>
        </w:rPr>
        <w:t>β</w:t>
      </w:r>
      <w:r w:rsidRPr="00DD79E0">
        <w:rPr>
          <w:rStyle w:val="katex-mathml"/>
          <w:rFonts w:ascii="Arial" w:hAnsi="Arial" w:cs="Arial"/>
          <w:i/>
          <w:sz w:val="20"/>
          <w:szCs w:val="20"/>
          <w:vertAlign w:val="subscript"/>
        </w:rPr>
        <w:t>1</w:t>
      </w:r>
      <w:r w:rsidRPr="00DD79E0">
        <w:rPr>
          <w:rStyle w:val="katex-mathml"/>
          <w:rFonts w:ascii="Arial" w:hAnsi="Arial" w:cs="Arial"/>
          <w:i/>
          <w:sz w:val="20"/>
          <w:szCs w:val="20"/>
        </w:rPr>
        <w:t>…β</w:t>
      </w:r>
      <w:r w:rsidRPr="00DD79E0">
        <w:rPr>
          <w:rStyle w:val="katex-mathml"/>
          <w:rFonts w:ascii="Arial" w:hAnsi="Arial" w:cs="Arial"/>
          <w:i/>
          <w:sz w:val="20"/>
          <w:szCs w:val="20"/>
          <w:vertAlign w:val="subscript"/>
        </w:rPr>
        <w:t>9</w:t>
      </w:r>
      <w:r w:rsidRPr="00DD79E0">
        <w:rPr>
          <w:rStyle w:val="vlist-s"/>
          <w:rFonts w:ascii="Arial" w:hAnsi="Arial" w:cs="Arial"/>
          <w:sz w:val="20"/>
          <w:szCs w:val="20"/>
        </w:rPr>
        <w:t xml:space="preserve"> </w:t>
      </w:r>
      <w:r w:rsidRPr="00DD79E0">
        <w:rPr>
          <w:rFonts w:ascii="Arial" w:hAnsi="Arial" w:cs="Arial"/>
          <w:sz w:val="20"/>
          <w:szCs w:val="20"/>
        </w:rPr>
        <w:t xml:space="preserve">are the estimated coefficients and </w:t>
      </w:r>
      <m:oMath>
        <m:r>
          <w:rPr>
            <w:rFonts w:ascii="Cambria Math" w:hAnsi="Cambria Math" w:cs="Arial"/>
            <w:sz w:val="20"/>
            <w:szCs w:val="20"/>
            <w:lang w:val="en-GB"/>
          </w:rPr>
          <m:t>ε</m:t>
        </m:r>
      </m:oMath>
      <w:r w:rsidRPr="00DD79E0">
        <w:rPr>
          <w:rFonts w:ascii="Arial" w:hAnsi="Arial" w:cs="Arial"/>
          <w:sz w:val="20"/>
          <w:szCs w:val="20"/>
        </w:rPr>
        <w:t xml:space="preserve"> denotes the random error term.</w:t>
      </w:r>
    </w:p>
    <w:p w14:paraId="1539376F" w14:textId="6C966697" w:rsidR="007824D6" w:rsidRPr="007D19AF" w:rsidRDefault="00CE6FBD" w:rsidP="007D19AF">
      <w:pPr>
        <w:pStyle w:val="NormalWeb"/>
        <w:spacing w:line="276" w:lineRule="auto"/>
        <w:ind w:firstLine="720"/>
        <w:jc w:val="both"/>
        <w:rPr>
          <w:rFonts w:ascii="Arial" w:hAnsi="Arial" w:cs="Arial"/>
          <w:sz w:val="20"/>
          <w:szCs w:val="20"/>
          <w:lang w:val="en-GB"/>
        </w:rPr>
      </w:pPr>
      <w:r>
        <w:rPr>
          <w:rFonts w:ascii="Arial" w:hAnsi="Arial" w:cs="Arial"/>
          <w:bCs/>
          <w:sz w:val="20"/>
          <w:szCs w:val="20"/>
          <w:lang w:val="en-GB"/>
        </w:rPr>
        <w:t>The a</w:t>
      </w:r>
      <w:r w:rsidRPr="00682ECD">
        <w:rPr>
          <w:rFonts w:ascii="Arial" w:hAnsi="Arial" w:cs="Arial"/>
          <w:bCs/>
          <w:sz w:val="20"/>
          <w:szCs w:val="20"/>
          <w:lang w:val="en-GB"/>
        </w:rPr>
        <w:t>ge</w:t>
      </w:r>
      <w:r w:rsidRPr="00682ECD">
        <w:rPr>
          <w:rFonts w:ascii="Arial" w:hAnsi="Arial" w:cs="Arial"/>
          <w:sz w:val="20"/>
          <w:szCs w:val="20"/>
          <w:lang w:val="en-GB"/>
        </w:rPr>
        <w:t xml:space="preserve"> </w:t>
      </w:r>
      <w:r>
        <w:rPr>
          <w:rFonts w:ascii="Arial" w:hAnsi="Arial" w:cs="Arial"/>
          <w:sz w:val="20"/>
          <w:szCs w:val="20"/>
          <w:lang w:val="en-GB"/>
        </w:rPr>
        <w:t xml:space="preserve">of the farmer </w:t>
      </w:r>
      <w:r w:rsidR="00682ECD" w:rsidRPr="00682ECD">
        <w:rPr>
          <w:rFonts w:ascii="Arial" w:hAnsi="Arial" w:cs="Arial"/>
          <w:sz w:val="20"/>
          <w:szCs w:val="20"/>
          <w:lang w:val="en-GB"/>
        </w:rPr>
        <w:t xml:space="preserve">was expected to have a positive relationship with borrowing, as older farmers may have stronger social credibility and longer relationships with co-operative institutions. </w:t>
      </w:r>
      <w:r>
        <w:rPr>
          <w:rFonts w:ascii="Arial" w:hAnsi="Arial" w:cs="Arial"/>
          <w:sz w:val="20"/>
          <w:szCs w:val="20"/>
          <w:lang w:val="en-GB"/>
        </w:rPr>
        <w:t xml:space="preserve"> Contrary to this</w:t>
      </w:r>
      <w:r w:rsidR="00682ECD" w:rsidRPr="00682ECD">
        <w:rPr>
          <w:rFonts w:ascii="Arial" w:hAnsi="Arial" w:cs="Arial"/>
          <w:sz w:val="20"/>
          <w:szCs w:val="20"/>
          <w:lang w:val="en-GB"/>
        </w:rPr>
        <w:t xml:space="preserve">, </w:t>
      </w:r>
      <w:r>
        <w:rPr>
          <w:rFonts w:ascii="Arial" w:hAnsi="Arial" w:cs="Arial"/>
          <w:sz w:val="20"/>
          <w:szCs w:val="20"/>
          <w:lang w:val="en-GB"/>
        </w:rPr>
        <w:t xml:space="preserve">the </w:t>
      </w:r>
      <w:r w:rsidR="00682ECD" w:rsidRPr="00682ECD">
        <w:rPr>
          <w:rFonts w:ascii="Arial" w:hAnsi="Arial" w:cs="Arial"/>
          <w:bCs/>
          <w:sz w:val="20"/>
          <w:szCs w:val="20"/>
          <w:lang w:val="en-GB"/>
        </w:rPr>
        <w:t>farming experience</w:t>
      </w:r>
      <w:r w:rsidR="00682ECD" w:rsidRPr="00682ECD">
        <w:rPr>
          <w:rFonts w:ascii="Arial" w:hAnsi="Arial" w:cs="Arial"/>
          <w:sz w:val="20"/>
          <w:szCs w:val="20"/>
          <w:lang w:val="en-GB"/>
        </w:rPr>
        <w:t xml:space="preserve"> was assumed to affect borrowing through accumulated knowledge </w:t>
      </w:r>
      <w:r>
        <w:rPr>
          <w:rFonts w:ascii="Arial" w:hAnsi="Arial" w:cs="Arial"/>
          <w:sz w:val="20"/>
          <w:szCs w:val="20"/>
          <w:lang w:val="en-GB"/>
        </w:rPr>
        <w:t xml:space="preserve">of </w:t>
      </w:r>
      <w:r w:rsidRPr="00682ECD">
        <w:rPr>
          <w:rFonts w:ascii="Arial" w:hAnsi="Arial" w:cs="Arial"/>
          <w:sz w:val="20"/>
          <w:szCs w:val="20"/>
          <w:lang w:val="en-GB"/>
        </w:rPr>
        <w:t xml:space="preserve">production </w:t>
      </w:r>
      <w:r w:rsidR="00682ECD" w:rsidRPr="00682ECD">
        <w:rPr>
          <w:rFonts w:ascii="Arial" w:hAnsi="Arial" w:cs="Arial"/>
          <w:sz w:val="20"/>
          <w:szCs w:val="20"/>
          <w:lang w:val="en-GB"/>
        </w:rPr>
        <w:t>and improved understanding of credit use, suggesting a positive association driven by</w:t>
      </w:r>
      <w:r>
        <w:rPr>
          <w:rFonts w:ascii="Arial" w:hAnsi="Arial" w:cs="Arial"/>
          <w:sz w:val="20"/>
          <w:szCs w:val="20"/>
          <w:lang w:val="en-GB"/>
        </w:rPr>
        <w:t xml:space="preserve"> confidence in</w:t>
      </w:r>
      <w:r w:rsidR="00682ECD" w:rsidRPr="00682ECD">
        <w:rPr>
          <w:rFonts w:ascii="Arial" w:hAnsi="Arial" w:cs="Arial"/>
          <w:sz w:val="20"/>
          <w:szCs w:val="20"/>
          <w:lang w:val="en-GB"/>
        </w:rPr>
        <w:t xml:space="preserve"> decision-making than </w:t>
      </w:r>
      <w:r>
        <w:rPr>
          <w:rFonts w:ascii="Arial" w:hAnsi="Arial" w:cs="Arial"/>
          <w:sz w:val="20"/>
          <w:szCs w:val="20"/>
          <w:lang w:val="en-GB"/>
        </w:rPr>
        <w:t xml:space="preserve">the </w:t>
      </w:r>
      <w:r w:rsidR="00682ECD" w:rsidRPr="00682ECD">
        <w:rPr>
          <w:rFonts w:ascii="Arial" w:hAnsi="Arial" w:cs="Arial"/>
          <w:sz w:val="20"/>
          <w:szCs w:val="20"/>
          <w:lang w:val="en-GB"/>
        </w:rPr>
        <w:t xml:space="preserve">age alone. Education was expected to enhance access to institutional procedures and documentation, leading to a positive influence on borrowing. Cultivated area, cost of production and farm income were expected to show a positive relationship with loan size, as larger or more commercial operations require higher financial support. Income from non-farm sources was expected to reduce reliance on formal credit and therefore show a negative association. </w:t>
      </w:r>
      <w:r w:rsidR="009B5C11" w:rsidRPr="009B5C11">
        <w:rPr>
          <w:rFonts w:ascii="Arial" w:hAnsi="Arial" w:cs="Arial"/>
          <w:sz w:val="20"/>
          <w:szCs w:val="20"/>
          <w:lang w:val="en-US"/>
        </w:rPr>
        <w:t xml:space="preserve">Outstanding loan burden was anticipated to increase borrowing needs as borrowers may seek additional credit to meet existing repayment obligations or consolidate prior debts, thereby increasing their dependence on formal credit </w:t>
      </w:r>
      <w:proofErr w:type="gramStart"/>
      <w:r w:rsidR="009B5C11" w:rsidRPr="009B5C11">
        <w:rPr>
          <w:rFonts w:ascii="Arial" w:hAnsi="Arial" w:cs="Arial"/>
          <w:sz w:val="20"/>
          <w:szCs w:val="20"/>
          <w:lang w:val="en-US"/>
        </w:rPr>
        <w:t>sources.</w:t>
      </w:r>
      <w:r>
        <w:rPr>
          <w:rFonts w:ascii="Arial" w:hAnsi="Arial" w:cs="Arial"/>
          <w:sz w:val="20"/>
          <w:szCs w:val="20"/>
          <w:lang w:val="en-GB"/>
        </w:rPr>
        <w:t>The</w:t>
      </w:r>
      <w:proofErr w:type="gramEnd"/>
      <w:r>
        <w:rPr>
          <w:rFonts w:ascii="Arial" w:hAnsi="Arial" w:cs="Arial"/>
          <w:sz w:val="20"/>
          <w:szCs w:val="20"/>
          <w:lang w:val="en-GB"/>
        </w:rPr>
        <w:t xml:space="preserve"> a</w:t>
      </w:r>
      <w:r w:rsidRPr="00682ECD">
        <w:rPr>
          <w:rFonts w:ascii="Arial" w:hAnsi="Arial" w:cs="Arial"/>
          <w:sz w:val="20"/>
          <w:szCs w:val="20"/>
          <w:lang w:val="en-GB"/>
        </w:rPr>
        <w:t xml:space="preserve">vailability </w:t>
      </w:r>
      <w:r w:rsidR="00682ECD" w:rsidRPr="00682ECD">
        <w:rPr>
          <w:rFonts w:ascii="Arial" w:hAnsi="Arial" w:cs="Arial"/>
          <w:sz w:val="20"/>
          <w:szCs w:val="20"/>
          <w:lang w:val="en-GB"/>
        </w:rPr>
        <w:t>of collateral security was expected to facilitate approval of higher credit amounts due to institutional lending criteria.</w:t>
      </w:r>
    </w:p>
    <w:p w14:paraId="4F10499B" w14:textId="5DE3287D" w:rsidR="00DD79E0" w:rsidRDefault="00682ECD" w:rsidP="00682ECD">
      <w:pPr>
        <w:pStyle w:val="NormalWeb"/>
        <w:spacing w:line="276" w:lineRule="auto"/>
        <w:jc w:val="both"/>
        <w:rPr>
          <w:rFonts w:ascii="Arial" w:hAnsi="Arial" w:cs="Arial"/>
          <w:sz w:val="20"/>
          <w:szCs w:val="20"/>
        </w:rPr>
      </w:pPr>
      <w:r w:rsidRPr="00682ECD">
        <w:rPr>
          <w:rFonts w:ascii="Arial" w:hAnsi="Arial" w:cs="Arial"/>
          <w:sz w:val="20"/>
          <w:szCs w:val="20"/>
        </w:rPr>
        <w:tab/>
        <w:t xml:space="preserve">For the second model, it was anticipated that the </w:t>
      </w:r>
      <w:r w:rsidR="00CE6FBD">
        <w:rPr>
          <w:rFonts w:ascii="Arial" w:hAnsi="Arial" w:cs="Arial"/>
          <w:sz w:val="20"/>
          <w:szCs w:val="20"/>
        </w:rPr>
        <w:t xml:space="preserve">characteristics of the </w:t>
      </w:r>
      <w:r w:rsidRPr="00682ECD">
        <w:rPr>
          <w:rFonts w:ascii="Arial" w:hAnsi="Arial" w:cs="Arial"/>
          <w:sz w:val="20"/>
          <w:szCs w:val="20"/>
        </w:rPr>
        <w:t xml:space="preserve">selected household and farm characteristics would influence farm income in varying ways. The </w:t>
      </w:r>
      <w:r w:rsidRPr="00682ECD">
        <w:rPr>
          <w:rFonts w:ascii="Arial" w:hAnsi="Arial" w:cs="Arial"/>
          <w:bCs/>
          <w:sz w:val="20"/>
          <w:szCs w:val="20"/>
        </w:rPr>
        <w:t>amount of loan borrowed</w:t>
      </w:r>
      <w:r w:rsidRPr="00682ECD">
        <w:rPr>
          <w:rFonts w:ascii="Arial" w:hAnsi="Arial" w:cs="Arial"/>
          <w:sz w:val="20"/>
          <w:szCs w:val="20"/>
        </w:rPr>
        <w:t xml:space="preserve"> was expected to </w:t>
      </w:r>
      <w:r w:rsidR="00CE6FBD">
        <w:rPr>
          <w:rFonts w:ascii="Arial" w:hAnsi="Arial" w:cs="Arial"/>
          <w:sz w:val="20"/>
          <w:szCs w:val="20"/>
        </w:rPr>
        <w:t xml:space="preserve">influence income </w:t>
      </w:r>
      <w:r w:rsidRPr="00682ECD">
        <w:rPr>
          <w:rFonts w:ascii="Arial" w:hAnsi="Arial" w:cs="Arial"/>
          <w:sz w:val="20"/>
          <w:szCs w:val="20"/>
        </w:rPr>
        <w:t>positively, assuming that access to credit enables the purchase of inputs, adoption of improved practices and expansion of production activities.</w:t>
      </w:r>
    </w:p>
    <w:p w14:paraId="3EE4A68F" w14:textId="77777777" w:rsidR="00DD79E0" w:rsidRPr="00DD79E0" w:rsidRDefault="00DD79E0" w:rsidP="00DD79E0">
      <w:pPr>
        <w:pStyle w:val="NormalWeb"/>
        <w:spacing w:line="276" w:lineRule="auto"/>
        <w:ind w:firstLine="720"/>
        <w:jc w:val="both"/>
        <w:rPr>
          <w:rFonts w:ascii="Arial" w:hAnsi="Arial" w:cs="Arial"/>
          <w:bCs/>
          <w:sz w:val="20"/>
          <w:szCs w:val="20"/>
          <w:lang w:val="en-GB"/>
        </w:rPr>
      </w:pPr>
      <m:oMathPara>
        <m:oMath>
          <m:r>
            <w:rPr>
              <w:rFonts w:ascii="Cambria Math" w:hAnsi="Cambria Math" w:cs="Arial"/>
              <w:sz w:val="20"/>
              <w:szCs w:val="20"/>
              <w:lang w:val="en-GB"/>
            </w:rPr>
            <m:t>ln</m:t>
          </m:r>
          <m:d>
            <m:dPr>
              <m:ctrlPr>
                <w:rPr>
                  <w:rFonts w:ascii="Cambria Math" w:hAnsi="Cambria Math" w:cs="Arial"/>
                  <w:bCs/>
                  <w:i/>
                  <w:sz w:val="20"/>
                  <w:szCs w:val="20"/>
                  <w:lang w:val="en-GB"/>
                </w:rPr>
              </m:ctrlPr>
            </m:dPr>
            <m:e>
              <m:r>
                <w:rPr>
                  <w:rFonts w:ascii="Cambria Math" w:hAnsi="Cambria Math" w:cs="Arial"/>
                  <w:sz w:val="20"/>
                  <w:szCs w:val="20"/>
                  <w:lang w:val="en-GB"/>
                </w:rPr>
                <m:t>Y</m:t>
              </m:r>
            </m:e>
          </m:d>
          <m:r>
            <w:rPr>
              <w:rFonts w:ascii="Cambria Math" w:hAnsi="Cambria Math" w:cs="Arial"/>
              <w:sz w:val="20"/>
              <w:szCs w:val="20"/>
              <w:lang w:val="en-GB"/>
            </w:rPr>
            <m:t>=</m:t>
          </m:r>
          <m:sSub>
            <m:sSubPr>
              <m:ctrlPr>
                <w:rPr>
                  <w:rFonts w:ascii="Cambria Math" w:hAnsi="Cambria Math" w:cs="Arial"/>
                  <w:bCs/>
                  <w:i/>
                  <w:sz w:val="20"/>
                  <w:szCs w:val="20"/>
                  <w:lang w:val="en-GB"/>
                </w:rPr>
              </m:ctrlPr>
            </m:sSubPr>
            <m:e>
              <m:r>
                <w:rPr>
                  <w:rFonts w:ascii="Cambria Math" w:hAnsi="Cambria Math" w:cs="Arial"/>
                  <w:sz w:val="20"/>
                  <w:szCs w:val="20"/>
                  <w:lang w:val="en-GB"/>
                </w:rPr>
                <m:t>β</m:t>
              </m:r>
            </m:e>
            <m:sub>
              <m:r>
                <w:rPr>
                  <w:rFonts w:ascii="Cambria Math" w:hAnsi="Cambria Math" w:cs="Arial"/>
                  <w:sz w:val="20"/>
                  <w:szCs w:val="20"/>
                  <w:lang w:val="en-GB"/>
                </w:rPr>
                <m:t>0</m:t>
              </m:r>
            </m:sub>
          </m:sSub>
          <m:r>
            <w:rPr>
              <w:rFonts w:ascii="Cambria Math" w:hAnsi="Cambria Math" w:cs="Arial"/>
              <w:sz w:val="20"/>
              <w:szCs w:val="20"/>
              <w:lang w:val="en-GB"/>
            </w:rPr>
            <m:t>+</m:t>
          </m:r>
          <m:sSub>
            <m:sSubPr>
              <m:ctrlPr>
                <w:rPr>
                  <w:rFonts w:ascii="Cambria Math" w:hAnsi="Cambria Math" w:cs="Arial"/>
                  <w:bCs/>
                  <w:i/>
                  <w:sz w:val="20"/>
                  <w:szCs w:val="20"/>
                  <w:lang w:val="en-GB"/>
                </w:rPr>
              </m:ctrlPr>
            </m:sSubPr>
            <m:e>
              <m:r>
                <w:rPr>
                  <w:rFonts w:ascii="Cambria Math" w:hAnsi="Cambria Math" w:cs="Arial"/>
                  <w:sz w:val="20"/>
                  <w:szCs w:val="20"/>
                  <w:lang w:val="en-GB"/>
                </w:rPr>
                <m:t>β</m:t>
              </m:r>
            </m:e>
            <m:sub>
              <m:r>
                <w:rPr>
                  <w:rFonts w:ascii="Cambria Math" w:hAnsi="Cambria Math" w:cs="Arial"/>
                  <w:sz w:val="20"/>
                  <w:szCs w:val="20"/>
                  <w:lang w:val="en-GB"/>
                </w:rPr>
                <m:t>1</m:t>
              </m:r>
            </m:sub>
          </m:sSub>
          <m:r>
            <w:rPr>
              <w:rFonts w:ascii="Cambria Math" w:hAnsi="Cambria Math" w:cs="Arial"/>
              <w:sz w:val="20"/>
              <w:szCs w:val="20"/>
              <w:lang w:val="en-GB"/>
            </w:rPr>
            <m:t>ln</m:t>
          </m:r>
          <m:d>
            <m:dPr>
              <m:ctrlPr>
                <w:rPr>
                  <w:rFonts w:ascii="Cambria Math" w:hAnsi="Cambria Math" w:cs="Arial"/>
                  <w:bCs/>
                  <w:i/>
                  <w:sz w:val="20"/>
                  <w:szCs w:val="20"/>
                  <w:lang w:val="en-GB"/>
                </w:rPr>
              </m:ctrlPr>
            </m:dPr>
            <m:e>
              <m:r>
                <w:rPr>
                  <w:rFonts w:ascii="Cambria Math" w:hAnsi="Cambria Math" w:cs="Arial"/>
                  <w:sz w:val="20"/>
                  <w:szCs w:val="20"/>
                  <w:lang w:val="en-GB"/>
                </w:rPr>
                <m:t>Amount of loan</m:t>
              </m:r>
            </m:e>
          </m:d>
          <m:r>
            <w:rPr>
              <w:rFonts w:ascii="Cambria Math" w:hAnsi="Cambria Math" w:cs="Arial"/>
              <w:sz w:val="20"/>
              <w:szCs w:val="20"/>
              <w:lang w:val="en-GB"/>
            </w:rPr>
            <m:t>+</m:t>
          </m:r>
          <m:sSub>
            <m:sSubPr>
              <m:ctrlPr>
                <w:rPr>
                  <w:rFonts w:ascii="Cambria Math" w:hAnsi="Cambria Math" w:cs="Arial"/>
                  <w:bCs/>
                  <w:i/>
                  <w:sz w:val="20"/>
                  <w:szCs w:val="20"/>
                  <w:lang w:val="en-GB"/>
                </w:rPr>
              </m:ctrlPr>
            </m:sSubPr>
            <m:e>
              <m:r>
                <w:rPr>
                  <w:rFonts w:ascii="Cambria Math" w:hAnsi="Cambria Math" w:cs="Arial"/>
                  <w:sz w:val="20"/>
                  <w:szCs w:val="20"/>
                  <w:lang w:val="en-GB"/>
                </w:rPr>
                <m:t>β</m:t>
              </m:r>
            </m:e>
            <m:sub>
              <m:r>
                <w:rPr>
                  <w:rFonts w:ascii="Cambria Math" w:hAnsi="Cambria Math" w:cs="Arial"/>
                  <w:sz w:val="20"/>
                  <w:szCs w:val="20"/>
                  <w:lang w:val="en-GB"/>
                </w:rPr>
                <m:t>2</m:t>
              </m:r>
            </m:sub>
          </m:sSub>
          <m:r>
            <w:rPr>
              <w:rFonts w:ascii="Cambria Math" w:hAnsi="Cambria Math" w:cs="Arial"/>
              <w:sz w:val="20"/>
              <w:szCs w:val="20"/>
              <w:lang w:val="en-GB"/>
            </w:rPr>
            <m:t>ln</m:t>
          </m:r>
          <m:d>
            <m:dPr>
              <m:ctrlPr>
                <w:rPr>
                  <w:rFonts w:ascii="Cambria Math" w:hAnsi="Cambria Math" w:cs="Arial"/>
                  <w:bCs/>
                  <w:i/>
                  <w:sz w:val="20"/>
                  <w:szCs w:val="20"/>
                  <w:lang w:val="en-GB"/>
                </w:rPr>
              </m:ctrlPr>
            </m:dPr>
            <m:e>
              <m:r>
                <w:rPr>
                  <w:rFonts w:ascii="Cambria Math" w:hAnsi="Cambria Math" w:cs="Arial"/>
                  <w:sz w:val="20"/>
                  <w:szCs w:val="20"/>
                  <w:lang w:val="en-GB"/>
                </w:rPr>
                <m:t>Age</m:t>
              </m:r>
            </m:e>
          </m:d>
          <m:r>
            <w:rPr>
              <w:rFonts w:ascii="Cambria Math" w:hAnsi="Cambria Math" w:cs="Arial"/>
              <w:sz w:val="20"/>
              <w:szCs w:val="20"/>
              <w:lang w:val="en-GB"/>
            </w:rPr>
            <m:t>+</m:t>
          </m:r>
          <m:sSub>
            <m:sSubPr>
              <m:ctrlPr>
                <w:rPr>
                  <w:rFonts w:ascii="Cambria Math" w:hAnsi="Cambria Math" w:cs="Arial"/>
                  <w:bCs/>
                  <w:i/>
                  <w:sz w:val="20"/>
                  <w:szCs w:val="20"/>
                  <w:lang w:val="en-GB"/>
                </w:rPr>
              </m:ctrlPr>
            </m:sSubPr>
            <m:e>
              <m:r>
                <w:rPr>
                  <w:rFonts w:ascii="Cambria Math" w:hAnsi="Cambria Math" w:cs="Arial"/>
                  <w:sz w:val="20"/>
                  <w:szCs w:val="20"/>
                  <w:lang w:val="en-GB"/>
                </w:rPr>
                <m:t>β</m:t>
              </m:r>
            </m:e>
            <m:sub>
              <m:r>
                <w:rPr>
                  <w:rFonts w:ascii="Cambria Math" w:hAnsi="Cambria Math" w:cs="Arial"/>
                  <w:sz w:val="20"/>
                  <w:szCs w:val="20"/>
                  <w:lang w:val="en-GB"/>
                </w:rPr>
                <m:t>3</m:t>
              </m:r>
            </m:sub>
          </m:sSub>
          <m:r>
            <w:rPr>
              <w:rFonts w:ascii="Cambria Math" w:hAnsi="Cambria Math" w:cs="Arial"/>
              <w:sz w:val="20"/>
              <w:szCs w:val="20"/>
              <w:lang w:val="en-GB"/>
            </w:rPr>
            <m:t>ln</m:t>
          </m:r>
          <m:d>
            <m:dPr>
              <m:ctrlPr>
                <w:rPr>
                  <w:rFonts w:ascii="Cambria Math" w:hAnsi="Cambria Math" w:cs="Arial"/>
                  <w:bCs/>
                  <w:i/>
                  <w:sz w:val="20"/>
                  <w:szCs w:val="20"/>
                  <w:lang w:val="en-GB"/>
                </w:rPr>
              </m:ctrlPr>
            </m:dPr>
            <m:e>
              <m:r>
                <w:rPr>
                  <w:rFonts w:ascii="Cambria Math" w:hAnsi="Cambria Math" w:cs="Arial"/>
                  <w:sz w:val="20"/>
                  <w:szCs w:val="20"/>
                  <w:lang w:val="en-GB"/>
                </w:rPr>
                <m:t>Education</m:t>
              </m:r>
            </m:e>
          </m:d>
          <m:r>
            <w:rPr>
              <w:rFonts w:ascii="Cambria Math" w:hAnsi="Cambria Math" w:cs="Arial"/>
              <w:sz w:val="20"/>
              <w:szCs w:val="20"/>
              <w:lang w:val="en-GB"/>
            </w:rPr>
            <m:t>+</m:t>
          </m:r>
          <m:sSub>
            <m:sSubPr>
              <m:ctrlPr>
                <w:rPr>
                  <w:rFonts w:ascii="Cambria Math" w:hAnsi="Cambria Math" w:cs="Arial"/>
                  <w:bCs/>
                  <w:i/>
                  <w:sz w:val="20"/>
                  <w:szCs w:val="20"/>
                  <w:lang w:val="en-GB"/>
                </w:rPr>
              </m:ctrlPr>
            </m:sSubPr>
            <m:e>
              <m:r>
                <w:rPr>
                  <w:rFonts w:ascii="Cambria Math" w:hAnsi="Cambria Math" w:cs="Arial"/>
                  <w:sz w:val="20"/>
                  <w:szCs w:val="20"/>
                  <w:lang w:val="en-GB"/>
                </w:rPr>
                <m:t>β</m:t>
              </m:r>
            </m:e>
            <m:sub>
              <m:r>
                <w:rPr>
                  <w:rFonts w:ascii="Cambria Math" w:hAnsi="Cambria Math" w:cs="Arial"/>
                  <w:sz w:val="20"/>
                  <w:szCs w:val="20"/>
                  <w:lang w:val="en-GB"/>
                </w:rPr>
                <m:t>4</m:t>
              </m:r>
            </m:sub>
          </m:sSub>
          <m:r>
            <w:rPr>
              <w:rFonts w:ascii="Cambria Math" w:hAnsi="Cambria Math" w:cs="Arial"/>
              <w:sz w:val="20"/>
              <w:szCs w:val="20"/>
              <w:lang w:val="en-GB"/>
            </w:rPr>
            <m:t>ln</m:t>
          </m:r>
          <m:d>
            <m:dPr>
              <m:ctrlPr>
                <w:rPr>
                  <w:rFonts w:ascii="Cambria Math" w:hAnsi="Cambria Math" w:cs="Arial"/>
                  <w:bCs/>
                  <w:i/>
                  <w:sz w:val="20"/>
                  <w:szCs w:val="20"/>
                  <w:lang w:val="en-GB"/>
                </w:rPr>
              </m:ctrlPr>
            </m:dPr>
            <m:e>
              <m:r>
                <w:rPr>
                  <w:rFonts w:ascii="Cambria Math" w:hAnsi="Cambria Math" w:cs="Arial"/>
                  <w:sz w:val="20"/>
                  <w:szCs w:val="20"/>
                  <w:lang w:val="en-GB"/>
                </w:rPr>
                <m:t>Farmingexperience</m:t>
              </m:r>
            </m:e>
          </m:d>
          <m:r>
            <w:rPr>
              <w:rFonts w:ascii="Cambria Math" w:hAnsi="Cambria Math" w:cs="Arial"/>
              <w:sz w:val="20"/>
              <w:szCs w:val="20"/>
              <w:lang w:val="en-GB"/>
            </w:rPr>
            <m:t>+</m:t>
          </m:r>
          <m:sSub>
            <m:sSubPr>
              <m:ctrlPr>
                <w:rPr>
                  <w:rFonts w:ascii="Cambria Math" w:hAnsi="Cambria Math" w:cs="Arial"/>
                  <w:bCs/>
                  <w:i/>
                  <w:sz w:val="20"/>
                  <w:szCs w:val="20"/>
                  <w:lang w:val="en-GB"/>
                </w:rPr>
              </m:ctrlPr>
            </m:sSubPr>
            <m:e>
              <m:r>
                <w:rPr>
                  <w:rFonts w:ascii="Cambria Math" w:hAnsi="Cambria Math" w:cs="Arial"/>
                  <w:sz w:val="20"/>
                  <w:szCs w:val="20"/>
                  <w:lang w:val="en-GB"/>
                </w:rPr>
                <m:t>β</m:t>
              </m:r>
            </m:e>
            <m:sub>
              <m:r>
                <w:rPr>
                  <w:rFonts w:ascii="Cambria Math" w:hAnsi="Cambria Math" w:cs="Arial"/>
                  <w:sz w:val="20"/>
                  <w:szCs w:val="20"/>
                  <w:lang w:val="en-GB"/>
                </w:rPr>
                <m:t>5</m:t>
              </m:r>
            </m:sub>
          </m:sSub>
          <m:r>
            <w:rPr>
              <w:rFonts w:ascii="Cambria Math" w:hAnsi="Cambria Math" w:cs="Arial"/>
              <w:sz w:val="20"/>
              <w:szCs w:val="20"/>
              <w:lang w:val="en-GB"/>
            </w:rPr>
            <m:t>ln</m:t>
          </m:r>
          <m:d>
            <m:dPr>
              <m:ctrlPr>
                <w:rPr>
                  <w:rFonts w:ascii="Cambria Math" w:hAnsi="Cambria Math" w:cs="Arial"/>
                  <w:bCs/>
                  <w:i/>
                  <w:sz w:val="20"/>
                  <w:szCs w:val="20"/>
                  <w:lang w:val="en-GB"/>
                </w:rPr>
              </m:ctrlPr>
            </m:dPr>
            <m:e>
              <m:r>
                <w:rPr>
                  <w:rFonts w:ascii="Cambria Math" w:hAnsi="Cambria Math" w:cs="Arial"/>
                  <w:sz w:val="20"/>
                  <w:szCs w:val="20"/>
                  <w:lang w:val="en-GB"/>
                </w:rPr>
                <m:t>Incomefromothersources</m:t>
              </m:r>
            </m:e>
          </m:d>
          <m:r>
            <w:rPr>
              <w:rFonts w:ascii="Cambria Math" w:hAnsi="Cambria Math" w:cs="Arial"/>
              <w:sz w:val="20"/>
              <w:szCs w:val="20"/>
              <w:lang w:val="en-GB"/>
            </w:rPr>
            <m:t>+</m:t>
          </m:r>
          <m:sSub>
            <m:sSubPr>
              <m:ctrlPr>
                <w:rPr>
                  <w:rFonts w:ascii="Cambria Math" w:hAnsi="Cambria Math" w:cs="Arial"/>
                  <w:bCs/>
                  <w:i/>
                  <w:sz w:val="20"/>
                  <w:szCs w:val="20"/>
                  <w:lang w:val="en-GB"/>
                </w:rPr>
              </m:ctrlPr>
            </m:sSubPr>
            <m:e>
              <m:r>
                <w:rPr>
                  <w:rFonts w:ascii="Cambria Math" w:hAnsi="Cambria Math" w:cs="Arial"/>
                  <w:sz w:val="20"/>
                  <w:szCs w:val="20"/>
                  <w:lang w:val="en-GB"/>
                </w:rPr>
                <m:t>β</m:t>
              </m:r>
            </m:e>
            <m:sub>
              <m:r>
                <w:rPr>
                  <w:rFonts w:ascii="Cambria Math" w:hAnsi="Cambria Math" w:cs="Arial"/>
                  <w:sz w:val="20"/>
                  <w:szCs w:val="20"/>
                  <w:lang w:val="en-GB"/>
                </w:rPr>
                <m:t>6</m:t>
              </m:r>
            </m:sub>
          </m:sSub>
          <m:r>
            <w:rPr>
              <w:rFonts w:ascii="Cambria Math" w:hAnsi="Cambria Math" w:cs="Arial"/>
              <w:sz w:val="20"/>
              <w:szCs w:val="20"/>
              <w:lang w:val="en-GB"/>
            </w:rPr>
            <m:t>ln</m:t>
          </m:r>
          <m:d>
            <m:dPr>
              <m:ctrlPr>
                <w:rPr>
                  <w:rFonts w:ascii="Cambria Math" w:hAnsi="Cambria Math" w:cs="Arial"/>
                  <w:bCs/>
                  <w:i/>
                  <w:sz w:val="20"/>
                  <w:szCs w:val="20"/>
                  <w:lang w:val="en-GB"/>
                </w:rPr>
              </m:ctrlPr>
            </m:dPr>
            <m:e>
              <m:r>
                <w:rPr>
                  <w:rFonts w:ascii="Cambria Math" w:hAnsi="Cambria Math" w:cs="Arial"/>
                  <w:sz w:val="20"/>
                  <w:szCs w:val="20"/>
                  <w:lang w:val="en-GB"/>
                </w:rPr>
                <m:t>Cultivatedarea</m:t>
              </m:r>
            </m:e>
          </m:d>
          <m:r>
            <w:rPr>
              <w:rFonts w:ascii="Cambria Math" w:hAnsi="Cambria Math" w:cs="Arial"/>
              <w:sz w:val="20"/>
              <w:szCs w:val="20"/>
              <w:lang w:val="en-GB"/>
            </w:rPr>
            <m:t>+</m:t>
          </m:r>
          <m:sSub>
            <m:sSubPr>
              <m:ctrlPr>
                <w:rPr>
                  <w:rFonts w:ascii="Cambria Math" w:hAnsi="Cambria Math" w:cs="Arial"/>
                  <w:bCs/>
                  <w:i/>
                  <w:sz w:val="20"/>
                  <w:szCs w:val="20"/>
                  <w:lang w:val="en-GB"/>
                </w:rPr>
              </m:ctrlPr>
            </m:sSubPr>
            <m:e>
              <m:r>
                <w:rPr>
                  <w:rFonts w:ascii="Cambria Math" w:hAnsi="Cambria Math" w:cs="Arial"/>
                  <w:sz w:val="20"/>
                  <w:szCs w:val="20"/>
                  <w:lang w:val="en-GB"/>
                </w:rPr>
                <m:t>β</m:t>
              </m:r>
            </m:e>
            <m:sub>
              <m:r>
                <w:rPr>
                  <w:rFonts w:ascii="Cambria Math" w:hAnsi="Cambria Math" w:cs="Arial"/>
                  <w:sz w:val="20"/>
                  <w:szCs w:val="20"/>
                  <w:lang w:val="en-GB"/>
                </w:rPr>
                <m:t>7</m:t>
              </m:r>
            </m:sub>
          </m:sSub>
          <m:r>
            <w:rPr>
              <w:rFonts w:ascii="Cambria Math" w:hAnsi="Cambria Math" w:cs="Arial"/>
              <w:sz w:val="20"/>
              <w:szCs w:val="20"/>
              <w:lang w:val="en-GB"/>
            </w:rPr>
            <m:t>ln(Costofproduction)+ε</m:t>
          </m:r>
        </m:oMath>
      </m:oMathPara>
    </w:p>
    <w:p w14:paraId="64D6A153" w14:textId="77777777" w:rsidR="00DD79E0" w:rsidRDefault="00DD79E0" w:rsidP="00DD79E0">
      <w:pPr>
        <w:pStyle w:val="NormalWeb"/>
        <w:rPr>
          <w:rStyle w:val="mord"/>
          <w:rFonts w:ascii="Arial" w:hAnsi="Arial" w:cs="Arial"/>
          <w:sz w:val="20"/>
          <w:szCs w:val="20"/>
        </w:rPr>
      </w:pPr>
      <w:r>
        <w:rPr>
          <w:rStyle w:val="mord"/>
          <w:rFonts w:ascii="Arial" w:hAnsi="Arial" w:cs="Arial"/>
          <w:sz w:val="20"/>
          <w:szCs w:val="20"/>
        </w:rPr>
        <w:t>Where,</w:t>
      </w:r>
    </w:p>
    <w:p w14:paraId="18F7E424" w14:textId="77777777" w:rsidR="003B17A2" w:rsidRDefault="00DD79E0" w:rsidP="00DD79E0">
      <w:pPr>
        <w:pStyle w:val="NormalWeb"/>
        <w:rPr>
          <w:rFonts w:ascii="Arial" w:hAnsi="Arial" w:cs="Arial"/>
          <w:sz w:val="20"/>
          <w:szCs w:val="20"/>
        </w:rPr>
      </w:pPr>
      <w:r w:rsidRPr="00DD79E0">
        <w:rPr>
          <w:rStyle w:val="mord"/>
          <w:rFonts w:ascii="Arial" w:hAnsi="Arial" w:cs="Arial"/>
          <w:sz w:val="20"/>
          <w:szCs w:val="20"/>
        </w:rPr>
        <w:t>Y</w:t>
      </w:r>
      <w:r w:rsidRPr="00DD79E0">
        <w:rPr>
          <w:rFonts w:ascii="Arial" w:hAnsi="Arial" w:cs="Arial"/>
          <w:sz w:val="20"/>
          <w:szCs w:val="20"/>
        </w:rPr>
        <w:t xml:space="preserve"> = Farm income of the respondent household</w:t>
      </w:r>
    </w:p>
    <w:p w14:paraId="78F7FDA2" w14:textId="77777777" w:rsidR="00DD79E0" w:rsidRPr="00DD79E0" w:rsidRDefault="00DD79E0" w:rsidP="00DD79E0">
      <w:pPr>
        <w:pStyle w:val="NormalWeb"/>
        <w:rPr>
          <w:rFonts w:ascii="Arial" w:hAnsi="Arial" w:cs="Arial"/>
          <w:sz w:val="20"/>
          <w:szCs w:val="20"/>
        </w:rPr>
      </w:pPr>
      <w:r w:rsidRPr="00DD79E0">
        <w:rPr>
          <w:rFonts w:ascii="Arial" w:hAnsi="Arial" w:cs="Arial"/>
          <w:sz w:val="20"/>
          <w:szCs w:val="20"/>
        </w:rPr>
        <w:t>All explanatory variables are expressed in natural logarithms</w:t>
      </w:r>
    </w:p>
    <w:p w14:paraId="5CCA37C5" w14:textId="77777777" w:rsidR="00DD79E0" w:rsidRPr="00DD79E0" w:rsidRDefault="00DD79E0" w:rsidP="00DD79E0">
      <w:pPr>
        <w:pStyle w:val="NormalWeb"/>
        <w:rPr>
          <w:rStyle w:val="katex-mathml"/>
          <w:rFonts w:ascii="Arial" w:hAnsi="Arial" w:cs="Arial"/>
          <w:sz w:val="20"/>
          <w:szCs w:val="20"/>
        </w:rPr>
      </w:pPr>
      <w:r w:rsidRPr="00DD79E0">
        <w:rPr>
          <w:rStyle w:val="mord"/>
          <w:rFonts w:ascii="Arial" w:hAnsi="Arial" w:cs="Arial"/>
          <w:i/>
          <w:sz w:val="20"/>
          <w:szCs w:val="20"/>
        </w:rPr>
        <w:t>β</w:t>
      </w:r>
      <w:r w:rsidRPr="00DD79E0">
        <w:rPr>
          <w:rStyle w:val="mord"/>
          <w:rFonts w:ascii="Arial" w:hAnsi="Arial" w:cs="Arial"/>
          <w:i/>
          <w:sz w:val="20"/>
          <w:szCs w:val="20"/>
          <w:vertAlign w:val="subscript"/>
        </w:rPr>
        <w:t>0</w:t>
      </w:r>
      <w:r w:rsidRPr="00DD79E0">
        <w:rPr>
          <w:rStyle w:val="vlist-s"/>
          <w:rFonts w:ascii="Arial" w:hAnsi="Arial" w:cs="Arial"/>
          <w:i/>
          <w:sz w:val="20"/>
          <w:szCs w:val="20"/>
        </w:rPr>
        <w:t>​</w:t>
      </w:r>
      <w:r w:rsidRPr="00DD79E0">
        <w:rPr>
          <w:rFonts w:ascii="Arial" w:hAnsi="Arial" w:cs="Arial"/>
          <w:sz w:val="20"/>
          <w:szCs w:val="20"/>
        </w:rPr>
        <w:t xml:space="preserve"> represents the constant term, </w:t>
      </w:r>
      <w:r w:rsidRPr="00DD79E0">
        <w:rPr>
          <w:rStyle w:val="katex-mathml"/>
          <w:rFonts w:ascii="Arial" w:hAnsi="Arial" w:cs="Arial"/>
          <w:i/>
          <w:sz w:val="20"/>
          <w:szCs w:val="20"/>
        </w:rPr>
        <w:t>β</w:t>
      </w:r>
      <w:r w:rsidRPr="00DD79E0">
        <w:rPr>
          <w:rStyle w:val="katex-mathml"/>
          <w:rFonts w:ascii="Arial" w:hAnsi="Arial" w:cs="Arial"/>
          <w:i/>
          <w:sz w:val="20"/>
          <w:szCs w:val="20"/>
          <w:vertAlign w:val="subscript"/>
        </w:rPr>
        <w:t>1</w:t>
      </w:r>
      <w:r w:rsidRPr="00DD79E0">
        <w:rPr>
          <w:rStyle w:val="katex-mathml"/>
          <w:rFonts w:ascii="Arial" w:hAnsi="Arial" w:cs="Arial"/>
          <w:i/>
          <w:sz w:val="20"/>
          <w:szCs w:val="20"/>
        </w:rPr>
        <w:t>…β</w:t>
      </w:r>
      <w:r w:rsidRPr="00DD79E0">
        <w:rPr>
          <w:rStyle w:val="katex-mathml"/>
          <w:rFonts w:ascii="Arial" w:hAnsi="Arial" w:cs="Arial"/>
          <w:i/>
          <w:sz w:val="20"/>
          <w:szCs w:val="20"/>
          <w:vertAlign w:val="subscript"/>
        </w:rPr>
        <w:t>9</w:t>
      </w:r>
      <w:r w:rsidRPr="00DD79E0">
        <w:rPr>
          <w:rStyle w:val="vlist-s"/>
          <w:rFonts w:ascii="Arial" w:hAnsi="Arial" w:cs="Arial"/>
          <w:sz w:val="20"/>
          <w:szCs w:val="20"/>
        </w:rPr>
        <w:t xml:space="preserve"> </w:t>
      </w:r>
      <w:r w:rsidRPr="00DD79E0">
        <w:rPr>
          <w:rFonts w:ascii="Arial" w:hAnsi="Arial" w:cs="Arial"/>
          <w:sz w:val="20"/>
          <w:szCs w:val="20"/>
        </w:rPr>
        <w:t xml:space="preserve">are the estimated coefficients and </w:t>
      </w:r>
      <m:oMath>
        <m:r>
          <w:rPr>
            <w:rFonts w:ascii="Cambria Math" w:hAnsi="Cambria Math" w:cs="Arial"/>
            <w:sz w:val="20"/>
            <w:szCs w:val="20"/>
            <w:lang w:val="en-GB"/>
          </w:rPr>
          <m:t>ε</m:t>
        </m:r>
      </m:oMath>
      <w:r w:rsidRPr="00DD79E0">
        <w:rPr>
          <w:rFonts w:ascii="Arial" w:hAnsi="Arial" w:cs="Arial"/>
          <w:sz w:val="20"/>
          <w:szCs w:val="20"/>
        </w:rPr>
        <w:t xml:space="preserve"> denotes the random error term.</w:t>
      </w:r>
    </w:p>
    <w:p w14:paraId="54CA6D96" w14:textId="6E953021" w:rsidR="00682ECD" w:rsidRPr="00682ECD" w:rsidRDefault="00682ECD" w:rsidP="00DD79E0">
      <w:pPr>
        <w:pStyle w:val="NormalWeb"/>
        <w:spacing w:line="276" w:lineRule="auto"/>
        <w:ind w:firstLine="720"/>
        <w:jc w:val="both"/>
        <w:rPr>
          <w:rFonts w:ascii="Arial" w:hAnsi="Arial" w:cs="Arial"/>
          <w:sz w:val="20"/>
          <w:szCs w:val="20"/>
        </w:rPr>
      </w:pPr>
      <w:r w:rsidRPr="00682ECD">
        <w:rPr>
          <w:rFonts w:ascii="Arial" w:hAnsi="Arial" w:cs="Arial"/>
          <w:sz w:val="20"/>
          <w:szCs w:val="20"/>
        </w:rPr>
        <w:t xml:space="preserve">The influence of </w:t>
      </w:r>
      <w:r w:rsidRPr="00682ECD">
        <w:rPr>
          <w:rFonts w:ascii="Arial" w:hAnsi="Arial" w:cs="Arial"/>
          <w:bCs/>
          <w:sz w:val="20"/>
          <w:szCs w:val="20"/>
        </w:rPr>
        <w:t>age</w:t>
      </w:r>
      <w:r w:rsidRPr="00682ECD">
        <w:rPr>
          <w:rFonts w:ascii="Arial" w:hAnsi="Arial" w:cs="Arial"/>
          <w:sz w:val="20"/>
          <w:szCs w:val="20"/>
        </w:rPr>
        <w:t xml:space="preserve"> was assumed to be positive, as older farmers may possess better familiarity with farming risks and decision-making skills, although the effect may stabilise after a certain stage. </w:t>
      </w:r>
      <w:r w:rsidRPr="00682ECD">
        <w:rPr>
          <w:rFonts w:ascii="Arial" w:hAnsi="Arial" w:cs="Arial"/>
          <w:bCs/>
          <w:sz w:val="20"/>
          <w:szCs w:val="20"/>
        </w:rPr>
        <w:t>Education</w:t>
      </w:r>
      <w:r w:rsidRPr="00682ECD">
        <w:rPr>
          <w:rFonts w:ascii="Arial" w:hAnsi="Arial" w:cs="Arial"/>
          <w:sz w:val="20"/>
          <w:szCs w:val="20"/>
        </w:rPr>
        <w:t xml:space="preserve"> was expected to enhance access to information, improve technology adoption and support better financial choices, thereby contributing to higher </w:t>
      </w:r>
      <w:r w:rsidRPr="00682ECD">
        <w:rPr>
          <w:rFonts w:ascii="Arial" w:hAnsi="Arial" w:cs="Arial"/>
          <w:sz w:val="20"/>
          <w:szCs w:val="20"/>
        </w:rPr>
        <w:lastRenderedPageBreak/>
        <w:t xml:space="preserve">income. </w:t>
      </w:r>
      <w:r w:rsidRPr="00682ECD">
        <w:rPr>
          <w:rFonts w:ascii="Arial" w:hAnsi="Arial" w:cs="Arial"/>
          <w:bCs/>
          <w:sz w:val="20"/>
          <w:szCs w:val="20"/>
        </w:rPr>
        <w:t>Farming experience</w:t>
      </w:r>
      <w:r w:rsidRPr="00682ECD">
        <w:rPr>
          <w:rFonts w:ascii="Arial" w:hAnsi="Arial" w:cs="Arial"/>
          <w:sz w:val="20"/>
          <w:szCs w:val="20"/>
        </w:rPr>
        <w:t xml:space="preserve"> was also presumed to play a positive role through improved managerial efficiency and accumulated practical knowledge. The effect of </w:t>
      </w:r>
      <w:r w:rsidRPr="00682ECD">
        <w:rPr>
          <w:rFonts w:ascii="Arial" w:hAnsi="Arial" w:cs="Arial"/>
          <w:bCs/>
          <w:sz w:val="20"/>
          <w:szCs w:val="20"/>
        </w:rPr>
        <w:t>income from other sources</w:t>
      </w:r>
      <w:r w:rsidRPr="00682ECD">
        <w:rPr>
          <w:rFonts w:ascii="Arial" w:hAnsi="Arial" w:cs="Arial"/>
          <w:sz w:val="20"/>
          <w:szCs w:val="20"/>
        </w:rPr>
        <w:t xml:space="preserve"> could be mixed: it may either enable additional investment in farming or indicate reduced dependence on agriculture. </w:t>
      </w:r>
      <w:r w:rsidRPr="00682ECD">
        <w:rPr>
          <w:rFonts w:ascii="Arial" w:hAnsi="Arial" w:cs="Arial"/>
          <w:bCs/>
          <w:sz w:val="20"/>
          <w:szCs w:val="20"/>
        </w:rPr>
        <w:t>Cultivated area</w:t>
      </w:r>
      <w:r w:rsidRPr="00682ECD">
        <w:rPr>
          <w:rFonts w:ascii="Arial" w:hAnsi="Arial" w:cs="Arial"/>
          <w:sz w:val="20"/>
          <w:szCs w:val="20"/>
        </w:rPr>
        <w:t xml:space="preserve"> was assumed to have a strong positive association with income, reflecting the advantages of larger operational holdings. Finally, </w:t>
      </w:r>
      <w:r w:rsidRPr="00682ECD">
        <w:rPr>
          <w:rFonts w:ascii="Arial" w:hAnsi="Arial" w:cs="Arial"/>
          <w:bCs/>
          <w:sz w:val="20"/>
          <w:szCs w:val="20"/>
        </w:rPr>
        <w:t>cost of production</w:t>
      </w:r>
      <w:r w:rsidRPr="00682ECD">
        <w:rPr>
          <w:rFonts w:ascii="Arial" w:hAnsi="Arial" w:cs="Arial"/>
          <w:sz w:val="20"/>
          <w:szCs w:val="20"/>
        </w:rPr>
        <w:t xml:space="preserve"> was expected to contribute </w:t>
      </w:r>
      <w:r w:rsidR="00CE6FBD" w:rsidRPr="00682ECD">
        <w:rPr>
          <w:rFonts w:ascii="Arial" w:hAnsi="Arial" w:cs="Arial"/>
          <w:sz w:val="20"/>
          <w:szCs w:val="20"/>
        </w:rPr>
        <w:t xml:space="preserve">positively </w:t>
      </w:r>
      <w:r w:rsidRPr="00682ECD">
        <w:rPr>
          <w:rFonts w:ascii="Arial" w:hAnsi="Arial" w:cs="Arial"/>
          <w:sz w:val="20"/>
          <w:szCs w:val="20"/>
        </w:rPr>
        <w:t>to income, assuming that higher investment intensity or input use is associated with increased productivity and returns.</w:t>
      </w:r>
    </w:p>
    <w:p w14:paraId="74DAF858" w14:textId="7458ED64" w:rsidR="00682ECD" w:rsidRPr="00682ECD" w:rsidRDefault="00682ECD" w:rsidP="00682ECD">
      <w:pPr>
        <w:pStyle w:val="NormalWeb"/>
        <w:spacing w:line="276" w:lineRule="auto"/>
        <w:jc w:val="both"/>
        <w:rPr>
          <w:rFonts w:ascii="Arial" w:hAnsi="Arial" w:cs="Arial"/>
          <w:sz w:val="20"/>
          <w:szCs w:val="20"/>
        </w:rPr>
      </w:pPr>
      <w:r w:rsidRPr="00682ECD">
        <w:rPr>
          <w:rFonts w:ascii="Arial" w:hAnsi="Arial" w:cs="Arial"/>
          <w:sz w:val="20"/>
          <w:szCs w:val="20"/>
        </w:rPr>
        <w:tab/>
        <w:t xml:space="preserve">Percentage analysis was used to examine the pattern of loan utilisation among respondents and to assess the extent to which co-operative credit was diverted for non-agricultural purposes. Taken together, the analytical techniques used in the study allowed both descriptive assessment and econometric examination of the factors associated with borrowing and income outcomes. The selected design and methods were considered appropriate for addressing the study objectives and generating evidence on the role and utilisation of co-operative credit among </w:t>
      </w:r>
      <w:r w:rsidR="00CE6FBD">
        <w:rPr>
          <w:rFonts w:ascii="Arial" w:hAnsi="Arial" w:cs="Arial"/>
          <w:sz w:val="20"/>
          <w:szCs w:val="20"/>
        </w:rPr>
        <w:t xml:space="preserve">the </w:t>
      </w:r>
      <w:r w:rsidRPr="00682ECD">
        <w:rPr>
          <w:rFonts w:ascii="Arial" w:hAnsi="Arial" w:cs="Arial"/>
          <w:sz w:val="20"/>
          <w:szCs w:val="20"/>
        </w:rPr>
        <w:t>farm households in Kerala.</w:t>
      </w:r>
    </w:p>
    <w:p w14:paraId="0F76348B" w14:textId="77777777" w:rsidR="00902823" w:rsidRDefault="00D96F3F"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results and discussion</w:t>
      </w:r>
    </w:p>
    <w:p w14:paraId="44CA739D" w14:textId="77777777" w:rsidR="00790ADA" w:rsidRPr="00397118" w:rsidRDefault="00D96F3F" w:rsidP="00397118">
      <w:pPr>
        <w:pStyle w:val="NormalWeb"/>
        <w:spacing w:line="276" w:lineRule="auto"/>
        <w:jc w:val="both"/>
        <w:rPr>
          <w:rFonts w:ascii="Arial" w:hAnsi="Arial" w:cs="Arial"/>
          <w:b/>
          <w:sz w:val="22"/>
          <w:szCs w:val="22"/>
        </w:rPr>
      </w:pPr>
      <w:r>
        <w:rPr>
          <w:rFonts w:ascii="Arial" w:hAnsi="Arial" w:cs="Arial"/>
          <w:b/>
          <w:sz w:val="22"/>
          <w:szCs w:val="22"/>
        </w:rPr>
        <w:t>4</w:t>
      </w:r>
      <w:r w:rsidR="00397118" w:rsidRPr="00397118">
        <w:rPr>
          <w:rFonts w:ascii="Arial" w:hAnsi="Arial" w:cs="Arial"/>
          <w:b/>
          <w:sz w:val="22"/>
          <w:szCs w:val="22"/>
        </w:rPr>
        <w:t>.1 Factors affecting amount of credit borrowed</w:t>
      </w:r>
    </w:p>
    <w:p w14:paraId="25C233F1" w14:textId="7AB0EFA3" w:rsidR="00397118" w:rsidRDefault="00397118" w:rsidP="00397118">
      <w:pPr>
        <w:spacing w:before="100" w:beforeAutospacing="1" w:after="100" w:afterAutospacing="1" w:line="276" w:lineRule="auto"/>
        <w:jc w:val="both"/>
        <w:rPr>
          <w:rFonts w:ascii="Arial" w:hAnsi="Arial" w:cs="Arial"/>
          <w:lang w:val="en-IN" w:eastAsia="en-IN"/>
        </w:rPr>
      </w:pPr>
      <w:r w:rsidRPr="00F20F55">
        <w:rPr>
          <w:rFonts w:ascii="Arial" w:hAnsi="Arial" w:cs="Arial"/>
          <w:lang w:val="en-IN" w:eastAsia="en-IN"/>
        </w:rPr>
        <w:t xml:space="preserve">The results of the regression analysis examining the determinants of the amount of </w:t>
      </w:r>
      <w:r w:rsidRPr="00397118">
        <w:rPr>
          <w:rFonts w:ascii="Arial" w:hAnsi="Arial" w:cs="Arial"/>
          <w:lang w:val="en-IN" w:eastAsia="en-IN"/>
        </w:rPr>
        <w:t>co-operative</w:t>
      </w:r>
      <w:r w:rsidRPr="00F20F55">
        <w:rPr>
          <w:rFonts w:ascii="Arial" w:hAnsi="Arial" w:cs="Arial"/>
          <w:lang w:val="en-IN" w:eastAsia="en-IN"/>
        </w:rPr>
        <w:t xml:space="preserve"> credit borrowed are presented in Table </w:t>
      </w:r>
      <w:r w:rsidRPr="00DD4200">
        <w:rPr>
          <w:rFonts w:ascii="Arial" w:hAnsi="Arial" w:cs="Arial"/>
          <w:bCs/>
          <w:color w:val="000000" w:themeColor="text1"/>
          <w:kern w:val="24"/>
        </w:rPr>
        <w:t>1</w:t>
      </w:r>
      <w:r w:rsidRPr="00F20F55">
        <w:rPr>
          <w:rFonts w:ascii="Arial" w:hAnsi="Arial" w:cs="Arial"/>
          <w:lang w:val="en-IN" w:eastAsia="en-IN"/>
        </w:rPr>
        <w:t xml:space="preserve">. The model recorded an R² value of </w:t>
      </w:r>
      <w:r w:rsidR="0069678C">
        <w:rPr>
          <w:rFonts w:ascii="Arial" w:hAnsi="Arial" w:cs="Arial"/>
          <w:lang w:val="en-IN" w:eastAsia="en-IN"/>
        </w:rPr>
        <w:t>0</w:t>
      </w:r>
      <w:r w:rsidRPr="00397118">
        <w:rPr>
          <w:rFonts w:ascii="Arial" w:hAnsi="Arial" w:cs="Arial"/>
          <w:bCs/>
          <w:lang w:val="en-IN" w:eastAsia="en-IN"/>
        </w:rPr>
        <w:t>.43</w:t>
      </w:r>
      <w:r w:rsidRPr="00F20F55">
        <w:rPr>
          <w:rFonts w:ascii="Arial" w:hAnsi="Arial" w:cs="Arial"/>
          <w:lang w:val="en-IN" w:eastAsia="en-IN"/>
        </w:rPr>
        <w:t xml:space="preserve">, indicating that the selected variables explained 43 percent of the variation in </w:t>
      </w:r>
      <w:r w:rsidR="00CE6FBD">
        <w:rPr>
          <w:rFonts w:ascii="Arial" w:hAnsi="Arial" w:cs="Arial"/>
          <w:lang w:val="en-IN" w:eastAsia="en-IN"/>
        </w:rPr>
        <w:t>the amount of loan borrowed</w:t>
      </w:r>
      <w:r w:rsidRPr="00F20F55">
        <w:rPr>
          <w:rFonts w:ascii="Arial" w:hAnsi="Arial" w:cs="Arial"/>
          <w:lang w:val="en-IN" w:eastAsia="en-IN"/>
        </w:rPr>
        <w:t xml:space="preserve"> among the sampled households. Among the variables included in the model, </w:t>
      </w:r>
      <w:r w:rsidRPr="00397118">
        <w:rPr>
          <w:rFonts w:ascii="Arial" w:hAnsi="Arial" w:cs="Arial"/>
          <w:bCs/>
          <w:lang w:val="en-IN" w:eastAsia="en-IN"/>
        </w:rPr>
        <w:t xml:space="preserve">amount of other loans outstanding </w:t>
      </w:r>
      <w:r w:rsidRPr="00F20F55">
        <w:rPr>
          <w:rFonts w:ascii="Arial" w:hAnsi="Arial" w:cs="Arial"/>
          <w:lang w:val="en-IN" w:eastAsia="en-IN"/>
        </w:rPr>
        <w:t xml:space="preserve">and </w:t>
      </w:r>
      <w:r w:rsidRPr="00397118">
        <w:rPr>
          <w:rFonts w:ascii="Arial" w:hAnsi="Arial" w:cs="Arial"/>
          <w:bCs/>
          <w:lang w:val="en-IN" w:eastAsia="en-IN"/>
        </w:rPr>
        <w:t xml:space="preserve">availability of collateral security </w:t>
      </w:r>
      <w:r w:rsidRPr="00F20F55">
        <w:rPr>
          <w:rFonts w:ascii="Arial" w:hAnsi="Arial" w:cs="Arial"/>
          <w:lang w:val="en-IN" w:eastAsia="en-IN"/>
        </w:rPr>
        <w:t>were the only statistically significant predictors of the amount of credit borrowed</w:t>
      </w:r>
      <w:r w:rsidR="00AA40FF">
        <w:rPr>
          <w:rFonts w:ascii="Arial" w:hAnsi="Arial" w:cs="Arial"/>
          <w:lang w:val="en-IN" w:eastAsia="en-IN"/>
        </w:rPr>
        <w:t xml:space="preserve"> and were significant at one per cent level</w:t>
      </w:r>
      <w:r w:rsidRPr="00F20F55">
        <w:rPr>
          <w:rFonts w:ascii="Arial" w:hAnsi="Arial" w:cs="Arial"/>
          <w:lang w:val="en-IN" w:eastAsia="en-IN"/>
        </w:rPr>
        <w:t xml:space="preserve">. </w:t>
      </w:r>
    </w:p>
    <w:p w14:paraId="264F593A" w14:textId="6484DA9A" w:rsidR="00397118" w:rsidRPr="00397118" w:rsidRDefault="008C1634" w:rsidP="008C1634">
      <w:pPr>
        <w:spacing w:before="100" w:beforeAutospacing="1" w:after="100" w:afterAutospacing="1" w:line="276" w:lineRule="auto"/>
        <w:ind w:firstLine="720"/>
        <w:jc w:val="both"/>
        <w:rPr>
          <w:rFonts w:ascii="Arial" w:hAnsi="Arial" w:cs="Arial"/>
          <w:lang w:val="en-IN" w:eastAsia="en-IN"/>
        </w:rPr>
      </w:pPr>
      <w:r w:rsidRPr="008C1634">
        <w:rPr>
          <w:rFonts w:ascii="Arial" w:hAnsi="Arial" w:cs="Arial"/>
          <w:lang w:eastAsia="en-IN"/>
        </w:rPr>
        <w:t>The</w:t>
      </w:r>
      <w:r w:rsidR="000C6165">
        <w:rPr>
          <w:rFonts w:ascii="Arial" w:hAnsi="Arial" w:cs="Arial"/>
          <w:lang w:eastAsia="en-IN"/>
        </w:rPr>
        <w:t xml:space="preserve"> significant and </w:t>
      </w:r>
      <w:r w:rsidRPr="008C1634">
        <w:rPr>
          <w:rFonts w:ascii="Arial" w:hAnsi="Arial" w:cs="Arial"/>
          <w:lang w:eastAsia="en-IN"/>
        </w:rPr>
        <w:t xml:space="preserve">positive coefficient for outstanding loans suggests that borrowers with existing debt tended to access additional credit, indicating a pattern of repeated or serial borrowing rather than one-time loan use. </w:t>
      </w:r>
      <w:proofErr w:type="spellStart"/>
      <w:r w:rsidRPr="008C1634">
        <w:rPr>
          <w:rFonts w:ascii="Arial" w:hAnsi="Arial" w:cs="Arial"/>
          <w:lang w:eastAsia="en-IN"/>
        </w:rPr>
        <w:t>Guérin</w:t>
      </w:r>
      <w:proofErr w:type="spellEnd"/>
      <w:r>
        <w:rPr>
          <w:rFonts w:ascii="Arial" w:hAnsi="Arial" w:cs="Arial"/>
          <w:lang w:eastAsia="en-IN"/>
        </w:rPr>
        <w:t xml:space="preserve"> </w:t>
      </w:r>
      <w:r w:rsidRPr="008C1634">
        <w:rPr>
          <w:rFonts w:ascii="Arial" w:hAnsi="Arial" w:cs="Arial"/>
          <w:i/>
          <w:lang w:eastAsia="en-IN"/>
        </w:rPr>
        <w:t>et al.,</w:t>
      </w:r>
      <w:r>
        <w:rPr>
          <w:rFonts w:ascii="Arial" w:hAnsi="Arial" w:cs="Arial"/>
          <w:i/>
          <w:lang w:eastAsia="en-IN"/>
        </w:rPr>
        <w:t xml:space="preserve"> </w:t>
      </w:r>
      <w:r>
        <w:rPr>
          <w:rFonts w:ascii="Arial" w:hAnsi="Arial" w:cs="Arial"/>
          <w:lang w:eastAsia="en-IN"/>
        </w:rPr>
        <w:t>(2013)</w:t>
      </w:r>
      <w:r w:rsidR="00E72E26">
        <w:rPr>
          <w:rFonts w:ascii="Arial" w:hAnsi="Arial" w:cs="Arial"/>
          <w:lang w:eastAsia="en-IN"/>
        </w:rPr>
        <w:t xml:space="preserve"> </w:t>
      </w:r>
      <w:r>
        <w:rPr>
          <w:rFonts w:ascii="Arial" w:hAnsi="Arial" w:cs="Arial"/>
          <w:lang w:eastAsia="en-IN"/>
        </w:rPr>
        <w:t>in their</w:t>
      </w:r>
      <w:r w:rsidRPr="008C1634">
        <w:rPr>
          <w:rFonts w:ascii="Arial" w:hAnsi="Arial" w:cs="Arial"/>
          <w:lang w:eastAsia="en-IN"/>
        </w:rPr>
        <w:t xml:space="preserve"> work on over-indebted rural households in Tamil Nadu</w:t>
      </w:r>
      <w:r>
        <w:rPr>
          <w:rFonts w:ascii="Arial" w:hAnsi="Arial" w:cs="Arial"/>
          <w:lang w:val="en-IN" w:eastAsia="en-IN"/>
        </w:rPr>
        <w:t xml:space="preserve"> </w:t>
      </w:r>
      <w:r w:rsidRPr="008C1634">
        <w:rPr>
          <w:rFonts w:ascii="Arial" w:hAnsi="Arial" w:cs="Arial"/>
          <w:lang w:eastAsia="en-IN"/>
        </w:rPr>
        <w:t xml:space="preserve">have documented similar </w:t>
      </w:r>
      <w:proofErr w:type="spellStart"/>
      <w:r w:rsidRPr="008C1634">
        <w:rPr>
          <w:rFonts w:ascii="Arial" w:hAnsi="Arial" w:cs="Arial"/>
          <w:lang w:eastAsia="en-IN"/>
        </w:rPr>
        <w:t>behaviour</w:t>
      </w:r>
      <w:proofErr w:type="spellEnd"/>
      <w:r w:rsidRPr="008C1634">
        <w:rPr>
          <w:rFonts w:ascii="Arial" w:hAnsi="Arial" w:cs="Arial"/>
          <w:lang w:eastAsia="en-IN"/>
        </w:rPr>
        <w:t>, where households take new loans from multiple lenders both to smooth cash flows and to service earlier debts, effectively “rotating” liabilities across lenders instead of retiring them through surplus income</w:t>
      </w:r>
      <w:r>
        <w:rPr>
          <w:rFonts w:ascii="Arial" w:hAnsi="Arial" w:cs="Arial"/>
          <w:lang w:eastAsia="en-IN"/>
        </w:rPr>
        <w:t>.</w:t>
      </w:r>
      <w:r w:rsidRPr="008C1634">
        <w:rPr>
          <w:rFonts w:ascii="Arial" w:hAnsi="Arial" w:cs="Arial"/>
          <w:lang w:eastAsia="en-IN"/>
        </w:rPr>
        <w:t xml:space="preserve"> </w:t>
      </w:r>
      <w:r w:rsidR="00397118" w:rsidRPr="00F20F55">
        <w:rPr>
          <w:rFonts w:ascii="Arial" w:hAnsi="Arial" w:cs="Arial"/>
          <w:lang w:val="en-IN" w:eastAsia="en-IN"/>
        </w:rPr>
        <w:t>Similarly, the positive and significant influence of collateral implies that access to higher loan amounts is strongly linked to the borrower’s ability to provide land, fixed assets or other forms of security during the loan sanction</w:t>
      </w:r>
      <w:r w:rsidR="000C6165">
        <w:rPr>
          <w:rFonts w:ascii="Arial" w:hAnsi="Arial" w:cs="Arial"/>
          <w:lang w:val="en-IN" w:eastAsia="en-IN"/>
        </w:rPr>
        <w:t>ing</w:t>
      </w:r>
      <w:r w:rsidR="00397118" w:rsidRPr="00F20F55">
        <w:rPr>
          <w:rFonts w:ascii="Arial" w:hAnsi="Arial" w:cs="Arial"/>
          <w:lang w:val="en-IN" w:eastAsia="en-IN"/>
        </w:rPr>
        <w:t xml:space="preserve"> process. This highlights the conservative lending approach adopted by </w:t>
      </w:r>
      <w:r w:rsidR="00397118" w:rsidRPr="00397118">
        <w:rPr>
          <w:rFonts w:ascii="Arial" w:hAnsi="Arial" w:cs="Arial"/>
          <w:lang w:val="en-IN" w:eastAsia="en-IN"/>
        </w:rPr>
        <w:t>co-operative</w:t>
      </w:r>
      <w:r w:rsidR="00397118" w:rsidRPr="00F20F55">
        <w:rPr>
          <w:rFonts w:ascii="Arial" w:hAnsi="Arial" w:cs="Arial"/>
          <w:lang w:val="en-IN" w:eastAsia="en-IN"/>
        </w:rPr>
        <w:t xml:space="preserve"> institutions, where secured lending appears to be prioritised over need-based assessment or repayment capacity.</w:t>
      </w:r>
    </w:p>
    <w:p w14:paraId="4D1ED425" w14:textId="4FF3DE12" w:rsidR="00397118" w:rsidRDefault="00397118" w:rsidP="00397118">
      <w:pPr>
        <w:spacing w:before="100" w:beforeAutospacing="1" w:after="100" w:afterAutospacing="1" w:line="276" w:lineRule="auto"/>
        <w:ind w:firstLine="720"/>
        <w:jc w:val="both"/>
        <w:rPr>
          <w:rFonts w:ascii="Arial" w:hAnsi="Arial" w:cs="Arial"/>
          <w:lang w:val="en-GB" w:eastAsia="en-IN"/>
        </w:rPr>
      </w:pPr>
      <w:r w:rsidRPr="00397118">
        <w:rPr>
          <w:rFonts w:ascii="Arial" w:hAnsi="Arial" w:cs="Arial"/>
          <w:lang w:val="en-GB" w:eastAsia="en-IN"/>
        </w:rPr>
        <w:t xml:space="preserve">Other variables in the model, such as age, education, farming experience, farm income, cultivated area, cost of production and income from non-farm activities, were not found to be statistically significant. This indicates that these household and farm characteristics did not have a meaningful role in determining how much credit a borrower received. One possible reason is that </w:t>
      </w:r>
      <w:r w:rsidRPr="00397118">
        <w:rPr>
          <w:rFonts w:ascii="Arial" w:hAnsi="Arial" w:cs="Arial"/>
          <w:lang w:eastAsia="en-IN"/>
        </w:rPr>
        <w:t>co-operative</w:t>
      </w:r>
      <w:r w:rsidRPr="00397118">
        <w:rPr>
          <w:rFonts w:ascii="Arial" w:hAnsi="Arial" w:cs="Arial"/>
          <w:lang w:val="en-GB" w:eastAsia="en-IN"/>
        </w:rPr>
        <w:t xml:space="preserve"> institutions follow standard lending rules and fixed loan limits that apply to most borrowers, rather than adjusting loan size based on individual needs or characteristics. As a result, personal and farm-related factors appear to have little influence on credit access in the study area.</w:t>
      </w:r>
    </w:p>
    <w:p w14:paraId="32BD739F" w14:textId="1DA15357" w:rsidR="002F4DDE" w:rsidRPr="002F4DDE" w:rsidRDefault="002F4DDE" w:rsidP="00397118">
      <w:pPr>
        <w:spacing w:before="100" w:beforeAutospacing="1" w:after="100" w:afterAutospacing="1" w:line="276" w:lineRule="auto"/>
        <w:ind w:firstLine="720"/>
        <w:jc w:val="both"/>
        <w:rPr>
          <w:rFonts w:ascii="Arial" w:hAnsi="Arial" w:cs="Arial"/>
          <w:b/>
          <w:lang w:eastAsia="en-IN"/>
        </w:rPr>
      </w:pPr>
      <w:r w:rsidRPr="002F4DDE">
        <w:rPr>
          <w:rFonts w:ascii="Arial" w:hAnsi="Arial" w:cs="Arial"/>
          <w:b/>
          <w:lang w:eastAsia="en-IN"/>
        </w:rPr>
        <w:t xml:space="preserve">Table 1 </w:t>
      </w:r>
      <w:r w:rsidR="000C6165">
        <w:rPr>
          <w:rFonts w:ascii="Arial" w:hAnsi="Arial" w:cs="Arial"/>
          <w:b/>
          <w:lang w:eastAsia="en-IN"/>
        </w:rPr>
        <w:t>Estimates of the regression on</w:t>
      </w:r>
      <w:r w:rsidRPr="002F4DDE">
        <w:rPr>
          <w:rFonts w:ascii="Arial" w:hAnsi="Arial" w:cs="Arial"/>
          <w:b/>
          <w:lang w:eastAsia="en-IN"/>
        </w:rPr>
        <w:t xml:space="preserve"> </w:t>
      </w:r>
      <w:r w:rsidR="000C6165">
        <w:rPr>
          <w:rFonts w:ascii="Arial" w:hAnsi="Arial" w:cs="Arial"/>
          <w:b/>
          <w:lang w:eastAsia="en-IN"/>
        </w:rPr>
        <w:t>factors</w:t>
      </w:r>
      <w:r w:rsidR="000C6165" w:rsidRPr="002F4DDE">
        <w:rPr>
          <w:rFonts w:ascii="Arial" w:hAnsi="Arial" w:cs="Arial"/>
          <w:b/>
          <w:lang w:eastAsia="en-IN"/>
        </w:rPr>
        <w:t xml:space="preserve"> </w:t>
      </w:r>
      <w:r>
        <w:rPr>
          <w:rFonts w:ascii="Arial" w:hAnsi="Arial" w:cs="Arial"/>
          <w:b/>
          <w:lang w:eastAsia="en-IN"/>
        </w:rPr>
        <w:t>a</w:t>
      </w:r>
      <w:r w:rsidRPr="002F4DDE">
        <w:rPr>
          <w:rFonts w:ascii="Arial" w:hAnsi="Arial" w:cs="Arial"/>
          <w:b/>
          <w:lang w:eastAsia="en-IN"/>
        </w:rPr>
        <w:t xml:space="preserve">ffecting </w:t>
      </w:r>
      <w:r w:rsidR="000C6165">
        <w:rPr>
          <w:rFonts w:ascii="Arial" w:hAnsi="Arial" w:cs="Arial"/>
          <w:b/>
          <w:lang w:eastAsia="en-IN"/>
        </w:rPr>
        <w:t>c</w:t>
      </w:r>
      <w:r w:rsidR="000C6165" w:rsidRPr="002F4DDE">
        <w:rPr>
          <w:rFonts w:ascii="Arial" w:hAnsi="Arial" w:cs="Arial"/>
          <w:b/>
          <w:lang w:eastAsia="en-IN"/>
        </w:rPr>
        <w:t xml:space="preserve">redit </w:t>
      </w:r>
      <w:r w:rsidR="000C6165">
        <w:rPr>
          <w:rFonts w:ascii="Arial" w:hAnsi="Arial" w:cs="Arial"/>
          <w:b/>
          <w:lang w:eastAsia="en-IN"/>
        </w:rPr>
        <w:t>a</w:t>
      </w:r>
      <w:r w:rsidR="000C6165" w:rsidRPr="002F4DDE">
        <w:rPr>
          <w:rFonts w:ascii="Arial" w:hAnsi="Arial" w:cs="Arial"/>
          <w:b/>
          <w:lang w:eastAsia="en-IN"/>
        </w:rPr>
        <w:t>mount</w:t>
      </w:r>
      <w:r w:rsidR="000C6165">
        <w:rPr>
          <w:rFonts w:ascii="Arial" w:hAnsi="Arial" w:cs="Arial"/>
          <w:b/>
          <w:lang w:eastAsia="en-IN"/>
        </w:rPr>
        <w:t xml:space="preserve"> </w:t>
      </w:r>
      <w:r>
        <w:rPr>
          <w:rFonts w:ascii="Arial" w:hAnsi="Arial" w:cs="Arial"/>
          <w:b/>
          <w:lang w:eastAsia="en-IN"/>
        </w:rPr>
        <w:t>b</w:t>
      </w:r>
      <w:r w:rsidRPr="002F4DDE">
        <w:rPr>
          <w:rFonts w:ascii="Arial" w:hAnsi="Arial" w:cs="Arial"/>
          <w:b/>
          <w:lang w:eastAsia="en-IN"/>
        </w:rPr>
        <w:t xml:space="preserve">orrowed </w:t>
      </w:r>
    </w:p>
    <w:tbl>
      <w:tblPr>
        <w:tblStyle w:val="PlainTable2"/>
        <w:tblW w:w="8312" w:type="dxa"/>
        <w:tblLook w:val="04A0" w:firstRow="1" w:lastRow="0" w:firstColumn="1" w:lastColumn="0" w:noHBand="0" w:noVBand="1"/>
      </w:tblPr>
      <w:tblGrid>
        <w:gridCol w:w="3531"/>
        <w:gridCol w:w="1505"/>
        <w:gridCol w:w="1638"/>
        <w:gridCol w:w="1638"/>
      </w:tblGrid>
      <w:tr w:rsidR="00044F02" w:rsidRPr="00B01A76" w14:paraId="4E175DC0" w14:textId="77777777" w:rsidTr="00EE224E">
        <w:trPr>
          <w:cnfStyle w:val="100000000000" w:firstRow="1" w:lastRow="0"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531" w:type="dxa"/>
          </w:tcPr>
          <w:p w14:paraId="29096EFC" w14:textId="77777777" w:rsidR="00044F02" w:rsidRPr="00B01A76" w:rsidRDefault="00044F02" w:rsidP="002F4DDE">
            <w:pPr>
              <w:spacing w:before="100" w:beforeAutospacing="1" w:after="100" w:afterAutospacing="1" w:line="276" w:lineRule="auto"/>
              <w:jc w:val="center"/>
              <w:rPr>
                <w:rFonts w:ascii="Arial" w:hAnsi="Arial" w:cs="Arial"/>
                <w:b w:val="0"/>
                <w:lang w:val="en-IN" w:eastAsia="en-IN"/>
              </w:rPr>
            </w:pPr>
            <w:r w:rsidRPr="00B01A76">
              <w:rPr>
                <w:rFonts w:ascii="Arial" w:hAnsi="Arial" w:cs="Arial"/>
                <w:lang w:eastAsia="en-IN"/>
              </w:rPr>
              <w:t>Variables</w:t>
            </w:r>
          </w:p>
        </w:tc>
        <w:tc>
          <w:tcPr>
            <w:tcW w:w="1505" w:type="dxa"/>
          </w:tcPr>
          <w:p w14:paraId="69F37350" w14:textId="77777777" w:rsidR="00044F02" w:rsidRPr="00B01A76" w:rsidRDefault="00044F02" w:rsidP="002F4DDE">
            <w:pPr>
              <w:spacing w:before="100" w:beforeAutospacing="1" w:after="100" w:afterAutospacing="1"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val="en-IN" w:eastAsia="en-IN"/>
              </w:rPr>
            </w:pPr>
            <w:r w:rsidRPr="00B01A76">
              <w:rPr>
                <w:rFonts w:ascii="Arial" w:hAnsi="Arial" w:cs="Arial"/>
                <w:color w:val="000000" w:themeColor="text1"/>
                <w:kern w:val="24"/>
              </w:rPr>
              <w:t>Coefficient</w:t>
            </w:r>
          </w:p>
        </w:tc>
        <w:tc>
          <w:tcPr>
            <w:tcW w:w="1638" w:type="dxa"/>
          </w:tcPr>
          <w:p w14:paraId="3B9BC5FD" w14:textId="77777777" w:rsidR="00044F02" w:rsidRPr="005A2161" w:rsidRDefault="00044F02" w:rsidP="002F4DD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5A2161">
              <w:rPr>
                <w:rFonts w:ascii="Arial" w:hAnsi="Arial" w:cs="Arial"/>
                <w:color w:val="000000"/>
              </w:rPr>
              <w:t>Standard Error</w:t>
            </w:r>
          </w:p>
        </w:tc>
        <w:tc>
          <w:tcPr>
            <w:tcW w:w="1638" w:type="dxa"/>
          </w:tcPr>
          <w:p w14:paraId="62075366" w14:textId="77777777" w:rsidR="00044F02" w:rsidRPr="00B01A76" w:rsidRDefault="00044F02" w:rsidP="002F4DDE">
            <w:pPr>
              <w:spacing w:before="100" w:beforeAutospacing="1" w:after="100" w:afterAutospacing="1"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val="en-IN" w:eastAsia="en-IN"/>
              </w:rPr>
            </w:pPr>
            <w:r w:rsidRPr="00B01A76">
              <w:rPr>
                <w:rFonts w:ascii="Arial" w:hAnsi="Arial" w:cs="Arial"/>
                <w:color w:val="000000" w:themeColor="text1"/>
                <w:kern w:val="24"/>
              </w:rPr>
              <w:t>p-value</w:t>
            </w:r>
          </w:p>
        </w:tc>
      </w:tr>
      <w:tr w:rsidR="00044F02" w:rsidRPr="00397118" w14:paraId="703D9FFE" w14:textId="77777777" w:rsidTr="00EE22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1" w:type="dxa"/>
          </w:tcPr>
          <w:p w14:paraId="71746597" w14:textId="77777777" w:rsidR="00044F02" w:rsidRPr="00397118" w:rsidRDefault="00044F02" w:rsidP="002F4DDE">
            <w:pPr>
              <w:spacing w:before="100" w:beforeAutospacing="1" w:after="100" w:afterAutospacing="1" w:line="276" w:lineRule="auto"/>
              <w:rPr>
                <w:rFonts w:ascii="Arial" w:hAnsi="Arial" w:cs="Arial"/>
                <w:lang w:val="en-IN" w:eastAsia="en-IN"/>
              </w:rPr>
            </w:pPr>
            <w:r w:rsidRPr="00397118">
              <w:rPr>
                <w:rFonts w:ascii="Arial" w:hAnsi="Arial" w:cs="Arial"/>
                <w:color w:val="000000" w:themeColor="text1"/>
                <w:kern w:val="24"/>
              </w:rPr>
              <w:t>Intercept</w:t>
            </w:r>
          </w:p>
        </w:tc>
        <w:tc>
          <w:tcPr>
            <w:tcW w:w="1505" w:type="dxa"/>
          </w:tcPr>
          <w:p w14:paraId="196A3FB4" w14:textId="62A168C3" w:rsidR="00044F02" w:rsidRPr="00397118" w:rsidRDefault="000C6165" w:rsidP="002F4DDE">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Pr>
                <w:rFonts w:ascii="Arial" w:hAnsi="Arial" w:cs="Arial"/>
                <w:color w:val="000000" w:themeColor="text1"/>
                <w:kern w:val="24"/>
              </w:rPr>
              <w:t xml:space="preserve">     </w:t>
            </w:r>
            <w:r w:rsidR="00044F02" w:rsidRPr="00397118">
              <w:rPr>
                <w:rFonts w:ascii="Arial" w:hAnsi="Arial" w:cs="Arial"/>
                <w:color w:val="000000" w:themeColor="text1"/>
                <w:kern w:val="24"/>
              </w:rPr>
              <w:t>7.30***</w:t>
            </w:r>
          </w:p>
        </w:tc>
        <w:tc>
          <w:tcPr>
            <w:tcW w:w="1638" w:type="dxa"/>
          </w:tcPr>
          <w:p w14:paraId="1C1A9AF5" w14:textId="77777777" w:rsidR="00044F02" w:rsidRPr="00044F02" w:rsidRDefault="00044F02" w:rsidP="002F4DD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044F02">
              <w:rPr>
                <w:rFonts w:ascii="Arial" w:hAnsi="Arial" w:cs="Arial"/>
                <w:color w:val="000000"/>
              </w:rPr>
              <w:t>1.55</w:t>
            </w:r>
          </w:p>
        </w:tc>
        <w:tc>
          <w:tcPr>
            <w:tcW w:w="1638" w:type="dxa"/>
          </w:tcPr>
          <w:p w14:paraId="43B7762E" w14:textId="77777777" w:rsidR="00044F02" w:rsidRPr="00397118" w:rsidRDefault="00044F02" w:rsidP="002F4DDE">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397118">
              <w:rPr>
                <w:rFonts w:ascii="Arial" w:hAnsi="Arial" w:cs="Arial"/>
                <w:color w:val="000000" w:themeColor="text1"/>
                <w:kern w:val="24"/>
              </w:rPr>
              <w:t>0.00</w:t>
            </w:r>
          </w:p>
        </w:tc>
      </w:tr>
      <w:tr w:rsidR="00044F02" w:rsidRPr="00397118" w14:paraId="3C93753D" w14:textId="77777777" w:rsidTr="00EE224E">
        <w:trPr>
          <w:trHeight w:val="282"/>
        </w:trPr>
        <w:tc>
          <w:tcPr>
            <w:cnfStyle w:val="001000000000" w:firstRow="0" w:lastRow="0" w:firstColumn="1" w:lastColumn="0" w:oddVBand="0" w:evenVBand="0" w:oddHBand="0" w:evenHBand="0" w:firstRowFirstColumn="0" w:firstRowLastColumn="0" w:lastRowFirstColumn="0" w:lastRowLastColumn="0"/>
            <w:tcW w:w="3531" w:type="dxa"/>
          </w:tcPr>
          <w:p w14:paraId="072FD8F3" w14:textId="77777777" w:rsidR="00044F02" w:rsidRPr="00397118" w:rsidRDefault="00044F02" w:rsidP="002F4DDE">
            <w:pPr>
              <w:spacing w:before="100" w:beforeAutospacing="1" w:after="100" w:afterAutospacing="1" w:line="276" w:lineRule="auto"/>
              <w:rPr>
                <w:rFonts w:ascii="Arial" w:hAnsi="Arial" w:cs="Arial"/>
                <w:lang w:val="en-IN" w:eastAsia="en-IN"/>
              </w:rPr>
            </w:pPr>
            <w:r w:rsidRPr="00397118">
              <w:rPr>
                <w:rFonts w:ascii="Arial" w:hAnsi="Arial" w:cs="Arial"/>
                <w:color w:val="000000" w:themeColor="text1"/>
                <w:kern w:val="24"/>
              </w:rPr>
              <w:t>Age</w:t>
            </w:r>
          </w:p>
        </w:tc>
        <w:tc>
          <w:tcPr>
            <w:tcW w:w="1505" w:type="dxa"/>
          </w:tcPr>
          <w:p w14:paraId="51A2978D" w14:textId="77777777" w:rsidR="00044F02" w:rsidRPr="00397118" w:rsidRDefault="00044F02" w:rsidP="002F4DD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397118">
              <w:rPr>
                <w:rFonts w:ascii="Arial" w:hAnsi="Arial" w:cs="Arial"/>
                <w:color w:val="000000" w:themeColor="text1"/>
                <w:kern w:val="24"/>
              </w:rPr>
              <w:t>0.02</w:t>
            </w:r>
          </w:p>
        </w:tc>
        <w:tc>
          <w:tcPr>
            <w:tcW w:w="1638" w:type="dxa"/>
          </w:tcPr>
          <w:p w14:paraId="659CDBAE" w14:textId="77777777" w:rsidR="00044F02" w:rsidRPr="00044F02" w:rsidRDefault="00044F02" w:rsidP="002F4DD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044F02">
              <w:rPr>
                <w:rFonts w:ascii="Arial" w:hAnsi="Arial" w:cs="Arial"/>
                <w:color w:val="000000"/>
              </w:rPr>
              <w:t>0.03</w:t>
            </w:r>
          </w:p>
        </w:tc>
        <w:tc>
          <w:tcPr>
            <w:tcW w:w="1638" w:type="dxa"/>
          </w:tcPr>
          <w:p w14:paraId="4DA48BC9" w14:textId="77777777" w:rsidR="00044F02" w:rsidRPr="00397118" w:rsidRDefault="00044F02" w:rsidP="002F4DD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397118">
              <w:rPr>
                <w:rFonts w:ascii="Arial" w:hAnsi="Arial" w:cs="Arial"/>
                <w:color w:val="000000" w:themeColor="text1"/>
                <w:kern w:val="24"/>
              </w:rPr>
              <w:t>0.94</w:t>
            </w:r>
          </w:p>
        </w:tc>
      </w:tr>
      <w:tr w:rsidR="00044F02" w:rsidRPr="00397118" w14:paraId="2D881E07" w14:textId="77777777" w:rsidTr="00EE224E">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531" w:type="dxa"/>
          </w:tcPr>
          <w:p w14:paraId="00056920" w14:textId="77777777" w:rsidR="00044F02" w:rsidRPr="00397118" w:rsidRDefault="00044F02" w:rsidP="002F4DDE">
            <w:pPr>
              <w:spacing w:before="100" w:beforeAutospacing="1" w:after="100" w:afterAutospacing="1" w:line="276" w:lineRule="auto"/>
              <w:rPr>
                <w:rFonts w:ascii="Arial" w:hAnsi="Arial" w:cs="Arial"/>
                <w:lang w:val="en-IN" w:eastAsia="en-IN"/>
              </w:rPr>
            </w:pPr>
            <w:r w:rsidRPr="00397118">
              <w:rPr>
                <w:rFonts w:ascii="Arial" w:hAnsi="Arial" w:cs="Arial"/>
                <w:color w:val="000000" w:themeColor="text1"/>
                <w:kern w:val="24"/>
              </w:rPr>
              <w:t>Education</w:t>
            </w:r>
          </w:p>
        </w:tc>
        <w:tc>
          <w:tcPr>
            <w:tcW w:w="1505" w:type="dxa"/>
          </w:tcPr>
          <w:p w14:paraId="6A9E9A6F" w14:textId="77777777" w:rsidR="00044F02" w:rsidRPr="00397118" w:rsidRDefault="00044F02" w:rsidP="002F4DDE">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397118">
              <w:rPr>
                <w:rFonts w:ascii="Arial" w:hAnsi="Arial" w:cs="Arial"/>
                <w:color w:val="000000" w:themeColor="text1"/>
                <w:kern w:val="24"/>
              </w:rPr>
              <w:t>0.17</w:t>
            </w:r>
          </w:p>
        </w:tc>
        <w:tc>
          <w:tcPr>
            <w:tcW w:w="1638" w:type="dxa"/>
          </w:tcPr>
          <w:p w14:paraId="61977BCD" w14:textId="77777777" w:rsidR="00044F02" w:rsidRPr="00044F02" w:rsidRDefault="00044F02" w:rsidP="002F4DD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044F02">
              <w:rPr>
                <w:rFonts w:ascii="Arial" w:hAnsi="Arial" w:cs="Arial"/>
                <w:color w:val="000000"/>
              </w:rPr>
              <w:t>0.33</w:t>
            </w:r>
          </w:p>
        </w:tc>
        <w:tc>
          <w:tcPr>
            <w:tcW w:w="1638" w:type="dxa"/>
          </w:tcPr>
          <w:p w14:paraId="0B754942" w14:textId="77777777" w:rsidR="00044F02" w:rsidRPr="00397118" w:rsidRDefault="00044F02" w:rsidP="002F4DDE">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397118">
              <w:rPr>
                <w:rFonts w:ascii="Arial" w:hAnsi="Arial" w:cs="Arial"/>
                <w:color w:val="000000" w:themeColor="text1"/>
                <w:kern w:val="24"/>
              </w:rPr>
              <w:t>0.37</w:t>
            </w:r>
          </w:p>
        </w:tc>
      </w:tr>
      <w:tr w:rsidR="00044F02" w:rsidRPr="00397118" w14:paraId="347EF96E" w14:textId="77777777" w:rsidTr="00EE224E">
        <w:trPr>
          <w:trHeight w:val="300"/>
        </w:trPr>
        <w:tc>
          <w:tcPr>
            <w:cnfStyle w:val="001000000000" w:firstRow="0" w:lastRow="0" w:firstColumn="1" w:lastColumn="0" w:oddVBand="0" w:evenVBand="0" w:oddHBand="0" w:evenHBand="0" w:firstRowFirstColumn="0" w:firstRowLastColumn="0" w:lastRowFirstColumn="0" w:lastRowLastColumn="0"/>
            <w:tcW w:w="3531" w:type="dxa"/>
          </w:tcPr>
          <w:p w14:paraId="59F4BD18" w14:textId="77777777" w:rsidR="00044F02" w:rsidRPr="00397118" w:rsidRDefault="00044F02" w:rsidP="002F4DDE">
            <w:pPr>
              <w:spacing w:before="100" w:beforeAutospacing="1" w:after="100" w:afterAutospacing="1" w:line="276" w:lineRule="auto"/>
              <w:rPr>
                <w:rFonts w:ascii="Arial" w:hAnsi="Arial" w:cs="Arial"/>
                <w:lang w:val="en-IN" w:eastAsia="en-IN"/>
              </w:rPr>
            </w:pPr>
            <w:r w:rsidRPr="00397118">
              <w:rPr>
                <w:rFonts w:ascii="Arial" w:hAnsi="Arial" w:cs="Arial"/>
                <w:color w:val="000000" w:themeColor="text1"/>
                <w:kern w:val="24"/>
              </w:rPr>
              <w:t>Farming experience</w:t>
            </w:r>
          </w:p>
        </w:tc>
        <w:tc>
          <w:tcPr>
            <w:tcW w:w="1505" w:type="dxa"/>
          </w:tcPr>
          <w:p w14:paraId="1D0737A9" w14:textId="77777777" w:rsidR="00044F02" w:rsidRPr="00397118" w:rsidRDefault="00044F02" w:rsidP="002F4DD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397118">
              <w:rPr>
                <w:rFonts w:ascii="Arial" w:hAnsi="Arial" w:cs="Arial"/>
                <w:color w:val="000000" w:themeColor="text1"/>
                <w:kern w:val="24"/>
              </w:rPr>
              <w:t>0.04</w:t>
            </w:r>
          </w:p>
        </w:tc>
        <w:tc>
          <w:tcPr>
            <w:tcW w:w="1638" w:type="dxa"/>
          </w:tcPr>
          <w:p w14:paraId="38EEFE20" w14:textId="77777777" w:rsidR="00044F02" w:rsidRPr="00044F02" w:rsidRDefault="00044F02" w:rsidP="002F4DD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044F02">
              <w:rPr>
                <w:rFonts w:ascii="Arial" w:hAnsi="Arial" w:cs="Arial"/>
                <w:color w:val="000000"/>
              </w:rPr>
              <w:t>0.19</w:t>
            </w:r>
          </w:p>
        </w:tc>
        <w:tc>
          <w:tcPr>
            <w:tcW w:w="1638" w:type="dxa"/>
          </w:tcPr>
          <w:p w14:paraId="4397E026" w14:textId="77777777" w:rsidR="00044F02" w:rsidRPr="00397118" w:rsidRDefault="00044F02" w:rsidP="002F4DD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397118">
              <w:rPr>
                <w:rFonts w:ascii="Arial" w:hAnsi="Arial" w:cs="Arial"/>
                <w:color w:val="000000" w:themeColor="text1"/>
                <w:kern w:val="24"/>
              </w:rPr>
              <w:t>0.64</w:t>
            </w:r>
          </w:p>
        </w:tc>
      </w:tr>
      <w:tr w:rsidR="00044F02" w:rsidRPr="00397118" w14:paraId="448F5F8B" w14:textId="77777777" w:rsidTr="00EE224E">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531" w:type="dxa"/>
          </w:tcPr>
          <w:p w14:paraId="0633D2D2" w14:textId="77777777" w:rsidR="00044F02" w:rsidRPr="00397118" w:rsidRDefault="00044F02" w:rsidP="002F4DDE">
            <w:pPr>
              <w:spacing w:before="100" w:beforeAutospacing="1" w:after="100" w:afterAutospacing="1" w:line="276" w:lineRule="auto"/>
              <w:rPr>
                <w:rFonts w:ascii="Arial" w:hAnsi="Arial" w:cs="Arial"/>
                <w:lang w:val="en-IN" w:eastAsia="en-IN"/>
              </w:rPr>
            </w:pPr>
            <w:r w:rsidRPr="00397118">
              <w:rPr>
                <w:rFonts w:ascii="Arial" w:hAnsi="Arial" w:cs="Arial"/>
                <w:color w:val="000000" w:themeColor="text1"/>
                <w:kern w:val="24"/>
              </w:rPr>
              <w:t>Farm income</w:t>
            </w:r>
          </w:p>
        </w:tc>
        <w:tc>
          <w:tcPr>
            <w:tcW w:w="1505" w:type="dxa"/>
          </w:tcPr>
          <w:p w14:paraId="0D2B7E4F" w14:textId="77777777" w:rsidR="00044F02" w:rsidRPr="00397118" w:rsidRDefault="00044F02" w:rsidP="002F4DDE">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397118">
              <w:rPr>
                <w:rFonts w:ascii="Arial" w:hAnsi="Arial" w:cs="Arial"/>
                <w:color w:val="000000" w:themeColor="text1"/>
                <w:kern w:val="24"/>
              </w:rPr>
              <w:t>-0.05</w:t>
            </w:r>
          </w:p>
        </w:tc>
        <w:tc>
          <w:tcPr>
            <w:tcW w:w="1638" w:type="dxa"/>
          </w:tcPr>
          <w:p w14:paraId="58996321" w14:textId="77777777" w:rsidR="00044F02" w:rsidRPr="00044F02" w:rsidRDefault="00044F02" w:rsidP="002F4DD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044F02">
              <w:rPr>
                <w:rFonts w:ascii="Arial" w:hAnsi="Arial" w:cs="Arial"/>
                <w:color w:val="000000"/>
              </w:rPr>
              <w:t>0.09</w:t>
            </w:r>
          </w:p>
        </w:tc>
        <w:tc>
          <w:tcPr>
            <w:tcW w:w="1638" w:type="dxa"/>
          </w:tcPr>
          <w:p w14:paraId="0F7CDF4E" w14:textId="77777777" w:rsidR="00044F02" w:rsidRPr="00397118" w:rsidRDefault="00044F02" w:rsidP="002F4DDE">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397118">
              <w:rPr>
                <w:rFonts w:ascii="Arial" w:hAnsi="Arial" w:cs="Arial"/>
                <w:color w:val="000000" w:themeColor="text1"/>
                <w:kern w:val="24"/>
              </w:rPr>
              <w:t>0.13</w:t>
            </w:r>
          </w:p>
        </w:tc>
      </w:tr>
      <w:tr w:rsidR="00044F02" w:rsidRPr="00397118" w14:paraId="683F89CA" w14:textId="77777777" w:rsidTr="00EE224E">
        <w:trPr>
          <w:trHeight w:val="282"/>
        </w:trPr>
        <w:tc>
          <w:tcPr>
            <w:cnfStyle w:val="001000000000" w:firstRow="0" w:lastRow="0" w:firstColumn="1" w:lastColumn="0" w:oddVBand="0" w:evenVBand="0" w:oddHBand="0" w:evenHBand="0" w:firstRowFirstColumn="0" w:firstRowLastColumn="0" w:lastRowFirstColumn="0" w:lastRowLastColumn="0"/>
            <w:tcW w:w="3531" w:type="dxa"/>
          </w:tcPr>
          <w:p w14:paraId="4B5137C7" w14:textId="77777777" w:rsidR="00044F02" w:rsidRPr="00397118" w:rsidRDefault="00044F02" w:rsidP="002F4DDE">
            <w:pPr>
              <w:spacing w:before="100" w:beforeAutospacing="1" w:after="100" w:afterAutospacing="1" w:line="276" w:lineRule="auto"/>
              <w:rPr>
                <w:rFonts w:ascii="Arial" w:hAnsi="Arial" w:cs="Arial"/>
                <w:lang w:val="en-IN" w:eastAsia="en-IN"/>
              </w:rPr>
            </w:pPr>
            <w:r w:rsidRPr="00397118">
              <w:rPr>
                <w:rFonts w:ascii="Arial" w:hAnsi="Arial" w:cs="Arial"/>
                <w:color w:val="000000" w:themeColor="text1"/>
                <w:kern w:val="24"/>
              </w:rPr>
              <w:t>Income from other sources</w:t>
            </w:r>
          </w:p>
        </w:tc>
        <w:tc>
          <w:tcPr>
            <w:tcW w:w="1505" w:type="dxa"/>
          </w:tcPr>
          <w:p w14:paraId="05D5B6CC" w14:textId="77777777" w:rsidR="00044F02" w:rsidRPr="00397118" w:rsidRDefault="00044F02" w:rsidP="002F4DD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397118">
              <w:rPr>
                <w:rFonts w:ascii="Arial" w:hAnsi="Arial" w:cs="Arial"/>
                <w:color w:val="000000" w:themeColor="text1"/>
                <w:kern w:val="24"/>
              </w:rPr>
              <w:t>0.00</w:t>
            </w:r>
          </w:p>
        </w:tc>
        <w:tc>
          <w:tcPr>
            <w:tcW w:w="1638" w:type="dxa"/>
          </w:tcPr>
          <w:p w14:paraId="72D259FE" w14:textId="77777777" w:rsidR="00044F02" w:rsidRPr="00044F02" w:rsidRDefault="00044F02" w:rsidP="002F4DD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044F02">
              <w:rPr>
                <w:rFonts w:ascii="Arial" w:hAnsi="Arial" w:cs="Arial"/>
                <w:color w:val="000000"/>
              </w:rPr>
              <w:t>0.02</w:t>
            </w:r>
          </w:p>
        </w:tc>
        <w:tc>
          <w:tcPr>
            <w:tcW w:w="1638" w:type="dxa"/>
          </w:tcPr>
          <w:p w14:paraId="0AD353B9" w14:textId="77777777" w:rsidR="00044F02" w:rsidRPr="00397118" w:rsidRDefault="00044F02" w:rsidP="002F4DD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397118">
              <w:rPr>
                <w:rFonts w:ascii="Arial" w:hAnsi="Arial" w:cs="Arial"/>
                <w:color w:val="000000" w:themeColor="text1"/>
                <w:kern w:val="24"/>
              </w:rPr>
              <w:t>0.84</w:t>
            </w:r>
          </w:p>
        </w:tc>
      </w:tr>
      <w:tr w:rsidR="00044F02" w:rsidRPr="00397118" w14:paraId="0BE3B25F" w14:textId="77777777" w:rsidTr="00EE22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1" w:type="dxa"/>
          </w:tcPr>
          <w:p w14:paraId="68960351" w14:textId="77777777" w:rsidR="00044F02" w:rsidRPr="00397118" w:rsidRDefault="00044F02" w:rsidP="002F4DDE">
            <w:pPr>
              <w:spacing w:before="100" w:beforeAutospacing="1" w:after="100" w:afterAutospacing="1" w:line="276" w:lineRule="auto"/>
              <w:rPr>
                <w:rFonts w:ascii="Arial" w:hAnsi="Arial" w:cs="Arial"/>
                <w:lang w:val="en-IN" w:eastAsia="en-IN"/>
              </w:rPr>
            </w:pPr>
            <w:r w:rsidRPr="00397118">
              <w:rPr>
                <w:rFonts w:ascii="Arial" w:hAnsi="Arial" w:cs="Arial"/>
                <w:color w:val="000000" w:themeColor="text1"/>
                <w:kern w:val="24"/>
              </w:rPr>
              <w:t>Cultivated area</w:t>
            </w:r>
          </w:p>
        </w:tc>
        <w:tc>
          <w:tcPr>
            <w:tcW w:w="1505" w:type="dxa"/>
          </w:tcPr>
          <w:p w14:paraId="5E0A1AB5" w14:textId="77777777" w:rsidR="00044F02" w:rsidRPr="00397118" w:rsidRDefault="00044F02" w:rsidP="002F4DDE">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397118">
              <w:rPr>
                <w:rFonts w:ascii="Arial" w:hAnsi="Arial" w:cs="Arial"/>
                <w:color w:val="000000" w:themeColor="text1"/>
                <w:kern w:val="24"/>
              </w:rPr>
              <w:t>-0.00</w:t>
            </w:r>
          </w:p>
        </w:tc>
        <w:tc>
          <w:tcPr>
            <w:tcW w:w="1638" w:type="dxa"/>
          </w:tcPr>
          <w:p w14:paraId="44AF7B41" w14:textId="77777777" w:rsidR="00044F02" w:rsidRPr="00044F02" w:rsidRDefault="00044F02" w:rsidP="002F4DD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044F02">
              <w:rPr>
                <w:rFonts w:ascii="Arial" w:hAnsi="Arial" w:cs="Arial"/>
                <w:color w:val="000000"/>
              </w:rPr>
              <w:t>0.07</w:t>
            </w:r>
          </w:p>
        </w:tc>
        <w:tc>
          <w:tcPr>
            <w:tcW w:w="1638" w:type="dxa"/>
          </w:tcPr>
          <w:p w14:paraId="1B183CDD" w14:textId="77777777" w:rsidR="00044F02" w:rsidRPr="00397118" w:rsidRDefault="00044F02" w:rsidP="002F4DDE">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397118">
              <w:rPr>
                <w:rFonts w:ascii="Arial" w:hAnsi="Arial" w:cs="Arial"/>
                <w:color w:val="000000" w:themeColor="text1"/>
                <w:kern w:val="24"/>
              </w:rPr>
              <w:t>0.96</w:t>
            </w:r>
          </w:p>
        </w:tc>
      </w:tr>
      <w:tr w:rsidR="00044F02" w:rsidRPr="00397118" w14:paraId="0A5415CF" w14:textId="77777777" w:rsidTr="00EE224E">
        <w:trPr>
          <w:trHeight w:val="282"/>
        </w:trPr>
        <w:tc>
          <w:tcPr>
            <w:cnfStyle w:val="001000000000" w:firstRow="0" w:lastRow="0" w:firstColumn="1" w:lastColumn="0" w:oddVBand="0" w:evenVBand="0" w:oddHBand="0" w:evenHBand="0" w:firstRowFirstColumn="0" w:firstRowLastColumn="0" w:lastRowFirstColumn="0" w:lastRowLastColumn="0"/>
            <w:tcW w:w="3531" w:type="dxa"/>
          </w:tcPr>
          <w:p w14:paraId="393E8FF3" w14:textId="77777777" w:rsidR="00044F02" w:rsidRPr="00397118" w:rsidRDefault="00044F02" w:rsidP="002F4DDE">
            <w:pPr>
              <w:spacing w:before="100" w:beforeAutospacing="1" w:after="100" w:afterAutospacing="1" w:line="276" w:lineRule="auto"/>
              <w:rPr>
                <w:rFonts w:ascii="Arial" w:hAnsi="Arial" w:cs="Arial"/>
                <w:lang w:val="en-IN" w:eastAsia="en-IN"/>
              </w:rPr>
            </w:pPr>
            <w:r w:rsidRPr="00397118">
              <w:rPr>
                <w:rFonts w:ascii="Arial" w:hAnsi="Arial" w:cs="Arial"/>
                <w:color w:val="000000" w:themeColor="text1"/>
                <w:kern w:val="24"/>
              </w:rPr>
              <w:t>Cost of production</w:t>
            </w:r>
          </w:p>
        </w:tc>
        <w:tc>
          <w:tcPr>
            <w:tcW w:w="1505" w:type="dxa"/>
          </w:tcPr>
          <w:p w14:paraId="302521EA" w14:textId="77777777" w:rsidR="00044F02" w:rsidRPr="00397118" w:rsidRDefault="00044F02" w:rsidP="002F4DD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397118">
              <w:rPr>
                <w:rFonts w:ascii="Arial" w:hAnsi="Arial" w:cs="Arial"/>
                <w:color w:val="000000" w:themeColor="text1"/>
                <w:kern w:val="24"/>
              </w:rPr>
              <w:t>0.06</w:t>
            </w:r>
          </w:p>
        </w:tc>
        <w:tc>
          <w:tcPr>
            <w:tcW w:w="1638" w:type="dxa"/>
          </w:tcPr>
          <w:p w14:paraId="1B92D02C" w14:textId="77777777" w:rsidR="00044F02" w:rsidRPr="00044F02" w:rsidRDefault="00044F02" w:rsidP="002F4DD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044F02">
              <w:rPr>
                <w:rFonts w:ascii="Arial" w:hAnsi="Arial" w:cs="Arial"/>
                <w:color w:val="000000"/>
              </w:rPr>
              <w:t>0.03</w:t>
            </w:r>
          </w:p>
        </w:tc>
        <w:tc>
          <w:tcPr>
            <w:tcW w:w="1638" w:type="dxa"/>
          </w:tcPr>
          <w:p w14:paraId="6A48EA5E" w14:textId="77777777" w:rsidR="00044F02" w:rsidRPr="00397118" w:rsidRDefault="00044F02" w:rsidP="002F4DD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397118">
              <w:rPr>
                <w:rFonts w:ascii="Arial" w:hAnsi="Arial" w:cs="Arial"/>
                <w:color w:val="000000" w:themeColor="text1"/>
                <w:kern w:val="24"/>
              </w:rPr>
              <w:t>0.12</w:t>
            </w:r>
          </w:p>
        </w:tc>
      </w:tr>
      <w:tr w:rsidR="00044F02" w:rsidRPr="00B01A76" w14:paraId="78AFB581" w14:textId="77777777" w:rsidTr="00EE224E">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531" w:type="dxa"/>
          </w:tcPr>
          <w:p w14:paraId="56D54AC3" w14:textId="77777777" w:rsidR="00044F02" w:rsidRPr="00B01A76" w:rsidRDefault="00044F02" w:rsidP="002F4DDE">
            <w:pPr>
              <w:spacing w:before="100" w:beforeAutospacing="1" w:after="100" w:afterAutospacing="1" w:line="276" w:lineRule="auto"/>
              <w:rPr>
                <w:rFonts w:ascii="Arial" w:hAnsi="Arial" w:cs="Arial"/>
                <w:b w:val="0"/>
                <w:lang w:val="en-IN" w:eastAsia="en-IN"/>
              </w:rPr>
            </w:pPr>
            <w:r w:rsidRPr="00B01A76">
              <w:rPr>
                <w:rFonts w:ascii="Arial" w:hAnsi="Arial" w:cs="Arial"/>
                <w:color w:val="000000" w:themeColor="text1"/>
                <w:kern w:val="24"/>
              </w:rPr>
              <w:lastRenderedPageBreak/>
              <w:t>Amount of other loan outstanding</w:t>
            </w:r>
          </w:p>
        </w:tc>
        <w:tc>
          <w:tcPr>
            <w:tcW w:w="1505" w:type="dxa"/>
          </w:tcPr>
          <w:p w14:paraId="4FA20D41" w14:textId="4A342D64" w:rsidR="00044F02" w:rsidRPr="00B01A76" w:rsidRDefault="000C6165" w:rsidP="002F4DDE">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en-IN" w:eastAsia="en-IN"/>
              </w:rPr>
            </w:pPr>
            <w:r>
              <w:rPr>
                <w:rFonts w:ascii="Arial" w:hAnsi="Arial" w:cs="Arial"/>
                <w:b/>
                <w:bCs/>
                <w:color w:val="000000" w:themeColor="text1"/>
                <w:kern w:val="24"/>
              </w:rPr>
              <w:t xml:space="preserve">    </w:t>
            </w:r>
            <w:r w:rsidR="00044F02" w:rsidRPr="00B01A76">
              <w:rPr>
                <w:rFonts w:ascii="Arial" w:hAnsi="Arial" w:cs="Arial"/>
                <w:b/>
                <w:bCs/>
                <w:color w:val="000000" w:themeColor="text1"/>
                <w:kern w:val="24"/>
              </w:rPr>
              <w:t>0.37***</w:t>
            </w:r>
          </w:p>
        </w:tc>
        <w:tc>
          <w:tcPr>
            <w:tcW w:w="1638" w:type="dxa"/>
          </w:tcPr>
          <w:p w14:paraId="16E35E77" w14:textId="77777777" w:rsidR="00044F02" w:rsidRPr="00044F02" w:rsidRDefault="00044F02" w:rsidP="002F4DD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044F02">
              <w:rPr>
                <w:rFonts w:ascii="Arial" w:hAnsi="Arial" w:cs="Arial"/>
                <w:color w:val="000000"/>
              </w:rPr>
              <w:t>0.04</w:t>
            </w:r>
          </w:p>
        </w:tc>
        <w:tc>
          <w:tcPr>
            <w:tcW w:w="1638" w:type="dxa"/>
          </w:tcPr>
          <w:p w14:paraId="2BABCBA1" w14:textId="77777777" w:rsidR="00044F02" w:rsidRPr="00B01A76" w:rsidRDefault="00044F02" w:rsidP="002F4DDE">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en-IN" w:eastAsia="en-IN"/>
              </w:rPr>
            </w:pPr>
            <w:r w:rsidRPr="00B01A76">
              <w:rPr>
                <w:rFonts w:ascii="Arial" w:hAnsi="Arial" w:cs="Arial"/>
                <w:b/>
                <w:bCs/>
                <w:color w:val="000000" w:themeColor="text1"/>
                <w:kern w:val="24"/>
              </w:rPr>
              <w:t>0.00</w:t>
            </w:r>
          </w:p>
        </w:tc>
      </w:tr>
      <w:tr w:rsidR="00044F02" w:rsidRPr="00B01A76" w14:paraId="062933C0" w14:textId="77777777" w:rsidTr="00EE224E">
        <w:trPr>
          <w:trHeight w:val="282"/>
        </w:trPr>
        <w:tc>
          <w:tcPr>
            <w:cnfStyle w:val="001000000000" w:firstRow="0" w:lastRow="0" w:firstColumn="1" w:lastColumn="0" w:oddVBand="0" w:evenVBand="0" w:oddHBand="0" w:evenHBand="0" w:firstRowFirstColumn="0" w:firstRowLastColumn="0" w:lastRowFirstColumn="0" w:lastRowLastColumn="0"/>
            <w:tcW w:w="3531" w:type="dxa"/>
          </w:tcPr>
          <w:p w14:paraId="07D303C9" w14:textId="77777777" w:rsidR="00044F02" w:rsidRPr="00B01A76" w:rsidRDefault="00044F02" w:rsidP="002F4DDE">
            <w:pPr>
              <w:spacing w:before="100" w:beforeAutospacing="1" w:after="100" w:afterAutospacing="1" w:line="276" w:lineRule="auto"/>
              <w:rPr>
                <w:rFonts w:ascii="Arial" w:hAnsi="Arial" w:cs="Arial"/>
                <w:b w:val="0"/>
                <w:lang w:val="en-IN" w:eastAsia="en-IN"/>
              </w:rPr>
            </w:pPr>
            <w:r w:rsidRPr="00B01A76">
              <w:rPr>
                <w:rFonts w:ascii="Arial" w:hAnsi="Arial" w:cs="Arial"/>
                <w:color w:val="000000" w:themeColor="text1"/>
                <w:kern w:val="24"/>
              </w:rPr>
              <w:t>Security (Collateral)</w:t>
            </w:r>
          </w:p>
        </w:tc>
        <w:tc>
          <w:tcPr>
            <w:tcW w:w="1505" w:type="dxa"/>
          </w:tcPr>
          <w:p w14:paraId="4544FB7A" w14:textId="06A6DA27" w:rsidR="00044F02" w:rsidRPr="00B01A76" w:rsidRDefault="000C6165" w:rsidP="002F4DD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IN" w:eastAsia="en-IN"/>
              </w:rPr>
            </w:pPr>
            <w:r>
              <w:rPr>
                <w:rFonts w:ascii="Arial" w:hAnsi="Arial" w:cs="Arial"/>
                <w:b/>
                <w:bCs/>
                <w:color w:val="000000" w:themeColor="text1"/>
                <w:kern w:val="24"/>
              </w:rPr>
              <w:t xml:space="preserve">    </w:t>
            </w:r>
            <w:r w:rsidR="00044F02" w:rsidRPr="00B01A76">
              <w:rPr>
                <w:rFonts w:ascii="Arial" w:hAnsi="Arial" w:cs="Arial"/>
                <w:b/>
                <w:bCs/>
                <w:color w:val="000000" w:themeColor="text1"/>
                <w:kern w:val="24"/>
              </w:rPr>
              <w:t>0.41***</w:t>
            </w:r>
          </w:p>
        </w:tc>
        <w:tc>
          <w:tcPr>
            <w:tcW w:w="1638" w:type="dxa"/>
          </w:tcPr>
          <w:p w14:paraId="02705FC6" w14:textId="77777777" w:rsidR="00044F02" w:rsidRPr="00044F02" w:rsidRDefault="00044F02" w:rsidP="002F4DD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044F02">
              <w:rPr>
                <w:rFonts w:ascii="Arial" w:hAnsi="Arial" w:cs="Arial"/>
                <w:color w:val="000000"/>
              </w:rPr>
              <w:t>0.11</w:t>
            </w:r>
          </w:p>
        </w:tc>
        <w:tc>
          <w:tcPr>
            <w:tcW w:w="1638" w:type="dxa"/>
          </w:tcPr>
          <w:p w14:paraId="2C16EA59" w14:textId="77777777" w:rsidR="00044F02" w:rsidRPr="00B01A76" w:rsidRDefault="00044F02" w:rsidP="002F4DD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IN" w:eastAsia="en-IN"/>
              </w:rPr>
            </w:pPr>
            <w:r w:rsidRPr="00B01A76">
              <w:rPr>
                <w:rFonts w:ascii="Arial" w:hAnsi="Arial" w:cs="Arial"/>
                <w:b/>
                <w:bCs/>
                <w:color w:val="000000" w:themeColor="text1"/>
                <w:kern w:val="24"/>
              </w:rPr>
              <w:t>0.00</w:t>
            </w:r>
          </w:p>
        </w:tc>
      </w:tr>
    </w:tbl>
    <w:p w14:paraId="62557E07" w14:textId="6BBD3A69" w:rsidR="000C6165" w:rsidRDefault="000C6165" w:rsidP="000C6165">
      <w:pPr>
        <w:spacing w:before="100" w:beforeAutospacing="1" w:after="100" w:afterAutospacing="1" w:line="276" w:lineRule="auto"/>
        <w:jc w:val="both"/>
        <w:rPr>
          <w:rFonts w:ascii="Arial" w:hAnsi="Arial" w:cs="Arial"/>
          <w:lang w:val="en-IN" w:eastAsia="en-IN"/>
        </w:rPr>
      </w:pPr>
      <w:bookmarkStart w:id="1" w:name="_Hlk216627295"/>
      <w:r w:rsidRPr="00EE224E">
        <w:rPr>
          <w:rFonts w:ascii="Arial" w:hAnsi="Arial" w:cs="Arial"/>
          <w:i/>
          <w:lang w:val="en-IN" w:eastAsia="en-IN"/>
        </w:rPr>
        <w:t>Note: **</w:t>
      </w:r>
      <w:proofErr w:type="gramStart"/>
      <w:r w:rsidRPr="00EE224E">
        <w:rPr>
          <w:rFonts w:ascii="Arial" w:hAnsi="Arial" w:cs="Arial"/>
          <w:i/>
          <w:lang w:val="en-IN" w:eastAsia="en-IN"/>
        </w:rPr>
        <w:t>*  denotes</w:t>
      </w:r>
      <w:proofErr w:type="gramEnd"/>
      <w:r w:rsidRPr="00EE224E">
        <w:rPr>
          <w:rFonts w:ascii="Arial" w:hAnsi="Arial" w:cs="Arial"/>
          <w:i/>
          <w:lang w:val="en-IN" w:eastAsia="en-IN"/>
        </w:rPr>
        <w:t xml:space="preserve"> significance at one percent level</w:t>
      </w:r>
      <w:r>
        <w:rPr>
          <w:rFonts w:ascii="Arial" w:hAnsi="Arial" w:cs="Arial"/>
          <w:lang w:val="en-IN" w:eastAsia="en-IN"/>
        </w:rPr>
        <w:t xml:space="preserve"> </w:t>
      </w:r>
      <w:bookmarkEnd w:id="1"/>
    </w:p>
    <w:p w14:paraId="75B307F1" w14:textId="48773842" w:rsidR="0042704B" w:rsidRPr="00F20F55" w:rsidRDefault="003C0AAF" w:rsidP="0042704B">
      <w:pPr>
        <w:spacing w:before="100" w:beforeAutospacing="1" w:after="100" w:afterAutospacing="1" w:line="276" w:lineRule="auto"/>
        <w:ind w:firstLine="720"/>
        <w:jc w:val="both"/>
        <w:rPr>
          <w:rFonts w:ascii="Arial" w:hAnsi="Arial" w:cs="Arial"/>
          <w:lang w:val="en-IN" w:eastAsia="en-IN"/>
        </w:rPr>
      </w:pPr>
      <w:r>
        <w:rPr>
          <w:rFonts w:ascii="Arial" w:hAnsi="Arial" w:cs="Arial"/>
          <w:lang w:val="en-IN" w:eastAsia="en-IN"/>
        </w:rPr>
        <w:t>T</w:t>
      </w:r>
      <w:r w:rsidR="00397118" w:rsidRPr="00F20F55">
        <w:rPr>
          <w:rFonts w:ascii="Arial" w:hAnsi="Arial" w:cs="Arial"/>
          <w:lang w:val="en-IN" w:eastAsia="en-IN"/>
        </w:rPr>
        <w:t xml:space="preserve">he findings indicate that </w:t>
      </w:r>
      <w:r w:rsidR="00397118" w:rsidRPr="00397118">
        <w:rPr>
          <w:rFonts w:ascii="Arial" w:hAnsi="Arial" w:cs="Arial"/>
          <w:lang w:val="en-IN" w:eastAsia="en-IN"/>
        </w:rPr>
        <w:t>co-operative</w:t>
      </w:r>
      <w:r w:rsidR="00397118" w:rsidRPr="00F20F55">
        <w:rPr>
          <w:rFonts w:ascii="Arial" w:hAnsi="Arial" w:cs="Arial"/>
          <w:lang w:val="en-IN" w:eastAsia="en-IN"/>
        </w:rPr>
        <w:t xml:space="preserve"> credit allocation is primarily influenced by institutional factors such as collateral availability and pre-existing borrowing commitments, rather than production requirements or household characteristics. This may limit equitable access to credit and affect the efficiency of </w:t>
      </w:r>
      <w:r w:rsidR="00397118" w:rsidRPr="00397118">
        <w:rPr>
          <w:rFonts w:ascii="Arial" w:hAnsi="Arial" w:cs="Arial"/>
          <w:lang w:val="en-IN" w:eastAsia="en-IN"/>
        </w:rPr>
        <w:t>co-operative</w:t>
      </w:r>
      <w:r w:rsidR="00397118" w:rsidRPr="00F20F55">
        <w:rPr>
          <w:rFonts w:ascii="Arial" w:hAnsi="Arial" w:cs="Arial"/>
          <w:lang w:val="en-IN" w:eastAsia="en-IN"/>
        </w:rPr>
        <w:t xml:space="preserve"> lending in supporting agricultural investment among small and marginal farmers.</w:t>
      </w:r>
    </w:p>
    <w:p w14:paraId="7044956B" w14:textId="77777777" w:rsidR="00397118" w:rsidRPr="00397118" w:rsidRDefault="00D96F3F" w:rsidP="00397118">
      <w:pPr>
        <w:tabs>
          <w:tab w:val="left" w:pos="3180"/>
        </w:tabs>
        <w:spacing w:line="276" w:lineRule="auto"/>
        <w:rPr>
          <w:rFonts w:ascii="Arial" w:hAnsi="Arial" w:cs="Arial"/>
          <w:b/>
          <w:lang w:val="en-IN" w:eastAsia="en-IN"/>
        </w:rPr>
      </w:pPr>
      <w:r>
        <w:rPr>
          <w:rFonts w:ascii="Arial" w:hAnsi="Arial" w:cs="Arial"/>
          <w:b/>
          <w:lang w:val="en-IN" w:eastAsia="en-IN"/>
        </w:rPr>
        <w:t>4</w:t>
      </w:r>
      <w:r w:rsidR="00397118" w:rsidRPr="00397118">
        <w:rPr>
          <w:rFonts w:ascii="Arial" w:hAnsi="Arial" w:cs="Arial"/>
          <w:b/>
          <w:lang w:val="en-IN" w:eastAsia="en-IN"/>
        </w:rPr>
        <w:t>.2 Factors affecting farm income</w:t>
      </w:r>
    </w:p>
    <w:p w14:paraId="1225273B" w14:textId="13617566" w:rsidR="002F6EAC" w:rsidRDefault="00397118" w:rsidP="00D66430">
      <w:pPr>
        <w:pStyle w:val="NormalWeb"/>
        <w:spacing w:line="276" w:lineRule="auto"/>
        <w:ind w:firstLine="720"/>
        <w:jc w:val="both"/>
        <w:rPr>
          <w:rFonts w:ascii="Arial" w:hAnsi="Arial" w:cs="Arial"/>
          <w:sz w:val="20"/>
          <w:szCs w:val="20"/>
        </w:rPr>
      </w:pPr>
      <w:r w:rsidRPr="00397118">
        <w:rPr>
          <w:rFonts w:ascii="Arial" w:hAnsi="Arial" w:cs="Arial"/>
          <w:sz w:val="20"/>
          <w:szCs w:val="20"/>
        </w:rPr>
        <w:t xml:space="preserve">The results of the regression model assessing the factors influencing farm income are presented in Table 2. The model recorded an R² value of </w:t>
      </w:r>
      <w:r w:rsidRPr="00397118">
        <w:rPr>
          <w:rStyle w:val="Strong"/>
          <w:rFonts w:ascii="Arial" w:hAnsi="Arial" w:cs="Arial"/>
          <w:b w:val="0"/>
          <w:sz w:val="20"/>
          <w:szCs w:val="20"/>
        </w:rPr>
        <w:t>.40</w:t>
      </w:r>
      <w:r w:rsidRPr="00397118">
        <w:rPr>
          <w:rFonts w:ascii="Arial" w:hAnsi="Arial" w:cs="Arial"/>
          <w:b/>
          <w:sz w:val="20"/>
          <w:szCs w:val="20"/>
        </w:rPr>
        <w:t>,</w:t>
      </w:r>
      <w:r w:rsidRPr="00397118">
        <w:rPr>
          <w:rFonts w:ascii="Arial" w:hAnsi="Arial" w:cs="Arial"/>
          <w:sz w:val="20"/>
          <w:szCs w:val="20"/>
        </w:rPr>
        <w:t xml:space="preserve"> indicating that 40 percent of the variation in income among respondents was explained by the selected variables. Among the predictors, </w:t>
      </w:r>
      <w:r w:rsidRPr="00397118">
        <w:rPr>
          <w:rStyle w:val="Strong"/>
          <w:rFonts w:ascii="Arial" w:hAnsi="Arial" w:cs="Arial"/>
          <w:b w:val="0"/>
          <w:sz w:val="20"/>
          <w:szCs w:val="20"/>
        </w:rPr>
        <w:t>age</w:t>
      </w:r>
      <w:r w:rsidRPr="00397118">
        <w:rPr>
          <w:rFonts w:ascii="Arial" w:hAnsi="Arial" w:cs="Arial"/>
          <w:b/>
          <w:sz w:val="20"/>
          <w:szCs w:val="20"/>
        </w:rPr>
        <w:t xml:space="preserve">, </w:t>
      </w:r>
      <w:r w:rsidRPr="00397118">
        <w:rPr>
          <w:rStyle w:val="Strong"/>
          <w:rFonts w:ascii="Arial" w:hAnsi="Arial" w:cs="Arial"/>
          <w:b w:val="0"/>
          <w:sz w:val="20"/>
          <w:szCs w:val="20"/>
        </w:rPr>
        <w:t xml:space="preserve">cultivated area </w:t>
      </w:r>
      <w:r w:rsidRPr="00397118">
        <w:rPr>
          <w:rFonts w:ascii="Arial" w:hAnsi="Arial" w:cs="Arial"/>
          <w:sz w:val="20"/>
          <w:szCs w:val="20"/>
        </w:rPr>
        <w:t>and</w:t>
      </w:r>
      <w:r w:rsidRPr="00397118">
        <w:rPr>
          <w:rFonts w:ascii="Arial" w:hAnsi="Arial" w:cs="Arial"/>
          <w:b/>
          <w:sz w:val="20"/>
          <w:szCs w:val="20"/>
        </w:rPr>
        <w:t xml:space="preserve"> </w:t>
      </w:r>
      <w:r w:rsidRPr="00397118">
        <w:rPr>
          <w:rStyle w:val="Strong"/>
          <w:rFonts w:ascii="Arial" w:hAnsi="Arial" w:cs="Arial"/>
          <w:b w:val="0"/>
          <w:sz w:val="20"/>
          <w:szCs w:val="20"/>
        </w:rPr>
        <w:t xml:space="preserve">cost of production </w:t>
      </w:r>
      <w:r w:rsidRPr="00397118">
        <w:rPr>
          <w:rFonts w:ascii="Arial" w:hAnsi="Arial" w:cs="Arial"/>
          <w:sz w:val="20"/>
          <w:szCs w:val="20"/>
        </w:rPr>
        <w:t>were found to be statistically significant</w:t>
      </w:r>
      <w:r w:rsidR="000C6165">
        <w:rPr>
          <w:rFonts w:ascii="Arial" w:hAnsi="Arial" w:cs="Arial"/>
          <w:sz w:val="20"/>
          <w:szCs w:val="20"/>
        </w:rPr>
        <w:t xml:space="preserve"> at one per cent level</w:t>
      </w:r>
      <w:r w:rsidRPr="00397118">
        <w:rPr>
          <w:rFonts w:ascii="Arial" w:hAnsi="Arial" w:cs="Arial"/>
          <w:sz w:val="20"/>
          <w:szCs w:val="20"/>
        </w:rPr>
        <w:t xml:space="preserve">. </w:t>
      </w:r>
      <w:r w:rsidR="00D66430" w:rsidRPr="00D66430">
        <w:rPr>
          <w:rFonts w:ascii="Arial" w:hAnsi="Arial" w:cs="Arial"/>
          <w:sz w:val="20"/>
          <w:szCs w:val="20"/>
        </w:rPr>
        <w:t xml:space="preserve">The positive and significant coefficient of age suggests that older farmers tend to earn higher farm income, possibly due to long-term familiarity with farming systems, stronger social and market linkages, and greater confidence in allocating resources under uncertain production conditions. This finding is consistent with evidence from </w:t>
      </w:r>
      <w:r w:rsidR="00B30A64">
        <w:rPr>
          <w:rFonts w:ascii="Arial" w:hAnsi="Arial" w:cs="Arial"/>
          <w:sz w:val="20"/>
          <w:szCs w:val="20"/>
        </w:rPr>
        <w:t>Tiwari</w:t>
      </w:r>
      <w:r w:rsidR="00E72E26">
        <w:rPr>
          <w:rFonts w:ascii="Arial" w:hAnsi="Arial" w:cs="Arial"/>
          <w:sz w:val="20"/>
          <w:szCs w:val="20"/>
        </w:rPr>
        <w:t xml:space="preserve"> </w:t>
      </w:r>
      <w:r w:rsidR="00D66430" w:rsidRPr="00335793">
        <w:rPr>
          <w:rFonts w:ascii="Arial" w:hAnsi="Arial" w:cs="Arial"/>
          <w:bCs/>
          <w:i/>
          <w:sz w:val="20"/>
          <w:szCs w:val="20"/>
        </w:rPr>
        <w:t>et al.</w:t>
      </w:r>
      <w:r w:rsidR="00D66430" w:rsidRPr="00D66430">
        <w:rPr>
          <w:rFonts w:ascii="Arial" w:hAnsi="Arial" w:cs="Arial"/>
          <w:bCs/>
          <w:sz w:val="20"/>
          <w:szCs w:val="20"/>
        </w:rPr>
        <w:t xml:space="preserve"> (202</w:t>
      </w:r>
      <w:r w:rsidR="00B30A64">
        <w:rPr>
          <w:rFonts w:ascii="Arial" w:hAnsi="Arial" w:cs="Arial"/>
          <w:bCs/>
          <w:sz w:val="20"/>
          <w:szCs w:val="20"/>
        </w:rPr>
        <w:t>1</w:t>
      </w:r>
      <w:r w:rsidR="00D66430" w:rsidRPr="00D66430">
        <w:rPr>
          <w:rFonts w:ascii="Arial" w:hAnsi="Arial" w:cs="Arial"/>
          <w:bCs/>
          <w:sz w:val="20"/>
          <w:szCs w:val="20"/>
        </w:rPr>
        <w:t>)</w:t>
      </w:r>
      <w:r w:rsidR="00D66430" w:rsidRPr="00D66430">
        <w:rPr>
          <w:rFonts w:ascii="Arial" w:hAnsi="Arial" w:cs="Arial"/>
          <w:sz w:val="20"/>
          <w:szCs w:val="20"/>
        </w:rPr>
        <w:t xml:space="preserve">, who observed that age contributes positively to income through better resource planning, informed decision-making patterns and improved access to support </w:t>
      </w:r>
      <w:r w:rsidR="00D338D2" w:rsidRPr="00D66430">
        <w:rPr>
          <w:rFonts w:ascii="Arial" w:hAnsi="Arial" w:cs="Arial"/>
          <w:sz w:val="20"/>
          <w:szCs w:val="20"/>
        </w:rPr>
        <w:t>networks.</w:t>
      </w:r>
      <w:r w:rsidR="00D338D2" w:rsidRPr="00B94BD3">
        <w:rPr>
          <w:rFonts w:ascii="Arial" w:hAnsi="Arial" w:cs="Arial"/>
          <w:sz w:val="20"/>
          <w:szCs w:val="20"/>
          <w:lang w:val="en-US"/>
        </w:rPr>
        <w:t xml:space="preserve"> The</w:t>
      </w:r>
      <w:r w:rsidR="00B94BD3" w:rsidRPr="00B94BD3">
        <w:rPr>
          <w:rFonts w:ascii="Arial" w:hAnsi="Arial" w:cs="Arial"/>
          <w:sz w:val="20"/>
          <w:szCs w:val="20"/>
          <w:lang w:val="en-US"/>
        </w:rPr>
        <w:t xml:space="preserve"> significance of cultivated area suggests that households with larger operational holdings are able to generate higher income, indicating scale advantages and enhanced production capacity.</w:t>
      </w:r>
      <w:r w:rsidR="00B94BD3" w:rsidRPr="00397118">
        <w:rPr>
          <w:rFonts w:ascii="Arial" w:hAnsi="Arial" w:cs="Arial"/>
          <w:sz w:val="20"/>
          <w:szCs w:val="20"/>
        </w:rPr>
        <w:t xml:space="preserve"> </w:t>
      </w:r>
      <w:r w:rsidR="002F6EAC" w:rsidRPr="002F6EAC">
        <w:rPr>
          <w:rFonts w:ascii="Arial" w:hAnsi="Arial" w:cs="Arial"/>
          <w:sz w:val="20"/>
          <w:szCs w:val="20"/>
          <w:lang w:val="en-US"/>
        </w:rPr>
        <w:t xml:space="preserve">The positive coefficient of cost of production indicates that farms with higher expenditure on inputs tend to </w:t>
      </w:r>
      <w:proofErr w:type="spellStart"/>
      <w:r w:rsidR="002F6EAC" w:rsidRPr="002F6EAC">
        <w:rPr>
          <w:rFonts w:ascii="Arial" w:hAnsi="Arial" w:cs="Arial"/>
          <w:sz w:val="20"/>
          <w:szCs w:val="20"/>
          <w:lang w:val="en-US"/>
        </w:rPr>
        <w:t>realise</w:t>
      </w:r>
      <w:proofErr w:type="spellEnd"/>
      <w:r w:rsidR="002F6EAC" w:rsidRPr="002F6EAC">
        <w:rPr>
          <w:rFonts w:ascii="Arial" w:hAnsi="Arial" w:cs="Arial"/>
          <w:sz w:val="20"/>
          <w:szCs w:val="20"/>
          <w:lang w:val="en-US"/>
        </w:rPr>
        <w:t xml:space="preserve"> greater income, suggesting that investment in production activities contributes to improved productivity and economic returns, a relationship similarly observed by </w:t>
      </w:r>
      <w:proofErr w:type="spellStart"/>
      <w:r w:rsidR="002F6EAC" w:rsidRPr="002F6EAC">
        <w:rPr>
          <w:rFonts w:ascii="Arial" w:hAnsi="Arial" w:cs="Arial"/>
          <w:bCs/>
          <w:sz w:val="20"/>
          <w:szCs w:val="20"/>
          <w:lang w:val="en-US"/>
        </w:rPr>
        <w:t>Narayanamoorthy</w:t>
      </w:r>
      <w:proofErr w:type="spellEnd"/>
      <w:r w:rsidR="002F6EAC" w:rsidRPr="002F6EAC">
        <w:rPr>
          <w:rFonts w:ascii="Arial" w:hAnsi="Arial" w:cs="Arial"/>
          <w:bCs/>
          <w:sz w:val="20"/>
          <w:szCs w:val="20"/>
          <w:lang w:val="en-US"/>
        </w:rPr>
        <w:t xml:space="preserve"> and </w:t>
      </w:r>
      <w:proofErr w:type="spellStart"/>
      <w:r w:rsidR="002F6EAC" w:rsidRPr="002F6EAC">
        <w:rPr>
          <w:rFonts w:ascii="Arial" w:hAnsi="Arial" w:cs="Arial"/>
          <w:bCs/>
          <w:sz w:val="20"/>
          <w:szCs w:val="20"/>
          <w:lang w:val="en-US"/>
        </w:rPr>
        <w:t>Sujitha</w:t>
      </w:r>
      <w:proofErr w:type="spellEnd"/>
      <w:r w:rsidR="002F6EAC" w:rsidRPr="002F6EAC">
        <w:rPr>
          <w:rFonts w:ascii="Arial" w:hAnsi="Arial" w:cs="Arial"/>
          <w:bCs/>
          <w:sz w:val="20"/>
          <w:szCs w:val="20"/>
          <w:lang w:val="en-US"/>
        </w:rPr>
        <w:t xml:space="preserve"> (2021)</w:t>
      </w:r>
      <w:r w:rsidR="002F6EAC" w:rsidRPr="002F6EAC">
        <w:rPr>
          <w:rFonts w:ascii="Arial" w:hAnsi="Arial" w:cs="Arial"/>
          <w:sz w:val="20"/>
          <w:szCs w:val="20"/>
          <w:lang w:val="en-US"/>
        </w:rPr>
        <w:t xml:space="preserve">, who reported that increased spending on yield-enhancing inputs such as seeds, </w:t>
      </w:r>
      <w:proofErr w:type="spellStart"/>
      <w:r w:rsidR="002F6EAC" w:rsidRPr="002F6EAC">
        <w:rPr>
          <w:rFonts w:ascii="Arial" w:hAnsi="Arial" w:cs="Arial"/>
          <w:sz w:val="20"/>
          <w:szCs w:val="20"/>
          <w:lang w:val="en-US"/>
        </w:rPr>
        <w:t>fertilisers</w:t>
      </w:r>
      <w:proofErr w:type="spellEnd"/>
      <w:r w:rsidR="002F6EAC" w:rsidRPr="002F6EAC">
        <w:rPr>
          <w:rFonts w:ascii="Arial" w:hAnsi="Arial" w:cs="Arial"/>
          <w:sz w:val="20"/>
          <w:szCs w:val="20"/>
          <w:lang w:val="en-US"/>
        </w:rPr>
        <w:t xml:space="preserve"> and pesticides plays an important role in raising farm income.</w:t>
      </w:r>
    </w:p>
    <w:p w14:paraId="365EB190" w14:textId="66870461" w:rsidR="00397118" w:rsidRDefault="00397118" w:rsidP="00397118">
      <w:pPr>
        <w:pStyle w:val="NormalWeb"/>
        <w:spacing w:line="276" w:lineRule="auto"/>
        <w:ind w:firstLine="720"/>
        <w:jc w:val="both"/>
        <w:rPr>
          <w:rFonts w:ascii="Arial" w:hAnsi="Arial" w:cs="Arial"/>
          <w:sz w:val="20"/>
          <w:szCs w:val="20"/>
        </w:rPr>
      </w:pPr>
      <w:r w:rsidRPr="00397118">
        <w:rPr>
          <w:rFonts w:ascii="Arial" w:hAnsi="Arial" w:cs="Arial"/>
          <w:sz w:val="20"/>
          <w:szCs w:val="20"/>
        </w:rPr>
        <w:t>The amount of loan borrowed did not show a significant effect on income, suggesting that access to co-operative credit alone does not automatically lead to higher farm earnings. This result may be linked to the diversion of loans for non-agricultural purposes or the dominance of short-term consumption-linked borrowing observed in the study. Other variables, including education, farming experience and income from non-farm sources, were also statistically non-significant, indicating that these characteristics did not have a measurable effect on income variation among the sampled farmers.</w:t>
      </w:r>
    </w:p>
    <w:p w14:paraId="69CEC4D1" w14:textId="2F7AB1A0" w:rsidR="002F4DDE" w:rsidRPr="002F4DDE" w:rsidRDefault="002F4DDE" w:rsidP="002F4DDE">
      <w:pPr>
        <w:spacing w:before="100" w:beforeAutospacing="1" w:after="100" w:afterAutospacing="1" w:line="276" w:lineRule="auto"/>
        <w:ind w:firstLine="720"/>
        <w:jc w:val="both"/>
        <w:rPr>
          <w:rFonts w:ascii="Arial" w:hAnsi="Arial" w:cs="Arial"/>
          <w:b/>
          <w:lang w:eastAsia="en-IN"/>
        </w:rPr>
      </w:pPr>
      <w:r w:rsidRPr="002F4DDE">
        <w:rPr>
          <w:rFonts w:ascii="Arial" w:hAnsi="Arial" w:cs="Arial"/>
          <w:b/>
          <w:lang w:eastAsia="en-IN"/>
        </w:rPr>
        <w:t xml:space="preserve">Table 2 </w:t>
      </w:r>
      <w:r w:rsidR="007A3F42">
        <w:rPr>
          <w:rFonts w:ascii="Arial" w:hAnsi="Arial" w:cs="Arial"/>
          <w:b/>
          <w:lang w:eastAsia="en-IN"/>
        </w:rPr>
        <w:t xml:space="preserve">Estimates of the </w:t>
      </w:r>
      <w:r w:rsidRPr="002F4DDE">
        <w:rPr>
          <w:rFonts w:ascii="Arial" w:hAnsi="Arial" w:cs="Arial"/>
          <w:b/>
          <w:lang w:eastAsia="en-IN"/>
        </w:rPr>
        <w:t xml:space="preserve">OLS </w:t>
      </w:r>
      <w:r w:rsidR="007A3F42">
        <w:rPr>
          <w:rFonts w:ascii="Arial" w:hAnsi="Arial" w:cs="Arial"/>
          <w:b/>
          <w:lang w:eastAsia="en-IN"/>
        </w:rPr>
        <w:t>regression on factors</w:t>
      </w:r>
      <w:r w:rsidRPr="002F4DDE">
        <w:rPr>
          <w:rFonts w:ascii="Arial" w:hAnsi="Arial" w:cs="Arial"/>
          <w:b/>
          <w:lang w:eastAsia="en-IN"/>
        </w:rPr>
        <w:t xml:space="preserve"> </w:t>
      </w:r>
      <w:r>
        <w:rPr>
          <w:rFonts w:ascii="Arial" w:hAnsi="Arial" w:cs="Arial"/>
          <w:b/>
          <w:lang w:eastAsia="en-IN"/>
        </w:rPr>
        <w:t>a</w:t>
      </w:r>
      <w:r w:rsidRPr="002F4DDE">
        <w:rPr>
          <w:rFonts w:ascii="Arial" w:hAnsi="Arial" w:cs="Arial"/>
          <w:b/>
          <w:lang w:eastAsia="en-IN"/>
        </w:rPr>
        <w:t xml:space="preserve">ffecting </w:t>
      </w:r>
      <w:r w:rsidR="005A0D77">
        <w:rPr>
          <w:rFonts w:ascii="Arial" w:hAnsi="Arial" w:cs="Arial"/>
          <w:b/>
          <w:lang w:eastAsia="en-IN"/>
        </w:rPr>
        <w:t>farm income</w:t>
      </w:r>
    </w:p>
    <w:tbl>
      <w:tblPr>
        <w:tblStyle w:val="PlainTable2"/>
        <w:tblW w:w="8290" w:type="dxa"/>
        <w:tblLook w:val="04A0" w:firstRow="1" w:lastRow="0" w:firstColumn="1" w:lastColumn="0" w:noHBand="0" w:noVBand="1"/>
      </w:tblPr>
      <w:tblGrid>
        <w:gridCol w:w="2523"/>
        <w:gridCol w:w="2321"/>
        <w:gridCol w:w="2056"/>
        <w:gridCol w:w="1390"/>
      </w:tblGrid>
      <w:tr w:rsidR="005A2161" w:rsidRPr="00B01A76" w14:paraId="3A3C72EA" w14:textId="77777777" w:rsidTr="007604C7">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dxa"/>
          </w:tcPr>
          <w:p w14:paraId="3C616828" w14:textId="77777777" w:rsidR="005A2161" w:rsidRPr="00B01A76" w:rsidRDefault="005A2161" w:rsidP="002F4DDE">
            <w:pPr>
              <w:spacing w:before="100" w:beforeAutospacing="1" w:after="100" w:afterAutospacing="1" w:line="276" w:lineRule="auto"/>
              <w:rPr>
                <w:rFonts w:ascii="Arial" w:hAnsi="Arial" w:cs="Arial"/>
                <w:b w:val="0"/>
                <w:lang w:val="en-IN" w:eastAsia="en-IN"/>
              </w:rPr>
            </w:pPr>
            <w:r w:rsidRPr="00B01A76">
              <w:rPr>
                <w:rFonts w:ascii="Arial" w:hAnsi="Arial" w:cs="Arial"/>
                <w:b w:val="0"/>
                <w:lang w:eastAsia="en-IN"/>
              </w:rPr>
              <w:t>Variables</w:t>
            </w:r>
          </w:p>
        </w:tc>
        <w:tc>
          <w:tcPr>
            <w:tcW w:w="0" w:type="dxa"/>
          </w:tcPr>
          <w:p w14:paraId="7FE5A563" w14:textId="77777777" w:rsidR="005A2161" w:rsidRPr="00B01A76" w:rsidRDefault="005A2161" w:rsidP="002F4DDE">
            <w:pPr>
              <w:spacing w:before="100" w:beforeAutospacing="1" w:after="100" w:afterAutospacing="1"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val="en-IN" w:eastAsia="en-IN"/>
              </w:rPr>
            </w:pPr>
            <w:r w:rsidRPr="00B01A76">
              <w:rPr>
                <w:rFonts w:ascii="Arial" w:hAnsi="Arial" w:cs="Arial"/>
                <w:b w:val="0"/>
                <w:bCs w:val="0"/>
                <w:color w:val="000000" w:themeColor="text1"/>
                <w:kern w:val="24"/>
              </w:rPr>
              <w:t>Coefficient</w:t>
            </w:r>
          </w:p>
        </w:tc>
        <w:tc>
          <w:tcPr>
            <w:tcW w:w="0" w:type="dxa"/>
          </w:tcPr>
          <w:p w14:paraId="2806C585" w14:textId="77777777" w:rsidR="005A2161" w:rsidRPr="005A2161" w:rsidRDefault="005A2161" w:rsidP="002F4DD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5A2161">
              <w:rPr>
                <w:rFonts w:ascii="Arial" w:hAnsi="Arial" w:cs="Arial"/>
                <w:b w:val="0"/>
                <w:color w:val="000000"/>
              </w:rPr>
              <w:t>Standard Error</w:t>
            </w:r>
          </w:p>
        </w:tc>
        <w:tc>
          <w:tcPr>
            <w:tcW w:w="0" w:type="dxa"/>
          </w:tcPr>
          <w:p w14:paraId="26D45137" w14:textId="77777777" w:rsidR="005A2161" w:rsidRPr="00B01A76" w:rsidRDefault="005A2161" w:rsidP="002F4DDE">
            <w:pPr>
              <w:spacing w:before="100" w:beforeAutospacing="1" w:after="100" w:afterAutospacing="1"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val="en-IN" w:eastAsia="en-IN"/>
              </w:rPr>
            </w:pPr>
            <w:r w:rsidRPr="00B01A76">
              <w:rPr>
                <w:rFonts w:ascii="Arial" w:hAnsi="Arial" w:cs="Arial"/>
                <w:b w:val="0"/>
                <w:bCs w:val="0"/>
                <w:color w:val="000000" w:themeColor="text1"/>
                <w:kern w:val="24"/>
              </w:rPr>
              <w:t>p-value</w:t>
            </w:r>
          </w:p>
        </w:tc>
      </w:tr>
      <w:tr w:rsidR="005A2161" w:rsidRPr="00397118" w14:paraId="3A338CBA" w14:textId="77777777" w:rsidTr="007604C7">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0" w:type="dxa"/>
          </w:tcPr>
          <w:p w14:paraId="3C113CDF" w14:textId="77777777" w:rsidR="005A2161" w:rsidRPr="00397118" w:rsidRDefault="005A2161" w:rsidP="002F4DDE">
            <w:pPr>
              <w:spacing w:before="100" w:beforeAutospacing="1" w:after="100" w:afterAutospacing="1" w:line="276" w:lineRule="auto"/>
              <w:rPr>
                <w:rFonts w:ascii="Arial" w:hAnsi="Arial" w:cs="Arial"/>
                <w:lang w:val="en-IN" w:eastAsia="en-IN"/>
              </w:rPr>
            </w:pPr>
            <w:r w:rsidRPr="00397118">
              <w:rPr>
                <w:rFonts w:ascii="Arial" w:hAnsi="Arial" w:cs="Arial"/>
                <w:bCs w:val="0"/>
                <w:color w:val="000000" w:themeColor="text1"/>
                <w:kern w:val="24"/>
              </w:rPr>
              <w:t>Intercept</w:t>
            </w:r>
          </w:p>
        </w:tc>
        <w:tc>
          <w:tcPr>
            <w:tcW w:w="0" w:type="dxa"/>
          </w:tcPr>
          <w:p w14:paraId="7C5903E3" w14:textId="77777777" w:rsidR="005A2161" w:rsidRPr="00397118" w:rsidRDefault="005A2161" w:rsidP="002F4DDE">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397118">
              <w:rPr>
                <w:rFonts w:ascii="Arial" w:hAnsi="Arial" w:cs="Arial"/>
                <w:bCs/>
                <w:color w:val="000000" w:themeColor="text1"/>
                <w:kern w:val="24"/>
              </w:rPr>
              <w:t>-0.52</w:t>
            </w:r>
          </w:p>
        </w:tc>
        <w:tc>
          <w:tcPr>
            <w:tcW w:w="0" w:type="dxa"/>
          </w:tcPr>
          <w:p w14:paraId="7DF7033D" w14:textId="77777777" w:rsidR="005A2161" w:rsidRPr="005A2161" w:rsidRDefault="005A2161" w:rsidP="002F4DD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A2161">
              <w:rPr>
                <w:rFonts w:ascii="Arial" w:hAnsi="Arial" w:cs="Arial"/>
                <w:color w:val="000000"/>
              </w:rPr>
              <w:t>3.40</w:t>
            </w:r>
          </w:p>
        </w:tc>
        <w:tc>
          <w:tcPr>
            <w:tcW w:w="0" w:type="dxa"/>
          </w:tcPr>
          <w:p w14:paraId="08442B08" w14:textId="77777777" w:rsidR="005A2161" w:rsidRPr="00397118" w:rsidRDefault="005A2161" w:rsidP="002F4DDE">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397118">
              <w:rPr>
                <w:rFonts w:ascii="Arial" w:hAnsi="Arial" w:cs="Arial"/>
                <w:bCs/>
                <w:color w:val="000000" w:themeColor="text1"/>
                <w:kern w:val="24"/>
              </w:rPr>
              <w:t>0.87</w:t>
            </w:r>
          </w:p>
        </w:tc>
      </w:tr>
      <w:tr w:rsidR="005A2161" w:rsidRPr="00397118" w14:paraId="56C40590" w14:textId="77777777" w:rsidTr="007604C7">
        <w:trPr>
          <w:trHeight w:val="283"/>
        </w:trPr>
        <w:tc>
          <w:tcPr>
            <w:cnfStyle w:val="001000000000" w:firstRow="0" w:lastRow="0" w:firstColumn="1" w:lastColumn="0" w:oddVBand="0" w:evenVBand="0" w:oddHBand="0" w:evenHBand="0" w:firstRowFirstColumn="0" w:firstRowLastColumn="0" w:lastRowFirstColumn="0" w:lastRowLastColumn="0"/>
            <w:tcW w:w="0" w:type="dxa"/>
          </w:tcPr>
          <w:p w14:paraId="66AA8599" w14:textId="77777777" w:rsidR="005A2161" w:rsidRPr="00397118" w:rsidRDefault="005A2161" w:rsidP="002F4DDE">
            <w:pPr>
              <w:spacing w:before="100" w:beforeAutospacing="1" w:after="100" w:afterAutospacing="1" w:line="276" w:lineRule="auto"/>
              <w:rPr>
                <w:rFonts w:ascii="Arial" w:hAnsi="Arial" w:cs="Arial"/>
                <w:lang w:val="en-IN" w:eastAsia="en-IN"/>
              </w:rPr>
            </w:pPr>
            <w:r w:rsidRPr="00397118">
              <w:rPr>
                <w:rFonts w:ascii="Arial" w:hAnsi="Arial" w:cs="Arial"/>
                <w:color w:val="000000" w:themeColor="text1"/>
                <w:kern w:val="24"/>
              </w:rPr>
              <w:t>Amount of loan</w:t>
            </w:r>
          </w:p>
        </w:tc>
        <w:tc>
          <w:tcPr>
            <w:tcW w:w="0" w:type="dxa"/>
          </w:tcPr>
          <w:p w14:paraId="36D42A1B" w14:textId="77777777" w:rsidR="005A2161" w:rsidRPr="00397118" w:rsidRDefault="005A2161" w:rsidP="002F4DD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397118">
              <w:rPr>
                <w:rFonts w:ascii="Arial" w:hAnsi="Arial" w:cs="Arial"/>
                <w:color w:val="000000" w:themeColor="text1"/>
                <w:kern w:val="24"/>
              </w:rPr>
              <w:t>-0.05</w:t>
            </w:r>
          </w:p>
        </w:tc>
        <w:tc>
          <w:tcPr>
            <w:tcW w:w="0" w:type="dxa"/>
          </w:tcPr>
          <w:p w14:paraId="04601A64" w14:textId="77777777" w:rsidR="005A2161" w:rsidRPr="005A2161" w:rsidRDefault="005A2161" w:rsidP="002F4DD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A2161">
              <w:rPr>
                <w:rFonts w:ascii="Arial" w:hAnsi="Arial" w:cs="Arial"/>
                <w:color w:val="000000"/>
              </w:rPr>
              <w:t>0.13</w:t>
            </w:r>
          </w:p>
        </w:tc>
        <w:tc>
          <w:tcPr>
            <w:tcW w:w="0" w:type="dxa"/>
          </w:tcPr>
          <w:p w14:paraId="75E113DD" w14:textId="77777777" w:rsidR="005A2161" w:rsidRPr="00397118" w:rsidRDefault="005A2161" w:rsidP="002F4DD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397118">
              <w:rPr>
                <w:rFonts w:ascii="Arial" w:hAnsi="Arial" w:cs="Arial"/>
                <w:color w:val="000000" w:themeColor="text1"/>
                <w:kern w:val="24"/>
              </w:rPr>
              <w:t>0.64</w:t>
            </w:r>
          </w:p>
        </w:tc>
      </w:tr>
      <w:tr w:rsidR="005A2161" w:rsidRPr="00B01A76" w14:paraId="653918A2" w14:textId="77777777" w:rsidTr="007604C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dxa"/>
          </w:tcPr>
          <w:p w14:paraId="39163DF4" w14:textId="77777777" w:rsidR="005A2161" w:rsidRPr="00B01A76" w:rsidRDefault="005A2161" w:rsidP="002F4DDE">
            <w:pPr>
              <w:spacing w:before="100" w:beforeAutospacing="1" w:after="100" w:afterAutospacing="1" w:line="276" w:lineRule="auto"/>
              <w:rPr>
                <w:rFonts w:ascii="Arial" w:hAnsi="Arial" w:cs="Arial"/>
                <w:b w:val="0"/>
                <w:lang w:val="en-IN" w:eastAsia="en-IN"/>
              </w:rPr>
            </w:pPr>
            <w:r w:rsidRPr="00B01A76">
              <w:rPr>
                <w:rFonts w:ascii="Arial" w:hAnsi="Arial" w:cs="Arial"/>
                <w:b w:val="0"/>
                <w:bCs w:val="0"/>
                <w:color w:val="000000" w:themeColor="text1"/>
                <w:kern w:val="24"/>
              </w:rPr>
              <w:t>Age</w:t>
            </w:r>
          </w:p>
        </w:tc>
        <w:tc>
          <w:tcPr>
            <w:tcW w:w="0" w:type="dxa"/>
          </w:tcPr>
          <w:p w14:paraId="25538EE9" w14:textId="77777777" w:rsidR="005A2161" w:rsidRPr="00B01A76" w:rsidRDefault="005A2161" w:rsidP="002F4DDE">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en-IN" w:eastAsia="en-IN"/>
              </w:rPr>
            </w:pPr>
            <w:r w:rsidRPr="00B01A76">
              <w:rPr>
                <w:rFonts w:ascii="Arial" w:hAnsi="Arial" w:cs="Arial"/>
                <w:b/>
                <w:bCs/>
                <w:color w:val="000000" w:themeColor="text1"/>
                <w:kern w:val="24"/>
              </w:rPr>
              <w:t>1.78***</w:t>
            </w:r>
          </w:p>
        </w:tc>
        <w:tc>
          <w:tcPr>
            <w:tcW w:w="0" w:type="dxa"/>
          </w:tcPr>
          <w:p w14:paraId="119E4F3F" w14:textId="77777777" w:rsidR="005A2161" w:rsidRPr="005A2161" w:rsidRDefault="005A2161" w:rsidP="002F4DD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A2161">
              <w:rPr>
                <w:rFonts w:ascii="Arial" w:hAnsi="Arial" w:cs="Arial"/>
                <w:color w:val="000000"/>
              </w:rPr>
              <w:t>0.66</w:t>
            </w:r>
          </w:p>
        </w:tc>
        <w:tc>
          <w:tcPr>
            <w:tcW w:w="0" w:type="dxa"/>
          </w:tcPr>
          <w:p w14:paraId="0152EC1F" w14:textId="77777777" w:rsidR="005A2161" w:rsidRPr="00B01A76" w:rsidRDefault="005A2161" w:rsidP="002F4DDE">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en-IN" w:eastAsia="en-IN"/>
              </w:rPr>
            </w:pPr>
            <w:r w:rsidRPr="00B01A76">
              <w:rPr>
                <w:rFonts w:ascii="Arial" w:hAnsi="Arial" w:cs="Arial"/>
                <w:b/>
                <w:bCs/>
                <w:color w:val="000000" w:themeColor="text1"/>
                <w:kern w:val="24"/>
              </w:rPr>
              <w:t>0.00</w:t>
            </w:r>
          </w:p>
        </w:tc>
      </w:tr>
      <w:tr w:rsidR="005A2161" w:rsidRPr="00397118" w14:paraId="41467A23" w14:textId="77777777" w:rsidTr="007604C7">
        <w:trPr>
          <w:trHeight w:val="301"/>
        </w:trPr>
        <w:tc>
          <w:tcPr>
            <w:cnfStyle w:val="001000000000" w:firstRow="0" w:lastRow="0" w:firstColumn="1" w:lastColumn="0" w:oddVBand="0" w:evenVBand="0" w:oddHBand="0" w:evenHBand="0" w:firstRowFirstColumn="0" w:firstRowLastColumn="0" w:lastRowFirstColumn="0" w:lastRowLastColumn="0"/>
            <w:tcW w:w="0" w:type="dxa"/>
          </w:tcPr>
          <w:p w14:paraId="5A72E19B" w14:textId="77777777" w:rsidR="005A2161" w:rsidRPr="00397118" w:rsidRDefault="005A2161" w:rsidP="002F4DDE">
            <w:pPr>
              <w:spacing w:before="100" w:beforeAutospacing="1" w:after="100" w:afterAutospacing="1" w:line="276" w:lineRule="auto"/>
              <w:rPr>
                <w:rFonts w:ascii="Arial" w:hAnsi="Arial" w:cs="Arial"/>
                <w:lang w:val="en-IN" w:eastAsia="en-IN"/>
              </w:rPr>
            </w:pPr>
            <w:r w:rsidRPr="00397118">
              <w:rPr>
                <w:rFonts w:ascii="Arial" w:hAnsi="Arial" w:cs="Arial"/>
                <w:color w:val="000000" w:themeColor="text1"/>
                <w:kern w:val="24"/>
              </w:rPr>
              <w:t>Education</w:t>
            </w:r>
          </w:p>
        </w:tc>
        <w:tc>
          <w:tcPr>
            <w:tcW w:w="0" w:type="dxa"/>
          </w:tcPr>
          <w:p w14:paraId="0445EC0D" w14:textId="77777777" w:rsidR="005A2161" w:rsidRPr="00397118" w:rsidRDefault="005A2161" w:rsidP="002F4DD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397118">
              <w:rPr>
                <w:rFonts w:ascii="Arial" w:hAnsi="Arial" w:cs="Arial"/>
                <w:color w:val="000000" w:themeColor="text1"/>
                <w:kern w:val="24"/>
              </w:rPr>
              <w:t>0.46</w:t>
            </w:r>
          </w:p>
        </w:tc>
        <w:tc>
          <w:tcPr>
            <w:tcW w:w="0" w:type="dxa"/>
          </w:tcPr>
          <w:p w14:paraId="097D620D" w14:textId="77777777" w:rsidR="005A2161" w:rsidRPr="005A2161" w:rsidRDefault="005A2161" w:rsidP="002F4DD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A2161">
              <w:rPr>
                <w:rFonts w:ascii="Arial" w:hAnsi="Arial" w:cs="Arial"/>
                <w:color w:val="000000"/>
              </w:rPr>
              <w:t>0.39</w:t>
            </w:r>
          </w:p>
        </w:tc>
        <w:tc>
          <w:tcPr>
            <w:tcW w:w="0" w:type="dxa"/>
          </w:tcPr>
          <w:p w14:paraId="2A275076" w14:textId="77777777" w:rsidR="005A2161" w:rsidRPr="00397118" w:rsidRDefault="005A2161" w:rsidP="002F4DD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397118">
              <w:rPr>
                <w:rFonts w:ascii="Arial" w:hAnsi="Arial" w:cs="Arial"/>
                <w:color w:val="000000" w:themeColor="text1"/>
                <w:kern w:val="24"/>
              </w:rPr>
              <w:t>0.23</w:t>
            </w:r>
          </w:p>
        </w:tc>
      </w:tr>
      <w:tr w:rsidR="005A2161" w:rsidRPr="00397118" w14:paraId="00E79EBF" w14:textId="77777777" w:rsidTr="007604C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dxa"/>
          </w:tcPr>
          <w:p w14:paraId="47C85E31" w14:textId="77777777" w:rsidR="005A2161" w:rsidRPr="00397118" w:rsidRDefault="005A2161" w:rsidP="002F4DDE">
            <w:pPr>
              <w:spacing w:before="100" w:beforeAutospacing="1" w:after="100" w:afterAutospacing="1" w:line="276" w:lineRule="auto"/>
              <w:rPr>
                <w:rFonts w:ascii="Arial" w:hAnsi="Arial" w:cs="Arial"/>
                <w:lang w:val="en-IN" w:eastAsia="en-IN"/>
              </w:rPr>
            </w:pPr>
            <w:r w:rsidRPr="00397118">
              <w:rPr>
                <w:rFonts w:ascii="Arial" w:hAnsi="Arial" w:cs="Arial"/>
                <w:color w:val="000000" w:themeColor="text1"/>
                <w:kern w:val="24"/>
              </w:rPr>
              <w:t>Farming experience</w:t>
            </w:r>
          </w:p>
        </w:tc>
        <w:tc>
          <w:tcPr>
            <w:tcW w:w="0" w:type="dxa"/>
          </w:tcPr>
          <w:p w14:paraId="6CD25098" w14:textId="77777777" w:rsidR="005A2161" w:rsidRPr="00397118" w:rsidRDefault="005A2161" w:rsidP="002F4DDE">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397118">
              <w:rPr>
                <w:rFonts w:ascii="Arial" w:hAnsi="Arial" w:cs="Arial"/>
                <w:color w:val="000000" w:themeColor="text1"/>
                <w:kern w:val="24"/>
              </w:rPr>
              <w:t>-0.28</w:t>
            </w:r>
          </w:p>
        </w:tc>
        <w:tc>
          <w:tcPr>
            <w:tcW w:w="0" w:type="dxa"/>
          </w:tcPr>
          <w:p w14:paraId="5B6ACC68" w14:textId="77777777" w:rsidR="005A2161" w:rsidRPr="005A2161" w:rsidRDefault="005A2161" w:rsidP="002F4DD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A2161">
              <w:rPr>
                <w:rFonts w:ascii="Arial" w:hAnsi="Arial" w:cs="Arial"/>
                <w:color w:val="000000"/>
              </w:rPr>
              <w:t>0.19</w:t>
            </w:r>
          </w:p>
        </w:tc>
        <w:tc>
          <w:tcPr>
            <w:tcW w:w="0" w:type="dxa"/>
          </w:tcPr>
          <w:p w14:paraId="2B308EEB" w14:textId="77777777" w:rsidR="005A2161" w:rsidRPr="00397118" w:rsidRDefault="005A2161" w:rsidP="002F4DDE">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397118">
              <w:rPr>
                <w:rFonts w:ascii="Arial" w:hAnsi="Arial" w:cs="Arial"/>
                <w:color w:val="000000" w:themeColor="text1"/>
                <w:kern w:val="24"/>
              </w:rPr>
              <w:t>0.15</w:t>
            </w:r>
          </w:p>
        </w:tc>
      </w:tr>
      <w:tr w:rsidR="005A2161" w:rsidRPr="00397118" w14:paraId="22432AD8" w14:textId="77777777" w:rsidTr="007604C7">
        <w:trPr>
          <w:trHeight w:val="283"/>
        </w:trPr>
        <w:tc>
          <w:tcPr>
            <w:cnfStyle w:val="001000000000" w:firstRow="0" w:lastRow="0" w:firstColumn="1" w:lastColumn="0" w:oddVBand="0" w:evenVBand="0" w:oddHBand="0" w:evenHBand="0" w:firstRowFirstColumn="0" w:firstRowLastColumn="0" w:lastRowFirstColumn="0" w:lastRowLastColumn="0"/>
            <w:tcW w:w="0" w:type="dxa"/>
          </w:tcPr>
          <w:p w14:paraId="50C1C2E7" w14:textId="77777777" w:rsidR="005A2161" w:rsidRPr="00397118" w:rsidRDefault="005A2161" w:rsidP="002F4DDE">
            <w:pPr>
              <w:spacing w:before="100" w:beforeAutospacing="1" w:after="100" w:afterAutospacing="1" w:line="276" w:lineRule="auto"/>
              <w:rPr>
                <w:rFonts w:ascii="Arial" w:hAnsi="Arial" w:cs="Arial"/>
                <w:lang w:val="en-IN" w:eastAsia="en-IN"/>
              </w:rPr>
            </w:pPr>
            <w:r w:rsidRPr="00397118">
              <w:rPr>
                <w:rFonts w:ascii="Arial" w:hAnsi="Arial" w:cs="Arial"/>
                <w:color w:val="000000" w:themeColor="text1"/>
                <w:kern w:val="24"/>
              </w:rPr>
              <w:t>Income from other sources</w:t>
            </w:r>
          </w:p>
        </w:tc>
        <w:tc>
          <w:tcPr>
            <w:tcW w:w="0" w:type="dxa"/>
          </w:tcPr>
          <w:p w14:paraId="345EF6A1" w14:textId="77777777" w:rsidR="005A2161" w:rsidRPr="00397118" w:rsidRDefault="005A2161" w:rsidP="002F4DD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397118">
              <w:rPr>
                <w:rFonts w:ascii="Arial" w:hAnsi="Arial" w:cs="Arial"/>
                <w:color w:val="000000" w:themeColor="text1"/>
                <w:kern w:val="24"/>
              </w:rPr>
              <w:t>-0.00</w:t>
            </w:r>
          </w:p>
        </w:tc>
        <w:tc>
          <w:tcPr>
            <w:tcW w:w="0" w:type="dxa"/>
          </w:tcPr>
          <w:p w14:paraId="3A285435" w14:textId="77777777" w:rsidR="005A2161" w:rsidRPr="005A2161" w:rsidRDefault="005A2161" w:rsidP="002F4DD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A2161">
              <w:rPr>
                <w:rFonts w:ascii="Arial" w:hAnsi="Arial" w:cs="Arial"/>
                <w:color w:val="000000"/>
              </w:rPr>
              <w:t>0.04</w:t>
            </w:r>
          </w:p>
        </w:tc>
        <w:tc>
          <w:tcPr>
            <w:tcW w:w="0" w:type="dxa"/>
          </w:tcPr>
          <w:p w14:paraId="3833474D" w14:textId="77777777" w:rsidR="005A2161" w:rsidRPr="00397118" w:rsidRDefault="005A2161" w:rsidP="002F4DD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397118">
              <w:rPr>
                <w:rFonts w:ascii="Arial" w:hAnsi="Arial" w:cs="Arial"/>
                <w:color w:val="000000" w:themeColor="text1"/>
                <w:kern w:val="24"/>
              </w:rPr>
              <w:t>0.97</w:t>
            </w:r>
          </w:p>
        </w:tc>
      </w:tr>
      <w:tr w:rsidR="005A2161" w:rsidRPr="00B01A76" w14:paraId="10261166" w14:textId="77777777" w:rsidTr="007604C7">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0" w:type="dxa"/>
          </w:tcPr>
          <w:p w14:paraId="05CF5A18" w14:textId="77777777" w:rsidR="005A2161" w:rsidRPr="00B01A76" w:rsidRDefault="005A2161" w:rsidP="002F4DDE">
            <w:pPr>
              <w:spacing w:before="100" w:beforeAutospacing="1" w:after="100" w:afterAutospacing="1" w:line="276" w:lineRule="auto"/>
              <w:rPr>
                <w:rFonts w:ascii="Arial" w:hAnsi="Arial" w:cs="Arial"/>
                <w:b w:val="0"/>
                <w:lang w:val="en-IN" w:eastAsia="en-IN"/>
              </w:rPr>
            </w:pPr>
            <w:r w:rsidRPr="00B01A76">
              <w:rPr>
                <w:rFonts w:ascii="Arial" w:hAnsi="Arial" w:cs="Arial"/>
                <w:b w:val="0"/>
                <w:bCs w:val="0"/>
                <w:color w:val="000000" w:themeColor="text1"/>
                <w:kern w:val="24"/>
              </w:rPr>
              <w:t>Cultivated area</w:t>
            </w:r>
          </w:p>
        </w:tc>
        <w:tc>
          <w:tcPr>
            <w:tcW w:w="0" w:type="dxa"/>
          </w:tcPr>
          <w:p w14:paraId="7EBFF1FA" w14:textId="77777777" w:rsidR="005A2161" w:rsidRPr="00B01A76" w:rsidRDefault="005A2161" w:rsidP="002F4DDE">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en-IN" w:eastAsia="en-IN"/>
              </w:rPr>
            </w:pPr>
            <w:r w:rsidRPr="00B01A76">
              <w:rPr>
                <w:rFonts w:ascii="Arial" w:hAnsi="Arial" w:cs="Arial"/>
                <w:b/>
                <w:bCs/>
                <w:color w:val="000000" w:themeColor="text1"/>
                <w:kern w:val="24"/>
              </w:rPr>
              <w:t>0.40***</w:t>
            </w:r>
          </w:p>
        </w:tc>
        <w:tc>
          <w:tcPr>
            <w:tcW w:w="0" w:type="dxa"/>
          </w:tcPr>
          <w:p w14:paraId="24B30AEB" w14:textId="77777777" w:rsidR="005A2161" w:rsidRPr="005A2161" w:rsidRDefault="005A2161" w:rsidP="002F4DD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A2161">
              <w:rPr>
                <w:rFonts w:ascii="Arial" w:hAnsi="Arial" w:cs="Arial"/>
                <w:color w:val="000000"/>
              </w:rPr>
              <w:t>0.14</w:t>
            </w:r>
          </w:p>
        </w:tc>
        <w:tc>
          <w:tcPr>
            <w:tcW w:w="0" w:type="dxa"/>
          </w:tcPr>
          <w:p w14:paraId="03B6A008" w14:textId="77777777" w:rsidR="005A2161" w:rsidRPr="00B01A76" w:rsidRDefault="005A2161" w:rsidP="002F4DDE">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en-IN" w:eastAsia="en-IN"/>
              </w:rPr>
            </w:pPr>
            <w:r w:rsidRPr="00B01A76">
              <w:rPr>
                <w:rFonts w:ascii="Arial" w:hAnsi="Arial" w:cs="Arial"/>
                <w:b/>
                <w:bCs/>
                <w:color w:val="000000" w:themeColor="text1"/>
                <w:kern w:val="24"/>
              </w:rPr>
              <w:t>0.00</w:t>
            </w:r>
          </w:p>
        </w:tc>
      </w:tr>
      <w:tr w:rsidR="005A2161" w:rsidRPr="00B01A76" w14:paraId="089440FB" w14:textId="77777777" w:rsidTr="007604C7">
        <w:trPr>
          <w:trHeight w:val="283"/>
        </w:trPr>
        <w:tc>
          <w:tcPr>
            <w:cnfStyle w:val="001000000000" w:firstRow="0" w:lastRow="0" w:firstColumn="1" w:lastColumn="0" w:oddVBand="0" w:evenVBand="0" w:oddHBand="0" w:evenHBand="0" w:firstRowFirstColumn="0" w:firstRowLastColumn="0" w:lastRowFirstColumn="0" w:lastRowLastColumn="0"/>
            <w:tcW w:w="0" w:type="dxa"/>
          </w:tcPr>
          <w:p w14:paraId="1F763C44" w14:textId="77777777" w:rsidR="005A2161" w:rsidRPr="00B01A76" w:rsidRDefault="005A2161" w:rsidP="002F4DDE">
            <w:pPr>
              <w:spacing w:before="100" w:beforeAutospacing="1" w:after="100" w:afterAutospacing="1" w:line="276" w:lineRule="auto"/>
              <w:rPr>
                <w:rFonts w:ascii="Arial" w:hAnsi="Arial" w:cs="Arial"/>
                <w:b w:val="0"/>
                <w:lang w:val="en-IN" w:eastAsia="en-IN"/>
              </w:rPr>
            </w:pPr>
            <w:r w:rsidRPr="00B01A76">
              <w:rPr>
                <w:rFonts w:ascii="Arial" w:hAnsi="Arial" w:cs="Arial"/>
                <w:b w:val="0"/>
                <w:bCs w:val="0"/>
                <w:color w:val="000000" w:themeColor="text1"/>
                <w:kern w:val="24"/>
              </w:rPr>
              <w:t>Cost of production</w:t>
            </w:r>
          </w:p>
        </w:tc>
        <w:tc>
          <w:tcPr>
            <w:tcW w:w="0" w:type="dxa"/>
          </w:tcPr>
          <w:p w14:paraId="15F2B7C0" w14:textId="77777777" w:rsidR="005A2161" w:rsidRPr="00B01A76" w:rsidRDefault="005A2161" w:rsidP="002F4DD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IN" w:eastAsia="en-IN"/>
              </w:rPr>
            </w:pPr>
            <w:r w:rsidRPr="00B01A76">
              <w:rPr>
                <w:rFonts w:ascii="Arial" w:hAnsi="Arial" w:cs="Arial"/>
                <w:b/>
                <w:bCs/>
                <w:color w:val="000000" w:themeColor="text1"/>
                <w:kern w:val="24"/>
              </w:rPr>
              <w:t>0.48***</w:t>
            </w:r>
          </w:p>
        </w:tc>
        <w:tc>
          <w:tcPr>
            <w:tcW w:w="0" w:type="dxa"/>
          </w:tcPr>
          <w:p w14:paraId="1B7FF953" w14:textId="77777777" w:rsidR="005A2161" w:rsidRPr="005A2161" w:rsidRDefault="005A2161" w:rsidP="002F4DD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A2161">
              <w:rPr>
                <w:rFonts w:ascii="Arial" w:hAnsi="Arial" w:cs="Arial"/>
                <w:color w:val="000000"/>
              </w:rPr>
              <w:t>0.07</w:t>
            </w:r>
          </w:p>
        </w:tc>
        <w:tc>
          <w:tcPr>
            <w:tcW w:w="0" w:type="dxa"/>
          </w:tcPr>
          <w:p w14:paraId="178C9DF3" w14:textId="77777777" w:rsidR="005A2161" w:rsidRPr="00B01A76" w:rsidRDefault="005A2161" w:rsidP="002F4DD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IN" w:eastAsia="en-IN"/>
              </w:rPr>
            </w:pPr>
            <w:r w:rsidRPr="00B01A76">
              <w:rPr>
                <w:rFonts w:ascii="Arial" w:hAnsi="Arial" w:cs="Arial"/>
                <w:b/>
                <w:bCs/>
                <w:color w:val="000000" w:themeColor="text1"/>
                <w:kern w:val="24"/>
              </w:rPr>
              <w:t>0.00</w:t>
            </w:r>
          </w:p>
        </w:tc>
      </w:tr>
    </w:tbl>
    <w:p w14:paraId="512D1FBD" w14:textId="7A50ACD3" w:rsidR="007A3F42" w:rsidRDefault="003C0AAF" w:rsidP="00EE224E">
      <w:pPr>
        <w:pStyle w:val="NormalWeb"/>
        <w:spacing w:line="276" w:lineRule="auto"/>
        <w:jc w:val="both"/>
        <w:rPr>
          <w:rFonts w:ascii="Arial" w:hAnsi="Arial" w:cs="Arial"/>
          <w:sz w:val="20"/>
          <w:szCs w:val="20"/>
        </w:rPr>
      </w:pPr>
      <w:r w:rsidRPr="00EE224E">
        <w:rPr>
          <w:rFonts w:ascii="Arial" w:hAnsi="Arial" w:cs="Arial"/>
          <w:i/>
          <w:sz w:val="20"/>
          <w:szCs w:val="20"/>
          <w:lang w:val="en-US"/>
        </w:rPr>
        <w:t>Note: **</w:t>
      </w:r>
      <w:proofErr w:type="gramStart"/>
      <w:r w:rsidRPr="00EE224E">
        <w:rPr>
          <w:rFonts w:ascii="Arial" w:hAnsi="Arial" w:cs="Arial"/>
          <w:i/>
          <w:sz w:val="20"/>
          <w:szCs w:val="20"/>
          <w:lang w:val="en-US"/>
        </w:rPr>
        <w:t>*  denotes</w:t>
      </w:r>
      <w:proofErr w:type="gramEnd"/>
      <w:r w:rsidRPr="00EE224E">
        <w:rPr>
          <w:rFonts w:ascii="Arial" w:hAnsi="Arial" w:cs="Arial"/>
          <w:i/>
          <w:sz w:val="20"/>
          <w:szCs w:val="20"/>
          <w:lang w:val="en-US"/>
        </w:rPr>
        <w:t xml:space="preserve"> significance at one percent level</w:t>
      </w:r>
      <w:r w:rsidRPr="003C0AAF">
        <w:rPr>
          <w:rFonts w:ascii="Arial" w:hAnsi="Arial" w:cs="Arial"/>
          <w:sz w:val="20"/>
          <w:szCs w:val="20"/>
          <w:lang w:val="en-US"/>
        </w:rPr>
        <w:t xml:space="preserve"> </w:t>
      </w:r>
    </w:p>
    <w:p w14:paraId="3A8D9E86" w14:textId="706E43D4" w:rsidR="00397118" w:rsidRPr="00397118" w:rsidRDefault="00397118" w:rsidP="00397118">
      <w:pPr>
        <w:pStyle w:val="NormalWeb"/>
        <w:spacing w:line="276" w:lineRule="auto"/>
        <w:ind w:firstLine="720"/>
        <w:jc w:val="both"/>
        <w:rPr>
          <w:rFonts w:ascii="Arial" w:hAnsi="Arial" w:cs="Arial"/>
          <w:sz w:val="20"/>
          <w:szCs w:val="20"/>
        </w:rPr>
      </w:pPr>
      <w:r w:rsidRPr="00397118">
        <w:rPr>
          <w:rFonts w:ascii="Arial" w:hAnsi="Arial" w:cs="Arial"/>
          <w:sz w:val="20"/>
          <w:szCs w:val="20"/>
        </w:rPr>
        <w:t xml:space="preserve">Overall, the findings suggest that farm income is influenced more by structural and operational factors, such as farm size and production investment, rather than by access to co-operative credit or socio-economic characteristics. This </w:t>
      </w:r>
      <w:r w:rsidRPr="00397118">
        <w:rPr>
          <w:rFonts w:ascii="Arial" w:hAnsi="Arial" w:cs="Arial"/>
          <w:sz w:val="20"/>
          <w:szCs w:val="20"/>
        </w:rPr>
        <w:lastRenderedPageBreak/>
        <w:t>underlines the need for strengthening credit utilisation practices and encouraging more investment-oriented lending to enhance income outcomes.</w:t>
      </w:r>
    </w:p>
    <w:p w14:paraId="66073D24" w14:textId="77777777" w:rsidR="00397118" w:rsidRPr="00397118" w:rsidRDefault="00D96F3F" w:rsidP="00397118">
      <w:pPr>
        <w:tabs>
          <w:tab w:val="left" w:pos="3180"/>
        </w:tabs>
        <w:spacing w:line="276" w:lineRule="auto"/>
        <w:jc w:val="both"/>
        <w:rPr>
          <w:rFonts w:ascii="Arial" w:hAnsi="Arial" w:cs="Arial"/>
          <w:b/>
          <w:lang w:val="en-IN" w:eastAsia="en-IN"/>
        </w:rPr>
      </w:pPr>
      <w:r>
        <w:rPr>
          <w:rFonts w:ascii="Arial" w:hAnsi="Arial" w:cs="Arial"/>
          <w:b/>
          <w:lang w:val="en-IN" w:eastAsia="en-IN"/>
        </w:rPr>
        <w:t>4</w:t>
      </w:r>
      <w:r w:rsidR="00397118" w:rsidRPr="00397118">
        <w:rPr>
          <w:rFonts w:ascii="Arial" w:hAnsi="Arial" w:cs="Arial"/>
          <w:b/>
          <w:lang w:val="en-IN" w:eastAsia="en-IN"/>
        </w:rPr>
        <w:t>.3 Loan utilisation pattern</w:t>
      </w:r>
    </w:p>
    <w:p w14:paraId="3EC16C57" w14:textId="19CC43B3" w:rsidR="00AA25E4" w:rsidRDefault="00335793" w:rsidP="00397118">
      <w:pPr>
        <w:pStyle w:val="NormalWeb"/>
        <w:spacing w:line="276" w:lineRule="auto"/>
        <w:ind w:firstLine="720"/>
        <w:jc w:val="both"/>
        <w:rPr>
          <w:rFonts w:ascii="Arial" w:hAnsi="Arial" w:cs="Arial"/>
          <w:sz w:val="20"/>
          <w:szCs w:val="20"/>
        </w:rPr>
      </w:pPr>
      <w:r w:rsidRPr="00335793">
        <w:rPr>
          <w:rFonts w:ascii="Arial" w:hAnsi="Arial" w:cs="Arial"/>
          <w:sz w:val="20"/>
          <w:szCs w:val="20"/>
          <w:lang w:val="en-US"/>
        </w:rPr>
        <w:t xml:space="preserve">The </w:t>
      </w:r>
      <w:proofErr w:type="spellStart"/>
      <w:r w:rsidRPr="00335793">
        <w:rPr>
          <w:rFonts w:ascii="Arial" w:hAnsi="Arial" w:cs="Arial"/>
          <w:sz w:val="20"/>
          <w:szCs w:val="20"/>
          <w:lang w:val="en-US"/>
        </w:rPr>
        <w:t>utilisation</w:t>
      </w:r>
      <w:proofErr w:type="spellEnd"/>
      <w:r w:rsidRPr="00335793">
        <w:rPr>
          <w:rFonts w:ascii="Arial" w:hAnsi="Arial" w:cs="Arial"/>
          <w:sz w:val="20"/>
          <w:szCs w:val="20"/>
          <w:lang w:val="en-US"/>
        </w:rPr>
        <w:t xml:space="preserve"> pattern varied distinctly across districts, reflecting differences in farming conditions, institutional functioning and household priorities. In Alappuzha, where 63 percent of respondents reported proper </w:t>
      </w:r>
      <w:proofErr w:type="spellStart"/>
      <w:r w:rsidRPr="00335793">
        <w:rPr>
          <w:rFonts w:ascii="Arial" w:hAnsi="Arial" w:cs="Arial"/>
          <w:sz w:val="20"/>
          <w:szCs w:val="20"/>
          <w:lang w:val="en-US"/>
        </w:rPr>
        <w:t>utilisation</w:t>
      </w:r>
      <w:proofErr w:type="spellEnd"/>
      <w:r w:rsidRPr="00335793">
        <w:rPr>
          <w:rFonts w:ascii="Arial" w:hAnsi="Arial" w:cs="Arial"/>
          <w:sz w:val="20"/>
          <w:szCs w:val="20"/>
          <w:lang w:val="en-US"/>
        </w:rPr>
        <w:t xml:space="preserve">, the relatively better </w:t>
      </w:r>
      <w:proofErr w:type="spellStart"/>
      <w:r w:rsidRPr="00335793">
        <w:rPr>
          <w:rFonts w:ascii="Arial" w:hAnsi="Arial" w:cs="Arial"/>
          <w:sz w:val="20"/>
          <w:szCs w:val="20"/>
          <w:lang w:val="en-US"/>
        </w:rPr>
        <w:t>utilisation</w:t>
      </w:r>
      <w:proofErr w:type="spellEnd"/>
      <w:r w:rsidRPr="00335793">
        <w:rPr>
          <w:rFonts w:ascii="Arial" w:hAnsi="Arial" w:cs="Arial"/>
          <w:sz w:val="20"/>
          <w:szCs w:val="20"/>
          <w:lang w:val="en-US"/>
        </w:rPr>
        <w:t xml:space="preserve"> was influenced by </w:t>
      </w:r>
      <w:r w:rsidR="007A3F42">
        <w:rPr>
          <w:rFonts w:ascii="Arial" w:hAnsi="Arial" w:cs="Arial"/>
          <w:sz w:val="20"/>
          <w:szCs w:val="20"/>
          <w:lang w:val="en-US"/>
        </w:rPr>
        <w:t xml:space="preserve">the </w:t>
      </w:r>
      <w:r w:rsidRPr="00335793">
        <w:rPr>
          <w:rFonts w:ascii="Arial" w:hAnsi="Arial" w:cs="Arial"/>
          <w:sz w:val="20"/>
          <w:szCs w:val="20"/>
          <w:lang w:val="en-US"/>
        </w:rPr>
        <w:t xml:space="preserve">active </w:t>
      </w:r>
      <w:r w:rsidR="007A3F42">
        <w:rPr>
          <w:rFonts w:ascii="Arial" w:hAnsi="Arial" w:cs="Arial"/>
          <w:sz w:val="20"/>
          <w:szCs w:val="20"/>
          <w:lang w:val="en-US"/>
        </w:rPr>
        <w:t xml:space="preserve">involvement in </w:t>
      </w:r>
      <w:r w:rsidRPr="00335793">
        <w:rPr>
          <w:rFonts w:ascii="Arial" w:hAnsi="Arial" w:cs="Arial"/>
          <w:sz w:val="20"/>
          <w:szCs w:val="20"/>
          <w:lang w:val="en-US"/>
        </w:rPr>
        <w:t xml:space="preserve">agricultural activity. However, diversion still occurred </w:t>
      </w:r>
      <w:r w:rsidR="007A3F42">
        <w:rPr>
          <w:rFonts w:ascii="Arial" w:hAnsi="Arial" w:cs="Arial"/>
          <w:sz w:val="20"/>
          <w:szCs w:val="20"/>
          <w:lang w:val="en-US"/>
        </w:rPr>
        <w:t xml:space="preserve">(37 per cent) </w:t>
      </w:r>
      <w:r w:rsidRPr="00335793">
        <w:rPr>
          <w:rFonts w:ascii="Arial" w:hAnsi="Arial" w:cs="Arial"/>
          <w:sz w:val="20"/>
          <w:szCs w:val="20"/>
          <w:lang w:val="en-US"/>
        </w:rPr>
        <w:t xml:space="preserve">due to persistent delays in paddy procurement and delayed government payments, a challenge similarly reported in Kerala’s procurement-linked farming systems. As remuneration is often postponed, farmers relied on credit to meet </w:t>
      </w:r>
      <w:r w:rsidR="007A3F42">
        <w:rPr>
          <w:rFonts w:ascii="Arial" w:hAnsi="Arial" w:cs="Arial"/>
          <w:sz w:val="20"/>
          <w:szCs w:val="20"/>
          <w:lang w:val="en-US"/>
        </w:rPr>
        <w:t xml:space="preserve">the </w:t>
      </w:r>
      <w:r w:rsidRPr="00335793">
        <w:rPr>
          <w:rFonts w:ascii="Arial" w:hAnsi="Arial" w:cs="Arial"/>
          <w:sz w:val="20"/>
          <w:szCs w:val="20"/>
          <w:lang w:val="en-US"/>
        </w:rPr>
        <w:t xml:space="preserve">immediate operational needs, finance a second crop and smooth household consumption. Increasing climate-related risks in below sea-level farming zones, such as recurring floods, salinity intrusion and unpredictable rainfall, also pushed borrowers to use a portion of the loan for land development and irrigation improvements. </w:t>
      </w:r>
    </w:p>
    <w:p w14:paraId="1D660C6A" w14:textId="661F2DA1" w:rsidR="00335793" w:rsidRDefault="00335793" w:rsidP="00397118">
      <w:pPr>
        <w:pStyle w:val="NormalWeb"/>
        <w:spacing w:line="276" w:lineRule="auto"/>
        <w:ind w:firstLine="720"/>
        <w:jc w:val="both"/>
        <w:rPr>
          <w:rFonts w:ascii="Arial" w:hAnsi="Arial" w:cs="Arial"/>
          <w:sz w:val="20"/>
          <w:szCs w:val="20"/>
        </w:rPr>
      </w:pPr>
      <w:r w:rsidRPr="00335793">
        <w:rPr>
          <w:rFonts w:ascii="Arial" w:hAnsi="Arial" w:cs="Arial"/>
          <w:sz w:val="20"/>
          <w:szCs w:val="20"/>
          <w:lang w:val="en-US"/>
        </w:rPr>
        <w:t xml:space="preserve">In </w:t>
      </w:r>
      <w:proofErr w:type="spellStart"/>
      <w:r w:rsidRPr="00335793">
        <w:rPr>
          <w:rFonts w:ascii="Arial" w:hAnsi="Arial" w:cs="Arial"/>
          <w:sz w:val="20"/>
          <w:szCs w:val="20"/>
          <w:lang w:val="en-US"/>
        </w:rPr>
        <w:t>Pathanamthitta</w:t>
      </w:r>
      <w:proofErr w:type="spellEnd"/>
      <w:r w:rsidRPr="00335793">
        <w:rPr>
          <w:rFonts w:ascii="Arial" w:hAnsi="Arial" w:cs="Arial"/>
          <w:sz w:val="20"/>
          <w:szCs w:val="20"/>
          <w:lang w:val="en-US"/>
        </w:rPr>
        <w:t xml:space="preserve">, diversion was the highest, with only 37.5 percent of borrowers reporting proper </w:t>
      </w:r>
      <w:proofErr w:type="spellStart"/>
      <w:r w:rsidRPr="00335793">
        <w:rPr>
          <w:rFonts w:ascii="Arial" w:hAnsi="Arial" w:cs="Arial"/>
          <w:sz w:val="20"/>
          <w:szCs w:val="20"/>
          <w:lang w:val="en-US"/>
        </w:rPr>
        <w:t>utilisation</w:t>
      </w:r>
      <w:proofErr w:type="spellEnd"/>
      <w:r w:rsidRPr="00335793">
        <w:rPr>
          <w:rFonts w:ascii="Arial" w:hAnsi="Arial" w:cs="Arial"/>
          <w:sz w:val="20"/>
          <w:szCs w:val="20"/>
          <w:lang w:val="en-US"/>
        </w:rPr>
        <w:t xml:space="preserve"> and 62.5 percent diverting the loan. Among those who used the loan as intended, investment patterns reflected perennial and allied enterprises, including rubber, dairy, poultry and high-value orchard crops. However, frequent man</w:t>
      </w:r>
      <w:r>
        <w:rPr>
          <w:rFonts w:ascii="Arial" w:hAnsi="Arial" w:cs="Arial"/>
          <w:sz w:val="20"/>
          <w:szCs w:val="20"/>
          <w:lang w:val="en-US"/>
        </w:rPr>
        <w:t>-</w:t>
      </w:r>
      <w:r w:rsidRPr="00335793">
        <w:rPr>
          <w:rFonts w:ascii="Arial" w:hAnsi="Arial" w:cs="Arial"/>
          <w:sz w:val="20"/>
          <w:szCs w:val="20"/>
          <w:lang w:val="en-US"/>
        </w:rPr>
        <w:t>animal conflict</w:t>
      </w:r>
      <w:r>
        <w:rPr>
          <w:rFonts w:ascii="Arial" w:hAnsi="Arial" w:cs="Arial"/>
          <w:sz w:val="20"/>
          <w:szCs w:val="20"/>
          <w:lang w:val="en-US"/>
        </w:rPr>
        <w:t xml:space="preserve">, </w:t>
      </w:r>
      <w:r w:rsidRPr="00335793">
        <w:rPr>
          <w:rFonts w:ascii="Arial" w:hAnsi="Arial" w:cs="Arial"/>
          <w:sz w:val="20"/>
          <w:szCs w:val="20"/>
          <w:lang w:val="en-US"/>
        </w:rPr>
        <w:t>particularly</w:t>
      </w:r>
      <w:r w:rsidR="007A3F42">
        <w:rPr>
          <w:rFonts w:ascii="Arial" w:hAnsi="Arial" w:cs="Arial"/>
          <w:sz w:val="20"/>
          <w:szCs w:val="20"/>
          <w:lang w:val="en-US"/>
        </w:rPr>
        <w:t>,</w:t>
      </w:r>
      <w:r w:rsidRPr="00335793">
        <w:rPr>
          <w:rFonts w:ascii="Arial" w:hAnsi="Arial" w:cs="Arial"/>
          <w:sz w:val="20"/>
          <w:szCs w:val="20"/>
          <w:lang w:val="en-US"/>
        </w:rPr>
        <w:t xml:space="preserve"> wild boar damage</w:t>
      </w:r>
      <w:r>
        <w:rPr>
          <w:rFonts w:ascii="Arial" w:hAnsi="Arial" w:cs="Arial"/>
          <w:sz w:val="20"/>
          <w:szCs w:val="20"/>
          <w:lang w:val="en-US"/>
        </w:rPr>
        <w:t xml:space="preserve"> </w:t>
      </w:r>
      <w:r w:rsidRPr="00335793">
        <w:rPr>
          <w:rFonts w:ascii="Arial" w:hAnsi="Arial" w:cs="Arial"/>
          <w:sz w:val="20"/>
          <w:szCs w:val="20"/>
          <w:lang w:val="en-US"/>
        </w:rPr>
        <w:t xml:space="preserve">discouraged cultivation and increased the perceived risk associated with farm investment. </w:t>
      </w:r>
      <w:r w:rsidR="00E72E26">
        <w:rPr>
          <w:rFonts w:ascii="Arial" w:hAnsi="Arial" w:cs="Arial"/>
          <w:sz w:val="20"/>
          <w:szCs w:val="20"/>
          <w:lang w:val="en-US"/>
        </w:rPr>
        <w:t>H</w:t>
      </w:r>
      <w:r w:rsidRPr="00335793">
        <w:rPr>
          <w:rFonts w:ascii="Arial" w:hAnsi="Arial" w:cs="Arial"/>
          <w:sz w:val="20"/>
          <w:szCs w:val="20"/>
          <w:lang w:val="en-US"/>
        </w:rPr>
        <w:t>uman</w:t>
      </w:r>
      <w:r>
        <w:rPr>
          <w:rFonts w:ascii="Arial" w:hAnsi="Arial" w:cs="Arial"/>
          <w:sz w:val="20"/>
          <w:szCs w:val="20"/>
          <w:lang w:val="en-US"/>
        </w:rPr>
        <w:t>-</w:t>
      </w:r>
      <w:r w:rsidRPr="00335793">
        <w:rPr>
          <w:rFonts w:ascii="Arial" w:hAnsi="Arial" w:cs="Arial"/>
          <w:sz w:val="20"/>
          <w:szCs w:val="20"/>
          <w:lang w:val="en-US"/>
        </w:rPr>
        <w:t>wildlife conflict and risk perception significantly lower investment confidence and encourage credit diversion. Additionally, a considerable proportion of respondents depended on non-farm income, making agriculture a secondary activity. Similar trends have been reported where non-farm income reduces credit discipline and increases loan diversion due to weaker farm</w:t>
      </w:r>
      <w:r>
        <w:rPr>
          <w:rFonts w:ascii="Arial" w:hAnsi="Arial" w:cs="Arial"/>
          <w:sz w:val="20"/>
          <w:szCs w:val="20"/>
          <w:lang w:val="en-US"/>
        </w:rPr>
        <w:t>-</w:t>
      </w:r>
      <w:r w:rsidRPr="00335793">
        <w:rPr>
          <w:rFonts w:ascii="Arial" w:hAnsi="Arial" w:cs="Arial"/>
          <w:sz w:val="20"/>
          <w:szCs w:val="20"/>
          <w:lang w:val="en-US"/>
        </w:rPr>
        <w:t>credit linkages (</w:t>
      </w:r>
      <w:r w:rsidR="00E52D9F">
        <w:rPr>
          <w:rFonts w:ascii="Arial" w:hAnsi="Arial" w:cs="Arial"/>
          <w:sz w:val="20"/>
          <w:szCs w:val="20"/>
          <w:lang w:val="en-US"/>
        </w:rPr>
        <w:t xml:space="preserve">Ray and </w:t>
      </w:r>
      <w:r w:rsidRPr="00335793">
        <w:rPr>
          <w:rFonts w:ascii="Arial" w:hAnsi="Arial" w:cs="Arial"/>
          <w:sz w:val="20"/>
          <w:szCs w:val="20"/>
          <w:lang w:val="en-US"/>
        </w:rPr>
        <w:t>Das</w:t>
      </w:r>
      <w:r w:rsidRPr="00335793">
        <w:rPr>
          <w:rFonts w:ascii="Arial" w:hAnsi="Arial" w:cs="Arial"/>
          <w:i/>
          <w:sz w:val="20"/>
          <w:szCs w:val="20"/>
          <w:lang w:val="en-US"/>
        </w:rPr>
        <w:t>,</w:t>
      </w:r>
      <w:r w:rsidRPr="00335793">
        <w:rPr>
          <w:rFonts w:ascii="Arial" w:hAnsi="Arial" w:cs="Arial"/>
          <w:sz w:val="20"/>
          <w:szCs w:val="20"/>
          <w:lang w:val="en-US"/>
        </w:rPr>
        <w:t xml:space="preserve"> 2023).</w:t>
      </w:r>
    </w:p>
    <w:p w14:paraId="6EF70AEF" w14:textId="31EC3588" w:rsidR="00335793" w:rsidRDefault="00335793" w:rsidP="00397118">
      <w:pPr>
        <w:pStyle w:val="NormalWeb"/>
        <w:spacing w:line="276" w:lineRule="auto"/>
        <w:ind w:firstLine="720"/>
        <w:jc w:val="both"/>
        <w:rPr>
          <w:rFonts w:ascii="Arial" w:hAnsi="Arial" w:cs="Arial"/>
          <w:sz w:val="20"/>
          <w:szCs w:val="20"/>
        </w:rPr>
      </w:pPr>
      <w:r w:rsidRPr="00335793">
        <w:rPr>
          <w:rFonts w:ascii="Arial" w:hAnsi="Arial" w:cs="Arial"/>
          <w:sz w:val="20"/>
          <w:szCs w:val="20"/>
          <w:lang w:val="en-US"/>
        </w:rPr>
        <w:t xml:space="preserve">In Malappuram, 45 percent of respondents reported proper </w:t>
      </w:r>
      <w:proofErr w:type="spellStart"/>
      <w:r w:rsidRPr="00335793">
        <w:rPr>
          <w:rFonts w:ascii="Arial" w:hAnsi="Arial" w:cs="Arial"/>
          <w:sz w:val="20"/>
          <w:szCs w:val="20"/>
          <w:lang w:val="en-US"/>
        </w:rPr>
        <w:t>utilisation</w:t>
      </w:r>
      <w:proofErr w:type="spellEnd"/>
      <w:r w:rsidRPr="00335793">
        <w:rPr>
          <w:rFonts w:ascii="Arial" w:hAnsi="Arial" w:cs="Arial"/>
          <w:sz w:val="20"/>
          <w:szCs w:val="20"/>
          <w:lang w:val="en-US"/>
        </w:rPr>
        <w:t xml:space="preserve"> of the loan, while 55 percent diverted it for non-agricultural purposes. Proper </w:t>
      </w:r>
      <w:proofErr w:type="spellStart"/>
      <w:r w:rsidRPr="00335793">
        <w:rPr>
          <w:rFonts w:ascii="Arial" w:hAnsi="Arial" w:cs="Arial"/>
          <w:sz w:val="20"/>
          <w:szCs w:val="20"/>
          <w:lang w:val="en-US"/>
        </w:rPr>
        <w:t>utilisation</w:t>
      </w:r>
      <w:proofErr w:type="spellEnd"/>
      <w:r w:rsidRPr="00335793">
        <w:rPr>
          <w:rFonts w:ascii="Arial" w:hAnsi="Arial" w:cs="Arial"/>
          <w:sz w:val="20"/>
          <w:szCs w:val="20"/>
          <w:lang w:val="en-US"/>
        </w:rPr>
        <w:t xml:space="preserve"> was mainly in dairy, exotic </w:t>
      </w:r>
      <w:r>
        <w:rPr>
          <w:rFonts w:ascii="Arial" w:hAnsi="Arial" w:cs="Arial"/>
          <w:sz w:val="20"/>
          <w:szCs w:val="20"/>
          <w:lang w:val="en-US"/>
        </w:rPr>
        <w:t xml:space="preserve">fruit </w:t>
      </w:r>
      <w:r w:rsidRPr="00335793">
        <w:rPr>
          <w:rFonts w:ascii="Arial" w:hAnsi="Arial" w:cs="Arial"/>
          <w:sz w:val="20"/>
          <w:szCs w:val="20"/>
          <w:lang w:val="en-US"/>
        </w:rPr>
        <w:t xml:space="preserve">crops and perennial plantations such as </w:t>
      </w:r>
      <w:proofErr w:type="spellStart"/>
      <w:r w:rsidRPr="00335793">
        <w:rPr>
          <w:rFonts w:ascii="Arial" w:hAnsi="Arial" w:cs="Arial"/>
          <w:sz w:val="20"/>
          <w:szCs w:val="20"/>
          <w:lang w:val="en-US"/>
        </w:rPr>
        <w:t>arecanut</w:t>
      </w:r>
      <w:proofErr w:type="spellEnd"/>
      <w:r w:rsidRPr="00335793">
        <w:rPr>
          <w:rFonts w:ascii="Arial" w:hAnsi="Arial" w:cs="Arial"/>
          <w:sz w:val="20"/>
          <w:szCs w:val="20"/>
          <w:lang w:val="en-US"/>
        </w:rPr>
        <w:t xml:space="preserve"> and coconut. However, diversion was strongly associated with climate-induced risks, including floods, erosion and landslides</w:t>
      </w:r>
      <w:r>
        <w:rPr>
          <w:rFonts w:ascii="Arial" w:hAnsi="Arial" w:cs="Arial"/>
          <w:sz w:val="20"/>
          <w:szCs w:val="20"/>
          <w:lang w:val="en-US"/>
        </w:rPr>
        <w:t xml:space="preserve"> </w:t>
      </w:r>
      <w:r w:rsidRPr="00335793">
        <w:rPr>
          <w:rFonts w:ascii="Arial" w:hAnsi="Arial" w:cs="Arial"/>
          <w:sz w:val="20"/>
          <w:szCs w:val="20"/>
          <w:lang w:val="en-US"/>
        </w:rPr>
        <w:t xml:space="preserve">conditions that align with shifts observed in other climate-stressed regions, where institutional credit increasingly functions as a safety net rather than purely capital </w:t>
      </w:r>
      <w:r w:rsidR="007A3F42">
        <w:rPr>
          <w:rFonts w:ascii="Arial" w:hAnsi="Arial" w:cs="Arial"/>
          <w:sz w:val="20"/>
          <w:szCs w:val="20"/>
          <w:lang w:val="en-US"/>
        </w:rPr>
        <w:t xml:space="preserve">for </w:t>
      </w:r>
      <w:r w:rsidR="007A3F42" w:rsidRPr="00335793">
        <w:rPr>
          <w:rFonts w:ascii="Arial" w:hAnsi="Arial" w:cs="Arial"/>
          <w:sz w:val="20"/>
          <w:szCs w:val="20"/>
          <w:lang w:val="en-US"/>
        </w:rPr>
        <w:t>production</w:t>
      </w:r>
      <w:r w:rsidRPr="00335793">
        <w:rPr>
          <w:rFonts w:ascii="Arial" w:hAnsi="Arial" w:cs="Arial"/>
          <w:sz w:val="20"/>
          <w:szCs w:val="20"/>
          <w:lang w:val="en-US"/>
        </w:rPr>
        <w:t>. Human</w:t>
      </w:r>
      <w:r>
        <w:rPr>
          <w:rFonts w:ascii="Arial" w:hAnsi="Arial" w:cs="Arial"/>
          <w:sz w:val="20"/>
          <w:szCs w:val="20"/>
          <w:lang w:val="en-US"/>
        </w:rPr>
        <w:t>-</w:t>
      </w:r>
      <w:r w:rsidRPr="00335793">
        <w:rPr>
          <w:rFonts w:ascii="Arial" w:hAnsi="Arial" w:cs="Arial"/>
          <w:sz w:val="20"/>
          <w:szCs w:val="20"/>
          <w:lang w:val="en-US"/>
        </w:rPr>
        <w:t>wildlife conflict further limited confidence in making investment-oriented loan decisions. As a result, co-operative credit frequently served as a buffer for coping with risk, rather than generating future farm income.</w:t>
      </w:r>
    </w:p>
    <w:p w14:paraId="166B5728" w14:textId="55266B4E" w:rsidR="00335793" w:rsidRPr="00335793" w:rsidRDefault="00335793" w:rsidP="00335793">
      <w:pPr>
        <w:pStyle w:val="NormalWeb"/>
        <w:spacing w:line="276" w:lineRule="auto"/>
        <w:ind w:firstLine="720"/>
        <w:jc w:val="both"/>
        <w:rPr>
          <w:rFonts w:ascii="Arial" w:hAnsi="Arial" w:cs="Arial"/>
          <w:sz w:val="20"/>
          <w:szCs w:val="20"/>
        </w:rPr>
      </w:pPr>
      <w:r w:rsidRPr="00335793">
        <w:rPr>
          <w:rFonts w:ascii="Arial" w:hAnsi="Arial" w:cs="Arial"/>
          <w:sz w:val="20"/>
          <w:szCs w:val="20"/>
        </w:rPr>
        <w:t>In Palakkad, 52 percent of respondents used the loan as intended, while 48 percent reported diversion. Utilisation here largely supported paddy cultivation, plantation crops and livestock units. However, crop damage from wild boars, elephants and peafowl created uncertainties that influenced investment decisions, echoing recent evidence linking wildlife-related losses to poor credit repayment and non-productive utilisation. Institutional constraints</w:t>
      </w:r>
      <w:r>
        <w:rPr>
          <w:rFonts w:ascii="Arial" w:hAnsi="Arial" w:cs="Arial"/>
          <w:sz w:val="20"/>
          <w:szCs w:val="20"/>
        </w:rPr>
        <w:t xml:space="preserve"> </w:t>
      </w:r>
      <w:r w:rsidRPr="00335793">
        <w:rPr>
          <w:rFonts w:ascii="Arial" w:hAnsi="Arial" w:cs="Arial"/>
          <w:sz w:val="20"/>
          <w:szCs w:val="20"/>
        </w:rPr>
        <w:t>such as delayed procurement and overlapping indebtedness due to the presence of microfinance institutions</w:t>
      </w:r>
      <w:r>
        <w:rPr>
          <w:rFonts w:ascii="Arial" w:hAnsi="Arial" w:cs="Arial"/>
          <w:sz w:val="20"/>
          <w:szCs w:val="20"/>
        </w:rPr>
        <w:t xml:space="preserve"> </w:t>
      </w:r>
      <w:r w:rsidRPr="00335793">
        <w:rPr>
          <w:rFonts w:ascii="Arial" w:hAnsi="Arial" w:cs="Arial"/>
          <w:sz w:val="20"/>
          <w:szCs w:val="20"/>
        </w:rPr>
        <w:t>also shaped utilisation patterns</w:t>
      </w:r>
    </w:p>
    <w:p w14:paraId="2EFB5566" w14:textId="7E7A28E2" w:rsidR="00335793" w:rsidRDefault="00335793" w:rsidP="00335793">
      <w:pPr>
        <w:pStyle w:val="NormalWeb"/>
        <w:spacing w:line="276" w:lineRule="auto"/>
        <w:ind w:firstLine="720"/>
        <w:jc w:val="both"/>
        <w:rPr>
          <w:rFonts w:ascii="Arial" w:hAnsi="Arial" w:cs="Arial"/>
          <w:sz w:val="20"/>
          <w:szCs w:val="20"/>
        </w:rPr>
      </w:pPr>
      <w:r w:rsidRPr="00335793">
        <w:rPr>
          <w:rFonts w:ascii="Arial" w:hAnsi="Arial" w:cs="Arial"/>
          <w:sz w:val="20"/>
          <w:szCs w:val="20"/>
        </w:rPr>
        <w:t>Overall, the district-level trends indicate that co-operative loans were used not only for agricultural purposes but also as mechanisms for coping with delayed returns, climate-related uncertainty, wildlife damage and household financial pressures. These findings align with recent evidence showing that the presence of income shocks and institutional bottlenecks weaken the relationship between formal agricultural credit and agricultural income outcomes (</w:t>
      </w:r>
      <w:r w:rsidR="00E52D9F">
        <w:rPr>
          <w:rFonts w:ascii="Arial" w:hAnsi="Arial" w:cs="Arial"/>
          <w:sz w:val="20"/>
          <w:szCs w:val="20"/>
        </w:rPr>
        <w:t xml:space="preserve">Ray and </w:t>
      </w:r>
      <w:r w:rsidRPr="00335793">
        <w:rPr>
          <w:rFonts w:ascii="Arial" w:hAnsi="Arial" w:cs="Arial"/>
          <w:sz w:val="20"/>
          <w:szCs w:val="20"/>
        </w:rPr>
        <w:t>Das</w:t>
      </w:r>
      <w:r w:rsidR="00E52D9F">
        <w:rPr>
          <w:rFonts w:ascii="Arial" w:hAnsi="Arial" w:cs="Arial"/>
          <w:sz w:val="20"/>
          <w:szCs w:val="20"/>
        </w:rPr>
        <w:t>,</w:t>
      </w:r>
      <w:r w:rsidRPr="00335793">
        <w:rPr>
          <w:rFonts w:ascii="Arial" w:hAnsi="Arial" w:cs="Arial"/>
          <w:sz w:val="20"/>
          <w:szCs w:val="20"/>
        </w:rPr>
        <w:t xml:space="preserve">2023). This helps </w:t>
      </w:r>
      <w:r w:rsidR="00514D55">
        <w:rPr>
          <w:rFonts w:ascii="Arial" w:hAnsi="Arial" w:cs="Arial"/>
          <w:sz w:val="20"/>
          <w:szCs w:val="20"/>
        </w:rPr>
        <w:t xml:space="preserve">to </w:t>
      </w:r>
      <w:r w:rsidRPr="00335793">
        <w:rPr>
          <w:rFonts w:ascii="Arial" w:hAnsi="Arial" w:cs="Arial"/>
          <w:sz w:val="20"/>
          <w:szCs w:val="20"/>
        </w:rPr>
        <w:t xml:space="preserve">explain the weak statistical link observed between loan amount and farm income in the regression analysis, suggesting that the effectiveness of co-operative credit depends not only on access, but also on </w:t>
      </w:r>
      <w:r w:rsidR="00514D55">
        <w:rPr>
          <w:rFonts w:ascii="Arial" w:hAnsi="Arial" w:cs="Arial"/>
          <w:sz w:val="20"/>
          <w:szCs w:val="20"/>
        </w:rPr>
        <w:t xml:space="preserve">proper </w:t>
      </w:r>
      <w:r w:rsidRPr="00335793">
        <w:rPr>
          <w:rFonts w:ascii="Arial" w:hAnsi="Arial" w:cs="Arial"/>
          <w:sz w:val="20"/>
          <w:szCs w:val="20"/>
        </w:rPr>
        <w:t xml:space="preserve">utilisation, </w:t>
      </w:r>
      <w:r w:rsidR="0069678C">
        <w:rPr>
          <w:rFonts w:ascii="Arial" w:hAnsi="Arial" w:cs="Arial"/>
          <w:sz w:val="20"/>
          <w:szCs w:val="20"/>
        </w:rPr>
        <w:t>environmenta</w:t>
      </w:r>
      <w:r w:rsidR="0004179A">
        <w:rPr>
          <w:rFonts w:ascii="Arial" w:hAnsi="Arial" w:cs="Arial"/>
          <w:sz w:val="20"/>
          <w:szCs w:val="20"/>
        </w:rPr>
        <w:t xml:space="preserve">l </w:t>
      </w:r>
      <w:r w:rsidR="0004179A" w:rsidRPr="00335793">
        <w:rPr>
          <w:rFonts w:ascii="Arial" w:hAnsi="Arial" w:cs="Arial"/>
          <w:sz w:val="20"/>
          <w:szCs w:val="20"/>
        </w:rPr>
        <w:t>risk</w:t>
      </w:r>
      <w:r w:rsidR="00514D55">
        <w:rPr>
          <w:rFonts w:ascii="Arial" w:hAnsi="Arial" w:cs="Arial"/>
          <w:sz w:val="20"/>
          <w:szCs w:val="20"/>
        </w:rPr>
        <w:t>s</w:t>
      </w:r>
      <w:r w:rsidRPr="00335793">
        <w:rPr>
          <w:rFonts w:ascii="Arial" w:hAnsi="Arial" w:cs="Arial"/>
          <w:sz w:val="20"/>
          <w:szCs w:val="20"/>
        </w:rPr>
        <w:t xml:space="preserve"> and livelihood conditions.</w:t>
      </w:r>
    </w:p>
    <w:p w14:paraId="4F1B149A" w14:textId="77777777" w:rsidR="00B01FCD" w:rsidRDefault="0069678C" w:rsidP="00441B6F">
      <w:pPr>
        <w:pStyle w:val="ConcHead"/>
        <w:spacing w:after="0"/>
        <w:jc w:val="both"/>
        <w:rPr>
          <w:rFonts w:ascii="Arial" w:hAnsi="Arial" w:cs="Arial"/>
        </w:rPr>
      </w:pPr>
      <w:r>
        <w:rPr>
          <w:rFonts w:ascii="Arial" w:hAnsi="Arial" w:cs="Arial"/>
        </w:rPr>
        <w:t>6</w:t>
      </w:r>
      <w:r w:rsidR="00000F8F">
        <w:rPr>
          <w:rFonts w:ascii="Arial" w:hAnsi="Arial" w:cs="Arial"/>
        </w:rPr>
        <w:t xml:space="preserve">. </w:t>
      </w:r>
      <w:r w:rsidR="00B01FCD" w:rsidRPr="00FB3A86">
        <w:rPr>
          <w:rFonts w:ascii="Arial" w:hAnsi="Arial" w:cs="Arial"/>
        </w:rPr>
        <w:t>Conclusion</w:t>
      </w:r>
    </w:p>
    <w:p w14:paraId="5CF24723" w14:textId="77777777" w:rsidR="00790ADA" w:rsidRPr="00FB3A86" w:rsidRDefault="00790ADA" w:rsidP="00441B6F">
      <w:pPr>
        <w:pStyle w:val="ConcHead"/>
        <w:spacing w:after="0"/>
        <w:jc w:val="both"/>
        <w:rPr>
          <w:rFonts w:ascii="Arial" w:hAnsi="Arial" w:cs="Arial"/>
        </w:rPr>
      </w:pPr>
    </w:p>
    <w:p w14:paraId="559FF8D5" w14:textId="47563B22" w:rsidR="0042704B" w:rsidRPr="0042704B" w:rsidRDefault="0042704B" w:rsidP="00692663">
      <w:pPr>
        <w:pStyle w:val="Body"/>
        <w:spacing w:line="276" w:lineRule="auto"/>
        <w:ind w:firstLine="720"/>
        <w:rPr>
          <w:rFonts w:ascii="Arial" w:hAnsi="Arial" w:cs="Arial"/>
        </w:rPr>
      </w:pPr>
      <w:r w:rsidRPr="0042704B">
        <w:rPr>
          <w:rFonts w:ascii="Arial" w:hAnsi="Arial" w:cs="Arial"/>
        </w:rPr>
        <w:t xml:space="preserve">The findings of the study indicate that while co-operative credit continues to remain an important financial source for agricultural households, its effectiveness in improving farm outcomes is constrained by both institutional lending practices and contextual </w:t>
      </w:r>
      <w:proofErr w:type="spellStart"/>
      <w:r w:rsidRPr="0042704B">
        <w:rPr>
          <w:rFonts w:ascii="Arial" w:hAnsi="Arial" w:cs="Arial"/>
        </w:rPr>
        <w:t>utilisation</w:t>
      </w:r>
      <w:proofErr w:type="spellEnd"/>
      <w:r w:rsidRPr="0042704B">
        <w:rPr>
          <w:rFonts w:ascii="Arial" w:hAnsi="Arial" w:cs="Arial"/>
        </w:rPr>
        <w:t xml:space="preserve"> patterns. The regression analysis on borrowing </w:t>
      </w:r>
      <w:proofErr w:type="spellStart"/>
      <w:r w:rsidRPr="0042704B">
        <w:rPr>
          <w:rFonts w:ascii="Arial" w:hAnsi="Arial" w:cs="Arial"/>
        </w:rPr>
        <w:t>behaviour</w:t>
      </w:r>
      <w:proofErr w:type="spellEnd"/>
      <w:r w:rsidRPr="0042704B">
        <w:rPr>
          <w:rFonts w:ascii="Arial" w:hAnsi="Arial" w:cs="Arial"/>
        </w:rPr>
        <w:t xml:space="preserve"> revealed that loan allocation was largely influenced by collateral security and</w:t>
      </w:r>
      <w:r w:rsidR="00692663">
        <w:rPr>
          <w:rFonts w:ascii="Arial" w:hAnsi="Arial" w:cs="Arial"/>
        </w:rPr>
        <w:t xml:space="preserve"> other outstanding loans</w:t>
      </w:r>
      <w:r w:rsidRPr="0042704B">
        <w:rPr>
          <w:rFonts w:ascii="Arial" w:hAnsi="Arial" w:cs="Arial"/>
        </w:rPr>
        <w:t xml:space="preserve">, rather than farm characteristics, household profile or production requirements. This suggests that lending decisions are shaped more by institutional risk-management </w:t>
      </w:r>
      <w:r w:rsidRPr="0042704B">
        <w:rPr>
          <w:rFonts w:ascii="Arial" w:hAnsi="Arial" w:cs="Arial"/>
        </w:rPr>
        <w:lastRenderedPageBreak/>
        <w:t>considerations than by need-based assessment</w:t>
      </w:r>
      <w:r w:rsidR="00233A98">
        <w:rPr>
          <w:rFonts w:ascii="Arial" w:hAnsi="Arial" w:cs="Arial"/>
        </w:rPr>
        <w:t>s</w:t>
      </w:r>
      <w:r w:rsidRPr="0042704B">
        <w:rPr>
          <w:rFonts w:ascii="Arial" w:hAnsi="Arial" w:cs="Arial"/>
        </w:rPr>
        <w:t xml:space="preserve">. The analysis of income determinants further showed that access to co-operative credit did not significantly contribute to higher farm income, while factors such as age, cultivated area and production investment exerted meaningful influence. The lack of linkage between </w:t>
      </w:r>
      <w:r w:rsidR="00233A98">
        <w:rPr>
          <w:rFonts w:ascii="Arial" w:hAnsi="Arial" w:cs="Arial"/>
        </w:rPr>
        <w:t xml:space="preserve">agricultural </w:t>
      </w:r>
      <w:r w:rsidRPr="0042704B">
        <w:rPr>
          <w:rFonts w:ascii="Arial" w:hAnsi="Arial" w:cs="Arial"/>
        </w:rPr>
        <w:t xml:space="preserve">borrowing and </w:t>
      </w:r>
      <w:r w:rsidR="00233A98">
        <w:rPr>
          <w:rFonts w:ascii="Arial" w:hAnsi="Arial" w:cs="Arial"/>
        </w:rPr>
        <w:t xml:space="preserve">farm </w:t>
      </w:r>
      <w:r w:rsidRPr="0042704B">
        <w:rPr>
          <w:rFonts w:ascii="Arial" w:hAnsi="Arial" w:cs="Arial"/>
        </w:rPr>
        <w:t xml:space="preserve">income suggests that credit </w:t>
      </w:r>
      <w:proofErr w:type="spellStart"/>
      <w:r w:rsidRPr="0042704B">
        <w:rPr>
          <w:rFonts w:ascii="Arial" w:hAnsi="Arial" w:cs="Arial"/>
        </w:rPr>
        <w:t>utilisation</w:t>
      </w:r>
      <w:proofErr w:type="spellEnd"/>
      <w:r w:rsidRPr="0042704B">
        <w:rPr>
          <w:rFonts w:ascii="Arial" w:hAnsi="Arial" w:cs="Arial"/>
        </w:rPr>
        <w:t xml:space="preserve"> does not consistently translate into productive agricultural investment. This finding is reinforced by the </w:t>
      </w:r>
      <w:proofErr w:type="spellStart"/>
      <w:r w:rsidRPr="0042704B">
        <w:rPr>
          <w:rFonts w:ascii="Arial" w:hAnsi="Arial" w:cs="Arial"/>
        </w:rPr>
        <w:t>utilisation</w:t>
      </w:r>
      <w:proofErr w:type="spellEnd"/>
      <w:r w:rsidRPr="0042704B">
        <w:rPr>
          <w:rFonts w:ascii="Arial" w:hAnsi="Arial" w:cs="Arial"/>
        </w:rPr>
        <w:t xml:space="preserve"> analysis, which demonstrated substantial credit diversion across districts, driven by delayed procurement payments, climate shocks, wildlife-related crop damage and household consumption needs. In this context, credit frequently functioned as a coping mechanism rather than as capital for productive expansion, especially in risk-prone and institutionally constrained settings.</w:t>
      </w:r>
    </w:p>
    <w:p w14:paraId="7519EB87" w14:textId="77777777" w:rsidR="00B01FCD" w:rsidRDefault="0042704B" w:rsidP="00692663">
      <w:pPr>
        <w:pStyle w:val="Body"/>
        <w:spacing w:after="0" w:line="276" w:lineRule="auto"/>
        <w:ind w:firstLine="720"/>
        <w:rPr>
          <w:rFonts w:ascii="Arial" w:hAnsi="Arial" w:cs="Arial"/>
        </w:rPr>
      </w:pPr>
      <w:r w:rsidRPr="0042704B">
        <w:rPr>
          <w:rFonts w:ascii="Arial" w:hAnsi="Arial" w:cs="Arial"/>
        </w:rPr>
        <w:t xml:space="preserve">Overall, the results highlight a systemic disconnect between credit access, </w:t>
      </w:r>
      <w:proofErr w:type="spellStart"/>
      <w:r w:rsidRPr="0042704B">
        <w:rPr>
          <w:rFonts w:ascii="Arial" w:hAnsi="Arial" w:cs="Arial"/>
        </w:rPr>
        <w:t>utilisation</w:t>
      </w:r>
      <w:proofErr w:type="spellEnd"/>
      <w:r w:rsidRPr="0042704B">
        <w:rPr>
          <w:rFonts w:ascii="Arial" w:hAnsi="Arial" w:cs="Arial"/>
        </w:rPr>
        <w:t xml:space="preserve"> and income generation. Strengthening the effectiveness of co-operative credit will therefore require a shift from collateral-based sanctioning towards flexible need-based assessment, coupled with measures that support productive </w:t>
      </w:r>
      <w:r w:rsidR="00692663">
        <w:rPr>
          <w:rFonts w:ascii="Arial" w:hAnsi="Arial" w:cs="Arial"/>
        </w:rPr>
        <w:t xml:space="preserve">utilization </w:t>
      </w:r>
      <w:r w:rsidRPr="0042704B">
        <w:rPr>
          <w:rFonts w:ascii="Arial" w:hAnsi="Arial" w:cs="Arial"/>
        </w:rPr>
        <w:t xml:space="preserve">such as timely procurement payments, climate-risk protection mechanisms and monitoring frameworks that encourage investment-linked lending. Without such reforms, the role of co-operative credit in enhancing agricultural productivity and improving farmer livelihoods may remain limited, functioning more as a safety net than as a driver of economic transformation. </w:t>
      </w:r>
    </w:p>
    <w:p w14:paraId="1F730AF4" w14:textId="77777777" w:rsidR="001D42D1" w:rsidRDefault="001D42D1" w:rsidP="00692663">
      <w:pPr>
        <w:pStyle w:val="Body"/>
        <w:spacing w:after="0" w:line="276" w:lineRule="auto"/>
        <w:ind w:firstLine="720"/>
        <w:rPr>
          <w:rFonts w:ascii="Arial" w:hAnsi="Arial" w:cs="Arial"/>
        </w:rPr>
      </w:pPr>
    </w:p>
    <w:p w14:paraId="45CB6CBD" w14:textId="77777777" w:rsidR="001D42D1" w:rsidRPr="0069678C" w:rsidRDefault="001D42D1" w:rsidP="001D42D1">
      <w:pPr>
        <w:pStyle w:val="NormalWeb"/>
        <w:spacing w:line="276" w:lineRule="auto"/>
        <w:jc w:val="both"/>
        <w:rPr>
          <w:rFonts w:ascii="Arial" w:hAnsi="Arial" w:cs="Arial"/>
          <w:b/>
          <w:sz w:val="22"/>
          <w:szCs w:val="20"/>
        </w:rPr>
      </w:pPr>
      <w:r w:rsidRPr="0069678C">
        <w:rPr>
          <w:rFonts w:ascii="Arial" w:hAnsi="Arial" w:cs="Arial"/>
          <w:b/>
          <w:sz w:val="22"/>
          <w:szCs w:val="20"/>
        </w:rPr>
        <w:t>5.POLICY IMPLICATIONS</w:t>
      </w:r>
    </w:p>
    <w:p w14:paraId="2817571E" w14:textId="77777777" w:rsidR="001D42D1" w:rsidRPr="0042704B" w:rsidRDefault="001D42D1" w:rsidP="001D42D1">
      <w:pPr>
        <w:pStyle w:val="NormalWeb"/>
        <w:spacing w:line="276" w:lineRule="auto"/>
        <w:ind w:firstLine="720"/>
        <w:jc w:val="both"/>
        <w:rPr>
          <w:rFonts w:ascii="Arial" w:hAnsi="Arial" w:cs="Arial"/>
          <w:sz w:val="20"/>
          <w:szCs w:val="20"/>
        </w:rPr>
      </w:pPr>
      <w:r w:rsidRPr="0042704B">
        <w:rPr>
          <w:rFonts w:ascii="Arial" w:hAnsi="Arial" w:cs="Arial"/>
          <w:sz w:val="20"/>
          <w:szCs w:val="20"/>
        </w:rPr>
        <w:t>The results carry important implications for strengthening the effectiveness of co-operative credit delivery. First, credit appraisal frameworks may need to shift from collateral-driven sanctioning to more flexible and contextual crop-</w:t>
      </w:r>
      <w:r>
        <w:rPr>
          <w:rFonts w:ascii="Arial" w:hAnsi="Arial" w:cs="Arial"/>
          <w:sz w:val="20"/>
          <w:szCs w:val="20"/>
        </w:rPr>
        <w:t>based</w:t>
      </w:r>
      <w:r w:rsidRPr="0042704B">
        <w:rPr>
          <w:rFonts w:ascii="Arial" w:hAnsi="Arial" w:cs="Arial"/>
          <w:sz w:val="20"/>
          <w:szCs w:val="20"/>
        </w:rPr>
        <w:t xml:space="preserve"> and enterprise-based lending norms, ensuring that loan size reflects genuine production requirements. Second, timely payment of procurement dues and digitised settlement systems are essential to prevent credit from being used to bridge delayed government transfers, particularly in regions dependent on procurement-linked crops. Third, climate and wildlife-risk mitigation strategies</w:t>
      </w:r>
      <w:r>
        <w:rPr>
          <w:rFonts w:ascii="Arial" w:hAnsi="Arial" w:cs="Arial"/>
          <w:sz w:val="20"/>
          <w:szCs w:val="20"/>
        </w:rPr>
        <w:t xml:space="preserve"> </w:t>
      </w:r>
      <w:r w:rsidRPr="0042704B">
        <w:rPr>
          <w:rFonts w:ascii="Arial" w:hAnsi="Arial" w:cs="Arial"/>
          <w:sz w:val="20"/>
          <w:szCs w:val="20"/>
        </w:rPr>
        <w:t>including compensation mechanisms, weather index insurance, and community-level prevention systems</w:t>
      </w:r>
      <w:r>
        <w:rPr>
          <w:rFonts w:ascii="Arial" w:hAnsi="Arial" w:cs="Arial"/>
          <w:sz w:val="20"/>
          <w:szCs w:val="20"/>
        </w:rPr>
        <w:t xml:space="preserve"> </w:t>
      </w:r>
      <w:r w:rsidRPr="0042704B">
        <w:rPr>
          <w:rFonts w:ascii="Arial" w:hAnsi="Arial" w:cs="Arial"/>
          <w:sz w:val="20"/>
          <w:szCs w:val="20"/>
        </w:rPr>
        <w:t>should be integrated with co-operative lending to reduce reliance on credit as a buffer against uncertainty. Fourth, monitoring and support systems may be strengthened through follow-up audits, utilisation tracking and periodic advisory support to ensure that loans are used productively. Fifth, financial literacy and farm business planning interventions could help borrowers prioritise investment-based decision-making over household consumption-driven allocation. Finally, the credit structure would benefit from linking loan sanctioning with productivity indicators, repayment performance and enterprise plans rather than solely collateral, enabling co-operatives to function as facilitators of agricultural investment and income enhancement rather than merely short-term liquidity providers.</w:t>
      </w:r>
    </w:p>
    <w:p w14:paraId="2275E62D" w14:textId="77777777" w:rsidR="001D42D1" w:rsidRDefault="001D42D1" w:rsidP="001D42D1">
      <w:pPr>
        <w:pStyle w:val="NormalWeb"/>
        <w:spacing w:line="276" w:lineRule="auto"/>
        <w:ind w:firstLine="720"/>
        <w:jc w:val="both"/>
        <w:rPr>
          <w:rFonts w:ascii="Arial" w:hAnsi="Arial" w:cs="Arial"/>
          <w:sz w:val="20"/>
          <w:szCs w:val="20"/>
        </w:rPr>
      </w:pPr>
      <w:r w:rsidRPr="0042704B">
        <w:rPr>
          <w:rFonts w:ascii="Arial" w:hAnsi="Arial" w:cs="Arial"/>
          <w:sz w:val="20"/>
          <w:szCs w:val="20"/>
        </w:rPr>
        <w:t>Together, these policy directions underscore the need for a more integrated, context-responsive and development-oriented approach to agricultural credit, ensuring that co-operative lending contributes meaningfully to farm productivity, resilience and rural economic well-being.</w:t>
      </w:r>
    </w:p>
    <w:p w14:paraId="0E4F45F5" w14:textId="77777777" w:rsidR="001D42D1" w:rsidRDefault="001D42D1" w:rsidP="00692663">
      <w:pPr>
        <w:pStyle w:val="Body"/>
        <w:spacing w:after="0" w:line="276" w:lineRule="auto"/>
        <w:ind w:firstLine="720"/>
        <w:rPr>
          <w:rFonts w:ascii="Arial" w:hAnsi="Arial" w:cs="Arial"/>
        </w:rPr>
      </w:pPr>
    </w:p>
    <w:p w14:paraId="2B0D559A" w14:textId="77777777" w:rsidR="001D42D1" w:rsidRDefault="001D42D1" w:rsidP="00692663">
      <w:pPr>
        <w:pStyle w:val="Body"/>
        <w:spacing w:after="0" w:line="276" w:lineRule="auto"/>
        <w:ind w:firstLine="720"/>
        <w:rPr>
          <w:rFonts w:ascii="Arial" w:hAnsi="Arial" w:cs="Arial"/>
        </w:rPr>
      </w:pPr>
    </w:p>
    <w:p w14:paraId="54826221" w14:textId="77777777" w:rsidR="001D42D1" w:rsidRPr="001D42D1" w:rsidRDefault="001D42D1" w:rsidP="001D42D1">
      <w:pPr>
        <w:spacing w:after="200" w:line="276" w:lineRule="auto"/>
        <w:jc w:val="both"/>
        <w:outlineLvl w:val="0"/>
        <w:rPr>
          <w:rFonts w:ascii="Arial" w:eastAsiaTheme="minorEastAsia" w:hAnsi="Arial" w:cs="Arial"/>
          <w:sz w:val="22"/>
          <w:szCs w:val="22"/>
          <w:lang w:val="en-GB" w:eastAsia="en-GB"/>
        </w:rPr>
      </w:pPr>
      <w:r w:rsidRPr="001D42D1">
        <w:rPr>
          <w:rFonts w:ascii="Arial" w:eastAsiaTheme="minorEastAsia" w:hAnsi="Arial" w:cs="Arial"/>
          <w:b/>
          <w:bCs/>
          <w:sz w:val="22"/>
          <w:szCs w:val="22"/>
          <w:lang w:val="en-GB" w:eastAsia="en-GB"/>
        </w:rPr>
        <w:t>COMPETING INTERESTS DISCLAIMER:</w:t>
      </w:r>
    </w:p>
    <w:p w14:paraId="28FB6E98" w14:textId="77777777" w:rsidR="001D42D1" w:rsidRPr="001D42D1" w:rsidRDefault="001D42D1" w:rsidP="001D42D1">
      <w:pPr>
        <w:spacing w:after="200" w:line="276" w:lineRule="auto"/>
        <w:rPr>
          <w:rFonts w:asciiTheme="minorHAnsi" w:eastAsiaTheme="minorEastAsia" w:hAnsiTheme="minorHAnsi" w:cstheme="minorBidi"/>
          <w:sz w:val="22"/>
          <w:szCs w:val="22"/>
          <w:lang w:val="en-GB" w:eastAsia="en-GB"/>
        </w:rPr>
      </w:pPr>
      <w:r w:rsidRPr="001D42D1">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D52B6A4" w14:textId="77777777" w:rsidR="001D42D1" w:rsidRDefault="001D42D1" w:rsidP="00692663">
      <w:pPr>
        <w:pStyle w:val="Body"/>
        <w:spacing w:after="0" w:line="276" w:lineRule="auto"/>
        <w:ind w:firstLine="720"/>
        <w:rPr>
          <w:rFonts w:ascii="Arial" w:hAnsi="Arial" w:cs="Arial"/>
        </w:rPr>
      </w:pPr>
    </w:p>
    <w:p w14:paraId="77F98128" w14:textId="77777777" w:rsidR="001D42D1" w:rsidRDefault="001D42D1" w:rsidP="00692663">
      <w:pPr>
        <w:pStyle w:val="Body"/>
        <w:spacing w:after="0" w:line="276" w:lineRule="auto"/>
        <w:ind w:firstLine="720"/>
        <w:rPr>
          <w:rFonts w:ascii="Arial" w:hAnsi="Arial" w:cs="Arial"/>
        </w:rPr>
      </w:pPr>
    </w:p>
    <w:p w14:paraId="24578202" w14:textId="77777777" w:rsidR="001D42D1" w:rsidRDefault="001D42D1" w:rsidP="00692663">
      <w:pPr>
        <w:pStyle w:val="Body"/>
        <w:spacing w:after="0" w:line="276" w:lineRule="auto"/>
        <w:ind w:firstLine="720"/>
        <w:rPr>
          <w:rFonts w:ascii="Arial" w:hAnsi="Arial" w:cs="Arial"/>
        </w:rPr>
      </w:pPr>
    </w:p>
    <w:p w14:paraId="7E6D8650" w14:textId="77777777" w:rsidR="00790ADA" w:rsidRDefault="00790ADA" w:rsidP="00441B6F">
      <w:pPr>
        <w:pStyle w:val="Body"/>
        <w:spacing w:after="0"/>
        <w:rPr>
          <w:rFonts w:ascii="Arial" w:hAnsi="Arial" w:cs="Arial"/>
        </w:rPr>
      </w:pPr>
    </w:p>
    <w:p w14:paraId="5C9480B9" w14:textId="6FA573A1" w:rsidR="009B5C11" w:rsidRPr="007604C7" w:rsidRDefault="009B5C11" w:rsidP="00F23E4B">
      <w:pPr>
        <w:pStyle w:val="Body"/>
        <w:rPr>
          <w:rFonts w:ascii="Arial" w:hAnsi="Arial" w:cs="Arial"/>
          <w:b/>
          <w:sz w:val="22"/>
          <w:lang w:val="en-IN"/>
        </w:rPr>
      </w:pPr>
      <w:r w:rsidRPr="007604C7">
        <w:rPr>
          <w:rFonts w:ascii="Arial" w:hAnsi="Arial" w:cs="Arial"/>
          <w:b/>
          <w:sz w:val="22"/>
          <w:lang w:val="en-IN"/>
        </w:rPr>
        <w:t>References</w:t>
      </w:r>
    </w:p>
    <w:p w14:paraId="57315C9E" w14:textId="4BDA5EFA" w:rsidR="00F23E4B" w:rsidRDefault="00101249" w:rsidP="00822FAA">
      <w:pPr>
        <w:pStyle w:val="Body"/>
        <w:rPr>
          <w:rFonts w:ascii="Arial" w:hAnsi="Arial" w:cs="Arial"/>
          <w:lang w:val="en-IN"/>
        </w:rPr>
      </w:pPr>
      <w:r w:rsidRPr="00101249">
        <w:rPr>
          <w:rFonts w:ascii="Arial" w:hAnsi="Arial" w:cs="Arial"/>
          <w:lang w:val="en-IN"/>
        </w:rPr>
        <w:t xml:space="preserve">Government of Kerala, State Planning Board. (2024). Economic Review 2023. </w:t>
      </w:r>
      <w:hyperlink r:id="rId14" w:history="1">
        <w:r w:rsidRPr="0085586F">
          <w:rPr>
            <w:rStyle w:val="Hyperlink"/>
            <w:rFonts w:ascii="Arial" w:hAnsi="Arial" w:cs="Arial"/>
            <w:lang w:val="en-IN"/>
          </w:rPr>
          <w:t>https://spb.kerala.gov.in/sites/default/files/2024-02/ER_English_Vol_1_2023.pdf</w:t>
        </w:r>
      </w:hyperlink>
      <w:r>
        <w:rPr>
          <w:rFonts w:ascii="Arial" w:hAnsi="Arial" w:cs="Arial"/>
          <w:lang w:val="en-IN"/>
        </w:rPr>
        <w:t xml:space="preserve"> </w:t>
      </w:r>
      <w:r w:rsidR="00F23E4B" w:rsidRPr="000916D6">
        <w:rPr>
          <w:rFonts w:ascii="Arial" w:hAnsi="Arial" w:cs="Arial"/>
          <w:lang w:val="en-IN"/>
        </w:rPr>
        <w:t xml:space="preserve">  </w:t>
      </w:r>
    </w:p>
    <w:p w14:paraId="394E8A51" w14:textId="42487278" w:rsidR="00E72E26" w:rsidRDefault="00C91E10" w:rsidP="00822FAA">
      <w:pPr>
        <w:pStyle w:val="Body"/>
        <w:rPr>
          <w:rFonts w:ascii="Arial" w:hAnsi="Arial" w:cs="Arial"/>
        </w:rPr>
      </w:pPr>
      <w:r w:rsidRPr="00C91E10">
        <w:rPr>
          <w:rFonts w:ascii="Arial" w:hAnsi="Arial" w:cs="Arial"/>
        </w:rPr>
        <w:lastRenderedPageBreak/>
        <w:t xml:space="preserve">Reddy, S. S., Ram, P. R., Sastry, T. V. N., &amp; Devi, I. B. (2016). Agricultural Economics. CBS Publishers &amp; Distributors. </w:t>
      </w:r>
      <w:hyperlink r:id="rId15" w:history="1">
        <w:r w:rsidRPr="0085586F">
          <w:rPr>
            <w:rStyle w:val="Hyperlink"/>
            <w:rFonts w:ascii="Arial" w:hAnsi="Arial" w:cs="Arial"/>
          </w:rPr>
          <w:t>https://www.cbspd.co.in/product/agricultural-economics/</w:t>
        </w:r>
      </w:hyperlink>
      <w:r>
        <w:rPr>
          <w:rFonts w:ascii="Arial" w:hAnsi="Arial" w:cs="Arial"/>
        </w:rPr>
        <w:t xml:space="preserve"> </w:t>
      </w:r>
    </w:p>
    <w:p w14:paraId="6C23E446" w14:textId="6979312A" w:rsidR="009B5C11" w:rsidRPr="005022A3" w:rsidRDefault="00033BAD" w:rsidP="00822FAA">
      <w:pPr>
        <w:pStyle w:val="Body"/>
        <w:spacing w:after="0"/>
        <w:rPr>
          <w:rFonts w:ascii="Arial" w:hAnsi="Arial" w:cs="Arial"/>
        </w:rPr>
      </w:pPr>
      <w:r w:rsidRPr="00033BAD">
        <w:rPr>
          <w:rFonts w:ascii="Arial" w:hAnsi="Arial" w:cs="Arial"/>
        </w:rPr>
        <w:t xml:space="preserve">Johnson, N. J., &amp; Paul, D. (2024). Evaluating the financial trajectory of PACS in Kerala: A fifteen-year analysis (2008-2023). *International Journal of Innovative Science and Research Technology*, *9*(5), 2328-2337. </w:t>
      </w:r>
      <w:hyperlink r:id="rId16" w:history="1">
        <w:r w:rsidRPr="0085586F">
          <w:rPr>
            <w:rStyle w:val="Hyperlink"/>
            <w:rFonts w:ascii="Arial" w:hAnsi="Arial" w:cs="Arial"/>
          </w:rPr>
          <w:t>https://doi.org/10.38124/ijisrt/IJISRT24MAY1550</w:t>
        </w:r>
      </w:hyperlink>
      <w:r>
        <w:rPr>
          <w:rFonts w:ascii="Arial" w:hAnsi="Arial" w:cs="Arial"/>
        </w:rPr>
        <w:t xml:space="preserve"> </w:t>
      </w:r>
    </w:p>
    <w:p w14:paraId="1444C4DB" w14:textId="77777777" w:rsidR="009B5C11" w:rsidRDefault="009B5C11" w:rsidP="00822FAA">
      <w:pPr>
        <w:pStyle w:val="Body"/>
        <w:spacing w:after="0"/>
        <w:rPr>
          <w:rFonts w:ascii="Arial" w:hAnsi="Arial" w:cs="Arial"/>
        </w:rPr>
      </w:pPr>
    </w:p>
    <w:p w14:paraId="18554907" w14:textId="01126EA8" w:rsidR="00E72E26" w:rsidRPr="00E72E26" w:rsidRDefault="00B35EC8" w:rsidP="00822FAA">
      <w:pPr>
        <w:pStyle w:val="Body"/>
        <w:rPr>
          <w:rFonts w:ascii="Arial" w:hAnsi="Arial" w:cs="Arial"/>
        </w:rPr>
      </w:pPr>
      <w:r w:rsidRPr="00B35EC8">
        <w:rPr>
          <w:rFonts w:ascii="Arial" w:hAnsi="Arial" w:cs="Arial"/>
        </w:rPr>
        <w:t xml:space="preserve">Raj, N. R., Dixit, A. K., Singh, A., Bhandari, G., </w:t>
      </w:r>
      <w:proofErr w:type="spellStart"/>
      <w:r w:rsidRPr="00B35EC8">
        <w:rPr>
          <w:rFonts w:ascii="Arial" w:hAnsi="Arial" w:cs="Arial"/>
        </w:rPr>
        <w:t>Ponnusamy</w:t>
      </w:r>
      <w:proofErr w:type="spellEnd"/>
      <w:r w:rsidRPr="00B35EC8">
        <w:rPr>
          <w:rFonts w:ascii="Arial" w:hAnsi="Arial" w:cs="Arial"/>
        </w:rPr>
        <w:t xml:space="preserve">, K., Sen, B., &amp; Verma, A. (2023). Study on flow of institutional credit and its diversion by dairy farmers in Kerala. Journal of Agricultural Development and Policy, 33(2), 132-137. </w:t>
      </w:r>
      <w:hyperlink r:id="rId17" w:history="1">
        <w:r w:rsidRPr="0085586F">
          <w:rPr>
            <w:rStyle w:val="Hyperlink"/>
            <w:rFonts w:ascii="Arial" w:hAnsi="Arial" w:cs="Arial"/>
          </w:rPr>
          <w:t>https://www.researchgate.net/publication/378220000_Study_on_Flow_of_Institutional_Credit_and_its_Diversion_by_Dairy_Farmers_in_Kerala</w:t>
        </w:r>
      </w:hyperlink>
      <w:r>
        <w:rPr>
          <w:rFonts w:ascii="Arial" w:hAnsi="Arial" w:cs="Arial"/>
        </w:rPr>
        <w:t xml:space="preserve"> </w:t>
      </w:r>
    </w:p>
    <w:p w14:paraId="1BBB0359" w14:textId="6A7DED19" w:rsidR="00F23E4B" w:rsidRDefault="00B35EC8" w:rsidP="00822FAA">
      <w:pPr>
        <w:pStyle w:val="Body"/>
        <w:spacing w:after="0"/>
        <w:rPr>
          <w:rFonts w:ascii="Arial" w:hAnsi="Arial" w:cs="Arial"/>
        </w:rPr>
      </w:pPr>
      <w:r w:rsidRPr="00B35EC8">
        <w:rPr>
          <w:rFonts w:ascii="Arial" w:hAnsi="Arial" w:cs="Arial"/>
        </w:rPr>
        <w:t xml:space="preserve">Sharma, B. K., &amp; </w:t>
      </w:r>
      <w:proofErr w:type="spellStart"/>
      <w:r w:rsidRPr="00B35EC8">
        <w:rPr>
          <w:rFonts w:ascii="Arial" w:hAnsi="Arial" w:cs="Arial"/>
        </w:rPr>
        <w:t>Kumawat</w:t>
      </w:r>
      <w:proofErr w:type="spellEnd"/>
      <w:r w:rsidRPr="00B35EC8">
        <w:rPr>
          <w:rFonts w:ascii="Arial" w:hAnsi="Arial" w:cs="Arial"/>
        </w:rPr>
        <w:t xml:space="preserve">, R. C. (2014). Repayment performance of institutional agricultural credit in Jaipur district of Rajasthan. Economic Affairs, 59(2), 263-272. </w:t>
      </w:r>
      <w:hyperlink r:id="rId18" w:history="1">
        <w:r w:rsidRPr="0085586F">
          <w:rPr>
            <w:rStyle w:val="Hyperlink"/>
            <w:rFonts w:ascii="Arial" w:hAnsi="Arial" w:cs="Arial"/>
          </w:rPr>
          <w:t>https://doi.org/10.5958/J.0976-4666.59.2.024</w:t>
        </w:r>
      </w:hyperlink>
      <w:r>
        <w:rPr>
          <w:rFonts w:ascii="Arial" w:hAnsi="Arial" w:cs="Arial"/>
        </w:rPr>
        <w:t xml:space="preserve"> </w:t>
      </w:r>
      <w:r w:rsidR="00F23E4B">
        <w:rPr>
          <w:rFonts w:ascii="Arial" w:hAnsi="Arial" w:cs="Arial"/>
        </w:rPr>
        <w:t>.</w:t>
      </w:r>
    </w:p>
    <w:p w14:paraId="707C4106" w14:textId="77777777" w:rsidR="00F23E4B" w:rsidRDefault="00F23E4B" w:rsidP="00822FAA">
      <w:pPr>
        <w:pStyle w:val="Body"/>
        <w:spacing w:after="0"/>
        <w:rPr>
          <w:rFonts w:ascii="Arial" w:hAnsi="Arial" w:cs="Arial"/>
        </w:rPr>
      </w:pPr>
    </w:p>
    <w:p w14:paraId="69D77F42" w14:textId="121016B5" w:rsidR="00F23E4B" w:rsidRDefault="005B3ADF" w:rsidP="00822FAA">
      <w:pPr>
        <w:pStyle w:val="Body"/>
        <w:spacing w:after="0"/>
        <w:rPr>
          <w:rFonts w:ascii="Arial" w:hAnsi="Arial" w:cs="Arial"/>
        </w:rPr>
      </w:pPr>
      <w:proofErr w:type="spellStart"/>
      <w:r w:rsidRPr="005B3ADF">
        <w:rPr>
          <w:rFonts w:ascii="Arial" w:hAnsi="Arial" w:cs="Arial"/>
        </w:rPr>
        <w:t>Sujesh</w:t>
      </w:r>
      <w:proofErr w:type="spellEnd"/>
      <w:r w:rsidRPr="005B3ADF">
        <w:rPr>
          <w:rFonts w:ascii="Arial" w:hAnsi="Arial" w:cs="Arial"/>
        </w:rPr>
        <w:t xml:space="preserve">, C. P., &amp; </w:t>
      </w:r>
      <w:proofErr w:type="spellStart"/>
      <w:r w:rsidRPr="005B3ADF">
        <w:rPr>
          <w:rFonts w:ascii="Arial" w:hAnsi="Arial" w:cs="Arial"/>
        </w:rPr>
        <w:t>Udayakumar</w:t>
      </w:r>
      <w:proofErr w:type="spellEnd"/>
      <w:r w:rsidRPr="005B3ADF">
        <w:rPr>
          <w:rFonts w:ascii="Arial" w:hAnsi="Arial" w:cs="Arial"/>
        </w:rPr>
        <w:t xml:space="preserve">, O. K. (2018). Diversion of agricultural credit disbursed by co-operative banks in Kozhikode district of Kerala state. International Journal of Research and Analytical Reviews, 5(2), 839-847. </w:t>
      </w:r>
      <w:hyperlink r:id="rId19" w:history="1">
        <w:r w:rsidRPr="0085586F">
          <w:rPr>
            <w:rStyle w:val="Hyperlink"/>
            <w:rFonts w:ascii="Arial" w:hAnsi="Arial" w:cs="Arial"/>
          </w:rPr>
          <w:t>https://www.ijrar.org/IJRAR19D1265.pdf</w:t>
        </w:r>
      </w:hyperlink>
      <w:r>
        <w:rPr>
          <w:rFonts w:ascii="Arial" w:hAnsi="Arial" w:cs="Arial"/>
        </w:rPr>
        <w:t xml:space="preserve"> </w:t>
      </w:r>
      <w:r w:rsidR="00F23E4B">
        <w:rPr>
          <w:rFonts w:ascii="Arial" w:hAnsi="Arial" w:cs="Arial"/>
        </w:rPr>
        <w:t>.</w:t>
      </w:r>
    </w:p>
    <w:p w14:paraId="0B39FF64" w14:textId="77777777" w:rsidR="00F23E4B" w:rsidRDefault="00F23E4B" w:rsidP="00822FAA">
      <w:pPr>
        <w:pStyle w:val="Body"/>
        <w:spacing w:after="0"/>
        <w:rPr>
          <w:rFonts w:ascii="Arial" w:hAnsi="Arial" w:cs="Arial"/>
        </w:rPr>
      </w:pPr>
    </w:p>
    <w:p w14:paraId="7268215C" w14:textId="77777777" w:rsidR="00F23E4B" w:rsidRDefault="00F23E4B" w:rsidP="00822FAA">
      <w:pPr>
        <w:pStyle w:val="Body"/>
        <w:spacing w:after="0"/>
        <w:rPr>
          <w:rFonts w:ascii="Arial" w:hAnsi="Arial" w:cs="Arial"/>
        </w:rPr>
      </w:pPr>
    </w:p>
    <w:p w14:paraId="1FD4BA6A" w14:textId="727117A5" w:rsidR="00F23E4B" w:rsidRDefault="00822FAA" w:rsidP="00822FAA">
      <w:pPr>
        <w:pStyle w:val="Body"/>
        <w:spacing w:after="0"/>
        <w:rPr>
          <w:rFonts w:ascii="Arial" w:hAnsi="Arial" w:cs="Arial"/>
        </w:rPr>
      </w:pPr>
      <w:proofErr w:type="spellStart"/>
      <w:r w:rsidRPr="00822FAA">
        <w:rPr>
          <w:rFonts w:ascii="Arial" w:hAnsi="Arial" w:cs="Arial"/>
        </w:rPr>
        <w:t>Narayanamoorthy</w:t>
      </w:r>
      <w:proofErr w:type="spellEnd"/>
      <w:r w:rsidRPr="00822FAA">
        <w:rPr>
          <w:rFonts w:ascii="Arial" w:hAnsi="Arial" w:cs="Arial"/>
        </w:rPr>
        <w:t xml:space="preserve">, A., &amp; </w:t>
      </w:r>
      <w:proofErr w:type="spellStart"/>
      <w:r w:rsidRPr="00822FAA">
        <w:rPr>
          <w:rFonts w:ascii="Arial" w:hAnsi="Arial" w:cs="Arial"/>
        </w:rPr>
        <w:t>Sujitha</w:t>
      </w:r>
      <w:proofErr w:type="spellEnd"/>
      <w:r w:rsidRPr="00822FAA">
        <w:rPr>
          <w:rFonts w:ascii="Arial" w:hAnsi="Arial" w:cs="Arial"/>
        </w:rPr>
        <w:t xml:space="preserve">, K. S. (2021). Trends and determinants of farmer households’ income in India: A comprehensive analysis of SAS data. Indian Journal of Agricultural Economics, 76(4), 620-642. </w:t>
      </w:r>
      <w:hyperlink r:id="rId20" w:history="1">
        <w:r w:rsidRPr="0085586F">
          <w:rPr>
            <w:rStyle w:val="Hyperlink"/>
            <w:rFonts w:ascii="Arial" w:hAnsi="Arial" w:cs="Arial"/>
          </w:rPr>
          <w:t>https://doi.org/10.22004/ag.econ.345182</w:t>
        </w:r>
      </w:hyperlink>
      <w:r>
        <w:rPr>
          <w:rFonts w:ascii="Arial" w:hAnsi="Arial" w:cs="Arial"/>
        </w:rPr>
        <w:t xml:space="preserve"> </w:t>
      </w:r>
    </w:p>
    <w:p w14:paraId="3F002EE1" w14:textId="77777777" w:rsidR="00F23E4B" w:rsidRDefault="00F23E4B" w:rsidP="00822FAA">
      <w:pPr>
        <w:pStyle w:val="Body"/>
        <w:spacing w:after="0"/>
        <w:rPr>
          <w:rFonts w:ascii="Arial" w:hAnsi="Arial" w:cs="Arial"/>
        </w:rPr>
      </w:pPr>
    </w:p>
    <w:p w14:paraId="05133453" w14:textId="364A39E6" w:rsidR="00F23E4B" w:rsidRPr="004B37B5" w:rsidRDefault="00822FAA" w:rsidP="00822FAA">
      <w:pPr>
        <w:pStyle w:val="Body"/>
        <w:spacing w:after="0"/>
        <w:rPr>
          <w:rFonts w:ascii="Arial" w:hAnsi="Arial" w:cs="Arial"/>
        </w:rPr>
      </w:pPr>
      <w:r w:rsidRPr="00822FAA">
        <w:rPr>
          <w:rFonts w:ascii="Arial" w:hAnsi="Arial" w:cs="Arial"/>
        </w:rPr>
        <w:t xml:space="preserve">Tiwari, Y., Sharma, H. O., Awasthi, P. K., &amp; Kolar, P. (2021). Factors Affecting Farm Income of Different Farming System in Madhya Pradesh. Asian Journal of Agricultural Extension, Economics &amp; Sociology, 39(2), 107-110. </w:t>
      </w:r>
      <w:hyperlink r:id="rId21" w:history="1">
        <w:r w:rsidRPr="0085586F">
          <w:rPr>
            <w:rStyle w:val="Hyperlink"/>
            <w:rFonts w:ascii="Arial" w:hAnsi="Arial" w:cs="Arial"/>
          </w:rPr>
          <w:t>https://doi.org/10.9734/AJAEES/2021/v39i230535</w:t>
        </w:r>
      </w:hyperlink>
      <w:r>
        <w:rPr>
          <w:rFonts w:ascii="Arial" w:hAnsi="Arial" w:cs="Arial"/>
        </w:rPr>
        <w:t xml:space="preserve"> </w:t>
      </w:r>
    </w:p>
    <w:p w14:paraId="4CCB0BAC" w14:textId="77777777" w:rsidR="00F23E4B" w:rsidRDefault="00F23E4B" w:rsidP="00822FAA">
      <w:pPr>
        <w:pStyle w:val="Body"/>
        <w:spacing w:after="0"/>
        <w:rPr>
          <w:rFonts w:ascii="Arial" w:hAnsi="Arial" w:cs="Arial"/>
        </w:rPr>
      </w:pPr>
    </w:p>
    <w:p w14:paraId="248BB62E" w14:textId="3D6AB254" w:rsidR="00F23E4B" w:rsidRDefault="00822FAA" w:rsidP="00822FAA">
      <w:pPr>
        <w:pStyle w:val="Body"/>
      </w:pPr>
      <w:proofErr w:type="spellStart"/>
      <w:r w:rsidRPr="00822FAA">
        <w:rPr>
          <w:rFonts w:ascii="Arial" w:hAnsi="Arial" w:cs="Arial"/>
        </w:rPr>
        <w:t>Guérin</w:t>
      </w:r>
      <w:proofErr w:type="spellEnd"/>
      <w:r w:rsidRPr="00822FAA">
        <w:rPr>
          <w:rFonts w:ascii="Arial" w:hAnsi="Arial" w:cs="Arial"/>
        </w:rPr>
        <w:t xml:space="preserve">, I., </w:t>
      </w:r>
      <w:proofErr w:type="spellStart"/>
      <w:r w:rsidRPr="00822FAA">
        <w:rPr>
          <w:rFonts w:ascii="Arial" w:hAnsi="Arial" w:cs="Arial"/>
        </w:rPr>
        <w:t>Roesch</w:t>
      </w:r>
      <w:proofErr w:type="spellEnd"/>
      <w:r w:rsidRPr="00822FAA">
        <w:rPr>
          <w:rFonts w:ascii="Arial" w:hAnsi="Arial" w:cs="Arial"/>
        </w:rPr>
        <w:t xml:space="preserve">, M., </w:t>
      </w:r>
      <w:proofErr w:type="spellStart"/>
      <w:r w:rsidRPr="00822FAA">
        <w:rPr>
          <w:rFonts w:ascii="Arial" w:hAnsi="Arial" w:cs="Arial"/>
        </w:rPr>
        <w:t>Venkatasubramanian</w:t>
      </w:r>
      <w:proofErr w:type="spellEnd"/>
      <w:r w:rsidRPr="00822FAA">
        <w:rPr>
          <w:rFonts w:ascii="Arial" w:hAnsi="Arial" w:cs="Arial"/>
        </w:rPr>
        <w:t xml:space="preserve">, G., &amp; Santosh Kumar, K. S. (2013). The social meaning of over-indebtedness and creditworthiness in the context of poor rural South Indian households (Tamil Nadu). In I. </w:t>
      </w:r>
      <w:proofErr w:type="spellStart"/>
      <w:r w:rsidRPr="00822FAA">
        <w:rPr>
          <w:rFonts w:ascii="Arial" w:hAnsi="Arial" w:cs="Arial"/>
        </w:rPr>
        <w:t>Guérin</w:t>
      </w:r>
      <w:proofErr w:type="spellEnd"/>
      <w:r w:rsidRPr="00822FAA">
        <w:rPr>
          <w:rFonts w:ascii="Arial" w:hAnsi="Arial" w:cs="Arial"/>
        </w:rPr>
        <w:t xml:space="preserve">, S. </w:t>
      </w:r>
      <w:proofErr w:type="spellStart"/>
      <w:r w:rsidRPr="00822FAA">
        <w:rPr>
          <w:rFonts w:ascii="Arial" w:hAnsi="Arial" w:cs="Arial"/>
        </w:rPr>
        <w:t>Morvant</w:t>
      </w:r>
      <w:proofErr w:type="spellEnd"/>
      <w:r w:rsidRPr="00822FAA">
        <w:rPr>
          <w:rFonts w:ascii="Arial" w:hAnsi="Arial" w:cs="Arial"/>
        </w:rPr>
        <w:t xml:space="preserve">-Roux, &amp; M. Villarreal (Eds.), Microfinance, Debt and Over-Indebtedness: Juggling with Money (pp. 125-150). Routledge. </w:t>
      </w:r>
      <w:hyperlink r:id="rId22" w:history="1">
        <w:r w:rsidRPr="0085586F">
          <w:rPr>
            <w:rStyle w:val="Hyperlink"/>
            <w:rFonts w:ascii="Arial" w:hAnsi="Arial" w:cs="Arial"/>
          </w:rPr>
          <w:t>https://doi.org/10.4324/9780203508817</w:t>
        </w:r>
      </w:hyperlink>
      <w:r>
        <w:rPr>
          <w:rFonts w:ascii="Arial" w:hAnsi="Arial" w:cs="Arial"/>
        </w:rPr>
        <w:t xml:space="preserve"> </w:t>
      </w:r>
    </w:p>
    <w:p w14:paraId="4AC69709" w14:textId="73068169" w:rsidR="00692663" w:rsidRPr="00FB3A86" w:rsidRDefault="00F23E4B" w:rsidP="00822FAA">
      <w:pPr>
        <w:pStyle w:val="Body"/>
        <w:rPr>
          <w:rFonts w:ascii="Arial" w:hAnsi="Arial" w:cs="Arial"/>
        </w:rPr>
      </w:pPr>
      <w:r>
        <w:rPr>
          <w:rFonts w:ascii="Arial" w:hAnsi="Arial" w:cs="Arial"/>
        </w:rPr>
        <w:t xml:space="preserve">Ray, P., &amp; Das. B., (2023). </w:t>
      </w:r>
      <w:r w:rsidRPr="000916D6">
        <w:rPr>
          <w:rFonts w:ascii="Arial" w:hAnsi="Arial" w:cs="Arial"/>
        </w:rPr>
        <w:t xml:space="preserve">Agricultural </w:t>
      </w:r>
      <w:r>
        <w:rPr>
          <w:rFonts w:ascii="Arial" w:hAnsi="Arial" w:cs="Arial"/>
        </w:rPr>
        <w:t>c</w:t>
      </w:r>
      <w:r w:rsidRPr="000916D6">
        <w:rPr>
          <w:rFonts w:ascii="Arial" w:hAnsi="Arial" w:cs="Arial"/>
        </w:rPr>
        <w:t xml:space="preserve">redit </w:t>
      </w:r>
      <w:r>
        <w:rPr>
          <w:rFonts w:ascii="Arial" w:hAnsi="Arial" w:cs="Arial"/>
        </w:rPr>
        <w:t>u</w:t>
      </w:r>
      <w:r w:rsidRPr="000916D6">
        <w:rPr>
          <w:rFonts w:ascii="Arial" w:hAnsi="Arial" w:cs="Arial"/>
        </w:rPr>
        <w:t xml:space="preserve">tilization and </w:t>
      </w:r>
      <w:r>
        <w:rPr>
          <w:rFonts w:ascii="Arial" w:hAnsi="Arial" w:cs="Arial"/>
        </w:rPr>
        <w:t>r</w:t>
      </w:r>
      <w:r w:rsidRPr="000916D6">
        <w:rPr>
          <w:rFonts w:ascii="Arial" w:hAnsi="Arial" w:cs="Arial"/>
        </w:rPr>
        <w:t xml:space="preserve">epayment by </w:t>
      </w:r>
      <w:r>
        <w:rPr>
          <w:rFonts w:ascii="Arial" w:hAnsi="Arial" w:cs="Arial"/>
        </w:rPr>
        <w:t>f</w:t>
      </w:r>
      <w:r w:rsidRPr="000916D6">
        <w:rPr>
          <w:rFonts w:ascii="Arial" w:hAnsi="Arial" w:cs="Arial"/>
        </w:rPr>
        <w:t xml:space="preserve">arm </w:t>
      </w:r>
      <w:r>
        <w:rPr>
          <w:rFonts w:ascii="Arial" w:hAnsi="Arial" w:cs="Arial"/>
        </w:rPr>
        <w:t>h</w:t>
      </w:r>
      <w:r w:rsidRPr="000916D6">
        <w:rPr>
          <w:rFonts w:ascii="Arial" w:hAnsi="Arial" w:cs="Arial"/>
        </w:rPr>
        <w:t>ouseholds in Tripura</w:t>
      </w:r>
      <w:r>
        <w:rPr>
          <w:rFonts w:ascii="Arial" w:hAnsi="Arial" w:cs="Arial"/>
        </w:rPr>
        <w:t>, Indian Journal of Extension Education, 59(2), 30-35.</w:t>
      </w:r>
    </w:p>
    <w:p w14:paraId="669337D3" w14:textId="77777777" w:rsidR="00B01FCD" w:rsidRPr="0042704B" w:rsidRDefault="00B01FCD" w:rsidP="00441B6F">
      <w:pPr>
        <w:pStyle w:val="Appendix"/>
        <w:spacing w:after="0"/>
        <w:jc w:val="both"/>
        <w:rPr>
          <w:rFonts w:ascii="Arial" w:hAnsi="Arial" w:cs="Arial"/>
          <w:b w:val="0"/>
          <w:color w:val="948A54" w:themeColor="background2" w:themeShade="80"/>
        </w:rPr>
      </w:pPr>
    </w:p>
    <w:sectPr w:rsidR="00B01FCD" w:rsidRPr="0042704B" w:rsidSect="0095535A">
      <w:headerReference w:type="even" r:id="rId23"/>
      <w:headerReference w:type="default" r:id="rId24"/>
      <w:footerReference w:type="default" r:id="rId25"/>
      <w:headerReference w:type="first" r:id="rId2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28091A" w14:textId="77777777" w:rsidR="003D31ED" w:rsidRDefault="003D31ED" w:rsidP="00C37E61">
      <w:r>
        <w:separator/>
      </w:r>
    </w:p>
  </w:endnote>
  <w:endnote w:type="continuationSeparator" w:id="0">
    <w:p w14:paraId="00C1170B" w14:textId="77777777" w:rsidR="003D31ED" w:rsidRDefault="003D31E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43432" w14:textId="77777777" w:rsidR="0095535A" w:rsidRDefault="009553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153F6" w14:textId="77777777" w:rsidR="0095535A" w:rsidRDefault="009553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96D49" w14:textId="7E25D110" w:rsidR="003C0AAF" w:rsidRPr="00223CD5" w:rsidRDefault="003C0AAF" w:rsidP="00223CD5">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CDAA0" w14:textId="77777777" w:rsidR="003C0AAF" w:rsidRPr="00C37E61" w:rsidRDefault="003C0AAF"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02BD4" w14:textId="77777777" w:rsidR="003D31ED" w:rsidRDefault="003D31ED" w:rsidP="00C37E61">
      <w:r>
        <w:separator/>
      </w:r>
    </w:p>
  </w:footnote>
  <w:footnote w:type="continuationSeparator" w:id="0">
    <w:p w14:paraId="36FBED3A" w14:textId="77777777" w:rsidR="003D31ED" w:rsidRDefault="003D31E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2B339" w14:textId="454D1D55" w:rsidR="0095535A" w:rsidRDefault="0095535A">
    <w:pPr>
      <w:pStyle w:val="Header"/>
    </w:pPr>
    <w:r>
      <w:rPr>
        <w:noProof/>
      </w:rPr>
      <w:pict w14:anchorId="05F5E4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02692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CD4EB" w14:textId="5DF0BD55" w:rsidR="0095535A" w:rsidRDefault="0095535A">
    <w:pPr>
      <w:pStyle w:val="Header"/>
    </w:pPr>
    <w:r>
      <w:rPr>
        <w:noProof/>
      </w:rPr>
      <w:pict w14:anchorId="26F9F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02692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D940" w14:textId="1CC29B5D" w:rsidR="003C0AAF" w:rsidRPr="00296529" w:rsidRDefault="0095535A" w:rsidP="00296529">
    <w:pPr>
      <w:ind w:left="2160"/>
      <w:jc w:val="center"/>
      <w:rPr>
        <w:rFonts w:ascii="Times New Roman" w:eastAsia="Calibri" w:hAnsi="Times New Roman"/>
        <w:i/>
        <w:sz w:val="18"/>
        <w:szCs w:val="22"/>
      </w:rPr>
    </w:pPr>
    <w:r>
      <w:rPr>
        <w:noProof/>
      </w:rPr>
      <w:pict w14:anchorId="670A99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02692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6441575" w14:textId="77777777" w:rsidR="003C0AAF" w:rsidRPr="00296529" w:rsidRDefault="003C0AA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CF825F6" w14:textId="77777777" w:rsidR="003C0AAF" w:rsidRPr="00296529" w:rsidRDefault="003C0AA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6D51CF8" w14:textId="77777777" w:rsidR="003C0AAF" w:rsidRPr="00296529" w:rsidRDefault="003C0AA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8C51E52" w14:textId="77777777" w:rsidR="003C0AAF" w:rsidRDefault="003C0AA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D2933E3" w14:textId="77777777" w:rsidR="003C0AAF" w:rsidRDefault="003C0AA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0B86E4B" w14:textId="77777777" w:rsidR="003C0AAF" w:rsidRDefault="003C0AA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4B9E1" w14:textId="33DEADA9" w:rsidR="0095535A" w:rsidRDefault="0095535A">
    <w:pPr>
      <w:pStyle w:val="Header"/>
    </w:pPr>
    <w:r>
      <w:rPr>
        <w:noProof/>
      </w:rPr>
      <w:pict w14:anchorId="62A01F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02692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71EA2" w14:textId="050347BC" w:rsidR="0095535A" w:rsidRDefault="0095535A">
    <w:pPr>
      <w:pStyle w:val="Header"/>
    </w:pPr>
    <w:r>
      <w:rPr>
        <w:noProof/>
      </w:rPr>
      <w:pict w14:anchorId="34ED0C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02692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8E415" w14:textId="3B678BC8" w:rsidR="0095535A" w:rsidRDefault="0095535A">
    <w:pPr>
      <w:pStyle w:val="Header"/>
    </w:pPr>
    <w:r>
      <w:rPr>
        <w:noProof/>
      </w:rPr>
      <w:pict w14:anchorId="7F780B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02692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D407FF7"/>
    <w:multiLevelType w:val="multilevel"/>
    <w:tmpl w:val="E2D0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BB6435"/>
    <w:multiLevelType w:val="hybridMultilevel"/>
    <w:tmpl w:val="141E3E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6146BA2"/>
    <w:multiLevelType w:val="multilevel"/>
    <w:tmpl w:val="EE48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8"/>
  </w:num>
  <w:num w:numId="10">
    <w:abstractNumId w:val="2"/>
  </w:num>
  <w:num w:numId="11">
    <w:abstractNumId w:val="21"/>
  </w:num>
  <w:num w:numId="12">
    <w:abstractNumId w:val="3"/>
  </w:num>
  <w:num w:numId="13">
    <w:abstractNumId w:val="19"/>
  </w:num>
  <w:num w:numId="14">
    <w:abstractNumId w:val="9"/>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7"/>
  </w:num>
  <w:num w:numId="27">
    <w:abstractNumId w:val="23"/>
  </w:num>
  <w:num w:numId="28">
    <w:abstractNumId w:val="30"/>
  </w:num>
  <w:num w:numId="29">
    <w:abstractNumId w:val="27"/>
  </w:num>
  <w:num w:numId="30">
    <w:abstractNumId w:val="11"/>
  </w:num>
  <w:num w:numId="31">
    <w:abstractNumId w:val="6"/>
  </w:num>
  <w:num w:numId="32">
    <w:abstractNumId w:val="20"/>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1CDF"/>
    <w:rsid w:val="00030174"/>
    <w:rsid w:val="00033BAD"/>
    <w:rsid w:val="0004179A"/>
    <w:rsid w:val="00044F02"/>
    <w:rsid w:val="0004579C"/>
    <w:rsid w:val="00082D21"/>
    <w:rsid w:val="000A47FA"/>
    <w:rsid w:val="000A65D3"/>
    <w:rsid w:val="000B1E33"/>
    <w:rsid w:val="000C6165"/>
    <w:rsid w:val="000D689F"/>
    <w:rsid w:val="000E7B7B"/>
    <w:rsid w:val="000E7D62"/>
    <w:rsid w:val="00101249"/>
    <w:rsid w:val="00103357"/>
    <w:rsid w:val="00105552"/>
    <w:rsid w:val="00123C9F"/>
    <w:rsid w:val="00125358"/>
    <w:rsid w:val="00126190"/>
    <w:rsid w:val="00130F17"/>
    <w:rsid w:val="001320BF"/>
    <w:rsid w:val="001621EB"/>
    <w:rsid w:val="00163BC4"/>
    <w:rsid w:val="00164AC6"/>
    <w:rsid w:val="00191062"/>
    <w:rsid w:val="00192B72"/>
    <w:rsid w:val="001A29D8"/>
    <w:rsid w:val="001A5CAA"/>
    <w:rsid w:val="001B0396"/>
    <w:rsid w:val="001B0427"/>
    <w:rsid w:val="001C4012"/>
    <w:rsid w:val="001D3A51"/>
    <w:rsid w:val="001D42D1"/>
    <w:rsid w:val="001E10D2"/>
    <w:rsid w:val="001E25B4"/>
    <w:rsid w:val="001E44FE"/>
    <w:rsid w:val="00200595"/>
    <w:rsid w:val="00204835"/>
    <w:rsid w:val="00223CD5"/>
    <w:rsid w:val="00231920"/>
    <w:rsid w:val="0023195C"/>
    <w:rsid w:val="00233A98"/>
    <w:rsid w:val="0024282C"/>
    <w:rsid w:val="002460DC"/>
    <w:rsid w:val="00250985"/>
    <w:rsid w:val="002556F6"/>
    <w:rsid w:val="00283105"/>
    <w:rsid w:val="00284C4C"/>
    <w:rsid w:val="00287E68"/>
    <w:rsid w:val="00296529"/>
    <w:rsid w:val="002B27FB"/>
    <w:rsid w:val="002B685A"/>
    <w:rsid w:val="002C4730"/>
    <w:rsid w:val="002C57D2"/>
    <w:rsid w:val="002D2DBA"/>
    <w:rsid w:val="002E0D56"/>
    <w:rsid w:val="002E3EE8"/>
    <w:rsid w:val="002F4DDE"/>
    <w:rsid w:val="002F6EAC"/>
    <w:rsid w:val="00302C53"/>
    <w:rsid w:val="00315186"/>
    <w:rsid w:val="0033343E"/>
    <w:rsid w:val="00335793"/>
    <w:rsid w:val="00346743"/>
    <w:rsid w:val="003512C2"/>
    <w:rsid w:val="00371AD3"/>
    <w:rsid w:val="00371FB6"/>
    <w:rsid w:val="003763C1"/>
    <w:rsid w:val="00376BBE"/>
    <w:rsid w:val="003859A8"/>
    <w:rsid w:val="0039224F"/>
    <w:rsid w:val="00397118"/>
    <w:rsid w:val="003A43A4"/>
    <w:rsid w:val="003A7E18"/>
    <w:rsid w:val="003B17A2"/>
    <w:rsid w:val="003C0AAF"/>
    <w:rsid w:val="003C4C86"/>
    <w:rsid w:val="003C6258"/>
    <w:rsid w:val="003D31ED"/>
    <w:rsid w:val="003E2904"/>
    <w:rsid w:val="00401927"/>
    <w:rsid w:val="0041027F"/>
    <w:rsid w:val="00412475"/>
    <w:rsid w:val="00423789"/>
    <w:rsid w:val="0042704B"/>
    <w:rsid w:val="004279A6"/>
    <w:rsid w:val="00432373"/>
    <w:rsid w:val="00440F43"/>
    <w:rsid w:val="00441B6F"/>
    <w:rsid w:val="00446221"/>
    <w:rsid w:val="00450E62"/>
    <w:rsid w:val="004539DB"/>
    <w:rsid w:val="00461E15"/>
    <w:rsid w:val="00463786"/>
    <w:rsid w:val="00471A80"/>
    <w:rsid w:val="004D305E"/>
    <w:rsid w:val="004D4277"/>
    <w:rsid w:val="00502516"/>
    <w:rsid w:val="00503ED7"/>
    <w:rsid w:val="00505F06"/>
    <w:rsid w:val="005064E8"/>
    <w:rsid w:val="00506828"/>
    <w:rsid w:val="00514D55"/>
    <w:rsid w:val="0053056E"/>
    <w:rsid w:val="00533738"/>
    <w:rsid w:val="00554FDA"/>
    <w:rsid w:val="00562879"/>
    <w:rsid w:val="005A0D77"/>
    <w:rsid w:val="005A2161"/>
    <w:rsid w:val="005B3ADF"/>
    <w:rsid w:val="005C784C"/>
    <w:rsid w:val="005D17F6"/>
    <w:rsid w:val="005E5539"/>
    <w:rsid w:val="00602BF5"/>
    <w:rsid w:val="00616682"/>
    <w:rsid w:val="00617FDD"/>
    <w:rsid w:val="00630BA8"/>
    <w:rsid w:val="00633614"/>
    <w:rsid w:val="00633F68"/>
    <w:rsid w:val="00636EB2"/>
    <w:rsid w:val="006375B8"/>
    <w:rsid w:val="0066510A"/>
    <w:rsid w:val="00673F9F"/>
    <w:rsid w:val="00682ECD"/>
    <w:rsid w:val="00684293"/>
    <w:rsid w:val="00686953"/>
    <w:rsid w:val="00687DEA"/>
    <w:rsid w:val="00687E67"/>
    <w:rsid w:val="00692663"/>
    <w:rsid w:val="0069678C"/>
    <w:rsid w:val="006967F7"/>
    <w:rsid w:val="00697EE4"/>
    <w:rsid w:val="006A250C"/>
    <w:rsid w:val="006B21D3"/>
    <w:rsid w:val="006B57D0"/>
    <w:rsid w:val="006D30FF"/>
    <w:rsid w:val="006D6940"/>
    <w:rsid w:val="006F11EC"/>
    <w:rsid w:val="0070082C"/>
    <w:rsid w:val="00702783"/>
    <w:rsid w:val="00733641"/>
    <w:rsid w:val="00736364"/>
    <w:rsid w:val="007369E6"/>
    <w:rsid w:val="00746E59"/>
    <w:rsid w:val="00754C9A"/>
    <w:rsid w:val="0075599A"/>
    <w:rsid w:val="007604C7"/>
    <w:rsid w:val="00761D52"/>
    <w:rsid w:val="0077749E"/>
    <w:rsid w:val="00780BA7"/>
    <w:rsid w:val="007824D6"/>
    <w:rsid w:val="00790ADA"/>
    <w:rsid w:val="007A3F42"/>
    <w:rsid w:val="007D19AF"/>
    <w:rsid w:val="007D2288"/>
    <w:rsid w:val="007E088F"/>
    <w:rsid w:val="007F7B32"/>
    <w:rsid w:val="00804BC2"/>
    <w:rsid w:val="0081431A"/>
    <w:rsid w:val="008164EB"/>
    <w:rsid w:val="00822FAA"/>
    <w:rsid w:val="0083216F"/>
    <w:rsid w:val="00860000"/>
    <w:rsid w:val="00863BD3"/>
    <w:rsid w:val="008641ED"/>
    <w:rsid w:val="00866D66"/>
    <w:rsid w:val="008671C6"/>
    <w:rsid w:val="00875803"/>
    <w:rsid w:val="008B459E"/>
    <w:rsid w:val="008C1634"/>
    <w:rsid w:val="008E13AE"/>
    <w:rsid w:val="008E1506"/>
    <w:rsid w:val="008E710C"/>
    <w:rsid w:val="008F69D6"/>
    <w:rsid w:val="00902823"/>
    <w:rsid w:val="00907418"/>
    <w:rsid w:val="00915CA6"/>
    <w:rsid w:val="00916DD4"/>
    <w:rsid w:val="00916FE4"/>
    <w:rsid w:val="00927834"/>
    <w:rsid w:val="0094719A"/>
    <w:rsid w:val="009500A6"/>
    <w:rsid w:val="0095535A"/>
    <w:rsid w:val="00957C18"/>
    <w:rsid w:val="009659BA"/>
    <w:rsid w:val="00983040"/>
    <w:rsid w:val="009B3FB9"/>
    <w:rsid w:val="009B5C11"/>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25E4"/>
    <w:rsid w:val="00AA40FF"/>
    <w:rsid w:val="00AA6219"/>
    <w:rsid w:val="00AA74E0"/>
    <w:rsid w:val="00AB703F"/>
    <w:rsid w:val="00AC1F63"/>
    <w:rsid w:val="00AC6BB8"/>
    <w:rsid w:val="00AE008F"/>
    <w:rsid w:val="00B01A76"/>
    <w:rsid w:val="00B01FCD"/>
    <w:rsid w:val="00B1776C"/>
    <w:rsid w:val="00B26D3A"/>
    <w:rsid w:val="00B30A64"/>
    <w:rsid w:val="00B35EC8"/>
    <w:rsid w:val="00B4183B"/>
    <w:rsid w:val="00B52583"/>
    <w:rsid w:val="00B52896"/>
    <w:rsid w:val="00B94BD3"/>
    <w:rsid w:val="00B95236"/>
    <w:rsid w:val="00B96BD9"/>
    <w:rsid w:val="00BA1B01"/>
    <w:rsid w:val="00BA2641"/>
    <w:rsid w:val="00BA3664"/>
    <w:rsid w:val="00BB37AA"/>
    <w:rsid w:val="00BC53A0"/>
    <w:rsid w:val="00BD0A51"/>
    <w:rsid w:val="00BE62AD"/>
    <w:rsid w:val="00BF121F"/>
    <w:rsid w:val="00BF1F80"/>
    <w:rsid w:val="00C166EF"/>
    <w:rsid w:val="00C17EB0"/>
    <w:rsid w:val="00C27F5F"/>
    <w:rsid w:val="00C30A0F"/>
    <w:rsid w:val="00C37E61"/>
    <w:rsid w:val="00C70F1B"/>
    <w:rsid w:val="00C71A47"/>
    <w:rsid w:val="00C7464C"/>
    <w:rsid w:val="00C85588"/>
    <w:rsid w:val="00C91E10"/>
    <w:rsid w:val="00C9795C"/>
    <w:rsid w:val="00CB7883"/>
    <w:rsid w:val="00CD5DCE"/>
    <w:rsid w:val="00CD6755"/>
    <w:rsid w:val="00CD6856"/>
    <w:rsid w:val="00CE0089"/>
    <w:rsid w:val="00CE6FBD"/>
    <w:rsid w:val="00CE793C"/>
    <w:rsid w:val="00CF193C"/>
    <w:rsid w:val="00CF37FA"/>
    <w:rsid w:val="00D10126"/>
    <w:rsid w:val="00D173F1"/>
    <w:rsid w:val="00D338D2"/>
    <w:rsid w:val="00D66430"/>
    <w:rsid w:val="00D74CB0"/>
    <w:rsid w:val="00D76A98"/>
    <w:rsid w:val="00D8295D"/>
    <w:rsid w:val="00D96F3F"/>
    <w:rsid w:val="00DC2A65"/>
    <w:rsid w:val="00DD4200"/>
    <w:rsid w:val="00DD79E0"/>
    <w:rsid w:val="00DE15F0"/>
    <w:rsid w:val="00DE5663"/>
    <w:rsid w:val="00DE78AA"/>
    <w:rsid w:val="00E053D0"/>
    <w:rsid w:val="00E15994"/>
    <w:rsid w:val="00E1739B"/>
    <w:rsid w:val="00E3114E"/>
    <w:rsid w:val="00E31A70"/>
    <w:rsid w:val="00E35B02"/>
    <w:rsid w:val="00E52D9F"/>
    <w:rsid w:val="00E66496"/>
    <w:rsid w:val="00E66B35"/>
    <w:rsid w:val="00E66E10"/>
    <w:rsid w:val="00E72E26"/>
    <w:rsid w:val="00E769F6"/>
    <w:rsid w:val="00E8407C"/>
    <w:rsid w:val="00E84F3C"/>
    <w:rsid w:val="00EA012C"/>
    <w:rsid w:val="00EA7D15"/>
    <w:rsid w:val="00EC6A55"/>
    <w:rsid w:val="00ED0288"/>
    <w:rsid w:val="00EE224E"/>
    <w:rsid w:val="00EE52CB"/>
    <w:rsid w:val="00EF581D"/>
    <w:rsid w:val="00EF7FD8"/>
    <w:rsid w:val="00F06F59"/>
    <w:rsid w:val="00F17988"/>
    <w:rsid w:val="00F23E4B"/>
    <w:rsid w:val="00F469F0"/>
    <w:rsid w:val="00F53273"/>
    <w:rsid w:val="00F755E4"/>
    <w:rsid w:val="00F77D02"/>
    <w:rsid w:val="00F925F6"/>
    <w:rsid w:val="00FB3A86"/>
    <w:rsid w:val="00FD3571"/>
    <w:rsid w:val="00FD36C8"/>
    <w:rsid w:val="00FE2C0F"/>
    <w:rsid w:val="00FE2D9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62AAB3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682ECD"/>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397118"/>
    <w:rPr>
      <w:b/>
      <w:bCs/>
    </w:rPr>
  </w:style>
  <w:style w:type="character" w:styleId="PlaceholderText">
    <w:name w:val="Placeholder Text"/>
    <w:basedOn w:val="DefaultParagraphFont"/>
    <w:uiPriority w:val="99"/>
    <w:semiHidden/>
    <w:rsid w:val="007D19AF"/>
    <w:rPr>
      <w:color w:val="808080"/>
    </w:rPr>
  </w:style>
  <w:style w:type="character" w:customStyle="1" w:styleId="mord">
    <w:name w:val="mord"/>
    <w:basedOn w:val="DefaultParagraphFont"/>
    <w:rsid w:val="00BD0A51"/>
  </w:style>
  <w:style w:type="character" w:customStyle="1" w:styleId="vlist-s">
    <w:name w:val="vlist-s"/>
    <w:basedOn w:val="DefaultParagraphFont"/>
    <w:rsid w:val="00BD0A51"/>
  </w:style>
  <w:style w:type="character" w:customStyle="1" w:styleId="katex-mathml">
    <w:name w:val="katex-mathml"/>
    <w:basedOn w:val="DefaultParagraphFont"/>
    <w:rsid w:val="00BD0A51"/>
  </w:style>
  <w:style w:type="character" w:customStyle="1" w:styleId="minner">
    <w:name w:val="minner"/>
    <w:basedOn w:val="DefaultParagraphFont"/>
    <w:rsid w:val="00BD0A51"/>
  </w:style>
  <w:style w:type="paragraph" w:styleId="Revision">
    <w:name w:val="Revision"/>
    <w:hidden/>
    <w:uiPriority w:val="99"/>
    <w:semiHidden/>
    <w:rsid w:val="00125358"/>
    <w:rPr>
      <w:rFonts w:ascii="Helvetica" w:hAnsi="Helvetica"/>
    </w:rPr>
  </w:style>
  <w:style w:type="paragraph" w:styleId="CommentSubject">
    <w:name w:val="annotation subject"/>
    <w:basedOn w:val="CommentText"/>
    <w:next w:val="CommentText"/>
    <w:link w:val="CommentSubjectChar"/>
    <w:semiHidden/>
    <w:unhideWhenUsed/>
    <w:rsid w:val="00FD3571"/>
    <w:rPr>
      <w:rFonts w:ascii="Helvetica" w:hAnsi="Helvetica"/>
      <w:b/>
      <w:bCs/>
      <w:lang w:val="en-US" w:eastAsia="en-US"/>
    </w:rPr>
  </w:style>
  <w:style w:type="character" w:customStyle="1" w:styleId="CommentSubjectChar">
    <w:name w:val="Comment Subject Char"/>
    <w:basedOn w:val="CommentTextChar"/>
    <w:link w:val="CommentSubject"/>
    <w:semiHidden/>
    <w:rsid w:val="00FD3571"/>
    <w:rPr>
      <w:rFonts w:ascii="Helvetica" w:hAnsi="Helvetica"/>
      <w:b/>
      <w:bCs/>
      <w:lang w:val="nb-NO" w:eastAsia="nb-NO"/>
    </w:rPr>
  </w:style>
  <w:style w:type="table" w:styleId="PlainTable2">
    <w:name w:val="Plain Table 2"/>
    <w:basedOn w:val="TableNormal"/>
    <w:uiPriority w:val="42"/>
    <w:rsid w:val="00E52D9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465076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4975886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2612982">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20185829">
      <w:bodyDiv w:val="1"/>
      <w:marLeft w:val="0"/>
      <w:marRight w:val="0"/>
      <w:marTop w:val="0"/>
      <w:marBottom w:val="0"/>
      <w:divBdr>
        <w:top w:val="none" w:sz="0" w:space="0" w:color="auto"/>
        <w:left w:val="none" w:sz="0" w:space="0" w:color="auto"/>
        <w:bottom w:val="none" w:sz="0" w:space="0" w:color="auto"/>
        <w:right w:val="none" w:sz="0" w:space="0" w:color="auto"/>
      </w:divBdr>
    </w:div>
    <w:div w:id="1562935246">
      <w:bodyDiv w:val="1"/>
      <w:marLeft w:val="0"/>
      <w:marRight w:val="0"/>
      <w:marTop w:val="0"/>
      <w:marBottom w:val="0"/>
      <w:divBdr>
        <w:top w:val="none" w:sz="0" w:space="0" w:color="auto"/>
        <w:left w:val="none" w:sz="0" w:space="0" w:color="auto"/>
        <w:bottom w:val="none" w:sz="0" w:space="0" w:color="auto"/>
        <w:right w:val="none" w:sz="0" w:space="0" w:color="auto"/>
      </w:divBdr>
    </w:div>
    <w:div w:id="1716658269">
      <w:bodyDiv w:val="1"/>
      <w:marLeft w:val="0"/>
      <w:marRight w:val="0"/>
      <w:marTop w:val="0"/>
      <w:marBottom w:val="0"/>
      <w:divBdr>
        <w:top w:val="none" w:sz="0" w:space="0" w:color="auto"/>
        <w:left w:val="none" w:sz="0" w:space="0" w:color="auto"/>
        <w:bottom w:val="none" w:sz="0" w:space="0" w:color="auto"/>
        <w:right w:val="none" w:sz="0" w:space="0" w:color="auto"/>
      </w:divBdr>
    </w:div>
    <w:div w:id="172375250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5299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5958/J.0976-4666.59.2.024"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doi.org/10.9734/AJAEES/2021/v39i23053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researchgate.net/publication/378220000_Study_on_Flow_of_Institutional_Credit_and_its_Diversion_by_Dairy_Farmers_in_Kerala"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doi.org/10.38124/ijisrt/IJISRT24MAY1550" TargetMode="External"/><Relationship Id="rId20" Type="http://schemas.openxmlformats.org/officeDocument/2006/relationships/hyperlink" Target="https://doi.org/10.22004/ag.econ.3451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w.cbspd.co.in/product/agricultural-economic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ijrar.org/IJRAR19D1265.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pb.kerala.gov.in/sites/default/files/2024-02/ER_English_Vol_1_2023.pdf" TargetMode="External"/><Relationship Id="rId22" Type="http://schemas.openxmlformats.org/officeDocument/2006/relationships/hyperlink" Target="https://doi.org/10.4324/9780203508817"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924F3-C10F-4160-82ED-D7C1D9CFC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TotalTime>
  <Pages>9</Pages>
  <Words>5209</Words>
  <Characters>29695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34835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34</cp:revision>
  <cp:lastPrinted>1999-07-06T11:00:00Z</cp:lastPrinted>
  <dcterms:created xsi:type="dcterms:W3CDTF">2025-12-14T13:47:00Z</dcterms:created>
  <dcterms:modified xsi:type="dcterms:W3CDTF">2025-12-16T11:34:00Z</dcterms:modified>
</cp:coreProperties>
</file>