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333" w:rsidRDefault="00B47D9D">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Plant-Based Repellents as Potential Alternatives to Chemical Pesticides against </w:t>
      </w:r>
      <w:r>
        <w:rPr>
          <w:rFonts w:asciiTheme="majorBidi" w:hAnsiTheme="majorBidi" w:cstheme="majorBidi"/>
          <w:b/>
          <w:bCs/>
          <w:i/>
          <w:iCs/>
          <w:sz w:val="28"/>
          <w:szCs w:val="28"/>
        </w:rPr>
        <w:t xml:space="preserve">Tribolium castaneum </w:t>
      </w:r>
      <w:r>
        <w:rPr>
          <w:rFonts w:asciiTheme="majorBidi" w:hAnsiTheme="majorBidi" w:cstheme="majorBidi"/>
          <w:b/>
          <w:bCs/>
          <w:sz w:val="28"/>
          <w:szCs w:val="28"/>
        </w:rPr>
        <w:t>(Herbst, 1797): A Review</w:t>
      </w:r>
    </w:p>
    <w:p w:rsidR="00DB7333" w:rsidRDefault="00DB7333">
      <w:pPr>
        <w:spacing w:line="480" w:lineRule="auto"/>
        <w:jc w:val="both"/>
        <w:rPr>
          <w:rFonts w:asciiTheme="majorBidi" w:hAnsiTheme="majorBidi" w:cstheme="majorBidi"/>
          <w:sz w:val="24"/>
          <w:szCs w:val="24"/>
        </w:rPr>
      </w:pPr>
    </w:p>
    <w:p w:rsidR="00DB7333" w:rsidRDefault="00B47D9D">
      <w:pPr>
        <w:spacing w:line="480" w:lineRule="auto"/>
        <w:jc w:val="both"/>
        <w:rPr>
          <w:rFonts w:asciiTheme="majorBidi" w:eastAsia="Times New Roman" w:hAnsiTheme="majorBidi" w:cstheme="majorBidi"/>
          <w:b/>
          <w:bCs/>
          <w:sz w:val="24"/>
          <w:szCs w:val="24"/>
        </w:rPr>
      </w:pPr>
      <w:bookmarkStart w:id="0" w:name="_GoBack"/>
      <w:bookmarkEnd w:id="0"/>
      <w:r>
        <w:rPr>
          <w:rFonts w:asciiTheme="majorBidi" w:eastAsia="Times New Roman" w:hAnsiTheme="majorBidi" w:cstheme="majorBidi"/>
          <w:b/>
          <w:bCs/>
          <w:sz w:val="24"/>
          <w:szCs w:val="24"/>
        </w:rPr>
        <w:t>Abstract</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widespread application of synthetic pesticides has elicited significant concerns regarding environmental degradation, pest tolerance, and potential threats to human health, underscoring the urgent need for sustainable and effective alternatives. </w:t>
      </w:r>
      <w:r>
        <w:rPr>
          <w:rFonts w:asciiTheme="majorBidi" w:eastAsia="Times New Roman" w:hAnsiTheme="majorBidi" w:cstheme="majorBidi"/>
          <w:i/>
          <w:iCs/>
          <w:sz w:val="24"/>
          <w:szCs w:val="24"/>
        </w:rPr>
        <w:t>Tribolium castaneum</w:t>
      </w:r>
      <w:r>
        <w:rPr>
          <w:rFonts w:asciiTheme="majorBidi" w:eastAsia="Times New Roman" w:hAnsiTheme="majorBidi" w:cstheme="majorBidi"/>
          <w:sz w:val="24"/>
          <w:szCs w:val="24"/>
        </w:rPr>
        <w:t xml:space="preserve">, a detrimental pest of stored grains, contributes to significant spoilage after harvest and poses a direct threat to total food supply. This review examines plant-based repellents as environmentally friendly and effective alternatives to synthetic pesticides for controlling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infestations. Numerous reports have demonstrated that essential oils (EOs) and plant extracts exhibit strong repellent and insecticidal properties with minimal environmental impact. Notably, EOs derived from </w:t>
      </w:r>
      <w:r>
        <w:rPr>
          <w:rFonts w:asciiTheme="majorBidi" w:eastAsia="Times New Roman" w:hAnsiTheme="majorBidi" w:cstheme="majorBidi"/>
          <w:i/>
          <w:iCs/>
          <w:sz w:val="24"/>
          <w:szCs w:val="24"/>
        </w:rPr>
        <w:t>Coriandrum sativum</w:t>
      </w:r>
      <w:r>
        <w:rPr>
          <w:rFonts w:asciiTheme="majorBidi" w:eastAsia="Times New Roman" w:hAnsiTheme="majorBidi" w:cstheme="majorBidi"/>
          <w:bCs/>
          <w:i/>
          <w:iCs/>
          <w:sz w:val="24"/>
          <w:szCs w:val="24"/>
        </w:rPr>
        <w:t>, Cymbopogon citratus</w:t>
      </w:r>
      <w:r>
        <w:rPr>
          <w:rFonts w:asciiTheme="majorBidi" w:eastAsia="Times New Roman" w:hAnsiTheme="majorBidi" w:cstheme="majorBidi"/>
          <w:i/>
          <w:iCs/>
          <w:color w:val="000000" w:themeColor="text1"/>
          <w:sz w:val="24"/>
          <w:szCs w:val="24"/>
        </w:rPr>
        <w:t>, Cymbopogon</w:t>
      </w:r>
      <w:r>
        <w:rPr>
          <w:rFonts w:asciiTheme="majorBidi" w:eastAsia="Times New Roman" w:hAnsiTheme="majorBidi" w:cstheme="majorBidi"/>
          <w:bCs/>
          <w:i/>
          <w:iCs/>
          <w:sz w:val="24"/>
          <w:szCs w:val="24"/>
        </w:rPr>
        <w:t xml:space="preserve"> winterianus</w:t>
      </w:r>
      <w:r>
        <w:rPr>
          <w:rFonts w:asciiTheme="majorBidi" w:eastAsia="Times New Roman" w:hAnsiTheme="majorBidi" w:cstheme="majorBidi"/>
          <w:i/>
          <w:iCs/>
          <w:sz w:val="24"/>
          <w:szCs w:val="24"/>
        </w:rPr>
        <w:t>, Mentha pulegium, Murraya koenigii,</w:t>
      </w:r>
      <w:r>
        <w:rPr>
          <w:rFonts w:asciiTheme="majorBidi" w:eastAsia="Times New Roman" w:hAnsiTheme="majorBidi" w:cstheme="majorBidi"/>
          <w:bCs/>
          <w:i/>
          <w:iCs/>
          <w:sz w:val="24"/>
          <w:szCs w:val="24"/>
        </w:rPr>
        <w:t xml:space="preserve"> </w:t>
      </w:r>
      <w:r>
        <w:rPr>
          <w:rFonts w:asciiTheme="majorBidi" w:eastAsia="Times New Roman" w:hAnsiTheme="majorBidi" w:cstheme="majorBidi"/>
          <w:i/>
          <w:iCs/>
          <w:sz w:val="24"/>
          <w:szCs w:val="24"/>
        </w:rPr>
        <w:t>Piper nigrum</w:t>
      </w:r>
      <w:r>
        <w:rPr>
          <w:rFonts w:asciiTheme="majorBidi" w:eastAsia="Times New Roman" w:hAnsiTheme="majorBidi" w:cstheme="majorBidi"/>
          <w:sz w:val="24"/>
          <w:szCs w:val="24"/>
        </w:rPr>
        <w:t xml:space="preserve">, and </w:t>
      </w:r>
      <w:r>
        <w:rPr>
          <w:rFonts w:asciiTheme="majorBidi" w:eastAsia="Times New Roman" w:hAnsiTheme="majorBidi" w:cstheme="majorBidi"/>
          <w:bCs/>
          <w:i/>
          <w:iCs/>
          <w:sz w:val="24"/>
          <w:szCs w:val="24"/>
        </w:rPr>
        <w:t xml:space="preserve">Syzygium aromaticum </w:t>
      </w:r>
      <w:r>
        <w:rPr>
          <w:rFonts w:asciiTheme="majorBidi" w:eastAsia="Times New Roman" w:hAnsiTheme="majorBidi" w:cstheme="majorBidi"/>
          <w:sz w:val="24"/>
          <w:szCs w:val="24"/>
        </w:rPr>
        <w:t xml:space="preserve">have been shown to effectively repel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Furthermore, neem oil and lemongrass EO not only disrupt pest behaviour, but also offer extended agricultural applications owing to their broad-spectrum bioactivity. These natural products operate through various mechanisms such as disrupting the olfactory responses of insects and affecting feeding and reproduction. This underscores the potential of integrating plant-based repellents into pest management programs to reduce the need for unsafe chemicals. Such an approach supports safer food storage practices, preserves the ecological balance, and promotes sustainable agricultural systems.</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lastRenderedPageBreak/>
        <w:t>Keywords</w:t>
      </w:r>
      <w:r>
        <w:rPr>
          <w:rFonts w:asciiTheme="majorBidi" w:eastAsia="Times New Roman" w:hAnsiTheme="majorBidi" w:cstheme="majorBidi"/>
          <w:sz w:val="24"/>
          <w:szCs w:val="24"/>
        </w:rPr>
        <w:t xml:space="preserve">: Synthetic pesticides, </w:t>
      </w:r>
      <w:r>
        <w:rPr>
          <w:rFonts w:asciiTheme="majorBidi" w:eastAsia="Times New Roman" w:hAnsiTheme="majorBidi" w:cstheme="majorBidi"/>
          <w:bCs/>
          <w:sz w:val="24"/>
          <w:szCs w:val="24"/>
        </w:rPr>
        <w:t xml:space="preserve">Eco-friendly pest repellents, </w:t>
      </w:r>
      <w:r>
        <w:rPr>
          <w:rFonts w:asciiTheme="majorBidi" w:eastAsia="Times New Roman" w:hAnsiTheme="majorBidi" w:cstheme="majorBidi"/>
          <w:sz w:val="24"/>
          <w:szCs w:val="24"/>
        </w:rPr>
        <w:t>Essential oils, Food storage practices, Pesticide resistance, Sustainable agriculture</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Introduction</w:t>
      </w:r>
    </w:p>
    <w:p w:rsidR="00DB7333" w:rsidRDefault="00DB7333">
      <w:pPr>
        <w:spacing w:line="480" w:lineRule="auto"/>
        <w:jc w:val="both"/>
        <w:rPr>
          <w:rFonts w:asciiTheme="majorBidi" w:eastAsia="Times New Roman" w:hAnsiTheme="majorBidi" w:cstheme="majorBidi"/>
          <w:b/>
          <w:bCs/>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Pest infestations represent a significant menace to food security, especially in developing nations like India, where traditional grain storage methods remain prevalent. </w:t>
      </w:r>
      <w:r>
        <w:rPr>
          <w:rFonts w:asciiTheme="majorBidi" w:eastAsia="Times New Roman" w:hAnsiTheme="majorBidi" w:cstheme="majorBidi"/>
          <w:i/>
          <w:iCs/>
          <w:sz w:val="24"/>
          <w:szCs w:val="24"/>
        </w:rPr>
        <w:t xml:space="preserve">Tribolium castaneum, </w:t>
      </w:r>
      <w:r>
        <w:rPr>
          <w:rFonts w:asciiTheme="majorBidi" w:eastAsia="Times New Roman" w:hAnsiTheme="majorBidi" w:cstheme="majorBidi"/>
          <w:sz w:val="24"/>
          <w:szCs w:val="24"/>
        </w:rPr>
        <w:t>commonly known as the red flour beetle, infests stored grains and contributes to economic losses</w:t>
      </w:r>
      <w:r>
        <w:rPr>
          <w:rFonts w:asciiTheme="majorBidi" w:eastAsia="Times New Roman" w:hAnsiTheme="majorBidi" w:cstheme="majorBidi"/>
          <w:i/>
          <w:iCs/>
          <w:sz w:val="24"/>
          <w:szCs w:val="24"/>
        </w:rPr>
        <w:t xml:space="preserve"> </w:t>
      </w:r>
      <w:r>
        <w:rPr>
          <w:rFonts w:asciiTheme="majorBidi" w:eastAsia="Times New Roman" w:hAnsiTheme="majorBidi" w:cstheme="majorBidi"/>
          <w:color w:val="000000" w:themeColor="text1"/>
          <w:sz w:val="24"/>
          <w:szCs w:val="24"/>
        </w:rPr>
        <w:t xml:space="preserve">(Patil et al., 2020). </w:t>
      </w:r>
      <w:r>
        <w:rPr>
          <w:rFonts w:asciiTheme="majorBidi" w:eastAsia="Times New Roman" w:hAnsiTheme="majorBidi" w:cstheme="majorBidi"/>
          <w:sz w:val="24"/>
          <w:szCs w:val="24"/>
        </w:rPr>
        <w:t xml:space="preserve">Owing to its rapid reproductive rate and adaptability to diverse storage conditions, </w:t>
      </w:r>
      <w:r>
        <w:rPr>
          <w:rFonts w:asciiTheme="majorBidi" w:eastAsia="Times New Roman" w:hAnsiTheme="majorBidi" w:cstheme="majorBidi"/>
          <w:i/>
          <w:iCs/>
          <w:sz w:val="24"/>
          <w:szCs w:val="24"/>
        </w:rPr>
        <w:t xml:space="preserve">T. </w:t>
      </w:r>
      <w:r>
        <w:rPr>
          <w:rFonts w:asciiTheme="majorBidi" w:eastAsia="Times New Roman" w:hAnsiTheme="majorBidi" w:cstheme="majorBidi"/>
          <w:i/>
          <w:iCs/>
          <w:color w:val="000000" w:themeColor="text1"/>
          <w:sz w:val="24"/>
          <w:szCs w:val="24"/>
        </w:rPr>
        <w:t xml:space="preserve">castaneum </w:t>
      </w:r>
      <w:r>
        <w:rPr>
          <w:rFonts w:asciiTheme="majorBidi" w:eastAsia="Times New Roman" w:hAnsiTheme="majorBidi" w:cstheme="majorBidi"/>
          <w:color w:val="000000" w:themeColor="text1"/>
          <w:sz w:val="24"/>
          <w:szCs w:val="24"/>
        </w:rPr>
        <w:t xml:space="preserve">continues to pose a persistent challenge to farmers and storage operators, establishing it as a highly destructive species (Khalil et al., 2024). The estimated damage ranges from 7% to 12% in temperate climates and increases to 25%–35% in tropical areas (Campbell et al., 2022). </w:t>
      </w:r>
      <w:r>
        <w:rPr>
          <w:rFonts w:asciiTheme="majorBidi" w:eastAsia="Times New Roman" w:hAnsiTheme="majorBidi" w:cstheme="majorBidi"/>
          <w:sz w:val="24"/>
          <w:szCs w:val="24"/>
        </w:rPr>
        <w:t xml:space="preserve">According to the Food and Agriculture Organization (FAO), postharvest grain losses in India can reach up to 10%, which is exacerbated by infestations from pests such as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w:t>
      </w:r>
      <w:r>
        <w:rPr>
          <w:rFonts w:asciiTheme="majorBidi" w:eastAsia="Times New Roman" w:hAnsiTheme="majorBidi" w:cstheme="majorBidi"/>
          <w:color w:val="000000" w:themeColor="text1"/>
          <w:sz w:val="24"/>
          <w:szCs w:val="24"/>
        </w:rPr>
        <w:t>(Bandara et al., 2021). These losses underscore the urgent need for efficient and sustainable pest control measures.</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color w:val="000000" w:themeColor="text1"/>
          <w:sz w:val="24"/>
          <w:szCs w:val="24"/>
        </w:rPr>
        <w:t xml:space="preserve">Traditionally, chemical pesticides like organophosphates and pyrethroids have been used to manage </w:t>
      </w:r>
      <w:r>
        <w:rPr>
          <w:rFonts w:asciiTheme="majorBidi" w:eastAsia="Times New Roman" w:hAnsiTheme="majorBidi" w:cstheme="majorBidi"/>
          <w:i/>
          <w:iCs/>
          <w:color w:val="000000" w:themeColor="text1"/>
          <w:sz w:val="24"/>
          <w:szCs w:val="24"/>
        </w:rPr>
        <w:t xml:space="preserve">T. castaneum </w:t>
      </w:r>
      <w:r>
        <w:rPr>
          <w:rFonts w:asciiTheme="majorBidi" w:eastAsia="Times New Roman" w:hAnsiTheme="majorBidi" w:cstheme="majorBidi"/>
          <w:color w:val="000000" w:themeColor="text1"/>
          <w:sz w:val="24"/>
          <w:szCs w:val="24"/>
        </w:rPr>
        <w:t>infestation (Anusree et al., 2019). Although effective, excessive reliance on these chemicals has resulted in several adverse outcomes, including ecological imbalances, pesticide resistance, and health risks to humans (Ahmad et al., 2024). Residues of these chemicals in food grains have been associated with carcinogenic effects, endocrine disruption, and acute toxicity (</w:t>
      </w:r>
      <w:r>
        <w:rPr>
          <w:rFonts w:asciiTheme="majorBidi" w:hAnsiTheme="majorBidi" w:cstheme="majorBidi"/>
          <w:color w:val="000000" w:themeColor="text1"/>
          <w:sz w:val="24"/>
          <w:szCs w:val="24"/>
        </w:rPr>
        <w:t>Peivasteh-Roudsari</w:t>
      </w:r>
      <w:r>
        <w:rPr>
          <w:rFonts w:asciiTheme="majorBidi" w:eastAsia="Times New Roman" w:hAnsiTheme="majorBidi" w:cstheme="majorBidi"/>
          <w:color w:val="000000" w:themeColor="text1"/>
          <w:sz w:val="24"/>
          <w:szCs w:val="24"/>
        </w:rPr>
        <w:t xml:space="preserve"> et al., 2023). The widespread use of phosphine has resulted in the development of insect </w:t>
      </w:r>
      <w:r>
        <w:rPr>
          <w:rFonts w:asciiTheme="majorBidi" w:eastAsia="Times New Roman" w:hAnsiTheme="majorBidi" w:cstheme="majorBidi"/>
          <w:color w:val="000000" w:themeColor="text1"/>
          <w:sz w:val="24"/>
          <w:szCs w:val="24"/>
        </w:rPr>
        <w:lastRenderedPageBreak/>
        <w:t>strains that are resistant to this compound, particularly in developing nations (</w:t>
      </w:r>
      <w:r>
        <w:rPr>
          <w:rFonts w:asciiTheme="majorBidi" w:hAnsiTheme="majorBidi" w:cstheme="majorBidi"/>
          <w:color w:val="000000" w:themeColor="text1"/>
          <w:sz w:val="24"/>
          <w:szCs w:val="24"/>
        </w:rPr>
        <w:t>Chidemo</w:t>
      </w:r>
      <w:r>
        <w:rPr>
          <w:rFonts w:asciiTheme="majorBidi" w:eastAsia="Times New Roman" w:hAnsiTheme="majorBidi" w:cstheme="majorBidi"/>
          <w:color w:val="000000" w:themeColor="text1"/>
          <w:sz w:val="24"/>
          <w:szCs w:val="24"/>
        </w:rPr>
        <w:t xml:space="preserve"> et al., 2023). </w:t>
      </w:r>
      <w:r>
        <w:rPr>
          <w:rFonts w:asciiTheme="majorBidi" w:eastAsia="Times New Roman" w:hAnsiTheme="majorBidi" w:cstheme="majorBidi"/>
          <w:sz w:val="24"/>
          <w:szCs w:val="24"/>
        </w:rPr>
        <w:t xml:space="preserve">Recent research has highlighted genetic mutations, especially in the dihydrolipoamide dehydrogenase (DLD) gene, as key factors driving this resistance, emphasizing the urgent need for alternative pest control strategies </w:t>
      </w:r>
      <w:r>
        <w:rPr>
          <w:rFonts w:asciiTheme="majorBidi" w:eastAsia="Times New Roman" w:hAnsiTheme="majorBidi" w:cstheme="majorBidi"/>
          <w:color w:val="000000" w:themeColor="text1"/>
          <w:sz w:val="24"/>
          <w:szCs w:val="24"/>
        </w:rPr>
        <w:t>(</w:t>
      </w:r>
      <w:r>
        <w:rPr>
          <w:rFonts w:asciiTheme="majorBidi" w:hAnsiTheme="majorBidi" w:cstheme="majorBidi"/>
          <w:color w:val="000000" w:themeColor="text1"/>
          <w:sz w:val="24"/>
          <w:szCs w:val="24"/>
        </w:rPr>
        <w:t>Riaz</w:t>
      </w:r>
      <w:r>
        <w:rPr>
          <w:rFonts w:asciiTheme="majorBidi" w:eastAsia="Times New Roman" w:hAnsiTheme="majorBidi" w:cstheme="majorBidi"/>
          <w:color w:val="000000" w:themeColor="text1"/>
          <w:sz w:val="24"/>
          <w:szCs w:val="24"/>
        </w:rPr>
        <w:t xml:space="preserve"> et al., 2025). In </w:t>
      </w:r>
      <w:r>
        <w:rPr>
          <w:rFonts w:asciiTheme="majorBidi" w:eastAsia="Times New Roman" w:hAnsiTheme="majorBidi" w:cstheme="majorBidi"/>
          <w:sz w:val="24"/>
          <w:szCs w:val="24"/>
        </w:rPr>
        <w:t>light of the increasingly stringent regulations governing pesticide application coupled with heightened consumer awareness regarding food safety, there is a discernible trend in the market towards the adoption of organic and environmentally friendly pest control methods.</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rPr>
        <w:t xml:space="preserve">Recently, research has been increasingly focused on plant-based repellents, biopesticides, and EOs as sustainable alternatives. Botanical products derived from plants, such as </w:t>
      </w:r>
      <w:r>
        <w:rPr>
          <w:rFonts w:asciiTheme="majorBidi" w:eastAsia="Times New Roman" w:hAnsiTheme="majorBidi" w:cstheme="majorBidi"/>
          <w:i/>
          <w:iCs/>
          <w:color w:val="000000" w:themeColor="text1"/>
          <w:sz w:val="24"/>
          <w:szCs w:val="24"/>
        </w:rPr>
        <w:t>Azadirachta indica</w:t>
      </w:r>
      <w:r>
        <w:rPr>
          <w:rFonts w:asciiTheme="majorBidi" w:eastAsia="Times New Roman" w:hAnsiTheme="majorBidi" w:cstheme="majorBidi"/>
          <w:color w:val="000000" w:themeColor="text1"/>
          <w:sz w:val="24"/>
          <w:szCs w:val="24"/>
        </w:rPr>
        <w:t xml:space="preserve"> (neem) and </w:t>
      </w:r>
      <w:r>
        <w:rPr>
          <w:rFonts w:asciiTheme="majorBidi" w:eastAsia="Times New Roman" w:hAnsiTheme="majorBidi" w:cstheme="majorBidi"/>
          <w:i/>
          <w:iCs/>
          <w:color w:val="000000" w:themeColor="text1"/>
          <w:sz w:val="24"/>
          <w:szCs w:val="24"/>
        </w:rPr>
        <w:t>Cymbopogon winterianus</w:t>
      </w:r>
      <w:r>
        <w:rPr>
          <w:rFonts w:asciiTheme="majorBidi" w:eastAsia="Times New Roman" w:hAnsiTheme="majorBidi" w:cstheme="majorBidi"/>
          <w:color w:val="000000" w:themeColor="text1"/>
          <w:sz w:val="24"/>
          <w:szCs w:val="24"/>
        </w:rPr>
        <w:t xml:space="preserve"> (citronella), exhibit strong insecticidal properties and are non-toxic to humans and other beneficial organisms (</w:t>
      </w:r>
      <w:r>
        <w:rPr>
          <w:rFonts w:asciiTheme="majorBidi" w:hAnsiTheme="majorBidi" w:cstheme="majorBidi"/>
          <w:color w:val="000000" w:themeColor="text1"/>
          <w:sz w:val="24"/>
          <w:szCs w:val="24"/>
        </w:rPr>
        <w:t>Iqbal</w:t>
      </w:r>
      <w:r>
        <w:rPr>
          <w:rFonts w:asciiTheme="majorBidi" w:eastAsia="Times New Roman" w:hAnsiTheme="majorBidi" w:cstheme="majorBidi"/>
          <w:color w:val="000000" w:themeColor="text1"/>
          <w:sz w:val="24"/>
          <w:szCs w:val="24"/>
        </w:rPr>
        <w:t xml:space="preserve"> et al., 2022; </w:t>
      </w:r>
      <w:r>
        <w:rPr>
          <w:rFonts w:asciiTheme="majorBidi" w:hAnsiTheme="majorBidi" w:cstheme="majorBidi"/>
          <w:color w:val="000000" w:themeColor="text1"/>
          <w:sz w:val="24"/>
          <w:szCs w:val="24"/>
        </w:rPr>
        <w:t>Riaz</w:t>
      </w:r>
      <w:r>
        <w:rPr>
          <w:rFonts w:asciiTheme="majorBidi" w:eastAsia="Times New Roman" w:hAnsiTheme="majorBidi" w:cstheme="majorBidi"/>
          <w:color w:val="000000" w:themeColor="text1"/>
          <w:sz w:val="24"/>
          <w:szCs w:val="24"/>
        </w:rPr>
        <w:t xml:space="preserve"> et al., 2025). </w:t>
      </w:r>
      <w:r>
        <w:rPr>
          <w:rFonts w:asciiTheme="majorBidi" w:eastAsia="Times New Roman" w:hAnsiTheme="majorBidi" w:cstheme="majorBidi"/>
          <w:sz w:val="24"/>
          <w:szCs w:val="24"/>
        </w:rPr>
        <w:t xml:space="preserve">These natural repellents function by altering insect behaviour or disrupting </w:t>
      </w:r>
      <w:r>
        <w:rPr>
          <w:rFonts w:asciiTheme="majorBidi" w:eastAsia="Times New Roman" w:hAnsiTheme="majorBidi" w:cstheme="majorBidi"/>
          <w:color w:val="000000" w:themeColor="text1"/>
          <w:sz w:val="24"/>
          <w:szCs w:val="24"/>
        </w:rPr>
        <w:t>life cycles without causing environmental harm. Studies have demonstrated that such approaches can support ecological balance and long-term agricultural sustainability (</w:t>
      </w:r>
      <w:r>
        <w:rPr>
          <w:rFonts w:asciiTheme="majorBidi" w:hAnsiTheme="majorBidi" w:cstheme="majorBidi"/>
          <w:color w:val="000000" w:themeColor="text1"/>
          <w:sz w:val="24"/>
          <w:szCs w:val="24"/>
        </w:rPr>
        <w:t>Barathi</w:t>
      </w:r>
      <w:r>
        <w:rPr>
          <w:rFonts w:asciiTheme="majorBidi" w:eastAsia="Times New Roman" w:hAnsiTheme="majorBidi" w:cstheme="majorBidi"/>
          <w:color w:val="000000" w:themeColor="text1"/>
          <w:sz w:val="24"/>
          <w:szCs w:val="24"/>
        </w:rPr>
        <w:t xml:space="preserve"> et al., 2024). However, their effectiveness against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xml:space="preserve"> depends on various factors, including formulation, concentration, and application method (Omar et al., 2021). With rising food demand and growing awareness of chemical risks, this review evaluates the role of eco-friendly repellents in managing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xml:space="preserve">, emphasizing their relevance to grain storage systems and potential as cost-effective and sustainable solutions (Khani et al., 2017; Savita et al., 2018). This review reports eco-friendly repellents against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xml:space="preserve"> and examines their mechanisms </w:t>
      </w:r>
      <w:r>
        <w:rPr>
          <w:rFonts w:asciiTheme="majorBidi" w:eastAsia="Times New Roman" w:hAnsiTheme="majorBidi" w:cstheme="majorBidi"/>
          <w:sz w:val="24"/>
          <w:szCs w:val="24"/>
        </w:rPr>
        <w:t xml:space="preserve">and effectiveness in pest control. It explores chemical pesticides and evaluates their advantages and limitations in grain storage while comparing the </w:t>
      </w:r>
      <w:r>
        <w:rPr>
          <w:rFonts w:asciiTheme="majorBidi" w:eastAsia="Times New Roman" w:hAnsiTheme="majorBidi" w:cstheme="majorBidi"/>
          <w:sz w:val="24"/>
          <w:szCs w:val="24"/>
        </w:rPr>
        <w:lastRenderedPageBreak/>
        <w:t>efficacy, residual effects, and safety of eco-friendly repellents and chemical pesticides for human health and the environment.</w:t>
      </w:r>
    </w:p>
    <w:p w:rsidR="00DB7333" w:rsidRDefault="00DB7333">
      <w:pPr>
        <w:shd w:val="clear" w:color="auto" w:fill="FFFFFF"/>
        <w:spacing w:line="480" w:lineRule="auto"/>
        <w:jc w:val="both"/>
        <w:rPr>
          <w:rFonts w:asciiTheme="majorBidi" w:eastAsia="Times New Roman" w:hAnsiTheme="majorBidi" w:cstheme="majorBidi"/>
          <w:sz w:val="24"/>
          <w:szCs w:val="24"/>
        </w:rPr>
      </w:pPr>
    </w:p>
    <w:p w:rsidR="00DB7333" w:rsidRDefault="00B47D9D">
      <w:pPr>
        <w:shd w:val="clear" w:color="auto" w:fill="FFFFFF"/>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Methodology</w:t>
      </w:r>
    </w:p>
    <w:p w:rsidR="00DB7333" w:rsidRDefault="00DB7333">
      <w:pPr>
        <w:shd w:val="clear" w:color="auto" w:fill="FFFFFF"/>
        <w:spacing w:line="480" w:lineRule="auto"/>
        <w:jc w:val="both"/>
        <w:rPr>
          <w:rFonts w:asciiTheme="majorBidi" w:eastAsia="Times New Roman" w:hAnsiTheme="majorBidi" w:cstheme="majorBidi"/>
          <w:sz w:val="24"/>
          <w:szCs w:val="24"/>
        </w:rPr>
      </w:pPr>
    </w:p>
    <w:p w:rsidR="00DB7333" w:rsidRDefault="00B47D9D">
      <w:pPr>
        <w:shd w:val="clear" w:color="auto" w:fill="FFFFFF"/>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 thorough literature analysis was conducted using scientific databases such as Google Scholar, PubMed, and Scopus. Keywords pertinent to the thematic focus of this study were used to identify relevant articles published between 2005 and 2022. This review exclusively considers peer-reviewed journal articles. The inclusion criteria required that the selected studies be written in English, directly address the central research question, and exhibit robust empirical or theoretical frameworks. Articles were evaluated based on their relevance, quality, and contribution to the field, with only the most pertinent studies included.</w:t>
      </w:r>
    </w:p>
    <w:p w:rsidR="00DB7333" w:rsidRDefault="00DB7333">
      <w:pPr>
        <w:shd w:val="clear" w:color="auto" w:fill="FFFFFF"/>
        <w:spacing w:line="480" w:lineRule="auto"/>
        <w:jc w:val="both"/>
        <w:rPr>
          <w:rFonts w:asciiTheme="majorBidi" w:eastAsia="Times New Roman" w:hAnsiTheme="majorBidi" w:cstheme="majorBidi"/>
          <w:b/>
          <w:bCs/>
          <w:sz w:val="24"/>
          <w:szCs w:val="24"/>
        </w:rPr>
      </w:pPr>
    </w:p>
    <w:p w:rsidR="00DB7333" w:rsidRDefault="00DB7333">
      <w:pPr>
        <w:shd w:val="clear" w:color="auto" w:fill="FFFFFF"/>
        <w:spacing w:line="480" w:lineRule="auto"/>
        <w:jc w:val="both"/>
        <w:rPr>
          <w:rFonts w:asciiTheme="majorBidi" w:eastAsia="Times New Roman" w:hAnsiTheme="majorBidi" w:cstheme="majorBidi"/>
          <w:b/>
          <w:bCs/>
          <w:sz w:val="24"/>
          <w:szCs w:val="24"/>
        </w:rPr>
      </w:pPr>
    </w:p>
    <w:p w:rsidR="00DB7333" w:rsidRDefault="00B47D9D">
      <w:pPr>
        <w:shd w:val="clear" w:color="auto" w:fill="FFFFFF"/>
        <w:spacing w:line="480" w:lineRule="auto"/>
        <w:jc w:val="both"/>
        <w:rPr>
          <w:rFonts w:asciiTheme="majorBidi" w:eastAsia="Times New Roman" w:hAnsiTheme="majorBidi" w:cstheme="majorBidi"/>
          <w:b/>
          <w:bCs/>
          <w:strike/>
          <w:sz w:val="24"/>
          <w:szCs w:val="24"/>
        </w:rPr>
      </w:pPr>
      <w:r>
        <w:rPr>
          <w:rFonts w:asciiTheme="majorBidi" w:eastAsia="Times New Roman" w:hAnsiTheme="majorBidi" w:cstheme="majorBidi"/>
          <w:b/>
          <w:bCs/>
          <w:sz w:val="24"/>
          <w:szCs w:val="24"/>
        </w:rPr>
        <w:t>Results and Discussion</w:t>
      </w:r>
    </w:p>
    <w:p w:rsidR="00DB7333" w:rsidRDefault="00DB7333">
      <w:pPr>
        <w:spacing w:line="480" w:lineRule="auto"/>
        <w:jc w:val="both"/>
        <w:rPr>
          <w:rFonts w:asciiTheme="majorBidi" w:eastAsia="Times New Roman" w:hAnsiTheme="majorBidi" w:cstheme="majorBidi"/>
          <w:b/>
          <w:sz w:val="24"/>
          <w:szCs w:val="24"/>
        </w:rPr>
      </w:pPr>
    </w:p>
    <w:p w:rsidR="00DB7333" w:rsidRDefault="00B47D9D">
      <w:pPr>
        <w:spacing w:line="480" w:lineRule="auto"/>
        <w:jc w:val="both"/>
        <w:rPr>
          <w:rFonts w:asciiTheme="majorBidi" w:eastAsia="Times New Roman" w:hAnsiTheme="majorBidi" w:cstheme="majorBidi"/>
          <w:b/>
          <w:bCs/>
          <w:i/>
          <w:iCs/>
          <w:sz w:val="24"/>
          <w:szCs w:val="24"/>
        </w:rPr>
      </w:pPr>
      <w:r>
        <w:rPr>
          <w:rFonts w:asciiTheme="majorBidi" w:eastAsia="Times New Roman" w:hAnsiTheme="majorBidi" w:cstheme="majorBidi"/>
          <w:b/>
          <w:bCs/>
          <w:sz w:val="24"/>
          <w:szCs w:val="24"/>
        </w:rPr>
        <w:t xml:space="preserve">Use of Eco-Friendly Repellents against </w:t>
      </w:r>
      <w:r>
        <w:rPr>
          <w:rFonts w:asciiTheme="majorBidi" w:eastAsia="Times New Roman" w:hAnsiTheme="majorBidi" w:cstheme="majorBidi"/>
          <w:b/>
          <w:bCs/>
          <w:i/>
          <w:iCs/>
          <w:sz w:val="24"/>
          <w:szCs w:val="24"/>
        </w:rPr>
        <w:t>Tribolium castaneum</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Plant-derived eco-friendly materials have proven effective in the management of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EOs exhibit insecticidal properties via various mechanisms. The main mechanism involves the inhibition of acetylcholinesterase, causing acetylcholine to accumulate at synapses, which leads to nervous system overstimulation, paralysis, and ultimately, insect mortality</w:t>
      </w:r>
      <w:r>
        <w:rPr>
          <w:rFonts w:asciiTheme="majorBidi" w:eastAsia="Times New Roman" w:hAnsiTheme="majorBidi" w:cstheme="majorBidi"/>
          <w:bCs/>
          <w:color w:val="000000" w:themeColor="text1"/>
          <w:sz w:val="24"/>
          <w:szCs w:val="24"/>
        </w:rPr>
        <w:t xml:space="preserve"> (</w:t>
      </w:r>
      <w:r>
        <w:rPr>
          <w:rFonts w:asciiTheme="majorBidi" w:hAnsiTheme="majorBidi" w:cstheme="majorBidi"/>
          <w:color w:val="000000" w:themeColor="text1"/>
          <w:sz w:val="24"/>
          <w:szCs w:val="24"/>
        </w:rPr>
        <w:t>Rants’o</w:t>
      </w:r>
      <w:r>
        <w:rPr>
          <w:rFonts w:asciiTheme="majorBidi" w:eastAsia="Times New Roman" w:hAnsiTheme="majorBidi" w:cstheme="majorBidi"/>
          <w:bCs/>
          <w:color w:val="000000" w:themeColor="text1"/>
          <w:sz w:val="24"/>
          <w:szCs w:val="24"/>
        </w:rPr>
        <w:t xml:space="preserve"> et al., 2022). EOs also compromise the integrity of insect cuticles and cell membranes by disrupting lipid bilayers, thereby increasing </w:t>
      </w:r>
      <w:r>
        <w:rPr>
          <w:rFonts w:asciiTheme="majorBidi" w:eastAsia="Times New Roman" w:hAnsiTheme="majorBidi" w:cstheme="majorBidi"/>
          <w:bCs/>
          <w:color w:val="000000" w:themeColor="text1"/>
          <w:sz w:val="24"/>
          <w:szCs w:val="24"/>
        </w:rPr>
        <w:lastRenderedPageBreak/>
        <w:t>permeability, causing dehydration, and inducing cell lysis (</w:t>
      </w:r>
      <w:r>
        <w:rPr>
          <w:rFonts w:asciiTheme="majorBidi" w:hAnsiTheme="majorBidi" w:cstheme="majorBidi"/>
          <w:color w:val="000000" w:themeColor="text1"/>
          <w:sz w:val="24"/>
          <w:szCs w:val="24"/>
        </w:rPr>
        <w:t>Yap et al.</w:t>
      </w:r>
      <w:r>
        <w:rPr>
          <w:rFonts w:asciiTheme="majorBidi" w:eastAsia="Times New Roman" w:hAnsiTheme="majorBidi" w:cstheme="majorBidi"/>
          <w:bCs/>
          <w:color w:val="000000" w:themeColor="text1"/>
          <w:sz w:val="24"/>
          <w:szCs w:val="24"/>
        </w:rPr>
        <w:t>, 2021). Furthermore</w:t>
      </w:r>
      <w:r>
        <w:rPr>
          <w:rFonts w:asciiTheme="majorBidi" w:eastAsia="Times New Roman" w:hAnsiTheme="majorBidi" w:cstheme="majorBidi"/>
          <w:bCs/>
          <w:sz w:val="24"/>
          <w:szCs w:val="24"/>
        </w:rPr>
        <w:t xml:space="preserve">, they interfere with </w:t>
      </w:r>
      <w:r>
        <w:rPr>
          <w:rFonts w:asciiTheme="majorBidi" w:eastAsia="Times New Roman" w:hAnsiTheme="majorBidi" w:cstheme="majorBidi"/>
          <w:bCs/>
          <w:color w:val="000000" w:themeColor="text1"/>
          <w:sz w:val="24"/>
          <w:szCs w:val="24"/>
        </w:rPr>
        <w:t>hormonal pathways critical for insect development, such as egg production, molting, chitin biosynthesis, and juvenile hormone function, thereby acting as growth regulators (</w:t>
      </w:r>
      <w:r>
        <w:rPr>
          <w:rFonts w:asciiTheme="majorBidi" w:hAnsiTheme="majorBidi" w:cstheme="majorBidi"/>
          <w:color w:val="000000" w:themeColor="text1"/>
          <w:sz w:val="24"/>
          <w:szCs w:val="24"/>
        </w:rPr>
        <w:t>Corrêa</w:t>
      </w:r>
      <w:r>
        <w:rPr>
          <w:rFonts w:asciiTheme="majorBidi" w:eastAsia="Times New Roman" w:hAnsiTheme="majorBidi" w:cstheme="majorBidi"/>
          <w:bCs/>
          <w:color w:val="000000" w:themeColor="text1"/>
          <w:sz w:val="24"/>
          <w:szCs w:val="24"/>
        </w:rPr>
        <w:t xml:space="preserve"> et al., 2023). Oxidative stress induced by EOs leads to cellular damage via lipid peroxidation, protein denaturation, and DNA fragmentation (</w:t>
      </w:r>
      <w:r>
        <w:rPr>
          <w:rFonts w:asciiTheme="majorBidi" w:hAnsiTheme="majorBidi" w:cstheme="majorBidi"/>
          <w:color w:val="000000" w:themeColor="text1"/>
          <w:sz w:val="24"/>
          <w:szCs w:val="24"/>
        </w:rPr>
        <w:t>Manna</w:t>
      </w:r>
      <w:r>
        <w:rPr>
          <w:rFonts w:asciiTheme="majorBidi" w:eastAsia="Times New Roman" w:hAnsiTheme="majorBidi" w:cstheme="majorBidi"/>
          <w:bCs/>
          <w:color w:val="000000" w:themeColor="text1"/>
          <w:sz w:val="24"/>
          <w:szCs w:val="24"/>
        </w:rPr>
        <w:t xml:space="preserve"> et al., 2020). Moreover</w:t>
      </w:r>
      <w:r>
        <w:rPr>
          <w:rFonts w:asciiTheme="majorBidi" w:eastAsia="Times New Roman" w:hAnsiTheme="majorBidi" w:cstheme="majorBidi"/>
          <w:bCs/>
          <w:sz w:val="24"/>
          <w:szCs w:val="24"/>
        </w:rPr>
        <w:t xml:space="preserve">, EOs disrupt insect behaviour by affecting </w:t>
      </w:r>
      <w:r>
        <w:rPr>
          <w:rFonts w:asciiTheme="majorBidi" w:eastAsia="Times New Roman" w:hAnsiTheme="majorBidi" w:cstheme="majorBidi"/>
          <w:bCs/>
          <w:color w:val="000000" w:themeColor="text1"/>
          <w:sz w:val="24"/>
          <w:szCs w:val="24"/>
        </w:rPr>
        <w:t>olfactory and gustatory receptors, which reduce alimentation, breeding, and oviposition activities (</w:t>
      </w:r>
      <w:r>
        <w:rPr>
          <w:rFonts w:asciiTheme="majorBidi" w:hAnsiTheme="majorBidi" w:cstheme="majorBidi"/>
          <w:color w:val="000000" w:themeColor="text1"/>
          <w:sz w:val="24"/>
          <w:szCs w:val="24"/>
        </w:rPr>
        <w:t>Qasim</w:t>
      </w:r>
      <w:r>
        <w:rPr>
          <w:rFonts w:asciiTheme="majorBidi" w:eastAsia="Times New Roman" w:hAnsiTheme="majorBidi" w:cstheme="majorBidi"/>
          <w:bCs/>
          <w:color w:val="000000" w:themeColor="text1"/>
          <w:sz w:val="24"/>
          <w:szCs w:val="24"/>
        </w:rPr>
        <w:t xml:space="preserve"> et al., 2024). Although </w:t>
      </w:r>
      <w:r>
        <w:rPr>
          <w:rFonts w:asciiTheme="majorBidi" w:eastAsia="Times New Roman" w:hAnsiTheme="majorBidi" w:cstheme="majorBidi"/>
          <w:sz w:val="24"/>
          <w:szCs w:val="24"/>
        </w:rPr>
        <w:t>EOs</w:t>
      </w:r>
      <w:r>
        <w:rPr>
          <w:rFonts w:asciiTheme="majorBidi" w:eastAsia="Times New Roman" w:hAnsiTheme="majorBidi" w:cstheme="majorBidi"/>
          <w:bCs/>
          <w:color w:val="000000" w:themeColor="text1"/>
          <w:sz w:val="24"/>
          <w:szCs w:val="24"/>
        </w:rPr>
        <w:t xml:space="preserve"> are promising eco-friendly pesticidal agents, their broad use is restricted by their low water solubility and high volatility </w:t>
      </w:r>
      <w:r>
        <w:rPr>
          <w:rFonts w:asciiTheme="majorBidi" w:eastAsia="Times New Roman" w:hAnsiTheme="majorBidi" w:cstheme="majorBidi"/>
          <w:bCs/>
          <w:sz w:val="24"/>
          <w:szCs w:val="24"/>
        </w:rPr>
        <w:t>(Bezabih et al., 2022).</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from the leaves and inflorescences of </w:t>
      </w:r>
      <w:r>
        <w:rPr>
          <w:rFonts w:asciiTheme="majorBidi" w:eastAsia="Times New Roman" w:hAnsiTheme="majorBidi" w:cstheme="majorBidi"/>
          <w:bCs/>
          <w:i/>
          <w:iCs/>
          <w:sz w:val="24"/>
          <w:szCs w:val="24"/>
        </w:rPr>
        <w:t>Piper</w:t>
      </w:r>
      <w:r>
        <w:rPr>
          <w:rFonts w:asciiTheme="majorBidi" w:eastAsia="Times New Roman" w:hAnsiTheme="majorBidi" w:cstheme="majorBidi"/>
          <w:bCs/>
          <w:sz w:val="24"/>
          <w:szCs w:val="24"/>
        </w:rPr>
        <w:t xml:space="preserve"> cf. </w:t>
      </w:r>
      <w:r>
        <w:rPr>
          <w:rFonts w:asciiTheme="majorBidi" w:eastAsia="Times New Roman" w:hAnsiTheme="majorBidi" w:cstheme="majorBidi"/>
          <w:bCs/>
          <w:i/>
          <w:iCs/>
          <w:sz w:val="24"/>
          <w:szCs w:val="24"/>
        </w:rPr>
        <w:t>asperiusculum</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P. pertomentellum</w:t>
      </w:r>
      <w:r>
        <w:rPr>
          <w:rFonts w:asciiTheme="majorBidi" w:eastAsia="Times New Roman" w:hAnsiTheme="majorBidi" w:cstheme="majorBidi"/>
          <w:bCs/>
          <w:sz w:val="24"/>
          <w:szCs w:val="24"/>
        </w:rPr>
        <w:t xml:space="preserve"> were tested for insecticidal activity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The inflorescence oil of </w:t>
      </w:r>
      <w:r>
        <w:rPr>
          <w:rFonts w:asciiTheme="majorBidi" w:eastAsia="Times New Roman" w:hAnsiTheme="majorBidi" w:cstheme="majorBidi"/>
          <w:bCs/>
          <w:i/>
          <w:iCs/>
          <w:sz w:val="24"/>
          <w:szCs w:val="24"/>
        </w:rPr>
        <w:t xml:space="preserve">P. pertomentellum </w:t>
      </w:r>
      <w:r>
        <w:rPr>
          <w:rFonts w:asciiTheme="majorBidi" w:eastAsia="Times New Roman" w:hAnsiTheme="majorBidi" w:cstheme="majorBidi"/>
          <w:bCs/>
          <w:sz w:val="24"/>
          <w:szCs w:val="24"/>
        </w:rPr>
        <w:t xml:space="preserve">exhibited the highest fumigant toxicity (LC₅₀: 63.2 μL/L air), with all tested samples showed more than 90% repellency at 0.063 μL/cm² (Prieto Rodríguez et al., 2025). An experiment assessing the insecticidal effects of </w:t>
      </w:r>
      <w:r>
        <w:rPr>
          <w:rFonts w:asciiTheme="majorBidi" w:eastAsia="Times New Roman" w:hAnsiTheme="majorBidi" w:cstheme="majorBidi"/>
          <w:bCs/>
          <w:i/>
          <w:iCs/>
          <w:sz w:val="24"/>
          <w:szCs w:val="24"/>
        </w:rPr>
        <w:t>Elsholtzia densa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and its major constituents,</w:t>
      </w:r>
      <w:r>
        <w:rPr>
          <w:rFonts w:asciiTheme="majorBidi" w:eastAsia="Times New Roman" w:hAnsiTheme="majorBidi" w:cstheme="majorBidi"/>
          <w:bCs/>
          <w:i/>
          <w:iCs/>
          <w:sz w:val="24"/>
          <w:szCs w:val="24"/>
        </w:rPr>
        <w:t xml:space="preserve"> β</w:t>
      </w:r>
      <w:r>
        <w:rPr>
          <w:rFonts w:asciiTheme="majorBidi" w:eastAsia="Times New Roman" w:hAnsiTheme="majorBidi" w:cstheme="majorBidi"/>
          <w:bCs/>
          <w:sz w:val="24"/>
          <w:szCs w:val="24"/>
        </w:rPr>
        <w:t xml:space="preserve">-caryophyllene and limonene, on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eggs and pupae demonstrated strong contact and fumigant activities with synergistic effects at a 7:1 ratio. Enzyme assays and molecular docking have confirmed their impact on key metabolic enzymes (Zhang et al., 2024). </w:t>
      </w:r>
      <w:r>
        <w:rPr>
          <w:rFonts w:asciiTheme="majorBidi" w:eastAsia="Times New Roman" w:hAnsiTheme="majorBidi" w:cstheme="majorBidi"/>
          <w:bCs/>
          <w:i/>
          <w:iCs/>
          <w:sz w:val="24"/>
          <w:szCs w:val="24"/>
        </w:rPr>
        <w:t>Thymus persicus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 xml:space="preserve">, rich in carvacrol (44.69%) and thymol (11.05%), showed significant fumigant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LC₅₀ values after 24 h was 236.9 μL/L (Saroukolai et al., 2010). </w:t>
      </w:r>
      <w:r>
        <w:rPr>
          <w:rFonts w:asciiTheme="majorBidi" w:eastAsia="Times New Roman" w:hAnsiTheme="majorBidi" w:cstheme="majorBidi"/>
          <w:bCs/>
          <w:i/>
          <w:iCs/>
          <w:sz w:val="24"/>
          <w:szCs w:val="24"/>
        </w:rPr>
        <w:t>Artemisia vulgaris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showed strong repellent and fumigant potential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causing 100% adult mortality at 8.0 μL/mL and significant repellency at </w:t>
      </w:r>
      <w:r>
        <w:rPr>
          <w:rFonts w:asciiTheme="majorBidi" w:eastAsia="Times New Roman" w:hAnsiTheme="majorBidi" w:cstheme="majorBidi"/>
          <w:bCs/>
          <w:sz w:val="24"/>
          <w:szCs w:val="24"/>
        </w:rPr>
        <w:lastRenderedPageBreak/>
        <w:t xml:space="preserve">concentrations ≥0.6 μL/mL. The oil also inhibited larval, pupal, and adult emergence at 60 μL/L air (Wang et al., 2006). </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sz w:val="24"/>
          <w:szCs w:val="24"/>
        </w:rPr>
        <w:t>The EOs</w:t>
      </w:r>
      <w:r>
        <w:rPr>
          <w:rFonts w:asciiTheme="majorBidi" w:eastAsia="Times New Roman" w:hAnsiTheme="majorBidi" w:cstheme="majorBidi"/>
          <w:bCs/>
          <w:sz w:val="24"/>
          <w:szCs w:val="24"/>
        </w:rPr>
        <w:t xml:space="preserve"> from </w:t>
      </w:r>
      <w:r>
        <w:rPr>
          <w:rFonts w:asciiTheme="majorBidi" w:eastAsia="Times New Roman" w:hAnsiTheme="majorBidi" w:cstheme="majorBidi"/>
          <w:bCs/>
          <w:i/>
          <w:iCs/>
          <w:sz w:val="24"/>
          <w:szCs w:val="24"/>
        </w:rPr>
        <w:t>Cananga odorata</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Lippia alba</w:t>
      </w:r>
      <w:r>
        <w:rPr>
          <w:rFonts w:asciiTheme="majorBidi" w:eastAsia="Times New Roman" w:hAnsiTheme="majorBidi" w:cstheme="majorBidi"/>
          <w:bCs/>
          <w:sz w:val="24"/>
          <w:szCs w:val="24"/>
        </w:rPr>
        <w:t xml:space="preserve"> demonstrated strong dose-dependent repellent activity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Key constituents, such as benzyl benzoate, </w:t>
      </w:r>
      <w:r>
        <w:rPr>
          <w:rFonts w:asciiTheme="majorBidi" w:eastAsia="Times New Roman" w:hAnsiTheme="majorBidi" w:cstheme="majorBidi"/>
          <w:bCs/>
          <w:i/>
          <w:iCs/>
          <w:sz w:val="24"/>
          <w:szCs w:val="24"/>
        </w:rPr>
        <w:t>β</w:t>
      </w:r>
      <w:r>
        <w:rPr>
          <w:rFonts w:asciiTheme="majorBidi" w:eastAsia="Times New Roman" w:hAnsiTheme="majorBidi" w:cstheme="majorBidi"/>
          <w:bCs/>
          <w:sz w:val="24"/>
          <w:szCs w:val="24"/>
        </w:rPr>
        <w:t>-myrcene, and carvone, exhibited repellent effects comparable to or exceeding those of ethyl butylacetylaminopropionate (IR3535) (</w:t>
      </w:r>
      <w:bookmarkStart w:id="1" w:name="_Hlk196064632"/>
      <w:r>
        <w:rPr>
          <w:rFonts w:asciiTheme="majorBidi" w:eastAsia="Times New Roman" w:hAnsiTheme="majorBidi" w:cstheme="majorBidi"/>
          <w:bCs/>
          <w:sz w:val="24"/>
          <w:szCs w:val="24"/>
        </w:rPr>
        <w:t>Caballero</w:t>
      </w:r>
      <w:bookmarkEnd w:id="1"/>
      <w:r>
        <w:rPr>
          <w:rFonts w:asciiTheme="majorBidi" w:eastAsia="Times New Roman" w:hAnsiTheme="majorBidi" w:cstheme="majorBidi"/>
          <w:bCs/>
          <w:sz w:val="24"/>
          <w:szCs w:val="24"/>
        </w:rPr>
        <w:t xml:space="preserve">-Gallardo et al., 2011). GC-MS analysis of </w:t>
      </w:r>
      <w:r>
        <w:rPr>
          <w:rFonts w:asciiTheme="majorBidi" w:eastAsia="Times New Roman" w:hAnsiTheme="majorBidi" w:cstheme="majorBidi"/>
          <w:bCs/>
          <w:i/>
          <w:iCs/>
          <w:sz w:val="24"/>
          <w:szCs w:val="24"/>
        </w:rPr>
        <w:t>Origanum vulgare</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revealed carvacrol (67.2%) as the major component with potent fumigant and repellent activities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adults, especially under closed conditions (LD₅₀: 0.055 mg/cm³). Key constituents, such as caryophyllene oxide and thymol, contribute to their toxicity and repellency (Kim et al., 2010).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from </w:t>
      </w:r>
      <w:r>
        <w:rPr>
          <w:rFonts w:asciiTheme="majorBidi" w:eastAsia="Times New Roman" w:hAnsiTheme="majorBidi" w:cstheme="majorBidi"/>
          <w:bCs/>
          <w:i/>
          <w:iCs/>
          <w:sz w:val="24"/>
          <w:szCs w:val="24"/>
        </w:rPr>
        <w:t>Nicotiana tabacum</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Azadirachta indica</w:t>
      </w:r>
      <w:r>
        <w:rPr>
          <w:rFonts w:asciiTheme="majorBidi" w:eastAsia="Times New Roman" w:hAnsiTheme="majorBidi" w:cstheme="majorBidi"/>
          <w:bCs/>
          <w:sz w:val="24"/>
          <w:szCs w:val="24"/>
        </w:rPr>
        <w:t xml:space="preserve">, either alone or in combination with phosphine gas, exhibit strong synergistic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up to 80% mortality and significant suppression of progeny development (Khaliq et al., 2020).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from </w:t>
      </w:r>
      <w:r>
        <w:rPr>
          <w:rFonts w:asciiTheme="majorBidi" w:eastAsia="Times New Roman" w:hAnsiTheme="majorBidi" w:cstheme="majorBidi"/>
          <w:bCs/>
          <w:i/>
          <w:iCs/>
          <w:sz w:val="24"/>
          <w:szCs w:val="24"/>
        </w:rPr>
        <w:t>Tagetes terniflora</w:t>
      </w:r>
      <w:r>
        <w:rPr>
          <w:rFonts w:asciiTheme="majorBidi" w:eastAsia="Times New Roman" w:hAnsiTheme="majorBidi" w:cstheme="majorBidi"/>
          <w:bCs/>
          <w:sz w:val="24"/>
          <w:szCs w:val="24"/>
        </w:rPr>
        <w:t xml:space="preserve">, </w:t>
      </w:r>
      <w:r>
        <w:rPr>
          <w:rFonts w:asciiTheme="majorBidi" w:eastAsia="Times New Roman" w:hAnsiTheme="majorBidi" w:cstheme="majorBidi"/>
          <w:bCs/>
          <w:i/>
          <w:iCs/>
          <w:sz w:val="24"/>
          <w:szCs w:val="24"/>
        </w:rPr>
        <w:t>Cymbopogon citratus</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Eugenia muticus</w:t>
      </w:r>
      <w:r>
        <w:rPr>
          <w:rFonts w:asciiTheme="majorBidi" w:eastAsia="Times New Roman" w:hAnsiTheme="majorBidi" w:cstheme="majorBidi"/>
          <w:bCs/>
          <w:sz w:val="24"/>
          <w:szCs w:val="24"/>
        </w:rPr>
        <w:t xml:space="preserve"> displayed fumigant, contact, and repellent properties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w:t>
      </w:r>
      <w:r>
        <w:rPr>
          <w:rFonts w:asciiTheme="majorBidi" w:eastAsia="Times New Roman" w:hAnsiTheme="majorBidi" w:cstheme="majorBidi"/>
          <w:bCs/>
          <w:i/>
          <w:iCs/>
          <w:sz w:val="24"/>
          <w:szCs w:val="24"/>
        </w:rPr>
        <w:t xml:space="preserve"> C. citratus </w:t>
      </w:r>
      <w:r>
        <w:rPr>
          <w:rFonts w:asciiTheme="majorBidi" w:eastAsia="Times New Roman" w:hAnsiTheme="majorBidi" w:cstheme="majorBidi"/>
          <w:bCs/>
          <w:sz w:val="24"/>
          <w:szCs w:val="24"/>
        </w:rPr>
        <w:t xml:space="preserve">notably reducing growth and food conversion in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larvae. While </w:t>
      </w:r>
      <w:r>
        <w:rPr>
          <w:rFonts w:asciiTheme="majorBidi" w:eastAsia="Times New Roman" w:hAnsiTheme="majorBidi" w:cstheme="majorBidi"/>
          <w:bCs/>
          <w:i/>
          <w:iCs/>
          <w:sz w:val="24"/>
          <w:szCs w:val="24"/>
        </w:rPr>
        <w:t>T. terniflora</w:t>
      </w:r>
      <w:r>
        <w:rPr>
          <w:rFonts w:asciiTheme="majorBidi" w:eastAsia="Times New Roman" w:hAnsiTheme="majorBidi" w:cstheme="majorBidi"/>
          <w:bCs/>
          <w:sz w:val="24"/>
          <w:szCs w:val="24"/>
        </w:rPr>
        <w:t xml:space="preserve"> stimulated feeding in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adults (Stefanazzi et al., 2011).</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i/>
          <w:iCs/>
          <w:sz w:val="24"/>
          <w:szCs w:val="24"/>
        </w:rPr>
        <w:t>Laurus nobilis</w:t>
      </w:r>
      <w:r>
        <w:rPr>
          <w:rFonts w:asciiTheme="majorBidi" w:eastAsia="Times New Roman" w:hAnsiTheme="majorBidi" w:cstheme="majorBidi"/>
          <w:bCs/>
          <w:sz w:val="24"/>
          <w:szCs w:val="24"/>
        </w:rPr>
        <w:t xml:space="preserve"> EO showed strong fumigant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its efficacy dependent on exposure duration and the degree of semolina space occupancy, resulting in a reduced lethal time to 50% mortality (LT₅₀) at higher space occupation. Although the oil slightly altered the semolina composition, it did not affect the rheological properties of dough, supporting its potential as an eco-friendly fumigant for stored semolina without compromising quality (Haouel-Hamdi et al., 2020). </w:t>
      </w:r>
      <w:r>
        <w:rPr>
          <w:rFonts w:asciiTheme="majorBidi" w:eastAsia="Times New Roman" w:hAnsiTheme="majorBidi" w:cstheme="majorBidi"/>
          <w:bCs/>
          <w:i/>
          <w:iCs/>
          <w:sz w:val="24"/>
          <w:szCs w:val="24"/>
        </w:rPr>
        <w:t xml:space="preserve">Artemisia </w:t>
      </w:r>
      <w:r>
        <w:rPr>
          <w:rFonts w:asciiTheme="majorBidi" w:eastAsia="Times New Roman" w:hAnsiTheme="majorBidi" w:cstheme="majorBidi"/>
          <w:bCs/>
          <w:i/>
          <w:iCs/>
          <w:sz w:val="24"/>
          <w:szCs w:val="24"/>
        </w:rPr>
        <w:lastRenderedPageBreak/>
        <w:t>brachyloba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 xml:space="preserve">, rich in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 xml:space="preserve">-terpineol and davanone, demonstrated potent fumigant, contact, and repellent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 xml:space="preserve">-terpineol being the primary contributor to its bioactivity. The oil also significantly decreased enzyme function in the beetle (Hu et al., 2019).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from </w:t>
      </w:r>
      <w:r>
        <w:rPr>
          <w:rFonts w:asciiTheme="majorBidi" w:eastAsia="Times New Roman" w:hAnsiTheme="majorBidi" w:cstheme="majorBidi"/>
          <w:bCs/>
          <w:i/>
          <w:iCs/>
          <w:sz w:val="24"/>
          <w:szCs w:val="24"/>
        </w:rPr>
        <w:t>C. citratus</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Eucalyptus citriodora</w:t>
      </w:r>
      <w:r>
        <w:rPr>
          <w:rFonts w:asciiTheme="majorBidi" w:eastAsia="Times New Roman" w:hAnsiTheme="majorBidi" w:cstheme="majorBidi"/>
          <w:bCs/>
          <w:sz w:val="24"/>
          <w:szCs w:val="24"/>
        </w:rPr>
        <w:t xml:space="preserve">, which are dominated by geranial/neral and citronellal/isopulegol, respectively, exhibit strong repellent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t>
      </w:r>
      <w:r>
        <w:rPr>
          <w:rFonts w:asciiTheme="majorBidi" w:eastAsia="Times New Roman" w:hAnsiTheme="majorBidi" w:cstheme="majorBidi"/>
          <w:bCs/>
          <w:i/>
          <w:iCs/>
          <w:sz w:val="24"/>
          <w:szCs w:val="24"/>
        </w:rPr>
        <w:t>C. citratus</w:t>
      </w:r>
      <w:r>
        <w:rPr>
          <w:rFonts w:asciiTheme="majorBidi" w:eastAsia="Times New Roman" w:hAnsiTheme="majorBidi" w:cstheme="majorBidi"/>
          <w:bCs/>
          <w:sz w:val="24"/>
          <w:szCs w:val="24"/>
        </w:rPr>
        <w:t xml:space="preserve"> oil demonstrated notable efficacy, with a repellent dose (0.021 mL/L) being significantly lower than that of the commercial repellent IR3535 (Olivero-Verbel et al., 2010). </w:t>
      </w:r>
      <w:r>
        <w:rPr>
          <w:rFonts w:asciiTheme="majorBidi" w:eastAsia="Times New Roman" w:hAnsiTheme="majorBidi" w:cstheme="majorBidi"/>
          <w:bCs/>
          <w:i/>
          <w:iCs/>
          <w:sz w:val="24"/>
          <w:szCs w:val="24"/>
        </w:rPr>
        <w:t>Baccharis salicifolia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demonstrated noteworthy toxicity and repellency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adults, with </w:t>
      </w:r>
      <w:r>
        <w:rPr>
          <w:rFonts w:asciiTheme="majorBidi" w:eastAsia="Times New Roman" w:hAnsiTheme="majorBidi" w:cstheme="majorBidi"/>
          <w:bCs/>
          <w:i/>
          <w:iCs/>
          <w:sz w:val="24"/>
          <w:szCs w:val="24"/>
        </w:rPr>
        <w:t>β</w:t>
      </w:r>
      <w:r>
        <w:rPr>
          <w:rFonts w:asciiTheme="majorBidi" w:eastAsia="Times New Roman" w:hAnsiTheme="majorBidi" w:cstheme="majorBidi"/>
          <w:bCs/>
          <w:sz w:val="24"/>
          <w:szCs w:val="24"/>
        </w:rPr>
        <w:t xml:space="preserve">-pinene and pulegone being the most toxic compounds, and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-terpineol showing the highest repellent activity. Structure-activity relationship studies revealed that reduced monoterpene and sesquiterpene derivatives were more repellent than their carbonyl counterparts, and unsaturation of the germacrene skeleton enhanced the repellent effects (García et al., 2005).</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Studies conducted in Northeastern Nigeria have utilized three local plant extracts, </w:t>
      </w:r>
      <w:r>
        <w:rPr>
          <w:rFonts w:asciiTheme="majorBidi" w:eastAsia="Times New Roman" w:hAnsiTheme="majorBidi" w:cstheme="majorBidi"/>
          <w:i/>
          <w:iCs/>
          <w:sz w:val="24"/>
          <w:szCs w:val="24"/>
        </w:rPr>
        <w:t>Azadirachta indica</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Capsicum frutescens</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Allium sativum</w:t>
      </w:r>
      <w:r>
        <w:rPr>
          <w:rFonts w:asciiTheme="majorBidi" w:eastAsia="Times New Roman" w:hAnsiTheme="majorBidi" w:cstheme="majorBidi"/>
          <w:sz w:val="24"/>
          <w:szCs w:val="24"/>
        </w:rPr>
        <w:t xml:space="preserve">, which successfully repelled red flour beetles (Medugu, 2021). These extracts disrupted the sensory receptors of the beetles, causing them to avoid the treated grains. Neem extract also demonstrated insecticidal activity, suppressing adult populations and feeding behaviour (Mostafa et al., 2012). Other botanical extracts, such as </w:t>
      </w:r>
      <w:r>
        <w:rPr>
          <w:rFonts w:asciiTheme="majorBidi" w:eastAsia="Times New Roman" w:hAnsiTheme="majorBidi" w:cstheme="majorBidi"/>
          <w:i/>
          <w:iCs/>
          <w:sz w:val="24"/>
          <w:szCs w:val="24"/>
        </w:rPr>
        <w:t>Punica granatum</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Murraya koenigii</w:t>
      </w:r>
      <w:r>
        <w:rPr>
          <w:rFonts w:asciiTheme="majorBidi" w:eastAsia="Times New Roman" w:hAnsiTheme="majorBidi" w:cstheme="majorBidi"/>
          <w:sz w:val="24"/>
          <w:szCs w:val="24"/>
        </w:rPr>
        <w:t xml:space="preserve">, have also shown promise as grain protectants. They reduce pest infestations by interfering with the olfactory senses of beetles. These extracts not only repel beetles but also inhibit egg hatching and larval development, offering protection throughout the life cycle of the pest (Gandhi et al., 2010). EOs from medicinal plants have been </w:t>
      </w:r>
      <w:r>
        <w:rPr>
          <w:rFonts w:asciiTheme="majorBidi" w:eastAsia="Times New Roman" w:hAnsiTheme="majorBidi" w:cstheme="majorBidi"/>
          <w:sz w:val="24"/>
          <w:szCs w:val="24"/>
        </w:rPr>
        <w:lastRenderedPageBreak/>
        <w:t xml:space="preserve">used for centuries to deter and manage insects (Ebadallahi et al., 2020). They often target the olfactory and gustatory receptors in insects. For instance, terpene-containing EOs can cause disorientation, cessation of feeding, and eventual central nervous system failure (Khani and Heydarian, 2014). Treated grains may also function as antifeedants, making them unpalatable to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(Lee et al., 2020). </w:t>
      </w:r>
      <w:r>
        <w:rPr>
          <w:rFonts w:asciiTheme="majorBidi" w:eastAsia="Times New Roman" w:hAnsiTheme="majorBidi" w:cstheme="majorBidi"/>
          <w:i/>
          <w:iCs/>
          <w:sz w:val="24"/>
          <w:szCs w:val="24"/>
        </w:rPr>
        <w:t>Cymbopogon</w:t>
      </w:r>
      <w:r>
        <w:rPr>
          <w:rFonts w:asciiTheme="majorBidi" w:eastAsia="Times New Roman" w:hAnsiTheme="majorBidi" w:cstheme="majorBidi"/>
          <w:sz w:val="24"/>
          <w:szCs w:val="24"/>
        </w:rPr>
        <w:t xml:space="preserve"> species and </w:t>
      </w:r>
      <w:r>
        <w:rPr>
          <w:rFonts w:asciiTheme="majorBidi" w:eastAsia="Times New Roman" w:hAnsiTheme="majorBidi" w:cstheme="majorBidi"/>
          <w:i/>
          <w:iCs/>
          <w:sz w:val="24"/>
          <w:szCs w:val="24"/>
        </w:rPr>
        <w:t>Eucalyptus citriodora</w:t>
      </w:r>
      <w:r>
        <w:rPr>
          <w:rFonts w:asciiTheme="majorBidi" w:eastAsia="Times New Roman" w:hAnsiTheme="majorBidi" w:cstheme="majorBidi"/>
          <w:sz w:val="24"/>
          <w:szCs w:val="24"/>
        </w:rPr>
        <w:t xml:space="preserve"> are particularly effective against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because of their high concentrations of terpenes and volatile organic compounds that act as neurotoxins (Bossou et al., 2015).</w:t>
      </w:r>
    </w:p>
    <w:p w:rsidR="00DB7333" w:rsidRDefault="00DB7333">
      <w:pPr>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Similarly, EOs from </w:t>
      </w:r>
      <w:r>
        <w:rPr>
          <w:rFonts w:asciiTheme="majorBidi" w:eastAsia="Times New Roman" w:hAnsiTheme="majorBidi" w:cstheme="majorBidi"/>
          <w:i/>
          <w:iCs/>
          <w:sz w:val="24"/>
          <w:szCs w:val="24"/>
        </w:rPr>
        <w:t>Cuminum cyminum</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Ocimum basilicum</w:t>
      </w:r>
      <w:r>
        <w:t xml:space="preserve"> </w:t>
      </w:r>
      <w:r>
        <w:rPr>
          <w:rFonts w:asciiTheme="majorBidi" w:eastAsia="Times New Roman" w:hAnsiTheme="majorBidi" w:cstheme="majorBidi"/>
          <w:sz w:val="24"/>
          <w:szCs w:val="24"/>
        </w:rPr>
        <w:t xml:space="preserve">are effective natural substitutes for chemical insecticides (Omar et al., 2021). Neem and basil not only control beetle populations effectively but also preserve the quality of stored grains (Patil et al., 2015). Their selective toxicity, which is harmful to pests but safe for humans and other beneficial insects, supports their use in integrated pest management strategies. Oils from </w:t>
      </w:r>
      <w:r>
        <w:rPr>
          <w:rFonts w:asciiTheme="majorBidi" w:eastAsia="Times New Roman" w:hAnsiTheme="majorBidi" w:cstheme="majorBidi"/>
          <w:i/>
          <w:iCs/>
          <w:sz w:val="24"/>
          <w:szCs w:val="24"/>
        </w:rPr>
        <w:t>Lonicera sempervirens</w:t>
      </w:r>
      <w:r>
        <w:rPr>
          <w:rFonts w:asciiTheme="majorBidi" w:eastAsia="Times New Roman" w:hAnsiTheme="majorBidi" w:cstheme="majorBidi"/>
          <w:sz w:val="24"/>
          <w:szCs w:val="24"/>
        </w:rPr>
        <w:t xml:space="preserve"> also exhibit significant repellent and insecticidal properties (</w:t>
      </w:r>
      <w:r>
        <w:rPr>
          <w:rFonts w:asciiTheme="majorBidi" w:eastAsia="Calibri" w:hAnsiTheme="majorBidi" w:cstheme="majorBidi"/>
          <w:sz w:val="24"/>
          <w:szCs w:val="24"/>
          <w:lang w:eastAsia="en-GB"/>
        </w:rPr>
        <w:t>Zapata and Smagghe, 2010</w:t>
      </w:r>
      <w:r>
        <w:rPr>
          <w:rFonts w:asciiTheme="majorBidi" w:eastAsia="Times New Roman" w:hAnsiTheme="majorBidi" w:cstheme="majorBidi"/>
          <w:sz w:val="24"/>
          <w:szCs w:val="24"/>
        </w:rPr>
        <w:t xml:space="preserve">). EOs from </w:t>
      </w:r>
      <w:r>
        <w:rPr>
          <w:rFonts w:asciiTheme="majorBidi" w:eastAsia="Times New Roman" w:hAnsiTheme="majorBidi" w:cstheme="majorBidi"/>
          <w:i/>
          <w:iCs/>
          <w:sz w:val="24"/>
          <w:szCs w:val="24"/>
        </w:rPr>
        <w:t>Trachyspermum ammi</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Apium graveolens</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Nigella sativa</w:t>
      </w:r>
      <w:r>
        <w:rPr>
          <w:rFonts w:asciiTheme="majorBidi" w:eastAsia="Times New Roman" w:hAnsiTheme="majorBidi" w:cstheme="majorBidi"/>
          <w:sz w:val="24"/>
          <w:szCs w:val="24"/>
        </w:rPr>
        <w:t xml:space="preserve"> exhibit both repellent and toxic effects on T. castaneum larvae and adults (Chaubey et al., 2007). Moreover, EOs from </w:t>
      </w:r>
      <w:r>
        <w:rPr>
          <w:rFonts w:asciiTheme="majorBidi" w:eastAsia="Times New Roman" w:hAnsiTheme="majorBidi" w:cstheme="majorBidi"/>
          <w:i/>
          <w:iCs/>
          <w:sz w:val="24"/>
          <w:szCs w:val="24"/>
        </w:rPr>
        <w:t>Lantana camara</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Teucrium polium</w:t>
      </w:r>
      <w:r>
        <w:rPr>
          <w:rFonts w:asciiTheme="majorBidi" w:eastAsia="Times New Roman" w:hAnsiTheme="majorBidi" w:cstheme="majorBidi"/>
          <w:sz w:val="24"/>
          <w:szCs w:val="24"/>
        </w:rPr>
        <w:t xml:space="preserve"> have been found to inhibit acetylcholinesterase, incapacitating the nervous system of the pest and resulting in high mortality (Khani and Heydarian, 2014; Rajashekar et al., 2014). Cardamom oil has demonstrated strong contact and fumigant activities against adult</w:t>
      </w:r>
      <w:r>
        <w:rPr>
          <w:rFonts w:asciiTheme="majorBidi" w:eastAsia="Times New Roman" w:hAnsiTheme="majorBidi" w:cstheme="majorBidi"/>
          <w:i/>
          <w:iCs/>
          <w:sz w:val="24"/>
          <w:szCs w:val="24"/>
        </w:rPr>
        <w:t xml:space="preserve"> T. castaneum</w:t>
      </w:r>
      <w:r>
        <w:rPr>
          <w:rFonts w:asciiTheme="majorBidi" w:eastAsia="Times New Roman" w:hAnsiTheme="majorBidi" w:cstheme="majorBidi"/>
          <w:sz w:val="24"/>
          <w:szCs w:val="24"/>
        </w:rPr>
        <w:t xml:space="preserve"> (Ali et al., 2014). </w:t>
      </w:r>
      <w:r>
        <w:rPr>
          <w:rFonts w:asciiTheme="majorBidi" w:eastAsia="Times New Roman" w:hAnsiTheme="majorBidi" w:cstheme="majorBidi"/>
          <w:i/>
          <w:iCs/>
          <w:sz w:val="24"/>
          <w:szCs w:val="24"/>
        </w:rPr>
        <w:t>Piper nigrum</w:t>
      </w:r>
      <w:r>
        <w:rPr>
          <w:rFonts w:asciiTheme="majorBidi" w:eastAsia="Times New Roman" w:hAnsiTheme="majorBidi" w:cstheme="majorBidi"/>
          <w:sz w:val="24"/>
          <w:szCs w:val="24"/>
        </w:rPr>
        <w:t xml:space="preserve"> oil is particularly potent, with toxic, repellent, and development-inhibiting effects on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larvae and pupae (Upadhyay and Jaiswal, 2007). </w:t>
      </w:r>
      <w:r>
        <w:rPr>
          <w:rFonts w:asciiTheme="majorBidi" w:eastAsia="Times New Roman" w:hAnsiTheme="majorBidi" w:cstheme="majorBidi"/>
          <w:i/>
          <w:iCs/>
          <w:sz w:val="24"/>
          <w:szCs w:val="24"/>
        </w:rPr>
        <w:t>Mentha pulegium</w:t>
      </w:r>
      <w:r>
        <w:rPr>
          <w:rFonts w:asciiTheme="majorBidi" w:eastAsia="Times New Roman" w:hAnsiTheme="majorBidi" w:cstheme="majorBidi"/>
          <w:sz w:val="24"/>
          <w:szCs w:val="24"/>
        </w:rPr>
        <w:t xml:space="preserve"> powder and oil have demonstrated insecticidal properties against both </w:t>
      </w:r>
      <w:r>
        <w:rPr>
          <w:rFonts w:asciiTheme="majorBidi" w:eastAsia="Times New Roman" w:hAnsiTheme="majorBidi" w:cstheme="majorBidi"/>
          <w:i/>
          <w:iCs/>
          <w:sz w:val="24"/>
          <w:szCs w:val="24"/>
        </w:rPr>
        <w:t>Sitophilus oryzae</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lastRenderedPageBreak/>
        <w:t xml:space="preserve">when applied via fumigation, contact, or ingestion (Lougraimzi et al., 2018). Thus, the swift action of phytochemicals makes them suitable candidates to replace synthetic chemicals. Table 1 presents various plants documented to exhibit repellent effects against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w:t>
      </w:r>
    </w:p>
    <w:p w:rsidR="00DB7333" w:rsidRDefault="00DB7333">
      <w:pPr>
        <w:spacing w:line="480" w:lineRule="auto"/>
        <w:jc w:val="both"/>
        <w:rPr>
          <w:rFonts w:asciiTheme="majorBidi" w:eastAsia="Times New Roman" w:hAnsiTheme="majorBidi" w:cstheme="majorBidi"/>
          <w:b/>
          <w:sz w:val="24"/>
          <w:szCs w:val="24"/>
        </w:rPr>
      </w:pPr>
    </w:p>
    <w:p w:rsidR="00DB7333" w:rsidRDefault="00B47D9D">
      <w:pPr>
        <w:spacing w:line="480" w:lineRule="auto"/>
        <w:jc w:val="both"/>
        <w:rPr>
          <w:rFonts w:asciiTheme="majorBidi" w:eastAsia="Times New Roman" w:hAnsiTheme="majorBidi" w:cstheme="majorBidi"/>
          <w:bCs/>
          <w:i/>
          <w:iCs/>
          <w:sz w:val="24"/>
          <w:szCs w:val="24"/>
        </w:rPr>
      </w:pPr>
      <w:r>
        <w:rPr>
          <w:rFonts w:asciiTheme="majorBidi" w:eastAsia="Times New Roman" w:hAnsiTheme="majorBidi" w:cstheme="majorBidi"/>
          <w:b/>
          <w:sz w:val="24"/>
          <w:szCs w:val="24"/>
        </w:rPr>
        <w:t>Table 1.</w:t>
      </w:r>
      <w:r>
        <w:rPr>
          <w:rFonts w:asciiTheme="majorBidi" w:eastAsia="Times New Roman" w:hAnsiTheme="majorBidi" w:cstheme="majorBidi"/>
          <w:bCs/>
          <w:sz w:val="24"/>
          <w:szCs w:val="24"/>
        </w:rPr>
        <w:t xml:space="preserve"> List of ecofriendly repellent plants against </w:t>
      </w:r>
      <w:r>
        <w:rPr>
          <w:rFonts w:asciiTheme="majorBidi" w:eastAsia="Times New Roman" w:hAnsiTheme="majorBidi" w:cstheme="majorBidi"/>
          <w:bCs/>
          <w:i/>
          <w:iCs/>
          <w:sz w:val="24"/>
          <w:szCs w:val="24"/>
        </w:rPr>
        <w:t>Tribolium castaneum</w:t>
      </w:r>
    </w:p>
    <w:tbl>
      <w:tblPr>
        <w:tblStyle w:val="TableGrid"/>
        <w:tblW w:w="5000" w:type="pct"/>
        <w:tblLook w:val="04A0" w:firstRow="1" w:lastRow="0" w:firstColumn="1" w:lastColumn="0" w:noHBand="0" w:noVBand="1"/>
      </w:tblPr>
      <w:tblGrid>
        <w:gridCol w:w="3179"/>
        <w:gridCol w:w="2817"/>
        <w:gridCol w:w="2300"/>
      </w:tblGrid>
      <w:tr w:rsidR="00DB7333">
        <w:tc>
          <w:tcPr>
            <w:tcW w:w="1916" w:type="pct"/>
          </w:tcPr>
          <w:p w:rsidR="00DB7333" w:rsidRDefault="00B47D9D">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Plant name</w:t>
            </w:r>
          </w:p>
        </w:tc>
        <w:tc>
          <w:tcPr>
            <w:tcW w:w="1698" w:type="pct"/>
          </w:tcPr>
          <w:p w:rsidR="00DB7333" w:rsidRDefault="00B47D9D">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Family</w:t>
            </w:r>
          </w:p>
        </w:tc>
        <w:tc>
          <w:tcPr>
            <w:tcW w:w="1386" w:type="pct"/>
          </w:tcPr>
          <w:p w:rsidR="00DB7333" w:rsidRDefault="00B47D9D">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Reference</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Abroma augustum</w:t>
            </w:r>
            <w:r>
              <w:rPr>
                <w:rFonts w:asciiTheme="majorBidi" w:hAnsiTheme="majorBidi" w:cstheme="majorBidi"/>
                <w:sz w:val="24"/>
                <w:szCs w:val="24"/>
                <w:lang w:eastAsia="en-US"/>
              </w:rPr>
              <w:t> (L.) L.f.</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Malvaceae</w:t>
            </w:r>
          </w:p>
        </w:tc>
        <w:tc>
          <w:tcPr>
            <w:tcW w:w="138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Mondal et al., 2014</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Achillea wilhelmsii</w:t>
            </w:r>
            <w:r>
              <w:rPr>
                <w:rFonts w:asciiTheme="majorBidi" w:hAnsiTheme="majorBidi" w:cstheme="majorBidi"/>
                <w:sz w:val="24"/>
                <w:szCs w:val="24"/>
                <w:lang w:eastAsia="en-US"/>
              </w:rPr>
              <w:t xml:space="preserve"> </w:t>
            </w:r>
            <w:proofErr w:type="gramStart"/>
            <w:r>
              <w:rPr>
                <w:rFonts w:asciiTheme="majorBidi" w:hAnsiTheme="majorBidi" w:cstheme="majorBidi"/>
                <w:sz w:val="24"/>
                <w:szCs w:val="24"/>
                <w:lang w:eastAsia="en-US"/>
              </w:rPr>
              <w:t>K.Koch</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and Asghari, 2012</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Acorus calamus</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Acoraceae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Umoetock, 2000</w:t>
            </w:r>
          </w:p>
        </w:tc>
      </w:tr>
      <w:tr w:rsidR="00DB7333">
        <w:trPr>
          <w:trHeight w:val="262"/>
        </w:trPr>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Aegle marmelos</w:t>
            </w:r>
            <w:r>
              <w:rPr>
                <w:rFonts w:asciiTheme="majorBidi" w:eastAsia="Calibri" w:hAnsiTheme="majorBidi" w:cstheme="majorBidi"/>
                <w:sz w:val="24"/>
                <w:szCs w:val="24"/>
                <w:lang w:eastAsia="en-GB"/>
              </w:rPr>
              <w:t xml:space="preserve"> (L.) Corrêa</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Rutaceae</w:t>
            </w:r>
          </w:p>
        </w:tc>
        <w:tc>
          <w:tcPr>
            <w:tcW w:w="138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val="en-US" w:eastAsia="en-US"/>
              </w:rPr>
              <w:t>Mishra et al., 2016</w:t>
            </w:r>
          </w:p>
        </w:tc>
      </w:tr>
      <w:tr w:rsidR="00DB7333">
        <w:trPr>
          <w:trHeight w:val="262"/>
        </w:trPr>
        <w:tc>
          <w:tcPr>
            <w:tcW w:w="1916" w:type="pct"/>
          </w:tcPr>
          <w:p w:rsidR="00DB7333" w:rsidRDefault="00B47D9D">
            <w:pPr>
              <w:spacing w:line="480" w:lineRule="auto"/>
              <w:rPr>
                <w:rFonts w:asciiTheme="majorBidi" w:eastAsia="Calibri" w:hAnsiTheme="majorBidi" w:cstheme="majorBidi"/>
                <w:i/>
                <w:iCs/>
                <w:sz w:val="24"/>
                <w:szCs w:val="24"/>
                <w:lang w:eastAsia="en-GB"/>
              </w:rPr>
            </w:pPr>
            <w:r>
              <w:rPr>
                <w:rFonts w:asciiTheme="majorBidi" w:hAnsiTheme="majorBidi" w:cstheme="majorBidi"/>
                <w:i/>
                <w:iCs/>
                <w:sz w:val="24"/>
                <w:szCs w:val="24"/>
                <w:lang w:val="pl-PL" w:eastAsia="en-US"/>
              </w:rPr>
              <w:t>Ajania fruticulosa</w:t>
            </w:r>
            <w:r>
              <w:rPr>
                <w:rFonts w:asciiTheme="majorBidi" w:hAnsiTheme="majorBidi" w:cstheme="majorBidi"/>
                <w:sz w:val="24"/>
                <w:szCs w:val="24"/>
                <w:lang w:val="pl-PL" w:eastAsia="en-US"/>
              </w:rPr>
              <w:t xml:space="preserve"> (Ledeb.) Poljakov (syn. </w:t>
            </w:r>
            <w:r>
              <w:rPr>
                <w:rFonts w:asciiTheme="majorBidi" w:hAnsiTheme="majorBidi" w:cstheme="majorBidi"/>
                <w:i/>
                <w:iCs/>
                <w:sz w:val="24"/>
                <w:szCs w:val="24"/>
                <w:lang w:eastAsia="en-US"/>
              </w:rPr>
              <w:t>Tanacetum tomentosum</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eastAsia="Calibri" w:hAnsiTheme="majorBidi" w:cstheme="majorBidi"/>
                <w:sz w:val="24"/>
                <w:szCs w:val="24"/>
                <w:lang w:val="en-US" w:eastAsia="en-US"/>
              </w:rPr>
            </w:pPr>
            <w:r>
              <w:rPr>
                <w:rFonts w:asciiTheme="majorBidi" w:eastAsia="Calibri" w:hAnsiTheme="majorBidi" w:cstheme="majorBidi"/>
                <w:sz w:val="24"/>
                <w:szCs w:val="24"/>
                <w:lang w:eastAsia="en-GB"/>
              </w:rPr>
              <w:t>Haider et al., 2017</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Allium sativum</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Amaryllidaceae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Ho et al., 1995; Ali et al., 2014; </w:t>
            </w:r>
            <w:r>
              <w:rPr>
                <w:rFonts w:asciiTheme="majorBidi" w:hAnsiTheme="majorBidi" w:cstheme="majorBidi"/>
                <w:sz w:val="24"/>
                <w:szCs w:val="24"/>
                <w:lang w:val="da-DK" w:eastAsia="en-US"/>
              </w:rPr>
              <w:t>Patil et al., 2015</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Alpinia officinarum</w:t>
            </w:r>
            <w:r>
              <w:rPr>
                <w:rFonts w:asciiTheme="majorBidi" w:hAnsiTheme="majorBidi" w:cstheme="majorBidi"/>
                <w:sz w:val="24"/>
                <w:szCs w:val="24"/>
                <w:lang w:eastAsia="en-US"/>
              </w:rPr>
              <w:t xml:space="preserve"> Hance</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eastAsia="en-GB"/>
              </w:rPr>
              <w:t>Lu et al., 2012</w:t>
            </w:r>
          </w:p>
        </w:tc>
      </w:tr>
      <w:tr w:rsidR="00DB7333">
        <w:tc>
          <w:tcPr>
            <w:tcW w:w="1916" w:type="pct"/>
          </w:tcPr>
          <w:p w:rsidR="00DB7333" w:rsidRDefault="00B47D9D">
            <w:pPr>
              <w:spacing w:line="480" w:lineRule="auto"/>
              <w:rPr>
                <w:rFonts w:asciiTheme="majorBidi" w:eastAsia="Calibri" w:hAnsiTheme="majorBidi" w:cstheme="majorBidi"/>
                <w:sz w:val="24"/>
                <w:szCs w:val="24"/>
                <w:lang w:val="pl-PL" w:eastAsia="en-GB"/>
              </w:rPr>
            </w:pPr>
            <w:r>
              <w:rPr>
                <w:rFonts w:asciiTheme="majorBidi" w:eastAsia="Calibri" w:hAnsiTheme="majorBidi" w:cstheme="majorBidi"/>
                <w:i/>
                <w:iCs/>
                <w:sz w:val="24"/>
                <w:szCs w:val="24"/>
                <w:lang w:val="pl-PL" w:eastAsia="en-GB"/>
              </w:rPr>
              <w:t>Aloysia citrodora</w:t>
            </w:r>
            <w:r>
              <w:rPr>
                <w:rFonts w:asciiTheme="majorBidi" w:eastAsia="Calibri" w:hAnsiTheme="majorBidi" w:cstheme="majorBidi"/>
                <w:sz w:val="24"/>
                <w:szCs w:val="24"/>
                <w:lang w:val="pl-PL" w:eastAsia="en-GB"/>
              </w:rPr>
              <w:t xml:space="preserve"> Paláu</w:t>
            </w:r>
          </w:p>
          <w:p w:rsidR="00DB7333" w:rsidRDefault="00B47D9D">
            <w:pPr>
              <w:spacing w:line="480" w:lineRule="auto"/>
              <w:rPr>
                <w:rFonts w:asciiTheme="majorBidi" w:hAnsiTheme="majorBidi" w:cstheme="majorBidi"/>
                <w:i/>
                <w:iCs/>
                <w:sz w:val="24"/>
                <w:szCs w:val="24"/>
                <w:lang w:val="pl-PL" w:eastAsia="en-US"/>
              </w:rPr>
            </w:pPr>
            <w:r>
              <w:rPr>
                <w:rFonts w:asciiTheme="majorBidi" w:eastAsia="Calibri" w:hAnsiTheme="majorBidi" w:cstheme="majorBidi"/>
                <w:sz w:val="24"/>
                <w:szCs w:val="24"/>
                <w:lang w:val="pl-PL" w:eastAsia="en-GB"/>
              </w:rPr>
              <w:t xml:space="preserve">(syn. </w:t>
            </w:r>
            <w:r>
              <w:rPr>
                <w:rFonts w:asciiTheme="majorBidi" w:eastAsia="Calibri" w:hAnsiTheme="majorBidi" w:cstheme="majorBidi"/>
                <w:i/>
                <w:iCs/>
                <w:sz w:val="24"/>
                <w:szCs w:val="24"/>
                <w:lang w:val="pl-PL" w:eastAsia="en-GB"/>
              </w:rPr>
              <w:t>Lippia citrodora</w:t>
            </w:r>
            <w:r>
              <w:rPr>
                <w:rFonts w:asciiTheme="majorBidi" w:eastAsia="Calibri" w:hAnsiTheme="majorBidi" w:cstheme="majorBidi"/>
                <w:sz w:val="24"/>
                <w:szCs w:val="24"/>
                <w:lang w:val="pl-PL" w:eastAsia="en-GB"/>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Verbenaceae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eastAsia="en-US"/>
              </w:rPr>
              <w:t xml:space="preserve">Ebadollahi and Razmjou, </w:t>
            </w:r>
            <w:r>
              <w:rPr>
                <w:rFonts w:asciiTheme="majorBidi" w:eastAsia="Calibri" w:hAnsiTheme="majorBidi" w:cstheme="majorBidi"/>
                <w:sz w:val="24"/>
                <w:szCs w:val="24"/>
                <w:lang w:eastAsia="en-GB"/>
              </w:rPr>
              <w:t>2019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Annona squamosa</w:t>
            </w:r>
            <w:r>
              <w:rPr>
                <w:rFonts w:asciiTheme="majorBidi" w:hAnsiTheme="majorBidi" w:cstheme="majorBidi"/>
                <w:sz w:val="24"/>
                <w:szCs w:val="24"/>
                <w:lang w:eastAsia="en-US"/>
              </w:rPr>
              <w:t> L.</w:t>
            </w:r>
          </w:p>
          <w:p w:rsidR="00DB7333" w:rsidRDefault="00DB7333">
            <w:pPr>
              <w:spacing w:line="480" w:lineRule="auto"/>
              <w:rPr>
                <w:rFonts w:asciiTheme="majorBidi" w:eastAsia="Calibri" w:hAnsiTheme="majorBidi" w:cstheme="majorBidi"/>
                <w:sz w:val="24"/>
                <w:szCs w:val="24"/>
                <w:lang w:eastAsia="en-GB"/>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Annonaceae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Khalequzzaman et al., 2006</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Aphanamixis polystachya</w:t>
            </w:r>
            <w:r>
              <w:rPr>
                <w:rFonts w:asciiTheme="majorBidi" w:hAnsiTheme="majorBidi" w:cstheme="majorBidi"/>
                <w:sz w:val="24"/>
                <w:szCs w:val="24"/>
                <w:lang w:eastAsia="en-US"/>
              </w:rPr>
              <w:t xml:space="preserve"> (Wall.) </w:t>
            </w:r>
            <w:proofErr w:type="gramStart"/>
            <w:r>
              <w:rPr>
                <w:rFonts w:asciiTheme="majorBidi" w:hAnsiTheme="majorBidi" w:cstheme="majorBidi"/>
                <w:sz w:val="24"/>
                <w:szCs w:val="24"/>
                <w:lang w:eastAsia="en-US"/>
              </w:rPr>
              <w:t>R.Parker</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Talukder and Howse, 1993</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lastRenderedPageBreak/>
              <w:t>Argemone mexicana</w:t>
            </w:r>
            <w:r>
              <w:rPr>
                <w:rFonts w:asciiTheme="majorBidi" w:hAnsiTheme="majorBidi" w:cstheme="majorBidi"/>
                <w:sz w:val="24"/>
                <w:szCs w:val="24"/>
                <w:lang w:eastAsia="en-US"/>
              </w:rPr>
              <w:t> L.</w:t>
            </w:r>
          </w:p>
          <w:p w:rsidR="00DB7333" w:rsidRDefault="00DB7333">
            <w:pPr>
              <w:spacing w:line="480" w:lineRule="auto"/>
              <w:rPr>
                <w:rFonts w:asciiTheme="majorBidi" w:eastAsia="Calibri" w:hAnsiTheme="majorBidi" w:cstheme="majorBidi"/>
                <w:sz w:val="24"/>
                <w:szCs w:val="24"/>
                <w:lang w:eastAsia="en-GB"/>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Papaveraceae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Majeed and Abidunnisa, 2011</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Artemisia vulgaris</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Wang et al., 2006</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Azadirachta indica</w:t>
            </w:r>
            <w:r>
              <w:rPr>
                <w:rFonts w:asciiTheme="majorBidi" w:hAnsiTheme="majorBidi" w:cstheme="majorBidi"/>
                <w:sz w:val="24"/>
                <w:szCs w:val="24"/>
                <w:lang w:eastAsia="en-US"/>
              </w:rPr>
              <w:t> A.Juss.</w:t>
            </w:r>
          </w:p>
          <w:p w:rsidR="00DB7333" w:rsidRDefault="00DB7333">
            <w:pPr>
              <w:spacing w:line="480" w:lineRule="auto"/>
              <w:rPr>
                <w:rFonts w:asciiTheme="majorBidi"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 xml:space="preserve">Islam and Talukder, 2005; </w:t>
            </w:r>
            <w:r>
              <w:rPr>
                <w:rFonts w:asciiTheme="majorBidi" w:hAnsiTheme="majorBidi" w:cstheme="majorBidi"/>
                <w:sz w:val="24"/>
                <w:szCs w:val="24"/>
                <w:lang w:val="da-DK" w:eastAsia="en-US"/>
              </w:rPr>
              <w:t>Rajashekar et al., 2014</w:t>
            </w:r>
          </w:p>
        </w:tc>
      </w:tr>
      <w:tr w:rsidR="00DB7333">
        <w:tc>
          <w:tcPr>
            <w:tcW w:w="191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i/>
                <w:iCs/>
                <w:sz w:val="24"/>
                <w:szCs w:val="24"/>
                <w:lang w:val="da-DK" w:eastAsia="en-US"/>
              </w:rPr>
              <w:t>Bergera koenigii</w:t>
            </w:r>
            <w:r>
              <w:rPr>
                <w:rFonts w:asciiTheme="majorBidi" w:hAnsiTheme="majorBidi" w:cstheme="majorBidi"/>
                <w:sz w:val="24"/>
                <w:szCs w:val="24"/>
                <w:lang w:val="da-DK" w:eastAsia="en-US"/>
              </w:rPr>
              <w:t xml:space="preserve"> L. </w:t>
            </w:r>
          </w:p>
          <w:p w:rsidR="00DB7333" w:rsidRDefault="00B47D9D">
            <w:pPr>
              <w:spacing w:line="480" w:lineRule="auto"/>
              <w:rPr>
                <w:rFonts w:asciiTheme="majorBidi" w:hAnsiTheme="majorBidi" w:cstheme="majorBidi"/>
                <w:i/>
                <w:iCs/>
                <w:sz w:val="24"/>
                <w:szCs w:val="24"/>
                <w:lang w:val="zh-CN" w:eastAsia="en-US"/>
              </w:rPr>
            </w:pPr>
            <w:r>
              <w:rPr>
                <w:rFonts w:asciiTheme="majorBidi" w:hAnsiTheme="majorBidi" w:cstheme="majorBidi"/>
                <w:sz w:val="24"/>
                <w:szCs w:val="24"/>
                <w:lang w:val="da-DK" w:eastAsia="en-US"/>
              </w:rPr>
              <w:t xml:space="preserve">(syn. </w:t>
            </w:r>
            <w:r>
              <w:rPr>
                <w:rFonts w:asciiTheme="majorBidi" w:hAnsiTheme="majorBidi" w:cstheme="majorBidi"/>
                <w:i/>
                <w:iCs/>
                <w:sz w:val="24"/>
                <w:szCs w:val="24"/>
                <w:lang w:val="da-DK" w:eastAsia="en-US"/>
              </w:rPr>
              <w:t>Murraya koenigii</w:t>
            </w:r>
            <w:r>
              <w:rPr>
                <w:rFonts w:asciiTheme="majorBidi" w:hAnsiTheme="majorBidi" w:cstheme="majorBidi"/>
                <w:sz w:val="24"/>
                <w:szCs w:val="24"/>
                <w:lang w:val="da-DK"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Rutaceae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Gandhi et al., 2010 </w:t>
            </w:r>
          </w:p>
        </w:tc>
      </w:tr>
      <w:tr w:rsidR="00DB7333">
        <w:trPr>
          <w:trHeight w:val="315"/>
        </w:trPr>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Bougainvillea glabra</w:t>
            </w:r>
            <w:r>
              <w:rPr>
                <w:rFonts w:asciiTheme="majorBidi" w:hAnsiTheme="majorBidi" w:cstheme="majorBidi"/>
                <w:sz w:val="24"/>
                <w:szCs w:val="24"/>
                <w:lang w:eastAsia="en-US"/>
              </w:rPr>
              <w:t> Choisy</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Nyctaginaceae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Haq et al., 2005</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Calotropis procera</w:t>
            </w:r>
            <w:r>
              <w:rPr>
                <w:rFonts w:asciiTheme="majorBidi" w:eastAsia="CIDFont+F1" w:hAnsiTheme="majorBidi" w:cstheme="majorBidi"/>
                <w:sz w:val="24"/>
                <w:szCs w:val="24"/>
                <w:lang w:eastAsia="en-US"/>
              </w:rPr>
              <w:t> (Aiton) W.T.Aiton</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Apocynaceae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Abbasi et al., 2012; Kalita and Bhola, 2013</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Ceratosanthes palmata</w:t>
            </w:r>
            <w:r>
              <w:rPr>
                <w:rFonts w:asciiTheme="majorBidi" w:hAnsiTheme="majorBidi" w:cstheme="majorBidi"/>
                <w:sz w:val="24"/>
                <w:szCs w:val="24"/>
                <w:lang w:eastAsia="en-US"/>
              </w:rPr>
              <w:t xml:space="preserve"> (L.) Urb. (syn. </w:t>
            </w:r>
            <w:r>
              <w:rPr>
                <w:rFonts w:asciiTheme="majorBidi" w:hAnsiTheme="majorBidi" w:cstheme="majorBidi"/>
                <w:i/>
                <w:iCs/>
                <w:sz w:val="24"/>
                <w:szCs w:val="24"/>
                <w:lang w:eastAsia="en-US"/>
              </w:rPr>
              <w:t>Trichosanthes palmata</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Cucurbitaceae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Khanam et al., 2009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Cinnamomum verum</w:t>
            </w:r>
            <w:r>
              <w:rPr>
                <w:rFonts w:asciiTheme="majorBidi" w:eastAsia="Calibri" w:hAnsiTheme="majorBidi" w:cstheme="majorBidi"/>
                <w:sz w:val="24"/>
                <w:szCs w:val="24"/>
                <w:lang w:eastAsia="en-GB"/>
              </w:rPr>
              <w:t xml:space="preserve"> </w:t>
            </w:r>
            <w:proofErr w:type="gramStart"/>
            <w:r>
              <w:rPr>
                <w:rFonts w:asciiTheme="majorBidi" w:eastAsia="Calibri" w:hAnsiTheme="majorBidi" w:cstheme="majorBidi"/>
                <w:sz w:val="24"/>
                <w:szCs w:val="24"/>
                <w:lang w:eastAsia="en-GB"/>
              </w:rPr>
              <w:t>J.Presl</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Mondal and Khalequzzaman, 2009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Clerodendrum infortunatum</w:t>
            </w:r>
            <w:r>
              <w:rPr>
                <w:rFonts w:asciiTheme="majorBidi" w:hAnsiTheme="majorBidi" w:cstheme="majorBidi"/>
                <w:sz w:val="24"/>
                <w:szCs w:val="24"/>
                <w:lang w:eastAsia="en-US"/>
              </w:rPr>
              <w:t> L.</w:t>
            </w:r>
          </w:p>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eastAsia="en-US"/>
              </w:rPr>
              <w:t xml:space="preserve">(syn. </w:t>
            </w:r>
            <w:r>
              <w:rPr>
                <w:rFonts w:asciiTheme="majorBidi" w:hAnsiTheme="majorBidi" w:cstheme="majorBidi"/>
                <w:i/>
                <w:iCs/>
                <w:sz w:val="24"/>
                <w:szCs w:val="24"/>
                <w:lang w:eastAsia="en-US"/>
              </w:rPr>
              <w:t>Clerodendrum viscosum</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Husain and Rahman, 2007</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Conocarpus erectus</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Combretaceae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Rajabpour et al., 2019</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shd w:val="clear" w:color="auto" w:fill="FFFFFF"/>
                <w:lang w:eastAsia="en-GB"/>
              </w:rPr>
              <w:t>Coriandrum sativum</w:t>
            </w:r>
            <w:r>
              <w:rPr>
                <w:rFonts w:asciiTheme="majorBidi" w:eastAsia="Calibri" w:hAnsiTheme="majorBidi" w:cstheme="majorBidi"/>
                <w:sz w:val="24"/>
                <w:szCs w:val="24"/>
                <w:shd w:val="clear" w:color="auto" w:fill="FFFFFF"/>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Islam et al., 2009 </w:t>
            </w:r>
          </w:p>
        </w:tc>
      </w:tr>
      <w:tr w:rsidR="00DB7333">
        <w:tc>
          <w:tcPr>
            <w:tcW w:w="1916" w:type="pct"/>
          </w:tcPr>
          <w:p w:rsidR="00DB7333" w:rsidRDefault="00B47D9D">
            <w:pPr>
              <w:spacing w:line="480" w:lineRule="auto"/>
              <w:rPr>
                <w:rFonts w:asciiTheme="majorBidi" w:eastAsiaTheme="minorHAnsi" w:hAnsiTheme="majorBidi" w:cstheme="majorBidi"/>
                <w:sz w:val="24"/>
                <w:szCs w:val="24"/>
                <w:lang w:eastAsia="en-US"/>
              </w:rPr>
            </w:pPr>
            <w:r>
              <w:rPr>
                <w:rFonts w:asciiTheme="majorBidi" w:hAnsiTheme="majorBidi" w:cstheme="majorBidi"/>
                <w:i/>
                <w:iCs/>
                <w:sz w:val="24"/>
                <w:szCs w:val="24"/>
                <w:lang w:val="zh-CN" w:eastAsia="en-US"/>
              </w:rPr>
              <w:lastRenderedPageBreak/>
              <w:t>Cucumis sativus</w:t>
            </w:r>
            <w:r>
              <w:rPr>
                <w:rFonts w:asciiTheme="majorBidi" w:hAnsiTheme="majorBidi" w:cstheme="majorBidi"/>
                <w:sz w:val="24"/>
                <w:szCs w:val="24"/>
                <w:lang w:eastAsia="en-US"/>
              </w:rPr>
              <w:t> L.</w:t>
            </w: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Cucurbitaceae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en-US" w:eastAsia="en-US"/>
              </w:rPr>
              <w:t>Rajashekar et al., 2014</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Cuminum cyminum</w:t>
            </w:r>
            <w:r>
              <w:rPr>
                <w:rFonts w:asciiTheme="majorBidi" w:hAnsiTheme="majorBidi" w:cstheme="majorBidi"/>
                <w:sz w:val="24"/>
                <w:szCs w:val="24"/>
                <w:lang w:eastAsia="en-US"/>
              </w:rPr>
              <w:t> L.</w:t>
            </w:r>
          </w:p>
          <w:p w:rsidR="00DB7333" w:rsidRDefault="00DB7333">
            <w:pPr>
              <w:spacing w:line="480" w:lineRule="auto"/>
              <w:rPr>
                <w:rFonts w:asciiTheme="majorBidi" w:hAnsiTheme="majorBidi" w:cstheme="majorBidi"/>
                <w:sz w:val="24"/>
                <w:szCs w:val="24"/>
                <w:lang w:val="da-DK" w:eastAsia="en-US"/>
              </w:rPr>
            </w:pP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Apiaceae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Mostafa et al., 2012; </w:t>
            </w:r>
            <w:r>
              <w:rPr>
                <w:rFonts w:asciiTheme="majorBidi" w:eastAsia="Calibri" w:hAnsiTheme="majorBidi" w:cstheme="majorBidi"/>
                <w:sz w:val="24"/>
                <w:szCs w:val="24"/>
                <w:lang w:val="da-DK" w:eastAsia="en-GB"/>
              </w:rPr>
              <w:t>Mishra et al., 2016</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Curcuma longa</w:t>
            </w:r>
            <w:r>
              <w:rPr>
                <w:rFonts w:asciiTheme="majorBidi" w:eastAsia="CIDFont+F1" w:hAnsiTheme="majorBidi" w:cstheme="majorBidi"/>
                <w:sz w:val="24"/>
                <w:szCs w:val="24"/>
                <w:lang w:eastAsia="en-US"/>
              </w:rPr>
              <w:t> L.</w:t>
            </w:r>
          </w:p>
          <w:p w:rsidR="00DB7333" w:rsidRDefault="00DB7333">
            <w:pPr>
              <w:spacing w:line="480" w:lineRule="auto"/>
              <w:rPr>
                <w:rFonts w:asciiTheme="majorBidi"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Zingiberaceae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Abida et al., 2010; Ali et al., 2014</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Cynodon dactylon</w:t>
            </w:r>
            <w:r>
              <w:rPr>
                <w:rFonts w:asciiTheme="majorBidi" w:eastAsia="CIDFont+F1" w:hAnsiTheme="majorBidi" w:cstheme="majorBidi"/>
                <w:sz w:val="24"/>
                <w:szCs w:val="24"/>
                <w:lang w:eastAsia="en-US"/>
              </w:rPr>
              <w:t> (L.) Pers.</w:t>
            </w: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Poaceae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val="da-DK" w:eastAsia="en-GB"/>
              </w:rPr>
              <w:t>Islam and Talukder, 2005</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US"/>
              </w:rPr>
            </w:pPr>
            <w:r>
              <w:rPr>
                <w:rFonts w:asciiTheme="majorBidi" w:hAnsiTheme="majorBidi" w:cstheme="majorBidi"/>
                <w:i/>
                <w:iCs/>
                <w:sz w:val="24"/>
                <w:szCs w:val="24"/>
                <w:lang w:eastAsia="en-US"/>
              </w:rPr>
              <w:t>Cyperus articulatus</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Cyperaceae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Abubakar et al., 2000</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US"/>
              </w:rPr>
            </w:pPr>
            <w:r>
              <w:rPr>
                <w:rFonts w:asciiTheme="majorBidi" w:hAnsiTheme="majorBidi" w:cstheme="majorBidi"/>
                <w:i/>
                <w:iCs/>
                <w:sz w:val="24"/>
                <w:szCs w:val="24"/>
                <w:lang w:val="zh-CN" w:eastAsia="en-US"/>
              </w:rPr>
              <w:t>Datura metel</w:t>
            </w:r>
            <w:r>
              <w:rPr>
                <w:rFonts w:asciiTheme="majorBidi" w:hAnsiTheme="majorBidi" w:cstheme="majorBidi"/>
                <w:sz w:val="24"/>
                <w:szCs w:val="24"/>
                <w:lang w:eastAsia="en-US"/>
              </w:rPr>
              <w:t xml:space="preserve"> L. (syn. </w:t>
            </w:r>
            <w:r>
              <w:rPr>
                <w:rFonts w:asciiTheme="majorBidi" w:hAnsiTheme="majorBidi" w:cstheme="majorBidi"/>
                <w:i/>
                <w:iCs/>
                <w:sz w:val="24"/>
                <w:szCs w:val="24"/>
                <w:lang w:eastAsia="en-US"/>
              </w:rPr>
              <w:t>Datura alba</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Solanaceae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Abbasi et al., 2012</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Datura stramonium</w:t>
            </w:r>
            <w:r>
              <w:rPr>
                <w:rFonts w:asciiTheme="majorBidi" w:hAnsiTheme="majorBidi" w:cstheme="majorBidi"/>
                <w:sz w:val="24"/>
                <w:szCs w:val="24"/>
                <w:lang w:eastAsia="en-US"/>
              </w:rPr>
              <w:t> L.</w:t>
            </w:r>
          </w:p>
          <w:p w:rsidR="00DB7333" w:rsidRDefault="00DB7333">
            <w:pPr>
              <w:spacing w:line="480" w:lineRule="auto"/>
              <w:rPr>
                <w:rFonts w:asciiTheme="majorBidi" w:eastAsia="Calibri" w:hAnsiTheme="majorBidi" w:cstheme="majorBidi"/>
                <w:sz w:val="24"/>
                <w:szCs w:val="24"/>
                <w:lang w:eastAsia="en-GB"/>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val="da-DK" w:eastAsia="en-US"/>
              </w:rPr>
              <w:t>Solanaceae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Abbasipour et al., 2011</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Drimys winteri</w:t>
            </w:r>
            <w:r>
              <w:rPr>
                <w:rFonts w:asciiTheme="majorBidi" w:eastAsia="Calibri" w:hAnsiTheme="majorBidi" w:cstheme="majorBidi"/>
                <w:sz w:val="24"/>
                <w:szCs w:val="24"/>
                <w:lang w:eastAsia="en-GB"/>
              </w:rPr>
              <w:t xml:space="preserve"> var. </w:t>
            </w:r>
            <w:r>
              <w:rPr>
                <w:rFonts w:asciiTheme="majorBidi" w:eastAsia="Calibri" w:hAnsiTheme="majorBidi" w:cstheme="majorBidi"/>
                <w:i/>
                <w:iCs/>
                <w:sz w:val="24"/>
                <w:szCs w:val="24"/>
                <w:lang w:eastAsia="en-GB"/>
              </w:rPr>
              <w:t>chilensis</w:t>
            </w:r>
            <w:r>
              <w:rPr>
                <w:rFonts w:asciiTheme="majorBidi" w:eastAsia="Calibri" w:hAnsiTheme="majorBidi" w:cstheme="majorBidi"/>
                <w:sz w:val="24"/>
                <w:szCs w:val="24"/>
                <w:lang w:eastAsia="en-GB"/>
              </w:rPr>
              <w:t xml:space="preserve"> (DC.) </w:t>
            </w:r>
            <w:proofErr w:type="gramStart"/>
            <w:r>
              <w:rPr>
                <w:rFonts w:asciiTheme="majorBidi" w:eastAsia="Calibri" w:hAnsiTheme="majorBidi" w:cstheme="majorBidi"/>
                <w:sz w:val="24"/>
                <w:szCs w:val="24"/>
                <w:lang w:eastAsia="en-GB"/>
              </w:rPr>
              <w:t>A.Gray</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Winteraceae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Zapata and Smagghe, 2010</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Elettaria cardamomum</w:t>
            </w:r>
            <w:r>
              <w:rPr>
                <w:rFonts w:asciiTheme="majorBidi" w:eastAsia="Calibri" w:hAnsiTheme="majorBidi" w:cstheme="majorBidi"/>
                <w:sz w:val="24"/>
                <w:szCs w:val="24"/>
                <w:lang w:eastAsia="en-GB"/>
              </w:rPr>
              <w:t> (L.) Maton</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DB7333" w:rsidRDefault="00B47D9D">
            <w:pPr>
              <w:tabs>
                <w:tab w:val="right" w:pos="2790"/>
              </w:tabs>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Huang et al., 2000; Mondal and Khalequzzaman, 2009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Eucalyptus camaldulensis</w:t>
            </w:r>
            <w:r>
              <w:rPr>
                <w:rFonts w:asciiTheme="majorBidi" w:eastAsia="Calibri" w:hAnsiTheme="majorBidi" w:cstheme="majorBidi"/>
                <w:sz w:val="24"/>
                <w:szCs w:val="24"/>
                <w:lang w:eastAsia="en-GB"/>
              </w:rPr>
              <w:t xml:space="preserve"> Dehnh.</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Mondal and Khalequzzaman, 2009</w:t>
            </w:r>
          </w:p>
        </w:tc>
      </w:tr>
      <w:tr w:rsidR="00DB7333">
        <w:tc>
          <w:tcPr>
            <w:tcW w:w="1916" w:type="pct"/>
          </w:tcPr>
          <w:p w:rsidR="00DB7333" w:rsidRDefault="00B47D9D">
            <w:pPr>
              <w:spacing w:line="480" w:lineRule="auto"/>
              <w:rPr>
                <w:rFonts w:asciiTheme="majorBidi" w:eastAsia="Calibri" w:hAnsiTheme="majorBidi" w:cstheme="majorBidi"/>
                <w:i/>
                <w:iCs/>
                <w:sz w:val="24"/>
                <w:szCs w:val="24"/>
                <w:lang w:eastAsia="en-GB"/>
              </w:rPr>
            </w:pPr>
            <w:r>
              <w:rPr>
                <w:rFonts w:asciiTheme="majorBidi" w:hAnsiTheme="majorBidi" w:cstheme="majorBidi"/>
                <w:i/>
                <w:iCs/>
                <w:sz w:val="24"/>
                <w:szCs w:val="24"/>
                <w:lang w:eastAsia="en-US"/>
              </w:rPr>
              <w:t>Eucalyptus</w:t>
            </w:r>
            <w:r>
              <w:rPr>
                <w:rFonts w:asciiTheme="majorBidi" w:hAnsiTheme="majorBidi" w:cstheme="majorBidi"/>
                <w:sz w:val="24"/>
                <w:szCs w:val="24"/>
                <w:lang w:eastAsia="en-US"/>
              </w:rPr>
              <w:t xml:space="preserve"> sp.</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en-US" w:eastAsia="en-US"/>
              </w:rPr>
              <w:t>Haq et al., 2005</w:t>
            </w:r>
          </w:p>
        </w:tc>
      </w:tr>
      <w:tr w:rsidR="00DB7333">
        <w:tc>
          <w:tcPr>
            <w:tcW w:w="1916" w:type="pct"/>
          </w:tcPr>
          <w:p w:rsidR="00DB7333" w:rsidRDefault="00B47D9D">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lastRenderedPageBreak/>
              <w:t>Hippolytia longifolia</w:t>
            </w:r>
            <w:r>
              <w:rPr>
                <w:rFonts w:asciiTheme="majorBidi" w:hAnsiTheme="majorBidi" w:cstheme="majorBidi"/>
                <w:sz w:val="24"/>
                <w:szCs w:val="24"/>
                <w:lang w:eastAsia="en-US"/>
              </w:rPr>
              <w:t xml:space="preserve"> (Rech.f.) </w:t>
            </w:r>
            <w:proofErr w:type="gramStart"/>
            <w:r>
              <w:rPr>
                <w:rFonts w:asciiTheme="majorBidi" w:hAnsiTheme="majorBidi" w:cstheme="majorBidi"/>
                <w:sz w:val="24"/>
                <w:szCs w:val="24"/>
                <w:lang w:eastAsia="en-US"/>
              </w:rPr>
              <w:t>C.Shih</w:t>
            </w:r>
            <w:proofErr w:type="gramEnd"/>
            <w:r>
              <w:rPr>
                <w:rFonts w:asciiTheme="majorBidi" w:hAnsiTheme="majorBidi" w:cstheme="majorBidi"/>
                <w:sz w:val="24"/>
                <w:szCs w:val="24"/>
                <w:lang w:eastAsia="en-US"/>
              </w:rPr>
              <w:t xml:space="preserve"> (syn. </w:t>
            </w:r>
            <w:r>
              <w:rPr>
                <w:rFonts w:asciiTheme="majorBidi" w:hAnsiTheme="majorBidi" w:cstheme="majorBidi"/>
                <w:i/>
                <w:iCs/>
                <w:sz w:val="24"/>
                <w:szCs w:val="24"/>
                <w:lang w:val="pl-PL" w:eastAsia="en-US"/>
              </w:rPr>
              <w:t>Tanacetum dolichophyllum</w:t>
            </w:r>
            <w:r>
              <w:rPr>
                <w:rFonts w:asciiTheme="majorBidi" w:hAnsiTheme="majorBidi" w:cstheme="majorBidi"/>
                <w:sz w:val="24"/>
                <w:szCs w:val="24"/>
                <w:lang w:val="pl-PL"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Asteraceae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Haider et al., 2017</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Illicium verum</w:t>
            </w:r>
            <w:r>
              <w:rPr>
                <w:rFonts w:asciiTheme="majorBidi" w:hAnsiTheme="majorBidi" w:cstheme="majorBidi"/>
                <w:sz w:val="24"/>
                <w:szCs w:val="24"/>
                <w:lang w:eastAsia="en-US"/>
              </w:rPr>
              <w:t xml:space="preserve"> Hook.f.</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Schisandraceae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Ho et al., 1995</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Juniperus polycarpos</w:t>
            </w:r>
            <w:r>
              <w:rPr>
                <w:rFonts w:asciiTheme="majorBidi" w:hAnsiTheme="majorBidi" w:cstheme="majorBidi"/>
                <w:sz w:val="24"/>
                <w:szCs w:val="24"/>
                <w:lang w:eastAsia="en-US"/>
              </w:rPr>
              <w:t xml:space="preserve"> </w:t>
            </w:r>
            <w:proofErr w:type="gramStart"/>
            <w:r>
              <w:rPr>
                <w:rFonts w:asciiTheme="majorBidi" w:hAnsiTheme="majorBidi" w:cstheme="majorBidi"/>
                <w:sz w:val="24"/>
                <w:szCs w:val="24"/>
                <w:lang w:eastAsia="en-US"/>
              </w:rPr>
              <w:t>K.Koch</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Cupressaceae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et al., 2017</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Juniperus sabina</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Cupressaceae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et al., 2017</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Kaempferia galanga</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Gundurao, 1966</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Lantana camara</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Verbenaceae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Kalita and Bhola, 2013; Rajashekar et al., 2014; Lee et al., 2020</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Laurelia sempervirens</w:t>
            </w:r>
            <w:r>
              <w:rPr>
                <w:rFonts w:asciiTheme="majorBidi" w:eastAsia="Calibri" w:hAnsiTheme="majorBidi" w:cstheme="majorBidi"/>
                <w:sz w:val="24"/>
                <w:szCs w:val="24"/>
                <w:lang w:eastAsia="en-GB"/>
              </w:rPr>
              <w:t> (Ruiz &amp; Pav.) Tul.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Atherospermataceae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Zapata and Smagghe, 2010; </w:t>
            </w:r>
            <w:r>
              <w:rPr>
                <w:rFonts w:asciiTheme="majorBidi" w:hAnsiTheme="majorBidi" w:cstheme="majorBidi"/>
                <w:sz w:val="24"/>
                <w:szCs w:val="24"/>
                <w:lang w:val="da-DK" w:eastAsia="en-US"/>
              </w:rPr>
              <w:t>Omar et al., 2021</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Laurus nobilis</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Saim and Meloan, 1986</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Litsea cubeba</w:t>
            </w:r>
            <w:r>
              <w:rPr>
                <w:rFonts w:asciiTheme="majorBidi" w:hAnsiTheme="majorBidi" w:cstheme="majorBidi"/>
                <w:sz w:val="24"/>
                <w:szCs w:val="24"/>
                <w:lang w:eastAsia="en-US"/>
              </w:rPr>
              <w:t xml:space="preserve"> (Lour.) Pers.</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Ko et al., 2009</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Litsea salicifolia</w:t>
            </w:r>
            <w:r>
              <w:rPr>
                <w:rFonts w:asciiTheme="majorBidi" w:hAnsiTheme="majorBidi" w:cstheme="majorBidi"/>
                <w:sz w:val="24"/>
                <w:szCs w:val="24"/>
                <w:lang w:eastAsia="en-US"/>
              </w:rPr>
              <w:t xml:space="preserve"> (Roxb. ex Nees) Hook.f.</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Ko et al., 2009</w:t>
            </w:r>
          </w:p>
        </w:tc>
      </w:tr>
      <w:tr w:rsidR="00DB7333">
        <w:tc>
          <w:tcPr>
            <w:tcW w:w="1916"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Manilkara zapota</w:t>
            </w:r>
            <w:r>
              <w:rPr>
                <w:rFonts w:asciiTheme="majorBidi" w:hAnsiTheme="majorBidi" w:cstheme="majorBidi"/>
                <w:sz w:val="24"/>
                <w:szCs w:val="24"/>
                <w:lang w:val="pl-PL" w:eastAsia="en-US"/>
              </w:rPr>
              <w:t xml:space="preserve"> (L.) P.Royen</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pl-PL" w:eastAsia="en-US"/>
              </w:rPr>
              <w:t>Sapotaceae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Abbasipour et al., 2011</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Mentha longifolia</w:t>
            </w:r>
            <w:r>
              <w:rPr>
                <w:rFonts w:asciiTheme="majorBidi" w:hAnsiTheme="majorBidi" w:cstheme="majorBidi"/>
                <w:sz w:val="24"/>
                <w:szCs w:val="24"/>
                <w:lang w:eastAsia="en-US"/>
              </w:rPr>
              <w:t xml:space="preserve"> (L.)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Memon et al., 2020</w:t>
            </w:r>
          </w:p>
        </w:tc>
      </w:tr>
      <w:tr w:rsidR="00DB7333">
        <w:tc>
          <w:tcPr>
            <w:tcW w:w="1916" w:type="pct"/>
          </w:tcPr>
          <w:p w:rsidR="00DB7333" w:rsidRDefault="00B47D9D">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t>Mentha</w:t>
            </w:r>
            <w:r>
              <w:rPr>
                <w:rFonts w:asciiTheme="majorBidi" w:hAnsiTheme="majorBidi" w:cstheme="majorBidi"/>
                <w:sz w:val="24"/>
                <w:szCs w:val="24"/>
                <w:lang w:eastAsia="en-US"/>
              </w:rPr>
              <w:t xml:space="preserve"> × </w:t>
            </w:r>
            <w:r>
              <w:rPr>
                <w:rFonts w:asciiTheme="majorBidi" w:hAnsiTheme="majorBidi" w:cstheme="majorBidi"/>
                <w:i/>
                <w:iCs/>
                <w:sz w:val="24"/>
                <w:szCs w:val="24"/>
                <w:lang w:eastAsia="en-US"/>
              </w:rPr>
              <w:t>piperita</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Lashgari et al., 2013</w:t>
            </w:r>
          </w:p>
        </w:tc>
      </w:tr>
      <w:tr w:rsidR="00DB7333">
        <w:tc>
          <w:tcPr>
            <w:tcW w:w="1916" w:type="pct"/>
          </w:tcPr>
          <w:p w:rsidR="00DB7333" w:rsidRDefault="00B47D9D">
            <w:pPr>
              <w:spacing w:line="480" w:lineRule="auto"/>
              <w:rPr>
                <w:rFonts w:asciiTheme="majorBidi" w:hAnsiTheme="majorBidi" w:cstheme="majorBidi"/>
                <w:i/>
                <w:iCs/>
                <w:sz w:val="24"/>
                <w:szCs w:val="24"/>
                <w:lang w:eastAsia="en-US"/>
              </w:rPr>
            </w:pPr>
            <w:r>
              <w:rPr>
                <w:rFonts w:asciiTheme="majorBidi" w:eastAsia="Calibri" w:hAnsiTheme="majorBidi" w:cstheme="majorBidi"/>
                <w:i/>
                <w:iCs/>
                <w:sz w:val="24"/>
                <w:szCs w:val="24"/>
                <w:lang w:eastAsia="en-GB"/>
              </w:rPr>
              <w:lastRenderedPageBreak/>
              <w:t>Mentha pulegium</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Lougraimzi et al., 2018; Heydarzade et al., 2019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Mentha spicata</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Heydarzade et al., 2019</w:t>
            </w:r>
          </w:p>
        </w:tc>
      </w:tr>
      <w:tr w:rsidR="00DB7333">
        <w:tc>
          <w:tcPr>
            <w:tcW w:w="1916" w:type="pct"/>
          </w:tcPr>
          <w:p w:rsidR="00DB7333" w:rsidRDefault="00B47D9D">
            <w:pPr>
              <w:spacing w:line="480" w:lineRule="auto"/>
              <w:rPr>
                <w:rFonts w:asciiTheme="majorBidi" w:eastAsiaTheme="minorHAnsi" w:hAnsiTheme="majorBidi" w:cstheme="majorBidi"/>
                <w:sz w:val="24"/>
                <w:szCs w:val="24"/>
                <w:lang w:eastAsia="en-US"/>
              </w:rPr>
            </w:pPr>
            <w:r>
              <w:rPr>
                <w:rFonts w:asciiTheme="majorBidi" w:hAnsiTheme="majorBidi" w:cstheme="majorBidi"/>
                <w:i/>
                <w:iCs/>
                <w:sz w:val="24"/>
                <w:szCs w:val="24"/>
                <w:lang w:val="zh-CN" w:eastAsia="en-US"/>
              </w:rPr>
              <w:t>Moringa oleifera</w:t>
            </w:r>
            <w:r>
              <w:rPr>
                <w:rFonts w:asciiTheme="majorBidi" w:hAnsiTheme="majorBidi" w:cstheme="majorBidi"/>
                <w:sz w:val="24"/>
                <w:szCs w:val="24"/>
                <w:lang w:eastAsia="en-US"/>
              </w:rPr>
              <w:t> Lam.</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Moringaceae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en-US" w:eastAsia="en-US"/>
              </w:rPr>
              <w:t>Haq et al., 2005</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Nigella sativa</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Ranunculaceae</w:t>
            </w:r>
          </w:p>
        </w:tc>
        <w:tc>
          <w:tcPr>
            <w:tcW w:w="138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Chaubey et al., 2007</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Ocimum basilicum</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Mostafa et al., 2012</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 xml:space="preserve">Origanum majorana </w:t>
            </w:r>
            <w:r>
              <w:rPr>
                <w:rFonts w:asciiTheme="majorBidi" w:hAnsiTheme="majorBidi" w:cstheme="majorBidi"/>
                <w:sz w:val="24"/>
                <w:szCs w:val="24"/>
                <w:lang w:eastAsia="en-US"/>
              </w:rPr>
              <w:t>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Demirel et al., 2009</w:t>
            </w:r>
          </w:p>
        </w:tc>
      </w:tr>
      <w:tr w:rsidR="00DB7333">
        <w:tc>
          <w:tcPr>
            <w:tcW w:w="1916"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Origanum minutiflorum</w:t>
            </w:r>
            <w:r>
              <w:rPr>
                <w:rFonts w:asciiTheme="majorBidi" w:hAnsiTheme="majorBidi" w:cstheme="majorBidi"/>
                <w:sz w:val="24"/>
                <w:szCs w:val="24"/>
                <w:lang w:val="pl-PL" w:eastAsia="en-US"/>
              </w:rPr>
              <w:t xml:space="preserve"> O.Schwarz &amp; P.H.Davis</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en-US" w:eastAsia="en-US"/>
              </w:rPr>
              <w:t>Demirel et al., 2009</w:t>
            </w:r>
          </w:p>
        </w:tc>
      </w:tr>
      <w:tr w:rsidR="00DB7333">
        <w:tc>
          <w:tcPr>
            <w:tcW w:w="1916"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eastAsia="en-US"/>
              </w:rPr>
              <w:t>Origanum onites</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Demirel et al., 2009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Ostericum sieboldii</w:t>
            </w:r>
            <w:r>
              <w:rPr>
                <w:rFonts w:asciiTheme="majorBidi" w:hAnsiTheme="majorBidi" w:cstheme="majorBidi"/>
                <w:sz w:val="24"/>
                <w:szCs w:val="24"/>
                <w:lang w:eastAsia="en-US"/>
              </w:rPr>
              <w:t xml:space="preserve"> (Miq.) Nakai</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pl-PL" w:eastAsia="en-US"/>
              </w:rPr>
              <w:t>Apiaceae</w:t>
            </w:r>
          </w:p>
        </w:tc>
        <w:tc>
          <w:tcPr>
            <w:tcW w:w="1386" w:type="pct"/>
          </w:tcPr>
          <w:p w:rsidR="00DB7333" w:rsidRDefault="00B47D9D">
            <w:pPr>
              <w:spacing w:line="480" w:lineRule="auto"/>
              <w:rPr>
                <w:rFonts w:asciiTheme="majorBidi" w:hAnsiTheme="majorBidi" w:cstheme="majorBidi"/>
                <w:b/>
                <w:bCs/>
                <w:sz w:val="24"/>
                <w:szCs w:val="24"/>
                <w:lang w:val="en-US" w:eastAsia="en-US"/>
              </w:rPr>
            </w:pPr>
            <w:r>
              <w:rPr>
                <w:rFonts w:asciiTheme="majorBidi" w:eastAsia="Calibri" w:hAnsiTheme="majorBidi" w:cstheme="majorBidi"/>
                <w:sz w:val="24"/>
                <w:szCs w:val="24"/>
                <w:lang w:eastAsia="en-GB"/>
              </w:rPr>
              <w:t>Liu et al., 2011</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Peganum harmala</w:t>
            </w:r>
            <w:r>
              <w:rPr>
                <w:rFonts w:asciiTheme="majorBidi" w:eastAsia="Calibri" w:hAnsiTheme="majorBidi" w:cstheme="majorBidi"/>
                <w:sz w:val="24"/>
                <w:szCs w:val="24"/>
                <w:lang w:eastAsia="en-GB"/>
              </w:rPr>
              <w:t> L.</w:t>
            </w:r>
          </w:p>
          <w:p w:rsidR="00DB7333" w:rsidRDefault="00DB7333">
            <w:pPr>
              <w:spacing w:line="480" w:lineRule="auto"/>
              <w:rPr>
                <w:rFonts w:asciiTheme="majorBidi" w:eastAsia="Calibri" w:hAnsiTheme="majorBidi" w:cstheme="majorBidi"/>
                <w:sz w:val="24"/>
                <w:szCs w:val="24"/>
                <w:lang w:eastAsia="en-GB"/>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Nitrariaceae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Jbilou et al., 2008; Ali et al., 2015</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Pelargonium graveolens</w:t>
            </w:r>
            <w:r>
              <w:rPr>
                <w:rFonts w:asciiTheme="majorBidi" w:hAnsiTheme="majorBidi" w:cstheme="majorBidi"/>
                <w:sz w:val="24"/>
                <w:szCs w:val="24"/>
                <w:lang w:eastAsia="en-US"/>
              </w:rPr>
              <w:t xml:space="preserve"> L'Hér.</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Geraniaceae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Abouelatta et al., 2020</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Persicaria hydropiper</w:t>
            </w:r>
            <w:r>
              <w:rPr>
                <w:rFonts w:asciiTheme="majorBidi" w:hAnsiTheme="majorBidi" w:cstheme="majorBidi"/>
                <w:sz w:val="24"/>
                <w:szCs w:val="24"/>
                <w:lang w:eastAsia="en-US"/>
              </w:rPr>
              <w:t xml:space="preserve"> (L.) Delarbre </w:t>
            </w:r>
          </w:p>
          <w:p w:rsidR="00DB7333" w:rsidRDefault="00B47D9D">
            <w:pPr>
              <w:spacing w:line="480" w:lineRule="auto"/>
              <w:rPr>
                <w:rFonts w:asciiTheme="majorBidi" w:hAnsiTheme="majorBidi" w:cstheme="majorBidi"/>
                <w:i/>
                <w:iCs/>
                <w:sz w:val="24"/>
                <w:szCs w:val="24"/>
                <w:lang w:eastAsia="en-US"/>
              </w:rPr>
            </w:pPr>
            <w:r>
              <w:rPr>
                <w:rFonts w:asciiTheme="majorBidi" w:hAnsiTheme="majorBidi" w:cstheme="majorBidi"/>
                <w:sz w:val="24"/>
                <w:szCs w:val="24"/>
                <w:lang w:eastAsia="en-US"/>
              </w:rPr>
              <w:t xml:space="preserve">(syn. </w:t>
            </w:r>
            <w:r>
              <w:rPr>
                <w:rFonts w:asciiTheme="majorBidi" w:hAnsiTheme="majorBidi" w:cstheme="majorBidi"/>
                <w:i/>
                <w:iCs/>
                <w:sz w:val="24"/>
                <w:szCs w:val="24"/>
                <w:lang w:eastAsia="en-US"/>
              </w:rPr>
              <w:t>Polygonum hydropiper</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Polygonaceae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Kundu et al., 2007</w:t>
            </w:r>
          </w:p>
        </w:tc>
      </w:tr>
      <w:tr w:rsidR="00DB7333">
        <w:tc>
          <w:tcPr>
            <w:tcW w:w="1916" w:type="pct"/>
          </w:tcPr>
          <w:p w:rsidR="00DB7333" w:rsidRDefault="00B47D9D">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t>Pimpinella anisum</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Hashem et al., 2018</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Piper cubeba</w:t>
            </w:r>
            <w:r>
              <w:rPr>
                <w:rFonts w:asciiTheme="majorBidi" w:hAnsiTheme="majorBidi" w:cstheme="majorBidi"/>
                <w:sz w:val="24"/>
                <w:szCs w:val="24"/>
                <w:lang w:eastAsia="en-US"/>
              </w:rPr>
              <w:t> L.f.</w:t>
            </w:r>
          </w:p>
          <w:p w:rsidR="00DB7333" w:rsidRDefault="00DB7333">
            <w:pPr>
              <w:spacing w:line="480" w:lineRule="auto"/>
              <w:rPr>
                <w:rFonts w:asciiTheme="majorBidi"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Piperaceae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Osman et al., 2011</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GB"/>
              </w:rPr>
            </w:pPr>
            <w:r>
              <w:rPr>
                <w:rFonts w:asciiTheme="majorBidi" w:eastAsia="CIDFont+F1" w:hAnsiTheme="majorBidi" w:cstheme="majorBidi"/>
                <w:i/>
                <w:iCs/>
                <w:sz w:val="24"/>
                <w:szCs w:val="24"/>
                <w:lang w:val="zh-CN" w:eastAsia="en-GB"/>
              </w:rPr>
              <w:lastRenderedPageBreak/>
              <w:t>Piper nigrum</w:t>
            </w:r>
            <w:r>
              <w:rPr>
                <w:rFonts w:asciiTheme="majorBidi" w:eastAsia="CIDFont+F1" w:hAnsiTheme="majorBidi" w:cstheme="majorBidi"/>
                <w:sz w:val="24"/>
                <w:szCs w:val="24"/>
                <w:lang w:eastAsia="en-GB"/>
              </w:rPr>
              <w:t> L.</w:t>
            </w:r>
          </w:p>
          <w:p w:rsidR="00DB7333" w:rsidRDefault="00DB7333">
            <w:pPr>
              <w:spacing w:line="480" w:lineRule="auto"/>
              <w:rPr>
                <w:rFonts w:asciiTheme="majorBidi"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Piperaceae</w:t>
            </w:r>
          </w:p>
        </w:tc>
        <w:tc>
          <w:tcPr>
            <w:tcW w:w="1386" w:type="pct"/>
          </w:tcPr>
          <w:p w:rsidR="00DB7333" w:rsidRDefault="00B47D9D">
            <w:pPr>
              <w:spacing w:line="480" w:lineRule="auto"/>
              <w:rPr>
                <w:rFonts w:asciiTheme="majorBidi" w:eastAsia="Calibri" w:hAnsiTheme="majorBidi" w:cstheme="majorBidi"/>
                <w:sz w:val="24"/>
                <w:szCs w:val="24"/>
                <w:lang w:eastAsia="en-GB"/>
              </w:rPr>
            </w:pPr>
            <w:bookmarkStart w:id="2" w:name="_Hlk196062314"/>
            <w:r>
              <w:rPr>
                <w:rFonts w:asciiTheme="majorBidi" w:hAnsiTheme="majorBidi" w:cstheme="majorBidi"/>
                <w:sz w:val="24"/>
                <w:szCs w:val="24"/>
                <w:lang w:eastAsia="en-US"/>
              </w:rPr>
              <w:t>Upadhyay and Jaiswal</w:t>
            </w:r>
            <w:bookmarkEnd w:id="2"/>
            <w:r>
              <w:rPr>
                <w:rFonts w:asciiTheme="majorBidi" w:hAnsiTheme="majorBidi" w:cstheme="majorBidi"/>
                <w:sz w:val="24"/>
                <w:szCs w:val="24"/>
                <w:lang w:eastAsia="en-US"/>
              </w:rPr>
              <w:t xml:space="preserve">, 2007; </w:t>
            </w:r>
            <w:r>
              <w:rPr>
                <w:rFonts w:asciiTheme="majorBidi" w:eastAsia="Calibri" w:hAnsiTheme="majorBidi" w:cstheme="majorBidi"/>
                <w:sz w:val="24"/>
                <w:szCs w:val="24"/>
                <w:lang w:eastAsia="en-GB"/>
              </w:rPr>
              <w:t>Mary, 2017</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GB"/>
              </w:rPr>
            </w:pPr>
            <w:r>
              <w:rPr>
                <w:rFonts w:asciiTheme="majorBidi" w:hAnsiTheme="majorBidi" w:cstheme="majorBidi"/>
                <w:i/>
                <w:iCs/>
                <w:sz w:val="24"/>
                <w:szCs w:val="24"/>
                <w:lang w:eastAsia="en-US"/>
              </w:rPr>
              <w:t>Pistacia lentiscus</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Anacardiaceae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eastAsia="en-GB"/>
              </w:rPr>
              <w:t>Bachrouch et al., 2010</w:t>
            </w:r>
          </w:p>
        </w:tc>
      </w:tr>
      <w:tr w:rsidR="00DB7333">
        <w:trPr>
          <w:trHeight w:val="44"/>
        </w:trPr>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Psidium guajava</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Rajashekar et al., 2014</w:t>
            </w:r>
          </w:p>
        </w:tc>
      </w:tr>
      <w:tr w:rsidR="00DB7333">
        <w:tc>
          <w:tcPr>
            <w:tcW w:w="1916" w:type="pct"/>
          </w:tcPr>
          <w:p w:rsidR="00DB7333" w:rsidRDefault="00B47D9D">
            <w:pPr>
              <w:spacing w:line="480" w:lineRule="auto"/>
              <w:rPr>
                <w:rFonts w:asciiTheme="majorBidi" w:eastAsia="CIDFont+F1" w:hAnsiTheme="majorBidi" w:cstheme="majorBidi"/>
                <w:sz w:val="24"/>
                <w:szCs w:val="24"/>
                <w:lang w:eastAsia="en-GB"/>
              </w:rPr>
            </w:pPr>
            <w:r>
              <w:rPr>
                <w:rFonts w:asciiTheme="majorBidi" w:hAnsiTheme="majorBidi" w:cstheme="majorBidi"/>
                <w:i/>
                <w:iCs/>
                <w:sz w:val="24"/>
                <w:szCs w:val="24"/>
                <w:lang w:eastAsia="en-US"/>
              </w:rPr>
              <w:t>Punica granatum</w:t>
            </w:r>
            <w:r>
              <w:rPr>
                <w:rFonts w:asciiTheme="majorBidi"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Lythraceae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Gandhi et al., 2010</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Ranunculus reptabundus</w:t>
            </w:r>
            <w:r>
              <w:rPr>
                <w:rFonts w:asciiTheme="majorBidi" w:hAnsiTheme="majorBidi" w:cstheme="majorBidi"/>
                <w:sz w:val="24"/>
                <w:szCs w:val="24"/>
                <w:lang w:eastAsia="en-US"/>
              </w:rPr>
              <w:t xml:space="preserve"> Rupr. (syn. </w:t>
            </w:r>
            <w:r>
              <w:rPr>
                <w:rFonts w:asciiTheme="majorBidi" w:hAnsiTheme="majorBidi" w:cstheme="majorBidi"/>
                <w:i/>
                <w:iCs/>
                <w:sz w:val="24"/>
                <w:szCs w:val="24"/>
                <w:lang w:eastAsia="en-US"/>
              </w:rPr>
              <w:t>Ranunculus scleratoides</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Ranunculaceae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Bhattacharya et al., 1993</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Ricinus communis</w:t>
            </w:r>
            <w:r>
              <w:rPr>
                <w:rFonts w:asciiTheme="majorBidi" w:hAnsiTheme="majorBidi" w:cstheme="majorBidi"/>
                <w:sz w:val="24"/>
                <w:szCs w:val="24"/>
                <w:lang w:eastAsia="en-US"/>
              </w:rPr>
              <w:t> L.</w:t>
            </w:r>
          </w:p>
          <w:p w:rsidR="00DB7333" w:rsidRDefault="00DB7333">
            <w:pPr>
              <w:spacing w:line="480" w:lineRule="auto"/>
              <w:rPr>
                <w:rFonts w:asciiTheme="majorBidi"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Euphorbiaceae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Hamouda et al., 2014</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Ridolfia segetum</w:t>
            </w:r>
            <w:r>
              <w:rPr>
                <w:rFonts w:asciiTheme="majorBidi" w:eastAsia="Calibri" w:hAnsiTheme="majorBidi" w:cstheme="majorBidi"/>
                <w:sz w:val="24"/>
                <w:szCs w:val="24"/>
                <w:lang w:eastAsia="en-GB"/>
              </w:rPr>
              <w:t> (Guss.) Moris</w:t>
            </w:r>
          </w:p>
          <w:p w:rsidR="00DB7333" w:rsidRDefault="00B47D9D">
            <w:pPr>
              <w:spacing w:line="480" w:lineRule="auto"/>
              <w:rPr>
                <w:rFonts w:asciiTheme="majorBidi" w:hAnsiTheme="majorBidi" w:cstheme="majorBidi"/>
                <w:sz w:val="24"/>
                <w:szCs w:val="24"/>
                <w:lang w:val="zh-CN" w:eastAsia="en-US"/>
              </w:rPr>
            </w:pPr>
            <w:r>
              <w:rPr>
                <w:rFonts w:asciiTheme="majorBidi" w:eastAsia="Calibri" w:hAnsiTheme="majorBidi" w:cstheme="majorBidi"/>
                <w:sz w:val="24"/>
                <w:szCs w:val="24"/>
                <w:lang w:eastAsia="en-GB"/>
              </w:rPr>
              <w:t xml:space="preserve">(syn. </w:t>
            </w:r>
            <w:r>
              <w:rPr>
                <w:rFonts w:asciiTheme="majorBidi" w:eastAsia="Calibri" w:hAnsiTheme="majorBidi" w:cstheme="majorBidi"/>
                <w:i/>
                <w:iCs/>
                <w:sz w:val="24"/>
                <w:szCs w:val="24"/>
                <w:lang w:val="zh-CN" w:eastAsia="en-GB"/>
              </w:rPr>
              <w:t>Anethum graveolens</w:t>
            </w:r>
            <w:r>
              <w:rPr>
                <w:rFonts w:asciiTheme="majorBidi" w:eastAsia="Calibri" w:hAnsiTheme="majorBidi" w:cstheme="majorBidi"/>
                <w:sz w:val="24"/>
                <w:szCs w:val="24"/>
                <w:lang w:eastAsia="en-GB"/>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Chaubey et al., 2007; Al-Janabi, 2019</w:t>
            </w:r>
          </w:p>
        </w:tc>
      </w:tr>
      <w:tr w:rsidR="00DB7333">
        <w:tc>
          <w:tcPr>
            <w:tcW w:w="1916" w:type="pct"/>
          </w:tcPr>
          <w:p w:rsidR="00DB7333" w:rsidRDefault="00B47D9D">
            <w:pPr>
              <w:spacing w:line="480" w:lineRule="auto"/>
              <w:rPr>
                <w:rFonts w:asciiTheme="majorBidi" w:eastAsia="Calibri" w:hAnsiTheme="majorBidi" w:cstheme="majorBidi"/>
                <w:i/>
                <w:iCs/>
                <w:sz w:val="24"/>
                <w:szCs w:val="24"/>
                <w:lang w:val="zh-CN" w:eastAsia="en-GB"/>
              </w:rPr>
            </w:pPr>
            <w:r>
              <w:rPr>
                <w:rFonts w:asciiTheme="majorBidi" w:hAnsiTheme="majorBidi" w:cstheme="majorBidi"/>
                <w:i/>
                <w:iCs/>
                <w:sz w:val="24"/>
                <w:szCs w:val="24"/>
                <w:lang w:val="da-DK" w:eastAsia="en-US"/>
              </w:rPr>
              <w:t>Salvia abrotanoides</w:t>
            </w:r>
            <w:r>
              <w:rPr>
                <w:rFonts w:asciiTheme="majorBidi" w:hAnsiTheme="majorBidi" w:cstheme="majorBidi"/>
                <w:sz w:val="24"/>
                <w:szCs w:val="24"/>
                <w:lang w:val="da-DK" w:eastAsia="en-US"/>
              </w:rPr>
              <w:t xml:space="preserve"> (Kar.) Sytsma (syn. </w:t>
            </w:r>
            <w:r>
              <w:rPr>
                <w:rFonts w:asciiTheme="majorBidi" w:hAnsiTheme="majorBidi" w:cstheme="majorBidi"/>
                <w:i/>
                <w:iCs/>
                <w:sz w:val="24"/>
                <w:szCs w:val="24"/>
                <w:lang w:val="da-DK" w:eastAsia="en-US"/>
              </w:rPr>
              <w:t>Perovskia abrotanoides</w:t>
            </w:r>
            <w:r>
              <w:rPr>
                <w:rFonts w:asciiTheme="majorBidi" w:hAnsiTheme="majorBidi" w:cstheme="majorBidi"/>
                <w:sz w:val="24"/>
                <w:szCs w:val="24"/>
                <w:lang w:val="da-DK"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Farshad et al., 2008</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Salvia rosmarinus</w:t>
            </w:r>
            <w:r>
              <w:rPr>
                <w:rFonts w:asciiTheme="majorBidi" w:eastAsia="Calibri" w:hAnsiTheme="majorBidi" w:cstheme="majorBidi"/>
                <w:sz w:val="24"/>
                <w:szCs w:val="24"/>
                <w:lang w:eastAsia="en-GB"/>
              </w:rPr>
              <w:t xml:space="preserve"> Spenn. (syn. </w:t>
            </w:r>
            <w:r>
              <w:rPr>
                <w:rFonts w:asciiTheme="majorBidi" w:eastAsia="Calibri" w:hAnsiTheme="majorBidi" w:cstheme="majorBidi"/>
                <w:i/>
                <w:iCs/>
                <w:sz w:val="24"/>
                <w:szCs w:val="24"/>
                <w:lang w:eastAsia="en-GB"/>
              </w:rPr>
              <w:t>Rosmarinus officinalis</w:t>
            </w:r>
            <w:r>
              <w:rPr>
                <w:rFonts w:asciiTheme="majorBidi" w:eastAsia="Calibri" w:hAnsiTheme="majorBidi" w:cstheme="majorBidi"/>
                <w:sz w:val="24"/>
                <w:szCs w:val="24"/>
                <w:lang w:eastAsia="en-GB"/>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Zaka et al., 2019</w:t>
            </w:r>
          </w:p>
        </w:tc>
      </w:tr>
      <w:tr w:rsidR="00DB7333">
        <w:tc>
          <w:tcPr>
            <w:tcW w:w="1916" w:type="pct"/>
          </w:tcPr>
          <w:p w:rsidR="00DB7333" w:rsidRDefault="00B47D9D">
            <w:pPr>
              <w:spacing w:line="480" w:lineRule="auto"/>
              <w:rPr>
                <w:rFonts w:asciiTheme="majorBidi" w:eastAsia="Calibri" w:hAnsiTheme="majorBidi" w:cstheme="majorBidi"/>
                <w:i/>
                <w:iCs/>
                <w:sz w:val="24"/>
                <w:szCs w:val="24"/>
                <w:lang w:eastAsia="en-GB"/>
              </w:rPr>
            </w:pPr>
            <w:r>
              <w:rPr>
                <w:rFonts w:asciiTheme="majorBidi" w:eastAsia="Calibri" w:hAnsiTheme="majorBidi" w:cstheme="majorBidi"/>
                <w:i/>
                <w:iCs/>
                <w:sz w:val="24"/>
                <w:szCs w:val="24"/>
                <w:lang w:eastAsia="en-GB"/>
              </w:rPr>
              <w:t>Satureja hortensis</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Maede et al., 2011</w:t>
            </w:r>
          </w:p>
        </w:tc>
      </w:tr>
      <w:tr w:rsidR="00DB7333">
        <w:tc>
          <w:tcPr>
            <w:tcW w:w="1916" w:type="pct"/>
          </w:tcPr>
          <w:p w:rsidR="00DB7333" w:rsidRDefault="00B47D9D">
            <w:pPr>
              <w:spacing w:line="480" w:lineRule="auto"/>
              <w:rPr>
                <w:rFonts w:asciiTheme="majorBidi" w:eastAsia="Calibri" w:hAnsiTheme="majorBidi" w:cstheme="majorBidi"/>
                <w:sz w:val="24"/>
                <w:szCs w:val="24"/>
                <w:lang w:val="pl-PL" w:eastAsia="en-GB"/>
              </w:rPr>
            </w:pPr>
            <w:r>
              <w:rPr>
                <w:rFonts w:asciiTheme="majorBidi" w:eastAsia="Calibri" w:hAnsiTheme="majorBidi" w:cstheme="majorBidi"/>
                <w:i/>
                <w:iCs/>
                <w:sz w:val="24"/>
                <w:szCs w:val="24"/>
                <w:lang w:val="pl-PL" w:eastAsia="en-GB"/>
              </w:rPr>
              <w:t>Saraca indica</w:t>
            </w:r>
            <w:r>
              <w:rPr>
                <w:rFonts w:asciiTheme="majorBidi" w:eastAsia="Calibri" w:hAnsiTheme="majorBidi" w:cstheme="majorBidi"/>
                <w:sz w:val="24"/>
                <w:szCs w:val="24"/>
                <w:lang w:val="pl-PL"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Fabaceae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eastAsia="en-US"/>
              </w:rPr>
              <w:t>Savita</w:t>
            </w:r>
            <w:r>
              <w:rPr>
                <w:rFonts w:asciiTheme="majorBidi" w:eastAsia="Calibri" w:hAnsiTheme="majorBidi" w:cstheme="majorBidi"/>
                <w:sz w:val="24"/>
                <w:szCs w:val="24"/>
                <w:lang w:val="da-DK" w:eastAsia="en-GB"/>
              </w:rPr>
              <w:t xml:space="preserve"> et al., 2018</w:t>
            </w:r>
          </w:p>
        </w:tc>
      </w:tr>
      <w:tr w:rsidR="00DB7333">
        <w:tc>
          <w:tcPr>
            <w:tcW w:w="1916"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Senna alata</w:t>
            </w:r>
            <w:r>
              <w:rPr>
                <w:rFonts w:asciiTheme="majorBidi" w:hAnsiTheme="majorBidi" w:cstheme="majorBidi"/>
                <w:sz w:val="24"/>
                <w:szCs w:val="24"/>
                <w:lang w:val="pl-PL" w:eastAsia="en-US"/>
              </w:rPr>
              <w:t xml:space="preserve"> (L.) Roxb. (syn. </w:t>
            </w:r>
            <w:r>
              <w:rPr>
                <w:rFonts w:asciiTheme="majorBidi" w:hAnsiTheme="majorBidi" w:cstheme="majorBidi"/>
                <w:i/>
                <w:iCs/>
                <w:sz w:val="24"/>
                <w:szCs w:val="24"/>
                <w:lang w:val="pl-PL" w:eastAsia="en-US"/>
              </w:rPr>
              <w:t>Cassia alata</w:t>
            </w:r>
            <w:r>
              <w:rPr>
                <w:rFonts w:asciiTheme="majorBidi" w:hAnsiTheme="majorBidi" w:cstheme="majorBidi"/>
                <w:sz w:val="24"/>
                <w:szCs w:val="24"/>
                <w:lang w:val="pl-PL"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Fabaceae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Upadhyay et al., 2016</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lastRenderedPageBreak/>
              <w:t>Sphaeranthus indicus</w:t>
            </w:r>
            <w:r>
              <w:rPr>
                <w:rFonts w:asciiTheme="majorBidi" w:hAnsiTheme="majorBidi" w:cstheme="majorBidi"/>
                <w:sz w:val="24"/>
                <w:szCs w:val="24"/>
                <w:lang w:eastAsia="en-US"/>
              </w:rPr>
              <w:t>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Tiwari and Saxena, 1993</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Swietenia mahagoni</w:t>
            </w:r>
            <w:r>
              <w:rPr>
                <w:rFonts w:asciiTheme="majorBidi" w:hAnsiTheme="majorBidi" w:cstheme="majorBidi"/>
                <w:sz w:val="24"/>
                <w:szCs w:val="24"/>
                <w:lang w:eastAsia="en-US"/>
              </w:rPr>
              <w:t xml:space="preserve"> (L.) Jacq.</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Rajashekar et al., 2014</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Syzygium aromaticum</w:t>
            </w:r>
            <w:r>
              <w:rPr>
                <w:rFonts w:asciiTheme="majorBidi" w:eastAsia="Calibri" w:hAnsiTheme="majorBidi" w:cstheme="majorBidi"/>
                <w:sz w:val="24"/>
                <w:szCs w:val="24"/>
                <w:lang w:eastAsia="en-GB"/>
              </w:rPr>
              <w:t xml:space="preserve"> (L.) Merr. &amp; L.</w:t>
            </w:r>
            <w:proofErr w:type="gramStart"/>
            <w:r>
              <w:rPr>
                <w:rFonts w:asciiTheme="majorBidi" w:eastAsia="Calibri" w:hAnsiTheme="majorBidi" w:cstheme="majorBidi"/>
                <w:sz w:val="24"/>
                <w:szCs w:val="24"/>
                <w:lang w:eastAsia="en-GB"/>
              </w:rPr>
              <w:t>M.Perry</w:t>
            </w:r>
            <w:proofErr w:type="gramEnd"/>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Ho et al., 1994; Zapata and Smagghe, 2010; Mishra et al., 2016</w:t>
            </w:r>
          </w:p>
        </w:tc>
      </w:tr>
      <w:tr w:rsidR="00DB7333">
        <w:tc>
          <w:tcPr>
            <w:tcW w:w="191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i/>
                <w:iCs/>
                <w:sz w:val="24"/>
                <w:szCs w:val="24"/>
                <w:lang w:val="da-DK" w:eastAsia="en-GB"/>
              </w:rPr>
              <w:t>Tagetes erecta</w:t>
            </w:r>
            <w:r>
              <w:rPr>
                <w:rFonts w:asciiTheme="majorBidi" w:eastAsia="Calibri" w:hAnsiTheme="majorBidi" w:cstheme="majorBidi"/>
                <w:sz w:val="24"/>
                <w:szCs w:val="24"/>
                <w:lang w:val="da-DK" w:eastAsia="en-GB"/>
              </w:rPr>
              <w:t xml:space="preserve"> L. (syn. </w:t>
            </w:r>
            <w:r>
              <w:rPr>
                <w:rFonts w:asciiTheme="majorBidi" w:eastAsia="Calibri" w:hAnsiTheme="majorBidi" w:cstheme="majorBidi"/>
                <w:i/>
                <w:iCs/>
                <w:sz w:val="24"/>
                <w:szCs w:val="24"/>
                <w:lang w:val="da-DK" w:eastAsia="en-GB"/>
              </w:rPr>
              <w:t>Tagetes patula</w:t>
            </w:r>
            <w:r>
              <w:rPr>
                <w:rFonts w:asciiTheme="majorBidi" w:eastAsia="Calibri" w:hAnsiTheme="majorBidi" w:cstheme="majorBidi"/>
                <w:sz w:val="24"/>
                <w:szCs w:val="24"/>
                <w:lang w:val="da-DK" w:eastAsia="en-GB"/>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Islam and Talukder, 2005; </w:t>
            </w:r>
            <w:r>
              <w:rPr>
                <w:rFonts w:asciiTheme="majorBidi" w:hAnsiTheme="majorBidi" w:cstheme="majorBidi"/>
                <w:sz w:val="24"/>
                <w:szCs w:val="24"/>
                <w:lang w:val="da-DK" w:eastAsia="en-US"/>
              </w:rPr>
              <w:t>Zaka et al., 2019</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IDFont+F1" w:hAnsiTheme="majorBidi" w:cstheme="majorBidi"/>
                <w:i/>
                <w:iCs/>
                <w:sz w:val="24"/>
                <w:szCs w:val="24"/>
                <w:lang w:eastAsia="en-US"/>
              </w:rPr>
              <w:t>Tagetes terniflora</w:t>
            </w:r>
            <w:r>
              <w:rPr>
                <w:rFonts w:asciiTheme="majorBidi" w:eastAsia="CIDFont+F1" w:hAnsiTheme="majorBidi" w:cstheme="majorBidi"/>
                <w:sz w:val="24"/>
                <w:szCs w:val="24"/>
                <w:lang w:eastAsia="en-US"/>
              </w:rPr>
              <w:t xml:space="preserve"> Kunth</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Stefanazzi et al., 2006</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Tanacetum cinerariifolium</w:t>
            </w:r>
            <w:r>
              <w:rPr>
                <w:rFonts w:asciiTheme="majorBidi" w:eastAsia="Calibri" w:hAnsiTheme="majorBidi" w:cstheme="majorBidi"/>
                <w:sz w:val="24"/>
                <w:szCs w:val="24"/>
                <w:lang w:eastAsia="en-GB"/>
              </w:rPr>
              <w:t xml:space="preserve"> (Trevir.) Sch.Bip.</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Lee et al., 2020</w:t>
            </w:r>
          </w:p>
        </w:tc>
      </w:tr>
      <w:tr w:rsidR="00DB7333">
        <w:tc>
          <w:tcPr>
            <w:tcW w:w="1916" w:type="pct"/>
          </w:tcPr>
          <w:p w:rsidR="00DB7333" w:rsidRDefault="00B47D9D">
            <w:pPr>
              <w:spacing w:line="480" w:lineRule="auto"/>
              <w:rPr>
                <w:rFonts w:asciiTheme="majorBidi" w:eastAsia="Calibri" w:hAnsiTheme="majorBidi" w:cstheme="majorBidi"/>
                <w:i/>
                <w:iCs/>
                <w:sz w:val="24"/>
                <w:szCs w:val="24"/>
                <w:lang w:eastAsia="en-GB"/>
              </w:rPr>
            </w:pPr>
            <w:r>
              <w:rPr>
                <w:rFonts w:asciiTheme="majorBidi" w:eastAsia="Calibri" w:hAnsiTheme="majorBidi" w:cstheme="majorBidi"/>
                <w:i/>
                <w:iCs/>
                <w:sz w:val="24"/>
                <w:szCs w:val="24"/>
                <w:lang w:eastAsia="en-GB"/>
              </w:rPr>
              <w:t>Teucrium polium</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Ebadallahi et al., 2020</w:t>
            </w:r>
          </w:p>
        </w:tc>
      </w:tr>
      <w:tr w:rsidR="00DB7333">
        <w:tc>
          <w:tcPr>
            <w:tcW w:w="1916" w:type="pct"/>
          </w:tcPr>
          <w:p w:rsidR="00DB7333" w:rsidRDefault="00B47D9D">
            <w:pPr>
              <w:spacing w:line="480" w:lineRule="auto"/>
              <w:rPr>
                <w:rFonts w:asciiTheme="majorBidi" w:eastAsia="Calibri" w:hAnsiTheme="majorBidi" w:cstheme="majorBidi"/>
                <w:i/>
                <w:iCs/>
                <w:sz w:val="24"/>
                <w:szCs w:val="24"/>
                <w:lang w:eastAsia="en-GB"/>
              </w:rPr>
            </w:pPr>
            <w:r>
              <w:rPr>
                <w:rFonts w:asciiTheme="majorBidi" w:eastAsia="CIDFont+F1" w:hAnsiTheme="majorBidi" w:cstheme="majorBidi"/>
                <w:i/>
                <w:iCs/>
                <w:sz w:val="24"/>
                <w:szCs w:val="24"/>
                <w:lang w:eastAsia="en-US"/>
              </w:rPr>
              <w:t>Thymus persicus</w:t>
            </w:r>
            <w:r>
              <w:rPr>
                <w:rFonts w:asciiTheme="majorBidi" w:eastAsia="CIDFont+F1" w:hAnsiTheme="majorBidi" w:cstheme="majorBidi"/>
                <w:sz w:val="24"/>
                <w:szCs w:val="24"/>
                <w:lang w:eastAsia="en-US"/>
              </w:rPr>
              <w:t xml:space="preserve"> (Ronniger ex Rech.f.) Jalas</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Saroukolai et al., 2010</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val="zh-CN" w:eastAsia="en-US"/>
              </w:rPr>
              <w:t>Thymus syriacus</w:t>
            </w:r>
            <w:r>
              <w:rPr>
                <w:rFonts w:asciiTheme="majorBidi" w:hAnsiTheme="majorBidi" w:cstheme="majorBidi"/>
                <w:sz w:val="24"/>
                <w:szCs w:val="24"/>
                <w:lang w:eastAsia="en-US"/>
              </w:rPr>
              <w:t xml:space="preserve"> Boiss. (syn. </w:t>
            </w:r>
            <w:r>
              <w:rPr>
                <w:rFonts w:asciiTheme="majorBidi" w:hAnsiTheme="majorBidi" w:cstheme="majorBidi"/>
                <w:i/>
                <w:iCs/>
                <w:sz w:val="24"/>
                <w:szCs w:val="24"/>
                <w:lang w:eastAsia="en-US"/>
              </w:rPr>
              <w:t>Origanum syriacum</w:t>
            </w:r>
            <w:r>
              <w:rPr>
                <w:rFonts w:asciiTheme="majorBidi" w:hAnsiTheme="majorBidi" w:cstheme="majorBidi"/>
                <w:sz w:val="24"/>
                <w:szCs w:val="24"/>
                <w:lang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Demirel et al., 2009</w:t>
            </w:r>
          </w:p>
        </w:tc>
      </w:tr>
      <w:tr w:rsidR="00DB7333">
        <w:tc>
          <w:tcPr>
            <w:tcW w:w="1916" w:type="pct"/>
          </w:tcPr>
          <w:p w:rsidR="00DB7333" w:rsidRDefault="00B47D9D">
            <w:pPr>
              <w:spacing w:line="480" w:lineRule="auto"/>
              <w:rPr>
                <w:rFonts w:asciiTheme="majorBidi" w:hAnsiTheme="majorBidi" w:cstheme="majorBidi"/>
                <w:i/>
                <w:iCs/>
                <w:sz w:val="24"/>
                <w:szCs w:val="24"/>
                <w:lang w:val="zh-CN" w:eastAsia="en-US"/>
              </w:rPr>
            </w:pPr>
            <w:r>
              <w:rPr>
                <w:rFonts w:asciiTheme="majorBidi" w:eastAsia="Calibri" w:hAnsiTheme="majorBidi" w:cstheme="majorBidi"/>
                <w:i/>
                <w:iCs/>
                <w:sz w:val="24"/>
                <w:szCs w:val="24"/>
                <w:lang w:eastAsia="en-GB"/>
              </w:rPr>
              <w:t>Thymus vulgaris</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Al-Janabi, 2019</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val="pl-PL" w:eastAsia="en-US"/>
              </w:rPr>
              <w:t>Trachyspermum ammi</w:t>
            </w:r>
            <w:r>
              <w:rPr>
                <w:rFonts w:asciiTheme="majorBidi" w:hAnsiTheme="majorBidi" w:cstheme="majorBidi"/>
                <w:sz w:val="24"/>
                <w:szCs w:val="24"/>
                <w:lang w:val="pl-PL" w:eastAsia="en-US"/>
              </w:rPr>
              <w:t xml:space="preserve"> (L.) Sprague (syn. </w:t>
            </w:r>
            <w:r>
              <w:rPr>
                <w:rFonts w:asciiTheme="majorBidi" w:eastAsiaTheme="minorHAnsi" w:hAnsiTheme="majorBidi" w:cstheme="majorBidi"/>
                <w:i/>
                <w:iCs/>
                <w:sz w:val="24"/>
                <w:szCs w:val="24"/>
                <w:lang w:val="zh-CN" w:eastAsia="en-US"/>
              </w:rPr>
              <w:t>Carum copticum</w:t>
            </w:r>
            <w:r>
              <w:rPr>
                <w:rFonts w:asciiTheme="majorBidi" w:hAnsiTheme="majorBidi" w:cstheme="majorBidi"/>
                <w:sz w:val="24"/>
                <w:szCs w:val="24"/>
                <w:lang w:val="pl-PL" w:eastAsia="en-US"/>
              </w:rPr>
              <w:t>)</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Apiaceae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Habashi et al., 2011</w:t>
            </w:r>
          </w:p>
        </w:tc>
      </w:tr>
      <w:tr w:rsidR="00DB7333">
        <w:tc>
          <w:tcPr>
            <w:tcW w:w="1916" w:type="pct"/>
          </w:tcPr>
          <w:p w:rsidR="00DB7333" w:rsidRDefault="00B47D9D">
            <w:pPr>
              <w:spacing w:line="480" w:lineRule="auto"/>
              <w:rPr>
                <w:rFonts w:asciiTheme="majorBidi" w:hAnsiTheme="majorBidi" w:cstheme="majorBidi"/>
                <w:i/>
                <w:iCs/>
                <w:sz w:val="24"/>
                <w:szCs w:val="24"/>
                <w:lang w:val="pl-PL" w:eastAsia="en-US"/>
              </w:rPr>
            </w:pPr>
            <w:r>
              <w:rPr>
                <w:rFonts w:asciiTheme="majorBidi" w:eastAsia="Calibri" w:hAnsiTheme="majorBidi" w:cstheme="majorBidi"/>
                <w:i/>
                <w:iCs/>
                <w:sz w:val="24"/>
                <w:szCs w:val="24"/>
                <w:lang w:val="zh-CN" w:eastAsia="en-GB"/>
              </w:rPr>
              <w:lastRenderedPageBreak/>
              <w:t>Trachyspermum ammi</w:t>
            </w:r>
            <w:r>
              <w:rPr>
                <w:rFonts w:asciiTheme="majorBidi" w:eastAsia="Calibri" w:hAnsiTheme="majorBidi" w:cstheme="majorBidi"/>
                <w:sz w:val="24"/>
                <w:szCs w:val="24"/>
                <w:lang w:eastAsia="en-GB"/>
              </w:rPr>
              <w:t> (L.) Sprague</w:t>
            </w:r>
          </w:p>
        </w:tc>
        <w:tc>
          <w:tcPr>
            <w:tcW w:w="1698" w:type="pct"/>
          </w:tcPr>
          <w:p w:rsidR="00DB7333" w:rsidRDefault="00B47D9D">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Apiaceae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Chaubey, 2007</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Trigonella foenum-graecum</w:t>
            </w:r>
            <w:r>
              <w:rPr>
                <w:rFonts w:asciiTheme="majorBidi" w:eastAsia="Calibri" w:hAnsiTheme="majorBidi" w:cstheme="majorBidi"/>
                <w:sz w:val="24"/>
                <w:szCs w:val="24"/>
                <w:lang w:eastAsia="en-GB"/>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Fabaceae</w:t>
            </w:r>
          </w:p>
        </w:tc>
        <w:tc>
          <w:tcPr>
            <w:tcW w:w="1386" w:type="pct"/>
          </w:tcPr>
          <w:p w:rsidR="00DB7333" w:rsidRDefault="00B47D9D">
            <w:pPr>
              <w:spacing w:line="480" w:lineRule="auto"/>
              <w:rPr>
                <w:rFonts w:asciiTheme="majorBidi" w:eastAsia="Calibri" w:hAnsiTheme="majorBidi" w:cstheme="majorBidi"/>
                <w:sz w:val="24"/>
                <w:szCs w:val="24"/>
                <w:lang w:eastAsia="en-GB"/>
              </w:rPr>
            </w:pPr>
            <w:bookmarkStart w:id="3" w:name="_Hlk195534229"/>
            <w:r>
              <w:rPr>
                <w:rFonts w:asciiTheme="majorBidi" w:eastAsia="Calibri" w:hAnsiTheme="majorBidi" w:cstheme="majorBidi"/>
                <w:sz w:val="24"/>
                <w:szCs w:val="24"/>
                <w:lang w:eastAsia="en-GB"/>
              </w:rPr>
              <w:t>Al-Janabi</w:t>
            </w:r>
            <w:bookmarkEnd w:id="3"/>
            <w:r>
              <w:rPr>
                <w:rFonts w:asciiTheme="majorBidi" w:eastAsia="Calibri" w:hAnsiTheme="majorBidi" w:cstheme="majorBidi"/>
                <w:sz w:val="24"/>
                <w:szCs w:val="24"/>
                <w:lang w:eastAsia="en-GB"/>
              </w:rPr>
              <w:t>, 2019</w:t>
            </w:r>
          </w:p>
        </w:tc>
      </w:tr>
      <w:tr w:rsidR="00DB7333">
        <w:tc>
          <w:tcPr>
            <w:tcW w:w="191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IDFont+F1" w:hAnsiTheme="majorBidi" w:cstheme="majorBidi"/>
                <w:i/>
                <w:iCs/>
                <w:sz w:val="24"/>
                <w:szCs w:val="24"/>
                <w:lang w:eastAsia="en-US"/>
              </w:rPr>
              <w:t>Vitex negundo</w:t>
            </w:r>
            <w:r>
              <w:rPr>
                <w:rFonts w:asciiTheme="majorBidi" w:eastAsia="CIDFont+F1" w:hAnsiTheme="majorBidi" w:cstheme="majorBidi"/>
                <w:sz w:val="24"/>
                <w:szCs w:val="24"/>
                <w:lang w:eastAsia="en-US"/>
              </w:rPr>
              <w:t xml:space="preserve"> L.</w:t>
            </w: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DB7333" w:rsidRDefault="00B47D9D">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Chowdhury et al., 2009</w:t>
            </w:r>
          </w:p>
        </w:tc>
      </w:tr>
      <w:tr w:rsidR="00DB7333">
        <w:tc>
          <w:tcPr>
            <w:tcW w:w="1916"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Zingiber officinale</w:t>
            </w:r>
            <w:r>
              <w:rPr>
                <w:rFonts w:asciiTheme="majorBidi" w:hAnsiTheme="majorBidi" w:cstheme="majorBidi"/>
                <w:sz w:val="24"/>
                <w:szCs w:val="24"/>
                <w:lang w:eastAsia="en-US"/>
              </w:rPr>
              <w:t> Roscoe</w:t>
            </w:r>
          </w:p>
          <w:p w:rsidR="00DB7333" w:rsidRDefault="00DB7333">
            <w:pPr>
              <w:spacing w:line="480" w:lineRule="auto"/>
              <w:rPr>
                <w:rFonts w:asciiTheme="majorBidi" w:eastAsia="CIDFont+F1" w:hAnsiTheme="majorBidi" w:cstheme="majorBidi"/>
                <w:sz w:val="24"/>
                <w:szCs w:val="24"/>
                <w:lang w:eastAsia="en-US"/>
              </w:rPr>
            </w:pPr>
          </w:p>
        </w:tc>
        <w:tc>
          <w:tcPr>
            <w:tcW w:w="1698" w:type="pct"/>
          </w:tcPr>
          <w:p w:rsidR="00DB7333" w:rsidRDefault="00B47D9D">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DB7333" w:rsidRDefault="00B47D9D">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Gundurao,1966; Chaubey, 2011</w:t>
            </w:r>
          </w:p>
        </w:tc>
      </w:tr>
    </w:tbl>
    <w:p w:rsidR="00DB7333" w:rsidRDefault="00DB7333">
      <w:pPr>
        <w:shd w:val="clear" w:color="auto" w:fill="FFFFFF"/>
        <w:spacing w:line="480" w:lineRule="auto"/>
        <w:jc w:val="both"/>
        <w:rPr>
          <w:rFonts w:asciiTheme="majorBidi" w:eastAsia="Times New Roman" w:hAnsiTheme="majorBidi" w:cstheme="majorBidi"/>
          <w:sz w:val="24"/>
          <w:szCs w:val="24"/>
          <w:lang w:val="da-DK"/>
        </w:rPr>
      </w:pPr>
    </w:p>
    <w:p w:rsidR="00DB7333" w:rsidRDefault="00B47D9D">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Use of Chemical Pesticides against </w:t>
      </w:r>
      <w:r>
        <w:rPr>
          <w:rFonts w:asciiTheme="majorBidi" w:eastAsia="Times New Roman" w:hAnsiTheme="majorBidi" w:cstheme="majorBidi"/>
          <w:b/>
          <w:i/>
          <w:iCs/>
          <w:sz w:val="24"/>
          <w:szCs w:val="24"/>
        </w:rPr>
        <w:t>Tribolium castaneum</w:t>
      </w:r>
    </w:p>
    <w:p w:rsidR="00DB7333" w:rsidRDefault="00DB7333">
      <w:pPr>
        <w:spacing w:line="480" w:lineRule="auto"/>
        <w:jc w:val="both"/>
        <w:rPr>
          <w:rFonts w:asciiTheme="majorBidi" w:eastAsia="Times New Roman" w:hAnsiTheme="majorBidi" w:cstheme="majorBidi"/>
          <w:iCs/>
          <w:sz w:val="24"/>
          <w:szCs w:val="24"/>
        </w:rPr>
      </w:pPr>
    </w:p>
    <w:p w:rsidR="00DB7333" w:rsidRDefault="00B47D9D">
      <w:pPr>
        <w:spacing w:line="480" w:lineRule="auto"/>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Chemical pesticides have been proven to be effective in reducing </w:t>
      </w:r>
      <w:r>
        <w:rPr>
          <w:rFonts w:asciiTheme="majorBidi" w:eastAsia="Times New Roman" w:hAnsiTheme="majorBidi" w:cstheme="majorBidi"/>
          <w:i/>
          <w:iCs/>
          <w:sz w:val="24"/>
          <w:szCs w:val="24"/>
        </w:rPr>
        <w:t>T. castaneum</w:t>
      </w:r>
      <w:r>
        <w:rPr>
          <w:rFonts w:asciiTheme="majorBidi" w:eastAsia="Times New Roman" w:hAnsiTheme="majorBidi" w:cstheme="majorBidi"/>
          <w:iCs/>
          <w:sz w:val="24"/>
          <w:szCs w:val="24"/>
        </w:rPr>
        <w:t xml:space="preserve"> populations during grain storage. Fumigants, like phosphine and methyl bromide, are commonly employed because of their deep penetration into grain masses and their ability to cause high mortality (Wang et al., 2006). Synthetic compounds, such as pyrethroids and organophosphates, are also frequently used because of their residual activity and prevention of reinfestation. However, the repeated use of chemicals, particularly fumigants such as phosphine, has led to resistance in </w:t>
      </w:r>
      <w:r>
        <w:rPr>
          <w:rFonts w:asciiTheme="majorBidi" w:eastAsia="Times New Roman" w:hAnsiTheme="majorBidi" w:cstheme="majorBidi"/>
          <w:i/>
          <w:iCs/>
          <w:sz w:val="24"/>
          <w:szCs w:val="24"/>
        </w:rPr>
        <w:t>T. castaneum</w:t>
      </w:r>
      <w:r>
        <w:rPr>
          <w:rFonts w:asciiTheme="majorBidi" w:eastAsia="Times New Roman" w:hAnsiTheme="majorBidi" w:cstheme="majorBidi"/>
          <w:iCs/>
          <w:sz w:val="24"/>
          <w:szCs w:val="24"/>
        </w:rPr>
        <w:t xml:space="preserve"> populations (Mondal and </w:t>
      </w:r>
      <w:r>
        <w:rPr>
          <w:rFonts w:asciiTheme="majorBidi" w:hAnsiTheme="majorBidi" w:cstheme="majorBidi"/>
          <w:sz w:val="24"/>
          <w:szCs w:val="24"/>
        </w:rPr>
        <w:t>Khalequzzama,</w:t>
      </w:r>
      <w:r>
        <w:rPr>
          <w:rFonts w:asciiTheme="majorBidi" w:eastAsia="Times New Roman" w:hAnsiTheme="majorBidi" w:cstheme="majorBidi"/>
          <w:iCs/>
          <w:sz w:val="24"/>
          <w:szCs w:val="24"/>
        </w:rPr>
        <w:t xml:space="preserve"> 2009). This resistance challenges the current control measures and highlights the need for integrated pest management strategies. Khizar et al. (2025) identified emamectin benzoate as a potent chemical against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As a derivative of abamectin, it enhances chloride-ion permeability by activating GABA receptors (Lasota et al., 1991). Laboratory studies (2018–2019) at Kerala Agricultural University assessed malathion susceptibility in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populations from five FCI godowns in Kerala—compared to a susceptible IARI strain. Residual film bioassays with malathion revealed highest resistance in the FCI </w:t>
      </w:r>
      <w:r>
        <w:rPr>
          <w:rFonts w:asciiTheme="majorBidi" w:eastAsia="Times New Roman" w:hAnsiTheme="majorBidi" w:cstheme="majorBidi"/>
          <w:iCs/>
          <w:sz w:val="24"/>
          <w:szCs w:val="24"/>
        </w:rPr>
        <w:lastRenderedPageBreak/>
        <w:t xml:space="preserve">population (LC₅₀: 6949.80 ppm; 13.34-fold), while IARI strain showed lowest LC₅₀ (520.76 ppm). The resistance ratios for other populations ranged from 10.95 to 11.82, indicating uniform resistance across populations (Anusree et al., 2019). Ghelani et al. (2009) reported its efficacy in protecting </w:t>
      </w:r>
      <w:r>
        <w:rPr>
          <w:rFonts w:asciiTheme="majorBidi" w:eastAsia="Times New Roman" w:hAnsiTheme="majorBidi" w:cstheme="majorBidi"/>
          <w:i/>
          <w:sz w:val="24"/>
          <w:szCs w:val="24"/>
        </w:rPr>
        <w:t xml:space="preserve">Pennisetum glaucum </w:t>
      </w:r>
      <w:r>
        <w:rPr>
          <w:rFonts w:asciiTheme="majorBidi" w:eastAsia="Times New Roman" w:hAnsiTheme="majorBidi" w:cstheme="majorBidi"/>
          <w:iCs/>
          <w:sz w:val="24"/>
          <w:szCs w:val="24"/>
        </w:rPr>
        <w:t xml:space="preserve">seeds. Organophosphates function by inhibiting acetylcholinesterase (Colovic et al., 2013). Triazophos and dimethoate showed uniform toxicity across populations, whereas others varied, as noted by Andric et al. (2010). Variations in toxicity can arise from the chemical structure, usage patterns, and insect development stage (Matsumura, 2012). Deltamethrin consistently affects all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populations (Andric et al., 2015), although reduced susceptibility was observed for chlorpyrifos-methyl with deltamethrin combinations (Sehgal et al., 2014). Other pyrethroids have shown variable effects, as observed in pyrethrin-resistant </w:t>
      </w:r>
      <w:r>
        <w:rPr>
          <w:rFonts w:asciiTheme="majorBidi" w:eastAsia="Times New Roman" w:hAnsiTheme="majorBidi" w:cstheme="majorBidi"/>
          <w:i/>
          <w:sz w:val="24"/>
          <w:szCs w:val="24"/>
        </w:rPr>
        <w:t>Sitophilus granaries</w:t>
      </w:r>
      <w:r>
        <w:rPr>
          <w:rFonts w:asciiTheme="majorBidi" w:eastAsia="Times New Roman" w:hAnsiTheme="majorBidi" w:cstheme="majorBidi"/>
          <w:iCs/>
          <w:sz w:val="24"/>
          <w:szCs w:val="24"/>
        </w:rPr>
        <w:t xml:space="preserve"> (Lloyd, 1973).</w:t>
      </w:r>
    </w:p>
    <w:p w:rsidR="00DB7333" w:rsidRDefault="00DB7333">
      <w:pPr>
        <w:spacing w:line="480" w:lineRule="auto"/>
        <w:jc w:val="both"/>
        <w:rPr>
          <w:rFonts w:asciiTheme="majorBidi" w:eastAsia="Times New Roman" w:hAnsiTheme="majorBidi" w:cstheme="majorBidi"/>
          <w:iCs/>
          <w:sz w:val="24"/>
          <w:szCs w:val="24"/>
        </w:rPr>
      </w:pPr>
    </w:p>
    <w:p w:rsidR="00DB7333" w:rsidRDefault="00B47D9D">
      <w:pPr>
        <w:spacing w:line="480" w:lineRule="auto"/>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Neonicotinoids exhibit similar toxicity, except for clothianidin, against </w:t>
      </w:r>
      <w:r>
        <w:rPr>
          <w:rFonts w:asciiTheme="majorBidi" w:eastAsia="Times New Roman" w:hAnsiTheme="majorBidi" w:cstheme="majorBidi"/>
          <w:i/>
          <w:sz w:val="24"/>
          <w:szCs w:val="24"/>
        </w:rPr>
        <w:t>the T. castaneum</w:t>
      </w:r>
      <w:r>
        <w:rPr>
          <w:rFonts w:asciiTheme="majorBidi" w:eastAsia="Times New Roman" w:hAnsiTheme="majorBidi" w:cstheme="majorBidi"/>
          <w:iCs/>
          <w:sz w:val="24"/>
          <w:szCs w:val="24"/>
        </w:rPr>
        <w:t xml:space="preserve"> population, with documented storage pest efficacy (Daglish and Nayak, 2012). Spinosyns showed different results; spinosad was more toxic than spinetoram. Ghelani et al. (2009) reported strong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suppression by spinosad. Ketoenols showed varying toxicities; spirotetramat outperformed spiromesifen (Bretschneider et al., 2012; Saryazdi et al., 2013). Indoxacarb blocks sodium channels and affects various insects (Bird, 2015). Variations in toxicity within chemical classes indicate resistance risk (Khan et al., 2013), necessitating rotation strategies. The insect growth regulators lufenuron, pyriproxyfen, methoxyfenozide, and cyromazine were tested as larvicides, with lufenuron and pyriproxyfen proving to be the most effective. Insect growth regulators target immature stages and are suitable for integrated pest management owing to their specificity (Tunaz and Uygun, 2004; Tiwary, 2007). Lufenuron and </w:t>
      </w:r>
      <w:r>
        <w:rPr>
          <w:rFonts w:asciiTheme="majorBidi" w:eastAsia="Times New Roman" w:hAnsiTheme="majorBidi" w:cstheme="majorBidi"/>
          <w:iCs/>
          <w:sz w:val="24"/>
          <w:szCs w:val="24"/>
        </w:rPr>
        <w:lastRenderedPageBreak/>
        <w:t>pyriproxyfen are ideal for rotation, with pyriproxyfen exhibiting higher toxicity than diflubenzuron (Matsumura, 2010; Shah et al., 2015). Effective rotation requires an understanding of cross-resistance. However, concerns regarding environmental safety, climate change, and human health have prompted interest in alternative chemicals and improved application methods (Omar et al., 2021).</w:t>
      </w:r>
    </w:p>
    <w:p w:rsidR="00DB7333" w:rsidRDefault="00DB7333">
      <w:pPr>
        <w:spacing w:line="480" w:lineRule="auto"/>
        <w:jc w:val="both"/>
        <w:rPr>
          <w:rFonts w:asciiTheme="majorBidi" w:eastAsia="Times New Roman" w:hAnsiTheme="majorBidi" w:cstheme="majorBidi"/>
          <w:b/>
          <w:bCs/>
          <w:sz w:val="24"/>
          <w:szCs w:val="24"/>
        </w:rPr>
      </w:pPr>
    </w:p>
    <w:p w:rsidR="00DB7333" w:rsidRDefault="00B47D9D">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Comparison between Eco-Friendly Repellents and Chemical Pesticides</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Eco-friendly repellents and chemical pesticides differ significantly in their origin, mode of action, environmental impacts, and health implications. Environmentally friendly repellents, sourced from natural sources such as plant extracts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(e.g., carvacrol from </w:t>
      </w:r>
      <w:r>
        <w:rPr>
          <w:rFonts w:asciiTheme="majorBidi" w:eastAsia="Times New Roman" w:hAnsiTheme="majorBidi" w:cstheme="majorBidi"/>
          <w:bCs/>
          <w:i/>
          <w:iCs/>
          <w:sz w:val="24"/>
          <w:szCs w:val="24"/>
        </w:rPr>
        <w:t>Origanum vulgare</w:t>
      </w:r>
      <w:r>
        <w:rPr>
          <w:rFonts w:asciiTheme="majorBidi" w:eastAsia="Times New Roman" w:hAnsiTheme="majorBidi" w:cstheme="majorBidi"/>
          <w:bCs/>
          <w:sz w:val="24"/>
          <w:szCs w:val="24"/>
        </w:rPr>
        <w:t xml:space="preserve"> and limonene from </w:t>
      </w:r>
      <w:r>
        <w:rPr>
          <w:rFonts w:asciiTheme="majorBidi" w:eastAsia="Times New Roman" w:hAnsiTheme="majorBidi" w:cstheme="majorBidi"/>
          <w:bCs/>
          <w:i/>
          <w:iCs/>
          <w:sz w:val="24"/>
          <w:szCs w:val="24"/>
        </w:rPr>
        <w:t>Elsholtzia densa</w:t>
      </w:r>
      <w:r>
        <w:rPr>
          <w:rFonts w:asciiTheme="majorBidi" w:eastAsia="Times New Roman" w:hAnsiTheme="majorBidi" w:cstheme="majorBidi"/>
          <w:bCs/>
          <w:sz w:val="24"/>
          <w:szCs w:val="24"/>
        </w:rPr>
        <w:t xml:space="preserve">), show effective fumigant and repellent activities against insects such as </w:t>
      </w:r>
      <w:r>
        <w:rPr>
          <w:rFonts w:asciiTheme="majorBidi" w:eastAsia="Times New Roman" w:hAnsiTheme="majorBidi" w:cstheme="majorBidi"/>
          <w:bCs/>
          <w:i/>
          <w:iCs/>
          <w:sz w:val="24"/>
          <w:szCs w:val="24"/>
        </w:rPr>
        <w:t xml:space="preserve">T. castaneum </w:t>
      </w:r>
      <w:r>
        <w:rPr>
          <w:rFonts w:asciiTheme="majorBidi" w:eastAsia="Times New Roman" w:hAnsiTheme="majorBidi" w:cstheme="majorBidi"/>
          <w:bCs/>
          <w:sz w:val="24"/>
          <w:szCs w:val="24"/>
        </w:rPr>
        <w:t xml:space="preserve">(Zhang et al., 2024; Eltalawy et al., 2025), although they may require more frequent applications. In contrast, chemical pesticides such as organophosphates, pyrethroids, and neonicotinoids are synthetic compounds designed to target specific metabolic or nervous system functions, offering prolonged and potent pest control. However, while chemical pesticides provide rapid outcomes, they pose serious concerns related to environmental persistence, water and soil pollution, their impact on other organisms, and the potential for pesticide resistance. Eco-friendly repellents, being biodegradable and less toxic, are a sustainable alternative for integrated pest management and organic farming, despite their potentially higher initial costs. Health-wise, eco-friendly options carry lower risks of carcinogenicity, endocrine disruption, and neurotoxicity, though allergic reactions can occur in sensitive individuals, whereas chemical pesticides have been associated with serious health problems in exposed populations, including cancer </w:t>
      </w:r>
      <w:r>
        <w:rPr>
          <w:rFonts w:asciiTheme="majorBidi" w:eastAsia="Times New Roman" w:hAnsiTheme="majorBidi" w:cstheme="majorBidi"/>
          <w:bCs/>
          <w:sz w:val="24"/>
          <w:szCs w:val="24"/>
        </w:rPr>
        <w:lastRenderedPageBreak/>
        <w:t xml:space="preserve">and developmental disorders (Ahmad et al., 2024). Moreover, resistance development is less frequent with eco-friendly repellents due to their multi-target modes of action, whereas chemical pesticide resistance, especially in pests like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necessitates escalating doses or novel compounds, further increasing long-term economic and ecological costs.</w:t>
      </w:r>
    </w:p>
    <w:p w:rsidR="00DB7333" w:rsidRDefault="00DB7333">
      <w:pPr>
        <w:spacing w:line="480" w:lineRule="auto"/>
        <w:jc w:val="both"/>
        <w:rPr>
          <w:rFonts w:asciiTheme="majorBidi" w:eastAsia="Times New Roman" w:hAnsiTheme="majorBidi" w:cstheme="majorBidi"/>
          <w:b/>
          <w:sz w:val="24"/>
          <w:szCs w:val="24"/>
        </w:rPr>
      </w:pPr>
    </w:p>
    <w:p w:rsidR="00DB7333" w:rsidRDefault="00B47D9D">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Nano-emulsions of Biopesticides in </w:t>
      </w:r>
      <w:r>
        <w:rPr>
          <w:rFonts w:asciiTheme="majorBidi" w:eastAsia="Times New Roman" w:hAnsiTheme="majorBidi" w:cstheme="majorBidi"/>
          <w:b/>
          <w:i/>
          <w:iCs/>
          <w:sz w:val="24"/>
          <w:szCs w:val="24"/>
        </w:rPr>
        <w:t>Tribolium castaneum</w:t>
      </w:r>
      <w:r>
        <w:rPr>
          <w:rFonts w:asciiTheme="majorBidi" w:eastAsia="Times New Roman" w:hAnsiTheme="majorBidi" w:cstheme="majorBidi"/>
          <w:b/>
          <w:sz w:val="24"/>
          <w:szCs w:val="24"/>
        </w:rPr>
        <w:t xml:space="preserve"> Management</w:t>
      </w:r>
    </w:p>
    <w:p w:rsidR="00DB7333" w:rsidRDefault="00DB7333">
      <w:pPr>
        <w:spacing w:line="480" w:lineRule="auto"/>
        <w:jc w:val="both"/>
        <w:rPr>
          <w:rFonts w:asciiTheme="majorBidi" w:eastAsia="Times New Roman" w:hAnsiTheme="majorBidi" w:cstheme="majorBidi"/>
          <w:b/>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Nanotechnology offers a novel approach to improve the effectiveness, stability, and bioavailability of EOs in pest management. Nanoemulsions, owing to their fine droplet size and superior kinetic stability, serve as efficient delivery systems for plant-derived insecticidal agents (Youse et al., 2023). Nano-emulsion formulations of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enhance absorption and increase insecticidal efficacy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and other pests (Adak et al., 2020; Lima et al., 2021; Draz et al., 2022). EO, distilled from </w:t>
      </w:r>
      <w:r>
        <w:rPr>
          <w:rFonts w:asciiTheme="majorBidi" w:eastAsia="Times New Roman" w:hAnsiTheme="majorBidi" w:cstheme="majorBidi"/>
          <w:bCs/>
          <w:i/>
          <w:iCs/>
          <w:sz w:val="24"/>
          <w:szCs w:val="24"/>
        </w:rPr>
        <w:t>C. winterianus</w:t>
      </w:r>
      <w:r>
        <w:rPr>
          <w:rFonts w:asciiTheme="majorBidi" w:eastAsia="Times New Roman" w:hAnsiTheme="majorBidi" w:cstheme="majorBidi"/>
          <w:bCs/>
          <w:sz w:val="24"/>
          <w:szCs w:val="24"/>
        </w:rPr>
        <w:t xml:space="preserve">, is well known for its insect-repellent properties, which are attributed to its bioactive constituents, such as citronellal, geraniol, citronellol, and limonene (Gharsan et al., 2022). An advanced nano-formulation of citronella oil enhances its stability and efficacy as a botanical insecticide (Ali et al., 2017). A nano-emulsion of </w:t>
      </w:r>
      <w:r>
        <w:rPr>
          <w:rFonts w:asciiTheme="majorBidi" w:eastAsia="Times New Roman" w:hAnsiTheme="majorBidi" w:cstheme="majorBidi"/>
          <w:bCs/>
          <w:i/>
          <w:iCs/>
          <w:sz w:val="24"/>
          <w:szCs w:val="24"/>
        </w:rPr>
        <w:t>Syzygium aromaticum</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demonstrated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(LC₅₀: 112.93 ppm), with sub-lethal doses causing metabolic disruption in beetles and inhibiting wheat seedling growth (Iqbal et al., 2024).</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A nano-emulsion of </w:t>
      </w:r>
      <w:r>
        <w:rPr>
          <w:rFonts w:asciiTheme="majorBidi" w:eastAsia="Times New Roman" w:hAnsiTheme="majorBidi" w:cstheme="majorBidi"/>
          <w:bCs/>
          <w:i/>
          <w:iCs/>
          <w:sz w:val="24"/>
          <w:szCs w:val="24"/>
        </w:rPr>
        <w:t>C. winterianus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exhibited superior performance compared to its crude form, demonstrating increased toxicity (LC₅₀: 275.01 vs. 491 ppm in larvae; 26.01 vs. 68.92 ppm in adults), minimal impact on seed germination, and biochemical </w:t>
      </w:r>
      <w:r>
        <w:rPr>
          <w:rFonts w:asciiTheme="majorBidi" w:eastAsia="Times New Roman" w:hAnsiTheme="majorBidi" w:cstheme="majorBidi"/>
          <w:bCs/>
          <w:sz w:val="24"/>
          <w:szCs w:val="24"/>
        </w:rPr>
        <w:lastRenderedPageBreak/>
        <w:t xml:space="preserve">alterations in beetles. </w:t>
      </w:r>
      <w:r>
        <w:rPr>
          <w:rFonts w:asciiTheme="majorBidi" w:eastAsia="Times New Roman" w:hAnsiTheme="majorBidi" w:cstheme="majorBidi"/>
          <w:bCs/>
          <w:i/>
          <w:iCs/>
          <w:sz w:val="24"/>
          <w:szCs w:val="24"/>
        </w:rPr>
        <w:t>In silico</w:t>
      </w:r>
      <w:r>
        <w:rPr>
          <w:rFonts w:asciiTheme="majorBidi" w:eastAsia="Times New Roman" w:hAnsiTheme="majorBidi" w:cstheme="majorBidi"/>
          <w:bCs/>
          <w:sz w:val="24"/>
          <w:szCs w:val="24"/>
        </w:rPr>
        <w:t xml:space="preserve"> docking studies have confirmed strong interactions between limonene/citronellal and alkaline phosphatase, supporting its application as a sustainable pest management solution (Riaz et al., 2025). Polyethylene glycol-coated nanoparticles loaded with garlic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exhibited prolonged insecticidal activity, maintaining over 80% efficacy after five months through the sustained release mechanisms of active components. In contrast, free </w:t>
      </w:r>
      <w:r>
        <w:rPr>
          <w:rFonts w:asciiTheme="majorBidi" w:eastAsia="Times New Roman" w:hAnsiTheme="majorBidi" w:cstheme="majorBidi"/>
          <w:bCs/>
          <w:i/>
          <w:iCs/>
          <w:sz w:val="24"/>
          <w:szCs w:val="24"/>
        </w:rPr>
        <w:t>Allium sativum</w:t>
      </w:r>
      <w:r>
        <w:rPr>
          <w:rFonts w:asciiTheme="majorBidi" w:eastAsia="Times New Roman" w:hAnsiTheme="majorBidi" w:cstheme="majorBidi"/>
          <w:bCs/>
          <w:sz w:val="24"/>
          <w:szCs w:val="24"/>
        </w:rPr>
        <w:t xml:space="preserve"> (garlic) oil demonstrated only 11% efficacy at the same concentration, highlighting the advantages of nano-encapsulation (Yang et al., 2009). A nano-emulsion based on </w:t>
      </w:r>
      <w:r>
        <w:rPr>
          <w:rFonts w:asciiTheme="majorBidi" w:eastAsia="Times New Roman" w:hAnsiTheme="majorBidi" w:cstheme="majorBidi"/>
          <w:bCs/>
          <w:i/>
          <w:iCs/>
          <w:sz w:val="24"/>
          <w:szCs w:val="24"/>
        </w:rPr>
        <w:t>Pimpinella anisum</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—rich in (</w:t>
      </w:r>
      <w:r>
        <w:rPr>
          <w:rFonts w:asciiTheme="majorBidi" w:eastAsia="Times New Roman" w:hAnsiTheme="majorBidi" w:cstheme="majorBidi"/>
          <w:bCs/>
          <w:i/>
          <w:iCs/>
          <w:sz w:val="24"/>
          <w:szCs w:val="24"/>
        </w:rPr>
        <w:t>E</w:t>
      </w:r>
      <w:r>
        <w:rPr>
          <w:rFonts w:asciiTheme="majorBidi" w:eastAsia="Times New Roman" w:hAnsiTheme="majorBidi" w:cstheme="majorBidi"/>
          <w:bCs/>
          <w:sz w:val="24"/>
          <w:szCs w:val="24"/>
        </w:rPr>
        <w:t xml:space="preserve">)-anethole (81.2%)—tested against </w:t>
      </w:r>
      <w:r>
        <w:rPr>
          <w:rFonts w:asciiTheme="majorBidi" w:eastAsia="Times New Roman" w:hAnsiTheme="majorBidi" w:cstheme="majorBidi"/>
          <w:bCs/>
          <w:i/>
          <w:iCs/>
          <w:sz w:val="24"/>
          <w:szCs w:val="24"/>
        </w:rPr>
        <w:t xml:space="preserve">T. castaneum </w:t>
      </w:r>
      <w:r>
        <w:rPr>
          <w:rFonts w:asciiTheme="majorBidi" w:eastAsia="Times New Roman" w:hAnsiTheme="majorBidi" w:cstheme="majorBidi"/>
          <w:bCs/>
          <w:sz w:val="24"/>
          <w:szCs w:val="24"/>
        </w:rPr>
        <w:t>adults and F₁ progeny, showed improved stability, increased toxicity (LC₅₀: 9.3% v/v), and reduced progeny development. Microscopic examination confirmed structural and tissue damage in the treated insects (Hashem et al., 2018).</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Conclusions</w:t>
      </w:r>
    </w:p>
    <w:p w:rsidR="00DB7333" w:rsidRDefault="00DB7333">
      <w:pPr>
        <w:spacing w:line="480" w:lineRule="auto"/>
        <w:jc w:val="both"/>
        <w:rPr>
          <w:rFonts w:asciiTheme="majorBidi" w:eastAsia="Times New Roman" w:hAnsiTheme="majorBidi" w:cstheme="majorBidi"/>
          <w:bCs/>
          <w:sz w:val="24"/>
          <w:szCs w:val="24"/>
        </w:rPr>
      </w:pPr>
    </w:p>
    <w:p w:rsidR="00DB7333" w:rsidRDefault="00B47D9D">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This review examines eco-friendly repellents, particularly plant-based materials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as substitutes for chemical pesticides for managing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infestation in stored grains.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is a significant pest that causes substantial postharvest losses in developing countries, like India. Although chemical pesticides are effective, their overuse has caused ecological disruptions, resistance to pests, and increased health risks. Eco-friendly repellents offer a sustainable approach, with plant extracts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exhibiting strong insecticidal, repellent, and growth-inhibiting properties against</w:t>
      </w:r>
      <w:r>
        <w:rPr>
          <w:rFonts w:asciiTheme="majorBidi" w:eastAsia="Times New Roman" w:hAnsiTheme="majorBidi" w:cstheme="majorBidi"/>
          <w:bCs/>
          <w:i/>
          <w:iCs/>
          <w:sz w:val="24"/>
          <w:szCs w:val="24"/>
        </w:rPr>
        <w:t xml:space="preserve"> T. castaneum</w:t>
      </w:r>
      <w:r>
        <w:rPr>
          <w:rFonts w:asciiTheme="majorBidi" w:eastAsia="Times New Roman" w:hAnsiTheme="majorBidi" w:cstheme="majorBidi"/>
          <w:bCs/>
          <w:sz w:val="24"/>
          <w:szCs w:val="24"/>
        </w:rPr>
        <w:t xml:space="preserve">. These natural compounds target insect physiology including sensory receptors, nervous system functions, and metabolic processes. Nano-emulsions of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enhance their efficacy and stability. Compared with chemical pesticides, eco-friendly </w:t>
      </w:r>
      <w:r>
        <w:rPr>
          <w:rFonts w:asciiTheme="majorBidi" w:eastAsia="Times New Roman" w:hAnsiTheme="majorBidi" w:cstheme="majorBidi"/>
          <w:bCs/>
          <w:sz w:val="24"/>
          <w:szCs w:val="24"/>
        </w:rPr>
        <w:lastRenderedPageBreak/>
        <w:t>repellents are biodegradable, pose lower risks, and are less likely to induce resistance. However, they require more frequent application and careful management. Further research is needed on the extraction methods, persistence, and integration with pest management practices to optimize eco-friendly repellents for grain storage.</w:t>
      </w:r>
    </w:p>
    <w:p w:rsidR="00DB7333" w:rsidRDefault="00DB7333">
      <w:pPr>
        <w:spacing w:line="480" w:lineRule="auto"/>
        <w:jc w:val="both"/>
        <w:rPr>
          <w:rFonts w:asciiTheme="majorBidi" w:eastAsia="Times New Roman" w:hAnsiTheme="majorBidi" w:cstheme="majorBidi"/>
          <w:bCs/>
          <w:sz w:val="24"/>
          <w:szCs w:val="24"/>
        </w:rPr>
      </w:pPr>
    </w:p>
    <w:p w:rsidR="00DB7333" w:rsidRDefault="00DB7333">
      <w:pPr>
        <w:shd w:val="clear" w:color="auto" w:fill="FFFFFF"/>
        <w:spacing w:line="480" w:lineRule="auto"/>
        <w:jc w:val="both"/>
        <w:rPr>
          <w:rFonts w:asciiTheme="majorBidi" w:eastAsia="Times New Roman" w:hAnsiTheme="majorBidi" w:cstheme="majorBidi"/>
          <w:sz w:val="24"/>
          <w:szCs w:val="24"/>
        </w:rPr>
      </w:pPr>
    </w:p>
    <w:p w:rsidR="00DB7333" w:rsidRDefault="00DB7333">
      <w:pPr>
        <w:shd w:val="clear" w:color="auto" w:fill="FFFFFF"/>
        <w:spacing w:line="480" w:lineRule="auto"/>
        <w:jc w:val="both"/>
        <w:rPr>
          <w:rFonts w:asciiTheme="majorBidi" w:eastAsia="Times New Roman" w:hAnsiTheme="majorBidi" w:cstheme="majorBidi"/>
          <w:sz w:val="24"/>
          <w:szCs w:val="24"/>
        </w:rPr>
      </w:pPr>
    </w:p>
    <w:p w:rsidR="00DB7333" w:rsidRDefault="00B47D9D">
      <w:p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References </w:t>
      </w:r>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Khan, A. A., Abbasi, A. B., Bibi, R., Iqbal, M. S., Sherani, J., &amp; Khan, A. M. (2012). Assessment of Calotropis procera Aiton and Datura alba Nees leaves extracts as bio-insecticides against Tribolium castaneum Herbst in stored wheat Triticum aestivum L. *J Biofertil Biopestici*, *3*(4), 126. </w:t>
      </w:r>
      <w:hyperlink r:id="rId8" w:history="1">
        <w:r w:rsidRPr="00DE305D">
          <w:rPr>
            <w:rStyle w:val="Hyperlink"/>
            <w:rFonts w:asciiTheme="majorBidi" w:hAnsiTheme="majorBidi" w:cstheme="majorBidi"/>
            <w:sz w:val="24"/>
            <w:szCs w:val="24"/>
          </w:rPr>
          <w:t>https://doi.org/10.4172/2155-6202.1000126</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Abbasipour, H., Mahmoudvand, M., Rastegar, F., &amp; Hosseinpour, M. H. (2011). Bioactivities of jimsonweed extract, Datura stramonium L. (Solanaceae), against Tribolium castaneum (Coleoptera: Tenebrionidae). Turkish Journal of Agriculture and Forestry. </w:t>
      </w:r>
      <w:hyperlink r:id="rId9" w:history="1">
        <w:r w:rsidRPr="00DE305D">
          <w:rPr>
            <w:rStyle w:val="Hyperlink"/>
            <w:rFonts w:asciiTheme="majorBidi" w:hAnsiTheme="majorBidi" w:cstheme="majorBidi"/>
            <w:sz w:val="24"/>
            <w:szCs w:val="24"/>
          </w:rPr>
          <w:t>https://doi.org/10.3906/tar-1004-874</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Abouelatta, A. M., Keratum, A. Y., Ahmed, S. I., &amp; El-Zun, H. M. (2020). Repellent, contact and fumigant activities of geranium (Pelargonium graveolens L.’Hér) essential oils against Tribolium castaneum (Herbst) and Rhyzopertha dominica (F.). *International Journal of Tropical Insect Science*, *40*, 1021–1030. </w:t>
      </w:r>
      <w:hyperlink r:id="rId10" w:history="1">
        <w:r w:rsidRPr="00DE305D">
          <w:rPr>
            <w:rStyle w:val="Hyperlink"/>
            <w:rFonts w:asciiTheme="majorBidi" w:hAnsiTheme="majorBidi" w:cstheme="majorBidi"/>
            <w:sz w:val="24"/>
            <w:szCs w:val="24"/>
          </w:rPr>
          <w:t>https://doi.org/10.1007/s42690-020-00161-4</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Abubakar, M. S., Abdurahman, E. M., &amp; Haruna, A. K. (2000). The repellant and antifeedant properties of Cyperus articulatus against Tribolium casteneum </w:t>
      </w:r>
      <w:r w:rsidRPr="007857A3">
        <w:rPr>
          <w:rFonts w:asciiTheme="majorBidi" w:hAnsiTheme="majorBidi" w:cstheme="majorBidi"/>
          <w:color w:val="000000" w:themeColor="text1"/>
          <w:sz w:val="24"/>
          <w:szCs w:val="24"/>
        </w:rPr>
        <w:lastRenderedPageBreak/>
        <w:t xml:space="preserve">Hbst. Phytotherapy Research, 14(4), 281–283. </w:t>
      </w:r>
      <w:hyperlink r:id="rId11" w:history="1">
        <w:r w:rsidRPr="00DE305D">
          <w:rPr>
            <w:rStyle w:val="Hyperlink"/>
            <w:rFonts w:asciiTheme="majorBidi" w:hAnsiTheme="majorBidi" w:cstheme="majorBidi"/>
            <w:sz w:val="24"/>
            <w:szCs w:val="24"/>
          </w:rPr>
          <w:t>https://doi.org/10.1002/1099-1573(200006)14:4&lt;281::aid-ptr568&gt;3.0.co;2-c</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Adak, T., Barik, N., Patil, N. B., Govindharaj, G.-P.-P., Gadratagi, B. G., Annamalai, M., Mukherjee, A. K., &amp; Rath, P. C. (2020). Nanoemulsion of eucalyptus oil: An alternative to synthetic pesticides against two major storage insects (Sitophilus oryzae (L.) and Tribolium castaneum (Herbst)) of rice. Industrial Crops and Products, 143, 111849. </w:t>
      </w:r>
      <w:hyperlink r:id="rId12" w:history="1">
        <w:r w:rsidRPr="00DE305D">
          <w:rPr>
            <w:rStyle w:val="Hyperlink"/>
            <w:rFonts w:asciiTheme="majorBidi" w:hAnsiTheme="majorBidi" w:cstheme="majorBidi"/>
            <w:sz w:val="24"/>
            <w:szCs w:val="24"/>
          </w:rPr>
          <w:t>https://doi.org/10.1016/j.indcrop.2019.111849</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Ahmad, M. F., Ahmad, F. A., Alsayegh, A. A., Zeyaullah, M., AlShahrani, A. M., Muzammil, K., Saati, A. A., Wahab, S., Elbendary, E. Y., Kambal, N., Abdelrahman, M. H., &amp; Hussain, S. (2024). Pesticides impacts on human health and the environment with their mechanisms of action and possible countermeasures. Heliyon, 10(7), e29128. </w:t>
      </w:r>
      <w:hyperlink r:id="rId13" w:history="1">
        <w:r w:rsidRPr="00DE305D">
          <w:rPr>
            <w:rStyle w:val="Hyperlink"/>
            <w:rFonts w:asciiTheme="majorBidi" w:hAnsiTheme="majorBidi" w:cstheme="majorBidi"/>
            <w:sz w:val="24"/>
            <w:szCs w:val="24"/>
          </w:rPr>
          <w:t>https://doi.org/10.1016/j.heliyon.2024.e29128</w:t>
        </w:r>
      </w:hyperlink>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Ali, E. O. M., Shakil, N. A., Rana, V. S., Sarkar, D. J., Majumder, S., Kaushik, P., Singh, B. B., &amp; Kumar, J. (2017). Antifungal activity of nano emulsions of neem and citronella oils against phytopathogenic fungi, Rhizoctonia solani and Sclerotium rolfsii. Industrial Crops and Products, 108, 379–387. </w:t>
      </w:r>
      <w:hyperlink r:id="rId14" w:history="1">
        <w:r w:rsidRPr="00DE305D">
          <w:rPr>
            <w:rStyle w:val="Hyperlink"/>
            <w:rFonts w:asciiTheme="majorBidi" w:hAnsiTheme="majorBidi" w:cstheme="majorBidi"/>
            <w:sz w:val="24"/>
            <w:szCs w:val="24"/>
          </w:rPr>
          <w:t>https://doi.org/10.1016/j.indcrop.2017.06.061</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 S., Sagheer, M., Abbas, M. and Saleem, M. 2015. Toxicity of </w:t>
      </w:r>
      <w:r>
        <w:rPr>
          <w:rFonts w:asciiTheme="majorBidi" w:hAnsiTheme="majorBidi" w:cstheme="majorBidi"/>
          <w:i/>
          <w:iCs/>
          <w:color w:val="000000" w:themeColor="text1"/>
          <w:sz w:val="24"/>
          <w:szCs w:val="24"/>
        </w:rPr>
        <w:t>Peganum harmala</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Syzygium aromaticum</w:t>
      </w:r>
      <w:r>
        <w:rPr>
          <w:rFonts w:asciiTheme="majorBidi" w:hAnsiTheme="majorBidi" w:cstheme="majorBidi"/>
          <w:color w:val="000000" w:themeColor="text1"/>
          <w:sz w:val="24"/>
          <w:szCs w:val="24"/>
        </w:rPr>
        <w:t xml:space="preserve"> extracts against red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J. Agric. Res., 53(2): 217–224.</w:t>
      </w:r>
    </w:p>
    <w:p w:rsidR="007857A3" w:rsidRDefault="007857A3">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7857A3">
        <w:rPr>
          <w:rFonts w:asciiTheme="majorBidi" w:hAnsiTheme="majorBidi" w:cstheme="majorBidi"/>
          <w:color w:val="000000" w:themeColor="text1"/>
          <w:sz w:val="24"/>
          <w:szCs w:val="24"/>
        </w:rPr>
        <w:t xml:space="preserve">Ali, S., Sagheer, M., Hassan, M., Abbas, M., Hafeez, F., Farooq, M., ... Ghaffar, A. (2014). Insecticidal activity of turmeric (Curcuma longa) and garlic (Allium sativum) extracts against red flour beetle, Tribolium castaneum: A safe </w:t>
      </w:r>
      <w:r w:rsidRPr="007857A3">
        <w:rPr>
          <w:rFonts w:asciiTheme="majorBidi" w:hAnsiTheme="majorBidi" w:cstheme="majorBidi"/>
          <w:color w:val="000000" w:themeColor="text1"/>
          <w:sz w:val="24"/>
          <w:szCs w:val="24"/>
        </w:rPr>
        <w:lastRenderedPageBreak/>
        <w:t xml:space="preserve">alternative to insecticides in stored commodities. Journal of Entomology and Zoology Studies, 2(3), 201–205. </w:t>
      </w:r>
      <w:hyperlink r:id="rId15" w:history="1">
        <w:r w:rsidRPr="00DE305D">
          <w:rPr>
            <w:rStyle w:val="Hyperlink"/>
            <w:rFonts w:asciiTheme="majorBidi" w:hAnsiTheme="majorBidi" w:cstheme="majorBidi"/>
            <w:sz w:val="24"/>
            <w:szCs w:val="24"/>
          </w:rPr>
          <w:t>https://www.entomoljournal.com/archives/2014/vol2issue3/2-3-10-201.pdf</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Al-Janabi A. A. 2019. Effect of some water plant extracts in mortality of confused flour beetle adults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Plant Arch., 19(2): 1142–1145.</w:t>
      </w:r>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Andrić, G., Kljajić, P., Perić, I., &amp; Pražić Golić, M. (2010). Susceptibility of red flour beetle Tribolium castaneum (Herbst) populations from Serbia to contact insecticides. Julius-Kühn-Archiv, 425, 869-873. </w:t>
      </w:r>
      <w:hyperlink r:id="rId16" w:history="1">
        <w:r w:rsidRPr="00DE305D">
          <w:rPr>
            <w:rStyle w:val="Hyperlink"/>
            <w:rFonts w:asciiTheme="majorBidi" w:hAnsiTheme="majorBidi" w:cstheme="majorBidi"/>
            <w:sz w:val="24"/>
            <w:szCs w:val="24"/>
          </w:rPr>
          <w:t>https://doi.org/10.5073/jka.2010.425.103</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Andrić, G., Pražić Golić, M., &amp; Kljajić, P. (2015). Toxicity of several contact insecticides to Tribolium castaneum (Herbst) populations after selection with pirimiphos-methyl and deltamethrin. Pesticidi I Fitomedicina, 30(4), 209–216. </w:t>
      </w:r>
      <w:hyperlink r:id="rId17" w:history="1">
        <w:r w:rsidRPr="00DE305D">
          <w:rPr>
            <w:rStyle w:val="Hyperlink"/>
            <w:rFonts w:asciiTheme="majorBidi" w:hAnsiTheme="majorBidi" w:cstheme="majorBidi"/>
            <w:sz w:val="24"/>
            <w:szCs w:val="24"/>
          </w:rPr>
          <w:t>https://doi.org/10.2298/pif1504209a</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Anusree, R. P., Pathrose, B., &amp; Chellappan, M. (2019). Malathion resistance in red flour beetle (Tribolium castaneum) (Herbst) (Coleoptera: Tenebrionidae) from FCI godowns of Kerala, India. Journal of Tropical Agriculture, 57(2), 201–205. </w:t>
      </w:r>
      <w:hyperlink r:id="rId18" w:history="1">
        <w:r w:rsidRPr="00DE305D">
          <w:rPr>
            <w:rStyle w:val="Hyperlink"/>
            <w:rFonts w:asciiTheme="majorBidi" w:hAnsiTheme="majorBidi" w:cstheme="majorBidi"/>
            <w:sz w:val="24"/>
            <w:szCs w:val="24"/>
          </w:rPr>
          <w:t>https://jtropag.kau.in/index.php/ojs2/article/view/858</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Bachrouch, O., Jemâa, J. M., Talou, T., Marzouk, B., &amp; Abderraba, M. (2010). Fumigant toxicity of Pistacia lentiscus essential oil against Tribolium castaneum and Lasioderma serricorne. Bulletin of Insectology, 63(1), 129–135. </w:t>
      </w:r>
      <w:hyperlink r:id="rId19" w:history="1">
        <w:r w:rsidRPr="00DE305D">
          <w:rPr>
            <w:rStyle w:val="Hyperlink"/>
            <w:rFonts w:asciiTheme="majorBidi" w:hAnsiTheme="majorBidi" w:cstheme="majorBidi"/>
            <w:sz w:val="24"/>
            <w:szCs w:val="24"/>
          </w:rPr>
          <w:t>https://bulletinofinsectology.org/pdf/vol63-2010/129-135_Bachrouch.pdf</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Bandara, H. M. D. S., Wijayaratne, L. K. W., Egodawatta, W. C. P., &amp; Morrison, W. R., III. (2021). Orientation of Tribolium castaneum (Coleoptera: Tenebrionidae) adults to 4,8-dimethyldecanal, kairomone and botanical oils </w:t>
      </w:r>
      <w:r w:rsidRPr="00B94796">
        <w:rPr>
          <w:rFonts w:asciiTheme="majorBidi" w:hAnsiTheme="majorBidi" w:cstheme="majorBidi"/>
          <w:color w:val="000000" w:themeColor="text1"/>
          <w:sz w:val="24"/>
          <w:szCs w:val="24"/>
        </w:rPr>
        <w:lastRenderedPageBreak/>
        <w:t xml:space="preserve">following ambient, low, or high temperature exposure. Journal of Stored Products Research. </w:t>
      </w:r>
      <w:hyperlink r:id="rId20" w:history="1">
        <w:r w:rsidRPr="00DE305D">
          <w:rPr>
            <w:rStyle w:val="Hyperlink"/>
            <w:rFonts w:asciiTheme="majorBidi" w:hAnsiTheme="majorBidi" w:cstheme="majorBidi"/>
            <w:sz w:val="24"/>
            <w:szCs w:val="24"/>
          </w:rPr>
          <w:t>https://doi.org/10.1016/j.jspr.2021.101893</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Barathi, S., Sabapathi, N., Kandasamy, S., &amp; Lee, J. (2024). Present status of insecticide impacts and eco-friendly approaches for remediation-a review. Environmental Research, 240, 117432. </w:t>
      </w:r>
      <w:hyperlink r:id="rId21" w:history="1">
        <w:r w:rsidRPr="00DE305D">
          <w:rPr>
            <w:rStyle w:val="Hyperlink"/>
            <w:rFonts w:asciiTheme="majorBidi" w:hAnsiTheme="majorBidi" w:cstheme="majorBidi"/>
            <w:sz w:val="24"/>
            <w:szCs w:val="24"/>
          </w:rPr>
          <w:t>https://doi.org/10.1016/j.envres.2023.117432</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Bezabih, G., Satheesh, N., Workneh Fanta, S., Wale, M., &amp; Atlabachew, M. (2022). Reducing postharvest loss of stored grains using plant-based biopesticides: A review of past research efforts. Advances in Agriculture, 2022, 1–16. </w:t>
      </w:r>
      <w:hyperlink r:id="rId22" w:history="1">
        <w:r w:rsidRPr="00DE305D">
          <w:rPr>
            <w:rStyle w:val="Hyperlink"/>
            <w:rFonts w:asciiTheme="majorBidi" w:hAnsiTheme="majorBidi" w:cstheme="majorBidi"/>
            <w:sz w:val="24"/>
            <w:szCs w:val="24"/>
          </w:rPr>
          <w:t>https://doi.org/10.1155/2022/6946916</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Bhattacharyya, P. R., Nath, S. C., &amp; Bordoloi, D. N. (1993). Insecticidal activity of Ranunculus sceleratus (L.) against Drosophila melanogaster and Tribolium castaneum. Indian Journal of Experimental Biology, 31(1), 85–86. </w:t>
      </w:r>
      <w:hyperlink r:id="rId23" w:history="1">
        <w:r w:rsidRPr="00DE305D">
          <w:rPr>
            <w:rStyle w:val="Hyperlink"/>
            <w:rFonts w:asciiTheme="majorBidi" w:hAnsiTheme="majorBidi" w:cstheme="majorBidi"/>
            <w:sz w:val="24"/>
            <w:szCs w:val="24"/>
          </w:rPr>
          <w:t>https://pubmed.ncbi.nlm.nih.gov/8500821/</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Bird, L. J. (2015). Baseline susceptibility of Helicoverpa armigera (Lepidoptera: Noctuidae) to indoxacarb, emamectin benzoate, and chlorantraniliprole in Australia. Journal of Economic Entomology, 108(1), 294–300. </w:t>
      </w:r>
      <w:hyperlink r:id="rId24" w:history="1">
        <w:r w:rsidRPr="00DE305D">
          <w:rPr>
            <w:rStyle w:val="Hyperlink"/>
            <w:rFonts w:asciiTheme="majorBidi" w:hAnsiTheme="majorBidi" w:cstheme="majorBidi"/>
            <w:sz w:val="24"/>
            <w:szCs w:val="24"/>
          </w:rPr>
          <w:t>https://doi.org/10.1093/jee/tou042</w:t>
        </w:r>
      </w:hyperlink>
    </w:p>
    <w:p w:rsidR="00B94796" w:rsidRDefault="00B94796">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B94796">
        <w:rPr>
          <w:rFonts w:asciiTheme="majorBidi" w:hAnsiTheme="majorBidi" w:cstheme="majorBidi"/>
          <w:color w:val="000000" w:themeColor="text1"/>
          <w:sz w:val="24"/>
          <w:szCs w:val="24"/>
        </w:rPr>
        <w:t xml:space="preserve">Bossou, A. D., Ahoussi, E., Ruysbergh, E., Adams, A., Smagghe, G., De Kimpe, N., Avlessi, F., Sohounhloue, D. C. K., &amp; Mangelinckx, S. (2015). Characterization of volatile compounds from three Cymbopogon species and Eucalyptus citriodora from Benin and their insecticidal activities against Tribolium castaneum. Industrial Crops and Products, 76, 306–317. </w:t>
      </w:r>
      <w:hyperlink r:id="rId25" w:history="1">
        <w:r w:rsidRPr="00DE305D">
          <w:rPr>
            <w:rStyle w:val="Hyperlink"/>
            <w:rFonts w:asciiTheme="majorBidi" w:hAnsiTheme="majorBidi" w:cstheme="majorBidi"/>
            <w:sz w:val="24"/>
            <w:szCs w:val="24"/>
          </w:rPr>
          <w:t>https://doi.org/10.1016/j.indcrop.2015.06.031</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lastRenderedPageBreak/>
        <w:t xml:space="preserve">Bretschneider, T., Fischer, R., &amp; Nauen, R. (2012). Tetronic acid insecticides and acaricides inhibiting acetyl-CoA carboxylase. In C. Lamberth &amp; J. Dinges (Eds.), Bioactive Heterocyclic Compound Classes: Agrochemicals (pp. 265-278). Wiley-VCH Verlag GmbH &amp; Co. KGaA. </w:t>
      </w:r>
      <w:hyperlink r:id="rId26" w:history="1">
        <w:r w:rsidRPr="00DE305D">
          <w:rPr>
            <w:rStyle w:val="Hyperlink"/>
            <w:rFonts w:asciiTheme="majorBidi" w:hAnsiTheme="majorBidi" w:cstheme="majorBidi"/>
            <w:sz w:val="24"/>
            <w:szCs w:val="24"/>
          </w:rPr>
          <w:t>https://doi.org/10.1002/9783527664412.ch21</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Caballero-Gallardo, K., Olivero-Verbel, J., &amp; Stashenko, E. E. (2011). Repellent activity of essential oils and some of their individual constituents against Tribolium castaneum Herbst. Journal of Agricultural and Food Chemistry, 59(5), 1690–1696. </w:t>
      </w:r>
      <w:hyperlink r:id="rId27" w:history="1">
        <w:r w:rsidRPr="00DE305D">
          <w:rPr>
            <w:rStyle w:val="Hyperlink"/>
            <w:rFonts w:asciiTheme="majorBidi" w:hAnsiTheme="majorBidi" w:cstheme="majorBidi"/>
            <w:sz w:val="24"/>
            <w:szCs w:val="24"/>
          </w:rPr>
          <w:t>https://doi.org/10.1021/jf103937p</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Campbell, J. F., Athanassiou, C. G., Hagstrum, D. W., &amp; Zhu, K. Y. (2022). Tribolium castaneum: A model insect for fundamental and applied research. Annual Review of Entomology, 67(1), 347–365. </w:t>
      </w:r>
      <w:hyperlink r:id="rId28" w:history="1">
        <w:r w:rsidRPr="00DE305D">
          <w:rPr>
            <w:rStyle w:val="Hyperlink"/>
            <w:rFonts w:asciiTheme="majorBidi" w:hAnsiTheme="majorBidi" w:cstheme="majorBidi"/>
            <w:sz w:val="24"/>
            <w:szCs w:val="24"/>
          </w:rPr>
          <w:t>https://doi.org/10.1146/annurev-ento-080921-075157</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Chaubey, M. K. (2007). Insecticidal activity of Trachyspermum ammi (Umbelliferae), Anethum graveolens (Umbelliferae) and Nigella sativa (Ranunculaceae) essential oils against stored-product beetle Tribolium castaneum Herbst (Coleoptera: Tenebrionidae). African Journal of Agricultural Research, 2(11), 596–600. </w:t>
      </w:r>
      <w:hyperlink r:id="rId29" w:history="1">
        <w:r w:rsidRPr="00DE305D">
          <w:rPr>
            <w:rStyle w:val="Hyperlink"/>
            <w:rFonts w:asciiTheme="majorBidi" w:hAnsiTheme="majorBidi" w:cstheme="majorBidi"/>
            <w:sz w:val="24"/>
            <w:szCs w:val="24"/>
          </w:rPr>
          <w:t>https://doi.org/10.5897/AJAR.9000437</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Chaubey, M. K. (2011). Insecticidal properties of Zingiber officinale and Piper cubeba essential oils against Tribolium castaneum Herbst (Coleoptera: Tenebrionidae). Journal of Biologically Active Products from Nature, 1(5-6), 306–313. </w:t>
      </w:r>
      <w:hyperlink r:id="rId30" w:history="1">
        <w:r w:rsidRPr="00DE305D">
          <w:rPr>
            <w:rStyle w:val="Hyperlink"/>
            <w:rFonts w:asciiTheme="majorBidi" w:hAnsiTheme="majorBidi" w:cstheme="majorBidi"/>
            <w:sz w:val="24"/>
            <w:szCs w:val="24"/>
          </w:rPr>
          <w:t>https://doi.org/10.1080/22311866.2011.10719098</w:t>
        </w:r>
      </w:hyperlink>
    </w:p>
    <w:p w:rsidR="00DB7333"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Chidemo, S. C., Musundire, R., &amp; Mashavakure, N. (2023). Higher dosage of phosphine is required to control resistant strains of pests in outdoor grain storage systems: Evidence from Zimbabwe. Journal of Stored Products Research, 100, </w:t>
      </w:r>
      <w:r w:rsidRPr="00F613FF">
        <w:rPr>
          <w:rFonts w:asciiTheme="majorBidi" w:hAnsiTheme="majorBidi" w:cstheme="majorBidi"/>
          <w:color w:val="000000" w:themeColor="text1"/>
          <w:sz w:val="24"/>
          <w:szCs w:val="24"/>
        </w:rPr>
        <w:lastRenderedPageBreak/>
        <w:t>102046. https://doi.org/10.1016/j.jspr.2022.102046</w:t>
      </w:r>
      <w:r w:rsidR="00B47D9D">
        <w:rPr>
          <w:rFonts w:asciiTheme="majorBidi" w:hAnsiTheme="majorBidi" w:cstheme="majorBidi"/>
          <w:color w:val="000000" w:themeColor="text1"/>
          <w:sz w:val="24"/>
          <w:szCs w:val="24"/>
        </w:rPr>
        <w:t xml:space="preserve">Chowdhury, N. Y., Islam, W. and Khalequzzaman, M. 2009. Insecticidal activities of stem bark extracts from </w:t>
      </w:r>
      <w:r w:rsidR="00B47D9D">
        <w:rPr>
          <w:rFonts w:asciiTheme="majorBidi" w:hAnsiTheme="majorBidi" w:cstheme="majorBidi"/>
          <w:i/>
          <w:iCs/>
          <w:color w:val="000000" w:themeColor="text1"/>
          <w:sz w:val="24"/>
          <w:szCs w:val="24"/>
        </w:rPr>
        <w:t>Vitex negundo</w:t>
      </w:r>
      <w:r w:rsidR="00B47D9D">
        <w:rPr>
          <w:rFonts w:asciiTheme="majorBidi" w:hAnsiTheme="majorBidi" w:cstheme="majorBidi"/>
          <w:color w:val="000000" w:themeColor="text1"/>
          <w:sz w:val="24"/>
          <w:szCs w:val="24"/>
        </w:rPr>
        <w:t xml:space="preserve"> L. against </w:t>
      </w:r>
      <w:r w:rsidR="00B47D9D">
        <w:rPr>
          <w:rFonts w:asciiTheme="majorBidi" w:hAnsiTheme="majorBidi" w:cstheme="majorBidi"/>
          <w:i/>
          <w:iCs/>
          <w:color w:val="000000" w:themeColor="text1"/>
          <w:sz w:val="24"/>
          <w:szCs w:val="24"/>
        </w:rPr>
        <w:t>Tribolium castaneum</w:t>
      </w:r>
      <w:r w:rsidR="00B47D9D">
        <w:rPr>
          <w:rFonts w:asciiTheme="majorBidi" w:hAnsiTheme="majorBidi" w:cstheme="majorBidi"/>
          <w:color w:val="000000" w:themeColor="text1"/>
          <w:sz w:val="24"/>
          <w:szCs w:val="24"/>
        </w:rPr>
        <w:t xml:space="preserve"> (Herbst). J. Biosci., 17: 63–70.</w:t>
      </w:r>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Chowdhury, N. Y., Islam, W., &amp; Khalequzzaman, M. (2009). Insecticidal activities of stem bark extracts from Vitex negundo L. against Tribolium castaneum (Herbst). J. Biosci., 17, 63–70. </w:t>
      </w:r>
      <w:hyperlink r:id="rId31" w:history="1">
        <w:r w:rsidRPr="00DE305D">
          <w:rPr>
            <w:rStyle w:val="Hyperlink"/>
            <w:rFonts w:asciiTheme="majorBidi" w:hAnsiTheme="majorBidi" w:cstheme="majorBidi"/>
            <w:sz w:val="24"/>
            <w:szCs w:val="24"/>
          </w:rPr>
          <w:t>https://doi.org/10.3329/jbs.v17i0.7103</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Colović, M. B., Krstić, D. Z., Lazarević-Pašti, T. D., Bondžić, A. M., &amp; Vasić, V. M. (2013). Acetylcholinesterase inhibitors: Pharmacology and toxicology. Current Neuropharmacology, 11(3), 315–335. </w:t>
      </w:r>
      <w:hyperlink r:id="rId32" w:history="1">
        <w:r w:rsidRPr="00DE305D">
          <w:rPr>
            <w:rStyle w:val="Hyperlink"/>
            <w:rFonts w:asciiTheme="majorBidi" w:hAnsiTheme="majorBidi" w:cstheme="majorBidi"/>
            <w:sz w:val="24"/>
            <w:szCs w:val="24"/>
          </w:rPr>
          <w:t>https://doi.org/10.2174/1570159X11311030006</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Corrêa, E. J. A., Carvalho, F. C., de Castro Oliveira, J. A., Bertolucci, S. K. V., Scotti, M. T., Silveira, C. H., Guedes, F. C., Melo, J. O. F., de Melo-Minardi, R. C. and de Lima, L. H. F. 2023. Elucidating the molecular mechanisms of essential oils’ insecticidal action using a novel cheminformatics protocol. Sci. Rep., 13(1): 4598. </w:t>
      </w:r>
      <w:hyperlink r:id="rId33" w:history="1">
        <w:r>
          <w:rPr>
            <w:rStyle w:val="Hyperlink"/>
            <w:rFonts w:asciiTheme="majorBidi" w:hAnsiTheme="majorBidi" w:cstheme="majorBidi"/>
            <w:color w:val="000000" w:themeColor="text1"/>
            <w:sz w:val="24"/>
            <w:szCs w:val="24"/>
            <w:u w:val="none"/>
          </w:rPr>
          <w:t>https://doi.org/10.1038/s41598-023-29981-3</w:t>
        </w:r>
      </w:hyperlink>
    </w:p>
    <w:p w:rsidR="00F613FF" w:rsidRDefault="00F613FF">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F613FF">
        <w:rPr>
          <w:rFonts w:asciiTheme="majorBidi" w:hAnsiTheme="majorBidi" w:cstheme="majorBidi"/>
          <w:color w:val="000000" w:themeColor="text1"/>
          <w:sz w:val="24"/>
          <w:szCs w:val="24"/>
        </w:rPr>
        <w:t xml:space="preserve">Corrêa, E. J. A., Carvalho, F. C., de Castro Oliveira, J. A., Bertolucci, S. K. V., Scotti, M. T., Silveira, C. H., Guedes, F. C., Melo, J. O. F., de Melo-Minardi, R. C., &amp; de Lima, L. H. F. (2023). Elucidating the molecular mechanisms of essential oils’ insecticidal action using a novel cheminformatics protocol. Scientific Reports, 13(1), 4598. </w:t>
      </w:r>
      <w:hyperlink r:id="rId34" w:history="1">
        <w:r w:rsidRPr="00DE305D">
          <w:rPr>
            <w:rStyle w:val="Hyperlink"/>
            <w:rFonts w:asciiTheme="majorBidi" w:hAnsiTheme="majorBidi" w:cstheme="majorBidi"/>
            <w:sz w:val="24"/>
            <w:szCs w:val="24"/>
          </w:rPr>
          <w:t>https://doi.org/10.1038/s41598-023-29981-3</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Demirel, N., Kurt, S., Gunes, U., Uluc, F. T. and Cabuk, F. 2009. Toxicological responses of confused flour beetle,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xml:space="preserve"> du Val (Coleoptera: </w:t>
      </w:r>
      <w:r>
        <w:rPr>
          <w:rFonts w:asciiTheme="majorBidi" w:hAnsiTheme="majorBidi" w:cstheme="majorBidi"/>
          <w:color w:val="000000" w:themeColor="text1"/>
          <w:sz w:val="24"/>
          <w:szCs w:val="24"/>
        </w:rPr>
        <w:lastRenderedPageBreak/>
        <w:t>Tenebrionoidea) to various isothiocyanate compounds. Asian J. Chem., 21: 6411–6416.</w:t>
      </w:r>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Draz, K. A., Tabikha, R. M., Eldosouky, M. I., Darwish, A. A., &amp; Abdelnasser, M. (2022). Biotoxicity of essential oils and their nano-emulsions against the coleopteran stored product insect pests Sitophilus oryzae L. and Tribolium castaneum herbst. International Journal of Pest Management, 70(4), 729-743. </w:t>
      </w:r>
      <w:hyperlink r:id="rId35" w:history="1">
        <w:r w:rsidRPr="00DE305D">
          <w:rPr>
            <w:rStyle w:val="Hyperlink"/>
            <w:rFonts w:asciiTheme="majorBidi" w:hAnsiTheme="majorBidi" w:cstheme="majorBidi"/>
            <w:sz w:val="24"/>
            <w:szCs w:val="24"/>
          </w:rPr>
          <w:t>https://doi.org/10.1080/09670874.2022.2036862</w:t>
        </w:r>
      </w:hyperlink>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Ebadollahi, A., &amp; Razmjou, J. (2019). Chemical composition and toxicity of the essential oils of Lippia citriodora from two different locations against Rhyzopertha dominica and Tribolium castaneum. Agriculture and Forestry, 65(3), 135-146. </w:t>
      </w:r>
      <w:hyperlink r:id="rId36" w:history="1">
        <w:r w:rsidRPr="00DE305D">
          <w:rPr>
            <w:rStyle w:val="Hyperlink"/>
            <w:rFonts w:asciiTheme="majorBidi" w:hAnsiTheme="majorBidi" w:cstheme="majorBidi"/>
            <w:sz w:val="24"/>
            <w:szCs w:val="24"/>
          </w:rPr>
          <w:t>https://doi.org/10.17707/AgricultForest.65.3.11</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Eltalawy, H. M., El-Fayoumi, H., Aboelhadid, S. M., Al-Quraishy, S., El-Mallah, A. M., El-Ela, F. I. A., Awad, E. M. and Abdel-Baki, A. A. S. 2025. Insecticidal activity and systematic insights of carvacrol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Acetylcholinesterase inhibition, oxidative stress, and molecular docking. J. Stored Prod. Res., 112: 102638. doi: 10.1016/j.jspr.2025.102638</w:t>
      </w:r>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Arabi, F., Moharramipour, S., &amp; Sefidkon, F. (2008). Chemical composition and insecticidal activity of essential oil from Perovskia abrotanoides (Lamiaceae) against Sitophilus oryzae (Coleoptera: Curculionidae) and Tribolium castaneum (Coleoptera: Tenebrionidae). International Journal of Tropical Insect Science, 28(3), 144–150. </w:t>
      </w:r>
      <w:hyperlink r:id="rId37" w:history="1">
        <w:r w:rsidRPr="00DE305D">
          <w:rPr>
            <w:rStyle w:val="Hyperlink"/>
            <w:rFonts w:asciiTheme="majorBidi" w:hAnsiTheme="majorBidi" w:cstheme="majorBidi"/>
            <w:sz w:val="24"/>
            <w:szCs w:val="24"/>
          </w:rPr>
          <w:t>https://doi.org/10.1017/S1742758408079861</w:t>
        </w:r>
      </w:hyperlink>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Gandhi, N., Pillai, S., &amp; Patel, P. (2010). Efficacy of pulverized Punica granatum (Lythraceae) and Murraya koenigii (Rutaceae) leaves against stored </w:t>
      </w:r>
      <w:r w:rsidRPr="00AE65A8">
        <w:rPr>
          <w:rFonts w:asciiTheme="majorBidi" w:hAnsiTheme="majorBidi" w:cstheme="majorBidi"/>
          <w:color w:val="000000" w:themeColor="text1"/>
          <w:sz w:val="24"/>
          <w:szCs w:val="24"/>
        </w:rPr>
        <w:lastRenderedPageBreak/>
        <w:t xml:space="preserve">grain pest Tribolium castaneum (Coleoptera: Tenebrionidae). *Int. J. Agric. Biol.*, *12*(4), 616–620. </w:t>
      </w:r>
      <w:hyperlink r:id="rId38" w:history="1">
        <w:r w:rsidRPr="00DE305D">
          <w:rPr>
            <w:rStyle w:val="Hyperlink"/>
            <w:rFonts w:asciiTheme="majorBidi" w:hAnsiTheme="majorBidi" w:cstheme="majorBidi"/>
            <w:sz w:val="24"/>
            <w:szCs w:val="24"/>
          </w:rPr>
          <w:t>http://www.fspublishers.org</w:t>
        </w:r>
      </w:hyperlink>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García, M., Donadel, O. J., Ardanaz, C. E., Tonn, C. E., &amp; Sosa, M. E. (2005). Toxic and repellent effects of Baccharis salicifolia essential oil on Tribolium castaneum. Pest Management Science, 61(6), 612–618. </w:t>
      </w:r>
      <w:hyperlink r:id="rId39" w:history="1">
        <w:r w:rsidRPr="00DE305D">
          <w:rPr>
            <w:rStyle w:val="Hyperlink"/>
            <w:rFonts w:asciiTheme="majorBidi" w:hAnsiTheme="majorBidi" w:cstheme="majorBidi"/>
            <w:sz w:val="24"/>
            <w:szCs w:val="24"/>
          </w:rPr>
          <w:t>https://doi.org/10.1002/ps.1028</w:t>
        </w:r>
      </w:hyperlink>
    </w:p>
    <w:p w:rsidR="00AE65A8" w:rsidRP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lang w:val="da-DK"/>
        </w:rPr>
        <w:t xml:space="preserve">Gharsan, F. N., Kamel, W. M., Alghamdi, T. S., Alghamdi, A. A., Althagafi, A. O., Aljassim, F. J., &amp; Al-Ghamdi, S. N. (2022). Toxicity of citronella essential oil and its nanoemulsion against the sawtoothed grain beetle Oryzaephilus surinamensis (Coleoptera: Silvanidae). Industrial Crops &amp; Products, 184, 115024. </w:t>
      </w:r>
      <w:hyperlink r:id="rId40" w:history="1">
        <w:r w:rsidRPr="00DE305D">
          <w:rPr>
            <w:rStyle w:val="Hyperlink"/>
            <w:rFonts w:asciiTheme="majorBidi" w:hAnsiTheme="majorBidi" w:cstheme="majorBidi"/>
            <w:sz w:val="24"/>
            <w:szCs w:val="24"/>
            <w:lang w:val="da-DK"/>
          </w:rPr>
          <w:t>https://doi.org/10.1016/j.indcrop.2022.115024</w:t>
        </w:r>
      </w:hyperlink>
    </w:p>
    <w:p w:rsidR="00AE65A8" w:rsidRDefault="00AE65A8">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E65A8">
        <w:rPr>
          <w:rFonts w:asciiTheme="majorBidi" w:hAnsiTheme="majorBidi" w:cstheme="majorBidi"/>
          <w:color w:val="000000" w:themeColor="text1"/>
          <w:sz w:val="24"/>
          <w:szCs w:val="24"/>
        </w:rPr>
        <w:t xml:space="preserve">Ghelani, Y. H., Dhedhi, K. K., Joshi, H. J., Raghvani, K. L., &amp; Dangaria, C. J. (2009). Effect of insecticidal seed treatment on viability of pearl millet seed during storage. *Karnataka Journal of Agricultural Sciences*, *22*(3), 633–634. </w:t>
      </w:r>
      <w:hyperlink r:id="rId41" w:history="1">
        <w:r w:rsidRPr="00DE305D">
          <w:rPr>
            <w:rStyle w:val="Hyperlink"/>
            <w:rFonts w:asciiTheme="majorBidi" w:hAnsiTheme="majorBidi" w:cstheme="majorBidi"/>
            <w:sz w:val="24"/>
            <w:szCs w:val="24"/>
          </w:rPr>
          <w:t>https://uasd.edu/journal-of-farm-sciences/archives/</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Gundurao, M. 1966. Repellency of </w:t>
      </w:r>
      <w:r>
        <w:rPr>
          <w:rFonts w:asciiTheme="majorBidi" w:hAnsiTheme="majorBidi" w:cstheme="majorBidi"/>
          <w:i/>
          <w:iCs/>
          <w:color w:val="000000" w:themeColor="text1"/>
          <w:sz w:val="24"/>
          <w:szCs w:val="24"/>
        </w:rPr>
        <w:t>Kaempferia galanga</w:t>
      </w:r>
      <w:r>
        <w:rPr>
          <w:rFonts w:asciiTheme="majorBidi" w:hAnsiTheme="majorBidi" w:cstheme="majorBidi"/>
          <w:color w:val="000000" w:themeColor="text1"/>
          <w:sz w:val="24"/>
          <w:szCs w:val="24"/>
        </w:rPr>
        <w:t xml:space="preserve"> Linn. (Zingiberaceae) to adults of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Hbst</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Sci. Cult., 32: 461–462.</w:t>
      </w:r>
    </w:p>
    <w:p w:rsidR="003A6D2D" w:rsidRDefault="003A6D2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A6D2D">
        <w:rPr>
          <w:rFonts w:asciiTheme="majorBidi" w:hAnsiTheme="majorBidi" w:cstheme="majorBidi"/>
          <w:color w:val="000000" w:themeColor="text1"/>
          <w:sz w:val="24"/>
          <w:szCs w:val="24"/>
        </w:rPr>
        <w:t xml:space="preserve">Habashi, A. S., Safaralizadeh, M. H., &amp; Safavi, S. A. (2011). Fumigant toxicity of Carum copticum L. oil against Tribolium confusum du Val, Rhyzopertha dominica F., and Oryzaphilus surinamensis L. Munis Entomology &amp; Zoology, 6(1), 282–289. </w:t>
      </w:r>
      <w:hyperlink r:id="rId42" w:history="1">
        <w:r w:rsidRPr="00DE305D">
          <w:rPr>
            <w:rStyle w:val="Hyperlink"/>
            <w:rFonts w:asciiTheme="majorBidi" w:hAnsiTheme="majorBidi" w:cstheme="majorBidi"/>
            <w:sz w:val="24"/>
            <w:szCs w:val="24"/>
          </w:rPr>
          <w:t>https://www.munisentzool.org/volume/6/issue_1/Habashi_et_al.pdf</w:t>
        </w:r>
      </w:hyperlink>
    </w:p>
    <w:p w:rsidR="00D776CD" w:rsidRDefault="003A6D2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A6D2D">
        <w:rPr>
          <w:rFonts w:asciiTheme="majorBidi" w:hAnsiTheme="majorBidi" w:cstheme="majorBidi"/>
          <w:color w:val="000000" w:themeColor="text1"/>
          <w:sz w:val="24"/>
          <w:szCs w:val="24"/>
        </w:rPr>
        <w:t xml:space="preserve">Haider, S. Z., Mohan, M., Pandey, A. K., &amp; Singh, P. (2017). Use of Tanacetum tomentosum and Ta. dolichophyllum essential oils as botanical repellents and insecticidal agents against storage pest Tribolium castaneum (Coleoptera: </w:t>
      </w:r>
      <w:r w:rsidRPr="003A6D2D">
        <w:rPr>
          <w:rFonts w:asciiTheme="majorBidi" w:hAnsiTheme="majorBidi" w:cstheme="majorBidi"/>
          <w:color w:val="000000" w:themeColor="text1"/>
          <w:sz w:val="24"/>
          <w:szCs w:val="24"/>
        </w:rPr>
        <w:lastRenderedPageBreak/>
        <w:t xml:space="preserve">Tenebrionidae). Entomological Research, 47(5), 318–327. </w:t>
      </w:r>
      <w:hyperlink r:id="rId43" w:history="1">
        <w:r w:rsidR="00D776CD" w:rsidRPr="00DE305D">
          <w:rPr>
            <w:rStyle w:val="Hyperlink"/>
            <w:rFonts w:asciiTheme="majorBidi" w:hAnsiTheme="majorBidi" w:cstheme="majorBidi"/>
            <w:sz w:val="24"/>
            <w:szCs w:val="24"/>
          </w:rPr>
          <w:t>https://doi.org/10.1111/1748-5967.12228</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Hamouda, A. B., Mechi, A., Zarred, K., Chaieb, I., &amp; Laarif, A. (2014). Insecticidal activities of fruit peel extracts of pomegranate (Punica granatum) against the red flour beetle Tribolium castaneum. Tunisian Journal of Plant Protection, 9(1), 91–100. </w:t>
      </w:r>
      <w:hyperlink r:id="rId44" w:history="1">
        <w:r w:rsidRPr="00DE305D">
          <w:rPr>
            <w:rStyle w:val="Hyperlink"/>
            <w:rFonts w:asciiTheme="majorBidi" w:hAnsiTheme="majorBidi" w:cstheme="majorBidi"/>
            <w:sz w:val="24"/>
            <w:szCs w:val="24"/>
          </w:rPr>
          <w:t>https://www.tjpp.tn/sites/default/files/TJPP_Vol9_N1_2014_91-100.pdf</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Haouel-Hamdi, S., Hamedou, M. B., Bachrouch, O., Boushih, E., Zarroug, Y., Sriti, J., Messaoud, C., Hammami, M., Abderraba, M., Limam, F., &amp; Jemâa, J. M.-B. (2020). Susceptibility of Tribolium castaneum to Laurus nobilis essential oil and assessment on semolina quality. *International Journal of Tropical Insect Science*, *40*(3), 667–675. </w:t>
      </w:r>
      <w:hyperlink r:id="rId45" w:history="1">
        <w:r w:rsidRPr="00DE305D">
          <w:rPr>
            <w:rStyle w:val="Hyperlink"/>
            <w:rFonts w:asciiTheme="majorBidi" w:hAnsiTheme="majorBidi" w:cstheme="majorBidi"/>
            <w:sz w:val="24"/>
            <w:szCs w:val="24"/>
          </w:rPr>
          <w:t>https://doi.org/10.1007/s42690-020-00119-6</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Haq, T., Usmani, N. F., &amp; Abbas, T. (2005). Screening of plant leaves as grain protectants against Tribolium castaneum during storage. *Pak. J. Bot.*, *37*(1), 149–153. </w:t>
      </w:r>
      <w:hyperlink r:id="rId46" w:history="1">
        <w:r w:rsidRPr="00DE305D">
          <w:rPr>
            <w:rStyle w:val="Hyperlink"/>
            <w:rFonts w:asciiTheme="majorBidi" w:hAnsiTheme="majorBidi" w:cstheme="majorBidi"/>
            <w:sz w:val="24"/>
            <w:szCs w:val="24"/>
          </w:rPr>
          <w:t>https://www.pakbs.org/pjbot/PDFs/37(1)/PJB37(1)149.pdf</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Hashem, A. S., Awadalla, S. S., Zayed, G. M., Maggi, F., &amp; Benelli, G. (2018). Pimpinella anisum essential oil nanoemulsions against Tribolium castaneum—insecticidal activity and mode of action. Environmental Science and Pollution Research. </w:t>
      </w:r>
      <w:hyperlink r:id="rId47" w:history="1">
        <w:r w:rsidRPr="00DE305D">
          <w:rPr>
            <w:rStyle w:val="Hyperlink"/>
            <w:rFonts w:asciiTheme="majorBidi" w:hAnsiTheme="majorBidi" w:cstheme="majorBidi"/>
            <w:sz w:val="24"/>
            <w:szCs w:val="24"/>
          </w:rPr>
          <w:t>https://doi.org/10.1007/s11356-018-2068-1</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Hashem, A. S., Awadalla, S. S., Zayed, G. M., Maggi, F., &amp; Benelli, G. (2018). Pimpinella anisum essential oil nanoemulsions against Tribolium castaneum—insecticidal activity and mode of action. Environmental Science and Pollution Research, 25(19), 18802–18812. </w:t>
      </w:r>
      <w:hyperlink r:id="rId48" w:history="1">
        <w:r w:rsidRPr="00DE305D">
          <w:rPr>
            <w:rStyle w:val="Hyperlink"/>
            <w:rFonts w:asciiTheme="majorBidi" w:hAnsiTheme="majorBidi" w:cstheme="majorBidi"/>
            <w:sz w:val="24"/>
            <w:szCs w:val="24"/>
          </w:rPr>
          <w:t>https://doi.org/10.1007/s11356-018-2068-1</w:t>
        </w:r>
      </w:hyperlink>
    </w:p>
    <w:p w:rsidR="00D776CD" w:rsidRP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eastAsia="Calibri" w:hAnsiTheme="majorBidi" w:cstheme="majorBidi"/>
          <w:color w:val="000000" w:themeColor="text1"/>
          <w:sz w:val="24"/>
          <w:szCs w:val="24"/>
        </w:rPr>
        <w:lastRenderedPageBreak/>
        <w:t xml:space="preserve">Heydarzade, A., Valizadegan, O., Negahban, M., &amp; Mehrkhou, F. (2019). Efficacy of Mentha spicata and Mentha pulegium essential oil nanoformulation on mortality and physiology of Tribolium castaneum (Col.: Tenebrionidae). Journal of Crop Protection, 8(4), 501-520. </w:t>
      </w:r>
      <w:hyperlink r:id="rId49" w:history="1">
        <w:r w:rsidRPr="00DE305D">
          <w:rPr>
            <w:rStyle w:val="Hyperlink"/>
            <w:rFonts w:asciiTheme="majorBidi" w:eastAsia="Calibri" w:hAnsiTheme="majorBidi" w:cstheme="majorBidi"/>
            <w:sz w:val="24"/>
            <w:szCs w:val="24"/>
          </w:rPr>
          <w:t>https://doi.org/10.48311/jcp.2019.1453</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Ho, S. H., Cheng, L. P. L., Sim, K. Y., &amp; Tan, H. T. W. (1994). Potential of cloves (Syzygium aromaticum (L.) Merr. and Perry) as a grain protectant against Tribolium castaneum (Herbst) and Sitophilus zeamais Motsch. Postharvest Biology and Technology, 4(1–2), 179–183. </w:t>
      </w:r>
      <w:hyperlink r:id="rId50" w:history="1">
        <w:r w:rsidRPr="00DE305D">
          <w:rPr>
            <w:rStyle w:val="Hyperlink"/>
            <w:rFonts w:asciiTheme="majorBidi" w:hAnsiTheme="majorBidi" w:cstheme="majorBidi"/>
            <w:sz w:val="24"/>
            <w:szCs w:val="24"/>
          </w:rPr>
          <w:t>https://doi.org/10.1016/0925-5214(94)90019-1</w:t>
        </w:r>
      </w:hyperlink>
    </w:p>
    <w:p w:rsidR="00D776CD" w:rsidRDefault="00D776C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776CD">
        <w:rPr>
          <w:rFonts w:asciiTheme="majorBidi" w:hAnsiTheme="majorBidi" w:cstheme="majorBidi"/>
          <w:color w:val="000000" w:themeColor="text1"/>
          <w:sz w:val="24"/>
          <w:szCs w:val="24"/>
        </w:rPr>
        <w:t xml:space="preserve">Ho, S. H., Ma, Y., Goh, P. M., &amp; Sim, K. Y. (1995). Star anise, Illicium verum Hook f. as a potential grain protectant against Tribolium castaneum (Herbst) and Sitophilus zeamais Motsch. Postharvest Biology and Technology, 6(3–4), 341–347. </w:t>
      </w:r>
      <w:hyperlink r:id="rId51" w:history="1">
        <w:r w:rsidRPr="00DE305D">
          <w:rPr>
            <w:rStyle w:val="Hyperlink"/>
            <w:rFonts w:asciiTheme="majorBidi" w:hAnsiTheme="majorBidi" w:cstheme="majorBidi"/>
            <w:sz w:val="24"/>
            <w:szCs w:val="24"/>
          </w:rPr>
          <w:t>https://doi.org/10.1016/0925-5214(95)00015-X</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Hu, J., Wang, W., Dai, J., &amp; Zhu, L. (2019). Chemical composition and biological activity against Tribolium castaneum (Coleoptera: Tenebrionidae) of Artemisia brachyloba essential oil. Industrial Crops and Products, 128, 29–37. </w:t>
      </w:r>
      <w:hyperlink r:id="rId52" w:history="1">
        <w:r w:rsidRPr="00DE305D">
          <w:rPr>
            <w:rStyle w:val="Hyperlink"/>
            <w:rFonts w:asciiTheme="majorBidi" w:hAnsiTheme="majorBidi" w:cstheme="majorBidi"/>
            <w:sz w:val="24"/>
            <w:szCs w:val="24"/>
          </w:rPr>
          <w:t>https://doi.org/10.1016/j.indcrop.2018.10.076</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Huang, Y., Lam, S. L., &amp; Ho, S. H. (2000). Bioactivities of essential oil from Elettaria cardamomum (L.) Maton to Sitophilus zeamais Motschulsky and Tribolium castaneum (Herbst). Journal of Stored Products Research, 36(2), 107–117. </w:t>
      </w:r>
      <w:hyperlink r:id="rId53" w:history="1">
        <w:r w:rsidRPr="00DE305D">
          <w:rPr>
            <w:rStyle w:val="Hyperlink"/>
            <w:rFonts w:asciiTheme="majorBidi" w:hAnsiTheme="majorBidi" w:cstheme="majorBidi"/>
            <w:sz w:val="24"/>
            <w:szCs w:val="24"/>
          </w:rPr>
          <w:t>https://doi.org/10.1016/S0022-474X(99)00040-5</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Husain, M., &amp; Rahman, M. M. (2007). Repellent Effect of Indigenous Plant Bhat (Clerodendron Viscosum L.) Leaf on Tribolium Castaneum Herbst. </w:t>
      </w:r>
      <w:r w:rsidRPr="00E32FF2">
        <w:rPr>
          <w:rFonts w:asciiTheme="majorBidi" w:hAnsiTheme="majorBidi" w:cstheme="majorBidi"/>
          <w:color w:val="000000" w:themeColor="text1"/>
          <w:sz w:val="24"/>
          <w:szCs w:val="24"/>
        </w:rPr>
        <w:lastRenderedPageBreak/>
        <w:t xml:space="preserve">Bangladesh Journal of Scientific and Industrial Research, 41(1), 67–72. </w:t>
      </w:r>
      <w:hyperlink r:id="rId54" w:history="1">
        <w:r w:rsidRPr="00DE305D">
          <w:rPr>
            <w:rStyle w:val="Hyperlink"/>
            <w:rFonts w:asciiTheme="majorBidi" w:hAnsiTheme="majorBidi" w:cstheme="majorBidi"/>
            <w:sz w:val="24"/>
            <w:szCs w:val="24"/>
          </w:rPr>
          <w:t>https://doi.org/10.3329/bjsir.v41i1.271</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Iqbal, H., Jahan, N., Khalil-ur-Rahman, &amp; Jamil, S. (2022). Formulation and characterisation of Azadirachta indica nanobiopesticides for ecofriendly control of wheat pest Tribolium castaneum and Rhyzopertha dominica. Journal of Microencapsulation, 39(7–8), 638–653. </w:t>
      </w:r>
      <w:hyperlink r:id="rId55" w:history="1">
        <w:r w:rsidRPr="00DE305D">
          <w:rPr>
            <w:rStyle w:val="Hyperlink"/>
            <w:rFonts w:asciiTheme="majorBidi" w:hAnsiTheme="majorBidi" w:cstheme="majorBidi"/>
            <w:sz w:val="24"/>
            <w:szCs w:val="24"/>
          </w:rPr>
          <w:t>https://doi.org/10.1080/02652048.2022.2149870</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Iqbal, L. Z., Haider, A., Ullah, R. H., Ashraf, M. A., Qadir, M. F., &amp; Ikhtiar, F. (2025). Formulation and evaluation of Syzygium aromaticum essential oil nanoemulsion: Effects on Tribolium castaneum, wheat growth, and molecular docking for pest control. Brazilian Journal of Science. </w:t>
      </w:r>
      <w:hyperlink r:id="rId56" w:history="1">
        <w:r w:rsidRPr="00DE305D">
          <w:rPr>
            <w:rStyle w:val="Hyperlink"/>
            <w:rFonts w:asciiTheme="majorBidi" w:hAnsiTheme="majorBidi" w:cstheme="majorBidi"/>
            <w:sz w:val="24"/>
            <w:szCs w:val="24"/>
          </w:rPr>
          <w:t>https://doi.org/10.14295/bjs.v4i3.712</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Islam, M. S. and Talukder, F. A. 2005. Toxic and residual effects of </w:t>
      </w:r>
      <w:r>
        <w:rPr>
          <w:rFonts w:asciiTheme="majorBidi" w:hAnsiTheme="majorBidi" w:cstheme="majorBidi"/>
          <w:i/>
          <w:iCs/>
          <w:color w:val="000000" w:themeColor="text1"/>
          <w:sz w:val="24"/>
          <w:szCs w:val="24"/>
        </w:rPr>
        <w:t>Azadirachta indica</w:t>
      </w:r>
      <w:r>
        <w:rPr>
          <w:rFonts w:asciiTheme="majorBidi" w:hAnsiTheme="majorBidi" w:cstheme="majorBidi"/>
          <w:color w:val="000000" w:themeColor="text1"/>
          <w:sz w:val="24"/>
          <w:szCs w:val="24"/>
        </w:rPr>
        <w:t xml:space="preserve">, </w:t>
      </w:r>
      <w:r>
        <w:rPr>
          <w:rFonts w:asciiTheme="majorBidi" w:hAnsiTheme="majorBidi" w:cstheme="majorBidi"/>
          <w:i/>
          <w:iCs/>
          <w:color w:val="000000" w:themeColor="text1"/>
          <w:sz w:val="24"/>
          <w:szCs w:val="24"/>
        </w:rPr>
        <w:t>Tagetes erecta</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Cynodon dactylon</w:t>
      </w:r>
      <w:r>
        <w:rPr>
          <w:rFonts w:asciiTheme="majorBidi" w:hAnsiTheme="majorBidi" w:cstheme="majorBidi"/>
          <w:color w:val="000000" w:themeColor="text1"/>
          <w:sz w:val="24"/>
          <w:szCs w:val="24"/>
        </w:rPr>
        <w:t xml:space="preserve"> seed extracts and leaf powders towards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J. Plant Dis. Prot., 112(6): 594–601. </w:t>
      </w:r>
      <w:hyperlink r:id="rId57" w:history="1">
        <w:r>
          <w:rPr>
            <w:rStyle w:val="Hyperlink"/>
            <w:rFonts w:asciiTheme="majorBidi" w:hAnsiTheme="majorBidi" w:cstheme="majorBidi"/>
            <w:color w:val="000000" w:themeColor="text1"/>
            <w:sz w:val="24"/>
            <w:szCs w:val="24"/>
            <w:u w:val="none"/>
          </w:rPr>
          <w:t>https://doi.org/10.1007/bf03356157</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Islam, M. S., Hasan, M. M., Xiong, W., Zhang, S. C., &amp; Lei, C. L. (2009). Fumigant and repellent activities of essential oil from Coriandrum sativum (L.) (Apiaceae) against red flour beetle Tribolium castaneum (Herbst) (Coleoptera: Tenebrionidae). J. Pest Sci. </w:t>
      </w:r>
      <w:hyperlink r:id="rId58" w:history="1">
        <w:r w:rsidRPr="00DE305D">
          <w:rPr>
            <w:rStyle w:val="Hyperlink"/>
            <w:rFonts w:asciiTheme="majorBidi" w:hAnsiTheme="majorBidi" w:cstheme="majorBidi"/>
            <w:sz w:val="24"/>
            <w:szCs w:val="24"/>
          </w:rPr>
          <w:t>https://doi.org/10.1007/s10340-008-0236-7</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Jbilou, R., &amp; Sayah, F. (2007). Effects of Peganum harmala (Zygophyllaceae) seed extracts on the development of Tribolium castaneum (Coleoptera: Tenebrionidae). International Journal of Tropical Insect Science, 27(3–4), 199. </w:t>
      </w:r>
      <w:hyperlink r:id="rId59" w:history="1">
        <w:r w:rsidRPr="00DE305D">
          <w:rPr>
            <w:rStyle w:val="Hyperlink"/>
            <w:rFonts w:asciiTheme="majorBidi" w:hAnsiTheme="majorBidi" w:cstheme="majorBidi"/>
            <w:sz w:val="24"/>
            <w:szCs w:val="24"/>
          </w:rPr>
          <w:t>https://doi.org/10.1017/s1742758407850971</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lastRenderedPageBreak/>
        <w:t>Kalita, S., &amp; Bhola, R. K. (2013). A comparative study of repellent effects of dichloromethane extracts of Lantana camara L. and Calotropis procera Ait. on Tribolium castaneum (Herbst) (</w:t>
      </w:r>
      <w:proofErr w:type="gramStart"/>
      <w:r w:rsidRPr="00E32FF2">
        <w:rPr>
          <w:rFonts w:asciiTheme="majorBidi" w:hAnsiTheme="majorBidi" w:cstheme="majorBidi"/>
          <w:color w:val="000000" w:themeColor="text1"/>
          <w:sz w:val="24"/>
          <w:szCs w:val="24"/>
        </w:rPr>
        <w:t>Coleoptera :</w:t>
      </w:r>
      <w:proofErr w:type="gramEnd"/>
      <w:r w:rsidRPr="00E32FF2">
        <w:rPr>
          <w:rFonts w:asciiTheme="majorBidi" w:hAnsiTheme="majorBidi" w:cstheme="majorBidi"/>
          <w:color w:val="000000" w:themeColor="text1"/>
          <w:sz w:val="24"/>
          <w:szCs w:val="24"/>
        </w:rPr>
        <w:t xml:space="preserve"> Tenebrionidae). The Clarion International Multidisciplinary Journal, 2(2), 11–16. </w:t>
      </w:r>
      <w:hyperlink r:id="rId60" w:history="1">
        <w:r w:rsidRPr="00DE305D">
          <w:rPr>
            <w:rStyle w:val="Hyperlink"/>
            <w:rFonts w:asciiTheme="majorBidi" w:hAnsiTheme="majorBidi" w:cstheme="majorBidi"/>
            <w:sz w:val="24"/>
            <w:szCs w:val="24"/>
          </w:rPr>
          <w:t>https://theclarion.in/archives</w:t>
        </w:r>
      </w:hyperlink>
    </w:p>
    <w:p w:rsidR="00E32FF2" w:rsidRDefault="00E32FF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32FF2">
        <w:rPr>
          <w:rFonts w:asciiTheme="majorBidi" w:hAnsiTheme="majorBidi" w:cstheme="majorBidi"/>
          <w:color w:val="000000" w:themeColor="text1"/>
          <w:sz w:val="24"/>
          <w:szCs w:val="24"/>
        </w:rPr>
        <w:t xml:space="preserve">Khalequzzaman, M., &amp; Sultana, S. (2006). Insecticidal activity of Annona squamosa L. seed extracts against the red flour beetle, Tribolium castaneum (Herbst). J. Bio-Science, 14, 107–112. </w:t>
      </w:r>
      <w:hyperlink r:id="rId61" w:history="1">
        <w:r w:rsidRPr="00DE305D">
          <w:rPr>
            <w:rStyle w:val="Hyperlink"/>
            <w:rFonts w:asciiTheme="majorBidi" w:hAnsiTheme="majorBidi" w:cstheme="majorBidi"/>
            <w:sz w:val="24"/>
            <w:szCs w:val="24"/>
          </w:rPr>
          <w:t>https://doi.org/10.3329/jbs.v14i0.453</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Khalil, M., Khizar, M., Alshaya, D. S., Hameed, A., Muhammad, N., Binyameen, M., Azeem, M., Hussain, M., Abbas, Q., Attia, K. A., &amp; Shah, T. A. (2024). Insecticidal and repellent activity of essential oils from seven different plant species against Tribolium castaneum (Coleoptera: Tenebrionidae). Insects, 15(10), 755. </w:t>
      </w:r>
      <w:hyperlink r:id="rId62" w:history="1">
        <w:r w:rsidRPr="00DE305D">
          <w:rPr>
            <w:rStyle w:val="Hyperlink"/>
            <w:rFonts w:asciiTheme="majorBidi" w:hAnsiTheme="majorBidi" w:cstheme="majorBidi"/>
            <w:sz w:val="24"/>
            <w:szCs w:val="24"/>
          </w:rPr>
          <w:t>https://doi.org/10.3390/insects15100755</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Khaliq, A., Ullah, M. I., Afzal, M., Ali, S., Sajjad, A., Ahmad, A., &amp; Khalid, S. (2020). Management of Tribolium castaneum using synergism between conventional fumigant and plant essential oils. International Journal of Tropical Insect Science, 40(4), 781–788. </w:t>
      </w:r>
      <w:hyperlink r:id="rId63" w:history="1">
        <w:r w:rsidRPr="00DE305D">
          <w:rPr>
            <w:rStyle w:val="Hyperlink"/>
            <w:rFonts w:asciiTheme="majorBidi" w:hAnsiTheme="majorBidi" w:cstheme="majorBidi"/>
            <w:sz w:val="24"/>
            <w:szCs w:val="24"/>
          </w:rPr>
          <w:t>https://doi.org/10.1007/s42690-020-00131-w</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Khan, H. A. A., Akram, W., &amp; Shad, S. A. (2013). Resistance to conventional insecticides in Pakistani populations of Musca domestica L. (Diptera: Muscidae): a potential ectoparasite of dairy animals. Ecotoxicology, 22(3), 522–527. </w:t>
      </w:r>
      <w:hyperlink r:id="rId64" w:history="1">
        <w:r w:rsidRPr="00DE305D">
          <w:rPr>
            <w:rStyle w:val="Hyperlink"/>
            <w:rFonts w:asciiTheme="majorBidi" w:hAnsiTheme="majorBidi" w:cstheme="majorBidi"/>
            <w:sz w:val="24"/>
            <w:szCs w:val="24"/>
          </w:rPr>
          <w:t>https://doi.org/10.1007/s10646-013-1044-2</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Khanam, L., Talukder, D. and Mahfuz, I. 2009. Action of </w:t>
      </w:r>
      <w:r>
        <w:rPr>
          <w:rFonts w:asciiTheme="majorBidi" w:hAnsiTheme="majorBidi" w:cstheme="majorBidi"/>
          <w:i/>
          <w:iCs/>
          <w:color w:val="000000" w:themeColor="text1"/>
          <w:sz w:val="24"/>
          <w:szCs w:val="24"/>
        </w:rPr>
        <w:t>Trichosanthes plamata</w:t>
      </w:r>
      <w:r>
        <w:rPr>
          <w:rFonts w:asciiTheme="majorBidi" w:hAnsiTheme="majorBidi" w:cstheme="majorBidi"/>
          <w:color w:val="000000" w:themeColor="text1"/>
          <w:sz w:val="24"/>
          <w:szCs w:val="24"/>
        </w:rPr>
        <w:t xml:space="preserve"> seed extracts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Bangladesh J. Life Sci., 21(1): 129–136.</w:t>
      </w:r>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lastRenderedPageBreak/>
        <w:t xml:space="preserve">Khani, A., &amp; Asghari, J. (2012). Insecticide activity of essential oils of Mentha longifolia, Pulicaria gnaphalodes and Achillea wilhelmsii against two stored product pests, the flour beetle, Tribolium castaneum, and the cowpea weevil, Callosobruchus maculatus. Journal of Insect Science, 12(1), 73. </w:t>
      </w:r>
      <w:hyperlink r:id="rId65" w:history="1">
        <w:r w:rsidRPr="00DE305D">
          <w:rPr>
            <w:rStyle w:val="Hyperlink"/>
            <w:rFonts w:asciiTheme="majorBidi" w:hAnsiTheme="majorBidi" w:cstheme="majorBidi"/>
            <w:sz w:val="24"/>
            <w:szCs w:val="24"/>
          </w:rPr>
          <w:t>https://doi.org/10.1673/031.012.7301</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Khani, A., &amp; Heydarian, M. (2014). Fumigant and repellent properties of sesquiterpene-rich essential oil from Teucrium polium subsp. capitatum (L.). Asian Pacific Journal of Tropical Medicine </w:t>
      </w:r>
      <w:hyperlink r:id="rId66" w:history="1">
        <w:r w:rsidRPr="00DE305D">
          <w:rPr>
            <w:rStyle w:val="Hyperlink"/>
            <w:rFonts w:asciiTheme="majorBidi" w:hAnsiTheme="majorBidi" w:cstheme="majorBidi"/>
            <w:sz w:val="24"/>
            <w:szCs w:val="24"/>
          </w:rPr>
          <w:t>https://doi.org/10.1016/S1995-7645(14)60169-3</w:t>
        </w:r>
      </w:hyperlink>
    </w:p>
    <w:p w:rsidR="00E45904" w:rsidRP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Khani, A., Rashid, B., &amp; Mirshekar, A. (2017). Chemical composition and insecticidal efficacy of Juniperus polycarpus and Juniperus sabina essential oils against Tribolium confusum (Coleoptera: Tenebrionidae). International Journal of Food Properties, 20(sup2), 1221-1229. </w:t>
      </w:r>
      <w:hyperlink r:id="rId67" w:history="1">
        <w:r w:rsidRPr="00DE305D">
          <w:rPr>
            <w:rStyle w:val="Hyperlink"/>
            <w:rFonts w:asciiTheme="majorBidi" w:hAnsiTheme="majorBidi" w:cstheme="majorBidi"/>
            <w:sz w:val="24"/>
            <w:szCs w:val="24"/>
          </w:rPr>
          <w:t>https://doi.org/10.1080/10942912.2017.</w:t>
        </w:r>
        <w:r w:rsidRPr="00DE305D">
          <w:rPr>
            <w:rStyle w:val="Hyperlink"/>
            <w:rFonts w:asciiTheme="majorBidi" w:hAnsiTheme="majorBidi" w:cstheme="majorBidi"/>
            <w:b/>
            <w:bCs/>
            <w:sz w:val="24"/>
            <w:szCs w:val="24"/>
          </w:rPr>
          <w:t>1338726</w:t>
        </w:r>
      </w:hyperlink>
    </w:p>
    <w:p w:rsidR="00E45904" w:rsidRP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b/>
          <w:bCs/>
          <w:color w:val="000000" w:themeColor="text1"/>
          <w:sz w:val="24"/>
          <w:szCs w:val="24"/>
        </w:rPr>
        <w:t xml:space="preserve">Khizar, M., Hameed, A., Mohammed, A. A., Shad, S. A., Hussain, M., Abbas, Q., Shah, T. A., &amp; Attia, K. A. (2025). Base-line susceptibility of Tribolium castaneum to various synthetic insecticides. Scientific Reports, 15(1). </w:t>
      </w:r>
      <w:hyperlink r:id="rId68" w:history="1">
        <w:r w:rsidRPr="00DE305D">
          <w:rPr>
            <w:rStyle w:val="Hyperlink"/>
            <w:rFonts w:asciiTheme="majorBidi" w:hAnsiTheme="majorBidi" w:cstheme="majorBidi"/>
            <w:b/>
            <w:bCs/>
            <w:sz w:val="24"/>
            <w:szCs w:val="24"/>
          </w:rPr>
          <w:t>https://doi.org/10.1038/s41598-025-88915-3</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Kim, S.-I., Yoon, J.-S., Jung, J. W., Hong, K.-B., Ahn, Y.-J., &amp; Kwon, H. W. (2010). Toxicity and repellency of origanum essential oil and its components against Tribolium castaneum (Coleoptera: Tenebrionidae) adults. J. Asia. Pac. Entomol., 13(4), 369–373. </w:t>
      </w:r>
      <w:hyperlink r:id="rId69" w:history="1">
        <w:r w:rsidRPr="00DE305D">
          <w:rPr>
            <w:rStyle w:val="Hyperlink"/>
            <w:rFonts w:asciiTheme="majorBidi" w:hAnsiTheme="majorBidi" w:cstheme="majorBidi"/>
            <w:sz w:val="24"/>
            <w:szCs w:val="24"/>
          </w:rPr>
          <w:t>https://doi.org/10.1016/j.aspen.2010.06.011</w:t>
        </w:r>
      </w:hyperlink>
    </w:p>
    <w:p w:rsidR="00E45904" w:rsidRDefault="00E4590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E45904">
        <w:rPr>
          <w:rFonts w:asciiTheme="majorBidi" w:hAnsiTheme="majorBidi" w:cstheme="majorBidi"/>
          <w:color w:val="000000" w:themeColor="text1"/>
          <w:sz w:val="24"/>
          <w:szCs w:val="24"/>
        </w:rPr>
        <w:t xml:space="preserve">Ko Ko, W., Juntarajumnong, W., &amp; Chandrapatya, A. (2009). Repellency, Fumigant and Contact Toxicities of Litsea cubeba (Lour.) Persoon Against Sitophilus zeamais Motschulsky and Tribolium castaneum (Herbst). </w:t>
      </w:r>
      <w:r w:rsidRPr="00E45904">
        <w:rPr>
          <w:rFonts w:asciiTheme="majorBidi" w:hAnsiTheme="majorBidi" w:cstheme="majorBidi"/>
          <w:color w:val="000000" w:themeColor="text1"/>
          <w:sz w:val="24"/>
          <w:szCs w:val="24"/>
        </w:rPr>
        <w:lastRenderedPageBreak/>
        <w:t xml:space="preserve">Agriculture and Natural Resources, 43(1), 56–63. </w:t>
      </w:r>
      <w:hyperlink r:id="rId70" w:history="1">
        <w:r w:rsidRPr="00DE305D">
          <w:rPr>
            <w:rStyle w:val="Hyperlink"/>
            <w:rFonts w:asciiTheme="majorBidi" w:hAnsiTheme="majorBidi" w:cstheme="majorBidi"/>
            <w:sz w:val="24"/>
            <w:szCs w:val="24"/>
          </w:rPr>
          <w:t>https://li01.tci-thaijo.org/index.php/anres/article/view/244638</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Kundu, B. R., Ara, R., Begum, M. M., &amp; Sarker, Z. I. (2007). Effect of Bishkatali, Polygonum hydropiper L. plant extracts against the red flour beetle, Tribolium castaneum Herbst. University Journal of Zoology, Rajshahi University, 26(1), 93–97. </w:t>
      </w:r>
      <w:hyperlink r:id="rId71" w:history="1">
        <w:r w:rsidRPr="00DE305D">
          <w:rPr>
            <w:rStyle w:val="Hyperlink"/>
            <w:rFonts w:asciiTheme="majorBidi" w:hAnsiTheme="majorBidi" w:cstheme="majorBidi"/>
            <w:sz w:val="24"/>
            <w:szCs w:val="24"/>
          </w:rPr>
          <w:t>https://doi.org/10.3329/ujzru.v26i0.708</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Lashgari, A., Mashayekhi, S., Javadzadeh, M., &amp; Marzban, R. (2013). Effect of Mentha piperita and Cuminum cyminum essential oil on Tribolium castaneum and Sitophilus oryzae. Archives of Phytopathology and Plant Protection, 47(3), 324–329. </w:t>
      </w:r>
      <w:hyperlink r:id="rId72" w:history="1">
        <w:r w:rsidRPr="00DE305D">
          <w:rPr>
            <w:rStyle w:val="Hyperlink"/>
            <w:rFonts w:asciiTheme="majorBidi" w:hAnsiTheme="majorBidi" w:cstheme="majorBidi"/>
            <w:sz w:val="24"/>
            <w:szCs w:val="24"/>
          </w:rPr>
          <w:t>https://doi.org/10.1080/03235408.2013.809230</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Lasota, J. A., &amp; Dybas, R. A. (1991). Avermectins, a novel class of compounds: Implications for use in arthropod pest control. Annual Review of Entomology, 36(1), 91–117. </w:t>
      </w:r>
      <w:hyperlink r:id="rId73" w:history="1">
        <w:r w:rsidRPr="00DE305D">
          <w:rPr>
            <w:rStyle w:val="Hyperlink"/>
            <w:rFonts w:asciiTheme="majorBidi" w:hAnsiTheme="majorBidi" w:cstheme="majorBidi"/>
            <w:sz w:val="24"/>
            <w:szCs w:val="24"/>
          </w:rPr>
          <w:t>https://doi.org/10.1146/annurev.en.36.010191.000515</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Lee, H. E., Hong, S. J., Hasan, N., Baek, E. J., Kim, J. T., Kim, Y. D., &amp; Park, M. K. (2020). Repellent efficacy of essential oils and plant extracts against Tribolium castaneum and Plodia interpunctella. Entomological Research, 50(9), 450-459. </w:t>
      </w:r>
      <w:hyperlink r:id="rId74" w:history="1">
        <w:r w:rsidRPr="00DE305D">
          <w:rPr>
            <w:rStyle w:val="Hyperlink"/>
            <w:rFonts w:asciiTheme="majorBidi" w:hAnsiTheme="majorBidi" w:cstheme="majorBidi"/>
            <w:sz w:val="24"/>
            <w:szCs w:val="24"/>
          </w:rPr>
          <w:t>https://doi.org/10.1111/1748-5967.12471</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Lima, L. A., Ferreira-Sá, P. S., Garcia, M. D. N., Jr, Pereira, V. L. P., Carvalho, J. C. T., Rocha, L., Fernandes, C. P., Souto, R. N. P., Araújo, R. S., Botas, G., &amp; Cruz, R. A. S. (2021). Nano-emulsions of the essential oil of Baccharis reticularia and its constituents as eco-friendly repellents against Tribolium castaneum. Industrial Crops and Products. </w:t>
      </w:r>
      <w:hyperlink r:id="rId75" w:history="1">
        <w:r w:rsidRPr="00DE305D">
          <w:rPr>
            <w:rStyle w:val="Hyperlink"/>
            <w:rFonts w:asciiTheme="majorBidi" w:hAnsiTheme="majorBidi" w:cstheme="majorBidi"/>
            <w:sz w:val="24"/>
            <w:szCs w:val="24"/>
          </w:rPr>
          <w:t>https://doi.org/10.1016/j.indcrop.2021.113282</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Liu, Z. L., Chu, S. S. and Jiang, G. H. 2011. Insecticidal activity and composition of essential oil of </w:t>
      </w:r>
      <w:r>
        <w:rPr>
          <w:rFonts w:asciiTheme="majorBidi" w:hAnsiTheme="majorBidi" w:cstheme="majorBidi"/>
          <w:i/>
          <w:iCs/>
          <w:color w:val="000000" w:themeColor="text1"/>
          <w:sz w:val="24"/>
          <w:szCs w:val="24"/>
        </w:rPr>
        <w:t>Ostericum sieboldii</w:t>
      </w:r>
      <w:r>
        <w:rPr>
          <w:rFonts w:asciiTheme="majorBidi" w:hAnsiTheme="majorBidi" w:cstheme="majorBidi"/>
          <w:color w:val="000000" w:themeColor="text1"/>
          <w:sz w:val="24"/>
          <w:szCs w:val="24"/>
        </w:rPr>
        <w:t xml:space="preserve"> (Apiaceae) against </w:t>
      </w:r>
      <w:r>
        <w:rPr>
          <w:rFonts w:asciiTheme="majorBidi" w:hAnsiTheme="majorBidi" w:cstheme="majorBidi"/>
          <w:i/>
          <w:iCs/>
          <w:color w:val="000000" w:themeColor="text1"/>
          <w:sz w:val="24"/>
          <w:szCs w:val="24"/>
        </w:rPr>
        <w:t>Sitophilus zeamais</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Rec. Nat. Prod., 5: 74–81.</w:t>
      </w:r>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Lloyd, C. (1973). The toxicity of pyrethrins and five synthetic pyrethroids, to Tribolium castaneum (Herbst), and susceptible and pyrethrin-resistant Sitophilus granarius (L). *J. Stored Prod. Res.*, *9*, 77–92. </w:t>
      </w:r>
      <w:hyperlink r:id="rId76" w:history="1">
        <w:r w:rsidRPr="00DE305D">
          <w:rPr>
            <w:rStyle w:val="Hyperlink"/>
            <w:rFonts w:asciiTheme="majorBidi" w:hAnsiTheme="majorBidi" w:cstheme="majorBidi"/>
            <w:sz w:val="24"/>
            <w:szCs w:val="24"/>
          </w:rPr>
          <w:t>https://doi.org/10.1016/0022-474X(73)90014-3</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Lougraimzi, H., El Iraqui, S., Bouaichi, A., Gouit, S., Achbani, E. H., &amp; Fadli, M. (2018). Insecticidal effect of essential oil and powder of Mentha pulegium L. leaves against Sitophilus oryzae (Linnaeus, 1763) and Tribolium castaneum (Herbst, 1797) (Coleoptera: Curculionidae, Tenebrionidae), the main pests of stored wheat in Morocco. Pol. J. Entomol., 87(3), 263–278. </w:t>
      </w:r>
      <w:hyperlink r:id="rId77" w:history="1">
        <w:r w:rsidRPr="00DE305D">
          <w:rPr>
            <w:rStyle w:val="Hyperlink"/>
            <w:rFonts w:asciiTheme="majorBidi" w:hAnsiTheme="majorBidi" w:cstheme="majorBidi"/>
            <w:sz w:val="24"/>
            <w:szCs w:val="24"/>
          </w:rPr>
          <w:t>https://doi.org/10.2478/pjen-2018-0018</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Lu, J., Wang, J., Shi, Y., &amp; Zhang, L. (2012). Repellent and fumigant activity of Alpinia officinarum rhizome extract against Tribolium castaneum (Herbst). African Journal of Microbiology Research, 6(24), 5193–5197. </w:t>
      </w:r>
      <w:hyperlink r:id="rId78" w:history="1">
        <w:r w:rsidRPr="00DE305D">
          <w:rPr>
            <w:rStyle w:val="Hyperlink"/>
            <w:rFonts w:asciiTheme="majorBidi" w:hAnsiTheme="majorBidi" w:cstheme="majorBidi"/>
            <w:sz w:val="24"/>
            <w:szCs w:val="24"/>
          </w:rPr>
          <w:t>https://doi.org/10.5897/AJMR11.1562</w:t>
        </w:r>
      </w:hyperlink>
    </w:p>
    <w:p w:rsidR="00527AF4" w:rsidRDefault="00527AF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527AF4">
        <w:rPr>
          <w:rFonts w:asciiTheme="majorBidi" w:hAnsiTheme="majorBidi" w:cstheme="majorBidi"/>
          <w:color w:val="000000" w:themeColor="text1"/>
          <w:sz w:val="24"/>
          <w:szCs w:val="24"/>
        </w:rPr>
        <w:t xml:space="preserve">Mollaei, M., Izadi, H., Dashti, H., Azizi, M., &amp; Ranjbar Karimi, R. (2011). Bioactivity of essential oil from Satureja hortensis (Laminaceae) against three stored-product insect species. African Journal of Biotechnology, 10(34), 6620–6627. </w:t>
      </w:r>
      <w:hyperlink r:id="rId79" w:history="1">
        <w:r w:rsidRPr="00DE305D">
          <w:rPr>
            <w:rStyle w:val="Hyperlink"/>
            <w:rFonts w:asciiTheme="majorBidi" w:hAnsiTheme="majorBidi" w:cstheme="majorBidi"/>
            <w:sz w:val="24"/>
            <w:szCs w:val="24"/>
          </w:rPr>
          <w:t>https://doi.org/10.5897/AJB11.469</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Majeed, A., &amp; Abidunnisa, S. (2011). Study on repellent activity of Argemone mexicana on Tribolium castaneum and Sitophilus oryzae. International Journal of Pharmaceutical Research and Development, 3(3), 203–206.</w:t>
      </w:r>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lastRenderedPageBreak/>
        <w:t xml:space="preserve">Manna, B., Dutta, S. M., Dalapati, S., &amp; Maiti, S. (2020). Oxidative stress-induced toxicity and DNA stability in some agri-field based livestock/insect by widely used pesticides. Combinatorial Chemistry &amp; High Throughput Screening. </w:t>
      </w:r>
      <w:hyperlink r:id="rId80" w:history="1">
        <w:r w:rsidRPr="00DE305D">
          <w:rPr>
            <w:rStyle w:val="Hyperlink"/>
            <w:rFonts w:asciiTheme="majorBidi" w:hAnsiTheme="majorBidi" w:cstheme="majorBidi"/>
            <w:sz w:val="24"/>
            <w:szCs w:val="24"/>
          </w:rPr>
          <w:t>https://doi.org/10.2174/1386207323666200415110745</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Mary, D. R. 2017. Toxic effect of </w:t>
      </w:r>
      <w:r>
        <w:rPr>
          <w:rFonts w:asciiTheme="majorBidi" w:hAnsiTheme="majorBidi" w:cstheme="majorBidi"/>
          <w:i/>
          <w:iCs/>
          <w:color w:val="000000" w:themeColor="text1"/>
          <w:sz w:val="24"/>
          <w:szCs w:val="24"/>
        </w:rPr>
        <w:t>Piper nigrum</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Zingiber officinale</w:t>
      </w:r>
      <w:r>
        <w:rPr>
          <w:rFonts w:asciiTheme="majorBidi" w:hAnsiTheme="majorBidi" w:cstheme="majorBidi"/>
          <w:color w:val="000000" w:themeColor="text1"/>
          <w:sz w:val="24"/>
          <w:szCs w:val="24"/>
        </w:rPr>
        <w:t xml:space="preserve"> extracts on the mortality of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(Coleoptera: Tenebrionidae) on stored wheat. World J. Pharm. Pharm. Sci., 1439–1446. </w:t>
      </w:r>
      <w:hyperlink r:id="rId81" w:history="1">
        <w:r>
          <w:rPr>
            <w:rStyle w:val="Hyperlink"/>
            <w:rFonts w:asciiTheme="majorBidi" w:hAnsiTheme="majorBidi" w:cstheme="majorBidi"/>
            <w:color w:val="000000" w:themeColor="text1"/>
            <w:sz w:val="24"/>
            <w:szCs w:val="24"/>
            <w:u w:val="none"/>
          </w:rPr>
          <w:t>https://doi.org/10.20959/wjpps201705-9180</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Matsumura, F. (2010). Studies on the action mechanism of benzoylurea insecticides to inhibit the process of chitin synthesis in insects: A review on the status of research activities in the past, the present and the future prospects. Pesticide Biochemistry and Physiology, 97(2), 133–139. </w:t>
      </w:r>
      <w:hyperlink r:id="rId82" w:history="1">
        <w:r w:rsidRPr="00DE305D">
          <w:rPr>
            <w:rStyle w:val="Hyperlink"/>
            <w:rFonts w:asciiTheme="majorBidi" w:hAnsiTheme="majorBidi" w:cstheme="majorBidi"/>
            <w:sz w:val="24"/>
            <w:szCs w:val="24"/>
          </w:rPr>
          <w:t>https://doi.org/10.1016/j.pestbp.2009.10.001</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Matsumura, F. (1975). Toxicology of insecticides. Plenum Press. </w:t>
      </w:r>
      <w:hyperlink r:id="rId83" w:history="1">
        <w:r w:rsidRPr="00DE305D">
          <w:rPr>
            <w:rStyle w:val="Hyperlink"/>
            <w:rFonts w:asciiTheme="majorBidi" w:hAnsiTheme="majorBidi" w:cstheme="majorBidi"/>
            <w:sz w:val="24"/>
            <w:szCs w:val="24"/>
          </w:rPr>
          <w:t>https://doi.org/10.1007/978-1-4613-4410-0</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Medugu, M. A. (2021). Repellency effects of three indigenous plant extracts against the red rust flour beetle Tribolium castaneum Herbst (Coleoptera: Tenebrionidae) in northeastern Nigeria. Asian Plant Research Journal, 7(4), 46–52. </w:t>
      </w:r>
      <w:hyperlink r:id="rId84" w:history="1">
        <w:r w:rsidRPr="00DE305D">
          <w:rPr>
            <w:rStyle w:val="Hyperlink"/>
            <w:rFonts w:asciiTheme="majorBidi" w:hAnsiTheme="majorBidi" w:cstheme="majorBidi"/>
            <w:sz w:val="24"/>
            <w:szCs w:val="24"/>
          </w:rPr>
          <w:t>https://doi.org/10.9734/aprj/2021/v7i430163</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Memon, S., Sahto, J. G. M., Bashir, L., Nizamani, I. A., &amp; Rajput, A. Q. (2020). Relative efficacy of different concentrations of mint (Mentha longifolia) against Tribolium confusum (Coleoptera: Tenebrionidae). J. Appl. Res. Plant Sci., 1(2), 59–64. </w:t>
      </w:r>
      <w:hyperlink r:id="rId85" w:history="1">
        <w:r w:rsidRPr="00DE305D">
          <w:rPr>
            <w:rStyle w:val="Hyperlink"/>
            <w:rFonts w:asciiTheme="majorBidi" w:hAnsiTheme="majorBidi" w:cstheme="majorBidi"/>
            <w:sz w:val="24"/>
            <w:szCs w:val="24"/>
          </w:rPr>
          <w:t>https://doi.org/10.38211/joarps.2020.1.2.9</w:t>
        </w:r>
      </w:hyperlink>
    </w:p>
    <w:p w:rsidR="00D32282" w:rsidRP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eastAsia="Times New Roman" w:hAnsiTheme="majorBidi" w:cstheme="majorBidi"/>
          <w:color w:val="000000" w:themeColor="text1"/>
          <w:sz w:val="24"/>
          <w:szCs w:val="24"/>
        </w:rPr>
        <w:t xml:space="preserve">Mishra, B. B., Tripathi, S. P., &amp; Tripathi, C. P. M. (2016). Investigation of natural plant Aegle marmelos essential oil bioactivity on development and </w:t>
      </w:r>
      <w:r w:rsidRPr="00D32282">
        <w:rPr>
          <w:rFonts w:asciiTheme="majorBidi" w:eastAsia="Times New Roman" w:hAnsiTheme="majorBidi" w:cstheme="majorBidi"/>
          <w:color w:val="000000" w:themeColor="text1"/>
          <w:sz w:val="24"/>
          <w:szCs w:val="24"/>
        </w:rPr>
        <w:lastRenderedPageBreak/>
        <w:t xml:space="preserve">toxicity of Tribolium castaneum (Coleoptera: Tenebrionidae). International Journal of Zoological Research, 12(3-4), 40–46. </w:t>
      </w:r>
      <w:hyperlink r:id="rId86" w:history="1">
        <w:r w:rsidRPr="00DE305D">
          <w:rPr>
            <w:rStyle w:val="Hyperlink"/>
            <w:rFonts w:asciiTheme="majorBidi" w:eastAsia="Times New Roman" w:hAnsiTheme="majorBidi" w:cstheme="majorBidi"/>
            <w:sz w:val="24"/>
            <w:szCs w:val="24"/>
          </w:rPr>
          <w:t>https://doi.org/10.3923/ijzr.2016.40.46</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Mondal, M., &amp; Khalequzzaman, M. (2009). Ovicidal activity of essential oils against red flour beetle, Tribolium castaneum (Coleoptera: Tenebrionidae). J. Biosci., 17, 57–62. </w:t>
      </w:r>
      <w:hyperlink r:id="rId87" w:history="1">
        <w:r w:rsidRPr="00DE305D">
          <w:rPr>
            <w:rStyle w:val="Hyperlink"/>
            <w:rFonts w:asciiTheme="majorBidi" w:hAnsiTheme="majorBidi" w:cstheme="majorBidi"/>
            <w:sz w:val="24"/>
            <w:szCs w:val="24"/>
          </w:rPr>
          <w:t>https://doi.org/10.3329/jbs.v17i0.7102</w:t>
        </w:r>
      </w:hyperlink>
    </w:p>
    <w:p w:rsidR="00D32282" w:rsidRDefault="00D32282">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32282">
        <w:rPr>
          <w:rFonts w:asciiTheme="majorBidi" w:hAnsiTheme="majorBidi" w:cstheme="majorBidi"/>
          <w:color w:val="000000" w:themeColor="text1"/>
          <w:sz w:val="24"/>
          <w:szCs w:val="24"/>
        </w:rPr>
        <w:t xml:space="preserve">Mostafa, M., Hossain, H., Hossain, M. A., Biswas, P. K., &amp; Haque, M. Z. (2012). Insecticidal activity of plant extracts against Tribolium castaneum Herbst. Journal of Advanced Scientific Research, 3(3), 80–84. </w:t>
      </w:r>
      <w:hyperlink r:id="rId88" w:history="1">
        <w:r w:rsidRPr="00DE305D">
          <w:rPr>
            <w:rStyle w:val="Hyperlink"/>
            <w:rFonts w:asciiTheme="majorBidi" w:hAnsiTheme="majorBidi" w:cstheme="majorBidi"/>
            <w:sz w:val="24"/>
            <w:szCs w:val="24"/>
          </w:rPr>
          <w:t>https://sciensage.info/index.php/JASR/article/view/121</w:t>
        </w:r>
      </w:hyperlink>
    </w:p>
    <w:p w:rsidR="00054694" w:rsidRPr="00054694" w:rsidRDefault="0005469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054694">
        <w:rPr>
          <w:rFonts w:asciiTheme="majorBidi" w:hAnsiTheme="majorBidi" w:cstheme="majorBidi"/>
          <w:color w:val="000000" w:themeColor="text1"/>
          <w:sz w:val="24"/>
          <w:szCs w:val="24"/>
          <w:lang w:val="da-DK"/>
        </w:rPr>
        <w:t xml:space="preserve">Olivero-Verbel, J., Nerio, L. S., &amp; Stashenko, E. E. (2010). Bioactivity against Tribolium castaneum Herbst (Coleoptera: Tenebrionidae) of Cymbopogon citratus and Eucalyptus citriodora essential oils grown in Colombia. Pest Management Science, 66(6), 664–668. </w:t>
      </w:r>
      <w:hyperlink r:id="rId89" w:history="1">
        <w:r w:rsidRPr="00DE305D">
          <w:rPr>
            <w:rStyle w:val="Hyperlink"/>
            <w:rFonts w:asciiTheme="majorBidi" w:hAnsiTheme="majorBidi" w:cstheme="majorBidi"/>
            <w:sz w:val="24"/>
            <w:szCs w:val="24"/>
            <w:lang w:val="da-DK"/>
          </w:rPr>
          <w:t>https://doi.org/10.1002/ps.1927</w:t>
        </w:r>
      </w:hyperlink>
    </w:p>
    <w:p w:rsidR="00054694" w:rsidRDefault="0005469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054694">
        <w:rPr>
          <w:rFonts w:asciiTheme="majorBidi" w:hAnsiTheme="majorBidi" w:cstheme="majorBidi"/>
          <w:color w:val="000000" w:themeColor="text1"/>
          <w:sz w:val="24"/>
          <w:szCs w:val="24"/>
        </w:rPr>
        <w:t xml:space="preserve">Omar, A. F., El-Ebiary, M. E., Nasr, G. M., &amp; Hassan, H. M. (2021). Toxicity and biochemical effects of cumin and basil essential oils on Tribolium castaneum. Sci. Agric. Bohem., 52(3), 39–48. </w:t>
      </w:r>
      <w:hyperlink r:id="rId90" w:history="1">
        <w:r w:rsidRPr="00DE305D">
          <w:rPr>
            <w:rStyle w:val="Hyperlink"/>
            <w:rFonts w:asciiTheme="majorBidi" w:hAnsiTheme="majorBidi" w:cstheme="majorBidi"/>
            <w:sz w:val="24"/>
            <w:szCs w:val="24"/>
          </w:rPr>
          <w:t>https://doi.org/10.2478/sab-2021-0005</w:t>
        </w:r>
      </w:hyperlink>
    </w:p>
    <w:p w:rsidR="00054694" w:rsidRDefault="0005469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054694">
        <w:rPr>
          <w:rFonts w:asciiTheme="majorBidi" w:hAnsiTheme="majorBidi" w:cstheme="majorBidi"/>
          <w:color w:val="000000" w:themeColor="text1"/>
          <w:sz w:val="24"/>
          <w:szCs w:val="24"/>
        </w:rPr>
        <w:t xml:space="preserve">Osman, M. A., Aziz, M. A., Habib, M. R., &amp; Karim, M. R. (2011). Pesticidal evaluation of Manilkara zapota (L.) against Tribolium castaneum (Herbst). *Agriculturae Conspectus Scientificus*, *76*(2), 143–146. </w:t>
      </w:r>
      <w:hyperlink r:id="rId91" w:history="1">
        <w:r w:rsidRPr="00DE305D">
          <w:rPr>
            <w:rStyle w:val="Hyperlink"/>
            <w:rFonts w:asciiTheme="majorBidi" w:hAnsiTheme="majorBidi" w:cstheme="majorBidi"/>
            <w:sz w:val="24"/>
            <w:szCs w:val="24"/>
          </w:rPr>
          <w:t>https://acs.agr.hr/acs/index.php/acs</w:t>
        </w:r>
      </w:hyperlink>
    </w:p>
    <w:p w:rsidR="00054694" w:rsidRDefault="00054694">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054694">
        <w:rPr>
          <w:rFonts w:asciiTheme="majorBidi" w:hAnsiTheme="majorBidi" w:cstheme="majorBidi"/>
          <w:color w:val="000000" w:themeColor="text1"/>
          <w:sz w:val="24"/>
          <w:szCs w:val="24"/>
        </w:rPr>
        <w:t xml:space="preserve">Patil, H., Shejale, K. P., Jabaraj, R., Shah, N., &amp; Kumar, G. (2020). Disinfestation of red flour beetle (Tribolium castaneum) present in almonds (Prunus dulcis) using microwave heating and evaluation of quality and shelf life </w:t>
      </w:r>
      <w:r w:rsidRPr="00054694">
        <w:rPr>
          <w:rFonts w:asciiTheme="majorBidi" w:hAnsiTheme="majorBidi" w:cstheme="majorBidi"/>
          <w:color w:val="000000" w:themeColor="text1"/>
          <w:sz w:val="24"/>
          <w:szCs w:val="24"/>
        </w:rPr>
        <w:lastRenderedPageBreak/>
        <w:t xml:space="preserve">of almonds. Journal of Stored Products Research, 87, 101616. </w:t>
      </w:r>
      <w:hyperlink r:id="rId92" w:history="1">
        <w:r w:rsidRPr="00DE305D">
          <w:rPr>
            <w:rStyle w:val="Hyperlink"/>
            <w:rFonts w:asciiTheme="majorBidi" w:hAnsiTheme="majorBidi" w:cstheme="majorBidi"/>
            <w:sz w:val="24"/>
            <w:szCs w:val="24"/>
          </w:rPr>
          <w:t>https://doi.org/10.1016/j.jspr.2020.101616</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Patil, S. J., Radadia, G. G. and Shinde, C. U. 2015. Efficacy of certain grain protectant against rust red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on stored rice. Glob. J. Biosci. and Biotechnol., 4(1): 112–115.</w:t>
      </w:r>
    </w:p>
    <w:p w:rsidR="00D87350" w:rsidRDefault="00D87350">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87350">
        <w:rPr>
          <w:rFonts w:asciiTheme="majorBidi" w:hAnsiTheme="majorBidi" w:cstheme="majorBidi"/>
          <w:color w:val="000000" w:themeColor="text1"/>
          <w:sz w:val="24"/>
          <w:szCs w:val="24"/>
        </w:rPr>
        <w:t xml:space="preserve">Peivasteh-Roudsari, L., Barzegar-Bafrouei, R., Sharifi, K. A., Azimisalim, S., Karami, M., Abedinzadeh, S., Asadinezhad, S., Tajdar-Oranj, B., Mahdavi, V., Alizadeh, A. M., Sadighara, P., Ferrante, M., Conti, G. O., Aliyeva, A., &amp; Mousavi Khaneghah, A. (2023). Origin, dietary exposure, and toxicity of endocrine-disrupting food chemical contaminants: A comprehensive review. Heliyon, 9(7), e18140. </w:t>
      </w:r>
      <w:hyperlink r:id="rId93" w:history="1">
        <w:r w:rsidRPr="00DE305D">
          <w:rPr>
            <w:rStyle w:val="Hyperlink"/>
            <w:rFonts w:asciiTheme="majorBidi" w:hAnsiTheme="majorBidi" w:cstheme="majorBidi"/>
            <w:sz w:val="24"/>
            <w:szCs w:val="24"/>
          </w:rPr>
          <w:t>https://doi.org/10.1016/j.heliyon.2023.e18140</w:t>
        </w:r>
      </w:hyperlink>
    </w:p>
    <w:p w:rsidR="00D87350" w:rsidRDefault="00D87350">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87350">
        <w:rPr>
          <w:rFonts w:asciiTheme="majorBidi" w:hAnsiTheme="majorBidi" w:cstheme="majorBidi"/>
          <w:color w:val="000000" w:themeColor="text1"/>
          <w:sz w:val="24"/>
          <w:szCs w:val="24"/>
        </w:rPr>
        <w:t xml:space="preserve">Prieto-Rodríguez, J. A., Patiño-Bayona, W. R., &amp; Patiño-Ladino, O. J. (2025). Chemical composition, insecticidal and repellent activities of essential oils from Piper asperiusculum and Piper pertomentellum against red flour weevil. *Records of Natural Products*, *19*(2), 169–181. </w:t>
      </w:r>
      <w:hyperlink r:id="rId94" w:history="1">
        <w:r w:rsidRPr="00DE305D">
          <w:rPr>
            <w:rStyle w:val="Hyperlink"/>
            <w:rFonts w:asciiTheme="majorBidi" w:hAnsiTheme="majorBidi" w:cstheme="majorBidi"/>
            <w:sz w:val="24"/>
            <w:szCs w:val="24"/>
          </w:rPr>
          <w:t>https://doi.org/10.25135/rnp.501.2408.3279</w:t>
        </w:r>
      </w:hyperlink>
    </w:p>
    <w:p w:rsidR="00D87350" w:rsidRDefault="00D87350">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87350">
        <w:rPr>
          <w:rFonts w:asciiTheme="majorBidi" w:hAnsiTheme="majorBidi" w:cstheme="majorBidi"/>
          <w:color w:val="000000" w:themeColor="text1"/>
          <w:sz w:val="24"/>
          <w:szCs w:val="24"/>
        </w:rPr>
        <w:t xml:space="preserve">Qasim, M., Islam, W., Rizwan, M., Hussain, D., Noman, A., Khan, K. A., Ghramh, H. A., &amp; Han, X. (2024). Impact of plant monoterpenes on insect pest management and insect-associated microbes. Heliyon. </w:t>
      </w:r>
      <w:hyperlink r:id="rId95" w:history="1">
        <w:r w:rsidRPr="00DE305D">
          <w:rPr>
            <w:rStyle w:val="Hyperlink"/>
            <w:rFonts w:asciiTheme="majorBidi" w:hAnsiTheme="majorBidi" w:cstheme="majorBidi"/>
            <w:sz w:val="24"/>
            <w:szCs w:val="24"/>
          </w:rPr>
          <w:t>https://doi.org/10.1016/j.heliyon.2024.e39120</w:t>
        </w:r>
      </w:hyperlink>
    </w:p>
    <w:p w:rsidR="00D87350" w:rsidRDefault="00D87350">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87350">
        <w:rPr>
          <w:rFonts w:asciiTheme="majorBidi" w:hAnsiTheme="majorBidi" w:cstheme="majorBidi"/>
          <w:color w:val="000000" w:themeColor="text1"/>
          <w:sz w:val="24"/>
          <w:szCs w:val="24"/>
        </w:rPr>
        <w:t xml:space="preserve">Rajabpour, A., Abdali Mashahdi, A. R., &amp; Ghorbani, M. R. (2019). Chemical compositions of leaf extracts from Conocarpus erectus L. (Combretaceae) and their bioactivities against Tribolium castaneum Herbst (Coleoptera: Tenebrionidae). J. Asia. Pac. Entomol., 22(1), 333–337. </w:t>
      </w:r>
      <w:hyperlink r:id="rId96" w:history="1">
        <w:r w:rsidRPr="00DE305D">
          <w:rPr>
            <w:rStyle w:val="Hyperlink"/>
            <w:rFonts w:asciiTheme="majorBidi" w:hAnsiTheme="majorBidi" w:cstheme="majorBidi"/>
            <w:sz w:val="24"/>
            <w:szCs w:val="24"/>
          </w:rPr>
          <w:t>https://doi.org/10.1016/j.aspen.2019.01.015</w:t>
        </w:r>
      </w:hyperlink>
    </w:p>
    <w:p w:rsidR="00D87350" w:rsidRDefault="00D87350">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D87350">
        <w:rPr>
          <w:rFonts w:asciiTheme="majorBidi" w:hAnsiTheme="majorBidi" w:cstheme="majorBidi"/>
          <w:color w:val="000000" w:themeColor="text1"/>
          <w:sz w:val="24"/>
          <w:szCs w:val="24"/>
        </w:rPr>
        <w:lastRenderedPageBreak/>
        <w:t xml:space="preserve">Rajashekar, Y., Raghavendra, A., &amp; Bakthavatsalam, N. (2014). Acetylcholinesterase inhibition by biofumigant (Coumaran) from leaves of Lantana camara in stored grain and household insect pests. BioMed Research International. </w:t>
      </w:r>
      <w:hyperlink r:id="rId97" w:history="1">
        <w:r w:rsidRPr="00DE305D">
          <w:rPr>
            <w:rStyle w:val="Hyperlink"/>
            <w:rFonts w:asciiTheme="majorBidi" w:hAnsiTheme="majorBidi" w:cstheme="majorBidi"/>
            <w:sz w:val="24"/>
            <w:szCs w:val="24"/>
          </w:rPr>
          <w:t>https://doi.org/10.1155/2014/187019</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Rants'o, T. A., Koekemoer, L. L., Panayides, J.-L., &amp; van Zyl, R. L. (2022). Potential of essential oil-based anticholinesterase insecticides against Anopheles vectors: A review. Molecules, 27(20), 7026. </w:t>
      </w:r>
      <w:hyperlink r:id="rId98" w:history="1">
        <w:r w:rsidRPr="00DE305D">
          <w:rPr>
            <w:rStyle w:val="Hyperlink"/>
            <w:rFonts w:asciiTheme="majorBidi" w:hAnsiTheme="majorBidi" w:cstheme="majorBidi"/>
            <w:sz w:val="24"/>
            <w:szCs w:val="24"/>
          </w:rPr>
          <w:t>https://doi.org/10.3390/molecules27207026</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Riaz, T., Abid, S., Afzal, M., &amp; Shakoori, F. R. (2025). Comparative efficacy of Cymbopogon winterianus essential oil and nanoemulsion as a sustainable biopesticide to control Tribolium castaneum: Effect on biomolecules of insect and seed germination. Journal of Stored Products Research, 111, 102579. </w:t>
      </w:r>
      <w:hyperlink r:id="rId99" w:history="1">
        <w:r w:rsidRPr="00DE305D">
          <w:rPr>
            <w:rStyle w:val="Hyperlink"/>
            <w:rFonts w:asciiTheme="majorBidi" w:hAnsiTheme="majorBidi" w:cstheme="majorBidi"/>
            <w:sz w:val="24"/>
            <w:szCs w:val="24"/>
          </w:rPr>
          <w:t>https://doi.org/10.1016/j.jspr.2025.102579</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Riaz, T., Abid, S., Afzal, M., &amp; Shakoori, F. R. (2025). Comparative efficacy of Cymbopogon winterianus essential oil and nanoemulsion as a sustainable biopesticide to control Tribolium castaneum: Effect on biomolecules of insect and seed germination. Journal of Stored Products Research, 111, 102579 </w:t>
      </w:r>
      <w:hyperlink r:id="rId100" w:history="1">
        <w:r w:rsidRPr="00DE305D">
          <w:rPr>
            <w:rStyle w:val="Hyperlink"/>
            <w:rFonts w:asciiTheme="majorBidi" w:hAnsiTheme="majorBidi" w:cstheme="majorBidi"/>
            <w:sz w:val="24"/>
            <w:szCs w:val="24"/>
          </w:rPr>
          <w:t>https://doi.org/10.1016/j.jspr.2025.102579</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Saim, N., &amp; Meloan, C. E. (1986). Compounds from leaves of bay (Laurus nobilis L.) as repellents for Tribolium castaneum (Herbst) when added to wheat flour. Journal of Stored Products Research, 22(3), 141–144. </w:t>
      </w:r>
      <w:hyperlink r:id="rId101" w:history="1">
        <w:r w:rsidRPr="00DE305D">
          <w:rPr>
            <w:rStyle w:val="Hyperlink"/>
            <w:rFonts w:asciiTheme="majorBidi" w:hAnsiTheme="majorBidi" w:cstheme="majorBidi"/>
            <w:sz w:val="24"/>
            <w:szCs w:val="24"/>
          </w:rPr>
          <w:t>https://doi.org/10.1016/0022-474X(86)90007-X</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Saroukolai, A. T., Moharramipour, S., &amp; Meshkatalsadat, M. H. (2009). Insecticidal properties of Thymus persicus essential oil against Tribolium </w:t>
      </w:r>
      <w:r w:rsidRPr="00AF3C69">
        <w:rPr>
          <w:rFonts w:asciiTheme="majorBidi" w:hAnsiTheme="majorBidi" w:cstheme="majorBidi"/>
          <w:color w:val="000000" w:themeColor="text1"/>
          <w:sz w:val="24"/>
          <w:szCs w:val="24"/>
        </w:rPr>
        <w:lastRenderedPageBreak/>
        <w:t xml:space="preserve">castaneum and Sitophilus oryzae. Journal of Pest Science, 83(1), 3–8. </w:t>
      </w:r>
      <w:hyperlink r:id="rId102" w:history="1">
        <w:r w:rsidRPr="00DE305D">
          <w:rPr>
            <w:rStyle w:val="Hyperlink"/>
            <w:rFonts w:asciiTheme="majorBidi" w:hAnsiTheme="majorBidi" w:cstheme="majorBidi"/>
            <w:sz w:val="24"/>
            <w:szCs w:val="24"/>
          </w:rPr>
          <w:t>https://doi.org/10.1007/s10340-009-0261-1</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Saryazdi, G. A., Hejazi, M. J., &amp; Amizadeh, M. (2013). Lethal and sublethal effects of spiromesifen, spirotetramat and spirodiclofen on Tetranychus urticae Koch (Acari: Tetranychidae). Archives of Phytopathology and Plant Protection, 46(11), 1278–1284. </w:t>
      </w:r>
      <w:hyperlink r:id="rId103" w:history="1">
        <w:r w:rsidRPr="00DE305D">
          <w:rPr>
            <w:rStyle w:val="Hyperlink"/>
            <w:rFonts w:asciiTheme="majorBidi" w:hAnsiTheme="majorBidi" w:cstheme="majorBidi"/>
            <w:sz w:val="24"/>
            <w:szCs w:val="24"/>
          </w:rPr>
          <w:t>https://doi.org/10.1080/03235408.2013.764074</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Savita, S., Sheel, R., Kumar, B., &amp; Snehlata, K. (2018). Insecticidal efficacy of methanol extract of leaves of Saraca indica L. against four insect pests causing severe damage to stored grains. Int. J. Curr. Microbiol. App. Sci., 7(6), 1205-1220. </w:t>
      </w:r>
      <w:hyperlink r:id="rId104" w:history="1">
        <w:r w:rsidRPr="00DE305D">
          <w:rPr>
            <w:rStyle w:val="Hyperlink"/>
            <w:rFonts w:asciiTheme="majorBidi" w:hAnsiTheme="majorBidi" w:cstheme="majorBidi"/>
            <w:sz w:val="24"/>
            <w:szCs w:val="24"/>
          </w:rPr>
          <w:t>https://doi.org/10.20546/ijcmas.2018.706.143</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Sehgal, B., Subramanyam, B., Arthur, F. H., &amp; Gill, B. S. (2014). Variation in susceptibility of laboratory and field strains of three stored-grain insect species to β-cyfluthrin and chlorpyrifos-methyl plus deltamethrin applied to concrete surfaces. Pest Management Science, 70(4), 576–587. </w:t>
      </w:r>
      <w:hyperlink r:id="rId105" w:history="1">
        <w:r w:rsidRPr="00DE305D">
          <w:rPr>
            <w:rStyle w:val="Hyperlink"/>
            <w:rFonts w:asciiTheme="majorBidi" w:hAnsiTheme="majorBidi" w:cstheme="majorBidi"/>
            <w:sz w:val="24"/>
            <w:szCs w:val="24"/>
          </w:rPr>
          <w:t>https://doi.org/10.1002/ps.3580</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Shah, R. M., Abbas, N., Shad, S. A., &amp; Sial, A. A. (2015). Selection, resistance risk assessment, and reversion toward susceptibility of pyriproxyfen in Musca domestica L. Parasitology Research, 114(2), 487–494. </w:t>
      </w:r>
      <w:hyperlink r:id="rId106" w:history="1">
        <w:r w:rsidRPr="00DE305D">
          <w:rPr>
            <w:rStyle w:val="Hyperlink"/>
            <w:rFonts w:asciiTheme="majorBidi" w:hAnsiTheme="majorBidi" w:cstheme="majorBidi"/>
            <w:sz w:val="24"/>
            <w:szCs w:val="24"/>
          </w:rPr>
          <w:t>https://doi.org/10.1007/s00436-014-4206-0</w:t>
        </w:r>
      </w:hyperlink>
    </w:p>
    <w:p w:rsidR="00AF3C69" w:rsidRDefault="00AF3C69">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AF3C69">
        <w:rPr>
          <w:rFonts w:asciiTheme="majorBidi" w:hAnsiTheme="majorBidi" w:cstheme="majorBidi"/>
          <w:color w:val="000000" w:themeColor="text1"/>
          <w:sz w:val="24"/>
          <w:szCs w:val="24"/>
        </w:rPr>
        <w:t xml:space="preserve">Stefanazzi, N., Gutiérrez, M. M., Stadler, T., Bonini, A., &amp; Ferrero, A. A. (2006). Actividad biologica del aceite esencial de Tagetes terniflora Kunth (Asteraceae) en Tribolium castaneum Herbst (Insecta, Coleoptera, Tenebrionidae). Boletín de Sanidad Vegetal Plagas, 32, 439–447. </w:t>
      </w:r>
      <w:hyperlink r:id="rId107" w:history="1">
        <w:r w:rsidRPr="00DE305D">
          <w:rPr>
            <w:rStyle w:val="Hyperlink"/>
            <w:rFonts w:asciiTheme="majorBidi" w:hAnsiTheme="majorBidi" w:cstheme="majorBidi"/>
            <w:sz w:val="24"/>
            <w:szCs w:val="24"/>
          </w:rPr>
          <w:t>https://dialnet.unirioja.es/servlet/articulo?codigo=2249000</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bookmarkStart w:id="4" w:name="_Hlk195098918"/>
      <w:r w:rsidRPr="003664ED">
        <w:rPr>
          <w:rFonts w:asciiTheme="majorBidi" w:hAnsiTheme="majorBidi" w:cstheme="majorBidi"/>
          <w:color w:val="000000" w:themeColor="text1"/>
          <w:sz w:val="24"/>
          <w:szCs w:val="24"/>
        </w:rPr>
        <w:lastRenderedPageBreak/>
        <w:t xml:space="preserve">Stefanazzi, N., Stadler, T., &amp; Ferrero, A. (2011). Composition and toxic, repellent and feeding deterrent activity of essential oils against the stored‐grain pests Tribolium castaneum (Coleoptera: Tenebrionidae) and Sitophilus oryzae (Coleoptera: Curculionidae). Pest Management Science, 67(6), 639–646. </w:t>
      </w:r>
      <w:hyperlink r:id="rId108" w:history="1">
        <w:r w:rsidRPr="00DE305D">
          <w:rPr>
            <w:rStyle w:val="Hyperlink"/>
            <w:rFonts w:asciiTheme="majorBidi" w:hAnsiTheme="majorBidi" w:cstheme="majorBidi"/>
            <w:sz w:val="24"/>
            <w:szCs w:val="24"/>
          </w:rPr>
          <w:t>https://doi.org/10.1002/ps.2102</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Talukder, F. A., &amp; Howse, P. E. (1993). Deterrent and insecticidal effects of extracts of pithraj, Aphanamixis polystachya (Meliaceae), against Tribolium castaneum in storage. Journal of Chemical Ecology, 19(11), 2463–2471. </w:t>
      </w:r>
      <w:hyperlink r:id="rId109" w:history="1">
        <w:r w:rsidRPr="00DE305D">
          <w:rPr>
            <w:rStyle w:val="Hyperlink"/>
            <w:rFonts w:asciiTheme="majorBidi" w:hAnsiTheme="majorBidi" w:cstheme="majorBidi"/>
            <w:sz w:val="24"/>
            <w:szCs w:val="24"/>
          </w:rPr>
          <w:t>https://doi.org/10.1007/BF00980683</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Tiwari, A. and Saxena, R. C. 1993. Repellent and feeding deterrent activity of </w:t>
      </w:r>
      <w:r>
        <w:rPr>
          <w:rFonts w:asciiTheme="majorBidi" w:hAnsiTheme="majorBidi" w:cstheme="majorBidi"/>
          <w:i/>
          <w:iCs/>
          <w:color w:val="000000" w:themeColor="text1"/>
          <w:sz w:val="24"/>
          <w:szCs w:val="24"/>
        </w:rPr>
        <w:t>Sphaeranthus indicus</w:t>
      </w:r>
      <w:r>
        <w:rPr>
          <w:rFonts w:asciiTheme="majorBidi" w:hAnsiTheme="majorBidi" w:cstheme="majorBidi"/>
          <w:color w:val="000000" w:themeColor="text1"/>
          <w:sz w:val="24"/>
          <w:szCs w:val="24"/>
        </w:rPr>
        <w:t xml:space="preserve">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Bio. Sci. Res. Bull., 9(1–2): 57–59.</w:t>
      </w:r>
    </w:p>
    <w:bookmarkEnd w:id="4"/>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Tiwary, M., Naik, S. N., Tewary, D. K., Mittal, P. K., &amp; Yadav, S. (2007). Chemical composition and larvicidal activities of the essential oil of Zanthoxylum armatum DC (Rutaceae) against three mosquito vectors. J. Vector Borne Dis., 44(3), 198–204. </w:t>
      </w:r>
      <w:hyperlink r:id="rId110" w:history="1">
        <w:r w:rsidRPr="00DE305D">
          <w:rPr>
            <w:rStyle w:val="Hyperlink"/>
            <w:rFonts w:asciiTheme="majorBidi" w:hAnsiTheme="majorBidi" w:cstheme="majorBidi"/>
            <w:sz w:val="24"/>
            <w:szCs w:val="24"/>
          </w:rPr>
          <w:t>https://pubmed.ncbi.nlm.nih.gov/17896622/</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Tunaz, H., &amp; Uygun, N. (2004). Insect growth regulators for insect pest control. Turkish Journal of Agriculture and Forestry, 28(6), 377–387. </w:t>
      </w:r>
      <w:hyperlink r:id="rId111" w:history="1">
        <w:r w:rsidRPr="00DE305D">
          <w:rPr>
            <w:rStyle w:val="Hyperlink"/>
            <w:rFonts w:asciiTheme="majorBidi" w:hAnsiTheme="majorBidi" w:cstheme="majorBidi"/>
            <w:sz w:val="24"/>
            <w:szCs w:val="24"/>
          </w:rPr>
          <w:t>https://dergipark.org.tr/en/pub/tarimorman/issue/1900/22000</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Umoetock, S. B. (2000). The toxity of sweet flag (Acorus calamus) to three major insect pests of stored products. *Global Journal of Pure and Applied Sciences*, *6*(2), 187–189. </w:t>
      </w:r>
      <w:hyperlink r:id="rId112" w:history="1">
        <w:r w:rsidRPr="00DE305D">
          <w:rPr>
            <w:rStyle w:val="Hyperlink"/>
            <w:rFonts w:asciiTheme="majorBidi" w:hAnsiTheme="majorBidi" w:cstheme="majorBidi"/>
            <w:sz w:val="24"/>
            <w:szCs w:val="24"/>
          </w:rPr>
          <w:t>https://doi.org/10.4314/gjpas.v6i2.16105</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Upadhyay, R. K. and Jaiswal, G. 2007. Evaluation of biological activities of </w:t>
      </w:r>
      <w:r>
        <w:rPr>
          <w:rFonts w:asciiTheme="majorBidi" w:hAnsiTheme="majorBidi" w:cstheme="majorBidi"/>
          <w:i/>
          <w:iCs/>
          <w:color w:val="000000" w:themeColor="text1"/>
          <w:sz w:val="24"/>
          <w:szCs w:val="24"/>
        </w:rPr>
        <w:t>Piper nigrum</w:t>
      </w:r>
      <w:r>
        <w:rPr>
          <w:rFonts w:asciiTheme="majorBidi" w:hAnsiTheme="majorBidi" w:cstheme="majorBidi"/>
          <w:color w:val="000000" w:themeColor="text1"/>
          <w:sz w:val="24"/>
          <w:szCs w:val="24"/>
        </w:rPr>
        <w:t xml:space="preserve"> oil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Bull. Insectology, 60(1): 57–61.</w:t>
      </w:r>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lastRenderedPageBreak/>
        <w:t xml:space="preserve">Upadhyay, R. K., Gupta, R. K., Prajapati, K. K., &amp; Ahmad, S. (2016). Toxic effects of Cassia alata on biochemical and enzymatic parameters of Tribolium castaneum (Herbst). *World Journal of Pharmaceutical Research*, *5*(8), 1255–1274. </w:t>
      </w:r>
      <w:hyperlink r:id="rId113" w:history="1">
        <w:r w:rsidRPr="00DE305D">
          <w:rPr>
            <w:rStyle w:val="Hyperlink"/>
            <w:rFonts w:asciiTheme="majorBidi" w:hAnsiTheme="majorBidi" w:cstheme="majorBidi"/>
            <w:sz w:val="24"/>
            <w:szCs w:val="24"/>
          </w:rPr>
          <w:t>https://doi.org/10.20959/wjpr20168-6811</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Wang, J., Zhu, F., Zhou, X. M., Niu, C. Y., &amp; Lei, C. L. (2006). Repellent and fumigant activity of essential oil from Artemisia vulgaris to Tribolium castaneum (Herbst) (Coleoptera: Tenebrionidae). Journal of Stored Products Research, 42, 339–347. </w:t>
      </w:r>
      <w:hyperlink r:id="rId114" w:history="1">
        <w:r w:rsidRPr="00DE305D">
          <w:rPr>
            <w:rStyle w:val="Hyperlink"/>
            <w:rFonts w:asciiTheme="majorBidi" w:hAnsiTheme="majorBidi" w:cstheme="majorBidi"/>
            <w:sz w:val="24"/>
            <w:szCs w:val="24"/>
          </w:rPr>
          <w:t>https://doi.org/10.1016/j.jspr.2005.06.001</w:t>
        </w:r>
      </w:hyperlink>
    </w:p>
    <w:p w:rsidR="003664ED" w:rsidRDefault="003664ED">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3664ED">
        <w:rPr>
          <w:rFonts w:asciiTheme="majorBidi" w:hAnsiTheme="majorBidi" w:cstheme="majorBidi"/>
          <w:color w:val="000000" w:themeColor="text1"/>
          <w:sz w:val="24"/>
          <w:szCs w:val="24"/>
        </w:rPr>
        <w:t xml:space="preserve">Wang, J., Zhu, F., Zhou, X. M., Niu, C. Y., &amp; Lei, C. L. (2006). Repellent and fumigant activity of essential oil from Artemisia vulgaris to Tribolium castaneum (Herbst) (Coleoptera: Tenebrionidae). Journal of Stored Products Research. </w:t>
      </w:r>
      <w:hyperlink r:id="rId115" w:history="1">
        <w:r w:rsidRPr="00DE305D">
          <w:rPr>
            <w:rStyle w:val="Hyperlink"/>
            <w:rFonts w:asciiTheme="majorBidi" w:hAnsiTheme="majorBidi" w:cstheme="majorBidi"/>
            <w:sz w:val="24"/>
            <w:szCs w:val="24"/>
          </w:rPr>
          <w:t>https://doi.org/10.1016/j.jspr.2005.06.001</w:t>
        </w:r>
      </w:hyperlink>
    </w:p>
    <w:p w:rsidR="0086528E" w:rsidRDefault="0086528E">
      <w:pPr>
        <w:pStyle w:val="ListParagraph"/>
        <w:numPr>
          <w:ilvl w:val="0"/>
          <w:numId w:val="1"/>
        </w:numPr>
        <w:spacing w:after="160" w:line="480" w:lineRule="auto"/>
        <w:jc w:val="both"/>
        <w:rPr>
          <w:rFonts w:asciiTheme="majorBidi" w:hAnsiTheme="majorBidi" w:cstheme="majorBidi"/>
          <w:color w:val="000000" w:themeColor="text1"/>
          <w:sz w:val="24"/>
          <w:szCs w:val="24"/>
        </w:rPr>
      </w:pPr>
      <w:bookmarkStart w:id="5" w:name="_Hlk196161834"/>
      <w:r w:rsidRPr="0086528E">
        <w:rPr>
          <w:rFonts w:asciiTheme="majorBidi" w:hAnsiTheme="majorBidi" w:cstheme="majorBidi"/>
          <w:color w:val="000000" w:themeColor="text1"/>
          <w:sz w:val="24"/>
          <w:szCs w:val="24"/>
        </w:rPr>
        <w:t xml:space="preserve">Yang, F. L., Li, X. G., Zhu, F., &amp; Lei, C. L. (2009). Structural characterization of nanoparticles loaded with garlic essential oil and their insecticidal activity against Tribolium castaneum (Herbst) (Coleoptera: Tenebrionidae). Journal of Agricultural and Food Chemistry, 57(21), 10156–10162. </w:t>
      </w:r>
      <w:hyperlink r:id="rId116" w:history="1">
        <w:r w:rsidRPr="00DE305D">
          <w:rPr>
            <w:rStyle w:val="Hyperlink"/>
            <w:rFonts w:asciiTheme="majorBidi" w:hAnsiTheme="majorBidi" w:cstheme="majorBidi"/>
            <w:sz w:val="24"/>
            <w:szCs w:val="24"/>
          </w:rPr>
          <w:t>https://doi.org/10.1021/jf9023118</w:t>
        </w:r>
      </w:hyperlink>
    </w:p>
    <w:bookmarkEnd w:id="5"/>
    <w:p w:rsidR="0086528E" w:rsidRDefault="0086528E">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86528E">
        <w:rPr>
          <w:rFonts w:asciiTheme="majorBidi" w:hAnsiTheme="majorBidi" w:cstheme="majorBidi"/>
          <w:color w:val="000000" w:themeColor="text1"/>
          <w:sz w:val="24"/>
          <w:szCs w:val="24"/>
        </w:rPr>
        <w:t xml:space="preserve">Yap, P. S. X., Yusoff, K., Lim, S.-H. E., Chong, C.-M., &amp; Lai, K.-S. (2021). Membrane disruption properties of essential oils—A double-edged </w:t>
      </w:r>
      <w:proofErr w:type="gramStart"/>
      <w:r w:rsidRPr="0086528E">
        <w:rPr>
          <w:rFonts w:asciiTheme="majorBidi" w:hAnsiTheme="majorBidi" w:cstheme="majorBidi"/>
          <w:color w:val="000000" w:themeColor="text1"/>
          <w:sz w:val="24"/>
          <w:szCs w:val="24"/>
        </w:rPr>
        <w:t>sword?.</w:t>
      </w:r>
      <w:proofErr w:type="gramEnd"/>
      <w:r w:rsidRPr="0086528E">
        <w:rPr>
          <w:rFonts w:asciiTheme="majorBidi" w:hAnsiTheme="majorBidi" w:cstheme="majorBidi"/>
          <w:color w:val="000000" w:themeColor="text1"/>
          <w:sz w:val="24"/>
          <w:szCs w:val="24"/>
        </w:rPr>
        <w:t xml:space="preserve"> Processes, 9(4), 595. </w:t>
      </w:r>
      <w:hyperlink r:id="rId117" w:history="1">
        <w:r w:rsidRPr="00DE305D">
          <w:rPr>
            <w:rStyle w:val="Hyperlink"/>
            <w:rFonts w:asciiTheme="majorBidi" w:hAnsiTheme="majorBidi" w:cstheme="majorBidi"/>
            <w:sz w:val="24"/>
            <w:szCs w:val="24"/>
          </w:rPr>
          <w:t>https://doi.org/10.3390/pr9040595</w:t>
        </w:r>
      </w:hyperlink>
    </w:p>
    <w:p w:rsidR="0086528E" w:rsidRDefault="0086528E">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86528E">
        <w:rPr>
          <w:rFonts w:asciiTheme="majorBidi" w:hAnsiTheme="majorBidi" w:cstheme="majorBidi"/>
          <w:color w:val="000000" w:themeColor="text1"/>
          <w:sz w:val="24"/>
          <w:szCs w:val="24"/>
        </w:rPr>
        <w:t xml:space="preserve">Yousef, H. A., Fahmy, H. M., Arafa, F. N., Allah, M. Y. A., Tawfik, Y. M., El Halwany, K. K., El-Ashmanty, B. A., Al-anany, F. S., Mohamed, M. A., &amp; Bassily, M. E. (2023). Nanotechnology in pest management: Advantages, applications, and challenges. International Journal of Tropical Insect Science, 43, 1387–1399. </w:t>
      </w:r>
      <w:hyperlink r:id="rId118" w:history="1">
        <w:r w:rsidRPr="00DE305D">
          <w:rPr>
            <w:rStyle w:val="Hyperlink"/>
            <w:rFonts w:asciiTheme="majorBidi" w:hAnsiTheme="majorBidi" w:cstheme="majorBidi"/>
            <w:sz w:val="24"/>
            <w:szCs w:val="24"/>
          </w:rPr>
          <w:t>https://doi.org/10.1007/s42690-023-01053-z</w:t>
        </w:r>
      </w:hyperlink>
    </w:p>
    <w:p w:rsidR="0086528E" w:rsidRDefault="0086528E">
      <w:pPr>
        <w:pStyle w:val="ListParagraph"/>
        <w:numPr>
          <w:ilvl w:val="0"/>
          <w:numId w:val="1"/>
        </w:numPr>
        <w:spacing w:after="160" w:line="480" w:lineRule="auto"/>
        <w:jc w:val="both"/>
        <w:rPr>
          <w:rFonts w:asciiTheme="majorBidi" w:hAnsiTheme="majorBidi" w:cstheme="majorBidi"/>
          <w:color w:val="000000" w:themeColor="text1"/>
          <w:sz w:val="24"/>
          <w:szCs w:val="24"/>
        </w:rPr>
      </w:pPr>
      <w:r w:rsidRPr="0086528E">
        <w:rPr>
          <w:rFonts w:asciiTheme="majorBidi" w:hAnsiTheme="majorBidi" w:cstheme="majorBidi"/>
          <w:color w:val="000000" w:themeColor="text1"/>
          <w:sz w:val="24"/>
          <w:szCs w:val="24"/>
        </w:rPr>
        <w:lastRenderedPageBreak/>
        <w:t xml:space="preserve">Zaka, S. M., Iqbal, N., Saeed, Q., Akrem, A., Batool, M., Khan, A. A., Anwar, A., Bibi, M., Azeem, S., Rizvi, D.-E.-N., Bibi, R., Khan, K. A., Ghramh, H. A., Ansari, M. J., &amp; Latif, S. (2019). Toxic effects of some insecticides, herbicides, and plant essential oils against Tribolium confusum Jacquelin du val (Insecta: Coleoptera: Tenebrionidae). Saudi Journal of Biological Sciences, 26(7), 1767–1771. </w:t>
      </w:r>
      <w:hyperlink r:id="rId119" w:history="1">
        <w:r w:rsidRPr="00DE305D">
          <w:rPr>
            <w:rStyle w:val="Hyperlink"/>
            <w:rFonts w:asciiTheme="majorBidi" w:hAnsiTheme="majorBidi" w:cstheme="majorBidi"/>
            <w:sz w:val="24"/>
            <w:szCs w:val="24"/>
          </w:rPr>
          <w:t>https://doi.org/10.1016/j.sjbs.2018.05.012</w:t>
        </w:r>
      </w:hyperlink>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Zapata, N. and Smagghe, G. (2010). Repellency and toxicity of essential oils from the leaves and bark of </w:t>
      </w:r>
      <w:r>
        <w:rPr>
          <w:rFonts w:asciiTheme="majorBidi" w:hAnsiTheme="majorBidi" w:cstheme="majorBidi"/>
          <w:i/>
          <w:iCs/>
          <w:color w:val="000000" w:themeColor="text1"/>
          <w:sz w:val="24"/>
          <w:szCs w:val="24"/>
        </w:rPr>
        <w:t>Laurelia sempervirens</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Drimys winteri</w:t>
      </w:r>
      <w:r>
        <w:rPr>
          <w:rFonts w:asciiTheme="majorBidi" w:hAnsiTheme="majorBidi" w:cstheme="majorBidi"/>
          <w:color w:val="000000" w:themeColor="text1"/>
          <w:sz w:val="24"/>
          <w:szCs w:val="24"/>
        </w:rPr>
        <w:t xml:space="preserve">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Ind. Crops Prod., 32(3): 405–410. </w:t>
      </w:r>
      <w:r w:rsidR="00E55F14">
        <w:rPr>
          <w:rFonts w:asciiTheme="majorBidi" w:hAnsiTheme="majorBidi" w:cstheme="majorBidi"/>
          <w:color w:val="000000" w:themeColor="text1"/>
          <w:sz w:val="24"/>
          <w:szCs w:val="24"/>
        </w:rPr>
        <w:t xml:space="preserve"> </w:t>
      </w:r>
      <w:hyperlink r:id="rId120" w:history="1">
        <w:r w:rsidR="00E55F14" w:rsidRPr="00DE305D">
          <w:rPr>
            <w:rStyle w:val="Hyperlink"/>
            <w:rFonts w:asciiTheme="majorBidi" w:hAnsiTheme="majorBidi" w:cstheme="majorBidi"/>
            <w:sz w:val="24"/>
            <w:szCs w:val="24"/>
          </w:rPr>
          <w:t>https://doi.org/10.1016/j.indcrop.2010.06.005</w:t>
        </w:r>
      </w:hyperlink>
      <w:r w:rsidR="00E55F14">
        <w:rPr>
          <w:rStyle w:val="Hyperlink"/>
          <w:rFonts w:asciiTheme="majorBidi" w:hAnsiTheme="majorBidi" w:cstheme="majorBidi"/>
          <w:color w:val="000000" w:themeColor="text1"/>
          <w:sz w:val="24"/>
          <w:szCs w:val="24"/>
          <w:u w:val="none"/>
        </w:rPr>
        <w:t xml:space="preserve"> </w:t>
      </w:r>
    </w:p>
    <w:p w:rsidR="00DB7333" w:rsidRDefault="00B47D9D">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Zhang, X., Feng, R., Tang, Y., Kong, W., Zhang, J. and Liang, J. 2024. Bioactivities of essential oil extracted from </w:t>
      </w:r>
      <w:r>
        <w:rPr>
          <w:rFonts w:asciiTheme="majorBidi" w:hAnsiTheme="majorBidi" w:cstheme="majorBidi"/>
          <w:i/>
          <w:iCs/>
          <w:color w:val="000000" w:themeColor="text1"/>
          <w:sz w:val="24"/>
          <w:szCs w:val="24"/>
        </w:rPr>
        <w:t>Elsholtzia densa</w:t>
      </w:r>
      <w:r>
        <w:rPr>
          <w:rFonts w:asciiTheme="majorBidi" w:hAnsiTheme="majorBidi" w:cstheme="majorBidi"/>
          <w:color w:val="000000" w:themeColor="text1"/>
          <w:sz w:val="24"/>
          <w:szCs w:val="24"/>
        </w:rPr>
        <w:t xml:space="preserve"> Benth. and its main components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eggs and pupae. Pestic. Biochem. Physiol., 202: 105970. </w:t>
      </w:r>
      <w:r w:rsidR="00E55F14">
        <w:rPr>
          <w:rFonts w:asciiTheme="majorBidi" w:hAnsiTheme="majorBidi" w:cstheme="majorBidi"/>
          <w:color w:val="000000" w:themeColor="text1"/>
          <w:sz w:val="24"/>
          <w:szCs w:val="24"/>
        </w:rPr>
        <w:t xml:space="preserve"> </w:t>
      </w:r>
      <w:hyperlink r:id="rId121" w:history="1">
        <w:r w:rsidR="00E55F14" w:rsidRPr="00DE305D">
          <w:rPr>
            <w:rStyle w:val="Hyperlink"/>
            <w:rFonts w:asciiTheme="majorBidi" w:hAnsiTheme="majorBidi" w:cstheme="majorBidi"/>
            <w:sz w:val="24"/>
            <w:szCs w:val="24"/>
          </w:rPr>
          <w:t>https://doi.org/10.1016/j.pestbp.2024.105970</w:t>
        </w:r>
      </w:hyperlink>
      <w:r w:rsidR="00E55F14">
        <w:rPr>
          <w:rStyle w:val="Hyperlink"/>
          <w:rFonts w:asciiTheme="majorBidi" w:hAnsiTheme="majorBidi" w:cstheme="majorBidi"/>
          <w:color w:val="000000" w:themeColor="text1"/>
          <w:sz w:val="24"/>
          <w:szCs w:val="24"/>
          <w:u w:val="none"/>
        </w:rPr>
        <w:t xml:space="preserve">  </w:t>
      </w:r>
    </w:p>
    <w:sectPr w:rsidR="00DB7333" w:rsidSect="00892185">
      <w:headerReference w:type="even" r:id="rId122"/>
      <w:headerReference w:type="default" r:id="rId123"/>
      <w:footerReference w:type="even" r:id="rId124"/>
      <w:footerReference w:type="default" r:id="rId125"/>
      <w:headerReference w:type="first" r:id="rId126"/>
      <w:footerReference w:type="first" r:id="rId12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B3C" w:rsidRDefault="00E10B3C">
      <w:pPr>
        <w:spacing w:line="240" w:lineRule="auto"/>
      </w:pPr>
      <w:r>
        <w:separator/>
      </w:r>
    </w:p>
  </w:endnote>
  <w:endnote w:type="continuationSeparator" w:id="0">
    <w:p w:rsidR="00E10B3C" w:rsidRDefault="00E1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1">
    <w:altName w:val="Times New Roman"/>
    <w:charset w:val="00"/>
    <w:family w:val="auto"/>
    <w:pitch w:val="default"/>
    <w:sig w:usb0="00000000" w:usb1="00000000" w:usb2="00000000"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B3C" w:rsidRDefault="00E10B3C">
      <w:r>
        <w:separator/>
      </w:r>
    </w:p>
  </w:footnote>
  <w:footnote w:type="continuationSeparator" w:id="0">
    <w:p w:rsidR="00E10B3C" w:rsidRDefault="00E1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29"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30"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85" w:rsidRDefault="00892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28"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38D3"/>
    <w:multiLevelType w:val="multilevel"/>
    <w:tmpl w:val="0B3238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4679D"/>
    <w:rsid w:val="000101A6"/>
    <w:rsid w:val="000103E3"/>
    <w:rsid w:val="000168A5"/>
    <w:rsid w:val="00022AE8"/>
    <w:rsid w:val="00025C6C"/>
    <w:rsid w:val="00026719"/>
    <w:rsid w:val="0002722A"/>
    <w:rsid w:val="0003038E"/>
    <w:rsid w:val="000321C3"/>
    <w:rsid w:val="000335E4"/>
    <w:rsid w:val="000336CD"/>
    <w:rsid w:val="00033D4D"/>
    <w:rsid w:val="000372FB"/>
    <w:rsid w:val="00042B56"/>
    <w:rsid w:val="00046AA0"/>
    <w:rsid w:val="00054694"/>
    <w:rsid w:val="00055096"/>
    <w:rsid w:val="00057663"/>
    <w:rsid w:val="000632AD"/>
    <w:rsid w:val="00063F2C"/>
    <w:rsid w:val="0006589C"/>
    <w:rsid w:val="00074A44"/>
    <w:rsid w:val="0008069D"/>
    <w:rsid w:val="00081371"/>
    <w:rsid w:val="000922F9"/>
    <w:rsid w:val="00093E23"/>
    <w:rsid w:val="000969C1"/>
    <w:rsid w:val="00097E0B"/>
    <w:rsid w:val="000A0833"/>
    <w:rsid w:val="000A1185"/>
    <w:rsid w:val="000A389F"/>
    <w:rsid w:val="000A70AC"/>
    <w:rsid w:val="000A74F5"/>
    <w:rsid w:val="000B7C49"/>
    <w:rsid w:val="000C4462"/>
    <w:rsid w:val="000C57F0"/>
    <w:rsid w:val="000C6423"/>
    <w:rsid w:val="000D1E2A"/>
    <w:rsid w:val="000D20FE"/>
    <w:rsid w:val="000D3204"/>
    <w:rsid w:val="000D396D"/>
    <w:rsid w:val="000D6944"/>
    <w:rsid w:val="000E4130"/>
    <w:rsid w:val="000F1479"/>
    <w:rsid w:val="000F3EAC"/>
    <w:rsid w:val="00106B61"/>
    <w:rsid w:val="001109BF"/>
    <w:rsid w:val="001209C4"/>
    <w:rsid w:val="001235E6"/>
    <w:rsid w:val="00125A69"/>
    <w:rsid w:val="00127BF3"/>
    <w:rsid w:val="001328C2"/>
    <w:rsid w:val="001353ED"/>
    <w:rsid w:val="001428B0"/>
    <w:rsid w:val="001507AA"/>
    <w:rsid w:val="00153714"/>
    <w:rsid w:val="00157876"/>
    <w:rsid w:val="00157C99"/>
    <w:rsid w:val="0016735A"/>
    <w:rsid w:val="00173EAE"/>
    <w:rsid w:val="00174280"/>
    <w:rsid w:val="0017488A"/>
    <w:rsid w:val="0017531D"/>
    <w:rsid w:val="001762EC"/>
    <w:rsid w:val="001774A2"/>
    <w:rsid w:val="001779FE"/>
    <w:rsid w:val="00177A02"/>
    <w:rsid w:val="00182137"/>
    <w:rsid w:val="001846B3"/>
    <w:rsid w:val="001A5916"/>
    <w:rsid w:val="001B13EB"/>
    <w:rsid w:val="001B288F"/>
    <w:rsid w:val="001B342B"/>
    <w:rsid w:val="001B3DB5"/>
    <w:rsid w:val="001B569A"/>
    <w:rsid w:val="001C06B6"/>
    <w:rsid w:val="001C3FF6"/>
    <w:rsid w:val="001C5702"/>
    <w:rsid w:val="001C7096"/>
    <w:rsid w:val="001D45D6"/>
    <w:rsid w:val="001E03FB"/>
    <w:rsid w:val="001E0D33"/>
    <w:rsid w:val="001E61ED"/>
    <w:rsid w:val="001E63B4"/>
    <w:rsid w:val="001E6743"/>
    <w:rsid w:val="001F5973"/>
    <w:rsid w:val="001F7D28"/>
    <w:rsid w:val="00200705"/>
    <w:rsid w:val="0020216D"/>
    <w:rsid w:val="00203481"/>
    <w:rsid w:val="002036B8"/>
    <w:rsid w:val="00204DAF"/>
    <w:rsid w:val="00204DF1"/>
    <w:rsid w:val="00210366"/>
    <w:rsid w:val="00210E2E"/>
    <w:rsid w:val="0022102A"/>
    <w:rsid w:val="002228EE"/>
    <w:rsid w:val="002231E6"/>
    <w:rsid w:val="00223EFE"/>
    <w:rsid w:val="00225481"/>
    <w:rsid w:val="00230DBC"/>
    <w:rsid w:val="00232532"/>
    <w:rsid w:val="00232F9C"/>
    <w:rsid w:val="00235D76"/>
    <w:rsid w:val="002366F1"/>
    <w:rsid w:val="0024204B"/>
    <w:rsid w:val="00242996"/>
    <w:rsid w:val="00247071"/>
    <w:rsid w:val="002503F8"/>
    <w:rsid w:val="0025243C"/>
    <w:rsid w:val="00253BE2"/>
    <w:rsid w:val="002542EC"/>
    <w:rsid w:val="0025796F"/>
    <w:rsid w:val="00257B1F"/>
    <w:rsid w:val="00272A1A"/>
    <w:rsid w:val="00274D70"/>
    <w:rsid w:val="00275CBA"/>
    <w:rsid w:val="00284CF1"/>
    <w:rsid w:val="00291563"/>
    <w:rsid w:val="00292EDF"/>
    <w:rsid w:val="002935D2"/>
    <w:rsid w:val="00293D42"/>
    <w:rsid w:val="00293FFE"/>
    <w:rsid w:val="00294A16"/>
    <w:rsid w:val="002A13AB"/>
    <w:rsid w:val="002A2677"/>
    <w:rsid w:val="002A42CB"/>
    <w:rsid w:val="002A601A"/>
    <w:rsid w:val="002B2A2E"/>
    <w:rsid w:val="002C08C9"/>
    <w:rsid w:val="002C6915"/>
    <w:rsid w:val="002D4A0A"/>
    <w:rsid w:val="002F0DC9"/>
    <w:rsid w:val="002F3819"/>
    <w:rsid w:val="002F4652"/>
    <w:rsid w:val="002F6121"/>
    <w:rsid w:val="0030156A"/>
    <w:rsid w:val="00302740"/>
    <w:rsid w:val="0030499C"/>
    <w:rsid w:val="00305274"/>
    <w:rsid w:val="00306647"/>
    <w:rsid w:val="003072D9"/>
    <w:rsid w:val="00312F9C"/>
    <w:rsid w:val="003131E2"/>
    <w:rsid w:val="0031776C"/>
    <w:rsid w:val="00321E93"/>
    <w:rsid w:val="003239A0"/>
    <w:rsid w:val="003254E4"/>
    <w:rsid w:val="00327EB7"/>
    <w:rsid w:val="0033209E"/>
    <w:rsid w:val="003324F7"/>
    <w:rsid w:val="00336CA1"/>
    <w:rsid w:val="00343ECB"/>
    <w:rsid w:val="00344F98"/>
    <w:rsid w:val="00353D53"/>
    <w:rsid w:val="003578A1"/>
    <w:rsid w:val="00360D85"/>
    <w:rsid w:val="00365113"/>
    <w:rsid w:val="003664ED"/>
    <w:rsid w:val="003673FF"/>
    <w:rsid w:val="0037057B"/>
    <w:rsid w:val="00371288"/>
    <w:rsid w:val="00372EDF"/>
    <w:rsid w:val="0037434B"/>
    <w:rsid w:val="00383D7C"/>
    <w:rsid w:val="003873D0"/>
    <w:rsid w:val="0039193D"/>
    <w:rsid w:val="003936F7"/>
    <w:rsid w:val="00395489"/>
    <w:rsid w:val="003A2874"/>
    <w:rsid w:val="003A6D2D"/>
    <w:rsid w:val="003B17D5"/>
    <w:rsid w:val="003B2D77"/>
    <w:rsid w:val="003B709B"/>
    <w:rsid w:val="003C3922"/>
    <w:rsid w:val="003C7870"/>
    <w:rsid w:val="003D6C81"/>
    <w:rsid w:val="003E17CD"/>
    <w:rsid w:val="003E1B69"/>
    <w:rsid w:val="003E1FB0"/>
    <w:rsid w:val="003E7DEA"/>
    <w:rsid w:val="003F0199"/>
    <w:rsid w:val="003F3997"/>
    <w:rsid w:val="003F462F"/>
    <w:rsid w:val="00402A25"/>
    <w:rsid w:val="00405582"/>
    <w:rsid w:val="00406B85"/>
    <w:rsid w:val="00410E00"/>
    <w:rsid w:val="00416363"/>
    <w:rsid w:val="00417754"/>
    <w:rsid w:val="004213C8"/>
    <w:rsid w:val="0042191D"/>
    <w:rsid w:val="00422E82"/>
    <w:rsid w:val="00424477"/>
    <w:rsid w:val="00436CA0"/>
    <w:rsid w:val="00436ED1"/>
    <w:rsid w:val="00437EC4"/>
    <w:rsid w:val="00441535"/>
    <w:rsid w:val="0044185D"/>
    <w:rsid w:val="00441DCF"/>
    <w:rsid w:val="00442309"/>
    <w:rsid w:val="00442A59"/>
    <w:rsid w:val="0044395A"/>
    <w:rsid w:val="00444563"/>
    <w:rsid w:val="00450BD9"/>
    <w:rsid w:val="004511F3"/>
    <w:rsid w:val="00451B3B"/>
    <w:rsid w:val="00452D7B"/>
    <w:rsid w:val="00456E0C"/>
    <w:rsid w:val="004638BC"/>
    <w:rsid w:val="004702AA"/>
    <w:rsid w:val="004702D5"/>
    <w:rsid w:val="00471EE4"/>
    <w:rsid w:val="004729CB"/>
    <w:rsid w:val="004733C1"/>
    <w:rsid w:val="00474EA3"/>
    <w:rsid w:val="00476E21"/>
    <w:rsid w:val="004822BB"/>
    <w:rsid w:val="0048544C"/>
    <w:rsid w:val="00490631"/>
    <w:rsid w:val="00494959"/>
    <w:rsid w:val="00497F7A"/>
    <w:rsid w:val="004A5073"/>
    <w:rsid w:val="004B008F"/>
    <w:rsid w:val="004B4E6E"/>
    <w:rsid w:val="004B708E"/>
    <w:rsid w:val="004C0502"/>
    <w:rsid w:val="004C7ECB"/>
    <w:rsid w:val="004D1630"/>
    <w:rsid w:val="004D1D13"/>
    <w:rsid w:val="004D35C3"/>
    <w:rsid w:val="004D3FE0"/>
    <w:rsid w:val="004D41F7"/>
    <w:rsid w:val="004E2FE9"/>
    <w:rsid w:val="004E4FB2"/>
    <w:rsid w:val="004E51AF"/>
    <w:rsid w:val="004F03A6"/>
    <w:rsid w:val="004F333D"/>
    <w:rsid w:val="004F470F"/>
    <w:rsid w:val="004F5613"/>
    <w:rsid w:val="00501D82"/>
    <w:rsid w:val="00503042"/>
    <w:rsid w:val="00513D0D"/>
    <w:rsid w:val="00515412"/>
    <w:rsid w:val="00515874"/>
    <w:rsid w:val="00520996"/>
    <w:rsid w:val="00525B0D"/>
    <w:rsid w:val="00527AF4"/>
    <w:rsid w:val="0053374A"/>
    <w:rsid w:val="005371DB"/>
    <w:rsid w:val="00542623"/>
    <w:rsid w:val="00553399"/>
    <w:rsid w:val="005560A0"/>
    <w:rsid w:val="00556207"/>
    <w:rsid w:val="0056021E"/>
    <w:rsid w:val="005613AB"/>
    <w:rsid w:val="005618AC"/>
    <w:rsid w:val="00563BD9"/>
    <w:rsid w:val="00564EA8"/>
    <w:rsid w:val="00580672"/>
    <w:rsid w:val="00580A55"/>
    <w:rsid w:val="00586683"/>
    <w:rsid w:val="0059507D"/>
    <w:rsid w:val="00596E1E"/>
    <w:rsid w:val="005A2D23"/>
    <w:rsid w:val="005A3C10"/>
    <w:rsid w:val="005A4095"/>
    <w:rsid w:val="005A5C92"/>
    <w:rsid w:val="005A73C8"/>
    <w:rsid w:val="005B0366"/>
    <w:rsid w:val="005B09D6"/>
    <w:rsid w:val="005B0B4F"/>
    <w:rsid w:val="005C1D5D"/>
    <w:rsid w:val="005C557C"/>
    <w:rsid w:val="005C74CF"/>
    <w:rsid w:val="005D4025"/>
    <w:rsid w:val="005D46F8"/>
    <w:rsid w:val="005E04E5"/>
    <w:rsid w:val="005E0C06"/>
    <w:rsid w:val="005F0DD6"/>
    <w:rsid w:val="00606DD7"/>
    <w:rsid w:val="00610D17"/>
    <w:rsid w:val="00615BAD"/>
    <w:rsid w:val="00615F72"/>
    <w:rsid w:val="00623133"/>
    <w:rsid w:val="006239CB"/>
    <w:rsid w:val="00624C3D"/>
    <w:rsid w:val="006304B6"/>
    <w:rsid w:val="0063152C"/>
    <w:rsid w:val="00632BA0"/>
    <w:rsid w:val="00634A0C"/>
    <w:rsid w:val="0063637D"/>
    <w:rsid w:val="00642602"/>
    <w:rsid w:val="006426E9"/>
    <w:rsid w:val="00642A34"/>
    <w:rsid w:val="00645C16"/>
    <w:rsid w:val="006513CB"/>
    <w:rsid w:val="006518CF"/>
    <w:rsid w:val="006526AE"/>
    <w:rsid w:val="0065318E"/>
    <w:rsid w:val="00654217"/>
    <w:rsid w:val="00657104"/>
    <w:rsid w:val="006579DE"/>
    <w:rsid w:val="0066788C"/>
    <w:rsid w:val="00670618"/>
    <w:rsid w:val="0067353D"/>
    <w:rsid w:val="00683859"/>
    <w:rsid w:val="00683F20"/>
    <w:rsid w:val="00684056"/>
    <w:rsid w:val="0068468B"/>
    <w:rsid w:val="00685FC4"/>
    <w:rsid w:val="0069051A"/>
    <w:rsid w:val="00691411"/>
    <w:rsid w:val="00693BC2"/>
    <w:rsid w:val="00695F68"/>
    <w:rsid w:val="006978AE"/>
    <w:rsid w:val="006A0798"/>
    <w:rsid w:val="006A2D91"/>
    <w:rsid w:val="006A4075"/>
    <w:rsid w:val="006B01FB"/>
    <w:rsid w:val="006B0A80"/>
    <w:rsid w:val="006B31D1"/>
    <w:rsid w:val="006B55AA"/>
    <w:rsid w:val="006B5A4C"/>
    <w:rsid w:val="006B6A3B"/>
    <w:rsid w:val="006B6D67"/>
    <w:rsid w:val="006C1004"/>
    <w:rsid w:val="006C2F52"/>
    <w:rsid w:val="006C72C9"/>
    <w:rsid w:val="006C7D16"/>
    <w:rsid w:val="006D16EB"/>
    <w:rsid w:val="006D7B9F"/>
    <w:rsid w:val="006E4A8A"/>
    <w:rsid w:val="006E56EA"/>
    <w:rsid w:val="006E73CC"/>
    <w:rsid w:val="006F0F51"/>
    <w:rsid w:val="006F103F"/>
    <w:rsid w:val="006F1C68"/>
    <w:rsid w:val="006F1CAF"/>
    <w:rsid w:val="006F6966"/>
    <w:rsid w:val="0070051F"/>
    <w:rsid w:val="00701D6C"/>
    <w:rsid w:val="00702FC3"/>
    <w:rsid w:val="00705E42"/>
    <w:rsid w:val="007066DD"/>
    <w:rsid w:val="00706A7D"/>
    <w:rsid w:val="00707C8E"/>
    <w:rsid w:val="007107FB"/>
    <w:rsid w:val="00710D91"/>
    <w:rsid w:val="00712168"/>
    <w:rsid w:val="00722175"/>
    <w:rsid w:val="007238C9"/>
    <w:rsid w:val="00724A32"/>
    <w:rsid w:val="007277F6"/>
    <w:rsid w:val="007307F3"/>
    <w:rsid w:val="00735F92"/>
    <w:rsid w:val="00736CCD"/>
    <w:rsid w:val="00736D7E"/>
    <w:rsid w:val="00742266"/>
    <w:rsid w:val="00743FA6"/>
    <w:rsid w:val="007474FE"/>
    <w:rsid w:val="00747C5A"/>
    <w:rsid w:val="00747D06"/>
    <w:rsid w:val="00750B2E"/>
    <w:rsid w:val="00752301"/>
    <w:rsid w:val="00756556"/>
    <w:rsid w:val="00757839"/>
    <w:rsid w:val="00761539"/>
    <w:rsid w:val="00764036"/>
    <w:rsid w:val="007716EE"/>
    <w:rsid w:val="007752CF"/>
    <w:rsid w:val="00775A9A"/>
    <w:rsid w:val="00780CD8"/>
    <w:rsid w:val="00783F0A"/>
    <w:rsid w:val="0078552D"/>
    <w:rsid w:val="007857A3"/>
    <w:rsid w:val="00787D49"/>
    <w:rsid w:val="00792C42"/>
    <w:rsid w:val="007A1781"/>
    <w:rsid w:val="007A1E5E"/>
    <w:rsid w:val="007A1E92"/>
    <w:rsid w:val="007A3BDE"/>
    <w:rsid w:val="007A660D"/>
    <w:rsid w:val="007B166F"/>
    <w:rsid w:val="007B6BF8"/>
    <w:rsid w:val="007C21C4"/>
    <w:rsid w:val="007E33DA"/>
    <w:rsid w:val="007E3B33"/>
    <w:rsid w:val="007E3F0F"/>
    <w:rsid w:val="007E4F54"/>
    <w:rsid w:val="007E5829"/>
    <w:rsid w:val="007E7748"/>
    <w:rsid w:val="007E7A34"/>
    <w:rsid w:val="00804050"/>
    <w:rsid w:val="00811309"/>
    <w:rsid w:val="0081656F"/>
    <w:rsid w:val="00816B51"/>
    <w:rsid w:val="0081713A"/>
    <w:rsid w:val="00823379"/>
    <w:rsid w:val="008237A2"/>
    <w:rsid w:val="00825757"/>
    <w:rsid w:val="00825D98"/>
    <w:rsid w:val="0083603C"/>
    <w:rsid w:val="008362D3"/>
    <w:rsid w:val="00837129"/>
    <w:rsid w:val="00837480"/>
    <w:rsid w:val="00837577"/>
    <w:rsid w:val="008417D3"/>
    <w:rsid w:val="00841A4D"/>
    <w:rsid w:val="008439FA"/>
    <w:rsid w:val="0085180C"/>
    <w:rsid w:val="008539E9"/>
    <w:rsid w:val="0086528E"/>
    <w:rsid w:val="00871C6B"/>
    <w:rsid w:val="008766C7"/>
    <w:rsid w:val="00876E65"/>
    <w:rsid w:val="008770F9"/>
    <w:rsid w:val="0088010F"/>
    <w:rsid w:val="00882269"/>
    <w:rsid w:val="0088722A"/>
    <w:rsid w:val="008872ED"/>
    <w:rsid w:val="0089022A"/>
    <w:rsid w:val="00892185"/>
    <w:rsid w:val="00892A8D"/>
    <w:rsid w:val="00897CF1"/>
    <w:rsid w:val="008B0AE8"/>
    <w:rsid w:val="008B0DB5"/>
    <w:rsid w:val="008B3054"/>
    <w:rsid w:val="008C0EDB"/>
    <w:rsid w:val="008C4FDB"/>
    <w:rsid w:val="008D09E3"/>
    <w:rsid w:val="008D1EB5"/>
    <w:rsid w:val="008D362C"/>
    <w:rsid w:val="008D3DC1"/>
    <w:rsid w:val="008D7887"/>
    <w:rsid w:val="008D7BCA"/>
    <w:rsid w:val="008E1C66"/>
    <w:rsid w:val="008E64C1"/>
    <w:rsid w:val="008E7655"/>
    <w:rsid w:val="008F1B6E"/>
    <w:rsid w:val="008F365F"/>
    <w:rsid w:val="008F4DFD"/>
    <w:rsid w:val="00900862"/>
    <w:rsid w:val="00903EEE"/>
    <w:rsid w:val="00904AF3"/>
    <w:rsid w:val="009122F4"/>
    <w:rsid w:val="00915679"/>
    <w:rsid w:val="0091796D"/>
    <w:rsid w:val="00920C48"/>
    <w:rsid w:val="00921682"/>
    <w:rsid w:val="00923B6D"/>
    <w:rsid w:val="00923C3E"/>
    <w:rsid w:val="009259DF"/>
    <w:rsid w:val="00925C3B"/>
    <w:rsid w:val="009269C2"/>
    <w:rsid w:val="0092772C"/>
    <w:rsid w:val="00930D7B"/>
    <w:rsid w:val="00937820"/>
    <w:rsid w:val="0094324B"/>
    <w:rsid w:val="00943C3B"/>
    <w:rsid w:val="00945BFD"/>
    <w:rsid w:val="00955A92"/>
    <w:rsid w:val="009607EF"/>
    <w:rsid w:val="0096087B"/>
    <w:rsid w:val="00962035"/>
    <w:rsid w:val="00963ECB"/>
    <w:rsid w:val="00964371"/>
    <w:rsid w:val="009743E8"/>
    <w:rsid w:val="00974F80"/>
    <w:rsid w:val="00976468"/>
    <w:rsid w:val="0098296D"/>
    <w:rsid w:val="0098627C"/>
    <w:rsid w:val="00991D5E"/>
    <w:rsid w:val="00992673"/>
    <w:rsid w:val="009942C8"/>
    <w:rsid w:val="00994F21"/>
    <w:rsid w:val="00997548"/>
    <w:rsid w:val="009B0239"/>
    <w:rsid w:val="009B2B2D"/>
    <w:rsid w:val="009B49D4"/>
    <w:rsid w:val="009B6DF6"/>
    <w:rsid w:val="009B7DB4"/>
    <w:rsid w:val="009C1208"/>
    <w:rsid w:val="009C153F"/>
    <w:rsid w:val="009C6F30"/>
    <w:rsid w:val="009D10BB"/>
    <w:rsid w:val="009E2DFF"/>
    <w:rsid w:val="009E2E41"/>
    <w:rsid w:val="009E4299"/>
    <w:rsid w:val="009F2750"/>
    <w:rsid w:val="00A12009"/>
    <w:rsid w:val="00A254D8"/>
    <w:rsid w:val="00A25FEA"/>
    <w:rsid w:val="00A272B9"/>
    <w:rsid w:val="00A44051"/>
    <w:rsid w:val="00A44AE2"/>
    <w:rsid w:val="00A44CEC"/>
    <w:rsid w:val="00A507B3"/>
    <w:rsid w:val="00A53EFC"/>
    <w:rsid w:val="00A54D5E"/>
    <w:rsid w:val="00A55E72"/>
    <w:rsid w:val="00A57EA9"/>
    <w:rsid w:val="00A6290D"/>
    <w:rsid w:val="00A677F9"/>
    <w:rsid w:val="00A7357A"/>
    <w:rsid w:val="00A73ABE"/>
    <w:rsid w:val="00A75AAB"/>
    <w:rsid w:val="00A91086"/>
    <w:rsid w:val="00A915C4"/>
    <w:rsid w:val="00A91876"/>
    <w:rsid w:val="00A939C6"/>
    <w:rsid w:val="00A954B0"/>
    <w:rsid w:val="00AA249E"/>
    <w:rsid w:val="00AA5C9E"/>
    <w:rsid w:val="00AA77EA"/>
    <w:rsid w:val="00AB7D44"/>
    <w:rsid w:val="00AC0745"/>
    <w:rsid w:val="00AD2044"/>
    <w:rsid w:val="00AE48A9"/>
    <w:rsid w:val="00AE65A8"/>
    <w:rsid w:val="00AE6E39"/>
    <w:rsid w:val="00AE7864"/>
    <w:rsid w:val="00AE7B04"/>
    <w:rsid w:val="00AF3C69"/>
    <w:rsid w:val="00AF6436"/>
    <w:rsid w:val="00AF7E4D"/>
    <w:rsid w:val="00B035D5"/>
    <w:rsid w:val="00B0418F"/>
    <w:rsid w:val="00B042D1"/>
    <w:rsid w:val="00B04503"/>
    <w:rsid w:val="00B1066A"/>
    <w:rsid w:val="00B1456B"/>
    <w:rsid w:val="00B1552F"/>
    <w:rsid w:val="00B16422"/>
    <w:rsid w:val="00B16CBA"/>
    <w:rsid w:val="00B1721D"/>
    <w:rsid w:val="00B21267"/>
    <w:rsid w:val="00B2555E"/>
    <w:rsid w:val="00B34498"/>
    <w:rsid w:val="00B4362A"/>
    <w:rsid w:val="00B464D0"/>
    <w:rsid w:val="00B47502"/>
    <w:rsid w:val="00B47A0F"/>
    <w:rsid w:val="00B47D9D"/>
    <w:rsid w:val="00B50D29"/>
    <w:rsid w:val="00B515B3"/>
    <w:rsid w:val="00B637A9"/>
    <w:rsid w:val="00B658D4"/>
    <w:rsid w:val="00B65952"/>
    <w:rsid w:val="00B67FFA"/>
    <w:rsid w:val="00B70AED"/>
    <w:rsid w:val="00B73C11"/>
    <w:rsid w:val="00B76444"/>
    <w:rsid w:val="00B82FF9"/>
    <w:rsid w:val="00B86769"/>
    <w:rsid w:val="00B87D61"/>
    <w:rsid w:val="00B90464"/>
    <w:rsid w:val="00B91DDC"/>
    <w:rsid w:val="00B93BA5"/>
    <w:rsid w:val="00B9406B"/>
    <w:rsid w:val="00B94670"/>
    <w:rsid w:val="00B94796"/>
    <w:rsid w:val="00BA1593"/>
    <w:rsid w:val="00BB1A87"/>
    <w:rsid w:val="00BB4ABC"/>
    <w:rsid w:val="00BC0C8E"/>
    <w:rsid w:val="00BC0E75"/>
    <w:rsid w:val="00BC3180"/>
    <w:rsid w:val="00BD36FD"/>
    <w:rsid w:val="00BD3A7B"/>
    <w:rsid w:val="00BD55CD"/>
    <w:rsid w:val="00BD55EB"/>
    <w:rsid w:val="00BE2B14"/>
    <w:rsid w:val="00BE4709"/>
    <w:rsid w:val="00BE620A"/>
    <w:rsid w:val="00BF080F"/>
    <w:rsid w:val="00BF0FF6"/>
    <w:rsid w:val="00BF1966"/>
    <w:rsid w:val="00BF514B"/>
    <w:rsid w:val="00C025DC"/>
    <w:rsid w:val="00C0722C"/>
    <w:rsid w:val="00C16D4C"/>
    <w:rsid w:val="00C17880"/>
    <w:rsid w:val="00C20913"/>
    <w:rsid w:val="00C21CCA"/>
    <w:rsid w:val="00C25DFC"/>
    <w:rsid w:val="00C27874"/>
    <w:rsid w:val="00C30F34"/>
    <w:rsid w:val="00C35F4F"/>
    <w:rsid w:val="00C36AAB"/>
    <w:rsid w:val="00C3798D"/>
    <w:rsid w:val="00C404BE"/>
    <w:rsid w:val="00C41B68"/>
    <w:rsid w:val="00C44FC7"/>
    <w:rsid w:val="00C45BC0"/>
    <w:rsid w:val="00C513C3"/>
    <w:rsid w:val="00C52D4D"/>
    <w:rsid w:val="00C639FA"/>
    <w:rsid w:val="00C663BD"/>
    <w:rsid w:val="00C72D91"/>
    <w:rsid w:val="00C82F6A"/>
    <w:rsid w:val="00C840AF"/>
    <w:rsid w:val="00C85408"/>
    <w:rsid w:val="00C858C5"/>
    <w:rsid w:val="00C85E6D"/>
    <w:rsid w:val="00C913C2"/>
    <w:rsid w:val="00C92808"/>
    <w:rsid w:val="00C969B8"/>
    <w:rsid w:val="00CA0906"/>
    <w:rsid w:val="00CA5938"/>
    <w:rsid w:val="00CB1206"/>
    <w:rsid w:val="00CB1FD6"/>
    <w:rsid w:val="00CB2FA2"/>
    <w:rsid w:val="00CB67A3"/>
    <w:rsid w:val="00CB6864"/>
    <w:rsid w:val="00CC5410"/>
    <w:rsid w:val="00CD2037"/>
    <w:rsid w:val="00CD395A"/>
    <w:rsid w:val="00CD44FC"/>
    <w:rsid w:val="00CD524C"/>
    <w:rsid w:val="00CD6CCF"/>
    <w:rsid w:val="00CE004F"/>
    <w:rsid w:val="00CE066B"/>
    <w:rsid w:val="00CE0C0A"/>
    <w:rsid w:val="00CE1177"/>
    <w:rsid w:val="00CE2DD6"/>
    <w:rsid w:val="00CE757B"/>
    <w:rsid w:val="00CF1C20"/>
    <w:rsid w:val="00CF46EC"/>
    <w:rsid w:val="00CF7FBB"/>
    <w:rsid w:val="00D017A0"/>
    <w:rsid w:val="00D0309C"/>
    <w:rsid w:val="00D03ACA"/>
    <w:rsid w:val="00D06877"/>
    <w:rsid w:val="00D1350F"/>
    <w:rsid w:val="00D151D8"/>
    <w:rsid w:val="00D15CA4"/>
    <w:rsid w:val="00D16B2D"/>
    <w:rsid w:val="00D22D89"/>
    <w:rsid w:val="00D2711A"/>
    <w:rsid w:val="00D3056F"/>
    <w:rsid w:val="00D32282"/>
    <w:rsid w:val="00D35AE0"/>
    <w:rsid w:val="00D4157B"/>
    <w:rsid w:val="00D57F90"/>
    <w:rsid w:val="00D6239A"/>
    <w:rsid w:val="00D67C04"/>
    <w:rsid w:val="00D72C8C"/>
    <w:rsid w:val="00D738DE"/>
    <w:rsid w:val="00D7719C"/>
    <w:rsid w:val="00D776CD"/>
    <w:rsid w:val="00D7773D"/>
    <w:rsid w:val="00D8418F"/>
    <w:rsid w:val="00D84254"/>
    <w:rsid w:val="00D87350"/>
    <w:rsid w:val="00D9161A"/>
    <w:rsid w:val="00D924EE"/>
    <w:rsid w:val="00D96F2C"/>
    <w:rsid w:val="00D97B87"/>
    <w:rsid w:val="00DA2571"/>
    <w:rsid w:val="00DA33BB"/>
    <w:rsid w:val="00DA5216"/>
    <w:rsid w:val="00DA53B8"/>
    <w:rsid w:val="00DB0A5E"/>
    <w:rsid w:val="00DB2ABD"/>
    <w:rsid w:val="00DB42EC"/>
    <w:rsid w:val="00DB551F"/>
    <w:rsid w:val="00DB6120"/>
    <w:rsid w:val="00DB62F6"/>
    <w:rsid w:val="00DB7333"/>
    <w:rsid w:val="00DC04E6"/>
    <w:rsid w:val="00DC2A35"/>
    <w:rsid w:val="00DC30BA"/>
    <w:rsid w:val="00DC43DB"/>
    <w:rsid w:val="00DC48AF"/>
    <w:rsid w:val="00DC7AB2"/>
    <w:rsid w:val="00DD483B"/>
    <w:rsid w:val="00DD6390"/>
    <w:rsid w:val="00DE2167"/>
    <w:rsid w:val="00DE3EF1"/>
    <w:rsid w:val="00DE7159"/>
    <w:rsid w:val="00DE7B13"/>
    <w:rsid w:val="00DF1D1D"/>
    <w:rsid w:val="00DF30BE"/>
    <w:rsid w:val="00DF4736"/>
    <w:rsid w:val="00DF6AEF"/>
    <w:rsid w:val="00E03A8E"/>
    <w:rsid w:val="00E075BC"/>
    <w:rsid w:val="00E10673"/>
    <w:rsid w:val="00E10B3C"/>
    <w:rsid w:val="00E116FC"/>
    <w:rsid w:val="00E140C6"/>
    <w:rsid w:val="00E15016"/>
    <w:rsid w:val="00E2049E"/>
    <w:rsid w:val="00E21F46"/>
    <w:rsid w:val="00E2444A"/>
    <w:rsid w:val="00E30952"/>
    <w:rsid w:val="00E31289"/>
    <w:rsid w:val="00E32E77"/>
    <w:rsid w:val="00E32FF2"/>
    <w:rsid w:val="00E40186"/>
    <w:rsid w:val="00E434B1"/>
    <w:rsid w:val="00E45904"/>
    <w:rsid w:val="00E505AC"/>
    <w:rsid w:val="00E5438D"/>
    <w:rsid w:val="00E54D84"/>
    <w:rsid w:val="00E55344"/>
    <w:rsid w:val="00E55F14"/>
    <w:rsid w:val="00E572EE"/>
    <w:rsid w:val="00E6143A"/>
    <w:rsid w:val="00E621EB"/>
    <w:rsid w:val="00E70BF1"/>
    <w:rsid w:val="00E817D8"/>
    <w:rsid w:val="00E84104"/>
    <w:rsid w:val="00E8460D"/>
    <w:rsid w:val="00E86DC9"/>
    <w:rsid w:val="00E87BB2"/>
    <w:rsid w:val="00E907E2"/>
    <w:rsid w:val="00E93358"/>
    <w:rsid w:val="00E9423D"/>
    <w:rsid w:val="00E94B16"/>
    <w:rsid w:val="00E97D64"/>
    <w:rsid w:val="00EA328F"/>
    <w:rsid w:val="00EA5DAD"/>
    <w:rsid w:val="00EA6721"/>
    <w:rsid w:val="00EB3E4F"/>
    <w:rsid w:val="00EC12F0"/>
    <w:rsid w:val="00EC57FB"/>
    <w:rsid w:val="00ED48D0"/>
    <w:rsid w:val="00ED55DB"/>
    <w:rsid w:val="00ED7C26"/>
    <w:rsid w:val="00EE0589"/>
    <w:rsid w:val="00EE3F98"/>
    <w:rsid w:val="00EE3FDA"/>
    <w:rsid w:val="00EE55D6"/>
    <w:rsid w:val="00EE5654"/>
    <w:rsid w:val="00EF14BB"/>
    <w:rsid w:val="00EF2682"/>
    <w:rsid w:val="00F0275C"/>
    <w:rsid w:val="00F10A9F"/>
    <w:rsid w:val="00F10F2D"/>
    <w:rsid w:val="00F13995"/>
    <w:rsid w:val="00F14B7E"/>
    <w:rsid w:val="00F173A3"/>
    <w:rsid w:val="00F21FF0"/>
    <w:rsid w:val="00F261E8"/>
    <w:rsid w:val="00F34FD3"/>
    <w:rsid w:val="00F44CAC"/>
    <w:rsid w:val="00F451A0"/>
    <w:rsid w:val="00F474F4"/>
    <w:rsid w:val="00F51200"/>
    <w:rsid w:val="00F533C0"/>
    <w:rsid w:val="00F54F2F"/>
    <w:rsid w:val="00F567DC"/>
    <w:rsid w:val="00F56CE3"/>
    <w:rsid w:val="00F613FF"/>
    <w:rsid w:val="00F653E9"/>
    <w:rsid w:val="00F65F10"/>
    <w:rsid w:val="00F734CB"/>
    <w:rsid w:val="00F73B5B"/>
    <w:rsid w:val="00F769FA"/>
    <w:rsid w:val="00F82520"/>
    <w:rsid w:val="00F845AB"/>
    <w:rsid w:val="00F86BA9"/>
    <w:rsid w:val="00F919EA"/>
    <w:rsid w:val="00F94262"/>
    <w:rsid w:val="00FA1294"/>
    <w:rsid w:val="00FA363D"/>
    <w:rsid w:val="00FA4203"/>
    <w:rsid w:val="00FC14B6"/>
    <w:rsid w:val="00FC21CB"/>
    <w:rsid w:val="00FC21EA"/>
    <w:rsid w:val="00FC3FDE"/>
    <w:rsid w:val="00FD5D90"/>
    <w:rsid w:val="00FE24B9"/>
    <w:rsid w:val="00FF32BD"/>
    <w:rsid w:val="00FF388A"/>
    <w:rsid w:val="00FF533F"/>
    <w:rsid w:val="02041CC1"/>
    <w:rsid w:val="03BC7006"/>
    <w:rsid w:val="070D46F9"/>
    <w:rsid w:val="09112836"/>
    <w:rsid w:val="14540567"/>
    <w:rsid w:val="1BFD1E64"/>
    <w:rsid w:val="1CE322F9"/>
    <w:rsid w:val="1F0160FB"/>
    <w:rsid w:val="1FCC1801"/>
    <w:rsid w:val="233C215F"/>
    <w:rsid w:val="2BC5222C"/>
    <w:rsid w:val="30766BFD"/>
    <w:rsid w:val="32667BF1"/>
    <w:rsid w:val="34453DB6"/>
    <w:rsid w:val="345526BB"/>
    <w:rsid w:val="34683345"/>
    <w:rsid w:val="4985511B"/>
    <w:rsid w:val="4D5B7DBB"/>
    <w:rsid w:val="4E140751"/>
    <w:rsid w:val="4E3922F8"/>
    <w:rsid w:val="58CF7D9A"/>
    <w:rsid w:val="60396E02"/>
    <w:rsid w:val="60F715A3"/>
    <w:rsid w:val="63465FBC"/>
    <w:rsid w:val="6FD871B8"/>
    <w:rsid w:val="7144679D"/>
    <w:rsid w:val="7408758B"/>
    <w:rsid w:val="7C332A5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29B6E20-2BEB-465A-A8AA-ADB216BB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caption" w:semiHidden="1" w:unhideWhenUsed="1" w:qFormat="1"/>
    <w:lsdException w:name="annotation reference" w:uiPriority="99" w:unhideWhenUsed="1" w:qFormat="1"/>
    <w:lsdException w:name="line number" w:qFormat="1"/>
    <w:lsdException w:name="Title" w:uiPriority="10" w:qFormat="1"/>
    <w:lsdException w:name="Default Paragraph Font" w:semiHidden="1" w:uiPriority="1" w:unhideWhenUsed="1"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en-IN" w:eastAsia="en-I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160" w:line="240" w:lineRule="auto"/>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qFormat/>
    <w:rPr>
      <w:i/>
      <w:iCs/>
    </w:rPr>
  </w:style>
  <w:style w:type="character" w:styleId="Hyperlink">
    <w:name w:val="Hyperlink"/>
    <w:basedOn w:val="DefaultParagraphFont"/>
    <w:uiPriority w:val="99"/>
    <w:qFormat/>
    <w:rPr>
      <w:color w:val="0000FF"/>
      <w:u w:val="single"/>
    </w:rPr>
  </w:style>
  <w:style w:type="character" w:styleId="LineNumber">
    <w:name w:val="line number"/>
    <w:basedOn w:val="DefaultParagraphFont"/>
    <w:qFormat/>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table" w:styleId="TableGrid">
    <w:name w:val="Table Grid"/>
    <w:basedOn w:val="TableNormal"/>
    <w:uiPriority w:val="39"/>
    <w:qFormat/>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rPr>
  </w:style>
  <w:style w:type="character" w:customStyle="1" w:styleId="longest-unchanged">
    <w:name w:val="longest-unchanged"/>
    <w:basedOn w:val="DefaultParagraphFont"/>
    <w:qFormat/>
  </w:style>
  <w:style w:type="character" w:customStyle="1" w:styleId="oword">
    <w:name w:val="oword"/>
    <w:basedOn w:val="DefaultParagraphFont"/>
    <w:qFormat/>
  </w:style>
  <w:style w:type="character" w:customStyle="1" w:styleId="css-rh820s">
    <w:name w:val="css-rh820s"/>
    <w:basedOn w:val="DefaultParagraphFont"/>
    <w:qFormat/>
  </w:style>
  <w:style w:type="character" w:customStyle="1" w:styleId="css-0">
    <w:name w:val="css-0"/>
    <w:basedOn w:val="DefaultParagraphFont"/>
    <w:qFormat/>
  </w:style>
  <w:style w:type="character" w:customStyle="1" w:styleId="css-15iwe0d">
    <w:name w:val="css-15iwe0d"/>
    <w:basedOn w:val="DefaultParagraphFont"/>
    <w:qFormat/>
  </w:style>
  <w:style w:type="character" w:customStyle="1" w:styleId="css-2yp7ui">
    <w:name w:val="css-2yp7ui"/>
    <w:basedOn w:val="DefaultParagraphFont"/>
    <w:qFormat/>
  </w:style>
  <w:style w:type="character" w:customStyle="1" w:styleId="css-1eh0vfs">
    <w:name w:val="css-1eh0vfs"/>
    <w:basedOn w:val="DefaultParagraphFont"/>
    <w:qFormat/>
  </w:style>
  <w:style w:type="character" w:customStyle="1" w:styleId="css-1ber87j">
    <w:name w:val="css-1ber87j"/>
    <w:basedOn w:val="DefaultParagraphFont"/>
    <w:qFormat/>
  </w:style>
  <w:style w:type="character" w:customStyle="1" w:styleId="css-x5hiaf">
    <w:name w:val="css-x5hiaf"/>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unhideWhenUsed/>
    <w:qFormat/>
    <w:pPr>
      <w:ind w:left="720"/>
      <w:contextualSpacing/>
    </w:p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semiHidden/>
    <w:qFormat/>
    <w:rPr>
      <w:rFonts w:ascii="Arial" w:eastAsia="Arial" w:hAnsi="Arial" w:cs="Arial"/>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qFormat/>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qFormat/>
    <w:rPr>
      <w:rFonts w:asciiTheme="minorHAnsi" w:eastAsiaTheme="minorHAnsi" w:hAnsiTheme="minorHAnsi" w:cstheme="minorBidi"/>
      <w:b/>
      <w:bCs/>
      <w:kern w:val="2"/>
      <w:lang w:eastAsia="en-US"/>
      <w14:ligatures w14:val="standardContextual"/>
    </w:rPr>
  </w:style>
  <w:style w:type="paragraph" w:customStyle="1" w:styleId="Revision1">
    <w:name w:val="Revision1"/>
    <w:hidden/>
    <w:uiPriority w:val="99"/>
    <w:semiHidden/>
    <w:qFormat/>
    <w:rPr>
      <w:rFonts w:asciiTheme="minorHAnsi" w:eastAsiaTheme="minorHAnsi" w:hAnsiTheme="minorHAnsi" w:cstheme="minorBidi"/>
      <w:kern w:val="2"/>
      <w:sz w:val="24"/>
      <w:szCs w:val="24"/>
      <w:lang w:val="en-IN"/>
      <w14:ligatures w14:val="standardContextual"/>
    </w:rPr>
  </w:style>
  <w:style w:type="character" w:styleId="UnresolvedMention">
    <w:name w:val="Unresolved Mention"/>
    <w:basedOn w:val="DefaultParagraphFont"/>
    <w:uiPriority w:val="99"/>
    <w:semiHidden/>
    <w:unhideWhenUsed/>
    <w:rsid w:val="00A272B9"/>
    <w:rPr>
      <w:color w:val="605E5C"/>
      <w:shd w:val="clear" w:color="auto" w:fill="E1DFDD"/>
    </w:rPr>
  </w:style>
  <w:style w:type="paragraph" w:styleId="Header">
    <w:name w:val="header"/>
    <w:basedOn w:val="Normal"/>
    <w:link w:val="HeaderChar"/>
    <w:rsid w:val="00892185"/>
    <w:pPr>
      <w:tabs>
        <w:tab w:val="center" w:pos="4680"/>
        <w:tab w:val="right" w:pos="9360"/>
      </w:tabs>
      <w:spacing w:line="240" w:lineRule="auto"/>
    </w:pPr>
  </w:style>
  <w:style w:type="character" w:customStyle="1" w:styleId="HeaderChar">
    <w:name w:val="Header Char"/>
    <w:basedOn w:val="DefaultParagraphFont"/>
    <w:link w:val="Header"/>
    <w:rsid w:val="00892185"/>
    <w:rPr>
      <w:rFonts w:ascii="Arial" w:eastAsia="Arial" w:hAnsi="Arial" w:cs="Arial"/>
      <w:sz w:val="22"/>
      <w:szCs w:val="22"/>
      <w:lang w:val="en-IN" w:eastAsia="en-IN"/>
    </w:rPr>
  </w:style>
  <w:style w:type="paragraph" w:styleId="Footer">
    <w:name w:val="footer"/>
    <w:basedOn w:val="Normal"/>
    <w:link w:val="FooterChar"/>
    <w:rsid w:val="00892185"/>
    <w:pPr>
      <w:tabs>
        <w:tab w:val="center" w:pos="4680"/>
        <w:tab w:val="right" w:pos="9360"/>
      </w:tabs>
      <w:spacing w:line="240" w:lineRule="auto"/>
    </w:pPr>
  </w:style>
  <w:style w:type="character" w:customStyle="1" w:styleId="FooterChar">
    <w:name w:val="Footer Char"/>
    <w:basedOn w:val="DefaultParagraphFont"/>
    <w:link w:val="Footer"/>
    <w:rsid w:val="00892185"/>
    <w:rPr>
      <w:rFonts w:ascii="Arial" w:eastAsia="Arial" w:hAnsi="Arial" w:cs="Arial"/>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doi.org/10.3390/pr9040595" TargetMode="External"/><Relationship Id="rId21" Type="http://schemas.openxmlformats.org/officeDocument/2006/relationships/hyperlink" Target="https://doi.org/10.1016/j.envres.2023.117432" TargetMode="External"/><Relationship Id="rId42" Type="http://schemas.openxmlformats.org/officeDocument/2006/relationships/hyperlink" Target="https://www.munisentzool.org/volume/6/issue_1/Habashi_et_al.pdf" TargetMode="External"/><Relationship Id="rId47" Type="http://schemas.openxmlformats.org/officeDocument/2006/relationships/hyperlink" Target="https://doi.org/10.1007/s11356-018-2068-1" TargetMode="External"/><Relationship Id="rId63" Type="http://schemas.openxmlformats.org/officeDocument/2006/relationships/hyperlink" Target="https://doi.org/10.1007/s42690-020-00131-w" TargetMode="External"/><Relationship Id="rId68" Type="http://schemas.openxmlformats.org/officeDocument/2006/relationships/hyperlink" Target="https://doi.org/10.1038/s41598-025-88915-3" TargetMode="External"/><Relationship Id="rId84" Type="http://schemas.openxmlformats.org/officeDocument/2006/relationships/hyperlink" Target="https://doi.org/10.9734/aprj/2021/v7i430163" TargetMode="External"/><Relationship Id="rId89" Type="http://schemas.openxmlformats.org/officeDocument/2006/relationships/hyperlink" Target="https://doi.org/10.1002/ps.1927" TargetMode="External"/><Relationship Id="rId112" Type="http://schemas.openxmlformats.org/officeDocument/2006/relationships/hyperlink" Target="https://doi.org/10.4314/gjpas.v6i2.16105" TargetMode="External"/><Relationship Id="rId16" Type="http://schemas.openxmlformats.org/officeDocument/2006/relationships/hyperlink" Target="https://doi.org/10.5073/jka.2010.425.103" TargetMode="External"/><Relationship Id="rId107" Type="http://schemas.openxmlformats.org/officeDocument/2006/relationships/hyperlink" Target="https://dialnet.unirioja.es/servlet/articulo?codigo=2249000" TargetMode="External"/><Relationship Id="rId11" Type="http://schemas.openxmlformats.org/officeDocument/2006/relationships/hyperlink" Target="https://doi.org/10.1002/1099-1573(200006)14:4%3c281::aid-ptr568%3e3.0.co;2-c" TargetMode="External"/><Relationship Id="rId32" Type="http://schemas.openxmlformats.org/officeDocument/2006/relationships/hyperlink" Target="https://doi.org/10.2174/1570159X11311030006" TargetMode="External"/><Relationship Id="rId37" Type="http://schemas.openxmlformats.org/officeDocument/2006/relationships/hyperlink" Target="https://doi.org/10.1017/S1742758408079861" TargetMode="External"/><Relationship Id="rId53" Type="http://schemas.openxmlformats.org/officeDocument/2006/relationships/hyperlink" Target="https://doi.org/10.1016/S0022-474X(99)00040-5" TargetMode="External"/><Relationship Id="rId58" Type="http://schemas.openxmlformats.org/officeDocument/2006/relationships/hyperlink" Target="https://doi.org/10.1007/s10340-008-0236-7" TargetMode="External"/><Relationship Id="rId74" Type="http://schemas.openxmlformats.org/officeDocument/2006/relationships/hyperlink" Target="https://doi.org/10.1111/1748-5967.12471" TargetMode="External"/><Relationship Id="rId79" Type="http://schemas.openxmlformats.org/officeDocument/2006/relationships/hyperlink" Target="https://doi.org/10.5897/AJB11.469" TargetMode="External"/><Relationship Id="rId102" Type="http://schemas.openxmlformats.org/officeDocument/2006/relationships/hyperlink" Target="https://doi.org/10.1007/s10340-009-0261-1"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2478/sab-2021-0005" TargetMode="External"/><Relationship Id="rId95" Type="http://schemas.openxmlformats.org/officeDocument/2006/relationships/hyperlink" Target="https://doi.org/10.1016/j.heliyon.2024.e39120" TargetMode="External"/><Relationship Id="rId22" Type="http://schemas.openxmlformats.org/officeDocument/2006/relationships/hyperlink" Target="https://doi.org/10.1155/2022/6946916" TargetMode="External"/><Relationship Id="rId27" Type="http://schemas.openxmlformats.org/officeDocument/2006/relationships/hyperlink" Target="https://doi.org/10.1021/jf103937p" TargetMode="External"/><Relationship Id="rId43" Type="http://schemas.openxmlformats.org/officeDocument/2006/relationships/hyperlink" Target="https://doi.org/10.1111/1748-5967.12228" TargetMode="External"/><Relationship Id="rId48" Type="http://schemas.openxmlformats.org/officeDocument/2006/relationships/hyperlink" Target="https://doi.org/10.1007/s11356-018-2068-1" TargetMode="External"/><Relationship Id="rId64" Type="http://schemas.openxmlformats.org/officeDocument/2006/relationships/hyperlink" Target="https://doi.org/10.1007/s10646-013-1044-2" TargetMode="External"/><Relationship Id="rId69" Type="http://schemas.openxmlformats.org/officeDocument/2006/relationships/hyperlink" Target="https://doi.org/10.1016/j.aspen.2010.06.011" TargetMode="External"/><Relationship Id="rId113" Type="http://schemas.openxmlformats.org/officeDocument/2006/relationships/hyperlink" Target="https://doi.org/10.20959/wjpr20168-6811" TargetMode="External"/><Relationship Id="rId118" Type="http://schemas.openxmlformats.org/officeDocument/2006/relationships/hyperlink" Target="https://doi.org/10.1007/s42690-023-01053-z" TargetMode="External"/><Relationship Id="rId80" Type="http://schemas.openxmlformats.org/officeDocument/2006/relationships/hyperlink" Target="https://doi.org/10.2174/1386207323666200415110745" TargetMode="External"/><Relationship Id="rId85" Type="http://schemas.openxmlformats.org/officeDocument/2006/relationships/hyperlink" Target="https://doi.org/10.38211/joarps.2020.1.2.9" TargetMode="External"/><Relationship Id="rId12" Type="http://schemas.openxmlformats.org/officeDocument/2006/relationships/hyperlink" Target="https://doi.org/10.1016/j.indcrop.2019.111849" TargetMode="External"/><Relationship Id="rId17" Type="http://schemas.openxmlformats.org/officeDocument/2006/relationships/hyperlink" Target="https://doi.org/10.2298/pif1504209a" TargetMode="External"/><Relationship Id="rId33" Type="http://schemas.openxmlformats.org/officeDocument/2006/relationships/hyperlink" Target="https://doi.org/10.1038/s41598-023-29981-3" TargetMode="External"/><Relationship Id="rId38" Type="http://schemas.openxmlformats.org/officeDocument/2006/relationships/hyperlink" Target="http://www.fspublishers.org" TargetMode="External"/><Relationship Id="rId59" Type="http://schemas.openxmlformats.org/officeDocument/2006/relationships/hyperlink" Target="https://doi.org/10.1017/s1742758407850971" TargetMode="External"/><Relationship Id="rId103" Type="http://schemas.openxmlformats.org/officeDocument/2006/relationships/hyperlink" Target="https://doi.org/10.1080/03235408.2013.764074" TargetMode="External"/><Relationship Id="rId108" Type="http://schemas.openxmlformats.org/officeDocument/2006/relationships/hyperlink" Target="https://doi.org/10.1002/ps.2102"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s://doi.org/10.3329/bjsir.v41i1.271" TargetMode="External"/><Relationship Id="rId70" Type="http://schemas.openxmlformats.org/officeDocument/2006/relationships/hyperlink" Target="https://li01.tci-thaijo.org/index.php/anres/article/view/244638" TargetMode="External"/><Relationship Id="rId75" Type="http://schemas.openxmlformats.org/officeDocument/2006/relationships/hyperlink" Target="https://doi.org/10.1016/j.indcrop.2021.113282" TargetMode="External"/><Relationship Id="rId91" Type="http://schemas.openxmlformats.org/officeDocument/2006/relationships/hyperlink" Target="https://acs.agr.hr/acs/index.php/acs" TargetMode="External"/><Relationship Id="rId96" Type="http://schemas.openxmlformats.org/officeDocument/2006/relationships/hyperlink" Target="https://doi.org/10.1016/j.aspen.2019.01.01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8500821/" TargetMode="External"/><Relationship Id="rId28" Type="http://schemas.openxmlformats.org/officeDocument/2006/relationships/hyperlink" Target="https://doi.org/10.1146/annurev-ento-080921-075157" TargetMode="External"/><Relationship Id="rId49" Type="http://schemas.openxmlformats.org/officeDocument/2006/relationships/hyperlink" Target="https://doi.org/10.48311/jcp.2019.1453" TargetMode="External"/><Relationship Id="rId114" Type="http://schemas.openxmlformats.org/officeDocument/2006/relationships/hyperlink" Target="https://doi.org/10.1016/j.jspr.2005.06.001" TargetMode="External"/><Relationship Id="rId119" Type="http://schemas.openxmlformats.org/officeDocument/2006/relationships/hyperlink" Target="https://doi.org/10.1016/j.sjbs.2018.05.012" TargetMode="External"/><Relationship Id="rId44" Type="http://schemas.openxmlformats.org/officeDocument/2006/relationships/hyperlink" Target="https://www.tjpp.tn/sites/default/files/TJPP_Vol9_N1_2014_91-100.pdf" TargetMode="External"/><Relationship Id="rId60" Type="http://schemas.openxmlformats.org/officeDocument/2006/relationships/hyperlink" Target="https://theclarion.in/archives" TargetMode="External"/><Relationship Id="rId65" Type="http://schemas.openxmlformats.org/officeDocument/2006/relationships/hyperlink" Target="https://doi.org/10.1673/031.012.7301" TargetMode="External"/><Relationship Id="rId81" Type="http://schemas.openxmlformats.org/officeDocument/2006/relationships/hyperlink" Target="https://doi.org/10.20959/wjpps201705-9180" TargetMode="External"/><Relationship Id="rId86" Type="http://schemas.openxmlformats.org/officeDocument/2006/relationships/hyperlink" Target="https://doi.org/10.3923/ijzr.2016.40.46" TargetMode="External"/><Relationship Id="rId13" Type="http://schemas.openxmlformats.org/officeDocument/2006/relationships/hyperlink" Target="https://doi.org/10.1016/j.heliyon.2024.e29128" TargetMode="External"/><Relationship Id="rId18" Type="http://schemas.openxmlformats.org/officeDocument/2006/relationships/hyperlink" Target="https://jtropag.kau.in/index.php/ojs2/article/view/858" TargetMode="External"/><Relationship Id="rId39" Type="http://schemas.openxmlformats.org/officeDocument/2006/relationships/hyperlink" Target="https://doi.org/10.1002/ps.1028" TargetMode="External"/><Relationship Id="rId109" Type="http://schemas.openxmlformats.org/officeDocument/2006/relationships/hyperlink" Target="https://doi.org/10.1007/BF00980683" TargetMode="External"/><Relationship Id="rId34" Type="http://schemas.openxmlformats.org/officeDocument/2006/relationships/hyperlink" Target="https://doi.org/10.1038/s41598-023-29981-3" TargetMode="External"/><Relationship Id="rId50" Type="http://schemas.openxmlformats.org/officeDocument/2006/relationships/hyperlink" Target="https://doi.org/10.1016/0925-5214(94)90019-1" TargetMode="External"/><Relationship Id="rId55" Type="http://schemas.openxmlformats.org/officeDocument/2006/relationships/hyperlink" Target="https://doi.org/10.1080/02652048.2022.2149870" TargetMode="External"/><Relationship Id="rId76" Type="http://schemas.openxmlformats.org/officeDocument/2006/relationships/hyperlink" Target="https://doi.org/10.1016/0022-474X(73)90014-3" TargetMode="External"/><Relationship Id="rId97" Type="http://schemas.openxmlformats.org/officeDocument/2006/relationships/hyperlink" Target="https://doi.org/10.1155/2014/187019" TargetMode="External"/><Relationship Id="rId104" Type="http://schemas.openxmlformats.org/officeDocument/2006/relationships/hyperlink" Target="https://doi.org/10.20546/ijcmas.2018.706.143" TargetMode="External"/><Relationship Id="rId120" Type="http://schemas.openxmlformats.org/officeDocument/2006/relationships/hyperlink" Target="https://doi.org/10.1016/j.indcrop.2010.06.005"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3329/ujzru.v26i0.708" TargetMode="External"/><Relationship Id="rId92" Type="http://schemas.openxmlformats.org/officeDocument/2006/relationships/hyperlink" Target="https://doi.org/10.1016/j.jspr.2020.101616" TargetMode="External"/><Relationship Id="rId2" Type="http://schemas.openxmlformats.org/officeDocument/2006/relationships/numbering" Target="numbering.xml"/><Relationship Id="rId29" Type="http://schemas.openxmlformats.org/officeDocument/2006/relationships/hyperlink" Target="https://doi.org/10.5897/AJAR.9000437" TargetMode="External"/><Relationship Id="rId24" Type="http://schemas.openxmlformats.org/officeDocument/2006/relationships/hyperlink" Target="https://doi.org/10.1093/jee/tou042" TargetMode="External"/><Relationship Id="rId40" Type="http://schemas.openxmlformats.org/officeDocument/2006/relationships/hyperlink" Target="https://doi.org/10.1016/j.indcrop.2022.115024" TargetMode="External"/><Relationship Id="rId45" Type="http://schemas.openxmlformats.org/officeDocument/2006/relationships/hyperlink" Target="https://doi.org/10.1007/s42690-020-00119-6" TargetMode="External"/><Relationship Id="rId66" Type="http://schemas.openxmlformats.org/officeDocument/2006/relationships/hyperlink" Target="https://doi.org/10.1016/S1995-7645(14)60169-3" TargetMode="External"/><Relationship Id="rId87" Type="http://schemas.openxmlformats.org/officeDocument/2006/relationships/hyperlink" Target="https://doi.org/10.3329/jbs.v17i0.7102" TargetMode="External"/><Relationship Id="rId110" Type="http://schemas.openxmlformats.org/officeDocument/2006/relationships/hyperlink" Target="https://pubmed.ncbi.nlm.nih.gov/17896622/" TargetMode="External"/><Relationship Id="rId115" Type="http://schemas.openxmlformats.org/officeDocument/2006/relationships/hyperlink" Target="https://doi.org/10.1016/j.jspr.2005.06.001" TargetMode="External"/><Relationship Id="rId61" Type="http://schemas.openxmlformats.org/officeDocument/2006/relationships/hyperlink" Target="https://doi.org/10.3329/jbs.v14i0.453" TargetMode="External"/><Relationship Id="rId82" Type="http://schemas.openxmlformats.org/officeDocument/2006/relationships/hyperlink" Target="https://doi.org/10.1016/j.pestbp.2009.10.001" TargetMode="External"/><Relationship Id="rId19" Type="http://schemas.openxmlformats.org/officeDocument/2006/relationships/hyperlink" Target="https://bulletinofinsectology.org/pdf/vol63-2010/129-135_Bachrouch.pdf" TargetMode="External"/><Relationship Id="rId14" Type="http://schemas.openxmlformats.org/officeDocument/2006/relationships/hyperlink" Target="https://doi.org/10.1016/j.indcrop.2017.06.061" TargetMode="External"/><Relationship Id="rId30" Type="http://schemas.openxmlformats.org/officeDocument/2006/relationships/hyperlink" Target="https://doi.org/10.1080/22311866.2011.10719098" TargetMode="External"/><Relationship Id="rId35" Type="http://schemas.openxmlformats.org/officeDocument/2006/relationships/hyperlink" Target="https://doi.org/10.1080/09670874.2022.2036862" TargetMode="External"/><Relationship Id="rId56" Type="http://schemas.openxmlformats.org/officeDocument/2006/relationships/hyperlink" Target="https://doi.org/10.14295/bjs.v4i3.712" TargetMode="External"/><Relationship Id="rId77" Type="http://schemas.openxmlformats.org/officeDocument/2006/relationships/hyperlink" Target="https://doi.org/10.2478/pjen-2018-0018" TargetMode="External"/><Relationship Id="rId100" Type="http://schemas.openxmlformats.org/officeDocument/2006/relationships/hyperlink" Target="https://doi.org/10.1016/j.jspr.2025.102579" TargetMode="External"/><Relationship Id="rId105" Type="http://schemas.openxmlformats.org/officeDocument/2006/relationships/hyperlink" Target="https://doi.org/10.1002/ps.3580" TargetMode="External"/><Relationship Id="rId126" Type="http://schemas.openxmlformats.org/officeDocument/2006/relationships/header" Target="header3.xml"/><Relationship Id="rId8" Type="http://schemas.openxmlformats.org/officeDocument/2006/relationships/hyperlink" Target="https://doi.org/10.4172/2155-6202.1000126" TargetMode="External"/><Relationship Id="rId51" Type="http://schemas.openxmlformats.org/officeDocument/2006/relationships/hyperlink" Target="https://doi.org/10.1016/0925-5214(95)00015-X" TargetMode="External"/><Relationship Id="rId72" Type="http://schemas.openxmlformats.org/officeDocument/2006/relationships/hyperlink" Target="https://doi.org/10.1080/03235408.2013.809230" TargetMode="External"/><Relationship Id="rId93" Type="http://schemas.openxmlformats.org/officeDocument/2006/relationships/hyperlink" Target="https://doi.org/10.1016/j.heliyon.2023.e18140" TargetMode="External"/><Relationship Id="rId98" Type="http://schemas.openxmlformats.org/officeDocument/2006/relationships/hyperlink" Target="https://doi.org/10.3390/molecules27207026" TargetMode="External"/><Relationship Id="rId121" Type="http://schemas.openxmlformats.org/officeDocument/2006/relationships/hyperlink" Target="https://doi.org/10.1016/j.pestbp.2024.105970" TargetMode="External"/><Relationship Id="rId3" Type="http://schemas.openxmlformats.org/officeDocument/2006/relationships/styles" Target="styles.xml"/><Relationship Id="rId25" Type="http://schemas.openxmlformats.org/officeDocument/2006/relationships/hyperlink" Target="https://doi.org/10.1016/j.indcrop.2015.06.031" TargetMode="External"/><Relationship Id="rId46" Type="http://schemas.openxmlformats.org/officeDocument/2006/relationships/hyperlink" Target="https://www.pakbs.org/pjbot/PDFs/37(1)/PJB37(1)149.pdf" TargetMode="External"/><Relationship Id="rId67" Type="http://schemas.openxmlformats.org/officeDocument/2006/relationships/hyperlink" Target="https://doi.org/10.1080/10942912.2017.1338726" TargetMode="External"/><Relationship Id="rId116" Type="http://schemas.openxmlformats.org/officeDocument/2006/relationships/hyperlink" Target="https://doi.org/10.1021/jf9023118" TargetMode="External"/><Relationship Id="rId20" Type="http://schemas.openxmlformats.org/officeDocument/2006/relationships/hyperlink" Target="https://doi.org/10.1016/j.jspr.2021.101893" TargetMode="External"/><Relationship Id="rId41" Type="http://schemas.openxmlformats.org/officeDocument/2006/relationships/hyperlink" Target="https://uasd.edu/journal-of-farm-sciences/archives/" TargetMode="External"/><Relationship Id="rId62" Type="http://schemas.openxmlformats.org/officeDocument/2006/relationships/hyperlink" Target="https://doi.org/10.3390/insects15100755" TargetMode="External"/><Relationship Id="rId83" Type="http://schemas.openxmlformats.org/officeDocument/2006/relationships/hyperlink" Target="https://doi.org/10.1007/978-1-4613-4410-0" TargetMode="External"/><Relationship Id="rId88" Type="http://schemas.openxmlformats.org/officeDocument/2006/relationships/hyperlink" Target="https://sciensage.info/index.php/JASR/article/view/121" TargetMode="External"/><Relationship Id="rId111" Type="http://schemas.openxmlformats.org/officeDocument/2006/relationships/hyperlink" Target="https://dergipark.org.tr/en/pub/tarimorman/issue/1900/22000" TargetMode="External"/><Relationship Id="rId15" Type="http://schemas.openxmlformats.org/officeDocument/2006/relationships/hyperlink" Target="https://www.entomoljournal.com/archives/2014/vol2issue3/2-3-10-201.pdf" TargetMode="External"/><Relationship Id="rId36" Type="http://schemas.openxmlformats.org/officeDocument/2006/relationships/hyperlink" Target="https://doi.org/10.17707/AgricultForest.65.3.11" TargetMode="External"/><Relationship Id="rId57" Type="http://schemas.openxmlformats.org/officeDocument/2006/relationships/hyperlink" Target="https://doi.org/10.1007/bf03356157" TargetMode="External"/><Relationship Id="rId106" Type="http://schemas.openxmlformats.org/officeDocument/2006/relationships/hyperlink" Target="https://doi.org/10.1007/s00436-014-4206-0" TargetMode="External"/><Relationship Id="rId127" Type="http://schemas.openxmlformats.org/officeDocument/2006/relationships/footer" Target="footer3.xml"/><Relationship Id="rId10" Type="http://schemas.openxmlformats.org/officeDocument/2006/relationships/hyperlink" Target="https://doi.org/10.1007/s42690-020-00161-4" TargetMode="External"/><Relationship Id="rId31" Type="http://schemas.openxmlformats.org/officeDocument/2006/relationships/hyperlink" Target="https://doi.org/10.3329/jbs.v17i0.7103" TargetMode="External"/><Relationship Id="rId52" Type="http://schemas.openxmlformats.org/officeDocument/2006/relationships/hyperlink" Target="https://doi.org/10.1016/j.indcrop.2018.10.076" TargetMode="External"/><Relationship Id="rId73" Type="http://schemas.openxmlformats.org/officeDocument/2006/relationships/hyperlink" Target="https://doi.org/10.1146/annurev.en.36.010191.000515" TargetMode="External"/><Relationship Id="rId78" Type="http://schemas.openxmlformats.org/officeDocument/2006/relationships/hyperlink" Target="https://doi.org/10.5897/AJMR11.1562" TargetMode="External"/><Relationship Id="rId94" Type="http://schemas.openxmlformats.org/officeDocument/2006/relationships/hyperlink" Target="https://doi.org/10.25135/rnp.501.2408.3279" TargetMode="External"/><Relationship Id="rId99" Type="http://schemas.openxmlformats.org/officeDocument/2006/relationships/hyperlink" Target="https://doi.org/10.1016/j.jspr.2025.102579" TargetMode="External"/><Relationship Id="rId101" Type="http://schemas.openxmlformats.org/officeDocument/2006/relationships/hyperlink" Target="https://doi.org/10.1016/0022-474X(86)90007-X"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906/tar-1004-874" TargetMode="External"/><Relationship Id="rId26" Type="http://schemas.openxmlformats.org/officeDocument/2006/relationships/hyperlink" Target="https://doi.org/10.1002/9783527664412.ch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2597-EE81-4B97-AB3D-BD1E8755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43</Pages>
  <Words>10948</Words>
  <Characters>62406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Bijeesh TP</dc:creator>
  <cp:lastModifiedBy>SDI 1084</cp:lastModifiedBy>
  <cp:revision>207</cp:revision>
  <dcterms:created xsi:type="dcterms:W3CDTF">2025-04-26T02:00:00Z</dcterms:created>
  <dcterms:modified xsi:type="dcterms:W3CDTF">2025-12-02T10:20:00Z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A61E9113FCE540A2B4B9FA1825465D58_13</vt:lpwstr>
  </property>
</Properties>
</file>