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3FCC9" w14:textId="1E93D89A" w:rsidR="005258C4" w:rsidRPr="005258C4" w:rsidRDefault="005258C4" w:rsidP="005258C4">
      <w:pPr>
        <w:spacing w:after="160" w:line="480" w:lineRule="auto"/>
        <w:rPr>
          <w:rFonts w:ascii="Times New Roman" w:eastAsia="Times New Roman" w:hAnsi="Times New Roman" w:cs="Times New Roman"/>
          <w:b/>
          <w:sz w:val="28"/>
          <w:szCs w:val="28"/>
          <w:u w:val="single"/>
        </w:rPr>
      </w:pPr>
      <w:r w:rsidRPr="005258C4">
        <w:rPr>
          <w:rFonts w:ascii="Times New Roman" w:eastAsia="Times New Roman" w:hAnsi="Times New Roman" w:cs="Times New Roman"/>
          <w:b/>
          <w:sz w:val="28"/>
          <w:szCs w:val="28"/>
          <w:u w:val="single"/>
        </w:rPr>
        <w:t>Original Research Article</w:t>
      </w:r>
    </w:p>
    <w:p w14:paraId="309456AF" w14:textId="5BC08A3C" w:rsidR="000441A0" w:rsidRDefault="000441A0" w:rsidP="005A54EF">
      <w:pPr>
        <w:spacing w:after="16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CLINICO-PATHOLOGICAL OUTCOME OF NEOADJUVANT CHEMORADIATION IN CARCINOMA RECTUM: A RETROSPECTIVE STUDY</w:t>
      </w:r>
    </w:p>
    <w:p w14:paraId="45CE5276" w14:textId="77777777" w:rsidR="000441A0" w:rsidRDefault="000441A0" w:rsidP="000441A0">
      <w:pPr>
        <w:spacing w:after="160" w:line="259" w:lineRule="auto"/>
        <w:jc w:val="center"/>
        <w:rPr>
          <w:rFonts w:ascii="Times New Roman" w:eastAsia="Times New Roman" w:hAnsi="Times New Roman" w:cs="Times New Roman"/>
          <w:b/>
          <w:sz w:val="26"/>
          <w:szCs w:val="26"/>
        </w:rPr>
      </w:pPr>
    </w:p>
    <w:p w14:paraId="173E5F5F" w14:textId="77777777" w:rsidR="000441A0" w:rsidRPr="00E618BA" w:rsidRDefault="000441A0" w:rsidP="005A54EF">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Abstract</w:t>
      </w:r>
    </w:p>
    <w:p w14:paraId="75E90A82" w14:textId="77777777" w:rsidR="001E134C" w:rsidRPr="00E618BA" w:rsidRDefault="000441A0"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b/>
          <w:sz w:val="24"/>
          <w:szCs w:val="24"/>
        </w:rPr>
        <w:t>Background-</w:t>
      </w:r>
      <w:r w:rsidR="001E134C" w:rsidRPr="00E618BA">
        <w:rPr>
          <w:sz w:val="24"/>
          <w:szCs w:val="24"/>
        </w:rPr>
        <w:t xml:space="preserve"> </w:t>
      </w:r>
      <w:r w:rsidR="001E134C" w:rsidRPr="00E618BA">
        <w:rPr>
          <w:rFonts w:ascii="Times New Roman" w:eastAsia="Times New Roman" w:hAnsi="Times New Roman" w:cs="Times New Roman"/>
          <w:sz w:val="24"/>
          <w:szCs w:val="24"/>
        </w:rPr>
        <w:t>Rectal carcinoma constitutes a major oncologic challenge owing to its high incidence and complex management. Neoadjuvant chemoradiation has become an integral component of treatment, aiming to achieve tumor downstaging, facilitate sphincter preservation, and improve both local control and overall survival.</w:t>
      </w:r>
    </w:p>
    <w:p w14:paraId="4F923367" w14:textId="41173E2C" w:rsidR="000441A0" w:rsidRPr="00E618BA" w:rsidRDefault="000441A0" w:rsidP="005A54EF">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Objective-</w:t>
      </w:r>
      <w:r w:rsidR="000F1F48" w:rsidRPr="00E618BA">
        <w:rPr>
          <w:sz w:val="24"/>
          <w:szCs w:val="24"/>
        </w:rPr>
        <w:t xml:space="preserve"> </w:t>
      </w:r>
      <w:r w:rsidR="000F1F48" w:rsidRPr="00E618BA">
        <w:rPr>
          <w:rFonts w:ascii="Times New Roman" w:eastAsia="Times New Roman" w:hAnsi="Times New Roman" w:cs="Times New Roman"/>
          <w:sz w:val="24"/>
          <w:szCs w:val="24"/>
        </w:rPr>
        <w:t>This retrospective study evaluates the clinical and pathological outcomes of neoadjuvant chemoradiation in patients with rectal carcinoma, thereby contributing to the growing evidence base regarding its efficacy and optimal role in multimodality treatment protocols.</w:t>
      </w:r>
      <w:r w:rsidRPr="00E618BA">
        <w:rPr>
          <w:rFonts w:ascii="Times New Roman" w:eastAsia="Times New Roman" w:hAnsi="Times New Roman" w:cs="Times New Roman"/>
          <w:b/>
          <w:sz w:val="24"/>
          <w:szCs w:val="24"/>
        </w:rPr>
        <w:t xml:space="preserve"> </w:t>
      </w:r>
    </w:p>
    <w:p w14:paraId="36CAD4D4" w14:textId="77777777" w:rsidR="000441A0" w:rsidRPr="00E618BA" w:rsidRDefault="000441A0"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b/>
          <w:sz w:val="24"/>
          <w:szCs w:val="24"/>
        </w:rPr>
        <w:t>Materials and methods-</w:t>
      </w:r>
      <w:r w:rsidRPr="00E618BA">
        <w:rPr>
          <w:rFonts w:ascii="Times New Roman" w:eastAsia="Times New Roman" w:hAnsi="Times New Roman" w:cs="Times New Roman"/>
          <w:sz w:val="24"/>
          <w:szCs w:val="24"/>
        </w:rPr>
        <w:t xml:space="preserve"> </w:t>
      </w:r>
    </w:p>
    <w:p w14:paraId="08D80607" w14:textId="798A0EBA" w:rsidR="000441A0" w:rsidRPr="00E618BA" w:rsidRDefault="00736180"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sz w:val="24"/>
          <w:szCs w:val="24"/>
        </w:rPr>
        <w:t xml:space="preserve">A retrospective analysis was conducted on patients diagnosed with rectal carcinoma who received neoadjuvant chemoradiation therapy at the Department of Radiation Oncology, a tertiary care </w:t>
      </w:r>
      <w:proofErr w:type="spellStart"/>
      <w:r w:rsidRPr="00E618BA">
        <w:rPr>
          <w:rFonts w:ascii="Times New Roman" w:eastAsia="Times New Roman" w:hAnsi="Times New Roman" w:cs="Times New Roman"/>
          <w:sz w:val="24"/>
          <w:szCs w:val="24"/>
        </w:rPr>
        <w:t>center</w:t>
      </w:r>
      <w:proofErr w:type="spellEnd"/>
      <w:r w:rsidRPr="00E618BA">
        <w:rPr>
          <w:rFonts w:ascii="Times New Roman" w:eastAsia="Times New Roman" w:hAnsi="Times New Roman" w:cs="Times New Roman"/>
          <w:sz w:val="24"/>
          <w:szCs w:val="24"/>
        </w:rPr>
        <w:t>, between January 2019 and December 2023. Data were retrieved from electronic medical records and included patient demographics, clinical staging, chemoradiation details, treatment response based on radiological and clinical assessment, surgical procedures performed, and postoperative pathological outcomes.</w:t>
      </w:r>
    </w:p>
    <w:p w14:paraId="63463416" w14:textId="6630F79F" w:rsidR="000441A0" w:rsidRPr="00E618BA" w:rsidRDefault="000441A0"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b/>
          <w:sz w:val="24"/>
          <w:szCs w:val="24"/>
        </w:rPr>
        <w:t>Results-</w:t>
      </w:r>
      <w:r w:rsidR="0043064E" w:rsidRPr="00E618BA">
        <w:rPr>
          <w:sz w:val="24"/>
          <w:szCs w:val="24"/>
        </w:rPr>
        <w:t xml:space="preserve"> </w:t>
      </w:r>
      <w:r w:rsidR="0043064E" w:rsidRPr="00E618BA">
        <w:rPr>
          <w:rFonts w:ascii="Times New Roman" w:eastAsia="Times New Roman" w:hAnsi="Times New Roman" w:cs="Times New Roman"/>
          <w:sz w:val="24"/>
          <w:szCs w:val="24"/>
        </w:rPr>
        <w:t xml:space="preserve">The study cohort comprised 40 patients with rectal carcinoma who underwent neoadjuvant chemoradiation therapy. Among them, 12 patients (30%) achieved a complete </w:t>
      </w:r>
      <w:r w:rsidR="0043064E" w:rsidRPr="00E618BA">
        <w:rPr>
          <w:rFonts w:ascii="Times New Roman" w:eastAsia="Times New Roman" w:hAnsi="Times New Roman" w:cs="Times New Roman"/>
          <w:sz w:val="24"/>
          <w:szCs w:val="24"/>
        </w:rPr>
        <w:lastRenderedPageBreak/>
        <w:t>response, 26 patients (65%) had a partial response, and 2 patients (5%) demonstrated disease progression following NACRT; however, these differences were not statistically significant. Of the 26 patients with partial response, 14 (53%) exhibited more than a 50% reduction in tumor size. Male patients demonstrated a higher rate of complete response compared with females. Patients with T2-stage disease showed better response rates than those with more advanced stages, indicating improved outcomes in early-stage tumors.</w:t>
      </w:r>
    </w:p>
    <w:p w14:paraId="17492B67" w14:textId="067BE5CB" w:rsidR="000441A0" w:rsidRPr="00E618BA" w:rsidRDefault="000441A0" w:rsidP="005A54EF">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Conclusion-</w:t>
      </w:r>
      <w:r w:rsidR="00A608BA" w:rsidRPr="00E618BA">
        <w:rPr>
          <w:sz w:val="24"/>
          <w:szCs w:val="24"/>
        </w:rPr>
        <w:t xml:space="preserve"> </w:t>
      </w:r>
      <w:r w:rsidR="00A608BA" w:rsidRPr="00E618BA">
        <w:rPr>
          <w:rFonts w:ascii="Times New Roman" w:eastAsia="Times New Roman" w:hAnsi="Times New Roman" w:cs="Times New Roman"/>
          <w:sz w:val="24"/>
          <w:szCs w:val="24"/>
        </w:rPr>
        <w:t xml:space="preserve">The findings of this study demonstrate an inverse correlation between tumor size and treatment response. Neoadjuvant chemoradiation effectively </w:t>
      </w:r>
      <w:proofErr w:type="spellStart"/>
      <w:r w:rsidR="00A608BA" w:rsidRPr="00E618BA">
        <w:rPr>
          <w:rFonts w:ascii="Times New Roman" w:eastAsia="Times New Roman" w:hAnsi="Times New Roman" w:cs="Times New Roman"/>
          <w:sz w:val="24"/>
          <w:szCs w:val="24"/>
        </w:rPr>
        <w:t>downstaged</w:t>
      </w:r>
      <w:proofErr w:type="spellEnd"/>
      <w:r w:rsidR="00A608BA" w:rsidRPr="00E618BA">
        <w:rPr>
          <w:rFonts w:ascii="Times New Roman" w:eastAsia="Times New Roman" w:hAnsi="Times New Roman" w:cs="Times New Roman"/>
          <w:sz w:val="24"/>
          <w:szCs w:val="24"/>
        </w:rPr>
        <w:t xml:space="preserve"> </w:t>
      </w:r>
      <w:proofErr w:type="spellStart"/>
      <w:r w:rsidR="00A608BA" w:rsidRPr="00E618BA">
        <w:rPr>
          <w:rFonts w:ascii="Times New Roman" w:eastAsia="Times New Roman" w:hAnsi="Times New Roman" w:cs="Times New Roman"/>
          <w:sz w:val="24"/>
          <w:szCs w:val="24"/>
        </w:rPr>
        <w:t>tumors</w:t>
      </w:r>
      <w:proofErr w:type="spellEnd"/>
      <w:r w:rsidR="00A608BA" w:rsidRPr="00E618BA">
        <w:rPr>
          <w:rFonts w:ascii="Times New Roman" w:eastAsia="Times New Roman" w:hAnsi="Times New Roman" w:cs="Times New Roman"/>
          <w:sz w:val="24"/>
          <w:szCs w:val="24"/>
        </w:rPr>
        <w:t>, thereby enhancing the likelihood of organ-preserving surgical procedures. The use of intensity-modulated radiotherapy (IMRT) resulted in a higher pathological complete response rate (30% in the present study) compared with previously reported rates of 13–21% achieved with three-dimensional conformal radiotherapy (3D-CRT).</w:t>
      </w:r>
    </w:p>
    <w:p w14:paraId="6D12C81C" w14:textId="77777777" w:rsidR="000441A0" w:rsidRPr="00E618BA" w:rsidRDefault="000441A0"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b/>
          <w:sz w:val="24"/>
          <w:szCs w:val="24"/>
        </w:rPr>
        <w:t xml:space="preserve">Key words- </w:t>
      </w:r>
      <w:r w:rsidRPr="00E618BA">
        <w:rPr>
          <w:rFonts w:ascii="Times New Roman" w:eastAsia="Times New Roman" w:hAnsi="Times New Roman" w:cs="Times New Roman"/>
          <w:sz w:val="24"/>
          <w:szCs w:val="24"/>
        </w:rPr>
        <w:t>Carcinoma rectum, neoadjuvant chemoradiation, treatment outcomes, surgical outcomes, pathological findings, retrospective study.</w:t>
      </w:r>
    </w:p>
    <w:p w14:paraId="4903D0B0" w14:textId="77777777" w:rsidR="00E915E6" w:rsidRPr="00E618BA" w:rsidRDefault="00E915E6" w:rsidP="005A54EF">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1.Introduction</w:t>
      </w:r>
    </w:p>
    <w:p w14:paraId="3269C189" w14:textId="0A56BBFF" w:rsidR="00E915E6" w:rsidRPr="00E618BA" w:rsidRDefault="0055240B" w:rsidP="005A54EF">
      <w:pPr>
        <w:spacing w:after="160" w:line="480" w:lineRule="auto"/>
        <w:rPr>
          <w:rFonts w:ascii="Times New Roman" w:eastAsia="Times New Roman" w:hAnsi="Times New Roman" w:cs="Times New Roman"/>
          <w:sz w:val="24"/>
          <w:szCs w:val="24"/>
          <w:vertAlign w:val="superscript"/>
        </w:rPr>
      </w:pPr>
      <w:r w:rsidRPr="00E618BA">
        <w:rPr>
          <w:rFonts w:ascii="Times New Roman" w:eastAsia="Times New Roman" w:hAnsi="Times New Roman" w:cs="Times New Roman"/>
          <w:sz w:val="24"/>
          <w:szCs w:val="24"/>
        </w:rPr>
        <w:t>According to global cancer statistics (GLOBOCAN 2020), rectal carcinoma ranked as the sixteenth most commonly diagnosed malignancy and the fifteenth leading cause of cancer-related mortality worldwide. It accounted for approximately 28,260 new cases, representing 2.1% of all cancer diagnoses, with a five-year prevalence of about 62,827 cases</w:t>
      </w:r>
      <w:r w:rsidR="00E915E6" w:rsidRPr="00E618BA">
        <w:rPr>
          <w:rFonts w:ascii="Times New Roman" w:eastAsia="Times New Roman" w:hAnsi="Times New Roman" w:cs="Times New Roman"/>
          <w:sz w:val="24"/>
          <w:szCs w:val="24"/>
        </w:rPr>
        <w:t xml:space="preserve">. </w:t>
      </w:r>
      <w:r w:rsidR="00E915E6" w:rsidRPr="00E618BA">
        <w:rPr>
          <w:rFonts w:ascii="Times New Roman" w:eastAsia="Times New Roman" w:hAnsi="Times New Roman" w:cs="Times New Roman"/>
          <w:sz w:val="24"/>
          <w:szCs w:val="24"/>
          <w:vertAlign w:val="superscript"/>
        </w:rPr>
        <w:t>(1)</w:t>
      </w:r>
    </w:p>
    <w:p w14:paraId="1E327731" w14:textId="1B5093A1" w:rsidR="00E915E6" w:rsidRPr="00E618BA" w:rsidRDefault="000626EE" w:rsidP="005A54EF">
      <w:pPr>
        <w:spacing w:after="160" w:line="480" w:lineRule="auto"/>
        <w:rPr>
          <w:rFonts w:ascii="Times New Roman" w:eastAsia="Times New Roman" w:hAnsi="Times New Roman" w:cs="Times New Roman"/>
          <w:sz w:val="24"/>
          <w:szCs w:val="24"/>
          <w:vertAlign w:val="superscript"/>
        </w:rPr>
      </w:pPr>
      <w:r w:rsidRPr="00E618BA">
        <w:rPr>
          <w:rFonts w:ascii="Times New Roman" w:eastAsia="Times New Roman" w:hAnsi="Times New Roman" w:cs="Times New Roman"/>
          <w:sz w:val="24"/>
          <w:szCs w:val="24"/>
        </w:rPr>
        <w:t xml:space="preserve">The rationale for neoadjuvant chemoradiation is its potential to downstage tumors, thereby enhancing the likelihood of achieving complete surgical resection and minimizing the risk of local </w:t>
      </w:r>
      <w:proofErr w:type="gramStart"/>
      <w:r w:rsidRPr="00E618BA">
        <w:rPr>
          <w:rFonts w:ascii="Times New Roman" w:eastAsia="Times New Roman" w:hAnsi="Times New Roman" w:cs="Times New Roman"/>
          <w:sz w:val="24"/>
          <w:szCs w:val="24"/>
        </w:rPr>
        <w:t>recurrence</w:t>
      </w:r>
      <w:r w:rsidR="00E915E6" w:rsidRPr="00E618BA">
        <w:rPr>
          <w:rFonts w:ascii="Times New Roman" w:eastAsia="Times New Roman" w:hAnsi="Times New Roman" w:cs="Times New Roman"/>
          <w:sz w:val="24"/>
          <w:szCs w:val="24"/>
        </w:rPr>
        <w:t>.</w:t>
      </w:r>
      <w:r w:rsidR="00E915E6" w:rsidRPr="00E618BA">
        <w:rPr>
          <w:rFonts w:ascii="Times New Roman" w:eastAsia="Times New Roman" w:hAnsi="Times New Roman" w:cs="Times New Roman"/>
          <w:sz w:val="24"/>
          <w:szCs w:val="24"/>
          <w:vertAlign w:val="superscript"/>
        </w:rPr>
        <w:t>(</w:t>
      </w:r>
      <w:proofErr w:type="gramEnd"/>
      <w:r w:rsidR="00E915E6" w:rsidRPr="00E618BA">
        <w:rPr>
          <w:rFonts w:ascii="Times New Roman" w:eastAsia="Times New Roman" w:hAnsi="Times New Roman" w:cs="Times New Roman"/>
          <w:sz w:val="24"/>
          <w:szCs w:val="24"/>
          <w:vertAlign w:val="superscript"/>
        </w:rPr>
        <w:t>2)</w:t>
      </w:r>
    </w:p>
    <w:p w14:paraId="11136526" w14:textId="64F70416" w:rsidR="00E915E6" w:rsidRPr="00E618BA" w:rsidRDefault="003E36C4" w:rsidP="005A54EF">
      <w:pPr>
        <w:spacing w:after="160" w:line="480" w:lineRule="auto"/>
        <w:rPr>
          <w:rFonts w:ascii="Times New Roman" w:eastAsia="Times New Roman" w:hAnsi="Times New Roman" w:cs="Times New Roman"/>
          <w:sz w:val="24"/>
          <w:szCs w:val="24"/>
          <w:vertAlign w:val="superscript"/>
        </w:rPr>
      </w:pPr>
      <w:r w:rsidRPr="00E618BA">
        <w:rPr>
          <w:rFonts w:ascii="Times New Roman" w:eastAsia="Times New Roman" w:hAnsi="Times New Roman" w:cs="Times New Roman"/>
          <w:sz w:val="24"/>
          <w:szCs w:val="24"/>
        </w:rPr>
        <w:t>Tumor response to neoadjuvant therapy (NAT) serves as a key prognostic indicator in patients with locally advanced rectal cancer (LARC). Following NAT, approximately 10–</w:t>
      </w:r>
      <w:r w:rsidRPr="00E618BA">
        <w:rPr>
          <w:rFonts w:ascii="Times New Roman" w:eastAsia="Times New Roman" w:hAnsi="Times New Roman" w:cs="Times New Roman"/>
          <w:sz w:val="24"/>
          <w:szCs w:val="24"/>
        </w:rPr>
        <w:lastRenderedPageBreak/>
        <w:t>40% of patients achieve a clinical complete response (</w:t>
      </w:r>
      <w:proofErr w:type="spellStart"/>
      <w:r w:rsidRPr="00E618BA">
        <w:rPr>
          <w:rFonts w:ascii="Times New Roman" w:eastAsia="Times New Roman" w:hAnsi="Times New Roman" w:cs="Times New Roman"/>
          <w:sz w:val="24"/>
          <w:szCs w:val="24"/>
        </w:rPr>
        <w:t>cCR</w:t>
      </w:r>
      <w:proofErr w:type="spellEnd"/>
      <w:r w:rsidRPr="00E618BA">
        <w:rPr>
          <w:rFonts w:ascii="Times New Roman" w:eastAsia="Times New Roman" w:hAnsi="Times New Roman" w:cs="Times New Roman"/>
          <w:sz w:val="24"/>
          <w:szCs w:val="24"/>
        </w:rPr>
        <w:t>), whereas the proportion achieving a pathological complete response (</w:t>
      </w:r>
      <w:proofErr w:type="spellStart"/>
      <w:r w:rsidRPr="00E618BA">
        <w:rPr>
          <w:rFonts w:ascii="Times New Roman" w:eastAsia="Times New Roman" w:hAnsi="Times New Roman" w:cs="Times New Roman"/>
          <w:sz w:val="24"/>
          <w:szCs w:val="24"/>
        </w:rPr>
        <w:t>pCR</w:t>
      </w:r>
      <w:proofErr w:type="spellEnd"/>
      <w:r w:rsidRPr="00E618BA">
        <w:rPr>
          <w:rFonts w:ascii="Times New Roman" w:eastAsia="Times New Roman" w:hAnsi="Times New Roman" w:cs="Times New Roman"/>
          <w:sz w:val="24"/>
          <w:szCs w:val="24"/>
        </w:rPr>
        <w:t xml:space="preserve">) is generally about half that rate. Attaining a </w:t>
      </w:r>
      <w:proofErr w:type="spellStart"/>
      <w:r w:rsidRPr="00E618BA">
        <w:rPr>
          <w:rFonts w:ascii="Times New Roman" w:eastAsia="Times New Roman" w:hAnsi="Times New Roman" w:cs="Times New Roman"/>
          <w:sz w:val="24"/>
          <w:szCs w:val="24"/>
        </w:rPr>
        <w:t>pCR</w:t>
      </w:r>
      <w:proofErr w:type="spellEnd"/>
      <w:r w:rsidRPr="00E618BA">
        <w:rPr>
          <w:rFonts w:ascii="Times New Roman" w:eastAsia="Times New Roman" w:hAnsi="Times New Roman" w:cs="Times New Roman"/>
          <w:sz w:val="24"/>
          <w:szCs w:val="24"/>
        </w:rPr>
        <w:t xml:space="preserve"> is associated with significantly lower rates of local recurrence and improved overall survival. Reported 5-year recurrence-free survival rates are 90.5%, 78.7%, and 58.5% among patients with complete, intermediate, and poor responses, respectively. Furthermore, patients achieving </w:t>
      </w:r>
      <w:proofErr w:type="spellStart"/>
      <w:r w:rsidRPr="00E618BA">
        <w:rPr>
          <w:rFonts w:ascii="Times New Roman" w:eastAsia="Times New Roman" w:hAnsi="Times New Roman" w:cs="Times New Roman"/>
          <w:sz w:val="24"/>
          <w:szCs w:val="24"/>
        </w:rPr>
        <w:t>pCR</w:t>
      </w:r>
      <w:proofErr w:type="spellEnd"/>
      <w:r w:rsidRPr="00E618BA">
        <w:rPr>
          <w:rFonts w:ascii="Times New Roman" w:eastAsia="Times New Roman" w:hAnsi="Times New Roman" w:cs="Times New Roman"/>
          <w:sz w:val="24"/>
          <w:szCs w:val="24"/>
        </w:rPr>
        <w:t xml:space="preserve"> after neoadjuvant chemoradiotherapy (</w:t>
      </w:r>
      <w:proofErr w:type="spellStart"/>
      <w:r w:rsidRPr="00E618BA">
        <w:rPr>
          <w:rFonts w:ascii="Times New Roman" w:eastAsia="Times New Roman" w:hAnsi="Times New Roman" w:cs="Times New Roman"/>
          <w:sz w:val="24"/>
          <w:szCs w:val="24"/>
        </w:rPr>
        <w:t>nCRT</w:t>
      </w:r>
      <w:proofErr w:type="spellEnd"/>
      <w:r w:rsidRPr="00E618BA">
        <w:rPr>
          <w:rFonts w:ascii="Times New Roman" w:eastAsia="Times New Roman" w:hAnsi="Times New Roman" w:cs="Times New Roman"/>
          <w:sz w:val="24"/>
          <w:szCs w:val="24"/>
        </w:rPr>
        <w:t>) demonstrate markedly lower distant metastasis rates (7–10.5%) compared with poor responders (26–31%).</w:t>
      </w:r>
      <w:r w:rsidRPr="00E618BA">
        <w:rPr>
          <w:rFonts w:ascii="Times New Roman" w:eastAsia="Times New Roman" w:hAnsi="Times New Roman" w:cs="Times New Roman"/>
          <w:sz w:val="24"/>
          <w:szCs w:val="24"/>
          <w:vertAlign w:val="superscript"/>
        </w:rPr>
        <w:t xml:space="preserve"> </w:t>
      </w:r>
      <w:r w:rsidR="00E915E6" w:rsidRPr="00E618BA">
        <w:rPr>
          <w:rFonts w:ascii="Times New Roman" w:eastAsia="Times New Roman" w:hAnsi="Times New Roman" w:cs="Times New Roman"/>
          <w:sz w:val="24"/>
          <w:szCs w:val="24"/>
          <w:vertAlign w:val="superscript"/>
        </w:rPr>
        <w:t>(3)</w:t>
      </w:r>
    </w:p>
    <w:p w14:paraId="301C2E2F" w14:textId="77777777" w:rsidR="00E915E6" w:rsidRPr="00E618BA" w:rsidRDefault="00E915E6"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sz w:val="24"/>
          <w:szCs w:val="24"/>
        </w:rPr>
        <w:t xml:space="preserve"> While numerous studies have investigated its efficacy, there remains ongoing exploration into its precise impact on </w:t>
      </w:r>
      <w:proofErr w:type="spellStart"/>
      <w:r w:rsidRPr="00E618BA">
        <w:rPr>
          <w:rFonts w:ascii="Times New Roman" w:eastAsia="Times New Roman" w:hAnsi="Times New Roman" w:cs="Times New Roman"/>
          <w:sz w:val="24"/>
          <w:szCs w:val="24"/>
        </w:rPr>
        <w:t>clinico</w:t>
      </w:r>
      <w:proofErr w:type="spellEnd"/>
      <w:r w:rsidRPr="00E618BA">
        <w:rPr>
          <w:rFonts w:ascii="Times New Roman" w:eastAsia="Times New Roman" w:hAnsi="Times New Roman" w:cs="Times New Roman"/>
          <w:sz w:val="24"/>
          <w:szCs w:val="24"/>
        </w:rPr>
        <w:t>-pathological outcomes such as pathological response rates, surgical feasibility, and long-term oncological results.</w:t>
      </w:r>
    </w:p>
    <w:p w14:paraId="49CB2687" w14:textId="61FCDEC4" w:rsidR="00E915E6" w:rsidRPr="00E618BA" w:rsidRDefault="006A78C5"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sz w:val="24"/>
          <w:szCs w:val="24"/>
        </w:rPr>
        <w:t xml:space="preserve">This study aims to contribute to the existing body of evidence by evaluating the clinicopathological outcomes of neoadjuvant chemoradiation in patients with rectal carcinoma. By systematically </w:t>
      </w:r>
      <w:proofErr w:type="spellStart"/>
      <w:r w:rsidRPr="00E618BA">
        <w:rPr>
          <w:rFonts w:ascii="Times New Roman" w:eastAsia="Times New Roman" w:hAnsi="Times New Roman" w:cs="Times New Roman"/>
          <w:sz w:val="24"/>
          <w:szCs w:val="24"/>
        </w:rPr>
        <w:t>analyzing</w:t>
      </w:r>
      <w:proofErr w:type="spellEnd"/>
      <w:r w:rsidRPr="00E618BA">
        <w:rPr>
          <w:rFonts w:ascii="Times New Roman" w:eastAsia="Times New Roman" w:hAnsi="Times New Roman" w:cs="Times New Roman"/>
          <w:sz w:val="24"/>
          <w:szCs w:val="24"/>
        </w:rPr>
        <w:t xml:space="preserve"> patient data on pathological response and surgical outcomes, the study seeks to generate insights that may inform clinical decision-making and support the optimization of multidisciplinary management in rectal cancer.</w:t>
      </w:r>
    </w:p>
    <w:p w14:paraId="1191DBB1" w14:textId="77777777" w:rsidR="00E915E6" w:rsidRPr="00E618BA" w:rsidRDefault="00E915E6" w:rsidP="005A54EF">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2.Materials and methods</w:t>
      </w:r>
    </w:p>
    <w:p w14:paraId="23A5D631" w14:textId="77777777" w:rsidR="00E915E6" w:rsidRPr="00E618BA" w:rsidRDefault="00E915E6" w:rsidP="005A54EF">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2.1. General study details</w:t>
      </w:r>
    </w:p>
    <w:p w14:paraId="42B7C690" w14:textId="52359BA2" w:rsidR="004F709C" w:rsidRPr="00E618BA" w:rsidRDefault="004F709C" w:rsidP="005A54EF">
      <w:pPr>
        <w:spacing w:after="160" w:line="480" w:lineRule="auto"/>
        <w:rPr>
          <w:rFonts w:ascii="Times New Roman" w:eastAsia="Times New Roman" w:hAnsi="Times New Roman" w:cs="Times New Roman"/>
          <w:color w:val="0C0C0C"/>
          <w:sz w:val="24"/>
          <w:szCs w:val="24"/>
        </w:rPr>
      </w:pPr>
      <w:r w:rsidRPr="00E618BA">
        <w:rPr>
          <w:rFonts w:ascii="Times New Roman" w:eastAsia="Times New Roman" w:hAnsi="Times New Roman" w:cs="Times New Roman"/>
          <w:color w:val="0C0C0C"/>
          <w:sz w:val="24"/>
          <w:szCs w:val="24"/>
        </w:rPr>
        <w:t xml:space="preserve">This retrospective study included patients with histologically confirmed rectal carcinoma who received treatment at the Department of Radiation Oncology in a tertiary cancer </w:t>
      </w:r>
      <w:proofErr w:type="spellStart"/>
      <w:r w:rsidRPr="00E618BA">
        <w:rPr>
          <w:rFonts w:ascii="Times New Roman" w:eastAsia="Times New Roman" w:hAnsi="Times New Roman" w:cs="Times New Roman"/>
          <w:color w:val="0C0C0C"/>
          <w:sz w:val="24"/>
          <w:szCs w:val="24"/>
        </w:rPr>
        <w:t>center</w:t>
      </w:r>
      <w:proofErr w:type="spellEnd"/>
      <w:r w:rsidRPr="00E618BA">
        <w:rPr>
          <w:rFonts w:ascii="Times New Roman" w:eastAsia="Times New Roman" w:hAnsi="Times New Roman" w:cs="Times New Roman"/>
          <w:color w:val="0C0C0C"/>
          <w:sz w:val="24"/>
          <w:szCs w:val="24"/>
        </w:rPr>
        <w:t xml:space="preserve"> in Mangalore, Karnataka, between January 2019 and December 2023. Institutional Ethics Committee approval was obtained on March 16, 2024 (Supplementary Appendix 1). The requirement for informed consent was waived, as the study involved no direct contact between investigators and participants. Being a retrospective analysis, the study was not registered in a public clinical trial registry. No external funding was received. All procedures </w:t>
      </w:r>
      <w:r w:rsidRPr="00E618BA">
        <w:rPr>
          <w:rFonts w:ascii="Times New Roman" w:eastAsia="Times New Roman" w:hAnsi="Times New Roman" w:cs="Times New Roman"/>
          <w:color w:val="0C0C0C"/>
          <w:sz w:val="24"/>
          <w:szCs w:val="24"/>
        </w:rPr>
        <w:lastRenderedPageBreak/>
        <w:t>were conducted in accordance with the ethical principles of the Declaration of Helsinki, Good Clinical Practice guidelines, and the Indian Council of Medical Research (ICMR) ethical standards.</w:t>
      </w:r>
    </w:p>
    <w:p w14:paraId="02EF268D" w14:textId="413FAC0A" w:rsidR="00E915E6" w:rsidRPr="00E618BA" w:rsidRDefault="00E915E6" w:rsidP="005A54EF">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2.2. Participants:</w:t>
      </w:r>
    </w:p>
    <w:p w14:paraId="3A18F117" w14:textId="77777777" w:rsidR="00360181" w:rsidRPr="00E618BA" w:rsidRDefault="00360181"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sz w:val="24"/>
          <w:szCs w:val="24"/>
        </w:rPr>
        <w:t>Patients with histologically confirmed rectal carcinoma who received neoadjuvant chemoradiation therapy between January 2019 and December 2023 were included in the study. Eligible patients had no clinical or radiological evidence of distant metastasis at presentation and a Karnofsky Performance Status (KPS) greater than 70. Exclusion criteria comprised patients who had previously received pelvic radiotherapy, definitive chemoradiation, or neoadjuvant chemotherapy. Patients with recurrent rectal cancer, those who did not undergo surgery following neoadjuvant chemoradiation, or those who underwent surgery prior to radiation therapy were also excluded.</w:t>
      </w:r>
    </w:p>
    <w:p w14:paraId="354BE137" w14:textId="798E192A" w:rsidR="00E915E6" w:rsidRPr="00E618BA" w:rsidRDefault="00E915E6" w:rsidP="005A54EF">
      <w:pPr>
        <w:spacing w:after="160" w:line="480" w:lineRule="auto"/>
        <w:rPr>
          <w:rFonts w:ascii="Times New Roman" w:eastAsia="Times New Roman" w:hAnsi="Times New Roman" w:cs="Times New Roman"/>
          <w:color w:val="0C0C0C"/>
          <w:sz w:val="24"/>
          <w:szCs w:val="24"/>
        </w:rPr>
      </w:pPr>
      <w:r w:rsidRPr="00E618BA">
        <w:rPr>
          <w:rFonts w:ascii="Times New Roman" w:eastAsia="Times New Roman" w:hAnsi="Times New Roman" w:cs="Times New Roman"/>
          <w:b/>
          <w:color w:val="0C0C0C"/>
          <w:sz w:val="24"/>
          <w:szCs w:val="24"/>
        </w:rPr>
        <w:t>2.</w:t>
      </w:r>
      <w:proofErr w:type="gramStart"/>
      <w:r w:rsidRPr="00E618BA">
        <w:rPr>
          <w:rFonts w:ascii="Times New Roman" w:eastAsia="Times New Roman" w:hAnsi="Times New Roman" w:cs="Times New Roman"/>
          <w:b/>
          <w:color w:val="0C0C0C"/>
          <w:sz w:val="24"/>
          <w:szCs w:val="24"/>
        </w:rPr>
        <w:t>3.Objective</w:t>
      </w:r>
      <w:proofErr w:type="gramEnd"/>
      <w:r w:rsidRPr="00E618BA">
        <w:rPr>
          <w:rFonts w:ascii="Times New Roman" w:eastAsia="Times New Roman" w:hAnsi="Times New Roman" w:cs="Times New Roman"/>
          <w:b/>
          <w:color w:val="0C0C0C"/>
          <w:sz w:val="24"/>
          <w:szCs w:val="24"/>
        </w:rPr>
        <w:t>:</w:t>
      </w:r>
      <w:r w:rsidRPr="00E618BA">
        <w:rPr>
          <w:rFonts w:ascii="Times New Roman" w:eastAsia="Times New Roman" w:hAnsi="Times New Roman" w:cs="Times New Roman"/>
          <w:color w:val="0C0C0C"/>
          <w:sz w:val="24"/>
          <w:szCs w:val="24"/>
        </w:rPr>
        <w:t xml:space="preserve"> </w:t>
      </w:r>
      <w:r w:rsidR="00CD340D" w:rsidRPr="00E618BA">
        <w:rPr>
          <w:rFonts w:ascii="Times New Roman" w:eastAsia="Times New Roman" w:hAnsi="Times New Roman" w:cs="Times New Roman"/>
          <w:color w:val="0C0C0C"/>
          <w:sz w:val="24"/>
          <w:szCs w:val="24"/>
        </w:rPr>
        <w:t>The primary objective of this study was to evaluate the clinical and pathological responses of rectal cancer patients treated with neoadjuvant chemoradiation followed by surgery.</w:t>
      </w:r>
    </w:p>
    <w:p w14:paraId="3B0BD87E" w14:textId="77777777" w:rsidR="00E915E6" w:rsidRPr="00E618BA" w:rsidRDefault="00E915E6" w:rsidP="005A54EF">
      <w:pPr>
        <w:spacing w:after="160" w:line="480" w:lineRule="auto"/>
        <w:rPr>
          <w:rFonts w:ascii="Times New Roman" w:eastAsia="Times New Roman" w:hAnsi="Times New Roman" w:cs="Times New Roman"/>
          <w:color w:val="0C0C0C"/>
          <w:sz w:val="24"/>
          <w:szCs w:val="24"/>
        </w:rPr>
      </w:pPr>
    </w:p>
    <w:p w14:paraId="6C2A583D" w14:textId="77777777" w:rsidR="00FF3BD7" w:rsidRPr="00E618BA" w:rsidRDefault="00FF3BD7"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sz w:val="24"/>
          <w:szCs w:val="24"/>
        </w:rPr>
        <w:t>A total of 40 patients were included in this study. All patients received neoadjuvant chemoradiation therapy, consisting of a total radiation dose of 50.4 Gy delivered in 28 fractions (1.8 Gy per fraction, five fractions per week), administered concurrently with oral capecitabine at a dose of 825 mg/m² twice daily on radiation days.</w:t>
      </w:r>
      <w:r w:rsidRPr="00E618BA">
        <w:rPr>
          <w:rFonts w:ascii="Times New Roman" w:eastAsia="Times New Roman" w:hAnsi="Times New Roman" w:cs="Times New Roman"/>
          <w:sz w:val="24"/>
          <w:szCs w:val="24"/>
        </w:rPr>
        <w:br/>
        <w:t>Target volumes were delineated according to the Radiation Therapy Oncology Group (RTOG) contouring guidelines. The organs at risk (OARs) included the bladder and bilateral femoral heads.</w:t>
      </w:r>
    </w:p>
    <w:p w14:paraId="621A5F75" w14:textId="77777777" w:rsidR="0076557A" w:rsidRPr="00E618BA" w:rsidRDefault="0076557A" w:rsidP="005A54EF">
      <w:pPr>
        <w:spacing w:before="240" w:after="240" w:line="480" w:lineRule="auto"/>
        <w:rPr>
          <w:rFonts w:ascii="Times New Roman" w:eastAsia="Times New Roman" w:hAnsi="Times New Roman" w:cs="Times New Roman"/>
          <w:color w:val="0C0C0C"/>
          <w:sz w:val="24"/>
          <w:szCs w:val="24"/>
        </w:rPr>
      </w:pPr>
      <w:r w:rsidRPr="00E618BA">
        <w:rPr>
          <w:rFonts w:ascii="Times New Roman" w:eastAsia="Times New Roman" w:hAnsi="Times New Roman" w:cs="Times New Roman"/>
          <w:color w:val="0C0C0C"/>
          <w:sz w:val="24"/>
          <w:szCs w:val="24"/>
        </w:rPr>
        <w:lastRenderedPageBreak/>
        <w:t>Following completion of external beam radiation therapy, all patients underwent reassessment with MRI or CT of the pelvis to evaluate treatment response and determine surgical planning. Clinical response was assessed through digital rectal examination, colonoscopy, and imaging studies (contrast-enhanced CT or MRI of the pelvis).</w:t>
      </w:r>
    </w:p>
    <w:p w14:paraId="733EA236" w14:textId="641DAAA2" w:rsidR="00E915E6" w:rsidRPr="00E618BA" w:rsidRDefault="004A78E1" w:rsidP="005A54EF">
      <w:pPr>
        <w:spacing w:after="160" w:line="480" w:lineRule="auto"/>
        <w:rPr>
          <w:rFonts w:ascii="Times New Roman" w:eastAsia="Times New Roman" w:hAnsi="Times New Roman" w:cs="Times New Roman"/>
          <w:color w:val="0C0C0C"/>
          <w:sz w:val="24"/>
          <w:szCs w:val="24"/>
        </w:rPr>
      </w:pPr>
      <w:r w:rsidRPr="00E618BA">
        <w:rPr>
          <w:rFonts w:ascii="Times New Roman" w:eastAsia="Times New Roman" w:hAnsi="Times New Roman" w:cs="Times New Roman"/>
          <w:color w:val="0C0C0C"/>
          <w:sz w:val="24"/>
          <w:szCs w:val="24"/>
        </w:rPr>
        <w:t>Pathological response was assessed by comparing the postoperative pathological stage (</w:t>
      </w:r>
      <w:proofErr w:type="spellStart"/>
      <w:r w:rsidRPr="00E618BA">
        <w:rPr>
          <w:rFonts w:ascii="Times New Roman" w:eastAsia="Times New Roman" w:hAnsi="Times New Roman" w:cs="Times New Roman"/>
          <w:color w:val="0C0C0C"/>
          <w:sz w:val="24"/>
          <w:szCs w:val="24"/>
        </w:rPr>
        <w:t>ypTN</w:t>
      </w:r>
      <w:proofErr w:type="spellEnd"/>
      <w:r w:rsidRPr="00E618BA">
        <w:rPr>
          <w:rFonts w:ascii="Times New Roman" w:eastAsia="Times New Roman" w:hAnsi="Times New Roman" w:cs="Times New Roman"/>
          <w:color w:val="0C0C0C"/>
          <w:sz w:val="24"/>
          <w:szCs w:val="24"/>
        </w:rPr>
        <w:t>) with the pre-treatment clinical stage (</w:t>
      </w:r>
      <w:proofErr w:type="spellStart"/>
      <w:r w:rsidRPr="00E618BA">
        <w:rPr>
          <w:rFonts w:ascii="Times New Roman" w:eastAsia="Times New Roman" w:hAnsi="Times New Roman" w:cs="Times New Roman"/>
          <w:color w:val="0C0C0C"/>
          <w:sz w:val="24"/>
          <w:szCs w:val="24"/>
        </w:rPr>
        <w:t>cTN</w:t>
      </w:r>
      <w:proofErr w:type="spellEnd"/>
      <w:r w:rsidRPr="00E618BA">
        <w:rPr>
          <w:rFonts w:ascii="Times New Roman" w:eastAsia="Times New Roman" w:hAnsi="Times New Roman" w:cs="Times New Roman"/>
          <w:color w:val="0C0C0C"/>
          <w:sz w:val="24"/>
          <w:szCs w:val="24"/>
        </w:rPr>
        <w:t>). Based on this comparison, patients were categorized as pathological complete responders (</w:t>
      </w:r>
      <w:proofErr w:type="spellStart"/>
      <w:r w:rsidRPr="00E618BA">
        <w:rPr>
          <w:rFonts w:ascii="Times New Roman" w:eastAsia="Times New Roman" w:hAnsi="Times New Roman" w:cs="Times New Roman"/>
          <w:color w:val="0C0C0C"/>
          <w:sz w:val="24"/>
          <w:szCs w:val="24"/>
        </w:rPr>
        <w:t>pCR</w:t>
      </w:r>
      <w:proofErr w:type="spellEnd"/>
      <w:r w:rsidRPr="00E618BA">
        <w:rPr>
          <w:rFonts w:ascii="Times New Roman" w:eastAsia="Times New Roman" w:hAnsi="Times New Roman" w:cs="Times New Roman"/>
          <w:color w:val="0C0C0C"/>
          <w:sz w:val="24"/>
          <w:szCs w:val="24"/>
        </w:rPr>
        <w:t>), partial responders (those demonstrating a reduction in tumor and/or nodal stage), or non-responders (those showing no significant change or progression).</w:t>
      </w:r>
    </w:p>
    <w:p w14:paraId="56B6DDDA" w14:textId="77777777" w:rsidR="004A78E1" w:rsidRPr="00E618BA" w:rsidRDefault="004A78E1" w:rsidP="005A54EF">
      <w:pPr>
        <w:spacing w:after="160" w:line="480" w:lineRule="auto"/>
        <w:rPr>
          <w:rFonts w:ascii="Times New Roman" w:eastAsia="Times New Roman" w:hAnsi="Times New Roman" w:cs="Times New Roman"/>
          <w:b/>
          <w:sz w:val="24"/>
          <w:szCs w:val="24"/>
        </w:rPr>
      </w:pPr>
    </w:p>
    <w:p w14:paraId="44E1DA11" w14:textId="77777777" w:rsidR="00E915E6" w:rsidRPr="00E618BA" w:rsidRDefault="00E915E6" w:rsidP="005A54EF">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2.3. Statistical analyses</w:t>
      </w:r>
    </w:p>
    <w:p w14:paraId="64185550" w14:textId="42830A8D" w:rsidR="00497982" w:rsidRPr="00E618BA" w:rsidRDefault="00DD35FA" w:rsidP="005A54EF">
      <w:pPr>
        <w:spacing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sz w:val="24"/>
          <w:szCs w:val="24"/>
        </w:rPr>
        <w:t>Data were analyzed to determine frequencies, percentages, means, and standard deviations. Categorical variables were compared using the Chi-square test, while continuous variables were analyzed using one-way analysis of variance (ANOVA) followed by post hoc Tukey testing. Statistical analyses were performed using SPSS software (Statistical Package for the Social Sciences), and graphs and tables were generated using Microsoft Excel and Word.</w:t>
      </w:r>
    </w:p>
    <w:p w14:paraId="7E394C54" w14:textId="77777777" w:rsidR="00DD35FA" w:rsidRPr="00E618BA" w:rsidRDefault="00DD35FA">
      <w:pPr>
        <w:rPr>
          <w:rFonts w:ascii="Times New Roman" w:eastAsia="Times New Roman" w:hAnsi="Times New Roman" w:cs="Times New Roman"/>
          <w:sz w:val="24"/>
          <w:szCs w:val="24"/>
        </w:rPr>
      </w:pPr>
    </w:p>
    <w:p w14:paraId="3BB0F512" w14:textId="77777777" w:rsidR="005A54EF" w:rsidRPr="00E618BA" w:rsidRDefault="005A54EF" w:rsidP="007F62E7">
      <w:pPr>
        <w:spacing w:after="160" w:line="259" w:lineRule="auto"/>
        <w:rPr>
          <w:rFonts w:ascii="Times New Roman" w:eastAsia="Times New Roman" w:hAnsi="Times New Roman" w:cs="Times New Roman"/>
          <w:b/>
          <w:sz w:val="24"/>
          <w:szCs w:val="24"/>
        </w:rPr>
      </w:pPr>
    </w:p>
    <w:p w14:paraId="0D014C6A" w14:textId="77777777" w:rsidR="005A54EF" w:rsidRPr="00E618BA" w:rsidRDefault="005A54EF" w:rsidP="007F62E7">
      <w:pPr>
        <w:spacing w:after="160" w:line="259" w:lineRule="auto"/>
        <w:rPr>
          <w:rFonts w:ascii="Times New Roman" w:eastAsia="Times New Roman" w:hAnsi="Times New Roman" w:cs="Times New Roman"/>
          <w:b/>
          <w:sz w:val="24"/>
          <w:szCs w:val="24"/>
        </w:rPr>
      </w:pPr>
    </w:p>
    <w:p w14:paraId="106EF242" w14:textId="77777777" w:rsidR="005A54EF" w:rsidRPr="00E618BA" w:rsidRDefault="005A54EF" w:rsidP="007F62E7">
      <w:pPr>
        <w:spacing w:after="160" w:line="259" w:lineRule="auto"/>
        <w:rPr>
          <w:rFonts w:ascii="Times New Roman" w:eastAsia="Times New Roman" w:hAnsi="Times New Roman" w:cs="Times New Roman"/>
          <w:b/>
          <w:sz w:val="24"/>
          <w:szCs w:val="24"/>
        </w:rPr>
      </w:pPr>
    </w:p>
    <w:p w14:paraId="2C493C61" w14:textId="77777777" w:rsidR="005A54EF" w:rsidRPr="00E618BA" w:rsidRDefault="005A54EF" w:rsidP="007F62E7">
      <w:pPr>
        <w:spacing w:after="160" w:line="259" w:lineRule="auto"/>
        <w:rPr>
          <w:rFonts w:ascii="Times New Roman" w:eastAsia="Times New Roman" w:hAnsi="Times New Roman" w:cs="Times New Roman"/>
          <w:b/>
          <w:sz w:val="24"/>
          <w:szCs w:val="24"/>
        </w:rPr>
      </w:pPr>
    </w:p>
    <w:p w14:paraId="1F97E2E8" w14:textId="77777777" w:rsidR="005A54EF" w:rsidRPr="00E618BA" w:rsidRDefault="005A54EF" w:rsidP="007F62E7">
      <w:pPr>
        <w:spacing w:after="160" w:line="259" w:lineRule="auto"/>
        <w:rPr>
          <w:rFonts w:ascii="Times New Roman" w:eastAsia="Times New Roman" w:hAnsi="Times New Roman" w:cs="Times New Roman"/>
          <w:b/>
          <w:sz w:val="24"/>
          <w:szCs w:val="24"/>
        </w:rPr>
      </w:pPr>
    </w:p>
    <w:p w14:paraId="15EA489E" w14:textId="77777777" w:rsidR="005A54EF" w:rsidRPr="00E618BA" w:rsidRDefault="005A54EF" w:rsidP="007F62E7">
      <w:pPr>
        <w:spacing w:after="160" w:line="259" w:lineRule="auto"/>
        <w:rPr>
          <w:rFonts w:ascii="Times New Roman" w:eastAsia="Times New Roman" w:hAnsi="Times New Roman" w:cs="Times New Roman"/>
          <w:b/>
          <w:sz w:val="24"/>
          <w:szCs w:val="24"/>
        </w:rPr>
      </w:pPr>
    </w:p>
    <w:p w14:paraId="412A51C6" w14:textId="77777777" w:rsidR="005A54EF" w:rsidRPr="00E618BA" w:rsidRDefault="005A54EF" w:rsidP="007F62E7">
      <w:pPr>
        <w:spacing w:after="160" w:line="259" w:lineRule="auto"/>
        <w:rPr>
          <w:rFonts w:ascii="Times New Roman" w:eastAsia="Times New Roman" w:hAnsi="Times New Roman" w:cs="Times New Roman"/>
          <w:b/>
          <w:sz w:val="24"/>
          <w:szCs w:val="24"/>
        </w:rPr>
      </w:pPr>
    </w:p>
    <w:p w14:paraId="1DEE9D6F" w14:textId="77777777" w:rsidR="005A54EF" w:rsidRPr="00E618BA" w:rsidRDefault="005A54EF" w:rsidP="007F62E7">
      <w:pPr>
        <w:spacing w:after="160" w:line="259" w:lineRule="auto"/>
        <w:rPr>
          <w:rFonts w:ascii="Times New Roman" w:eastAsia="Times New Roman" w:hAnsi="Times New Roman" w:cs="Times New Roman"/>
          <w:b/>
          <w:sz w:val="24"/>
          <w:szCs w:val="24"/>
        </w:rPr>
      </w:pPr>
    </w:p>
    <w:p w14:paraId="1F09953F" w14:textId="77777777" w:rsidR="005A54EF" w:rsidRPr="00E618BA" w:rsidRDefault="005A54EF" w:rsidP="007F62E7">
      <w:pPr>
        <w:spacing w:after="160" w:line="259" w:lineRule="auto"/>
        <w:rPr>
          <w:rFonts w:ascii="Times New Roman" w:eastAsia="Times New Roman" w:hAnsi="Times New Roman" w:cs="Times New Roman"/>
          <w:b/>
          <w:sz w:val="24"/>
          <w:szCs w:val="24"/>
        </w:rPr>
      </w:pPr>
    </w:p>
    <w:p w14:paraId="5BB967C7" w14:textId="77777777" w:rsidR="005A54EF" w:rsidRPr="00E618BA" w:rsidRDefault="005A54EF" w:rsidP="007F62E7">
      <w:pPr>
        <w:spacing w:after="160" w:line="259" w:lineRule="auto"/>
        <w:rPr>
          <w:rFonts w:ascii="Times New Roman" w:eastAsia="Times New Roman" w:hAnsi="Times New Roman" w:cs="Times New Roman"/>
          <w:b/>
          <w:sz w:val="24"/>
          <w:szCs w:val="24"/>
        </w:rPr>
      </w:pPr>
    </w:p>
    <w:p w14:paraId="10D0A155" w14:textId="77777777" w:rsidR="005A54EF" w:rsidRPr="00E618BA" w:rsidRDefault="005A54EF" w:rsidP="007F62E7">
      <w:pPr>
        <w:spacing w:after="160" w:line="259" w:lineRule="auto"/>
        <w:rPr>
          <w:rFonts w:ascii="Times New Roman" w:eastAsia="Times New Roman" w:hAnsi="Times New Roman" w:cs="Times New Roman"/>
          <w:b/>
          <w:sz w:val="24"/>
          <w:szCs w:val="24"/>
        </w:rPr>
      </w:pPr>
    </w:p>
    <w:p w14:paraId="159D76F9" w14:textId="77777777" w:rsidR="005A54EF" w:rsidRPr="00E618BA" w:rsidRDefault="005A54EF" w:rsidP="007F62E7">
      <w:pPr>
        <w:spacing w:after="160" w:line="259" w:lineRule="auto"/>
        <w:rPr>
          <w:rFonts w:ascii="Times New Roman" w:eastAsia="Times New Roman" w:hAnsi="Times New Roman" w:cs="Times New Roman"/>
          <w:b/>
          <w:sz w:val="24"/>
          <w:szCs w:val="24"/>
        </w:rPr>
      </w:pPr>
    </w:p>
    <w:p w14:paraId="2C061A11" w14:textId="77777777" w:rsidR="005A54EF" w:rsidRPr="00E618BA" w:rsidRDefault="005A54EF" w:rsidP="007F62E7">
      <w:pPr>
        <w:spacing w:after="160" w:line="259" w:lineRule="auto"/>
        <w:rPr>
          <w:rFonts w:ascii="Times New Roman" w:eastAsia="Times New Roman" w:hAnsi="Times New Roman" w:cs="Times New Roman"/>
          <w:b/>
          <w:sz w:val="24"/>
          <w:szCs w:val="24"/>
        </w:rPr>
      </w:pPr>
    </w:p>
    <w:p w14:paraId="3252F4BB" w14:textId="1148A6C9" w:rsidR="007F62E7" w:rsidRPr="00E618BA" w:rsidRDefault="007F62E7" w:rsidP="007F62E7">
      <w:pPr>
        <w:spacing w:after="160" w:line="259"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3.Results</w:t>
      </w:r>
      <w:r w:rsidR="00A615E8">
        <w:rPr>
          <w:rFonts w:ascii="Times New Roman" w:eastAsia="Times New Roman" w:hAnsi="Times New Roman" w:cs="Times New Roman"/>
          <w:b/>
          <w:sz w:val="24"/>
          <w:szCs w:val="24"/>
        </w:rPr>
        <w:t xml:space="preserve"> &amp; </w:t>
      </w:r>
      <w:r w:rsidR="00A615E8" w:rsidRPr="00A615E8">
        <w:rPr>
          <w:rFonts w:ascii="Times New Roman" w:eastAsia="Times New Roman" w:hAnsi="Times New Roman" w:cs="Times New Roman"/>
          <w:b/>
          <w:sz w:val="24"/>
          <w:szCs w:val="24"/>
        </w:rPr>
        <w:t>Discussion</w:t>
      </w:r>
    </w:p>
    <w:p w14:paraId="5BD92E47" w14:textId="0FE3FDD4" w:rsidR="00DD35FA" w:rsidRDefault="00895E81">
      <w:r>
        <w:rPr>
          <w:noProof/>
          <w14:ligatures w14:val="standardContextual"/>
        </w:rPr>
        <mc:AlternateContent>
          <mc:Choice Requires="wps">
            <w:drawing>
              <wp:anchor distT="0" distB="0" distL="114300" distR="114300" simplePos="0" relativeHeight="251661312" behindDoc="0" locked="0" layoutInCell="1" allowOverlap="1" wp14:anchorId="7C32678F" wp14:editId="7F9B240B">
                <wp:simplePos x="0" y="0"/>
                <wp:positionH relativeFrom="column">
                  <wp:posOffset>3185160</wp:posOffset>
                </wp:positionH>
                <wp:positionV relativeFrom="paragraph">
                  <wp:posOffset>3245485</wp:posOffset>
                </wp:positionV>
                <wp:extent cx="1264226" cy="372194"/>
                <wp:effectExtent l="0" t="0" r="0" b="0"/>
                <wp:wrapNone/>
                <wp:docPr id="924397571" name="Flowchart: Alternate Process 1"/>
                <wp:cNvGraphicFramePr/>
                <a:graphic xmlns:a="http://schemas.openxmlformats.org/drawingml/2006/main">
                  <a:graphicData uri="http://schemas.microsoft.com/office/word/2010/wordprocessingShape">
                    <wps:wsp>
                      <wps:cNvSpPr/>
                      <wps:spPr>
                        <a:xfrm>
                          <a:off x="0" y="0"/>
                          <a:ext cx="1264226" cy="372194"/>
                        </a:xfrm>
                        <a:prstGeom prst="flowChartAlternateProcess">
                          <a:avLst/>
                        </a:prstGeom>
                        <a:solidFill>
                          <a:srgbClr val="CFE2F3"/>
                        </a:solidFill>
                        <a:ln w="9525" cap="flat" cmpd="sng">
                          <a:solidFill>
                            <a:srgbClr val="000000"/>
                          </a:solidFill>
                          <a:prstDash val="solid"/>
                          <a:round/>
                          <a:headEnd type="none" w="sm" len="sm"/>
                          <a:tailEnd type="none" w="sm" len="sm"/>
                        </a:ln>
                      </wps:spPr>
                      <wps:txbx>
                        <w:txbxContent>
                          <w:p w14:paraId="3663EA5D" w14:textId="77777777" w:rsidR="00895E81" w:rsidRDefault="00895E81" w:rsidP="00895E81">
                            <w:pPr>
                              <w:spacing w:line="240" w:lineRule="auto"/>
                              <w:jc w:val="center"/>
                              <w:textDirection w:val="btLr"/>
                            </w:pPr>
                            <w:r>
                              <w:rPr>
                                <w:rFonts w:ascii="Times New Roman" w:eastAsia="Times New Roman" w:hAnsi="Times New Roman" w:cs="Times New Roman"/>
                                <w:color w:val="000000"/>
                              </w:rPr>
                              <w:t>Exclusion</w:t>
                            </w:r>
                          </w:p>
                        </w:txbxContent>
                      </wps:txbx>
                      <wps:bodyPr spcFirstLastPara="1" wrap="square" lIns="91425" tIns="91425" rIns="91425" bIns="91425" anchor="ctr" anchorCtr="0">
                        <a:noAutofit/>
                      </wps:bodyPr>
                    </wps:wsp>
                  </a:graphicData>
                </a:graphic>
              </wp:anchor>
            </w:drawing>
          </mc:Choice>
          <mc:Fallback>
            <w:pict>
              <v:shapetype w14:anchorId="7C32678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250.8pt;margin-top:255.55pt;width:99.55pt;height:29.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" fillcolor="#cfe2f3">
                <v:stroke startarrowwidth="narrow" startarrowlength="short" endarrowwidth="narrow" endarrowlength="short" joinstyle="round"/>
                <v:textbox inset="2.53958mm,2.53958mm,2.53958mm,2.53958mm">
                  <w:txbxContent>
                    <w:p w14:paraId="3663EA5D" w14:textId="77777777" w:rsidR="00895E81" w:rsidRDefault="00895E81" w:rsidP="00895E81">
                      <w:pPr>
                        <w:spacing w:line="240" w:lineRule="auto"/>
                        <w:jc w:val="center"/>
                        <w:textDirection w:val="btLr"/>
                      </w:pPr>
                      <w:r>
                        <w:rPr>
                          <w:rFonts w:ascii="Times New Roman" w:eastAsia="Times New Roman" w:hAnsi="Times New Roman" w:cs="Times New Roman"/>
                          <w:color w:val="000000"/>
                        </w:rPr>
                        <w:t>Exclusion</w:t>
                      </w:r>
                    </w:p>
                  </w:txbxContent>
                </v:textbox>
              </v:shape>
            </w:pict>
          </mc:Fallback>
        </mc:AlternateContent>
      </w:r>
      <w:r>
        <w:rPr>
          <w:noProof/>
          <w14:ligatures w14:val="standardContextual"/>
        </w:rPr>
        <mc:AlternateContent>
          <mc:Choice Requires="wps">
            <w:drawing>
              <wp:anchor distT="0" distB="0" distL="114300" distR="114300" simplePos="0" relativeHeight="251659264" behindDoc="0" locked="0" layoutInCell="1" allowOverlap="1" wp14:anchorId="2910BF6F" wp14:editId="71EBC02D">
                <wp:simplePos x="0" y="0"/>
                <wp:positionH relativeFrom="column">
                  <wp:posOffset>3134733</wp:posOffset>
                </wp:positionH>
                <wp:positionV relativeFrom="paragraph">
                  <wp:posOffset>2087245</wp:posOffset>
                </wp:positionV>
                <wp:extent cx="1264226" cy="372194"/>
                <wp:effectExtent l="0" t="0" r="0" b="0"/>
                <wp:wrapNone/>
                <wp:docPr id="716034001" name="Flowchart: Alternate Process 1"/>
                <wp:cNvGraphicFramePr/>
                <a:graphic xmlns:a="http://schemas.openxmlformats.org/drawingml/2006/main">
                  <a:graphicData uri="http://schemas.microsoft.com/office/word/2010/wordprocessingShape">
                    <wps:wsp>
                      <wps:cNvSpPr/>
                      <wps:spPr>
                        <a:xfrm>
                          <a:off x="0" y="0"/>
                          <a:ext cx="1264226" cy="372194"/>
                        </a:xfrm>
                        <a:prstGeom prst="flowChartAlternateProcess">
                          <a:avLst/>
                        </a:prstGeom>
                        <a:solidFill>
                          <a:srgbClr val="CFE2F3"/>
                        </a:solidFill>
                        <a:ln w="9525" cap="flat" cmpd="sng">
                          <a:solidFill>
                            <a:srgbClr val="000000"/>
                          </a:solidFill>
                          <a:prstDash val="solid"/>
                          <a:round/>
                          <a:headEnd type="none" w="sm" len="sm"/>
                          <a:tailEnd type="none" w="sm" len="sm"/>
                        </a:ln>
                      </wps:spPr>
                      <wps:txbx>
                        <w:txbxContent>
                          <w:p w14:paraId="7EECD911" w14:textId="77777777" w:rsidR="00895E81" w:rsidRDefault="00895E81" w:rsidP="00895E81">
                            <w:pPr>
                              <w:spacing w:line="240" w:lineRule="auto"/>
                              <w:jc w:val="center"/>
                              <w:textDirection w:val="btLr"/>
                            </w:pPr>
                            <w:r>
                              <w:rPr>
                                <w:rFonts w:ascii="Times New Roman" w:eastAsia="Times New Roman" w:hAnsi="Times New Roman" w:cs="Times New Roman"/>
                                <w:color w:val="000000"/>
                              </w:rPr>
                              <w:t>Exclusion</w:t>
                            </w:r>
                          </w:p>
                        </w:txbxContent>
                      </wps:txbx>
                      <wps:bodyPr spcFirstLastPara="1" wrap="square" lIns="91425" tIns="91425" rIns="91425" bIns="91425" anchor="ctr" anchorCtr="0">
                        <a:noAutofit/>
                      </wps:bodyPr>
                    </wps:wsp>
                  </a:graphicData>
                </a:graphic>
              </wp:anchor>
            </w:drawing>
          </mc:Choice>
          <mc:Fallback>
            <w:pict>
              <v:shape w14:anchorId="2910BF6F" id="_x0000_s1027" type="#_x0000_t176" style="position:absolute;margin-left:246.85pt;margin-top:164.35pt;width:99.55pt;height:29.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" fillcolor="#cfe2f3">
                <v:stroke startarrowwidth="narrow" startarrowlength="short" endarrowwidth="narrow" endarrowlength="short" joinstyle="round"/>
                <v:textbox inset="2.53958mm,2.53958mm,2.53958mm,2.53958mm">
                  <w:txbxContent>
                    <w:p w14:paraId="7EECD911" w14:textId="77777777" w:rsidR="00895E81" w:rsidRDefault="00895E81" w:rsidP="00895E81">
                      <w:pPr>
                        <w:spacing w:line="240" w:lineRule="auto"/>
                        <w:jc w:val="center"/>
                        <w:textDirection w:val="btLr"/>
                      </w:pPr>
                      <w:r>
                        <w:rPr>
                          <w:rFonts w:ascii="Times New Roman" w:eastAsia="Times New Roman" w:hAnsi="Times New Roman" w:cs="Times New Roman"/>
                          <w:color w:val="000000"/>
                        </w:rPr>
                        <w:t>Exclusion</w:t>
                      </w:r>
                    </w:p>
                  </w:txbxContent>
                </v:textbox>
              </v:shape>
            </w:pict>
          </mc:Fallback>
        </mc:AlternateContent>
      </w:r>
      <w:r w:rsidR="003A1E7B">
        <w:rPr>
          <w:noProof/>
          <w14:ligatures w14:val="standardContextual"/>
        </w:rPr>
        <mc:AlternateContent>
          <mc:Choice Requires="wpg">
            <w:drawing>
              <wp:inline distT="0" distB="0" distL="0" distR="0" wp14:anchorId="5A795EAD" wp14:editId="615D5195">
                <wp:extent cx="6355080" cy="6156960"/>
                <wp:effectExtent l="0" t="0" r="26670" b="15240"/>
                <wp:docPr id="127326298" name="Group 3"/>
                <wp:cNvGraphicFramePr/>
                <a:graphic xmlns:a="http://schemas.openxmlformats.org/drawingml/2006/main">
                  <a:graphicData uri="http://schemas.microsoft.com/office/word/2010/wordprocessingGroup">
                    <wpg:wgp>
                      <wpg:cNvGrpSpPr/>
                      <wpg:grpSpPr>
                        <a:xfrm>
                          <a:off x="0" y="0"/>
                          <a:ext cx="6355080" cy="6156960"/>
                          <a:chOff x="406000" y="138925"/>
                          <a:chExt cx="7297486" cy="5413650"/>
                        </a:xfrm>
                      </wpg:grpSpPr>
                      <wps:wsp>
                        <wps:cNvPr id="1457578949" name="Flowchart: Process 1457578949"/>
                        <wps:cNvSpPr/>
                        <wps:spPr>
                          <a:xfrm>
                            <a:off x="2304275" y="138925"/>
                            <a:ext cx="2593725" cy="61920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2A57546F"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Patient diagnosed with rectal cancer during January 2019 to December 2023 (n-135)</w:t>
                              </w:r>
                            </w:p>
                          </w:txbxContent>
                        </wps:txbx>
                        <wps:bodyPr spcFirstLastPara="1" wrap="square" lIns="91425" tIns="91425" rIns="91425" bIns="91425" anchor="ctr" anchorCtr="0">
                          <a:noAutofit/>
                        </wps:bodyPr>
                      </wps:wsp>
                      <wps:wsp>
                        <wps:cNvPr id="1371581015" name="Arrow: Down 1371581015"/>
                        <wps:cNvSpPr/>
                        <wps:spPr>
                          <a:xfrm>
                            <a:off x="3550438" y="749325"/>
                            <a:ext cx="101400" cy="6903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3886DFC7" w14:textId="77777777" w:rsidR="003A1E7B" w:rsidRDefault="003A1E7B" w:rsidP="003A1E7B">
                              <w:pPr>
                                <w:spacing w:line="240" w:lineRule="auto"/>
                                <w:jc w:val="center"/>
                                <w:textDirection w:val="btLr"/>
                              </w:pPr>
                            </w:p>
                          </w:txbxContent>
                        </wps:txbx>
                        <wps:bodyPr spcFirstLastPara="1" wrap="square" lIns="91425" tIns="91425" rIns="91425" bIns="91425" anchor="ctr" anchorCtr="0">
                          <a:noAutofit/>
                        </wps:bodyPr>
                      </wps:wsp>
                      <wps:wsp>
                        <wps:cNvPr id="793677463" name="Flowchart: Process 793677463"/>
                        <wps:cNvSpPr/>
                        <wps:spPr>
                          <a:xfrm>
                            <a:off x="2277650" y="1423013"/>
                            <a:ext cx="2647000" cy="497425"/>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20E827F6"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Non metastatic disease (n-98)</w:t>
                              </w:r>
                            </w:p>
                          </w:txbxContent>
                        </wps:txbx>
                        <wps:bodyPr spcFirstLastPara="1" wrap="square" lIns="91425" tIns="91425" rIns="91425" bIns="91425" anchor="ctr" anchorCtr="0">
                          <a:noAutofit/>
                        </wps:bodyPr>
                      </wps:wsp>
                      <wps:wsp>
                        <wps:cNvPr id="1172882279" name="Arrow: Down 1172882279"/>
                        <wps:cNvSpPr/>
                        <wps:spPr>
                          <a:xfrm>
                            <a:off x="3478350" y="1906900"/>
                            <a:ext cx="101400" cy="6903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2F6033F2" w14:textId="77777777" w:rsidR="003A1E7B" w:rsidRDefault="003A1E7B" w:rsidP="003A1E7B">
                              <w:pPr>
                                <w:spacing w:line="240" w:lineRule="auto"/>
                                <w:jc w:val="center"/>
                                <w:textDirection w:val="btLr"/>
                              </w:pPr>
                            </w:p>
                          </w:txbxContent>
                        </wps:txbx>
                        <wps:bodyPr spcFirstLastPara="1" wrap="square" lIns="91425" tIns="91425" rIns="91425" bIns="91425" anchor="ctr" anchorCtr="0">
                          <a:noAutofit/>
                        </wps:bodyPr>
                      </wps:wsp>
                      <wps:wsp>
                        <wps:cNvPr id="373990982" name="Flowchart: Process 373990982"/>
                        <wps:cNvSpPr/>
                        <wps:spPr>
                          <a:xfrm>
                            <a:off x="2233250" y="2585350"/>
                            <a:ext cx="2735750" cy="39465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0C1F4A8C"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Received NACTRT (n-67)</w:t>
                              </w:r>
                            </w:p>
                          </w:txbxContent>
                        </wps:txbx>
                        <wps:bodyPr spcFirstLastPara="1" wrap="square" lIns="91425" tIns="91425" rIns="91425" bIns="91425" anchor="ctr" anchorCtr="0">
                          <a:noAutofit/>
                        </wps:bodyPr>
                      </wps:wsp>
                      <wps:wsp>
                        <wps:cNvPr id="55695330" name="Arrow: Down 55695330"/>
                        <wps:cNvSpPr/>
                        <wps:spPr>
                          <a:xfrm>
                            <a:off x="3502350" y="3002838"/>
                            <a:ext cx="101400" cy="6192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4A34C6B9" w14:textId="77777777" w:rsidR="003A1E7B" w:rsidRDefault="003A1E7B" w:rsidP="003A1E7B">
                              <w:pPr>
                                <w:spacing w:line="240" w:lineRule="auto"/>
                                <w:jc w:val="center"/>
                                <w:textDirection w:val="btLr"/>
                              </w:pPr>
                            </w:p>
                          </w:txbxContent>
                        </wps:txbx>
                        <wps:bodyPr spcFirstLastPara="1" wrap="square" lIns="91425" tIns="91425" rIns="91425" bIns="91425" anchor="ctr" anchorCtr="0">
                          <a:noAutofit/>
                        </wps:bodyPr>
                      </wps:wsp>
                      <wps:wsp>
                        <wps:cNvPr id="1464161541" name="Flowchart: Process 1464161541"/>
                        <wps:cNvSpPr/>
                        <wps:spPr>
                          <a:xfrm>
                            <a:off x="2233250" y="3644900"/>
                            <a:ext cx="2735750" cy="56220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750FDA70"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Eligible patients included in analysis (n-40)</w:t>
                              </w:r>
                            </w:p>
                          </w:txbxContent>
                        </wps:txbx>
                        <wps:bodyPr spcFirstLastPara="1" wrap="square" lIns="91425" tIns="91425" rIns="91425" bIns="91425" anchor="ctr" anchorCtr="0">
                          <a:noAutofit/>
                        </wps:bodyPr>
                      </wps:wsp>
                      <wps:wsp>
                        <wps:cNvPr id="1914570852" name="Arrow: Right 1914570852"/>
                        <wps:cNvSpPr/>
                        <wps:spPr>
                          <a:xfrm>
                            <a:off x="3719175" y="1197900"/>
                            <a:ext cx="1985700" cy="111600"/>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239C1402" w14:textId="77777777" w:rsidR="003A1E7B" w:rsidRDefault="003A1E7B" w:rsidP="003A1E7B">
                              <w:pPr>
                                <w:spacing w:line="240" w:lineRule="auto"/>
                                <w:jc w:val="center"/>
                                <w:textDirection w:val="btLr"/>
                              </w:pPr>
                            </w:p>
                          </w:txbxContent>
                        </wps:txbx>
                        <wps:bodyPr spcFirstLastPara="1" wrap="square" lIns="91425" tIns="91425" rIns="91425" bIns="91425" anchor="ctr" anchorCtr="0">
                          <a:noAutofit/>
                        </wps:bodyPr>
                      </wps:wsp>
                      <wps:wsp>
                        <wps:cNvPr id="1816521343" name="Arrow: Right 1816521343"/>
                        <wps:cNvSpPr/>
                        <wps:spPr>
                          <a:xfrm>
                            <a:off x="3634050" y="2329538"/>
                            <a:ext cx="2142000" cy="111600"/>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7D0B634C" w14:textId="77777777" w:rsidR="003A1E7B" w:rsidRDefault="003A1E7B" w:rsidP="003A1E7B">
                              <w:pPr>
                                <w:spacing w:line="240" w:lineRule="auto"/>
                                <w:jc w:val="center"/>
                                <w:textDirection w:val="btLr"/>
                              </w:pPr>
                            </w:p>
                          </w:txbxContent>
                        </wps:txbx>
                        <wps:bodyPr spcFirstLastPara="1" wrap="square" lIns="91425" tIns="91425" rIns="91425" bIns="91425" anchor="ctr" anchorCtr="0">
                          <a:noAutofit/>
                        </wps:bodyPr>
                      </wps:wsp>
                      <wps:wsp>
                        <wps:cNvPr id="456814982" name="Arrow: Right 456814982"/>
                        <wps:cNvSpPr/>
                        <wps:spPr>
                          <a:xfrm>
                            <a:off x="3634050" y="3331063"/>
                            <a:ext cx="2142000" cy="111600"/>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0140D7AA" w14:textId="77777777" w:rsidR="003A1E7B" w:rsidRDefault="003A1E7B" w:rsidP="003A1E7B">
                              <w:pPr>
                                <w:spacing w:line="240" w:lineRule="auto"/>
                                <w:jc w:val="center"/>
                                <w:textDirection w:val="btLr"/>
                              </w:pPr>
                            </w:p>
                          </w:txbxContent>
                        </wps:txbx>
                        <wps:bodyPr spcFirstLastPara="1" wrap="square" lIns="91425" tIns="91425" rIns="91425" bIns="91425" anchor="ctr" anchorCtr="0">
                          <a:noAutofit/>
                        </wps:bodyPr>
                      </wps:wsp>
                      <wps:wsp>
                        <wps:cNvPr id="272921629" name="Flowchart: Process 272921629"/>
                        <wps:cNvSpPr/>
                        <wps:spPr>
                          <a:xfrm>
                            <a:off x="5776050" y="1027800"/>
                            <a:ext cx="1583550" cy="56220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64772C4A" w14:textId="77777777" w:rsidR="003A1E7B" w:rsidRDefault="003A1E7B" w:rsidP="003A1E7B">
                              <w:pPr>
                                <w:spacing w:line="240" w:lineRule="auto"/>
                                <w:textDirection w:val="btLr"/>
                              </w:pPr>
                              <w:r>
                                <w:rPr>
                                  <w:rFonts w:ascii="Times New Roman" w:eastAsia="Times New Roman" w:hAnsi="Times New Roman" w:cs="Times New Roman"/>
                                  <w:color w:val="000000"/>
                                  <w:sz w:val="24"/>
                                </w:rPr>
                                <w:t>Metastasis at presentation(37)</w:t>
                              </w:r>
                            </w:p>
                          </w:txbxContent>
                        </wps:txbx>
                        <wps:bodyPr spcFirstLastPara="1" wrap="square" lIns="91425" tIns="91425" rIns="91425" bIns="91425" anchor="ctr" anchorCtr="0">
                          <a:noAutofit/>
                        </wps:bodyPr>
                      </wps:wsp>
                      <wps:wsp>
                        <wps:cNvPr id="1032035355" name="Flowchart: Process 1032035355"/>
                        <wps:cNvSpPr/>
                        <wps:spPr>
                          <a:xfrm>
                            <a:off x="5806355" y="2080937"/>
                            <a:ext cx="1897131" cy="798313"/>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34E2503D"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Planned for def CTRT/Underwent surgical resection first  (31)</w:t>
                              </w:r>
                            </w:p>
                          </w:txbxContent>
                        </wps:txbx>
                        <wps:bodyPr spcFirstLastPara="1" wrap="square" lIns="91425" tIns="91425" rIns="91425" bIns="91425" anchor="ctr" anchorCtr="0">
                          <a:noAutofit/>
                        </wps:bodyPr>
                      </wps:wsp>
                      <wps:wsp>
                        <wps:cNvPr id="1819671287" name="Flowchart: Process 1819671287"/>
                        <wps:cNvSpPr/>
                        <wps:spPr>
                          <a:xfrm>
                            <a:off x="5806350" y="3173575"/>
                            <a:ext cx="1583549" cy="864786"/>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7F87B2CA"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Lost to follow-up/Did not undergo surgery (27)</w:t>
                              </w:r>
                            </w:p>
                          </w:txbxContent>
                        </wps:txbx>
                        <wps:bodyPr spcFirstLastPara="1" wrap="square" lIns="91425" tIns="91425" rIns="91425" bIns="91425" anchor="ctr" anchorCtr="0">
                          <a:noAutofit/>
                        </wps:bodyPr>
                      </wps:wsp>
                      <wps:wsp>
                        <wps:cNvPr id="1564304548" name="Flowchart: Alternate Process 1564304548"/>
                        <wps:cNvSpPr/>
                        <wps:spPr>
                          <a:xfrm>
                            <a:off x="4005588" y="856874"/>
                            <a:ext cx="1451700" cy="327260"/>
                          </a:xfrm>
                          <a:prstGeom prst="flowChartAlternateProcess">
                            <a:avLst/>
                          </a:prstGeom>
                          <a:solidFill>
                            <a:srgbClr val="CFE2F3"/>
                          </a:solidFill>
                          <a:ln w="9525" cap="flat" cmpd="sng">
                            <a:solidFill>
                              <a:srgbClr val="000000"/>
                            </a:solidFill>
                            <a:prstDash val="solid"/>
                            <a:round/>
                            <a:headEnd type="none" w="sm" len="sm"/>
                            <a:tailEnd type="none" w="sm" len="sm"/>
                          </a:ln>
                        </wps:spPr>
                        <wps:txbx>
                          <w:txbxContent>
                            <w:p w14:paraId="055B903E" w14:textId="77777777" w:rsidR="003A1E7B" w:rsidRDefault="003A1E7B" w:rsidP="003A1E7B">
                              <w:pPr>
                                <w:spacing w:line="240" w:lineRule="auto"/>
                                <w:jc w:val="center"/>
                                <w:textDirection w:val="btLr"/>
                              </w:pPr>
                              <w:r>
                                <w:rPr>
                                  <w:rFonts w:ascii="Times New Roman" w:eastAsia="Times New Roman" w:hAnsi="Times New Roman" w:cs="Times New Roman"/>
                                  <w:color w:val="000000"/>
                                </w:rPr>
                                <w:t>Exclusion</w:t>
                              </w:r>
                            </w:p>
                          </w:txbxContent>
                        </wps:txbx>
                        <wps:bodyPr spcFirstLastPara="1" wrap="square" lIns="91425" tIns="91425" rIns="91425" bIns="91425" anchor="ctr" anchorCtr="0">
                          <a:noAutofit/>
                        </wps:bodyPr>
                      </wps:wsp>
                      <wps:wsp>
                        <wps:cNvPr id="1464970672" name="Straight Arrow Connector 1464970672"/>
                        <wps:cNvCnPr/>
                        <wps:spPr>
                          <a:xfrm flipH="1">
                            <a:off x="3593325" y="4207100"/>
                            <a:ext cx="7800" cy="411600"/>
                          </a:xfrm>
                          <a:prstGeom prst="straightConnector1">
                            <a:avLst/>
                          </a:prstGeom>
                          <a:noFill/>
                          <a:ln w="9525" cap="flat" cmpd="sng">
                            <a:solidFill>
                              <a:srgbClr val="000000"/>
                            </a:solidFill>
                            <a:prstDash val="solid"/>
                            <a:round/>
                            <a:headEnd type="none" w="sm" len="sm"/>
                            <a:tailEnd type="triangle" w="med" len="med"/>
                          </a:ln>
                        </wps:spPr>
                        <wps:bodyPr/>
                      </wps:wsp>
                      <wps:wsp>
                        <wps:cNvPr id="508559003" name="Straight Arrow Connector 508559003"/>
                        <wps:cNvCnPr/>
                        <wps:spPr>
                          <a:xfrm>
                            <a:off x="1126750" y="4618700"/>
                            <a:ext cx="5288700" cy="0"/>
                          </a:xfrm>
                          <a:prstGeom prst="straightConnector1">
                            <a:avLst/>
                          </a:prstGeom>
                          <a:noFill/>
                          <a:ln w="9525" cap="flat" cmpd="sng">
                            <a:solidFill>
                              <a:srgbClr val="000000"/>
                            </a:solidFill>
                            <a:prstDash val="solid"/>
                            <a:round/>
                            <a:headEnd type="none" w="sm" len="sm"/>
                            <a:tailEnd type="none" w="sm" len="sm"/>
                          </a:ln>
                        </wps:spPr>
                        <wps:bodyPr/>
                      </wps:wsp>
                      <wps:wsp>
                        <wps:cNvPr id="1212909435" name="Straight Arrow Connector 1212909435"/>
                        <wps:cNvCnPr/>
                        <wps:spPr>
                          <a:xfrm>
                            <a:off x="1126750" y="4618750"/>
                            <a:ext cx="10200" cy="345000"/>
                          </a:xfrm>
                          <a:prstGeom prst="straightConnector1">
                            <a:avLst/>
                          </a:prstGeom>
                          <a:noFill/>
                          <a:ln w="9525" cap="flat" cmpd="sng">
                            <a:solidFill>
                              <a:srgbClr val="000000"/>
                            </a:solidFill>
                            <a:prstDash val="solid"/>
                            <a:round/>
                            <a:headEnd type="none" w="sm" len="sm"/>
                            <a:tailEnd type="triangle" w="med" len="med"/>
                          </a:ln>
                        </wps:spPr>
                        <wps:bodyPr/>
                      </wps:wsp>
                      <wps:wsp>
                        <wps:cNvPr id="545540659" name="Straight Arrow Connector 545540659"/>
                        <wps:cNvCnPr/>
                        <wps:spPr>
                          <a:xfrm>
                            <a:off x="6425575" y="4618700"/>
                            <a:ext cx="10500" cy="360300"/>
                          </a:xfrm>
                          <a:prstGeom prst="straightConnector1">
                            <a:avLst/>
                          </a:prstGeom>
                          <a:noFill/>
                          <a:ln w="9525" cap="flat" cmpd="sng">
                            <a:solidFill>
                              <a:srgbClr val="000000"/>
                            </a:solidFill>
                            <a:prstDash val="solid"/>
                            <a:round/>
                            <a:headEnd type="none" w="sm" len="sm"/>
                            <a:tailEnd type="triangle" w="med" len="med"/>
                          </a:ln>
                        </wps:spPr>
                        <wps:bodyPr/>
                      </wps:wsp>
                      <wps:wsp>
                        <wps:cNvPr id="1594388432" name="Straight Arrow Connector 1594388432"/>
                        <wps:cNvCnPr/>
                        <wps:spPr>
                          <a:xfrm>
                            <a:off x="3593450" y="4608550"/>
                            <a:ext cx="0" cy="365400"/>
                          </a:xfrm>
                          <a:prstGeom prst="straightConnector1">
                            <a:avLst/>
                          </a:prstGeom>
                          <a:noFill/>
                          <a:ln w="9525" cap="flat" cmpd="sng">
                            <a:solidFill>
                              <a:srgbClr val="000000"/>
                            </a:solidFill>
                            <a:prstDash val="solid"/>
                            <a:round/>
                            <a:headEnd type="none" w="sm" len="sm"/>
                            <a:tailEnd type="triangle" w="med" len="med"/>
                          </a:ln>
                        </wps:spPr>
                        <wps:bodyPr/>
                      </wps:wsp>
                      <wps:wsp>
                        <wps:cNvPr id="1832752422" name="Flowchart: Process 1832752422"/>
                        <wps:cNvSpPr/>
                        <wps:spPr>
                          <a:xfrm>
                            <a:off x="406000" y="4933375"/>
                            <a:ext cx="1451700" cy="61920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52AF19D1"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Complete response</w:t>
                              </w:r>
                            </w:p>
                            <w:p w14:paraId="227E3920"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n-12  (30%)</w:t>
                              </w:r>
                            </w:p>
                          </w:txbxContent>
                        </wps:txbx>
                        <wps:bodyPr spcFirstLastPara="1" wrap="square" lIns="91425" tIns="91425" rIns="91425" bIns="91425" anchor="ctr" anchorCtr="0">
                          <a:noAutofit/>
                        </wps:bodyPr>
                      </wps:wsp>
                      <wps:wsp>
                        <wps:cNvPr id="1190700156" name="Flowchart: Process 1190700156"/>
                        <wps:cNvSpPr/>
                        <wps:spPr>
                          <a:xfrm>
                            <a:off x="2789063" y="4933375"/>
                            <a:ext cx="1624175" cy="61920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56F3E9EA"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Partial response</w:t>
                              </w:r>
                            </w:p>
                            <w:p w14:paraId="6661AABE"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n-26 (65%)</w:t>
                              </w:r>
                            </w:p>
                          </w:txbxContent>
                        </wps:txbx>
                        <wps:bodyPr spcFirstLastPara="1" wrap="square" lIns="91425" tIns="91425" rIns="91425" bIns="91425" anchor="ctr" anchorCtr="0">
                          <a:noAutofit/>
                        </wps:bodyPr>
                      </wps:wsp>
                      <wps:wsp>
                        <wps:cNvPr id="1505548716" name="Flowchart: Process 1505548716"/>
                        <wps:cNvSpPr/>
                        <wps:spPr>
                          <a:xfrm>
                            <a:off x="5628800" y="4933375"/>
                            <a:ext cx="1583550" cy="61920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744731FF"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Progression</w:t>
                              </w:r>
                            </w:p>
                            <w:p w14:paraId="6A560BA1"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n-2 (5%)</w:t>
                              </w:r>
                            </w:p>
                          </w:txbxContent>
                        </wps:txbx>
                        <wps:bodyPr spcFirstLastPara="1" wrap="square" lIns="91425" tIns="91425" rIns="91425" bIns="91425" anchor="ctr" anchorCtr="0">
                          <a:noAutofit/>
                        </wps:bodyPr>
                      </wps:wsp>
                    </wpg:wgp>
                  </a:graphicData>
                </a:graphic>
              </wp:inline>
            </w:drawing>
          </mc:Choice>
          <mc:Fallback>
            <w:pict>
              <v:group w14:anchorId="5A795EAD" id="Group 3" o:spid="_x0000_s1028" style="width:500.4pt;height:484.8pt;mso-position-horizontal-relative:char;mso-position-vertical-relative:line" coordorigin="4060,1389" coordsize="72974,5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">
                <v:shapetype id="_x0000_t109" coordsize="21600,21600" o:spt="109" path="m,l,21600r21600,l21600,xe">
                  <v:stroke joinstyle="miter"/>
                  <v:path gradientshapeok="t" o:connecttype="rect"/>
                </v:shapetype>
                <v:shape id="Flowchart: Process 1457578949" o:spid="_x0000_s1029" type="#_x0000_t109" style="position:absolute;left:23042;top:1389;width:25938;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" fillcolor="#cfe2f3">
                  <v:stroke startarrowwidth="narrow" startarrowlength="short" endarrowwidth="narrow" endarrowlength="short" joinstyle="round"/>
                  <v:textbox inset="2.53958mm,2.53958mm,2.53958mm,2.53958mm">
                    <w:txbxContent>
                      <w:p w14:paraId="2A57546F"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Patient diagnosed with rectal cancer during January 2019 to December 2023 (n-135)</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71581015" o:spid="_x0000_s1030" type="#_x0000_t67" style="position:absolute;left:35504;top:7493;width:1014;height:6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" adj="20014" fillcolor="#cfe2f3">
                  <v:stroke startarrowwidth="narrow" startarrowlength="short" endarrowwidth="narrow" endarrowlength="short" joinstyle="round"/>
                  <v:textbox inset="2.53958mm,2.53958mm,2.53958mm,2.53958mm">
                    <w:txbxContent>
                      <w:p w14:paraId="3886DFC7" w14:textId="77777777" w:rsidR="003A1E7B" w:rsidRDefault="003A1E7B" w:rsidP="003A1E7B">
                        <w:pPr>
                          <w:spacing w:line="240" w:lineRule="auto"/>
                          <w:jc w:val="center"/>
                          <w:textDirection w:val="btLr"/>
                        </w:pPr>
                      </w:p>
                    </w:txbxContent>
                  </v:textbox>
                </v:shape>
                <v:shape id="Flowchart: Process 793677463" o:spid="_x0000_s1031" type="#_x0000_t109" style="position:absolute;left:22776;top:14230;width:26470;height:4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" fillcolor="#cfe2f3">
                  <v:stroke startarrowwidth="narrow" startarrowlength="short" endarrowwidth="narrow" endarrowlength="short" joinstyle="round"/>
                  <v:textbox inset="2.53958mm,2.53958mm,2.53958mm,2.53958mm">
                    <w:txbxContent>
                      <w:p w14:paraId="20E827F6"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Non metastatic disease (n-98)</w:t>
                        </w:r>
                      </w:p>
                    </w:txbxContent>
                  </v:textbox>
                </v:shape>
                <v:shape id="Arrow: Down 1172882279" o:spid="_x0000_s1032" type="#_x0000_t67" style="position:absolute;left:34783;top:19069;width:1014;height:6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" adj="20014" fillcolor="#cfe2f3">
                  <v:stroke startarrowwidth="narrow" startarrowlength="short" endarrowwidth="narrow" endarrowlength="short" joinstyle="round"/>
                  <v:textbox inset="2.53958mm,2.53958mm,2.53958mm,2.53958mm">
                    <w:txbxContent>
                      <w:p w14:paraId="2F6033F2" w14:textId="77777777" w:rsidR="003A1E7B" w:rsidRDefault="003A1E7B" w:rsidP="003A1E7B">
                        <w:pPr>
                          <w:spacing w:line="240" w:lineRule="auto"/>
                          <w:jc w:val="center"/>
                          <w:textDirection w:val="btLr"/>
                        </w:pPr>
                      </w:p>
                    </w:txbxContent>
                  </v:textbox>
                </v:shape>
                <v:shape id="Flowchart: Process 373990982" o:spid="_x0000_s1033" type="#_x0000_t109" style="position:absolute;left:22332;top:25853;width:27358;height:3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" fillcolor="#cfe2f3">
                  <v:stroke startarrowwidth="narrow" startarrowlength="short" endarrowwidth="narrow" endarrowlength="short" joinstyle="round"/>
                  <v:textbox inset="2.53958mm,2.53958mm,2.53958mm,2.53958mm">
                    <w:txbxContent>
                      <w:p w14:paraId="0C1F4A8C"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Received NACTRT (n-67)</w:t>
                        </w:r>
                      </w:p>
                    </w:txbxContent>
                  </v:textbox>
                </v:shape>
                <v:shape id="Arrow: Down 55695330" o:spid="_x0000_s1034" type="#_x0000_t67" style="position:absolute;left:35023;top:30028;width:1014;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" adj="19831" fillcolor="#cfe2f3">
                  <v:stroke startarrowwidth="narrow" startarrowlength="short" endarrowwidth="narrow" endarrowlength="short" joinstyle="round"/>
                  <v:textbox inset="2.53958mm,2.53958mm,2.53958mm,2.53958mm">
                    <w:txbxContent>
                      <w:p w14:paraId="4A34C6B9" w14:textId="77777777" w:rsidR="003A1E7B" w:rsidRDefault="003A1E7B" w:rsidP="003A1E7B">
                        <w:pPr>
                          <w:spacing w:line="240" w:lineRule="auto"/>
                          <w:jc w:val="center"/>
                          <w:textDirection w:val="btLr"/>
                        </w:pPr>
                      </w:p>
                    </w:txbxContent>
                  </v:textbox>
                </v:shape>
                <v:shape id="Flowchart: Process 1464161541" o:spid="_x0000_s1035" type="#_x0000_t109" style="position:absolute;left:22332;top:36449;width:27358;height:5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" fillcolor="#cfe2f3">
                  <v:stroke startarrowwidth="narrow" startarrowlength="short" endarrowwidth="narrow" endarrowlength="short" joinstyle="round"/>
                  <v:textbox inset="2.53958mm,2.53958mm,2.53958mm,2.53958mm">
                    <w:txbxContent>
                      <w:p w14:paraId="750FDA70"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Eligible patients included in analysis (n-40)</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914570852" o:spid="_x0000_s1036" type="#_x0000_t13" style="position:absolute;left:37191;top:11979;width:19857;height: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" adj="20993" fillcolor="#cfe2f3">
                  <v:stroke startarrowwidth="narrow" startarrowlength="short" endarrowwidth="narrow" endarrowlength="short" joinstyle="round"/>
                  <v:textbox inset="2.53958mm,2.53958mm,2.53958mm,2.53958mm">
                    <w:txbxContent>
                      <w:p w14:paraId="239C1402" w14:textId="77777777" w:rsidR="003A1E7B" w:rsidRDefault="003A1E7B" w:rsidP="003A1E7B">
                        <w:pPr>
                          <w:spacing w:line="240" w:lineRule="auto"/>
                          <w:jc w:val="center"/>
                          <w:textDirection w:val="btLr"/>
                        </w:pPr>
                      </w:p>
                    </w:txbxContent>
                  </v:textbox>
                </v:shape>
                <v:shape id="Arrow: Right 1816521343" o:spid="_x0000_s1037" type="#_x0000_t13" style="position:absolute;left:36340;top:23295;width:21420;height: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" adj="21037" fillcolor="#cfe2f3">
                  <v:stroke startarrowwidth="narrow" startarrowlength="short" endarrowwidth="narrow" endarrowlength="short" joinstyle="round"/>
                  <v:textbox inset="2.53958mm,2.53958mm,2.53958mm,2.53958mm">
                    <w:txbxContent>
                      <w:p w14:paraId="7D0B634C" w14:textId="77777777" w:rsidR="003A1E7B" w:rsidRDefault="003A1E7B" w:rsidP="003A1E7B">
                        <w:pPr>
                          <w:spacing w:line="240" w:lineRule="auto"/>
                          <w:jc w:val="center"/>
                          <w:textDirection w:val="btLr"/>
                        </w:pPr>
                      </w:p>
                    </w:txbxContent>
                  </v:textbox>
                </v:shape>
                <v:shape id="Arrow: Right 456814982" o:spid="_x0000_s1038" type="#_x0000_t13" style="position:absolute;left:36340;top:33310;width:21420;height: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" adj="21037" fillcolor="#cfe2f3">
                  <v:stroke startarrowwidth="narrow" startarrowlength="short" endarrowwidth="narrow" endarrowlength="short" joinstyle="round"/>
                  <v:textbox inset="2.53958mm,2.53958mm,2.53958mm,2.53958mm">
                    <w:txbxContent>
                      <w:p w14:paraId="0140D7AA" w14:textId="77777777" w:rsidR="003A1E7B" w:rsidRDefault="003A1E7B" w:rsidP="003A1E7B">
                        <w:pPr>
                          <w:spacing w:line="240" w:lineRule="auto"/>
                          <w:jc w:val="center"/>
                          <w:textDirection w:val="btLr"/>
                        </w:pPr>
                      </w:p>
                    </w:txbxContent>
                  </v:textbox>
                </v:shape>
                <v:shape id="Flowchart: Process 272921629" o:spid="_x0000_s1039" type="#_x0000_t109" style="position:absolute;left:57760;top:10278;width:15836;height:5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" fillcolor="#cfe2f3">
                  <v:stroke startarrowwidth="narrow" startarrowlength="short" endarrowwidth="narrow" endarrowlength="short" joinstyle="round"/>
                  <v:textbox inset="2.53958mm,2.53958mm,2.53958mm,2.53958mm">
                    <w:txbxContent>
                      <w:p w14:paraId="64772C4A" w14:textId="77777777" w:rsidR="003A1E7B" w:rsidRDefault="003A1E7B" w:rsidP="003A1E7B">
                        <w:pPr>
                          <w:spacing w:line="240" w:lineRule="auto"/>
                          <w:textDirection w:val="btLr"/>
                        </w:pPr>
                        <w:r>
                          <w:rPr>
                            <w:rFonts w:ascii="Times New Roman" w:eastAsia="Times New Roman" w:hAnsi="Times New Roman" w:cs="Times New Roman"/>
                            <w:color w:val="000000"/>
                            <w:sz w:val="24"/>
                          </w:rPr>
                          <w:t>Metastasis at presentation(37)</w:t>
                        </w:r>
                      </w:p>
                    </w:txbxContent>
                  </v:textbox>
                </v:shape>
                <v:shape id="Flowchart: Process 1032035355" o:spid="_x0000_s1040" type="#_x0000_t109" style="position:absolute;left:58063;top:20809;width:18971;height:7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34E2503D"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Planned for def CTRT/Underwent surgical resection first  (31)</w:t>
                        </w:r>
                      </w:p>
                    </w:txbxContent>
                  </v:textbox>
                </v:shape>
                <v:shape id="Flowchart: Process 1819671287" o:spid="_x0000_s1041" type="#_x0000_t109" style="position:absolute;left:58063;top:31735;width:15835;height:8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" fillcolor="#cfe2f3">
                  <v:stroke startarrowwidth="narrow" startarrowlength="short" endarrowwidth="narrow" endarrowlength="short" joinstyle="round"/>
                  <v:textbox inset="2.53958mm,2.53958mm,2.53958mm,2.53958mm">
                    <w:txbxContent>
                      <w:p w14:paraId="7F87B2CA"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Lost to follow-up/Did not undergo surgery (27)</w:t>
                        </w:r>
                      </w:p>
                    </w:txbxContent>
                  </v:textbox>
                </v:shape>
                <v:shape id="Flowchart: Alternate Process 1564304548" o:spid="_x0000_s1042" type="#_x0000_t176" style="position:absolute;left:40055;top:8568;width:14517;height:3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" fillcolor="#cfe2f3">
                  <v:stroke startarrowwidth="narrow" startarrowlength="short" endarrowwidth="narrow" endarrowlength="short" joinstyle="round"/>
                  <v:textbox inset="2.53958mm,2.53958mm,2.53958mm,2.53958mm">
                    <w:txbxContent>
                      <w:p w14:paraId="055B903E" w14:textId="77777777" w:rsidR="003A1E7B" w:rsidRDefault="003A1E7B" w:rsidP="003A1E7B">
                        <w:pPr>
                          <w:spacing w:line="240" w:lineRule="auto"/>
                          <w:jc w:val="center"/>
                          <w:textDirection w:val="btLr"/>
                        </w:pPr>
                        <w:r>
                          <w:rPr>
                            <w:rFonts w:ascii="Times New Roman" w:eastAsia="Times New Roman" w:hAnsi="Times New Roman" w:cs="Times New Roman"/>
                            <w:color w:val="000000"/>
                          </w:rPr>
                          <w:t>Exclusion</w:t>
                        </w:r>
                      </w:p>
                    </w:txbxContent>
                  </v:textbox>
                </v:shape>
                <v:shapetype id="_x0000_t32" coordsize="21600,21600" o:spt="32" o:oned="t" path="m,l21600,21600e" filled="f">
                  <v:path arrowok="t" fillok="f" o:connecttype="none"/>
                  <o:lock v:ext="edit" shapetype="t"/>
                </v:shapetype>
                <v:shape id="Straight Arrow Connector 1464970672" o:spid="_x0000_s1043" type="#_x0000_t32" style="position:absolute;left:35933;top:42071;width:78;height:41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">
                  <v:stroke startarrowwidth="narrow" startarrowlength="short" endarrow="block"/>
                </v:shape>
                <v:shape id="Straight Arrow Connector 508559003" o:spid="_x0000_s1044" type="#_x0000_t32" style="position:absolute;left:11267;top:46187;width:528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">
                  <v:stroke startarrowwidth="narrow" startarrowlength="short" endarrowwidth="narrow" endarrowlength="short"/>
                </v:shape>
                <v:shape id="Straight Arrow Connector 1212909435" o:spid="_x0000_s1045" type="#_x0000_t32" style="position:absolute;left:11267;top:46187;width:102;height:3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">
                  <v:stroke startarrowwidth="narrow" startarrowlength="short" endarrow="block"/>
                </v:shape>
                <v:shape id="Straight Arrow Connector 545540659" o:spid="_x0000_s1046" type="#_x0000_t32" style="position:absolute;left:64255;top:46187;width:105;height:3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">
                  <v:stroke startarrowwidth="narrow" startarrowlength="short" endarrow="block"/>
                </v:shape>
                <v:shape id="Straight Arrow Connector 1594388432" o:spid="_x0000_s1047" type="#_x0000_t32" style="position:absolute;left:35934;top:46085;width:0;height:36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">
                  <v:stroke startarrowwidth="narrow" startarrowlength="short" endarrow="block"/>
                </v:shape>
                <v:shape id="Flowchart: Process 1832752422" o:spid="_x0000_s1048" type="#_x0000_t109" style="position:absolute;left:4060;top:49333;width:14517;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" fillcolor="#cfe2f3">
                  <v:stroke startarrowwidth="narrow" startarrowlength="short" endarrowwidth="narrow" endarrowlength="short" joinstyle="round"/>
                  <v:textbox inset="2.53958mm,2.53958mm,2.53958mm,2.53958mm">
                    <w:txbxContent>
                      <w:p w14:paraId="52AF19D1"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Complete response</w:t>
                        </w:r>
                      </w:p>
                      <w:p w14:paraId="227E3920"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n-12  (30%)</w:t>
                        </w:r>
                      </w:p>
                    </w:txbxContent>
                  </v:textbox>
                </v:shape>
                <v:shape id="Flowchart: Process 1190700156" o:spid="_x0000_s1049" type="#_x0000_t109" style="position:absolute;left:27890;top:49333;width:16242;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56F3E9EA"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Partial response</w:t>
                        </w:r>
                      </w:p>
                      <w:p w14:paraId="6661AABE"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n-26 (65%)</w:t>
                        </w:r>
                      </w:p>
                    </w:txbxContent>
                  </v:textbox>
                </v:shape>
                <v:shape id="Flowchart: Process 1505548716" o:spid="_x0000_s1050" type="#_x0000_t109" style="position:absolute;left:56288;top:49333;width:15835;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" fillcolor="#cfe2f3">
                  <v:stroke startarrowwidth="narrow" startarrowlength="short" endarrowwidth="narrow" endarrowlength="short" joinstyle="round"/>
                  <v:textbox inset="2.53958mm,2.53958mm,2.53958mm,2.53958mm">
                    <w:txbxContent>
                      <w:p w14:paraId="744731FF"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Progression</w:t>
                        </w:r>
                      </w:p>
                      <w:p w14:paraId="6A560BA1"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n-2 (5%)</w:t>
                        </w:r>
                      </w:p>
                    </w:txbxContent>
                  </v:textbox>
                </v:shape>
                <w10:anchorlock/>
              </v:group>
            </w:pict>
          </mc:Fallback>
        </mc:AlternateContent>
      </w:r>
    </w:p>
    <w:p w14:paraId="0A3F547F" w14:textId="77777777" w:rsidR="003E2B33" w:rsidRDefault="003E2B33"/>
    <w:p w14:paraId="0DCA25E7" w14:textId="77777777" w:rsidR="007D3B43" w:rsidRDefault="007D3B43" w:rsidP="007D3B43">
      <w:pPr>
        <w:spacing w:after="160" w:line="259"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Figure 1:</w:t>
      </w:r>
      <w:r>
        <w:rPr>
          <w:rFonts w:ascii="Times New Roman" w:eastAsia="Times New Roman" w:hAnsi="Times New Roman" w:cs="Times New Roman"/>
          <w:sz w:val="20"/>
          <w:szCs w:val="20"/>
        </w:rPr>
        <w:t xml:space="preserve"> Flowchart of patient </w:t>
      </w:r>
      <w:proofErr w:type="spellStart"/>
      <w:r>
        <w:rPr>
          <w:rFonts w:ascii="Times New Roman" w:eastAsia="Times New Roman" w:hAnsi="Times New Roman" w:cs="Times New Roman"/>
          <w:sz w:val="20"/>
          <w:szCs w:val="20"/>
        </w:rPr>
        <w:t>enrollment</w:t>
      </w:r>
      <w:proofErr w:type="spellEnd"/>
      <w:r>
        <w:rPr>
          <w:rFonts w:ascii="Times New Roman" w:eastAsia="Times New Roman" w:hAnsi="Times New Roman" w:cs="Times New Roman"/>
          <w:sz w:val="20"/>
          <w:szCs w:val="20"/>
        </w:rPr>
        <w:t xml:space="preserve"> and analysis in the study on patients with rectal cancer who received        neoadjuvant chemoradiation.</w:t>
      </w:r>
    </w:p>
    <w:p w14:paraId="76F7D98A" w14:textId="64B75C47" w:rsidR="002B5667" w:rsidRPr="005A54EF" w:rsidRDefault="002B5667" w:rsidP="005A54EF">
      <w:pPr>
        <w:widowControl w:val="0"/>
        <w:spacing w:line="480" w:lineRule="auto"/>
        <w:rPr>
          <w:rFonts w:ascii="Times New Roman" w:eastAsia="Times New Roman" w:hAnsi="Times New Roman" w:cs="Times New Roman"/>
          <w:sz w:val="24"/>
          <w:szCs w:val="24"/>
        </w:rPr>
      </w:pPr>
      <w:r w:rsidRPr="005A54EF">
        <w:rPr>
          <w:rFonts w:ascii="Times New Roman" w:eastAsia="Times New Roman" w:hAnsi="Times New Roman" w:cs="Times New Roman"/>
          <w:sz w:val="24"/>
          <w:szCs w:val="24"/>
        </w:rPr>
        <w:t xml:space="preserve">We enrolled 40 patients in this study, ranged from 18 to 75 years, minimum age of 28 years and maximum age of 73 years. Majority of the patients belonged to the age group between 61 </w:t>
      </w:r>
      <w:r w:rsidRPr="005A54EF">
        <w:rPr>
          <w:rFonts w:ascii="Times New Roman" w:eastAsia="Times New Roman" w:hAnsi="Times New Roman" w:cs="Times New Roman"/>
          <w:sz w:val="24"/>
          <w:szCs w:val="24"/>
        </w:rPr>
        <w:lastRenderedPageBreak/>
        <w:t>and 70 years of age. Male population dominated the study with 75% (30/40</w:t>
      </w:r>
      <w:proofErr w:type="gramStart"/>
      <w:r w:rsidRPr="005A54EF">
        <w:rPr>
          <w:rFonts w:ascii="Times New Roman" w:eastAsia="Times New Roman" w:hAnsi="Times New Roman" w:cs="Times New Roman"/>
          <w:sz w:val="24"/>
          <w:szCs w:val="24"/>
        </w:rPr>
        <w:t>).Most</w:t>
      </w:r>
      <w:proofErr w:type="gramEnd"/>
      <w:r w:rsidRPr="005A54EF">
        <w:rPr>
          <w:rFonts w:ascii="Times New Roman" w:eastAsia="Times New Roman" w:hAnsi="Times New Roman" w:cs="Times New Roman"/>
          <w:sz w:val="24"/>
          <w:szCs w:val="24"/>
        </w:rPr>
        <w:t xml:space="preserve"> of the patients had T3(30/40) and N2(19/40) </w:t>
      </w:r>
      <w:proofErr w:type="spellStart"/>
      <w:r w:rsidRPr="005A54EF">
        <w:rPr>
          <w:rFonts w:ascii="Times New Roman" w:eastAsia="Times New Roman" w:hAnsi="Times New Roman" w:cs="Times New Roman"/>
          <w:sz w:val="24"/>
          <w:szCs w:val="24"/>
        </w:rPr>
        <w:t>disease,majority</w:t>
      </w:r>
      <w:proofErr w:type="spellEnd"/>
      <w:r w:rsidRPr="005A54EF">
        <w:rPr>
          <w:rFonts w:ascii="Times New Roman" w:eastAsia="Times New Roman" w:hAnsi="Times New Roman" w:cs="Times New Roman"/>
          <w:sz w:val="24"/>
          <w:szCs w:val="24"/>
        </w:rPr>
        <w:t xml:space="preserve"> </w:t>
      </w:r>
      <w:proofErr w:type="spellStart"/>
      <w:r w:rsidRPr="005A54EF">
        <w:rPr>
          <w:rFonts w:ascii="Times New Roman" w:eastAsia="Times New Roman" w:hAnsi="Times New Roman" w:cs="Times New Roman"/>
          <w:sz w:val="24"/>
          <w:szCs w:val="24"/>
        </w:rPr>
        <w:t>tumor</w:t>
      </w:r>
      <w:proofErr w:type="spellEnd"/>
      <w:r w:rsidRPr="005A54EF">
        <w:rPr>
          <w:rFonts w:ascii="Times New Roman" w:eastAsia="Times New Roman" w:hAnsi="Times New Roman" w:cs="Times New Roman"/>
          <w:sz w:val="24"/>
          <w:szCs w:val="24"/>
        </w:rPr>
        <w:t xml:space="preserve"> was in mid and lower 1/3rd of rectum,</w:t>
      </w:r>
      <w:r w:rsidR="00AF6E5B" w:rsidRPr="005A54EF">
        <w:rPr>
          <w:rFonts w:ascii="Times New Roman" w:eastAsia="Times New Roman" w:hAnsi="Times New Roman" w:cs="Times New Roman"/>
          <w:sz w:val="24"/>
          <w:szCs w:val="24"/>
        </w:rPr>
        <w:t xml:space="preserve"> </w:t>
      </w:r>
      <w:r w:rsidRPr="005A54EF">
        <w:rPr>
          <w:rFonts w:ascii="Times New Roman" w:eastAsia="Times New Roman" w:hAnsi="Times New Roman" w:cs="Times New Roman"/>
          <w:sz w:val="24"/>
          <w:szCs w:val="24"/>
        </w:rPr>
        <w:t>most patients were treated with IMRT  as described in Table 1.</w:t>
      </w:r>
    </w:p>
    <w:p w14:paraId="1D6185BC" w14:textId="77777777" w:rsidR="002B5667" w:rsidRPr="005A54EF" w:rsidRDefault="002B5667" w:rsidP="005A54EF">
      <w:pPr>
        <w:widowControl w:val="0"/>
        <w:spacing w:line="480" w:lineRule="auto"/>
        <w:rPr>
          <w:rFonts w:ascii="Times New Roman" w:eastAsia="Times New Roman" w:hAnsi="Times New Roman" w:cs="Times New Roman"/>
          <w:sz w:val="24"/>
          <w:szCs w:val="24"/>
        </w:rPr>
      </w:pPr>
    </w:p>
    <w:p w14:paraId="415447DA" w14:textId="77777777" w:rsidR="002B5667" w:rsidRPr="005A54EF" w:rsidRDefault="002B5667" w:rsidP="005A54EF">
      <w:pPr>
        <w:widowControl w:val="0"/>
        <w:spacing w:line="480" w:lineRule="auto"/>
        <w:rPr>
          <w:rFonts w:ascii="Times New Roman" w:eastAsia="Times New Roman" w:hAnsi="Times New Roman" w:cs="Times New Roman"/>
          <w:sz w:val="24"/>
          <w:szCs w:val="24"/>
        </w:rPr>
      </w:pPr>
      <w:r w:rsidRPr="005A54EF">
        <w:rPr>
          <w:rFonts w:ascii="Times New Roman" w:eastAsia="Times New Roman" w:hAnsi="Times New Roman" w:cs="Times New Roman"/>
          <w:sz w:val="24"/>
          <w:szCs w:val="24"/>
        </w:rPr>
        <w:t xml:space="preserve">12 patients (30%) out of 40 had complete response, 26 patients (65%) out of 40 had partial response and 2 </w:t>
      </w:r>
      <w:proofErr w:type="gramStart"/>
      <w:r w:rsidRPr="005A54EF">
        <w:rPr>
          <w:rFonts w:ascii="Times New Roman" w:eastAsia="Times New Roman" w:hAnsi="Times New Roman" w:cs="Times New Roman"/>
          <w:sz w:val="24"/>
          <w:szCs w:val="24"/>
        </w:rPr>
        <w:t>patients(</w:t>
      </w:r>
      <w:proofErr w:type="gramEnd"/>
      <w:r w:rsidRPr="005A54EF">
        <w:rPr>
          <w:rFonts w:ascii="Times New Roman" w:eastAsia="Times New Roman" w:hAnsi="Times New Roman" w:cs="Times New Roman"/>
          <w:sz w:val="24"/>
          <w:szCs w:val="24"/>
        </w:rPr>
        <w:t>5%) progressed post NACTRT- all were statistically insignificant as described in Table 2.</w:t>
      </w:r>
    </w:p>
    <w:p w14:paraId="595545C5" w14:textId="0BA4FDE6" w:rsidR="002B5667" w:rsidRPr="00E618BA" w:rsidRDefault="002B5667" w:rsidP="00E618BA">
      <w:pPr>
        <w:widowControl w:val="0"/>
        <w:spacing w:before="20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sz w:val="24"/>
          <w:szCs w:val="24"/>
        </w:rPr>
        <w:t>14 patients (53%) out of 26 who had partial response had more than 50% reduction in tumor size.</w:t>
      </w:r>
      <w:r w:rsidR="00AF6E5B" w:rsidRPr="00E618BA">
        <w:rPr>
          <w:rFonts w:ascii="Times New Roman" w:eastAsia="Times New Roman" w:hAnsi="Times New Roman" w:cs="Times New Roman"/>
          <w:sz w:val="24"/>
          <w:szCs w:val="24"/>
        </w:rPr>
        <w:t xml:space="preserve"> </w:t>
      </w:r>
      <w:r w:rsidRPr="00E618BA">
        <w:rPr>
          <w:rFonts w:ascii="Times New Roman" w:eastAsia="Times New Roman" w:hAnsi="Times New Roman" w:cs="Times New Roman"/>
          <w:sz w:val="24"/>
          <w:szCs w:val="24"/>
        </w:rPr>
        <w:t>Male patients had better complete response than females.</w:t>
      </w:r>
      <w:r w:rsidR="00AF6E5B" w:rsidRPr="00E618BA">
        <w:rPr>
          <w:rFonts w:ascii="Times New Roman" w:eastAsia="Times New Roman" w:hAnsi="Times New Roman" w:cs="Times New Roman"/>
          <w:sz w:val="24"/>
          <w:szCs w:val="24"/>
        </w:rPr>
        <w:t xml:space="preserve"> </w:t>
      </w:r>
      <w:r w:rsidRPr="00E618BA">
        <w:rPr>
          <w:rFonts w:ascii="Times New Roman" w:eastAsia="Times New Roman" w:hAnsi="Times New Roman" w:cs="Times New Roman"/>
          <w:sz w:val="24"/>
          <w:szCs w:val="24"/>
        </w:rPr>
        <w:t>T2 stage had better response compared to other stages (early stage has better response) as described in Table 1.</w:t>
      </w:r>
    </w:p>
    <w:p w14:paraId="38724DB5" w14:textId="77777777" w:rsidR="003E2B33" w:rsidRPr="00E618BA" w:rsidRDefault="003E2B33" w:rsidP="00E618BA">
      <w:pPr>
        <w:spacing w:line="480" w:lineRule="auto"/>
        <w:rPr>
          <w:sz w:val="24"/>
          <w:szCs w:val="24"/>
        </w:rPr>
      </w:pPr>
    </w:p>
    <w:p w14:paraId="1915FC13" w14:textId="77777777" w:rsidR="009F7B34" w:rsidRDefault="009F7B34" w:rsidP="009F7B34">
      <w:pPr>
        <w:spacing w:before="360" w:after="80" w:line="259" w:lineRule="auto"/>
        <w:rPr>
          <w:rFonts w:ascii="Times New Roman" w:eastAsia="Times New Roman" w:hAnsi="Times New Roman" w:cs="Times New Roman"/>
          <w:sz w:val="24"/>
          <w:szCs w:val="24"/>
        </w:rPr>
      </w:pPr>
      <w:r>
        <w:rPr>
          <w:rFonts w:ascii="Times New Roman" w:eastAsia="Times New Roman" w:hAnsi="Times New Roman" w:cs="Times New Roman"/>
          <w:b/>
        </w:rPr>
        <w:t xml:space="preserve">Table </w:t>
      </w:r>
      <w:proofErr w:type="gramStart"/>
      <w:r>
        <w:rPr>
          <w:rFonts w:ascii="Times New Roman" w:eastAsia="Times New Roman" w:hAnsi="Times New Roman" w:cs="Times New Roman"/>
          <w:b/>
        </w:rPr>
        <w:t>1 :</w:t>
      </w:r>
      <w:proofErr w:type="gramEnd"/>
      <w:r>
        <w:rPr>
          <w:rFonts w:ascii="Times New Roman" w:eastAsia="Times New Roman" w:hAnsi="Times New Roman" w:cs="Times New Roman"/>
        </w:rPr>
        <w:t xml:space="preserve"> </w:t>
      </w:r>
      <w:r w:rsidRPr="00896CC0">
        <w:rPr>
          <w:rFonts w:ascii="Times New Roman" w:eastAsia="Times New Roman" w:hAnsi="Times New Roman" w:cs="Times New Roman"/>
          <w:b/>
          <w:bCs/>
        </w:rPr>
        <w:t xml:space="preserve">The Patient and tumor characteristics </w:t>
      </w:r>
      <w:r w:rsidRPr="00896CC0">
        <w:rPr>
          <w:rFonts w:ascii="Times New Roman" w:eastAsia="Times New Roman" w:hAnsi="Times New Roman" w:cs="Times New Roman"/>
          <w:b/>
          <w:bCs/>
          <w:sz w:val="24"/>
          <w:szCs w:val="24"/>
        </w:rPr>
        <w:t xml:space="preserve">included in this study are listed below. Chi square test to </w:t>
      </w:r>
      <w:proofErr w:type="spellStart"/>
      <w:r w:rsidRPr="00896CC0">
        <w:rPr>
          <w:rFonts w:ascii="Times New Roman" w:eastAsia="Times New Roman" w:hAnsi="Times New Roman" w:cs="Times New Roman"/>
          <w:b/>
          <w:bCs/>
          <w:sz w:val="24"/>
          <w:szCs w:val="24"/>
        </w:rPr>
        <w:t>comapre</w:t>
      </w:r>
      <w:proofErr w:type="spellEnd"/>
      <w:r w:rsidRPr="00896CC0">
        <w:rPr>
          <w:rFonts w:ascii="Times New Roman" w:eastAsia="Times New Roman" w:hAnsi="Times New Roman" w:cs="Times New Roman"/>
          <w:b/>
          <w:bCs/>
          <w:sz w:val="24"/>
          <w:szCs w:val="24"/>
        </w:rPr>
        <w:t xml:space="preserve"> the three categories with categorical variables</w:t>
      </w:r>
      <w:r>
        <w:rPr>
          <w:rFonts w:ascii="Times New Roman" w:eastAsia="Times New Roman" w:hAnsi="Times New Roman" w:cs="Times New Roman"/>
          <w:sz w:val="24"/>
          <w:szCs w:val="24"/>
        </w:rPr>
        <w:t xml:space="preserve"> </w:t>
      </w:r>
    </w:p>
    <w:tbl>
      <w:tblPr>
        <w:tblW w:w="10335" w:type="dxa"/>
        <w:tblLayout w:type="fixed"/>
        <w:tblLook w:val="0400" w:firstRow="0" w:lastRow="0" w:firstColumn="0" w:lastColumn="0" w:noHBand="0" w:noVBand="1"/>
      </w:tblPr>
      <w:tblGrid>
        <w:gridCol w:w="1650"/>
        <w:gridCol w:w="1365"/>
        <w:gridCol w:w="630"/>
        <w:gridCol w:w="2025"/>
        <w:gridCol w:w="1335"/>
        <w:gridCol w:w="1335"/>
        <w:gridCol w:w="1155"/>
        <w:gridCol w:w="840"/>
      </w:tblGrid>
      <w:tr w:rsidR="00187C5B" w14:paraId="5261A826" w14:textId="77777777" w:rsidTr="00E9349D">
        <w:trPr>
          <w:trHeight w:val="288"/>
        </w:trPr>
        <w:tc>
          <w:tcPr>
            <w:tcW w:w="1650" w:type="dxa"/>
            <w:vMerge w:val="restart"/>
            <w:tcBorders>
              <w:top w:val="single" w:sz="4" w:space="0" w:color="000000"/>
              <w:left w:val="single" w:sz="4" w:space="0" w:color="000000"/>
              <w:bottom w:val="nil"/>
              <w:right w:val="single" w:sz="4" w:space="0" w:color="000000"/>
            </w:tcBorders>
            <w:vAlign w:val="bottom"/>
          </w:tcPr>
          <w:p w14:paraId="29CAF19D" w14:textId="77777777" w:rsidR="00187C5B" w:rsidRDefault="00187C5B" w:rsidP="00E9349D">
            <w:pPr>
              <w:spacing w:line="240" w:lineRule="auto"/>
              <w:jc w:val="center"/>
              <w:rPr>
                <w:rFonts w:ascii="Aptos Narrow" w:eastAsia="Aptos Narrow" w:hAnsi="Aptos Narrow" w:cs="Aptos Narrow"/>
              </w:rPr>
            </w:pPr>
            <w:r>
              <w:rPr>
                <w:rFonts w:ascii="Aptos Narrow" w:eastAsia="Aptos Narrow" w:hAnsi="Aptos Narrow" w:cs="Aptos Narrow"/>
              </w:rPr>
              <w:t> </w:t>
            </w:r>
          </w:p>
        </w:tc>
        <w:tc>
          <w:tcPr>
            <w:tcW w:w="1365" w:type="dxa"/>
            <w:vMerge w:val="restart"/>
            <w:tcBorders>
              <w:top w:val="single" w:sz="4" w:space="0" w:color="000000"/>
              <w:left w:val="single" w:sz="4" w:space="0" w:color="000000"/>
              <w:bottom w:val="nil"/>
              <w:right w:val="nil"/>
            </w:tcBorders>
            <w:vAlign w:val="bottom"/>
          </w:tcPr>
          <w:p w14:paraId="69A3DD3D" w14:textId="77777777" w:rsidR="00187C5B" w:rsidRDefault="00187C5B" w:rsidP="00E9349D">
            <w:pPr>
              <w:spacing w:line="240" w:lineRule="auto"/>
              <w:jc w:val="center"/>
              <w:rPr>
                <w:rFonts w:ascii="Aptos Narrow" w:eastAsia="Aptos Narrow" w:hAnsi="Aptos Narrow" w:cs="Aptos Narrow"/>
              </w:rPr>
            </w:pPr>
            <w:r>
              <w:rPr>
                <w:rFonts w:ascii="Aptos Narrow" w:eastAsia="Aptos Narrow" w:hAnsi="Aptos Narrow" w:cs="Aptos Narrow"/>
              </w:rPr>
              <w:t>Categories</w:t>
            </w:r>
          </w:p>
        </w:tc>
        <w:tc>
          <w:tcPr>
            <w:tcW w:w="630" w:type="dxa"/>
            <w:vMerge w:val="restart"/>
            <w:tcBorders>
              <w:top w:val="single" w:sz="4" w:space="0" w:color="000000"/>
              <w:left w:val="single" w:sz="4" w:space="0" w:color="000000"/>
              <w:bottom w:val="nil"/>
              <w:right w:val="nil"/>
            </w:tcBorders>
            <w:vAlign w:val="bottom"/>
          </w:tcPr>
          <w:p w14:paraId="4E6B58C2" w14:textId="77777777" w:rsidR="00187C5B" w:rsidRDefault="00187C5B" w:rsidP="00E9349D">
            <w:pPr>
              <w:spacing w:line="240" w:lineRule="auto"/>
              <w:jc w:val="center"/>
              <w:rPr>
                <w:rFonts w:ascii="Aptos Narrow" w:eastAsia="Aptos Narrow" w:hAnsi="Aptos Narrow" w:cs="Aptos Narrow"/>
              </w:rPr>
            </w:pPr>
            <w:r>
              <w:rPr>
                <w:rFonts w:ascii="Aptos Narrow" w:eastAsia="Aptos Narrow" w:hAnsi="Aptos Narrow" w:cs="Aptos Narrow"/>
              </w:rPr>
              <w:t>N</w:t>
            </w:r>
          </w:p>
        </w:tc>
        <w:tc>
          <w:tcPr>
            <w:tcW w:w="4695" w:type="dxa"/>
            <w:gridSpan w:val="3"/>
            <w:tcBorders>
              <w:top w:val="single" w:sz="4" w:space="0" w:color="000000"/>
              <w:left w:val="single" w:sz="4" w:space="0" w:color="000000"/>
              <w:bottom w:val="nil"/>
              <w:right w:val="nil"/>
            </w:tcBorders>
            <w:vAlign w:val="bottom"/>
          </w:tcPr>
          <w:p w14:paraId="0738DE07" w14:textId="77777777" w:rsidR="00187C5B" w:rsidRDefault="00187C5B" w:rsidP="00E9349D">
            <w:pPr>
              <w:spacing w:line="240" w:lineRule="auto"/>
              <w:jc w:val="center"/>
              <w:rPr>
                <w:rFonts w:ascii="Aptos Narrow" w:eastAsia="Aptos Narrow" w:hAnsi="Aptos Narrow" w:cs="Aptos Narrow"/>
              </w:rPr>
            </w:pPr>
            <w:r>
              <w:rPr>
                <w:rFonts w:ascii="Aptos Narrow" w:eastAsia="Aptos Narrow" w:hAnsi="Aptos Narrow" w:cs="Aptos Narrow"/>
              </w:rPr>
              <w:t>Response</w:t>
            </w:r>
          </w:p>
        </w:tc>
        <w:tc>
          <w:tcPr>
            <w:tcW w:w="1155" w:type="dxa"/>
            <w:vMerge w:val="restart"/>
            <w:tcBorders>
              <w:top w:val="single" w:sz="4" w:space="0" w:color="000000"/>
              <w:left w:val="single" w:sz="4" w:space="0" w:color="000000"/>
              <w:bottom w:val="nil"/>
              <w:right w:val="nil"/>
            </w:tcBorders>
            <w:vAlign w:val="bottom"/>
          </w:tcPr>
          <w:p w14:paraId="2BAA53F6" w14:textId="77777777" w:rsidR="00187C5B" w:rsidRDefault="00187C5B" w:rsidP="00E9349D">
            <w:pPr>
              <w:spacing w:line="240" w:lineRule="auto"/>
              <w:jc w:val="center"/>
              <w:rPr>
                <w:rFonts w:ascii="Aptos Narrow" w:eastAsia="Aptos Narrow" w:hAnsi="Aptos Narrow" w:cs="Aptos Narrow"/>
              </w:rPr>
            </w:pPr>
            <w:r>
              <w:rPr>
                <w:rFonts w:ascii="Aptos Narrow" w:eastAsia="Aptos Narrow" w:hAnsi="Aptos Narrow" w:cs="Aptos Narrow"/>
              </w:rPr>
              <w:t>Chi square</w:t>
            </w:r>
          </w:p>
        </w:tc>
        <w:tc>
          <w:tcPr>
            <w:tcW w:w="840" w:type="dxa"/>
            <w:vMerge w:val="restart"/>
            <w:tcBorders>
              <w:top w:val="single" w:sz="4" w:space="0" w:color="000000"/>
              <w:left w:val="single" w:sz="4" w:space="0" w:color="000000"/>
              <w:bottom w:val="nil"/>
              <w:right w:val="single" w:sz="4" w:space="0" w:color="000000"/>
            </w:tcBorders>
            <w:vAlign w:val="bottom"/>
          </w:tcPr>
          <w:p w14:paraId="4063DEA8" w14:textId="77777777" w:rsidR="00187C5B" w:rsidRDefault="00187C5B" w:rsidP="00E9349D">
            <w:pPr>
              <w:spacing w:line="240" w:lineRule="auto"/>
              <w:jc w:val="center"/>
              <w:rPr>
                <w:rFonts w:ascii="Aptos Narrow" w:eastAsia="Aptos Narrow" w:hAnsi="Aptos Narrow" w:cs="Aptos Narrow"/>
              </w:rPr>
            </w:pPr>
            <w:r>
              <w:rPr>
                <w:rFonts w:ascii="Aptos Narrow" w:eastAsia="Aptos Narrow" w:hAnsi="Aptos Narrow" w:cs="Aptos Narrow"/>
              </w:rPr>
              <w:t>P value</w:t>
            </w:r>
          </w:p>
        </w:tc>
      </w:tr>
      <w:tr w:rsidR="00187C5B" w14:paraId="6E6BC1C3" w14:textId="77777777" w:rsidTr="00E9349D">
        <w:trPr>
          <w:trHeight w:val="288"/>
        </w:trPr>
        <w:tc>
          <w:tcPr>
            <w:tcW w:w="1650" w:type="dxa"/>
            <w:vMerge/>
            <w:tcBorders>
              <w:top w:val="single" w:sz="4" w:space="0" w:color="000000"/>
              <w:left w:val="single" w:sz="4" w:space="0" w:color="000000"/>
              <w:bottom w:val="nil"/>
              <w:right w:val="single" w:sz="4" w:space="0" w:color="000000"/>
            </w:tcBorders>
            <w:vAlign w:val="bottom"/>
          </w:tcPr>
          <w:p w14:paraId="077CA0D6" w14:textId="77777777" w:rsidR="00187C5B" w:rsidRDefault="00187C5B" w:rsidP="00E9349D">
            <w:pPr>
              <w:widowControl w:val="0"/>
              <w:pBdr>
                <w:top w:val="nil"/>
                <w:left w:val="nil"/>
                <w:bottom w:val="nil"/>
                <w:right w:val="nil"/>
                <w:between w:val="nil"/>
              </w:pBdr>
              <w:rPr>
                <w:rFonts w:ascii="Aptos Narrow" w:eastAsia="Aptos Narrow" w:hAnsi="Aptos Narrow" w:cs="Aptos Narrow"/>
              </w:rPr>
            </w:pPr>
          </w:p>
        </w:tc>
        <w:tc>
          <w:tcPr>
            <w:tcW w:w="1365" w:type="dxa"/>
            <w:vMerge/>
            <w:tcBorders>
              <w:top w:val="single" w:sz="4" w:space="0" w:color="000000"/>
              <w:left w:val="single" w:sz="4" w:space="0" w:color="000000"/>
              <w:bottom w:val="nil"/>
              <w:right w:val="nil"/>
            </w:tcBorders>
            <w:vAlign w:val="bottom"/>
          </w:tcPr>
          <w:p w14:paraId="5332DBDA" w14:textId="77777777" w:rsidR="00187C5B" w:rsidRDefault="00187C5B" w:rsidP="00E9349D">
            <w:pPr>
              <w:widowControl w:val="0"/>
              <w:pBdr>
                <w:top w:val="nil"/>
                <w:left w:val="nil"/>
                <w:bottom w:val="nil"/>
                <w:right w:val="nil"/>
                <w:between w:val="nil"/>
              </w:pBdr>
              <w:rPr>
                <w:rFonts w:ascii="Aptos Narrow" w:eastAsia="Aptos Narrow" w:hAnsi="Aptos Narrow" w:cs="Aptos Narrow"/>
              </w:rPr>
            </w:pPr>
          </w:p>
        </w:tc>
        <w:tc>
          <w:tcPr>
            <w:tcW w:w="630" w:type="dxa"/>
            <w:vMerge/>
            <w:tcBorders>
              <w:top w:val="single" w:sz="4" w:space="0" w:color="000000"/>
              <w:left w:val="single" w:sz="4" w:space="0" w:color="000000"/>
              <w:bottom w:val="nil"/>
              <w:right w:val="nil"/>
            </w:tcBorders>
            <w:vAlign w:val="bottom"/>
          </w:tcPr>
          <w:p w14:paraId="6129172E" w14:textId="77777777" w:rsidR="00187C5B" w:rsidRDefault="00187C5B" w:rsidP="00E9349D">
            <w:pPr>
              <w:widowControl w:val="0"/>
              <w:pBdr>
                <w:top w:val="nil"/>
                <w:left w:val="nil"/>
                <w:bottom w:val="nil"/>
                <w:right w:val="nil"/>
                <w:between w:val="nil"/>
              </w:pBdr>
              <w:rPr>
                <w:rFonts w:ascii="Aptos Narrow" w:eastAsia="Aptos Narrow" w:hAnsi="Aptos Narrow" w:cs="Aptos Narrow"/>
              </w:rPr>
            </w:pPr>
          </w:p>
        </w:tc>
        <w:tc>
          <w:tcPr>
            <w:tcW w:w="2025" w:type="dxa"/>
            <w:tcBorders>
              <w:top w:val="single" w:sz="4" w:space="0" w:color="000000"/>
              <w:left w:val="single" w:sz="4" w:space="0" w:color="000000"/>
              <w:bottom w:val="nil"/>
              <w:right w:val="nil"/>
            </w:tcBorders>
            <w:vAlign w:val="bottom"/>
          </w:tcPr>
          <w:p w14:paraId="006B2984"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Complete response (N (%))</w:t>
            </w:r>
          </w:p>
        </w:tc>
        <w:tc>
          <w:tcPr>
            <w:tcW w:w="1335" w:type="dxa"/>
            <w:tcBorders>
              <w:top w:val="single" w:sz="4" w:space="0" w:color="000000"/>
              <w:left w:val="single" w:sz="4" w:space="0" w:color="000000"/>
              <w:bottom w:val="nil"/>
              <w:right w:val="nil"/>
            </w:tcBorders>
            <w:vAlign w:val="bottom"/>
          </w:tcPr>
          <w:p w14:paraId="2A244C5A"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Partial response (N (%))</w:t>
            </w:r>
          </w:p>
        </w:tc>
        <w:tc>
          <w:tcPr>
            <w:tcW w:w="1335" w:type="dxa"/>
            <w:tcBorders>
              <w:top w:val="single" w:sz="4" w:space="0" w:color="000000"/>
              <w:left w:val="single" w:sz="4" w:space="0" w:color="000000"/>
              <w:bottom w:val="nil"/>
              <w:right w:val="nil"/>
            </w:tcBorders>
            <w:vAlign w:val="bottom"/>
          </w:tcPr>
          <w:p w14:paraId="4D91D04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Progression (N (%))</w:t>
            </w:r>
          </w:p>
        </w:tc>
        <w:tc>
          <w:tcPr>
            <w:tcW w:w="1155" w:type="dxa"/>
            <w:vMerge/>
            <w:tcBorders>
              <w:top w:val="single" w:sz="4" w:space="0" w:color="000000"/>
              <w:left w:val="single" w:sz="4" w:space="0" w:color="000000"/>
              <w:bottom w:val="nil"/>
              <w:right w:val="nil"/>
            </w:tcBorders>
            <w:vAlign w:val="bottom"/>
          </w:tcPr>
          <w:p w14:paraId="6DF0AA0B" w14:textId="77777777" w:rsidR="00187C5B" w:rsidRDefault="00187C5B" w:rsidP="00E9349D">
            <w:pPr>
              <w:widowControl w:val="0"/>
              <w:pBdr>
                <w:top w:val="nil"/>
                <w:left w:val="nil"/>
                <w:bottom w:val="nil"/>
                <w:right w:val="nil"/>
                <w:between w:val="nil"/>
              </w:pBdr>
              <w:rPr>
                <w:rFonts w:ascii="Aptos Narrow" w:eastAsia="Aptos Narrow" w:hAnsi="Aptos Narrow" w:cs="Aptos Narrow"/>
              </w:rPr>
            </w:pPr>
          </w:p>
        </w:tc>
        <w:tc>
          <w:tcPr>
            <w:tcW w:w="840" w:type="dxa"/>
            <w:vMerge/>
            <w:tcBorders>
              <w:top w:val="single" w:sz="4" w:space="0" w:color="000000"/>
              <w:left w:val="single" w:sz="4" w:space="0" w:color="000000"/>
              <w:bottom w:val="nil"/>
              <w:right w:val="single" w:sz="4" w:space="0" w:color="000000"/>
            </w:tcBorders>
            <w:vAlign w:val="bottom"/>
          </w:tcPr>
          <w:p w14:paraId="44B85398" w14:textId="77777777" w:rsidR="00187C5B" w:rsidRDefault="00187C5B" w:rsidP="00E9349D">
            <w:pPr>
              <w:widowControl w:val="0"/>
              <w:pBdr>
                <w:top w:val="nil"/>
                <w:left w:val="nil"/>
                <w:bottom w:val="nil"/>
                <w:right w:val="nil"/>
                <w:between w:val="nil"/>
              </w:pBdr>
              <w:rPr>
                <w:rFonts w:ascii="Aptos Narrow" w:eastAsia="Aptos Narrow" w:hAnsi="Aptos Narrow" w:cs="Aptos Narrow"/>
              </w:rPr>
            </w:pPr>
          </w:p>
        </w:tc>
      </w:tr>
      <w:tr w:rsidR="00187C5B" w14:paraId="7539B3B9" w14:textId="77777777" w:rsidTr="00E9349D">
        <w:trPr>
          <w:trHeight w:val="288"/>
        </w:trPr>
        <w:tc>
          <w:tcPr>
            <w:tcW w:w="1650" w:type="dxa"/>
            <w:tcBorders>
              <w:top w:val="single" w:sz="4" w:space="0" w:color="000000"/>
              <w:left w:val="single" w:sz="4" w:space="0" w:color="000000"/>
              <w:bottom w:val="nil"/>
              <w:right w:val="nil"/>
            </w:tcBorders>
            <w:vAlign w:val="bottom"/>
          </w:tcPr>
          <w:p w14:paraId="36F543F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AGE Categories</w:t>
            </w:r>
          </w:p>
        </w:tc>
        <w:tc>
          <w:tcPr>
            <w:tcW w:w="1365" w:type="dxa"/>
            <w:tcBorders>
              <w:top w:val="single" w:sz="4" w:space="0" w:color="000000"/>
              <w:left w:val="single" w:sz="4" w:space="0" w:color="000000"/>
              <w:bottom w:val="nil"/>
              <w:right w:val="nil"/>
            </w:tcBorders>
            <w:vAlign w:val="bottom"/>
          </w:tcPr>
          <w:p w14:paraId="7A3DF4F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&lt;40</w:t>
            </w:r>
          </w:p>
        </w:tc>
        <w:tc>
          <w:tcPr>
            <w:tcW w:w="630" w:type="dxa"/>
            <w:tcBorders>
              <w:top w:val="single" w:sz="4" w:space="0" w:color="000000"/>
              <w:left w:val="single" w:sz="4" w:space="0" w:color="000000"/>
              <w:bottom w:val="nil"/>
              <w:right w:val="nil"/>
            </w:tcBorders>
            <w:vAlign w:val="bottom"/>
          </w:tcPr>
          <w:p w14:paraId="35EC4A9A"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3</w:t>
            </w:r>
          </w:p>
        </w:tc>
        <w:tc>
          <w:tcPr>
            <w:tcW w:w="2025" w:type="dxa"/>
            <w:tcBorders>
              <w:top w:val="single" w:sz="4" w:space="0" w:color="000000"/>
              <w:left w:val="single" w:sz="4" w:space="0" w:color="000000"/>
              <w:bottom w:val="nil"/>
              <w:right w:val="nil"/>
            </w:tcBorders>
            <w:vAlign w:val="bottom"/>
          </w:tcPr>
          <w:p w14:paraId="44F6D4E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(9.1)</w:t>
            </w:r>
          </w:p>
        </w:tc>
        <w:tc>
          <w:tcPr>
            <w:tcW w:w="1335" w:type="dxa"/>
            <w:tcBorders>
              <w:top w:val="single" w:sz="4" w:space="0" w:color="000000"/>
              <w:left w:val="single" w:sz="4" w:space="0" w:color="000000"/>
              <w:bottom w:val="nil"/>
              <w:right w:val="nil"/>
            </w:tcBorders>
            <w:vAlign w:val="bottom"/>
          </w:tcPr>
          <w:p w14:paraId="4C519AE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(7.4)</w:t>
            </w:r>
          </w:p>
        </w:tc>
        <w:tc>
          <w:tcPr>
            <w:tcW w:w="1335" w:type="dxa"/>
            <w:tcBorders>
              <w:top w:val="single" w:sz="4" w:space="0" w:color="000000"/>
              <w:left w:val="single" w:sz="4" w:space="0" w:color="000000"/>
              <w:bottom w:val="nil"/>
              <w:right w:val="nil"/>
            </w:tcBorders>
            <w:vAlign w:val="bottom"/>
          </w:tcPr>
          <w:p w14:paraId="71B0374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single" w:sz="4" w:space="0" w:color="000000"/>
              <w:left w:val="single" w:sz="4" w:space="0" w:color="000000"/>
              <w:bottom w:val="nil"/>
              <w:right w:val="nil"/>
            </w:tcBorders>
            <w:vAlign w:val="bottom"/>
          </w:tcPr>
          <w:p w14:paraId="1044A051"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7.35</w:t>
            </w:r>
          </w:p>
        </w:tc>
        <w:tc>
          <w:tcPr>
            <w:tcW w:w="840" w:type="dxa"/>
            <w:tcBorders>
              <w:top w:val="single" w:sz="4" w:space="0" w:color="000000"/>
              <w:left w:val="single" w:sz="4" w:space="0" w:color="000000"/>
              <w:bottom w:val="nil"/>
              <w:right w:val="single" w:sz="4" w:space="0" w:color="000000"/>
            </w:tcBorders>
            <w:vAlign w:val="bottom"/>
          </w:tcPr>
          <w:p w14:paraId="33C705E3"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0.499</w:t>
            </w:r>
          </w:p>
        </w:tc>
      </w:tr>
      <w:tr w:rsidR="00187C5B" w14:paraId="1AF10AD0" w14:textId="77777777" w:rsidTr="00E9349D">
        <w:trPr>
          <w:trHeight w:val="288"/>
        </w:trPr>
        <w:tc>
          <w:tcPr>
            <w:tcW w:w="1650" w:type="dxa"/>
            <w:tcBorders>
              <w:top w:val="nil"/>
              <w:left w:val="single" w:sz="4" w:space="0" w:color="000000"/>
              <w:bottom w:val="nil"/>
              <w:right w:val="nil"/>
            </w:tcBorders>
            <w:vAlign w:val="bottom"/>
          </w:tcPr>
          <w:p w14:paraId="41B0AD6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31F82EB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41-50</w:t>
            </w:r>
          </w:p>
        </w:tc>
        <w:tc>
          <w:tcPr>
            <w:tcW w:w="630" w:type="dxa"/>
            <w:tcBorders>
              <w:top w:val="single" w:sz="4" w:space="0" w:color="000000"/>
              <w:left w:val="single" w:sz="4" w:space="0" w:color="000000"/>
              <w:bottom w:val="nil"/>
              <w:right w:val="nil"/>
            </w:tcBorders>
            <w:vAlign w:val="bottom"/>
          </w:tcPr>
          <w:p w14:paraId="1925F3F6"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3</w:t>
            </w:r>
          </w:p>
        </w:tc>
        <w:tc>
          <w:tcPr>
            <w:tcW w:w="2025" w:type="dxa"/>
            <w:tcBorders>
              <w:top w:val="single" w:sz="4" w:space="0" w:color="000000"/>
              <w:left w:val="single" w:sz="4" w:space="0" w:color="000000"/>
              <w:bottom w:val="nil"/>
              <w:right w:val="nil"/>
            </w:tcBorders>
            <w:vAlign w:val="bottom"/>
          </w:tcPr>
          <w:p w14:paraId="600CDC0A"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686243E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3 (11.1)</w:t>
            </w:r>
          </w:p>
        </w:tc>
        <w:tc>
          <w:tcPr>
            <w:tcW w:w="1335" w:type="dxa"/>
            <w:tcBorders>
              <w:top w:val="single" w:sz="4" w:space="0" w:color="000000"/>
              <w:left w:val="single" w:sz="4" w:space="0" w:color="000000"/>
              <w:bottom w:val="nil"/>
              <w:right w:val="nil"/>
            </w:tcBorders>
            <w:vAlign w:val="bottom"/>
          </w:tcPr>
          <w:p w14:paraId="1CD3A75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7EC7BE2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4FD78AB4"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5770237A" w14:textId="77777777" w:rsidTr="00E9349D">
        <w:trPr>
          <w:trHeight w:val="288"/>
        </w:trPr>
        <w:tc>
          <w:tcPr>
            <w:tcW w:w="1650" w:type="dxa"/>
            <w:tcBorders>
              <w:top w:val="nil"/>
              <w:left w:val="single" w:sz="4" w:space="0" w:color="000000"/>
              <w:bottom w:val="nil"/>
              <w:right w:val="nil"/>
            </w:tcBorders>
            <w:vAlign w:val="bottom"/>
          </w:tcPr>
          <w:p w14:paraId="2C3884D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0F4DC7B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51-60</w:t>
            </w:r>
          </w:p>
        </w:tc>
        <w:tc>
          <w:tcPr>
            <w:tcW w:w="630" w:type="dxa"/>
            <w:tcBorders>
              <w:top w:val="single" w:sz="4" w:space="0" w:color="000000"/>
              <w:left w:val="single" w:sz="4" w:space="0" w:color="000000"/>
              <w:bottom w:val="nil"/>
              <w:right w:val="nil"/>
            </w:tcBorders>
            <w:vAlign w:val="bottom"/>
          </w:tcPr>
          <w:p w14:paraId="35F35826"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14</w:t>
            </w:r>
          </w:p>
        </w:tc>
        <w:tc>
          <w:tcPr>
            <w:tcW w:w="2025" w:type="dxa"/>
            <w:tcBorders>
              <w:top w:val="single" w:sz="4" w:space="0" w:color="000000"/>
              <w:left w:val="single" w:sz="4" w:space="0" w:color="000000"/>
              <w:bottom w:val="nil"/>
              <w:right w:val="nil"/>
            </w:tcBorders>
            <w:vAlign w:val="bottom"/>
          </w:tcPr>
          <w:p w14:paraId="53898B23"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(18.2)</w:t>
            </w:r>
          </w:p>
        </w:tc>
        <w:tc>
          <w:tcPr>
            <w:tcW w:w="1335" w:type="dxa"/>
            <w:tcBorders>
              <w:top w:val="single" w:sz="4" w:space="0" w:color="000000"/>
              <w:left w:val="single" w:sz="4" w:space="0" w:color="000000"/>
              <w:bottom w:val="nil"/>
              <w:right w:val="nil"/>
            </w:tcBorders>
            <w:vAlign w:val="bottom"/>
          </w:tcPr>
          <w:p w14:paraId="5EAB95A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10 (37)</w:t>
            </w:r>
          </w:p>
        </w:tc>
        <w:tc>
          <w:tcPr>
            <w:tcW w:w="1335" w:type="dxa"/>
            <w:tcBorders>
              <w:top w:val="single" w:sz="4" w:space="0" w:color="000000"/>
              <w:left w:val="single" w:sz="4" w:space="0" w:color="000000"/>
              <w:bottom w:val="nil"/>
              <w:right w:val="nil"/>
            </w:tcBorders>
            <w:vAlign w:val="bottom"/>
          </w:tcPr>
          <w:p w14:paraId="779A177D"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(100)</w:t>
            </w:r>
          </w:p>
        </w:tc>
        <w:tc>
          <w:tcPr>
            <w:tcW w:w="1155" w:type="dxa"/>
            <w:tcBorders>
              <w:top w:val="nil"/>
              <w:left w:val="single" w:sz="4" w:space="0" w:color="000000"/>
              <w:bottom w:val="nil"/>
              <w:right w:val="nil"/>
            </w:tcBorders>
            <w:vAlign w:val="bottom"/>
          </w:tcPr>
          <w:p w14:paraId="6D840A1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7D844C4D"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4EB1B534" w14:textId="77777777" w:rsidTr="00E9349D">
        <w:trPr>
          <w:trHeight w:val="288"/>
        </w:trPr>
        <w:tc>
          <w:tcPr>
            <w:tcW w:w="1650" w:type="dxa"/>
            <w:tcBorders>
              <w:top w:val="nil"/>
              <w:left w:val="single" w:sz="4" w:space="0" w:color="000000"/>
              <w:bottom w:val="nil"/>
              <w:right w:val="nil"/>
            </w:tcBorders>
            <w:vAlign w:val="bottom"/>
          </w:tcPr>
          <w:p w14:paraId="040DE2C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23C0BB04"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61-70</w:t>
            </w:r>
          </w:p>
        </w:tc>
        <w:tc>
          <w:tcPr>
            <w:tcW w:w="630" w:type="dxa"/>
            <w:tcBorders>
              <w:top w:val="single" w:sz="4" w:space="0" w:color="000000"/>
              <w:left w:val="single" w:sz="4" w:space="0" w:color="000000"/>
              <w:bottom w:val="nil"/>
              <w:right w:val="nil"/>
            </w:tcBorders>
            <w:vAlign w:val="bottom"/>
          </w:tcPr>
          <w:p w14:paraId="33D34512"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17</w:t>
            </w:r>
          </w:p>
        </w:tc>
        <w:tc>
          <w:tcPr>
            <w:tcW w:w="2025" w:type="dxa"/>
            <w:tcBorders>
              <w:top w:val="single" w:sz="4" w:space="0" w:color="000000"/>
              <w:left w:val="single" w:sz="4" w:space="0" w:color="000000"/>
              <w:bottom w:val="nil"/>
              <w:right w:val="nil"/>
            </w:tcBorders>
            <w:vAlign w:val="bottom"/>
          </w:tcPr>
          <w:p w14:paraId="4B0D9B5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7 (63.6)</w:t>
            </w:r>
          </w:p>
        </w:tc>
        <w:tc>
          <w:tcPr>
            <w:tcW w:w="1335" w:type="dxa"/>
            <w:tcBorders>
              <w:top w:val="single" w:sz="4" w:space="0" w:color="000000"/>
              <w:left w:val="single" w:sz="4" w:space="0" w:color="000000"/>
              <w:bottom w:val="nil"/>
              <w:right w:val="nil"/>
            </w:tcBorders>
            <w:vAlign w:val="bottom"/>
          </w:tcPr>
          <w:p w14:paraId="640DC76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10 (37)</w:t>
            </w:r>
          </w:p>
        </w:tc>
        <w:tc>
          <w:tcPr>
            <w:tcW w:w="1335" w:type="dxa"/>
            <w:tcBorders>
              <w:top w:val="single" w:sz="4" w:space="0" w:color="000000"/>
              <w:left w:val="single" w:sz="4" w:space="0" w:color="000000"/>
              <w:bottom w:val="nil"/>
              <w:right w:val="nil"/>
            </w:tcBorders>
            <w:vAlign w:val="bottom"/>
          </w:tcPr>
          <w:p w14:paraId="7FA78FF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5A4BA10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226D1B0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75453819" w14:textId="77777777" w:rsidTr="00E9349D">
        <w:trPr>
          <w:trHeight w:val="288"/>
        </w:trPr>
        <w:tc>
          <w:tcPr>
            <w:tcW w:w="1650" w:type="dxa"/>
            <w:tcBorders>
              <w:top w:val="nil"/>
              <w:left w:val="single" w:sz="4" w:space="0" w:color="000000"/>
              <w:bottom w:val="nil"/>
              <w:right w:val="nil"/>
            </w:tcBorders>
            <w:vAlign w:val="bottom"/>
          </w:tcPr>
          <w:p w14:paraId="12815C7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07C418A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&gt;70</w:t>
            </w:r>
          </w:p>
        </w:tc>
        <w:tc>
          <w:tcPr>
            <w:tcW w:w="630" w:type="dxa"/>
            <w:tcBorders>
              <w:top w:val="single" w:sz="4" w:space="0" w:color="000000"/>
              <w:left w:val="single" w:sz="4" w:space="0" w:color="000000"/>
              <w:bottom w:val="nil"/>
              <w:right w:val="nil"/>
            </w:tcBorders>
            <w:vAlign w:val="bottom"/>
          </w:tcPr>
          <w:p w14:paraId="08F23142"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3</w:t>
            </w:r>
          </w:p>
        </w:tc>
        <w:tc>
          <w:tcPr>
            <w:tcW w:w="2025" w:type="dxa"/>
            <w:tcBorders>
              <w:top w:val="single" w:sz="4" w:space="0" w:color="000000"/>
              <w:left w:val="single" w:sz="4" w:space="0" w:color="000000"/>
              <w:bottom w:val="nil"/>
              <w:right w:val="nil"/>
            </w:tcBorders>
            <w:vAlign w:val="bottom"/>
          </w:tcPr>
          <w:p w14:paraId="4E58771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(9.1)</w:t>
            </w:r>
          </w:p>
        </w:tc>
        <w:tc>
          <w:tcPr>
            <w:tcW w:w="1335" w:type="dxa"/>
            <w:tcBorders>
              <w:top w:val="single" w:sz="4" w:space="0" w:color="000000"/>
              <w:left w:val="single" w:sz="4" w:space="0" w:color="000000"/>
              <w:bottom w:val="nil"/>
              <w:right w:val="nil"/>
            </w:tcBorders>
            <w:vAlign w:val="bottom"/>
          </w:tcPr>
          <w:p w14:paraId="32DE479D"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(7.4)</w:t>
            </w:r>
          </w:p>
        </w:tc>
        <w:tc>
          <w:tcPr>
            <w:tcW w:w="1335" w:type="dxa"/>
            <w:tcBorders>
              <w:top w:val="single" w:sz="4" w:space="0" w:color="000000"/>
              <w:left w:val="single" w:sz="4" w:space="0" w:color="000000"/>
              <w:bottom w:val="nil"/>
              <w:right w:val="nil"/>
            </w:tcBorders>
            <w:vAlign w:val="bottom"/>
          </w:tcPr>
          <w:p w14:paraId="146E0EB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5D37D45A"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41DA784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3C914835" w14:textId="77777777" w:rsidTr="00E9349D">
        <w:trPr>
          <w:trHeight w:val="288"/>
        </w:trPr>
        <w:tc>
          <w:tcPr>
            <w:tcW w:w="1650" w:type="dxa"/>
            <w:tcBorders>
              <w:top w:val="single" w:sz="4" w:space="0" w:color="000000"/>
              <w:left w:val="single" w:sz="4" w:space="0" w:color="000000"/>
              <w:bottom w:val="nil"/>
              <w:right w:val="nil"/>
            </w:tcBorders>
            <w:vAlign w:val="bottom"/>
          </w:tcPr>
          <w:p w14:paraId="7B85FE0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GENDER</w:t>
            </w:r>
          </w:p>
        </w:tc>
        <w:tc>
          <w:tcPr>
            <w:tcW w:w="1365" w:type="dxa"/>
            <w:tcBorders>
              <w:top w:val="single" w:sz="4" w:space="0" w:color="000000"/>
              <w:left w:val="single" w:sz="4" w:space="0" w:color="000000"/>
              <w:bottom w:val="nil"/>
              <w:right w:val="nil"/>
            </w:tcBorders>
            <w:vAlign w:val="bottom"/>
          </w:tcPr>
          <w:p w14:paraId="5E6F68E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F</w:t>
            </w:r>
          </w:p>
        </w:tc>
        <w:tc>
          <w:tcPr>
            <w:tcW w:w="630" w:type="dxa"/>
            <w:tcBorders>
              <w:top w:val="single" w:sz="4" w:space="0" w:color="000000"/>
              <w:left w:val="single" w:sz="4" w:space="0" w:color="000000"/>
              <w:bottom w:val="nil"/>
              <w:right w:val="nil"/>
            </w:tcBorders>
            <w:vAlign w:val="bottom"/>
          </w:tcPr>
          <w:p w14:paraId="731914DA"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10</w:t>
            </w:r>
          </w:p>
        </w:tc>
        <w:tc>
          <w:tcPr>
            <w:tcW w:w="2025" w:type="dxa"/>
            <w:tcBorders>
              <w:top w:val="single" w:sz="4" w:space="0" w:color="000000"/>
              <w:left w:val="single" w:sz="4" w:space="0" w:color="000000"/>
              <w:bottom w:val="nil"/>
              <w:right w:val="nil"/>
            </w:tcBorders>
            <w:vAlign w:val="bottom"/>
          </w:tcPr>
          <w:p w14:paraId="2441D75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(18.2)</w:t>
            </w:r>
          </w:p>
        </w:tc>
        <w:tc>
          <w:tcPr>
            <w:tcW w:w="1335" w:type="dxa"/>
            <w:tcBorders>
              <w:top w:val="single" w:sz="4" w:space="0" w:color="000000"/>
              <w:left w:val="single" w:sz="4" w:space="0" w:color="000000"/>
              <w:bottom w:val="nil"/>
              <w:right w:val="nil"/>
            </w:tcBorders>
            <w:vAlign w:val="bottom"/>
          </w:tcPr>
          <w:p w14:paraId="0CEF376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8 (29.6)</w:t>
            </w:r>
          </w:p>
        </w:tc>
        <w:tc>
          <w:tcPr>
            <w:tcW w:w="1335" w:type="dxa"/>
            <w:tcBorders>
              <w:top w:val="single" w:sz="4" w:space="0" w:color="000000"/>
              <w:left w:val="single" w:sz="4" w:space="0" w:color="000000"/>
              <w:bottom w:val="nil"/>
              <w:right w:val="nil"/>
            </w:tcBorders>
            <w:vAlign w:val="bottom"/>
          </w:tcPr>
          <w:p w14:paraId="502CCAC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single" w:sz="4" w:space="0" w:color="000000"/>
              <w:left w:val="single" w:sz="4" w:space="0" w:color="000000"/>
              <w:bottom w:val="nil"/>
              <w:right w:val="nil"/>
            </w:tcBorders>
            <w:vAlign w:val="bottom"/>
          </w:tcPr>
          <w:p w14:paraId="616CDB49"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1.248</w:t>
            </w:r>
          </w:p>
        </w:tc>
        <w:tc>
          <w:tcPr>
            <w:tcW w:w="840" w:type="dxa"/>
            <w:tcBorders>
              <w:top w:val="single" w:sz="4" w:space="0" w:color="000000"/>
              <w:left w:val="single" w:sz="4" w:space="0" w:color="000000"/>
              <w:bottom w:val="nil"/>
              <w:right w:val="single" w:sz="4" w:space="0" w:color="000000"/>
            </w:tcBorders>
            <w:vAlign w:val="bottom"/>
          </w:tcPr>
          <w:p w14:paraId="28255DEE"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0.536</w:t>
            </w:r>
          </w:p>
        </w:tc>
      </w:tr>
      <w:tr w:rsidR="00187C5B" w14:paraId="7A01DE44" w14:textId="77777777" w:rsidTr="00E9349D">
        <w:trPr>
          <w:trHeight w:val="288"/>
        </w:trPr>
        <w:tc>
          <w:tcPr>
            <w:tcW w:w="1650" w:type="dxa"/>
            <w:tcBorders>
              <w:top w:val="nil"/>
              <w:left w:val="single" w:sz="4" w:space="0" w:color="000000"/>
              <w:bottom w:val="nil"/>
              <w:right w:val="nil"/>
            </w:tcBorders>
            <w:vAlign w:val="bottom"/>
          </w:tcPr>
          <w:p w14:paraId="2C8BDD7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0CBAF6C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M</w:t>
            </w:r>
          </w:p>
        </w:tc>
        <w:tc>
          <w:tcPr>
            <w:tcW w:w="630" w:type="dxa"/>
            <w:tcBorders>
              <w:top w:val="single" w:sz="4" w:space="0" w:color="000000"/>
              <w:left w:val="single" w:sz="4" w:space="0" w:color="000000"/>
              <w:bottom w:val="nil"/>
              <w:right w:val="nil"/>
            </w:tcBorders>
            <w:vAlign w:val="bottom"/>
          </w:tcPr>
          <w:p w14:paraId="7B999850"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30</w:t>
            </w:r>
          </w:p>
        </w:tc>
        <w:tc>
          <w:tcPr>
            <w:tcW w:w="2025" w:type="dxa"/>
            <w:tcBorders>
              <w:top w:val="single" w:sz="4" w:space="0" w:color="000000"/>
              <w:left w:val="single" w:sz="4" w:space="0" w:color="000000"/>
              <w:bottom w:val="nil"/>
              <w:right w:val="nil"/>
            </w:tcBorders>
            <w:vAlign w:val="bottom"/>
          </w:tcPr>
          <w:p w14:paraId="4E75307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9 (81.8)</w:t>
            </w:r>
          </w:p>
        </w:tc>
        <w:tc>
          <w:tcPr>
            <w:tcW w:w="1335" w:type="dxa"/>
            <w:tcBorders>
              <w:top w:val="single" w:sz="4" w:space="0" w:color="000000"/>
              <w:left w:val="single" w:sz="4" w:space="0" w:color="000000"/>
              <w:bottom w:val="nil"/>
              <w:right w:val="nil"/>
            </w:tcBorders>
            <w:vAlign w:val="bottom"/>
          </w:tcPr>
          <w:p w14:paraId="00D14BB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19 (70.4)</w:t>
            </w:r>
          </w:p>
        </w:tc>
        <w:tc>
          <w:tcPr>
            <w:tcW w:w="1335" w:type="dxa"/>
            <w:tcBorders>
              <w:top w:val="single" w:sz="4" w:space="0" w:color="000000"/>
              <w:left w:val="single" w:sz="4" w:space="0" w:color="000000"/>
              <w:bottom w:val="nil"/>
              <w:right w:val="nil"/>
            </w:tcBorders>
            <w:vAlign w:val="bottom"/>
          </w:tcPr>
          <w:p w14:paraId="7852FA2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(100)</w:t>
            </w:r>
          </w:p>
        </w:tc>
        <w:tc>
          <w:tcPr>
            <w:tcW w:w="1155" w:type="dxa"/>
            <w:tcBorders>
              <w:top w:val="nil"/>
              <w:left w:val="single" w:sz="4" w:space="0" w:color="000000"/>
              <w:bottom w:val="nil"/>
              <w:right w:val="nil"/>
            </w:tcBorders>
            <w:vAlign w:val="bottom"/>
          </w:tcPr>
          <w:p w14:paraId="2252C2D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5C09AB6A"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5D621A98" w14:textId="77777777" w:rsidTr="00E9349D">
        <w:trPr>
          <w:trHeight w:val="288"/>
        </w:trPr>
        <w:tc>
          <w:tcPr>
            <w:tcW w:w="1650" w:type="dxa"/>
            <w:tcBorders>
              <w:top w:val="single" w:sz="4" w:space="0" w:color="000000"/>
              <w:left w:val="single" w:sz="4" w:space="0" w:color="000000"/>
              <w:bottom w:val="nil"/>
              <w:right w:val="nil"/>
            </w:tcBorders>
            <w:vAlign w:val="bottom"/>
          </w:tcPr>
          <w:p w14:paraId="34B8D1F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T</w:t>
            </w:r>
          </w:p>
        </w:tc>
        <w:tc>
          <w:tcPr>
            <w:tcW w:w="1365" w:type="dxa"/>
            <w:tcBorders>
              <w:top w:val="single" w:sz="4" w:space="0" w:color="000000"/>
              <w:left w:val="single" w:sz="4" w:space="0" w:color="000000"/>
              <w:bottom w:val="nil"/>
              <w:right w:val="nil"/>
            </w:tcBorders>
            <w:vAlign w:val="bottom"/>
          </w:tcPr>
          <w:p w14:paraId="315B9C9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T2</w:t>
            </w:r>
          </w:p>
        </w:tc>
        <w:tc>
          <w:tcPr>
            <w:tcW w:w="630" w:type="dxa"/>
            <w:tcBorders>
              <w:top w:val="single" w:sz="4" w:space="0" w:color="000000"/>
              <w:left w:val="single" w:sz="4" w:space="0" w:color="000000"/>
              <w:bottom w:val="nil"/>
              <w:right w:val="nil"/>
            </w:tcBorders>
            <w:vAlign w:val="bottom"/>
          </w:tcPr>
          <w:p w14:paraId="2292241E"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7</w:t>
            </w:r>
          </w:p>
        </w:tc>
        <w:tc>
          <w:tcPr>
            <w:tcW w:w="2025" w:type="dxa"/>
            <w:tcBorders>
              <w:top w:val="single" w:sz="4" w:space="0" w:color="000000"/>
              <w:left w:val="single" w:sz="4" w:space="0" w:color="000000"/>
              <w:bottom w:val="nil"/>
              <w:right w:val="nil"/>
            </w:tcBorders>
            <w:vAlign w:val="bottom"/>
          </w:tcPr>
          <w:p w14:paraId="5B806AA3"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4 (36.4)</w:t>
            </w:r>
          </w:p>
        </w:tc>
        <w:tc>
          <w:tcPr>
            <w:tcW w:w="1335" w:type="dxa"/>
            <w:tcBorders>
              <w:top w:val="single" w:sz="4" w:space="0" w:color="000000"/>
              <w:left w:val="single" w:sz="4" w:space="0" w:color="000000"/>
              <w:bottom w:val="nil"/>
              <w:right w:val="nil"/>
            </w:tcBorders>
            <w:vAlign w:val="bottom"/>
          </w:tcPr>
          <w:p w14:paraId="6887E3F3"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3 (11.1)</w:t>
            </w:r>
          </w:p>
        </w:tc>
        <w:tc>
          <w:tcPr>
            <w:tcW w:w="1335" w:type="dxa"/>
            <w:tcBorders>
              <w:top w:val="single" w:sz="4" w:space="0" w:color="000000"/>
              <w:left w:val="single" w:sz="4" w:space="0" w:color="000000"/>
              <w:bottom w:val="nil"/>
              <w:right w:val="nil"/>
            </w:tcBorders>
            <w:vAlign w:val="bottom"/>
          </w:tcPr>
          <w:p w14:paraId="4040E15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single" w:sz="4" w:space="0" w:color="000000"/>
              <w:left w:val="single" w:sz="4" w:space="0" w:color="000000"/>
              <w:bottom w:val="nil"/>
              <w:right w:val="nil"/>
            </w:tcBorders>
            <w:vAlign w:val="bottom"/>
          </w:tcPr>
          <w:p w14:paraId="14113D9E"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5.045</w:t>
            </w:r>
          </w:p>
        </w:tc>
        <w:tc>
          <w:tcPr>
            <w:tcW w:w="840" w:type="dxa"/>
            <w:tcBorders>
              <w:top w:val="single" w:sz="4" w:space="0" w:color="000000"/>
              <w:left w:val="single" w:sz="4" w:space="0" w:color="000000"/>
              <w:bottom w:val="nil"/>
              <w:right w:val="single" w:sz="4" w:space="0" w:color="000000"/>
            </w:tcBorders>
            <w:vAlign w:val="bottom"/>
          </w:tcPr>
          <w:p w14:paraId="747591AA"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0.538</w:t>
            </w:r>
          </w:p>
        </w:tc>
      </w:tr>
      <w:tr w:rsidR="00187C5B" w14:paraId="15BA6E99" w14:textId="77777777" w:rsidTr="00E9349D">
        <w:trPr>
          <w:trHeight w:val="288"/>
        </w:trPr>
        <w:tc>
          <w:tcPr>
            <w:tcW w:w="1650" w:type="dxa"/>
            <w:tcBorders>
              <w:top w:val="nil"/>
              <w:left w:val="single" w:sz="4" w:space="0" w:color="000000"/>
              <w:bottom w:val="nil"/>
              <w:right w:val="nil"/>
            </w:tcBorders>
            <w:vAlign w:val="bottom"/>
          </w:tcPr>
          <w:p w14:paraId="17A3328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6AD641CD"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T3</w:t>
            </w:r>
          </w:p>
        </w:tc>
        <w:tc>
          <w:tcPr>
            <w:tcW w:w="630" w:type="dxa"/>
            <w:tcBorders>
              <w:top w:val="single" w:sz="4" w:space="0" w:color="000000"/>
              <w:left w:val="single" w:sz="4" w:space="0" w:color="000000"/>
              <w:bottom w:val="nil"/>
              <w:right w:val="nil"/>
            </w:tcBorders>
            <w:vAlign w:val="bottom"/>
          </w:tcPr>
          <w:p w14:paraId="38A750BB"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30</w:t>
            </w:r>
          </w:p>
        </w:tc>
        <w:tc>
          <w:tcPr>
            <w:tcW w:w="2025" w:type="dxa"/>
            <w:tcBorders>
              <w:top w:val="single" w:sz="4" w:space="0" w:color="000000"/>
              <w:left w:val="single" w:sz="4" w:space="0" w:color="000000"/>
              <w:bottom w:val="nil"/>
              <w:right w:val="nil"/>
            </w:tcBorders>
            <w:vAlign w:val="bottom"/>
          </w:tcPr>
          <w:p w14:paraId="05D0E822"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7 (63.6)</w:t>
            </w:r>
          </w:p>
        </w:tc>
        <w:tc>
          <w:tcPr>
            <w:tcW w:w="1335" w:type="dxa"/>
            <w:tcBorders>
              <w:top w:val="single" w:sz="4" w:space="0" w:color="000000"/>
              <w:left w:val="single" w:sz="4" w:space="0" w:color="000000"/>
              <w:bottom w:val="nil"/>
              <w:right w:val="nil"/>
            </w:tcBorders>
            <w:vAlign w:val="bottom"/>
          </w:tcPr>
          <w:p w14:paraId="3A661DC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21 (77.8)</w:t>
            </w:r>
          </w:p>
        </w:tc>
        <w:tc>
          <w:tcPr>
            <w:tcW w:w="1335" w:type="dxa"/>
            <w:tcBorders>
              <w:top w:val="single" w:sz="4" w:space="0" w:color="000000"/>
              <w:left w:val="single" w:sz="4" w:space="0" w:color="000000"/>
              <w:bottom w:val="nil"/>
              <w:right w:val="nil"/>
            </w:tcBorders>
            <w:vAlign w:val="bottom"/>
          </w:tcPr>
          <w:p w14:paraId="7A91CC7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(100)</w:t>
            </w:r>
          </w:p>
        </w:tc>
        <w:tc>
          <w:tcPr>
            <w:tcW w:w="1155" w:type="dxa"/>
            <w:tcBorders>
              <w:top w:val="nil"/>
              <w:left w:val="single" w:sz="4" w:space="0" w:color="000000"/>
              <w:bottom w:val="nil"/>
              <w:right w:val="nil"/>
            </w:tcBorders>
            <w:vAlign w:val="bottom"/>
          </w:tcPr>
          <w:p w14:paraId="465EA5C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380AE9D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53BBE9F1" w14:textId="77777777" w:rsidTr="00E9349D">
        <w:trPr>
          <w:trHeight w:val="288"/>
        </w:trPr>
        <w:tc>
          <w:tcPr>
            <w:tcW w:w="1650" w:type="dxa"/>
            <w:tcBorders>
              <w:top w:val="nil"/>
              <w:left w:val="single" w:sz="4" w:space="0" w:color="000000"/>
              <w:bottom w:val="nil"/>
              <w:right w:val="nil"/>
            </w:tcBorders>
            <w:vAlign w:val="bottom"/>
          </w:tcPr>
          <w:p w14:paraId="2C31969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056BACE7"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T4a</w:t>
            </w:r>
          </w:p>
        </w:tc>
        <w:tc>
          <w:tcPr>
            <w:tcW w:w="630" w:type="dxa"/>
            <w:tcBorders>
              <w:top w:val="single" w:sz="4" w:space="0" w:color="000000"/>
              <w:left w:val="single" w:sz="4" w:space="0" w:color="000000"/>
              <w:bottom w:val="nil"/>
              <w:right w:val="nil"/>
            </w:tcBorders>
            <w:vAlign w:val="bottom"/>
          </w:tcPr>
          <w:p w14:paraId="0ED4BF4F"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2</w:t>
            </w:r>
          </w:p>
        </w:tc>
        <w:tc>
          <w:tcPr>
            <w:tcW w:w="2025" w:type="dxa"/>
            <w:tcBorders>
              <w:top w:val="single" w:sz="4" w:space="0" w:color="000000"/>
              <w:left w:val="single" w:sz="4" w:space="0" w:color="000000"/>
              <w:bottom w:val="nil"/>
              <w:right w:val="nil"/>
            </w:tcBorders>
            <w:vAlign w:val="bottom"/>
          </w:tcPr>
          <w:p w14:paraId="12BC05A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52329EB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(7.4)</w:t>
            </w:r>
          </w:p>
        </w:tc>
        <w:tc>
          <w:tcPr>
            <w:tcW w:w="1335" w:type="dxa"/>
            <w:tcBorders>
              <w:top w:val="single" w:sz="4" w:space="0" w:color="000000"/>
              <w:left w:val="single" w:sz="4" w:space="0" w:color="000000"/>
              <w:bottom w:val="nil"/>
              <w:right w:val="nil"/>
            </w:tcBorders>
            <w:vAlign w:val="bottom"/>
          </w:tcPr>
          <w:p w14:paraId="7B004073"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53B577C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73C1252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6D4E8AC5" w14:textId="77777777" w:rsidTr="00E9349D">
        <w:trPr>
          <w:trHeight w:val="288"/>
        </w:trPr>
        <w:tc>
          <w:tcPr>
            <w:tcW w:w="1650" w:type="dxa"/>
            <w:tcBorders>
              <w:top w:val="nil"/>
              <w:left w:val="single" w:sz="4" w:space="0" w:color="000000"/>
              <w:bottom w:val="nil"/>
              <w:right w:val="nil"/>
            </w:tcBorders>
            <w:vAlign w:val="bottom"/>
          </w:tcPr>
          <w:p w14:paraId="6B0A9E3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116376E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T4b</w:t>
            </w:r>
          </w:p>
        </w:tc>
        <w:tc>
          <w:tcPr>
            <w:tcW w:w="630" w:type="dxa"/>
            <w:tcBorders>
              <w:top w:val="single" w:sz="4" w:space="0" w:color="000000"/>
              <w:left w:val="single" w:sz="4" w:space="0" w:color="000000"/>
              <w:bottom w:val="nil"/>
              <w:right w:val="nil"/>
            </w:tcBorders>
            <w:vAlign w:val="bottom"/>
          </w:tcPr>
          <w:p w14:paraId="2FD518EB"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w:t>
            </w:r>
          </w:p>
        </w:tc>
        <w:tc>
          <w:tcPr>
            <w:tcW w:w="2025" w:type="dxa"/>
            <w:tcBorders>
              <w:top w:val="single" w:sz="4" w:space="0" w:color="000000"/>
              <w:left w:val="single" w:sz="4" w:space="0" w:color="000000"/>
              <w:bottom w:val="nil"/>
              <w:right w:val="nil"/>
            </w:tcBorders>
            <w:vAlign w:val="bottom"/>
          </w:tcPr>
          <w:p w14:paraId="1D29AE2A"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630B3CF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(3.7)</w:t>
            </w:r>
          </w:p>
        </w:tc>
        <w:tc>
          <w:tcPr>
            <w:tcW w:w="1335" w:type="dxa"/>
            <w:tcBorders>
              <w:top w:val="single" w:sz="4" w:space="0" w:color="000000"/>
              <w:left w:val="single" w:sz="4" w:space="0" w:color="000000"/>
              <w:bottom w:val="nil"/>
              <w:right w:val="nil"/>
            </w:tcBorders>
            <w:vAlign w:val="bottom"/>
          </w:tcPr>
          <w:p w14:paraId="412F13B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4615407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38569994"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11227B85" w14:textId="77777777" w:rsidTr="00E9349D">
        <w:trPr>
          <w:trHeight w:val="288"/>
        </w:trPr>
        <w:tc>
          <w:tcPr>
            <w:tcW w:w="1650" w:type="dxa"/>
            <w:tcBorders>
              <w:top w:val="single" w:sz="4" w:space="0" w:color="000000"/>
              <w:left w:val="single" w:sz="4" w:space="0" w:color="000000"/>
              <w:bottom w:val="nil"/>
              <w:right w:val="nil"/>
            </w:tcBorders>
            <w:vAlign w:val="bottom"/>
          </w:tcPr>
          <w:p w14:paraId="792E96C2"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N</w:t>
            </w:r>
          </w:p>
        </w:tc>
        <w:tc>
          <w:tcPr>
            <w:tcW w:w="1365" w:type="dxa"/>
            <w:tcBorders>
              <w:top w:val="single" w:sz="4" w:space="0" w:color="000000"/>
              <w:left w:val="single" w:sz="4" w:space="0" w:color="000000"/>
              <w:bottom w:val="nil"/>
              <w:right w:val="nil"/>
            </w:tcBorders>
            <w:vAlign w:val="bottom"/>
          </w:tcPr>
          <w:p w14:paraId="0B5A7F9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N0</w:t>
            </w:r>
          </w:p>
        </w:tc>
        <w:tc>
          <w:tcPr>
            <w:tcW w:w="630" w:type="dxa"/>
            <w:tcBorders>
              <w:top w:val="single" w:sz="4" w:space="0" w:color="000000"/>
              <w:left w:val="single" w:sz="4" w:space="0" w:color="000000"/>
              <w:bottom w:val="nil"/>
              <w:right w:val="nil"/>
            </w:tcBorders>
            <w:vAlign w:val="bottom"/>
          </w:tcPr>
          <w:p w14:paraId="29DDD272"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10</w:t>
            </w:r>
          </w:p>
        </w:tc>
        <w:tc>
          <w:tcPr>
            <w:tcW w:w="2025" w:type="dxa"/>
            <w:tcBorders>
              <w:top w:val="single" w:sz="4" w:space="0" w:color="000000"/>
              <w:left w:val="single" w:sz="4" w:space="0" w:color="000000"/>
              <w:bottom w:val="nil"/>
              <w:right w:val="nil"/>
            </w:tcBorders>
            <w:vAlign w:val="bottom"/>
          </w:tcPr>
          <w:p w14:paraId="3DDF2C4A"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4 (36.4)</w:t>
            </w:r>
          </w:p>
        </w:tc>
        <w:tc>
          <w:tcPr>
            <w:tcW w:w="1335" w:type="dxa"/>
            <w:tcBorders>
              <w:top w:val="single" w:sz="4" w:space="0" w:color="000000"/>
              <w:left w:val="single" w:sz="4" w:space="0" w:color="000000"/>
              <w:bottom w:val="nil"/>
              <w:right w:val="nil"/>
            </w:tcBorders>
            <w:vAlign w:val="bottom"/>
          </w:tcPr>
          <w:p w14:paraId="35B2FAA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6 (22.2)</w:t>
            </w:r>
          </w:p>
        </w:tc>
        <w:tc>
          <w:tcPr>
            <w:tcW w:w="1335" w:type="dxa"/>
            <w:tcBorders>
              <w:top w:val="single" w:sz="4" w:space="0" w:color="000000"/>
              <w:left w:val="single" w:sz="4" w:space="0" w:color="000000"/>
              <w:bottom w:val="nil"/>
              <w:right w:val="nil"/>
            </w:tcBorders>
            <w:vAlign w:val="bottom"/>
          </w:tcPr>
          <w:p w14:paraId="2E46EED3"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single" w:sz="4" w:space="0" w:color="000000"/>
              <w:left w:val="single" w:sz="4" w:space="0" w:color="000000"/>
              <w:bottom w:val="nil"/>
              <w:right w:val="nil"/>
            </w:tcBorders>
            <w:vAlign w:val="bottom"/>
          </w:tcPr>
          <w:p w14:paraId="7244EECA"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7.668</w:t>
            </w:r>
          </w:p>
        </w:tc>
        <w:tc>
          <w:tcPr>
            <w:tcW w:w="840" w:type="dxa"/>
            <w:tcBorders>
              <w:top w:val="single" w:sz="4" w:space="0" w:color="000000"/>
              <w:left w:val="single" w:sz="4" w:space="0" w:color="000000"/>
              <w:bottom w:val="nil"/>
              <w:right w:val="single" w:sz="4" w:space="0" w:color="000000"/>
            </w:tcBorders>
            <w:vAlign w:val="bottom"/>
          </w:tcPr>
          <w:p w14:paraId="5989A8ED"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0.661</w:t>
            </w:r>
          </w:p>
        </w:tc>
      </w:tr>
      <w:tr w:rsidR="00187C5B" w14:paraId="5881A6D7" w14:textId="77777777" w:rsidTr="00E9349D">
        <w:trPr>
          <w:trHeight w:val="288"/>
        </w:trPr>
        <w:tc>
          <w:tcPr>
            <w:tcW w:w="1650" w:type="dxa"/>
            <w:tcBorders>
              <w:top w:val="nil"/>
              <w:left w:val="single" w:sz="4" w:space="0" w:color="000000"/>
              <w:bottom w:val="nil"/>
              <w:right w:val="nil"/>
            </w:tcBorders>
            <w:vAlign w:val="bottom"/>
          </w:tcPr>
          <w:p w14:paraId="72E9549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7C5FE6D2"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N1</w:t>
            </w:r>
          </w:p>
        </w:tc>
        <w:tc>
          <w:tcPr>
            <w:tcW w:w="630" w:type="dxa"/>
            <w:tcBorders>
              <w:top w:val="single" w:sz="4" w:space="0" w:color="000000"/>
              <w:left w:val="single" w:sz="4" w:space="0" w:color="000000"/>
              <w:bottom w:val="nil"/>
              <w:right w:val="nil"/>
            </w:tcBorders>
            <w:vAlign w:val="bottom"/>
          </w:tcPr>
          <w:p w14:paraId="0626F3C3"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w:t>
            </w:r>
          </w:p>
        </w:tc>
        <w:tc>
          <w:tcPr>
            <w:tcW w:w="2025" w:type="dxa"/>
            <w:tcBorders>
              <w:top w:val="single" w:sz="4" w:space="0" w:color="000000"/>
              <w:left w:val="single" w:sz="4" w:space="0" w:color="000000"/>
              <w:bottom w:val="nil"/>
              <w:right w:val="nil"/>
            </w:tcBorders>
            <w:vAlign w:val="bottom"/>
          </w:tcPr>
          <w:p w14:paraId="1F6241D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17852303"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(3.7)</w:t>
            </w:r>
          </w:p>
        </w:tc>
        <w:tc>
          <w:tcPr>
            <w:tcW w:w="1335" w:type="dxa"/>
            <w:tcBorders>
              <w:top w:val="single" w:sz="4" w:space="0" w:color="000000"/>
              <w:left w:val="single" w:sz="4" w:space="0" w:color="000000"/>
              <w:bottom w:val="nil"/>
              <w:right w:val="nil"/>
            </w:tcBorders>
            <w:vAlign w:val="bottom"/>
          </w:tcPr>
          <w:p w14:paraId="699CE342"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42C74B8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72A9006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2A98A41E" w14:textId="77777777" w:rsidTr="00E9349D">
        <w:trPr>
          <w:trHeight w:val="288"/>
        </w:trPr>
        <w:tc>
          <w:tcPr>
            <w:tcW w:w="1650" w:type="dxa"/>
            <w:tcBorders>
              <w:top w:val="nil"/>
              <w:left w:val="single" w:sz="4" w:space="0" w:color="000000"/>
              <w:bottom w:val="nil"/>
              <w:right w:val="nil"/>
            </w:tcBorders>
            <w:vAlign w:val="bottom"/>
          </w:tcPr>
          <w:p w14:paraId="00EA792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3E356D22"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N1a</w:t>
            </w:r>
          </w:p>
        </w:tc>
        <w:tc>
          <w:tcPr>
            <w:tcW w:w="630" w:type="dxa"/>
            <w:tcBorders>
              <w:top w:val="single" w:sz="4" w:space="0" w:color="000000"/>
              <w:left w:val="single" w:sz="4" w:space="0" w:color="000000"/>
              <w:bottom w:val="nil"/>
              <w:right w:val="nil"/>
            </w:tcBorders>
            <w:vAlign w:val="bottom"/>
          </w:tcPr>
          <w:p w14:paraId="22A88726"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4</w:t>
            </w:r>
          </w:p>
        </w:tc>
        <w:tc>
          <w:tcPr>
            <w:tcW w:w="2025" w:type="dxa"/>
            <w:tcBorders>
              <w:top w:val="single" w:sz="4" w:space="0" w:color="000000"/>
              <w:left w:val="single" w:sz="4" w:space="0" w:color="000000"/>
              <w:bottom w:val="nil"/>
              <w:right w:val="nil"/>
            </w:tcBorders>
            <w:vAlign w:val="bottom"/>
          </w:tcPr>
          <w:p w14:paraId="36557AE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(18.2)</w:t>
            </w:r>
          </w:p>
        </w:tc>
        <w:tc>
          <w:tcPr>
            <w:tcW w:w="1335" w:type="dxa"/>
            <w:tcBorders>
              <w:top w:val="single" w:sz="4" w:space="0" w:color="000000"/>
              <w:left w:val="single" w:sz="4" w:space="0" w:color="000000"/>
              <w:bottom w:val="nil"/>
              <w:right w:val="nil"/>
            </w:tcBorders>
            <w:vAlign w:val="bottom"/>
          </w:tcPr>
          <w:p w14:paraId="0859797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(7.4)</w:t>
            </w:r>
          </w:p>
        </w:tc>
        <w:tc>
          <w:tcPr>
            <w:tcW w:w="1335" w:type="dxa"/>
            <w:tcBorders>
              <w:top w:val="single" w:sz="4" w:space="0" w:color="000000"/>
              <w:left w:val="single" w:sz="4" w:space="0" w:color="000000"/>
              <w:bottom w:val="nil"/>
              <w:right w:val="nil"/>
            </w:tcBorders>
            <w:vAlign w:val="bottom"/>
          </w:tcPr>
          <w:p w14:paraId="6B9599E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653D29C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7679680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357FEFAE" w14:textId="77777777" w:rsidTr="00E9349D">
        <w:trPr>
          <w:trHeight w:val="288"/>
        </w:trPr>
        <w:tc>
          <w:tcPr>
            <w:tcW w:w="1650" w:type="dxa"/>
            <w:tcBorders>
              <w:top w:val="nil"/>
              <w:left w:val="single" w:sz="4" w:space="0" w:color="000000"/>
              <w:bottom w:val="nil"/>
              <w:right w:val="nil"/>
            </w:tcBorders>
            <w:vAlign w:val="bottom"/>
          </w:tcPr>
          <w:p w14:paraId="3CDCE924"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01E8E68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N1b</w:t>
            </w:r>
          </w:p>
        </w:tc>
        <w:tc>
          <w:tcPr>
            <w:tcW w:w="630" w:type="dxa"/>
            <w:tcBorders>
              <w:top w:val="single" w:sz="4" w:space="0" w:color="000000"/>
              <w:left w:val="single" w:sz="4" w:space="0" w:color="000000"/>
              <w:bottom w:val="nil"/>
              <w:right w:val="nil"/>
            </w:tcBorders>
            <w:vAlign w:val="bottom"/>
          </w:tcPr>
          <w:p w14:paraId="5EE11B84"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6</w:t>
            </w:r>
          </w:p>
        </w:tc>
        <w:tc>
          <w:tcPr>
            <w:tcW w:w="2025" w:type="dxa"/>
            <w:tcBorders>
              <w:top w:val="single" w:sz="4" w:space="0" w:color="000000"/>
              <w:left w:val="single" w:sz="4" w:space="0" w:color="000000"/>
              <w:bottom w:val="nil"/>
              <w:right w:val="nil"/>
            </w:tcBorders>
            <w:vAlign w:val="bottom"/>
          </w:tcPr>
          <w:p w14:paraId="7CE9798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(9.1)</w:t>
            </w:r>
          </w:p>
        </w:tc>
        <w:tc>
          <w:tcPr>
            <w:tcW w:w="1335" w:type="dxa"/>
            <w:tcBorders>
              <w:top w:val="single" w:sz="4" w:space="0" w:color="000000"/>
              <w:left w:val="single" w:sz="4" w:space="0" w:color="000000"/>
              <w:bottom w:val="nil"/>
              <w:right w:val="nil"/>
            </w:tcBorders>
            <w:vAlign w:val="bottom"/>
          </w:tcPr>
          <w:p w14:paraId="23E9554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5 (18.5)</w:t>
            </w:r>
          </w:p>
        </w:tc>
        <w:tc>
          <w:tcPr>
            <w:tcW w:w="1335" w:type="dxa"/>
            <w:tcBorders>
              <w:top w:val="single" w:sz="4" w:space="0" w:color="000000"/>
              <w:left w:val="single" w:sz="4" w:space="0" w:color="000000"/>
              <w:bottom w:val="nil"/>
              <w:right w:val="nil"/>
            </w:tcBorders>
            <w:vAlign w:val="bottom"/>
          </w:tcPr>
          <w:p w14:paraId="4979D8EA"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62836B7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66BE81A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2F0AEF34" w14:textId="77777777" w:rsidTr="00E9349D">
        <w:trPr>
          <w:trHeight w:val="288"/>
        </w:trPr>
        <w:tc>
          <w:tcPr>
            <w:tcW w:w="1650" w:type="dxa"/>
            <w:tcBorders>
              <w:top w:val="nil"/>
              <w:left w:val="single" w:sz="4" w:space="0" w:color="000000"/>
              <w:bottom w:val="nil"/>
              <w:right w:val="nil"/>
            </w:tcBorders>
            <w:vAlign w:val="bottom"/>
          </w:tcPr>
          <w:p w14:paraId="081AB92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043E104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N2a</w:t>
            </w:r>
          </w:p>
        </w:tc>
        <w:tc>
          <w:tcPr>
            <w:tcW w:w="630" w:type="dxa"/>
            <w:tcBorders>
              <w:top w:val="single" w:sz="4" w:space="0" w:color="000000"/>
              <w:left w:val="single" w:sz="4" w:space="0" w:color="000000"/>
              <w:bottom w:val="nil"/>
              <w:right w:val="nil"/>
            </w:tcBorders>
            <w:vAlign w:val="bottom"/>
          </w:tcPr>
          <w:p w14:paraId="5C03E223"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15</w:t>
            </w:r>
          </w:p>
        </w:tc>
        <w:tc>
          <w:tcPr>
            <w:tcW w:w="2025" w:type="dxa"/>
            <w:tcBorders>
              <w:top w:val="single" w:sz="4" w:space="0" w:color="000000"/>
              <w:left w:val="single" w:sz="4" w:space="0" w:color="000000"/>
              <w:bottom w:val="nil"/>
              <w:right w:val="nil"/>
            </w:tcBorders>
            <w:vAlign w:val="bottom"/>
          </w:tcPr>
          <w:p w14:paraId="1C075134"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4 (36.4)</w:t>
            </w:r>
          </w:p>
        </w:tc>
        <w:tc>
          <w:tcPr>
            <w:tcW w:w="1335" w:type="dxa"/>
            <w:tcBorders>
              <w:top w:val="single" w:sz="4" w:space="0" w:color="000000"/>
              <w:left w:val="single" w:sz="4" w:space="0" w:color="000000"/>
              <w:bottom w:val="nil"/>
              <w:right w:val="nil"/>
            </w:tcBorders>
            <w:vAlign w:val="bottom"/>
          </w:tcPr>
          <w:p w14:paraId="5FC2EE5D"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9 (33.3)</w:t>
            </w:r>
          </w:p>
        </w:tc>
        <w:tc>
          <w:tcPr>
            <w:tcW w:w="1335" w:type="dxa"/>
            <w:tcBorders>
              <w:top w:val="single" w:sz="4" w:space="0" w:color="000000"/>
              <w:left w:val="single" w:sz="4" w:space="0" w:color="000000"/>
              <w:bottom w:val="nil"/>
              <w:right w:val="nil"/>
            </w:tcBorders>
            <w:vAlign w:val="bottom"/>
          </w:tcPr>
          <w:p w14:paraId="543F41A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(100)</w:t>
            </w:r>
          </w:p>
        </w:tc>
        <w:tc>
          <w:tcPr>
            <w:tcW w:w="1155" w:type="dxa"/>
            <w:tcBorders>
              <w:top w:val="nil"/>
              <w:left w:val="single" w:sz="4" w:space="0" w:color="000000"/>
              <w:bottom w:val="nil"/>
              <w:right w:val="nil"/>
            </w:tcBorders>
            <w:vAlign w:val="bottom"/>
          </w:tcPr>
          <w:p w14:paraId="19C64B4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6743CC8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11252A93" w14:textId="77777777" w:rsidTr="00E9349D">
        <w:trPr>
          <w:trHeight w:val="288"/>
        </w:trPr>
        <w:tc>
          <w:tcPr>
            <w:tcW w:w="1650" w:type="dxa"/>
            <w:tcBorders>
              <w:top w:val="nil"/>
              <w:left w:val="single" w:sz="4" w:space="0" w:color="000000"/>
              <w:bottom w:val="nil"/>
              <w:right w:val="nil"/>
            </w:tcBorders>
            <w:vAlign w:val="bottom"/>
          </w:tcPr>
          <w:p w14:paraId="5187574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502C6A9A"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N2b</w:t>
            </w:r>
          </w:p>
        </w:tc>
        <w:tc>
          <w:tcPr>
            <w:tcW w:w="630" w:type="dxa"/>
            <w:tcBorders>
              <w:top w:val="single" w:sz="4" w:space="0" w:color="000000"/>
              <w:left w:val="single" w:sz="4" w:space="0" w:color="000000"/>
              <w:bottom w:val="nil"/>
              <w:right w:val="nil"/>
            </w:tcBorders>
            <w:vAlign w:val="bottom"/>
          </w:tcPr>
          <w:p w14:paraId="5302830A"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4</w:t>
            </w:r>
          </w:p>
        </w:tc>
        <w:tc>
          <w:tcPr>
            <w:tcW w:w="2025" w:type="dxa"/>
            <w:tcBorders>
              <w:top w:val="single" w:sz="4" w:space="0" w:color="000000"/>
              <w:left w:val="single" w:sz="4" w:space="0" w:color="000000"/>
              <w:bottom w:val="nil"/>
              <w:right w:val="nil"/>
            </w:tcBorders>
            <w:vAlign w:val="bottom"/>
          </w:tcPr>
          <w:p w14:paraId="226A027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57ED0497"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4 (14.8)</w:t>
            </w:r>
          </w:p>
        </w:tc>
        <w:tc>
          <w:tcPr>
            <w:tcW w:w="1335" w:type="dxa"/>
            <w:tcBorders>
              <w:top w:val="single" w:sz="4" w:space="0" w:color="000000"/>
              <w:left w:val="single" w:sz="4" w:space="0" w:color="000000"/>
              <w:bottom w:val="nil"/>
              <w:right w:val="nil"/>
            </w:tcBorders>
            <w:vAlign w:val="bottom"/>
          </w:tcPr>
          <w:p w14:paraId="3AD5F6A3"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3D63A6A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32FC390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7FB9C408" w14:textId="77777777" w:rsidTr="00E9349D">
        <w:trPr>
          <w:trHeight w:val="288"/>
        </w:trPr>
        <w:tc>
          <w:tcPr>
            <w:tcW w:w="1650" w:type="dxa"/>
            <w:tcBorders>
              <w:top w:val="single" w:sz="4" w:space="0" w:color="000000"/>
              <w:left w:val="single" w:sz="4" w:space="0" w:color="000000"/>
              <w:bottom w:val="nil"/>
              <w:right w:val="nil"/>
            </w:tcBorders>
            <w:vAlign w:val="bottom"/>
          </w:tcPr>
          <w:p w14:paraId="59DEF92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CLINICALSTAGE</w:t>
            </w:r>
          </w:p>
        </w:tc>
        <w:tc>
          <w:tcPr>
            <w:tcW w:w="1365" w:type="dxa"/>
            <w:tcBorders>
              <w:top w:val="single" w:sz="4" w:space="0" w:color="000000"/>
              <w:left w:val="single" w:sz="4" w:space="0" w:color="000000"/>
              <w:bottom w:val="nil"/>
              <w:right w:val="nil"/>
            </w:tcBorders>
            <w:vAlign w:val="bottom"/>
          </w:tcPr>
          <w:p w14:paraId="5A085BE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I</w:t>
            </w:r>
          </w:p>
        </w:tc>
        <w:tc>
          <w:tcPr>
            <w:tcW w:w="630" w:type="dxa"/>
            <w:tcBorders>
              <w:top w:val="single" w:sz="4" w:space="0" w:color="000000"/>
              <w:left w:val="single" w:sz="4" w:space="0" w:color="000000"/>
              <w:bottom w:val="nil"/>
              <w:right w:val="nil"/>
            </w:tcBorders>
            <w:vAlign w:val="bottom"/>
          </w:tcPr>
          <w:p w14:paraId="0DB98801"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4</w:t>
            </w:r>
          </w:p>
        </w:tc>
        <w:tc>
          <w:tcPr>
            <w:tcW w:w="2025" w:type="dxa"/>
            <w:tcBorders>
              <w:top w:val="single" w:sz="4" w:space="0" w:color="000000"/>
              <w:left w:val="single" w:sz="4" w:space="0" w:color="000000"/>
              <w:bottom w:val="nil"/>
              <w:right w:val="nil"/>
            </w:tcBorders>
            <w:vAlign w:val="bottom"/>
          </w:tcPr>
          <w:p w14:paraId="21A349D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3 (27.3)</w:t>
            </w:r>
          </w:p>
        </w:tc>
        <w:tc>
          <w:tcPr>
            <w:tcW w:w="1335" w:type="dxa"/>
            <w:tcBorders>
              <w:top w:val="single" w:sz="4" w:space="0" w:color="000000"/>
              <w:left w:val="single" w:sz="4" w:space="0" w:color="000000"/>
              <w:bottom w:val="nil"/>
              <w:right w:val="nil"/>
            </w:tcBorders>
            <w:vAlign w:val="bottom"/>
          </w:tcPr>
          <w:p w14:paraId="105538F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(3.7)</w:t>
            </w:r>
          </w:p>
        </w:tc>
        <w:tc>
          <w:tcPr>
            <w:tcW w:w="1335" w:type="dxa"/>
            <w:tcBorders>
              <w:top w:val="single" w:sz="4" w:space="0" w:color="000000"/>
              <w:left w:val="single" w:sz="4" w:space="0" w:color="000000"/>
              <w:bottom w:val="nil"/>
              <w:right w:val="nil"/>
            </w:tcBorders>
            <w:vAlign w:val="bottom"/>
          </w:tcPr>
          <w:p w14:paraId="30763BF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single" w:sz="4" w:space="0" w:color="000000"/>
              <w:left w:val="single" w:sz="4" w:space="0" w:color="000000"/>
              <w:bottom w:val="nil"/>
              <w:right w:val="nil"/>
            </w:tcBorders>
            <w:vAlign w:val="bottom"/>
          </w:tcPr>
          <w:p w14:paraId="42E8027F"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12.823</w:t>
            </w:r>
          </w:p>
        </w:tc>
        <w:tc>
          <w:tcPr>
            <w:tcW w:w="840" w:type="dxa"/>
            <w:tcBorders>
              <w:top w:val="single" w:sz="4" w:space="0" w:color="000000"/>
              <w:left w:val="single" w:sz="4" w:space="0" w:color="000000"/>
              <w:bottom w:val="nil"/>
              <w:right w:val="single" w:sz="4" w:space="0" w:color="000000"/>
            </w:tcBorders>
            <w:vAlign w:val="bottom"/>
          </w:tcPr>
          <w:p w14:paraId="59B494B5"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0.234</w:t>
            </w:r>
          </w:p>
        </w:tc>
      </w:tr>
      <w:tr w:rsidR="00187C5B" w14:paraId="1661B04D" w14:textId="77777777" w:rsidTr="00E9349D">
        <w:trPr>
          <w:trHeight w:val="288"/>
        </w:trPr>
        <w:tc>
          <w:tcPr>
            <w:tcW w:w="1650" w:type="dxa"/>
            <w:tcBorders>
              <w:top w:val="nil"/>
              <w:left w:val="single" w:sz="4" w:space="0" w:color="000000"/>
              <w:bottom w:val="nil"/>
              <w:right w:val="nil"/>
            </w:tcBorders>
            <w:vAlign w:val="bottom"/>
          </w:tcPr>
          <w:p w14:paraId="14A276C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lastRenderedPageBreak/>
              <w:t xml:space="preserve"> </w:t>
            </w:r>
          </w:p>
        </w:tc>
        <w:tc>
          <w:tcPr>
            <w:tcW w:w="1365" w:type="dxa"/>
            <w:tcBorders>
              <w:top w:val="single" w:sz="4" w:space="0" w:color="000000"/>
              <w:left w:val="single" w:sz="4" w:space="0" w:color="000000"/>
              <w:bottom w:val="nil"/>
              <w:right w:val="nil"/>
            </w:tcBorders>
            <w:vAlign w:val="bottom"/>
          </w:tcPr>
          <w:p w14:paraId="37B333D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II</w:t>
            </w:r>
          </w:p>
        </w:tc>
        <w:tc>
          <w:tcPr>
            <w:tcW w:w="630" w:type="dxa"/>
            <w:tcBorders>
              <w:top w:val="single" w:sz="4" w:space="0" w:color="000000"/>
              <w:left w:val="single" w:sz="4" w:space="0" w:color="000000"/>
              <w:bottom w:val="nil"/>
              <w:right w:val="nil"/>
            </w:tcBorders>
            <w:vAlign w:val="bottom"/>
          </w:tcPr>
          <w:p w14:paraId="70D7A101"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4</w:t>
            </w:r>
          </w:p>
        </w:tc>
        <w:tc>
          <w:tcPr>
            <w:tcW w:w="2025" w:type="dxa"/>
            <w:tcBorders>
              <w:top w:val="single" w:sz="4" w:space="0" w:color="000000"/>
              <w:left w:val="single" w:sz="4" w:space="0" w:color="000000"/>
              <w:bottom w:val="nil"/>
              <w:right w:val="nil"/>
            </w:tcBorders>
            <w:vAlign w:val="bottom"/>
          </w:tcPr>
          <w:p w14:paraId="1B489987"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4B3694C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4 (14.8)</w:t>
            </w:r>
          </w:p>
        </w:tc>
        <w:tc>
          <w:tcPr>
            <w:tcW w:w="1335" w:type="dxa"/>
            <w:tcBorders>
              <w:top w:val="single" w:sz="4" w:space="0" w:color="000000"/>
              <w:left w:val="single" w:sz="4" w:space="0" w:color="000000"/>
              <w:bottom w:val="nil"/>
              <w:right w:val="nil"/>
            </w:tcBorders>
            <w:vAlign w:val="bottom"/>
          </w:tcPr>
          <w:p w14:paraId="07F5793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6F39242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7E2CC3D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381F378D" w14:textId="77777777" w:rsidTr="00E9349D">
        <w:trPr>
          <w:trHeight w:val="288"/>
        </w:trPr>
        <w:tc>
          <w:tcPr>
            <w:tcW w:w="1650" w:type="dxa"/>
            <w:tcBorders>
              <w:top w:val="nil"/>
              <w:left w:val="single" w:sz="4" w:space="0" w:color="000000"/>
              <w:bottom w:val="nil"/>
              <w:right w:val="nil"/>
            </w:tcBorders>
            <w:vAlign w:val="bottom"/>
          </w:tcPr>
          <w:p w14:paraId="3CB53F6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104F476A"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IIA</w:t>
            </w:r>
          </w:p>
        </w:tc>
        <w:tc>
          <w:tcPr>
            <w:tcW w:w="630" w:type="dxa"/>
            <w:tcBorders>
              <w:top w:val="single" w:sz="4" w:space="0" w:color="000000"/>
              <w:left w:val="single" w:sz="4" w:space="0" w:color="000000"/>
              <w:bottom w:val="nil"/>
              <w:right w:val="nil"/>
            </w:tcBorders>
            <w:vAlign w:val="bottom"/>
          </w:tcPr>
          <w:p w14:paraId="4C7368ED"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2</w:t>
            </w:r>
          </w:p>
        </w:tc>
        <w:tc>
          <w:tcPr>
            <w:tcW w:w="2025" w:type="dxa"/>
            <w:tcBorders>
              <w:top w:val="single" w:sz="4" w:space="0" w:color="000000"/>
              <w:left w:val="single" w:sz="4" w:space="0" w:color="000000"/>
              <w:bottom w:val="nil"/>
              <w:right w:val="nil"/>
            </w:tcBorders>
            <w:vAlign w:val="bottom"/>
          </w:tcPr>
          <w:p w14:paraId="028D2784"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(9.1)</w:t>
            </w:r>
          </w:p>
        </w:tc>
        <w:tc>
          <w:tcPr>
            <w:tcW w:w="1335" w:type="dxa"/>
            <w:tcBorders>
              <w:top w:val="single" w:sz="4" w:space="0" w:color="000000"/>
              <w:left w:val="single" w:sz="4" w:space="0" w:color="000000"/>
              <w:bottom w:val="nil"/>
              <w:right w:val="nil"/>
            </w:tcBorders>
            <w:vAlign w:val="bottom"/>
          </w:tcPr>
          <w:p w14:paraId="7C319724"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(3.7)</w:t>
            </w:r>
          </w:p>
        </w:tc>
        <w:tc>
          <w:tcPr>
            <w:tcW w:w="1335" w:type="dxa"/>
            <w:tcBorders>
              <w:top w:val="single" w:sz="4" w:space="0" w:color="000000"/>
              <w:left w:val="single" w:sz="4" w:space="0" w:color="000000"/>
              <w:bottom w:val="nil"/>
              <w:right w:val="nil"/>
            </w:tcBorders>
            <w:vAlign w:val="bottom"/>
          </w:tcPr>
          <w:p w14:paraId="1580360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72A5249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447ADA8D"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08C84675" w14:textId="77777777" w:rsidTr="00E9349D">
        <w:trPr>
          <w:trHeight w:val="288"/>
        </w:trPr>
        <w:tc>
          <w:tcPr>
            <w:tcW w:w="1650" w:type="dxa"/>
            <w:tcBorders>
              <w:top w:val="nil"/>
              <w:left w:val="single" w:sz="4" w:space="0" w:color="000000"/>
              <w:bottom w:val="nil"/>
              <w:right w:val="nil"/>
            </w:tcBorders>
            <w:vAlign w:val="bottom"/>
          </w:tcPr>
          <w:p w14:paraId="20A2FE62"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2805A722"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IIIA</w:t>
            </w:r>
          </w:p>
        </w:tc>
        <w:tc>
          <w:tcPr>
            <w:tcW w:w="630" w:type="dxa"/>
            <w:tcBorders>
              <w:top w:val="single" w:sz="4" w:space="0" w:color="000000"/>
              <w:left w:val="single" w:sz="4" w:space="0" w:color="000000"/>
              <w:bottom w:val="nil"/>
              <w:right w:val="nil"/>
            </w:tcBorders>
            <w:vAlign w:val="bottom"/>
          </w:tcPr>
          <w:p w14:paraId="7BE9794C"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2</w:t>
            </w:r>
          </w:p>
        </w:tc>
        <w:tc>
          <w:tcPr>
            <w:tcW w:w="2025" w:type="dxa"/>
            <w:tcBorders>
              <w:top w:val="single" w:sz="4" w:space="0" w:color="000000"/>
              <w:left w:val="single" w:sz="4" w:space="0" w:color="000000"/>
              <w:bottom w:val="nil"/>
              <w:right w:val="nil"/>
            </w:tcBorders>
            <w:vAlign w:val="bottom"/>
          </w:tcPr>
          <w:p w14:paraId="46DF506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001D03C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(7.4)</w:t>
            </w:r>
          </w:p>
        </w:tc>
        <w:tc>
          <w:tcPr>
            <w:tcW w:w="1335" w:type="dxa"/>
            <w:tcBorders>
              <w:top w:val="single" w:sz="4" w:space="0" w:color="000000"/>
              <w:left w:val="single" w:sz="4" w:space="0" w:color="000000"/>
              <w:bottom w:val="nil"/>
              <w:right w:val="nil"/>
            </w:tcBorders>
            <w:vAlign w:val="bottom"/>
          </w:tcPr>
          <w:p w14:paraId="7427644D"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263FCAD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7855A5D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6E6A6017" w14:textId="77777777" w:rsidTr="00E9349D">
        <w:trPr>
          <w:trHeight w:val="288"/>
        </w:trPr>
        <w:tc>
          <w:tcPr>
            <w:tcW w:w="1650" w:type="dxa"/>
            <w:tcBorders>
              <w:top w:val="nil"/>
              <w:left w:val="single" w:sz="4" w:space="0" w:color="000000"/>
              <w:bottom w:val="nil"/>
              <w:right w:val="nil"/>
            </w:tcBorders>
            <w:vAlign w:val="bottom"/>
          </w:tcPr>
          <w:p w14:paraId="0643BB1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6F6C365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IIIB</w:t>
            </w:r>
          </w:p>
        </w:tc>
        <w:tc>
          <w:tcPr>
            <w:tcW w:w="630" w:type="dxa"/>
            <w:tcBorders>
              <w:top w:val="single" w:sz="4" w:space="0" w:color="000000"/>
              <w:left w:val="single" w:sz="4" w:space="0" w:color="000000"/>
              <w:bottom w:val="nil"/>
              <w:right w:val="nil"/>
            </w:tcBorders>
            <w:vAlign w:val="bottom"/>
          </w:tcPr>
          <w:p w14:paraId="256EA105"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21</w:t>
            </w:r>
          </w:p>
        </w:tc>
        <w:tc>
          <w:tcPr>
            <w:tcW w:w="2025" w:type="dxa"/>
            <w:tcBorders>
              <w:top w:val="single" w:sz="4" w:space="0" w:color="000000"/>
              <w:left w:val="single" w:sz="4" w:space="0" w:color="000000"/>
              <w:bottom w:val="nil"/>
              <w:right w:val="nil"/>
            </w:tcBorders>
            <w:vAlign w:val="bottom"/>
          </w:tcPr>
          <w:p w14:paraId="202413C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7 (63.6)</w:t>
            </w:r>
          </w:p>
        </w:tc>
        <w:tc>
          <w:tcPr>
            <w:tcW w:w="1335" w:type="dxa"/>
            <w:tcBorders>
              <w:top w:val="single" w:sz="4" w:space="0" w:color="000000"/>
              <w:left w:val="single" w:sz="4" w:space="0" w:color="000000"/>
              <w:bottom w:val="nil"/>
              <w:right w:val="nil"/>
            </w:tcBorders>
            <w:vAlign w:val="bottom"/>
          </w:tcPr>
          <w:p w14:paraId="2318C19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12 (44.4)</w:t>
            </w:r>
          </w:p>
        </w:tc>
        <w:tc>
          <w:tcPr>
            <w:tcW w:w="1335" w:type="dxa"/>
            <w:tcBorders>
              <w:top w:val="single" w:sz="4" w:space="0" w:color="000000"/>
              <w:left w:val="single" w:sz="4" w:space="0" w:color="000000"/>
              <w:bottom w:val="nil"/>
              <w:right w:val="nil"/>
            </w:tcBorders>
            <w:vAlign w:val="bottom"/>
          </w:tcPr>
          <w:p w14:paraId="07C8A6F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(100)</w:t>
            </w:r>
          </w:p>
        </w:tc>
        <w:tc>
          <w:tcPr>
            <w:tcW w:w="1155" w:type="dxa"/>
            <w:tcBorders>
              <w:top w:val="nil"/>
              <w:left w:val="single" w:sz="4" w:space="0" w:color="000000"/>
              <w:bottom w:val="nil"/>
              <w:right w:val="nil"/>
            </w:tcBorders>
            <w:vAlign w:val="bottom"/>
          </w:tcPr>
          <w:p w14:paraId="37B9052D"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50086DD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0C90771C" w14:textId="77777777" w:rsidTr="00E9349D">
        <w:trPr>
          <w:trHeight w:val="288"/>
        </w:trPr>
        <w:tc>
          <w:tcPr>
            <w:tcW w:w="1650" w:type="dxa"/>
            <w:tcBorders>
              <w:top w:val="nil"/>
              <w:left w:val="single" w:sz="4" w:space="0" w:color="000000"/>
              <w:bottom w:val="nil"/>
              <w:right w:val="nil"/>
            </w:tcBorders>
            <w:vAlign w:val="bottom"/>
          </w:tcPr>
          <w:p w14:paraId="01F538C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3790362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IIIC</w:t>
            </w:r>
          </w:p>
        </w:tc>
        <w:tc>
          <w:tcPr>
            <w:tcW w:w="630" w:type="dxa"/>
            <w:tcBorders>
              <w:top w:val="single" w:sz="4" w:space="0" w:color="000000"/>
              <w:left w:val="single" w:sz="4" w:space="0" w:color="000000"/>
              <w:bottom w:val="nil"/>
              <w:right w:val="nil"/>
            </w:tcBorders>
            <w:vAlign w:val="bottom"/>
          </w:tcPr>
          <w:p w14:paraId="327B87A3"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7</w:t>
            </w:r>
          </w:p>
        </w:tc>
        <w:tc>
          <w:tcPr>
            <w:tcW w:w="2025" w:type="dxa"/>
            <w:tcBorders>
              <w:top w:val="single" w:sz="4" w:space="0" w:color="000000"/>
              <w:left w:val="single" w:sz="4" w:space="0" w:color="000000"/>
              <w:bottom w:val="nil"/>
              <w:right w:val="nil"/>
            </w:tcBorders>
            <w:vAlign w:val="bottom"/>
          </w:tcPr>
          <w:p w14:paraId="480F4B8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0DD1A003"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7 (25.9)</w:t>
            </w:r>
          </w:p>
        </w:tc>
        <w:tc>
          <w:tcPr>
            <w:tcW w:w="1335" w:type="dxa"/>
            <w:tcBorders>
              <w:top w:val="single" w:sz="4" w:space="0" w:color="000000"/>
              <w:left w:val="single" w:sz="4" w:space="0" w:color="000000"/>
              <w:bottom w:val="nil"/>
              <w:right w:val="nil"/>
            </w:tcBorders>
            <w:vAlign w:val="bottom"/>
          </w:tcPr>
          <w:p w14:paraId="3DF4536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612F843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76F0BD0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640CB33C" w14:textId="77777777" w:rsidTr="00E9349D">
        <w:trPr>
          <w:trHeight w:val="288"/>
        </w:trPr>
        <w:tc>
          <w:tcPr>
            <w:tcW w:w="1650" w:type="dxa"/>
            <w:tcBorders>
              <w:top w:val="single" w:sz="4" w:space="0" w:color="000000"/>
              <w:left w:val="single" w:sz="4" w:space="0" w:color="000000"/>
              <w:bottom w:val="nil"/>
              <w:right w:val="nil"/>
            </w:tcBorders>
            <w:vAlign w:val="bottom"/>
          </w:tcPr>
          <w:p w14:paraId="1D361E4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Histology</w:t>
            </w:r>
          </w:p>
        </w:tc>
        <w:tc>
          <w:tcPr>
            <w:tcW w:w="1365" w:type="dxa"/>
            <w:tcBorders>
              <w:top w:val="single" w:sz="4" w:space="0" w:color="000000"/>
              <w:left w:val="single" w:sz="4" w:space="0" w:color="000000"/>
              <w:bottom w:val="nil"/>
              <w:right w:val="nil"/>
            </w:tcBorders>
            <w:vAlign w:val="bottom"/>
          </w:tcPr>
          <w:p w14:paraId="4033561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ADENOSQUAMOUS</w:t>
            </w:r>
          </w:p>
        </w:tc>
        <w:tc>
          <w:tcPr>
            <w:tcW w:w="630" w:type="dxa"/>
            <w:tcBorders>
              <w:top w:val="single" w:sz="4" w:space="0" w:color="000000"/>
              <w:left w:val="single" w:sz="4" w:space="0" w:color="000000"/>
              <w:bottom w:val="nil"/>
              <w:right w:val="nil"/>
            </w:tcBorders>
            <w:vAlign w:val="bottom"/>
          </w:tcPr>
          <w:p w14:paraId="0C7B80B6"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w:t>
            </w:r>
          </w:p>
        </w:tc>
        <w:tc>
          <w:tcPr>
            <w:tcW w:w="2025" w:type="dxa"/>
            <w:tcBorders>
              <w:top w:val="single" w:sz="4" w:space="0" w:color="000000"/>
              <w:left w:val="single" w:sz="4" w:space="0" w:color="000000"/>
              <w:bottom w:val="nil"/>
              <w:right w:val="nil"/>
            </w:tcBorders>
            <w:vAlign w:val="bottom"/>
          </w:tcPr>
          <w:p w14:paraId="7905885A"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644CD46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(3.7)</w:t>
            </w:r>
          </w:p>
        </w:tc>
        <w:tc>
          <w:tcPr>
            <w:tcW w:w="1335" w:type="dxa"/>
            <w:tcBorders>
              <w:top w:val="single" w:sz="4" w:space="0" w:color="000000"/>
              <w:left w:val="single" w:sz="4" w:space="0" w:color="000000"/>
              <w:bottom w:val="nil"/>
              <w:right w:val="nil"/>
            </w:tcBorders>
            <w:vAlign w:val="bottom"/>
          </w:tcPr>
          <w:p w14:paraId="727DB9C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single" w:sz="4" w:space="0" w:color="000000"/>
              <w:left w:val="single" w:sz="4" w:space="0" w:color="000000"/>
              <w:bottom w:val="nil"/>
              <w:right w:val="nil"/>
            </w:tcBorders>
            <w:vAlign w:val="bottom"/>
          </w:tcPr>
          <w:p w14:paraId="5C4BF362"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6.118</w:t>
            </w:r>
          </w:p>
        </w:tc>
        <w:tc>
          <w:tcPr>
            <w:tcW w:w="840" w:type="dxa"/>
            <w:tcBorders>
              <w:top w:val="single" w:sz="4" w:space="0" w:color="000000"/>
              <w:left w:val="single" w:sz="4" w:space="0" w:color="000000"/>
              <w:bottom w:val="nil"/>
              <w:right w:val="single" w:sz="4" w:space="0" w:color="000000"/>
            </w:tcBorders>
            <w:vAlign w:val="bottom"/>
          </w:tcPr>
          <w:p w14:paraId="68C4E186"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0.634</w:t>
            </w:r>
          </w:p>
        </w:tc>
      </w:tr>
      <w:tr w:rsidR="00187C5B" w14:paraId="1B0B5196" w14:textId="77777777" w:rsidTr="00E9349D">
        <w:trPr>
          <w:trHeight w:val="288"/>
        </w:trPr>
        <w:tc>
          <w:tcPr>
            <w:tcW w:w="1650" w:type="dxa"/>
            <w:tcBorders>
              <w:top w:val="nil"/>
              <w:left w:val="single" w:sz="4" w:space="0" w:color="000000"/>
              <w:bottom w:val="nil"/>
              <w:right w:val="nil"/>
            </w:tcBorders>
            <w:vAlign w:val="bottom"/>
          </w:tcPr>
          <w:p w14:paraId="5644F1A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2DF8040A"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MD-ADENO</w:t>
            </w:r>
          </w:p>
        </w:tc>
        <w:tc>
          <w:tcPr>
            <w:tcW w:w="630" w:type="dxa"/>
            <w:tcBorders>
              <w:top w:val="single" w:sz="4" w:space="0" w:color="000000"/>
              <w:left w:val="single" w:sz="4" w:space="0" w:color="000000"/>
              <w:bottom w:val="nil"/>
              <w:right w:val="nil"/>
            </w:tcBorders>
            <w:vAlign w:val="bottom"/>
          </w:tcPr>
          <w:p w14:paraId="1EBFC216"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16</w:t>
            </w:r>
          </w:p>
        </w:tc>
        <w:tc>
          <w:tcPr>
            <w:tcW w:w="2025" w:type="dxa"/>
            <w:tcBorders>
              <w:top w:val="single" w:sz="4" w:space="0" w:color="000000"/>
              <w:left w:val="single" w:sz="4" w:space="0" w:color="000000"/>
              <w:bottom w:val="nil"/>
              <w:right w:val="nil"/>
            </w:tcBorders>
            <w:vAlign w:val="bottom"/>
          </w:tcPr>
          <w:p w14:paraId="3D85804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3 (27.3)</w:t>
            </w:r>
          </w:p>
        </w:tc>
        <w:tc>
          <w:tcPr>
            <w:tcW w:w="1335" w:type="dxa"/>
            <w:tcBorders>
              <w:top w:val="single" w:sz="4" w:space="0" w:color="000000"/>
              <w:left w:val="single" w:sz="4" w:space="0" w:color="000000"/>
              <w:bottom w:val="nil"/>
              <w:right w:val="nil"/>
            </w:tcBorders>
            <w:vAlign w:val="bottom"/>
          </w:tcPr>
          <w:p w14:paraId="4597567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12 (44.4)</w:t>
            </w:r>
          </w:p>
        </w:tc>
        <w:tc>
          <w:tcPr>
            <w:tcW w:w="1335" w:type="dxa"/>
            <w:tcBorders>
              <w:top w:val="single" w:sz="4" w:space="0" w:color="000000"/>
              <w:left w:val="single" w:sz="4" w:space="0" w:color="000000"/>
              <w:bottom w:val="nil"/>
              <w:right w:val="nil"/>
            </w:tcBorders>
            <w:vAlign w:val="bottom"/>
          </w:tcPr>
          <w:p w14:paraId="59DE2824"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(50)</w:t>
            </w:r>
          </w:p>
        </w:tc>
        <w:tc>
          <w:tcPr>
            <w:tcW w:w="1155" w:type="dxa"/>
            <w:tcBorders>
              <w:top w:val="nil"/>
              <w:left w:val="single" w:sz="4" w:space="0" w:color="000000"/>
              <w:bottom w:val="nil"/>
              <w:right w:val="nil"/>
            </w:tcBorders>
            <w:vAlign w:val="bottom"/>
          </w:tcPr>
          <w:p w14:paraId="3AB6DD6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1458504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65469F92" w14:textId="77777777" w:rsidTr="00E9349D">
        <w:trPr>
          <w:trHeight w:val="288"/>
        </w:trPr>
        <w:tc>
          <w:tcPr>
            <w:tcW w:w="1650" w:type="dxa"/>
            <w:tcBorders>
              <w:top w:val="nil"/>
              <w:left w:val="single" w:sz="4" w:space="0" w:color="000000"/>
              <w:bottom w:val="nil"/>
              <w:right w:val="nil"/>
            </w:tcBorders>
            <w:vAlign w:val="bottom"/>
          </w:tcPr>
          <w:p w14:paraId="1C45B30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38F1A44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PD-ADENO</w:t>
            </w:r>
          </w:p>
        </w:tc>
        <w:tc>
          <w:tcPr>
            <w:tcW w:w="630" w:type="dxa"/>
            <w:tcBorders>
              <w:top w:val="single" w:sz="4" w:space="0" w:color="000000"/>
              <w:left w:val="single" w:sz="4" w:space="0" w:color="000000"/>
              <w:bottom w:val="nil"/>
              <w:right w:val="nil"/>
            </w:tcBorders>
            <w:vAlign w:val="bottom"/>
          </w:tcPr>
          <w:p w14:paraId="2937187F"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6</w:t>
            </w:r>
          </w:p>
        </w:tc>
        <w:tc>
          <w:tcPr>
            <w:tcW w:w="2025" w:type="dxa"/>
            <w:tcBorders>
              <w:top w:val="single" w:sz="4" w:space="0" w:color="000000"/>
              <w:left w:val="single" w:sz="4" w:space="0" w:color="000000"/>
              <w:bottom w:val="nil"/>
              <w:right w:val="nil"/>
            </w:tcBorders>
            <w:vAlign w:val="bottom"/>
          </w:tcPr>
          <w:p w14:paraId="41B3938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(9.1)</w:t>
            </w:r>
          </w:p>
        </w:tc>
        <w:tc>
          <w:tcPr>
            <w:tcW w:w="1335" w:type="dxa"/>
            <w:tcBorders>
              <w:top w:val="single" w:sz="4" w:space="0" w:color="000000"/>
              <w:left w:val="single" w:sz="4" w:space="0" w:color="000000"/>
              <w:bottom w:val="nil"/>
              <w:right w:val="nil"/>
            </w:tcBorders>
            <w:vAlign w:val="bottom"/>
          </w:tcPr>
          <w:p w14:paraId="212FA89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4 (14.8)</w:t>
            </w:r>
          </w:p>
        </w:tc>
        <w:tc>
          <w:tcPr>
            <w:tcW w:w="1335" w:type="dxa"/>
            <w:tcBorders>
              <w:top w:val="single" w:sz="4" w:space="0" w:color="000000"/>
              <w:left w:val="single" w:sz="4" w:space="0" w:color="000000"/>
              <w:bottom w:val="nil"/>
              <w:right w:val="nil"/>
            </w:tcBorders>
            <w:vAlign w:val="bottom"/>
          </w:tcPr>
          <w:p w14:paraId="3C64719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(50)</w:t>
            </w:r>
          </w:p>
        </w:tc>
        <w:tc>
          <w:tcPr>
            <w:tcW w:w="1155" w:type="dxa"/>
            <w:tcBorders>
              <w:top w:val="nil"/>
              <w:left w:val="single" w:sz="4" w:space="0" w:color="000000"/>
              <w:bottom w:val="nil"/>
              <w:right w:val="nil"/>
            </w:tcBorders>
            <w:vAlign w:val="bottom"/>
          </w:tcPr>
          <w:p w14:paraId="74659C0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7920401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29E1F98B" w14:textId="77777777" w:rsidTr="00E9349D">
        <w:trPr>
          <w:trHeight w:val="288"/>
        </w:trPr>
        <w:tc>
          <w:tcPr>
            <w:tcW w:w="1650" w:type="dxa"/>
            <w:tcBorders>
              <w:top w:val="nil"/>
              <w:left w:val="single" w:sz="4" w:space="0" w:color="000000"/>
              <w:bottom w:val="nil"/>
              <w:right w:val="nil"/>
            </w:tcBorders>
            <w:vAlign w:val="bottom"/>
          </w:tcPr>
          <w:p w14:paraId="61648452"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6835274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SIGNET RING CELL</w:t>
            </w:r>
          </w:p>
        </w:tc>
        <w:tc>
          <w:tcPr>
            <w:tcW w:w="630" w:type="dxa"/>
            <w:tcBorders>
              <w:top w:val="single" w:sz="4" w:space="0" w:color="000000"/>
              <w:left w:val="single" w:sz="4" w:space="0" w:color="000000"/>
              <w:bottom w:val="nil"/>
              <w:right w:val="nil"/>
            </w:tcBorders>
            <w:vAlign w:val="bottom"/>
          </w:tcPr>
          <w:p w14:paraId="5A311221"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w:t>
            </w:r>
          </w:p>
        </w:tc>
        <w:tc>
          <w:tcPr>
            <w:tcW w:w="2025" w:type="dxa"/>
            <w:tcBorders>
              <w:top w:val="single" w:sz="4" w:space="0" w:color="000000"/>
              <w:left w:val="single" w:sz="4" w:space="0" w:color="000000"/>
              <w:bottom w:val="nil"/>
              <w:right w:val="nil"/>
            </w:tcBorders>
            <w:vAlign w:val="bottom"/>
          </w:tcPr>
          <w:p w14:paraId="27916A6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10ACF42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(3.7)</w:t>
            </w:r>
          </w:p>
        </w:tc>
        <w:tc>
          <w:tcPr>
            <w:tcW w:w="1335" w:type="dxa"/>
            <w:tcBorders>
              <w:top w:val="single" w:sz="4" w:space="0" w:color="000000"/>
              <w:left w:val="single" w:sz="4" w:space="0" w:color="000000"/>
              <w:bottom w:val="nil"/>
              <w:right w:val="nil"/>
            </w:tcBorders>
            <w:vAlign w:val="bottom"/>
          </w:tcPr>
          <w:p w14:paraId="561E3442"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5FC7B08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0ACB074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21FC718F" w14:textId="77777777" w:rsidTr="00E9349D">
        <w:trPr>
          <w:trHeight w:val="288"/>
        </w:trPr>
        <w:tc>
          <w:tcPr>
            <w:tcW w:w="1650" w:type="dxa"/>
            <w:tcBorders>
              <w:top w:val="nil"/>
              <w:left w:val="single" w:sz="4" w:space="0" w:color="000000"/>
              <w:bottom w:val="nil"/>
              <w:right w:val="nil"/>
            </w:tcBorders>
            <w:vAlign w:val="bottom"/>
          </w:tcPr>
          <w:p w14:paraId="5D2F146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722F65A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WD-ADENO</w:t>
            </w:r>
          </w:p>
        </w:tc>
        <w:tc>
          <w:tcPr>
            <w:tcW w:w="630" w:type="dxa"/>
            <w:tcBorders>
              <w:top w:val="single" w:sz="4" w:space="0" w:color="000000"/>
              <w:left w:val="single" w:sz="4" w:space="0" w:color="000000"/>
              <w:bottom w:val="nil"/>
              <w:right w:val="nil"/>
            </w:tcBorders>
            <w:vAlign w:val="bottom"/>
          </w:tcPr>
          <w:p w14:paraId="1F5B7928"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16</w:t>
            </w:r>
          </w:p>
        </w:tc>
        <w:tc>
          <w:tcPr>
            <w:tcW w:w="2025" w:type="dxa"/>
            <w:tcBorders>
              <w:top w:val="single" w:sz="4" w:space="0" w:color="000000"/>
              <w:left w:val="single" w:sz="4" w:space="0" w:color="000000"/>
              <w:bottom w:val="nil"/>
              <w:right w:val="nil"/>
            </w:tcBorders>
            <w:vAlign w:val="bottom"/>
          </w:tcPr>
          <w:p w14:paraId="1343C41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7 (63.6)</w:t>
            </w:r>
          </w:p>
        </w:tc>
        <w:tc>
          <w:tcPr>
            <w:tcW w:w="1335" w:type="dxa"/>
            <w:tcBorders>
              <w:top w:val="single" w:sz="4" w:space="0" w:color="000000"/>
              <w:left w:val="single" w:sz="4" w:space="0" w:color="000000"/>
              <w:bottom w:val="nil"/>
              <w:right w:val="nil"/>
            </w:tcBorders>
            <w:vAlign w:val="bottom"/>
          </w:tcPr>
          <w:p w14:paraId="29C6173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9 (33.3)</w:t>
            </w:r>
          </w:p>
        </w:tc>
        <w:tc>
          <w:tcPr>
            <w:tcW w:w="1335" w:type="dxa"/>
            <w:tcBorders>
              <w:top w:val="single" w:sz="4" w:space="0" w:color="000000"/>
              <w:left w:val="single" w:sz="4" w:space="0" w:color="000000"/>
              <w:bottom w:val="nil"/>
              <w:right w:val="nil"/>
            </w:tcBorders>
            <w:vAlign w:val="bottom"/>
          </w:tcPr>
          <w:p w14:paraId="2F75A50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4F489D5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2FC7E08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6C7BE7B9" w14:textId="77777777" w:rsidTr="00E9349D">
        <w:trPr>
          <w:trHeight w:val="288"/>
        </w:trPr>
        <w:tc>
          <w:tcPr>
            <w:tcW w:w="1650" w:type="dxa"/>
            <w:tcBorders>
              <w:top w:val="single" w:sz="4" w:space="0" w:color="000000"/>
              <w:left w:val="single" w:sz="4" w:space="0" w:color="000000"/>
              <w:bottom w:val="nil"/>
              <w:right w:val="nil"/>
            </w:tcBorders>
            <w:vAlign w:val="bottom"/>
          </w:tcPr>
          <w:p w14:paraId="6C9D335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GRADE</w:t>
            </w:r>
          </w:p>
        </w:tc>
        <w:tc>
          <w:tcPr>
            <w:tcW w:w="1365" w:type="dxa"/>
            <w:tcBorders>
              <w:top w:val="single" w:sz="4" w:space="0" w:color="000000"/>
              <w:left w:val="single" w:sz="4" w:space="0" w:color="000000"/>
              <w:bottom w:val="nil"/>
              <w:right w:val="nil"/>
            </w:tcBorders>
            <w:vAlign w:val="bottom"/>
          </w:tcPr>
          <w:p w14:paraId="65C894B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I</w:t>
            </w:r>
          </w:p>
        </w:tc>
        <w:tc>
          <w:tcPr>
            <w:tcW w:w="630" w:type="dxa"/>
            <w:tcBorders>
              <w:top w:val="single" w:sz="4" w:space="0" w:color="000000"/>
              <w:left w:val="single" w:sz="4" w:space="0" w:color="000000"/>
              <w:bottom w:val="nil"/>
              <w:right w:val="nil"/>
            </w:tcBorders>
            <w:vAlign w:val="bottom"/>
          </w:tcPr>
          <w:p w14:paraId="5AFEC63D"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16</w:t>
            </w:r>
          </w:p>
        </w:tc>
        <w:tc>
          <w:tcPr>
            <w:tcW w:w="2025" w:type="dxa"/>
            <w:tcBorders>
              <w:top w:val="single" w:sz="4" w:space="0" w:color="000000"/>
              <w:left w:val="single" w:sz="4" w:space="0" w:color="000000"/>
              <w:bottom w:val="nil"/>
              <w:right w:val="nil"/>
            </w:tcBorders>
            <w:vAlign w:val="bottom"/>
          </w:tcPr>
          <w:p w14:paraId="7B07F91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7 (63.6)</w:t>
            </w:r>
          </w:p>
        </w:tc>
        <w:tc>
          <w:tcPr>
            <w:tcW w:w="1335" w:type="dxa"/>
            <w:tcBorders>
              <w:top w:val="single" w:sz="4" w:space="0" w:color="000000"/>
              <w:left w:val="single" w:sz="4" w:space="0" w:color="000000"/>
              <w:bottom w:val="nil"/>
              <w:right w:val="nil"/>
            </w:tcBorders>
            <w:vAlign w:val="bottom"/>
          </w:tcPr>
          <w:p w14:paraId="7BEC970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9 (34.6)</w:t>
            </w:r>
          </w:p>
        </w:tc>
        <w:tc>
          <w:tcPr>
            <w:tcW w:w="1335" w:type="dxa"/>
            <w:tcBorders>
              <w:top w:val="single" w:sz="4" w:space="0" w:color="000000"/>
              <w:left w:val="single" w:sz="4" w:space="0" w:color="000000"/>
              <w:bottom w:val="nil"/>
              <w:right w:val="nil"/>
            </w:tcBorders>
            <w:vAlign w:val="bottom"/>
          </w:tcPr>
          <w:p w14:paraId="3E6B3BD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single" w:sz="4" w:space="0" w:color="000000"/>
              <w:left w:val="single" w:sz="4" w:space="0" w:color="000000"/>
              <w:bottom w:val="nil"/>
              <w:right w:val="nil"/>
            </w:tcBorders>
            <w:vAlign w:val="bottom"/>
          </w:tcPr>
          <w:p w14:paraId="32E28B08"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5.228</w:t>
            </w:r>
          </w:p>
        </w:tc>
        <w:tc>
          <w:tcPr>
            <w:tcW w:w="840" w:type="dxa"/>
            <w:tcBorders>
              <w:top w:val="single" w:sz="4" w:space="0" w:color="000000"/>
              <w:left w:val="single" w:sz="4" w:space="0" w:color="000000"/>
              <w:bottom w:val="nil"/>
              <w:right w:val="single" w:sz="4" w:space="0" w:color="000000"/>
            </w:tcBorders>
            <w:vAlign w:val="bottom"/>
          </w:tcPr>
          <w:p w14:paraId="37FC7E09"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0.265</w:t>
            </w:r>
          </w:p>
        </w:tc>
      </w:tr>
      <w:tr w:rsidR="00187C5B" w14:paraId="1193E92F" w14:textId="77777777" w:rsidTr="00E9349D">
        <w:trPr>
          <w:trHeight w:val="288"/>
        </w:trPr>
        <w:tc>
          <w:tcPr>
            <w:tcW w:w="1650" w:type="dxa"/>
            <w:tcBorders>
              <w:top w:val="nil"/>
              <w:left w:val="single" w:sz="4" w:space="0" w:color="000000"/>
              <w:bottom w:val="nil"/>
              <w:right w:val="nil"/>
            </w:tcBorders>
            <w:vAlign w:val="bottom"/>
          </w:tcPr>
          <w:p w14:paraId="687596D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0228D96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II</w:t>
            </w:r>
          </w:p>
        </w:tc>
        <w:tc>
          <w:tcPr>
            <w:tcW w:w="630" w:type="dxa"/>
            <w:tcBorders>
              <w:top w:val="single" w:sz="4" w:space="0" w:color="000000"/>
              <w:left w:val="single" w:sz="4" w:space="0" w:color="000000"/>
              <w:bottom w:val="nil"/>
              <w:right w:val="nil"/>
            </w:tcBorders>
            <w:vAlign w:val="bottom"/>
          </w:tcPr>
          <w:p w14:paraId="742809D8"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17</w:t>
            </w:r>
          </w:p>
        </w:tc>
        <w:tc>
          <w:tcPr>
            <w:tcW w:w="2025" w:type="dxa"/>
            <w:tcBorders>
              <w:top w:val="single" w:sz="4" w:space="0" w:color="000000"/>
              <w:left w:val="single" w:sz="4" w:space="0" w:color="000000"/>
              <w:bottom w:val="nil"/>
              <w:right w:val="nil"/>
            </w:tcBorders>
            <w:vAlign w:val="bottom"/>
          </w:tcPr>
          <w:p w14:paraId="3F0E98B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3 (27.3)</w:t>
            </w:r>
          </w:p>
        </w:tc>
        <w:tc>
          <w:tcPr>
            <w:tcW w:w="1335" w:type="dxa"/>
            <w:tcBorders>
              <w:top w:val="single" w:sz="4" w:space="0" w:color="000000"/>
              <w:left w:val="single" w:sz="4" w:space="0" w:color="000000"/>
              <w:bottom w:val="nil"/>
              <w:right w:val="nil"/>
            </w:tcBorders>
            <w:vAlign w:val="bottom"/>
          </w:tcPr>
          <w:p w14:paraId="2E06390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13 (50)</w:t>
            </w:r>
          </w:p>
        </w:tc>
        <w:tc>
          <w:tcPr>
            <w:tcW w:w="1335" w:type="dxa"/>
            <w:tcBorders>
              <w:top w:val="single" w:sz="4" w:space="0" w:color="000000"/>
              <w:left w:val="single" w:sz="4" w:space="0" w:color="000000"/>
              <w:bottom w:val="nil"/>
              <w:right w:val="nil"/>
            </w:tcBorders>
            <w:vAlign w:val="bottom"/>
          </w:tcPr>
          <w:p w14:paraId="3FC71F2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(50)</w:t>
            </w:r>
          </w:p>
        </w:tc>
        <w:tc>
          <w:tcPr>
            <w:tcW w:w="1155" w:type="dxa"/>
            <w:tcBorders>
              <w:top w:val="nil"/>
              <w:left w:val="single" w:sz="4" w:space="0" w:color="000000"/>
              <w:bottom w:val="nil"/>
              <w:right w:val="nil"/>
            </w:tcBorders>
            <w:vAlign w:val="bottom"/>
          </w:tcPr>
          <w:p w14:paraId="55040CCA"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176B7C8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3A7695E9" w14:textId="77777777" w:rsidTr="00E9349D">
        <w:trPr>
          <w:trHeight w:val="288"/>
        </w:trPr>
        <w:tc>
          <w:tcPr>
            <w:tcW w:w="1650" w:type="dxa"/>
            <w:tcBorders>
              <w:top w:val="nil"/>
              <w:left w:val="single" w:sz="4" w:space="0" w:color="000000"/>
              <w:bottom w:val="nil"/>
              <w:right w:val="nil"/>
            </w:tcBorders>
            <w:vAlign w:val="bottom"/>
          </w:tcPr>
          <w:p w14:paraId="726569C4"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37977F2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III</w:t>
            </w:r>
          </w:p>
        </w:tc>
        <w:tc>
          <w:tcPr>
            <w:tcW w:w="630" w:type="dxa"/>
            <w:tcBorders>
              <w:top w:val="single" w:sz="4" w:space="0" w:color="000000"/>
              <w:left w:val="single" w:sz="4" w:space="0" w:color="000000"/>
              <w:bottom w:val="nil"/>
              <w:right w:val="nil"/>
            </w:tcBorders>
            <w:vAlign w:val="bottom"/>
          </w:tcPr>
          <w:p w14:paraId="49F62495"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6</w:t>
            </w:r>
          </w:p>
        </w:tc>
        <w:tc>
          <w:tcPr>
            <w:tcW w:w="2025" w:type="dxa"/>
            <w:tcBorders>
              <w:top w:val="single" w:sz="4" w:space="0" w:color="000000"/>
              <w:left w:val="single" w:sz="4" w:space="0" w:color="000000"/>
              <w:bottom w:val="nil"/>
              <w:right w:val="nil"/>
            </w:tcBorders>
            <w:vAlign w:val="bottom"/>
          </w:tcPr>
          <w:p w14:paraId="02E6360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(9.1)</w:t>
            </w:r>
          </w:p>
        </w:tc>
        <w:tc>
          <w:tcPr>
            <w:tcW w:w="1335" w:type="dxa"/>
            <w:tcBorders>
              <w:top w:val="single" w:sz="4" w:space="0" w:color="000000"/>
              <w:left w:val="single" w:sz="4" w:space="0" w:color="000000"/>
              <w:bottom w:val="nil"/>
              <w:right w:val="nil"/>
            </w:tcBorders>
            <w:vAlign w:val="bottom"/>
          </w:tcPr>
          <w:p w14:paraId="54B48D54"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4 (15.4)</w:t>
            </w:r>
          </w:p>
        </w:tc>
        <w:tc>
          <w:tcPr>
            <w:tcW w:w="1335" w:type="dxa"/>
            <w:tcBorders>
              <w:top w:val="single" w:sz="4" w:space="0" w:color="000000"/>
              <w:left w:val="single" w:sz="4" w:space="0" w:color="000000"/>
              <w:bottom w:val="nil"/>
              <w:right w:val="nil"/>
            </w:tcBorders>
            <w:vAlign w:val="bottom"/>
          </w:tcPr>
          <w:p w14:paraId="2D9EABF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(50)</w:t>
            </w:r>
          </w:p>
        </w:tc>
        <w:tc>
          <w:tcPr>
            <w:tcW w:w="1155" w:type="dxa"/>
            <w:tcBorders>
              <w:top w:val="nil"/>
              <w:left w:val="single" w:sz="4" w:space="0" w:color="000000"/>
              <w:bottom w:val="nil"/>
              <w:right w:val="nil"/>
            </w:tcBorders>
            <w:vAlign w:val="bottom"/>
          </w:tcPr>
          <w:p w14:paraId="3B388C3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0367A6C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673537A7" w14:textId="77777777" w:rsidTr="00E9349D">
        <w:trPr>
          <w:trHeight w:val="288"/>
        </w:trPr>
        <w:tc>
          <w:tcPr>
            <w:tcW w:w="1650" w:type="dxa"/>
            <w:tcBorders>
              <w:top w:val="single" w:sz="4" w:space="0" w:color="000000"/>
              <w:left w:val="single" w:sz="4" w:space="0" w:color="000000"/>
              <w:bottom w:val="nil"/>
              <w:right w:val="nil"/>
            </w:tcBorders>
            <w:vAlign w:val="bottom"/>
          </w:tcPr>
          <w:p w14:paraId="7261CF27"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SURGERY</w:t>
            </w:r>
          </w:p>
        </w:tc>
        <w:tc>
          <w:tcPr>
            <w:tcW w:w="1365" w:type="dxa"/>
            <w:tcBorders>
              <w:top w:val="single" w:sz="4" w:space="0" w:color="000000"/>
              <w:left w:val="single" w:sz="4" w:space="0" w:color="000000"/>
              <w:bottom w:val="nil"/>
              <w:right w:val="nil"/>
            </w:tcBorders>
            <w:vAlign w:val="bottom"/>
          </w:tcPr>
          <w:p w14:paraId="2D54FE42"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APR</w:t>
            </w:r>
          </w:p>
        </w:tc>
        <w:tc>
          <w:tcPr>
            <w:tcW w:w="630" w:type="dxa"/>
            <w:tcBorders>
              <w:top w:val="single" w:sz="4" w:space="0" w:color="000000"/>
              <w:left w:val="single" w:sz="4" w:space="0" w:color="000000"/>
              <w:bottom w:val="nil"/>
              <w:right w:val="nil"/>
            </w:tcBorders>
            <w:vAlign w:val="bottom"/>
          </w:tcPr>
          <w:p w14:paraId="30AB03D1"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17</w:t>
            </w:r>
          </w:p>
        </w:tc>
        <w:tc>
          <w:tcPr>
            <w:tcW w:w="2025" w:type="dxa"/>
            <w:tcBorders>
              <w:top w:val="single" w:sz="4" w:space="0" w:color="000000"/>
              <w:left w:val="single" w:sz="4" w:space="0" w:color="000000"/>
              <w:bottom w:val="nil"/>
              <w:right w:val="nil"/>
            </w:tcBorders>
            <w:vAlign w:val="bottom"/>
          </w:tcPr>
          <w:p w14:paraId="2BBE3A9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(18.2)</w:t>
            </w:r>
          </w:p>
        </w:tc>
        <w:tc>
          <w:tcPr>
            <w:tcW w:w="1335" w:type="dxa"/>
            <w:tcBorders>
              <w:top w:val="single" w:sz="4" w:space="0" w:color="000000"/>
              <w:left w:val="single" w:sz="4" w:space="0" w:color="000000"/>
              <w:bottom w:val="nil"/>
              <w:right w:val="nil"/>
            </w:tcBorders>
            <w:vAlign w:val="bottom"/>
          </w:tcPr>
          <w:p w14:paraId="3BDAD8F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14 (51.9)</w:t>
            </w:r>
          </w:p>
        </w:tc>
        <w:tc>
          <w:tcPr>
            <w:tcW w:w="1335" w:type="dxa"/>
            <w:tcBorders>
              <w:top w:val="single" w:sz="4" w:space="0" w:color="000000"/>
              <w:left w:val="single" w:sz="4" w:space="0" w:color="000000"/>
              <w:bottom w:val="nil"/>
              <w:right w:val="nil"/>
            </w:tcBorders>
            <w:vAlign w:val="bottom"/>
          </w:tcPr>
          <w:p w14:paraId="55C296A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(50)</w:t>
            </w:r>
          </w:p>
        </w:tc>
        <w:tc>
          <w:tcPr>
            <w:tcW w:w="1155" w:type="dxa"/>
            <w:tcBorders>
              <w:top w:val="single" w:sz="4" w:space="0" w:color="000000"/>
              <w:left w:val="single" w:sz="4" w:space="0" w:color="000000"/>
              <w:bottom w:val="nil"/>
              <w:right w:val="nil"/>
            </w:tcBorders>
            <w:vAlign w:val="bottom"/>
          </w:tcPr>
          <w:p w14:paraId="251B8354"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19.96</w:t>
            </w:r>
          </w:p>
        </w:tc>
        <w:tc>
          <w:tcPr>
            <w:tcW w:w="840" w:type="dxa"/>
            <w:tcBorders>
              <w:top w:val="single" w:sz="4" w:space="0" w:color="000000"/>
              <w:left w:val="single" w:sz="4" w:space="0" w:color="000000"/>
              <w:bottom w:val="nil"/>
              <w:right w:val="single" w:sz="4" w:space="0" w:color="000000"/>
            </w:tcBorders>
            <w:vAlign w:val="bottom"/>
          </w:tcPr>
          <w:p w14:paraId="2B89F97F" w14:textId="77777777" w:rsidR="00187C5B" w:rsidRDefault="00187C5B" w:rsidP="00E9349D">
            <w:pPr>
              <w:spacing w:line="240" w:lineRule="auto"/>
              <w:jc w:val="right"/>
              <w:rPr>
                <w:rFonts w:ascii="Aptos Narrow" w:eastAsia="Aptos Narrow" w:hAnsi="Aptos Narrow" w:cs="Aptos Narrow"/>
                <w:b/>
                <w:color w:val="FF0000"/>
                <w:u w:val="single"/>
              </w:rPr>
            </w:pPr>
            <w:r>
              <w:rPr>
                <w:rFonts w:ascii="Aptos Narrow" w:eastAsia="Aptos Narrow" w:hAnsi="Aptos Narrow" w:cs="Aptos Narrow"/>
                <w:b/>
                <w:color w:val="FF0000"/>
                <w:u w:val="single"/>
              </w:rPr>
              <w:t>0.03</w:t>
            </w:r>
          </w:p>
        </w:tc>
      </w:tr>
      <w:tr w:rsidR="00187C5B" w14:paraId="17A36117" w14:textId="77777777" w:rsidTr="00E9349D">
        <w:trPr>
          <w:trHeight w:val="288"/>
        </w:trPr>
        <w:tc>
          <w:tcPr>
            <w:tcW w:w="1650" w:type="dxa"/>
            <w:tcBorders>
              <w:top w:val="nil"/>
              <w:left w:val="single" w:sz="4" w:space="0" w:color="000000"/>
              <w:bottom w:val="nil"/>
              <w:right w:val="nil"/>
            </w:tcBorders>
            <w:vAlign w:val="bottom"/>
          </w:tcPr>
          <w:p w14:paraId="7FA4FC8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777982DD"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AR</w:t>
            </w:r>
          </w:p>
        </w:tc>
        <w:tc>
          <w:tcPr>
            <w:tcW w:w="630" w:type="dxa"/>
            <w:tcBorders>
              <w:top w:val="single" w:sz="4" w:space="0" w:color="000000"/>
              <w:left w:val="single" w:sz="4" w:space="0" w:color="000000"/>
              <w:bottom w:val="nil"/>
              <w:right w:val="nil"/>
            </w:tcBorders>
            <w:vAlign w:val="bottom"/>
          </w:tcPr>
          <w:p w14:paraId="0B9E49CE"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12</w:t>
            </w:r>
          </w:p>
        </w:tc>
        <w:tc>
          <w:tcPr>
            <w:tcW w:w="2025" w:type="dxa"/>
            <w:tcBorders>
              <w:top w:val="single" w:sz="4" w:space="0" w:color="000000"/>
              <w:left w:val="single" w:sz="4" w:space="0" w:color="000000"/>
              <w:bottom w:val="nil"/>
              <w:right w:val="nil"/>
            </w:tcBorders>
            <w:vAlign w:val="bottom"/>
          </w:tcPr>
          <w:p w14:paraId="52821E8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(18.2)</w:t>
            </w:r>
          </w:p>
        </w:tc>
        <w:tc>
          <w:tcPr>
            <w:tcW w:w="1335" w:type="dxa"/>
            <w:tcBorders>
              <w:top w:val="single" w:sz="4" w:space="0" w:color="000000"/>
              <w:left w:val="single" w:sz="4" w:space="0" w:color="000000"/>
              <w:bottom w:val="nil"/>
              <w:right w:val="nil"/>
            </w:tcBorders>
            <w:vAlign w:val="bottom"/>
          </w:tcPr>
          <w:p w14:paraId="64D91D5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9 (33.3)</w:t>
            </w:r>
          </w:p>
        </w:tc>
        <w:tc>
          <w:tcPr>
            <w:tcW w:w="1335" w:type="dxa"/>
            <w:tcBorders>
              <w:top w:val="single" w:sz="4" w:space="0" w:color="000000"/>
              <w:left w:val="single" w:sz="4" w:space="0" w:color="000000"/>
              <w:bottom w:val="nil"/>
              <w:right w:val="nil"/>
            </w:tcBorders>
            <w:vAlign w:val="bottom"/>
          </w:tcPr>
          <w:p w14:paraId="7846A03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(50)</w:t>
            </w:r>
          </w:p>
        </w:tc>
        <w:tc>
          <w:tcPr>
            <w:tcW w:w="1155" w:type="dxa"/>
            <w:tcBorders>
              <w:top w:val="nil"/>
              <w:left w:val="single" w:sz="4" w:space="0" w:color="000000"/>
              <w:bottom w:val="nil"/>
              <w:right w:val="nil"/>
            </w:tcBorders>
            <w:vAlign w:val="bottom"/>
          </w:tcPr>
          <w:p w14:paraId="487C43A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623B4A6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1760FE04" w14:textId="77777777" w:rsidTr="00E9349D">
        <w:trPr>
          <w:trHeight w:val="288"/>
        </w:trPr>
        <w:tc>
          <w:tcPr>
            <w:tcW w:w="1650" w:type="dxa"/>
            <w:tcBorders>
              <w:top w:val="nil"/>
              <w:left w:val="single" w:sz="4" w:space="0" w:color="000000"/>
              <w:bottom w:val="nil"/>
              <w:right w:val="nil"/>
            </w:tcBorders>
            <w:vAlign w:val="bottom"/>
          </w:tcPr>
          <w:p w14:paraId="71D05DE2"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61AE9F9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CR</w:t>
            </w:r>
          </w:p>
        </w:tc>
        <w:tc>
          <w:tcPr>
            <w:tcW w:w="630" w:type="dxa"/>
            <w:tcBorders>
              <w:top w:val="single" w:sz="4" w:space="0" w:color="000000"/>
              <w:left w:val="single" w:sz="4" w:space="0" w:color="000000"/>
              <w:bottom w:val="nil"/>
              <w:right w:val="nil"/>
            </w:tcBorders>
            <w:vAlign w:val="bottom"/>
          </w:tcPr>
          <w:p w14:paraId="032D1A55"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6</w:t>
            </w:r>
          </w:p>
        </w:tc>
        <w:tc>
          <w:tcPr>
            <w:tcW w:w="2025" w:type="dxa"/>
            <w:tcBorders>
              <w:top w:val="single" w:sz="4" w:space="0" w:color="000000"/>
              <w:left w:val="single" w:sz="4" w:space="0" w:color="000000"/>
              <w:bottom w:val="nil"/>
              <w:right w:val="nil"/>
            </w:tcBorders>
            <w:vAlign w:val="bottom"/>
          </w:tcPr>
          <w:p w14:paraId="7457E46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6 (54.5)</w:t>
            </w:r>
          </w:p>
        </w:tc>
        <w:tc>
          <w:tcPr>
            <w:tcW w:w="1335" w:type="dxa"/>
            <w:tcBorders>
              <w:top w:val="single" w:sz="4" w:space="0" w:color="000000"/>
              <w:left w:val="single" w:sz="4" w:space="0" w:color="000000"/>
              <w:bottom w:val="nil"/>
              <w:right w:val="nil"/>
            </w:tcBorders>
            <w:vAlign w:val="bottom"/>
          </w:tcPr>
          <w:p w14:paraId="6AE12B3D"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5B44B75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763BAD3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6A714B4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6A22667C" w14:textId="77777777" w:rsidTr="00E9349D">
        <w:trPr>
          <w:trHeight w:val="288"/>
        </w:trPr>
        <w:tc>
          <w:tcPr>
            <w:tcW w:w="1650" w:type="dxa"/>
            <w:tcBorders>
              <w:top w:val="nil"/>
              <w:left w:val="single" w:sz="4" w:space="0" w:color="000000"/>
              <w:bottom w:val="nil"/>
              <w:right w:val="nil"/>
            </w:tcBorders>
            <w:vAlign w:val="bottom"/>
          </w:tcPr>
          <w:p w14:paraId="7EFDAD8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64F6F83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LAP AR</w:t>
            </w:r>
          </w:p>
        </w:tc>
        <w:tc>
          <w:tcPr>
            <w:tcW w:w="630" w:type="dxa"/>
            <w:tcBorders>
              <w:top w:val="single" w:sz="4" w:space="0" w:color="000000"/>
              <w:left w:val="single" w:sz="4" w:space="0" w:color="000000"/>
              <w:bottom w:val="nil"/>
              <w:right w:val="nil"/>
            </w:tcBorders>
            <w:vAlign w:val="bottom"/>
          </w:tcPr>
          <w:p w14:paraId="719D7700"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w:t>
            </w:r>
          </w:p>
        </w:tc>
        <w:tc>
          <w:tcPr>
            <w:tcW w:w="2025" w:type="dxa"/>
            <w:tcBorders>
              <w:top w:val="single" w:sz="4" w:space="0" w:color="000000"/>
              <w:left w:val="single" w:sz="4" w:space="0" w:color="000000"/>
              <w:bottom w:val="nil"/>
              <w:right w:val="nil"/>
            </w:tcBorders>
            <w:vAlign w:val="bottom"/>
          </w:tcPr>
          <w:p w14:paraId="40EB221A"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178816E4"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(3.7)</w:t>
            </w:r>
          </w:p>
        </w:tc>
        <w:tc>
          <w:tcPr>
            <w:tcW w:w="1335" w:type="dxa"/>
            <w:tcBorders>
              <w:top w:val="single" w:sz="4" w:space="0" w:color="000000"/>
              <w:left w:val="single" w:sz="4" w:space="0" w:color="000000"/>
              <w:bottom w:val="nil"/>
              <w:right w:val="nil"/>
            </w:tcBorders>
            <w:vAlign w:val="bottom"/>
          </w:tcPr>
          <w:p w14:paraId="5AE2DB54"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4C050FB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7937BB8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4FE8B45F" w14:textId="77777777" w:rsidTr="00E9349D">
        <w:trPr>
          <w:trHeight w:val="288"/>
        </w:trPr>
        <w:tc>
          <w:tcPr>
            <w:tcW w:w="1650" w:type="dxa"/>
            <w:tcBorders>
              <w:top w:val="nil"/>
              <w:left w:val="single" w:sz="4" w:space="0" w:color="000000"/>
              <w:bottom w:val="nil"/>
              <w:right w:val="nil"/>
            </w:tcBorders>
            <w:vAlign w:val="bottom"/>
          </w:tcPr>
          <w:p w14:paraId="44C29CA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7900AB4D"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LAR</w:t>
            </w:r>
          </w:p>
        </w:tc>
        <w:tc>
          <w:tcPr>
            <w:tcW w:w="630" w:type="dxa"/>
            <w:tcBorders>
              <w:top w:val="single" w:sz="4" w:space="0" w:color="000000"/>
              <w:left w:val="single" w:sz="4" w:space="0" w:color="000000"/>
              <w:bottom w:val="nil"/>
              <w:right w:val="nil"/>
            </w:tcBorders>
            <w:vAlign w:val="bottom"/>
          </w:tcPr>
          <w:p w14:paraId="29B893BF"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3</w:t>
            </w:r>
          </w:p>
        </w:tc>
        <w:tc>
          <w:tcPr>
            <w:tcW w:w="2025" w:type="dxa"/>
            <w:tcBorders>
              <w:top w:val="single" w:sz="4" w:space="0" w:color="000000"/>
              <w:left w:val="single" w:sz="4" w:space="0" w:color="000000"/>
              <w:bottom w:val="nil"/>
              <w:right w:val="nil"/>
            </w:tcBorders>
            <w:vAlign w:val="bottom"/>
          </w:tcPr>
          <w:p w14:paraId="2908DA1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(9.1)</w:t>
            </w:r>
          </w:p>
        </w:tc>
        <w:tc>
          <w:tcPr>
            <w:tcW w:w="1335" w:type="dxa"/>
            <w:tcBorders>
              <w:top w:val="single" w:sz="4" w:space="0" w:color="000000"/>
              <w:left w:val="single" w:sz="4" w:space="0" w:color="000000"/>
              <w:bottom w:val="nil"/>
              <w:right w:val="nil"/>
            </w:tcBorders>
            <w:vAlign w:val="bottom"/>
          </w:tcPr>
          <w:p w14:paraId="53A32D5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(7.4)</w:t>
            </w:r>
          </w:p>
        </w:tc>
        <w:tc>
          <w:tcPr>
            <w:tcW w:w="1335" w:type="dxa"/>
            <w:tcBorders>
              <w:top w:val="single" w:sz="4" w:space="0" w:color="000000"/>
              <w:left w:val="single" w:sz="4" w:space="0" w:color="000000"/>
              <w:bottom w:val="nil"/>
              <w:right w:val="nil"/>
            </w:tcBorders>
            <w:vAlign w:val="bottom"/>
          </w:tcPr>
          <w:p w14:paraId="360F816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0BE33C1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2785B7C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2D1C3C6D" w14:textId="77777777" w:rsidTr="00E9349D">
        <w:trPr>
          <w:trHeight w:val="288"/>
        </w:trPr>
        <w:tc>
          <w:tcPr>
            <w:tcW w:w="1650" w:type="dxa"/>
            <w:tcBorders>
              <w:top w:val="nil"/>
              <w:left w:val="single" w:sz="4" w:space="0" w:color="000000"/>
              <w:bottom w:val="nil"/>
              <w:right w:val="nil"/>
            </w:tcBorders>
            <w:vAlign w:val="bottom"/>
          </w:tcPr>
          <w:p w14:paraId="2D5C813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50D7147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ULAR</w:t>
            </w:r>
          </w:p>
        </w:tc>
        <w:tc>
          <w:tcPr>
            <w:tcW w:w="630" w:type="dxa"/>
            <w:tcBorders>
              <w:top w:val="single" w:sz="4" w:space="0" w:color="000000"/>
              <w:left w:val="single" w:sz="4" w:space="0" w:color="000000"/>
              <w:bottom w:val="nil"/>
              <w:right w:val="nil"/>
            </w:tcBorders>
            <w:vAlign w:val="bottom"/>
          </w:tcPr>
          <w:p w14:paraId="66391D7A"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w:t>
            </w:r>
          </w:p>
        </w:tc>
        <w:tc>
          <w:tcPr>
            <w:tcW w:w="2025" w:type="dxa"/>
            <w:tcBorders>
              <w:top w:val="single" w:sz="4" w:space="0" w:color="000000"/>
              <w:left w:val="single" w:sz="4" w:space="0" w:color="000000"/>
              <w:bottom w:val="nil"/>
              <w:right w:val="nil"/>
            </w:tcBorders>
            <w:vAlign w:val="bottom"/>
          </w:tcPr>
          <w:p w14:paraId="382CC203"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281BCE2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(3.7)</w:t>
            </w:r>
          </w:p>
        </w:tc>
        <w:tc>
          <w:tcPr>
            <w:tcW w:w="1335" w:type="dxa"/>
            <w:tcBorders>
              <w:top w:val="single" w:sz="4" w:space="0" w:color="000000"/>
              <w:left w:val="single" w:sz="4" w:space="0" w:color="000000"/>
              <w:bottom w:val="nil"/>
              <w:right w:val="nil"/>
            </w:tcBorders>
            <w:vAlign w:val="bottom"/>
          </w:tcPr>
          <w:p w14:paraId="4DBF5DB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417B293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2CEA21B7"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211A1321" w14:textId="77777777" w:rsidTr="00E9349D">
        <w:trPr>
          <w:trHeight w:val="288"/>
        </w:trPr>
        <w:tc>
          <w:tcPr>
            <w:tcW w:w="1650" w:type="dxa"/>
            <w:tcBorders>
              <w:top w:val="single" w:sz="4" w:space="0" w:color="000000"/>
              <w:left w:val="single" w:sz="4" w:space="0" w:color="000000"/>
              <w:bottom w:val="nil"/>
              <w:right w:val="nil"/>
            </w:tcBorders>
            <w:vAlign w:val="bottom"/>
          </w:tcPr>
          <w:p w14:paraId="2F46FE5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POSTOP T STAGE</w:t>
            </w:r>
          </w:p>
        </w:tc>
        <w:tc>
          <w:tcPr>
            <w:tcW w:w="1365" w:type="dxa"/>
            <w:tcBorders>
              <w:top w:val="single" w:sz="4" w:space="0" w:color="000000"/>
              <w:left w:val="single" w:sz="4" w:space="0" w:color="000000"/>
              <w:bottom w:val="nil"/>
              <w:right w:val="nil"/>
            </w:tcBorders>
            <w:vAlign w:val="bottom"/>
          </w:tcPr>
          <w:p w14:paraId="5198E45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ypT0</w:t>
            </w:r>
          </w:p>
        </w:tc>
        <w:tc>
          <w:tcPr>
            <w:tcW w:w="630" w:type="dxa"/>
            <w:tcBorders>
              <w:top w:val="single" w:sz="4" w:space="0" w:color="000000"/>
              <w:left w:val="single" w:sz="4" w:space="0" w:color="000000"/>
              <w:bottom w:val="nil"/>
              <w:right w:val="nil"/>
            </w:tcBorders>
            <w:vAlign w:val="bottom"/>
          </w:tcPr>
          <w:p w14:paraId="717BC98B"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12</w:t>
            </w:r>
          </w:p>
        </w:tc>
        <w:tc>
          <w:tcPr>
            <w:tcW w:w="2025" w:type="dxa"/>
            <w:tcBorders>
              <w:top w:val="single" w:sz="4" w:space="0" w:color="000000"/>
              <w:left w:val="single" w:sz="4" w:space="0" w:color="000000"/>
              <w:bottom w:val="nil"/>
              <w:right w:val="nil"/>
            </w:tcBorders>
            <w:vAlign w:val="bottom"/>
          </w:tcPr>
          <w:p w14:paraId="34EFDCB2"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11 (100)</w:t>
            </w:r>
          </w:p>
        </w:tc>
        <w:tc>
          <w:tcPr>
            <w:tcW w:w="1335" w:type="dxa"/>
            <w:tcBorders>
              <w:top w:val="single" w:sz="4" w:space="0" w:color="000000"/>
              <w:left w:val="single" w:sz="4" w:space="0" w:color="000000"/>
              <w:bottom w:val="nil"/>
              <w:right w:val="nil"/>
            </w:tcBorders>
            <w:vAlign w:val="bottom"/>
          </w:tcPr>
          <w:p w14:paraId="70F2749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(3.7)</w:t>
            </w:r>
          </w:p>
        </w:tc>
        <w:tc>
          <w:tcPr>
            <w:tcW w:w="1335" w:type="dxa"/>
            <w:tcBorders>
              <w:top w:val="single" w:sz="4" w:space="0" w:color="000000"/>
              <w:left w:val="single" w:sz="4" w:space="0" w:color="000000"/>
              <w:bottom w:val="nil"/>
              <w:right w:val="nil"/>
            </w:tcBorders>
            <w:vAlign w:val="bottom"/>
          </w:tcPr>
          <w:p w14:paraId="20700CE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single" w:sz="4" w:space="0" w:color="000000"/>
              <w:left w:val="single" w:sz="4" w:space="0" w:color="000000"/>
              <w:bottom w:val="nil"/>
              <w:right w:val="nil"/>
            </w:tcBorders>
            <w:vAlign w:val="bottom"/>
          </w:tcPr>
          <w:p w14:paraId="05AC4640"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53.827</w:t>
            </w:r>
          </w:p>
        </w:tc>
        <w:tc>
          <w:tcPr>
            <w:tcW w:w="840" w:type="dxa"/>
            <w:tcBorders>
              <w:top w:val="single" w:sz="4" w:space="0" w:color="000000"/>
              <w:left w:val="single" w:sz="4" w:space="0" w:color="000000"/>
              <w:bottom w:val="nil"/>
              <w:right w:val="single" w:sz="4" w:space="0" w:color="000000"/>
            </w:tcBorders>
            <w:vAlign w:val="bottom"/>
          </w:tcPr>
          <w:p w14:paraId="3D0FC58A" w14:textId="77777777" w:rsidR="00187C5B" w:rsidRDefault="00187C5B" w:rsidP="00E9349D">
            <w:pPr>
              <w:spacing w:line="240" w:lineRule="auto"/>
              <w:rPr>
                <w:rFonts w:ascii="Aptos Narrow" w:eastAsia="Aptos Narrow" w:hAnsi="Aptos Narrow" w:cs="Aptos Narrow"/>
                <w:b/>
                <w:color w:val="FF0000"/>
                <w:u w:val="single"/>
              </w:rPr>
            </w:pPr>
            <w:r>
              <w:rPr>
                <w:rFonts w:ascii="Aptos Narrow" w:eastAsia="Aptos Narrow" w:hAnsi="Aptos Narrow" w:cs="Aptos Narrow"/>
                <w:b/>
                <w:color w:val="FF0000"/>
                <w:u w:val="single"/>
              </w:rPr>
              <w:t>&lt;0.001</w:t>
            </w:r>
          </w:p>
        </w:tc>
      </w:tr>
      <w:tr w:rsidR="00187C5B" w14:paraId="74DD3F36" w14:textId="77777777" w:rsidTr="00E9349D">
        <w:trPr>
          <w:trHeight w:val="288"/>
        </w:trPr>
        <w:tc>
          <w:tcPr>
            <w:tcW w:w="1650" w:type="dxa"/>
            <w:tcBorders>
              <w:top w:val="nil"/>
              <w:left w:val="single" w:sz="4" w:space="0" w:color="000000"/>
              <w:bottom w:val="nil"/>
              <w:right w:val="nil"/>
            </w:tcBorders>
            <w:vAlign w:val="bottom"/>
          </w:tcPr>
          <w:p w14:paraId="005CA43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7D14B9E7"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ypT1</w:t>
            </w:r>
          </w:p>
        </w:tc>
        <w:tc>
          <w:tcPr>
            <w:tcW w:w="630" w:type="dxa"/>
            <w:tcBorders>
              <w:top w:val="single" w:sz="4" w:space="0" w:color="000000"/>
              <w:left w:val="single" w:sz="4" w:space="0" w:color="000000"/>
              <w:bottom w:val="nil"/>
              <w:right w:val="nil"/>
            </w:tcBorders>
            <w:vAlign w:val="bottom"/>
          </w:tcPr>
          <w:p w14:paraId="1F2CD0A7"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2</w:t>
            </w:r>
          </w:p>
        </w:tc>
        <w:tc>
          <w:tcPr>
            <w:tcW w:w="2025" w:type="dxa"/>
            <w:tcBorders>
              <w:top w:val="single" w:sz="4" w:space="0" w:color="000000"/>
              <w:left w:val="single" w:sz="4" w:space="0" w:color="000000"/>
              <w:bottom w:val="nil"/>
              <w:right w:val="nil"/>
            </w:tcBorders>
            <w:vAlign w:val="bottom"/>
          </w:tcPr>
          <w:p w14:paraId="154D5097"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521973F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(7.4)</w:t>
            </w:r>
          </w:p>
        </w:tc>
        <w:tc>
          <w:tcPr>
            <w:tcW w:w="1335" w:type="dxa"/>
            <w:tcBorders>
              <w:top w:val="single" w:sz="4" w:space="0" w:color="000000"/>
              <w:left w:val="single" w:sz="4" w:space="0" w:color="000000"/>
              <w:bottom w:val="nil"/>
              <w:right w:val="nil"/>
            </w:tcBorders>
            <w:vAlign w:val="bottom"/>
          </w:tcPr>
          <w:p w14:paraId="3583A78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16BE87C3"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266B13A4"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1D2AED44" w14:textId="77777777" w:rsidTr="00E9349D">
        <w:trPr>
          <w:trHeight w:val="288"/>
        </w:trPr>
        <w:tc>
          <w:tcPr>
            <w:tcW w:w="1650" w:type="dxa"/>
            <w:tcBorders>
              <w:top w:val="nil"/>
              <w:left w:val="single" w:sz="4" w:space="0" w:color="000000"/>
              <w:bottom w:val="nil"/>
              <w:right w:val="nil"/>
            </w:tcBorders>
            <w:vAlign w:val="bottom"/>
          </w:tcPr>
          <w:p w14:paraId="66CEE324"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29ECC4E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ypT2</w:t>
            </w:r>
          </w:p>
        </w:tc>
        <w:tc>
          <w:tcPr>
            <w:tcW w:w="630" w:type="dxa"/>
            <w:tcBorders>
              <w:top w:val="single" w:sz="4" w:space="0" w:color="000000"/>
              <w:left w:val="single" w:sz="4" w:space="0" w:color="000000"/>
              <w:bottom w:val="nil"/>
              <w:right w:val="nil"/>
            </w:tcBorders>
            <w:vAlign w:val="bottom"/>
          </w:tcPr>
          <w:p w14:paraId="7B4AB02D"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5</w:t>
            </w:r>
          </w:p>
        </w:tc>
        <w:tc>
          <w:tcPr>
            <w:tcW w:w="2025" w:type="dxa"/>
            <w:tcBorders>
              <w:top w:val="single" w:sz="4" w:space="0" w:color="000000"/>
              <w:left w:val="single" w:sz="4" w:space="0" w:color="000000"/>
              <w:bottom w:val="nil"/>
              <w:right w:val="nil"/>
            </w:tcBorders>
            <w:vAlign w:val="bottom"/>
          </w:tcPr>
          <w:p w14:paraId="7B559B84"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1E3C09D2"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5 (18.5)</w:t>
            </w:r>
          </w:p>
        </w:tc>
        <w:tc>
          <w:tcPr>
            <w:tcW w:w="1335" w:type="dxa"/>
            <w:tcBorders>
              <w:top w:val="single" w:sz="4" w:space="0" w:color="000000"/>
              <w:left w:val="single" w:sz="4" w:space="0" w:color="000000"/>
              <w:bottom w:val="nil"/>
              <w:right w:val="nil"/>
            </w:tcBorders>
            <w:vAlign w:val="bottom"/>
          </w:tcPr>
          <w:p w14:paraId="0051824D"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5200829D"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789F952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5D712B1E" w14:textId="77777777" w:rsidTr="00E9349D">
        <w:trPr>
          <w:trHeight w:val="288"/>
        </w:trPr>
        <w:tc>
          <w:tcPr>
            <w:tcW w:w="1650" w:type="dxa"/>
            <w:tcBorders>
              <w:top w:val="nil"/>
              <w:left w:val="single" w:sz="4" w:space="0" w:color="000000"/>
              <w:bottom w:val="nil"/>
              <w:right w:val="nil"/>
            </w:tcBorders>
            <w:vAlign w:val="bottom"/>
          </w:tcPr>
          <w:p w14:paraId="12DCFE6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43179D5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ypT3</w:t>
            </w:r>
          </w:p>
        </w:tc>
        <w:tc>
          <w:tcPr>
            <w:tcW w:w="630" w:type="dxa"/>
            <w:tcBorders>
              <w:top w:val="single" w:sz="4" w:space="0" w:color="000000"/>
              <w:left w:val="single" w:sz="4" w:space="0" w:color="000000"/>
              <w:bottom w:val="nil"/>
              <w:right w:val="nil"/>
            </w:tcBorders>
            <w:vAlign w:val="bottom"/>
          </w:tcPr>
          <w:p w14:paraId="7BFAEA3D"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17</w:t>
            </w:r>
          </w:p>
        </w:tc>
        <w:tc>
          <w:tcPr>
            <w:tcW w:w="2025" w:type="dxa"/>
            <w:tcBorders>
              <w:top w:val="single" w:sz="4" w:space="0" w:color="000000"/>
              <w:left w:val="single" w:sz="4" w:space="0" w:color="000000"/>
              <w:bottom w:val="nil"/>
              <w:right w:val="nil"/>
            </w:tcBorders>
            <w:vAlign w:val="bottom"/>
          </w:tcPr>
          <w:p w14:paraId="63F920B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6769F92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17 (63)</w:t>
            </w:r>
          </w:p>
        </w:tc>
        <w:tc>
          <w:tcPr>
            <w:tcW w:w="1335" w:type="dxa"/>
            <w:tcBorders>
              <w:top w:val="single" w:sz="4" w:space="0" w:color="000000"/>
              <w:left w:val="single" w:sz="4" w:space="0" w:color="000000"/>
              <w:bottom w:val="nil"/>
              <w:right w:val="nil"/>
            </w:tcBorders>
            <w:vAlign w:val="bottom"/>
          </w:tcPr>
          <w:p w14:paraId="67884F17"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734F243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3E2CF2F3"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2DD68DAE" w14:textId="77777777" w:rsidTr="00E9349D">
        <w:trPr>
          <w:trHeight w:val="288"/>
        </w:trPr>
        <w:tc>
          <w:tcPr>
            <w:tcW w:w="1650" w:type="dxa"/>
            <w:tcBorders>
              <w:top w:val="nil"/>
              <w:left w:val="single" w:sz="4" w:space="0" w:color="000000"/>
              <w:bottom w:val="nil"/>
              <w:right w:val="nil"/>
            </w:tcBorders>
            <w:vAlign w:val="bottom"/>
          </w:tcPr>
          <w:p w14:paraId="59900BB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061F5CC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ypT4a</w:t>
            </w:r>
          </w:p>
        </w:tc>
        <w:tc>
          <w:tcPr>
            <w:tcW w:w="630" w:type="dxa"/>
            <w:tcBorders>
              <w:top w:val="single" w:sz="4" w:space="0" w:color="000000"/>
              <w:left w:val="single" w:sz="4" w:space="0" w:color="000000"/>
              <w:bottom w:val="nil"/>
              <w:right w:val="nil"/>
            </w:tcBorders>
            <w:vAlign w:val="bottom"/>
          </w:tcPr>
          <w:p w14:paraId="7C380A12"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4</w:t>
            </w:r>
          </w:p>
        </w:tc>
        <w:tc>
          <w:tcPr>
            <w:tcW w:w="2025" w:type="dxa"/>
            <w:tcBorders>
              <w:top w:val="single" w:sz="4" w:space="0" w:color="000000"/>
              <w:left w:val="single" w:sz="4" w:space="0" w:color="000000"/>
              <w:bottom w:val="nil"/>
              <w:right w:val="nil"/>
            </w:tcBorders>
            <w:vAlign w:val="bottom"/>
          </w:tcPr>
          <w:p w14:paraId="0CE7606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236B3A9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(7.4)</w:t>
            </w:r>
          </w:p>
        </w:tc>
        <w:tc>
          <w:tcPr>
            <w:tcW w:w="1335" w:type="dxa"/>
            <w:tcBorders>
              <w:top w:val="single" w:sz="4" w:space="0" w:color="000000"/>
              <w:left w:val="single" w:sz="4" w:space="0" w:color="000000"/>
              <w:bottom w:val="nil"/>
              <w:right w:val="nil"/>
            </w:tcBorders>
            <w:vAlign w:val="bottom"/>
          </w:tcPr>
          <w:p w14:paraId="63B3C2D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(100)</w:t>
            </w:r>
          </w:p>
        </w:tc>
        <w:tc>
          <w:tcPr>
            <w:tcW w:w="1155" w:type="dxa"/>
            <w:tcBorders>
              <w:top w:val="nil"/>
              <w:left w:val="single" w:sz="4" w:space="0" w:color="000000"/>
              <w:bottom w:val="nil"/>
              <w:right w:val="nil"/>
            </w:tcBorders>
            <w:vAlign w:val="bottom"/>
          </w:tcPr>
          <w:p w14:paraId="02479CD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10587D9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4121D4C1" w14:textId="77777777" w:rsidTr="00E9349D">
        <w:trPr>
          <w:trHeight w:val="576"/>
        </w:trPr>
        <w:tc>
          <w:tcPr>
            <w:tcW w:w="1650" w:type="dxa"/>
            <w:tcBorders>
              <w:top w:val="single" w:sz="4" w:space="0" w:color="000000"/>
              <w:left w:val="single" w:sz="4" w:space="0" w:color="000000"/>
              <w:bottom w:val="nil"/>
              <w:right w:val="nil"/>
            </w:tcBorders>
            <w:vAlign w:val="bottom"/>
          </w:tcPr>
          <w:p w14:paraId="1B0620C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POST-OP N STAGE</w:t>
            </w:r>
          </w:p>
        </w:tc>
        <w:tc>
          <w:tcPr>
            <w:tcW w:w="1365" w:type="dxa"/>
            <w:tcBorders>
              <w:top w:val="single" w:sz="4" w:space="0" w:color="000000"/>
              <w:left w:val="single" w:sz="4" w:space="0" w:color="000000"/>
              <w:bottom w:val="nil"/>
              <w:right w:val="nil"/>
            </w:tcBorders>
            <w:vAlign w:val="bottom"/>
          </w:tcPr>
          <w:p w14:paraId="55255B72"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N0</w:t>
            </w:r>
          </w:p>
        </w:tc>
        <w:tc>
          <w:tcPr>
            <w:tcW w:w="630" w:type="dxa"/>
            <w:tcBorders>
              <w:top w:val="single" w:sz="4" w:space="0" w:color="000000"/>
              <w:left w:val="single" w:sz="4" w:space="0" w:color="000000"/>
              <w:bottom w:val="nil"/>
              <w:right w:val="nil"/>
            </w:tcBorders>
            <w:vAlign w:val="bottom"/>
          </w:tcPr>
          <w:p w14:paraId="153211BD"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28</w:t>
            </w:r>
          </w:p>
        </w:tc>
        <w:tc>
          <w:tcPr>
            <w:tcW w:w="2025" w:type="dxa"/>
            <w:tcBorders>
              <w:top w:val="single" w:sz="4" w:space="0" w:color="000000"/>
              <w:left w:val="single" w:sz="4" w:space="0" w:color="000000"/>
              <w:bottom w:val="nil"/>
              <w:right w:val="nil"/>
            </w:tcBorders>
            <w:vAlign w:val="bottom"/>
          </w:tcPr>
          <w:p w14:paraId="3CDF33A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11 (100)</w:t>
            </w:r>
          </w:p>
        </w:tc>
        <w:tc>
          <w:tcPr>
            <w:tcW w:w="1335" w:type="dxa"/>
            <w:tcBorders>
              <w:top w:val="single" w:sz="4" w:space="0" w:color="000000"/>
              <w:left w:val="single" w:sz="4" w:space="0" w:color="000000"/>
              <w:bottom w:val="nil"/>
              <w:right w:val="nil"/>
            </w:tcBorders>
            <w:vAlign w:val="bottom"/>
          </w:tcPr>
          <w:p w14:paraId="59CDB67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17 (63)</w:t>
            </w:r>
          </w:p>
        </w:tc>
        <w:tc>
          <w:tcPr>
            <w:tcW w:w="1335" w:type="dxa"/>
            <w:tcBorders>
              <w:top w:val="single" w:sz="4" w:space="0" w:color="000000"/>
              <w:left w:val="single" w:sz="4" w:space="0" w:color="000000"/>
              <w:bottom w:val="nil"/>
              <w:right w:val="nil"/>
            </w:tcBorders>
            <w:vAlign w:val="bottom"/>
          </w:tcPr>
          <w:p w14:paraId="43DE6F97"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single" w:sz="4" w:space="0" w:color="000000"/>
              <w:left w:val="single" w:sz="4" w:space="0" w:color="000000"/>
              <w:bottom w:val="nil"/>
              <w:right w:val="nil"/>
            </w:tcBorders>
            <w:vAlign w:val="bottom"/>
          </w:tcPr>
          <w:p w14:paraId="476BC4B4"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18.968</w:t>
            </w:r>
          </w:p>
        </w:tc>
        <w:tc>
          <w:tcPr>
            <w:tcW w:w="840" w:type="dxa"/>
            <w:tcBorders>
              <w:top w:val="single" w:sz="4" w:space="0" w:color="000000"/>
              <w:left w:val="single" w:sz="4" w:space="0" w:color="000000"/>
              <w:bottom w:val="nil"/>
              <w:right w:val="single" w:sz="4" w:space="0" w:color="000000"/>
            </w:tcBorders>
            <w:vAlign w:val="bottom"/>
          </w:tcPr>
          <w:p w14:paraId="0C6606DC" w14:textId="77777777" w:rsidR="00187C5B" w:rsidRDefault="00187C5B" w:rsidP="00E9349D">
            <w:pPr>
              <w:spacing w:line="240" w:lineRule="auto"/>
              <w:jc w:val="right"/>
              <w:rPr>
                <w:rFonts w:ascii="Aptos Narrow" w:eastAsia="Aptos Narrow" w:hAnsi="Aptos Narrow" w:cs="Aptos Narrow"/>
                <w:b/>
                <w:color w:val="FF0000"/>
                <w:u w:val="single"/>
              </w:rPr>
            </w:pPr>
            <w:r>
              <w:rPr>
                <w:rFonts w:ascii="Aptos Narrow" w:eastAsia="Aptos Narrow" w:hAnsi="Aptos Narrow" w:cs="Aptos Narrow"/>
                <w:b/>
                <w:color w:val="FF0000"/>
                <w:u w:val="single"/>
              </w:rPr>
              <w:t>0.041</w:t>
            </w:r>
          </w:p>
        </w:tc>
      </w:tr>
      <w:tr w:rsidR="00187C5B" w14:paraId="102D0BD2" w14:textId="77777777" w:rsidTr="00E9349D">
        <w:trPr>
          <w:trHeight w:val="288"/>
        </w:trPr>
        <w:tc>
          <w:tcPr>
            <w:tcW w:w="1650" w:type="dxa"/>
            <w:tcBorders>
              <w:top w:val="nil"/>
              <w:left w:val="single" w:sz="4" w:space="0" w:color="000000"/>
              <w:bottom w:val="nil"/>
              <w:right w:val="nil"/>
            </w:tcBorders>
            <w:vAlign w:val="bottom"/>
          </w:tcPr>
          <w:p w14:paraId="49EBB7B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72F4E6B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N1</w:t>
            </w:r>
          </w:p>
        </w:tc>
        <w:tc>
          <w:tcPr>
            <w:tcW w:w="630" w:type="dxa"/>
            <w:tcBorders>
              <w:top w:val="single" w:sz="4" w:space="0" w:color="000000"/>
              <w:left w:val="single" w:sz="4" w:space="0" w:color="000000"/>
              <w:bottom w:val="nil"/>
              <w:right w:val="nil"/>
            </w:tcBorders>
            <w:vAlign w:val="bottom"/>
          </w:tcPr>
          <w:p w14:paraId="3844BE06"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2</w:t>
            </w:r>
          </w:p>
        </w:tc>
        <w:tc>
          <w:tcPr>
            <w:tcW w:w="2025" w:type="dxa"/>
            <w:tcBorders>
              <w:top w:val="single" w:sz="4" w:space="0" w:color="000000"/>
              <w:left w:val="single" w:sz="4" w:space="0" w:color="000000"/>
              <w:bottom w:val="nil"/>
              <w:right w:val="nil"/>
            </w:tcBorders>
            <w:vAlign w:val="bottom"/>
          </w:tcPr>
          <w:p w14:paraId="403AAC3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25EEABFA"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(7.4)</w:t>
            </w:r>
          </w:p>
        </w:tc>
        <w:tc>
          <w:tcPr>
            <w:tcW w:w="1335" w:type="dxa"/>
            <w:tcBorders>
              <w:top w:val="single" w:sz="4" w:space="0" w:color="000000"/>
              <w:left w:val="single" w:sz="4" w:space="0" w:color="000000"/>
              <w:bottom w:val="nil"/>
              <w:right w:val="nil"/>
            </w:tcBorders>
            <w:vAlign w:val="bottom"/>
          </w:tcPr>
          <w:p w14:paraId="50486D6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059A3BF3"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08FA94D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7243C5A8" w14:textId="77777777" w:rsidTr="00E9349D">
        <w:trPr>
          <w:trHeight w:val="288"/>
        </w:trPr>
        <w:tc>
          <w:tcPr>
            <w:tcW w:w="1650" w:type="dxa"/>
            <w:tcBorders>
              <w:top w:val="nil"/>
              <w:left w:val="single" w:sz="4" w:space="0" w:color="000000"/>
              <w:bottom w:val="nil"/>
              <w:right w:val="nil"/>
            </w:tcBorders>
            <w:vAlign w:val="bottom"/>
          </w:tcPr>
          <w:p w14:paraId="2B2B399A"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344D994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N1a</w:t>
            </w:r>
          </w:p>
        </w:tc>
        <w:tc>
          <w:tcPr>
            <w:tcW w:w="630" w:type="dxa"/>
            <w:tcBorders>
              <w:top w:val="single" w:sz="4" w:space="0" w:color="000000"/>
              <w:left w:val="single" w:sz="4" w:space="0" w:color="000000"/>
              <w:bottom w:val="nil"/>
              <w:right w:val="nil"/>
            </w:tcBorders>
            <w:vAlign w:val="bottom"/>
          </w:tcPr>
          <w:p w14:paraId="1FFDBB1E"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4</w:t>
            </w:r>
          </w:p>
        </w:tc>
        <w:tc>
          <w:tcPr>
            <w:tcW w:w="2025" w:type="dxa"/>
            <w:tcBorders>
              <w:top w:val="single" w:sz="4" w:space="0" w:color="000000"/>
              <w:left w:val="single" w:sz="4" w:space="0" w:color="000000"/>
              <w:bottom w:val="nil"/>
              <w:right w:val="nil"/>
            </w:tcBorders>
            <w:vAlign w:val="bottom"/>
          </w:tcPr>
          <w:p w14:paraId="64003993"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77ADA7C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3 (11.1)</w:t>
            </w:r>
          </w:p>
        </w:tc>
        <w:tc>
          <w:tcPr>
            <w:tcW w:w="1335" w:type="dxa"/>
            <w:tcBorders>
              <w:top w:val="single" w:sz="4" w:space="0" w:color="000000"/>
              <w:left w:val="single" w:sz="4" w:space="0" w:color="000000"/>
              <w:bottom w:val="nil"/>
              <w:right w:val="nil"/>
            </w:tcBorders>
            <w:vAlign w:val="bottom"/>
          </w:tcPr>
          <w:p w14:paraId="5C0A3BE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(50)</w:t>
            </w:r>
          </w:p>
        </w:tc>
        <w:tc>
          <w:tcPr>
            <w:tcW w:w="1155" w:type="dxa"/>
            <w:tcBorders>
              <w:top w:val="nil"/>
              <w:left w:val="single" w:sz="4" w:space="0" w:color="000000"/>
              <w:bottom w:val="nil"/>
              <w:right w:val="nil"/>
            </w:tcBorders>
            <w:vAlign w:val="bottom"/>
          </w:tcPr>
          <w:p w14:paraId="0FAA13F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0ACCEA43"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43CA62CF" w14:textId="77777777" w:rsidTr="00E9349D">
        <w:trPr>
          <w:trHeight w:val="288"/>
        </w:trPr>
        <w:tc>
          <w:tcPr>
            <w:tcW w:w="1650" w:type="dxa"/>
            <w:tcBorders>
              <w:top w:val="nil"/>
              <w:left w:val="single" w:sz="4" w:space="0" w:color="000000"/>
              <w:bottom w:val="nil"/>
              <w:right w:val="nil"/>
            </w:tcBorders>
            <w:vAlign w:val="bottom"/>
          </w:tcPr>
          <w:p w14:paraId="2D02BC83"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5D06B87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N1b</w:t>
            </w:r>
          </w:p>
        </w:tc>
        <w:tc>
          <w:tcPr>
            <w:tcW w:w="630" w:type="dxa"/>
            <w:tcBorders>
              <w:top w:val="single" w:sz="4" w:space="0" w:color="000000"/>
              <w:left w:val="single" w:sz="4" w:space="0" w:color="000000"/>
              <w:bottom w:val="nil"/>
              <w:right w:val="nil"/>
            </w:tcBorders>
            <w:vAlign w:val="bottom"/>
          </w:tcPr>
          <w:p w14:paraId="65DEB27F"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2</w:t>
            </w:r>
          </w:p>
        </w:tc>
        <w:tc>
          <w:tcPr>
            <w:tcW w:w="2025" w:type="dxa"/>
            <w:tcBorders>
              <w:top w:val="single" w:sz="4" w:space="0" w:color="000000"/>
              <w:left w:val="single" w:sz="4" w:space="0" w:color="000000"/>
              <w:bottom w:val="nil"/>
              <w:right w:val="nil"/>
            </w:tcBorders>
            <w:vAlign w:val="bottom"/>
          </w:tcPr>
          <w:p w14:paraId="2B729E1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6728683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(7.4)</w:t>
            </w:r>
          </w:p>
        </w:tc>
        <w:tc>
          <w:tcPr>
            <w:tcW w:w="1335" w:type="dxa"/>
            <w:tcBorders>
              <w:top w:val="single" w:sz="4" w:space="0" w:color="000000"/>
              <w:left w:val="single" w:sz="4" w:space="0" w:color="000000"/>
              <w:bottom w:val="nil"/>
              <w:right w:val="nil"/>
            </w:tcBorders>
            <w:vAlign w:val="bottom"/>
          </w:tcPr>
          <w:p w14:paraId="14321FB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61F7188D"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5F75C31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469AA3EB" w14:textId="77777777" w:rsidTr="00E9349D">
        <w:trPr>
          <w:trHeight w:val="288"/>
        </w:trPr>
        <w:tc>
          <w:tcPr>
            <w:tcW w:w="1650" w:type="dxa"/>
            <w:tcBorders>
              <w:top w:val="nil"/>
              <w:left w:val="single" w:sz="4" w:space="0" w:color="000000"/>
              <w:bottom w:val="nil"/>
              <w:right w:val="nil"/>
            </w:tcBorders>
            <w:vAlign w:val="bottom"/>
          </w:tcPr>
          <w:p w14:paraId="463D790A"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3F59464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N2a</w:t>
            </w:r>
          </w:p>
        </w:tc>
        <w:tc>
          <w:tcPr>
            <w:tcW w:w="630" w:type="dxa"/>
            <w:tcBorders>
              <w:top w:val="single" w:sz="4" w:space="0" w:color="000000"/>
              <w:left w:val="single" w:sz="4" w:space="0" w:color="000000"/>
              <w:bottom w:val="nil"/>
              <w:right w:val="nil"/>
            </w:tcBorders>
            <w:vAlign w:val="bottom"/>
          </w:tcPr>
          <w:p w14:paraId="5EEAF7B9"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2</w:t>
            </w:r>
          </w:p>
        </w:tc>
        <w:tc>
          <w:tcPr>
            <w:tcW w:w="2025" w:type="dxa"/>
            <w:tcBorders>
              <w:top w:val="single" w:sz="4" w:space="0" w:color="000000"/>
              <w:left w:val="single" w:sz="4" w:space="0" w:color="000000"/>
              <w:bottom w:val="nil"/>
              <w:right w:val="nil"/>
            </w:tcBorders>
            <w:vAlign w:val="bottom"/>
          </w:tcPr>
          <w:p w14:paraId="772E68C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4A7725DD"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(3.7)</w:t>
            </w:r>
          </w:p>
        </w:tc>
        <w:tc>
          <w:tcPr>
            <w:tcW w:w="1335" w:type="dxa"/>
            <w:tcBorders>
              <w:top w:val="single" w:sz="4" w:space="0" w:color="000000"/>
              <w:left w:val="single" w:sz="4" w:space="0" w:color="000000"/>
              <w:bottom w:val="nil"/>
              <w:right w:val="nil"/>
            </w:tcBorders>
            <w:vAlign w:val="bottom"/>
          </w:tcPr>
          <w:p w14:paraId="57F45B5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(50)</w:t>
            </w:r>
          </w:p>
        </w:tc>
        <w:tc>
          <w:tcPr>
            <w:tcW w:w="1155" w:type="dxa"/>
            <w:tcBorders>
              <w:top w:val="nil"/>
              <w:left w:val="single" w:sz="4" w:space="0" w:color="000000"/>
              <w:bottom w:val="nil"/>
              <w:right w:val="nil"/>
            </w:tcBorders>
            <w:vAlign w:val="bottom"/>
          </w:tcPr>
          <w:p w14:paraId="5460DA1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229B9B1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6E529795" w14:textId="77777777" w:rsidTr="00E9349D">
        <w:trPr>
          <w:trHeight w:val="288"/>
        </w:trPr>
        <w:tc>
          <w:tcPr>
            <w:tcW w:w="1650" w:type="dxa"/>
            <w:tcBorders>
              <w:top w:val="nil"/>
              <w:left w:val="single" w:sz="4" w:space="0" w:color="000000"/>
              <w:bottom w:val="nil"/>
              <w:right w:val="nil"/>
            </w:tcBorders>
            <w:vAlign w:val="bottom"/>
          </w:tcPr>
          <w:p w14:paraId="358F35E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5214B0D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N2b</w:t>
            </w:r>
          </w:p>
        </w:tc>
        <w:tc>
          <w:tcPr>
            <w:tcW w:w="630" w:type="dxa"/>
            <w:tcBorders>
              <w:top w:val="single" w:sz="4" w:space="0" w:color="000000"/>
              <w:left w:val="single" w:sz="4" w:space="0" w:color="000000"/>
              <w:bottom w:val="nil"/>
              <w:right w:val="nil"/>
            </w:tcBorders>
            <w:vAlign w:val="bottom"/>
          </w:tcPr>
          <w:p w14:paraId="7ED12FF2"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2</w:t>
            </w:r>
          </w:p>
        </w:tc>
        <w:tc>
          <w:tcPr>
            <w:tcW w:w="2025" w:type="dxa"/>
            <w:tcBorders>
              <w:top w:val="single" w:sz="4" w:space="0" w:color="000000"/>
              <w:left w:val="single" w:sz="4" w:space="0" w:color="000000"/>
              <w:bottom w:val="nil"/>
              <w:right w:val="nil"/>
            </w:tcBorders>
            <w:vAlign w:val="bottom"/>
          </w:tcPr>
          <w:p w14:paraId="3A29632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60CEB6B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(7.4)</w:t>
            </w:r>
          </w:p>
        </w:tc>
        <w:tc>
          <w:tcPr>
            <w:tcW w:w="1335" w:type="dxa"/>
            <w:tcBorders>
              <w:top w:val="single" w:sz="4" w:space="0" w:color="000000"/>
              <w:left w:val="single" w:sz="4" w:space="0" w:color="000000"/>
              <w:bottom w:val="nil"/>
              <w:right w:val="nil"/>
            </w:tcBorders>
            <w:vAlign w:val="bottom"/>
          </w:tcPr>
          <w:p w14:paraId="7545B1D3"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0DC3CFD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2C08F2AD"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12E13756" w14:textId="77777777" w:rsidTr="00E9349D">
        <w:trPr>
          <w:trHeight w:val="288"/>
        </w:trPr>
        <w:tc>
          <w:tcPr>
            <w:tcW w:w="1650" w:type="dxa"/>
            <w:tcBorders>
              <w:top w:val="single" w:sz="4" w:space="0" w:color="000000"/>
              <w:left w:val="single" w:sz="4" w:space="0" w:color="000000"/>
              <w:bottom w:val="nil"/>
              <w:right w:val="nil"/>
            </w:tcBorders>
            <w:vAlign w:val="bottom"/>
          </w:tcPr>
          <w:p w14:paraId="718E2CE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TUMOR LOCATION</w:t>
            </w:r>
          </w:p>
        </w:tc>
        <w:tc>
          <w:tcPr>
            <w:tcW w:w="1365" w:type="dxa"/>
            <w:tcBorders>
              <w:top w:val="single" w:sz="4" w:space="0" w:color="000000"/>
              <w:left w:val="single" w:sz="4" w:space="0" w:color="000000"/>
              <w:bottom w:val="nil"/>
              <w:right w:val="nil"/>
            </w:tcBorders>
            <w:vAlign w:val="bottom"/>
          </w:tcPr>
          <w:p w14:paraId="765EA5C3"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LOWER 1/3RD</w:t>
            </w:r>
          </w:p>
        </w:tc>
        <w:tc>
          <w:tcPr>
            <w:tcW w:w="630" w:type="dxa"/>
            <w:tcBorders>
              <w:top w:val="single" w:sz="4" w:space="0" w:color="000000"/>
              <w:left w:val="single" w:sz="4" w:space="0" w:color="000000"/>
              <w:bottom w:val="nil"/>
              <w:right w:val="nil"/>
            </w:tcBorders>
            <w:vAlign w:val="bottom"/>
          </w:tcPr>
          <w:p w14:paraId="280A1B0F"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11</w:t>
            </w:r>
          </w:p>
        </w:tc>
        <w:tc>
          <w:tcPr>
            <w:tcW w:w="2025" w:type="dxa"/>
            <w:tcBorders>
              <w:top w:val="single" w:sz="4" w:space="0" w:color="000000"/>
              <w:left w:val="single" w:sz="4" w:space="0" w:color="000000"/>
              <w:bottom w:val="nil"/>
              <w:right w:val="nil"/>
            </w:tcBorders>
            <w:vAlign w:val="bottom"/>
          </w:tcPr>
          <w:p w14:paraId="26BCD39C"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(9.1)</w:t>
            </w:r>
          </w:p>
        </w:tc>
        <w:tc>
          <w:tcPr>
            <w:tcW w:w="1335" w:type="dxa"/>
            <w:tcBorders>
              <w:top w:val="single" w:sz="4" w:space="0" w:color="000000"/>
              <w:left w:val="single" w:sz="4" w:space="0" w:color="000000"/>
              <w:bottom w:val="nil"/>
              <w:right w:val="nil"/>
            </w:tcBorders>
            <w:vAlign w:val="bottom"/>
          </w:tcPr>
          <w:p w14:paraId="350ED44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10 (37)</w:t>
            </w:r>
          </w:p>
        </w:tc>
        <w:tc>
          <w:tcPr>
            <w:tcW w:w="1335" w:type="dxa"/>
            <w:tcBorders>
              <w:top w:val="single" w:sz="4" w:space="0" w:color="000000"/>
              <w:left w:val="single" w:sz="4" w:space="0" w:color="000000"/>
              <w:bottom w:val="nil"/>
              <w:right w:val="nil"/>
            </w:tcBorders>
            <w:vAlign w:val="bottom"/>
          </w:tcPr>
          <w:p w14:paraId="14F1672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single" w:sz="4" w:space="0" w:color="000000"/>
              <w:left w:val="single" w:sz="4" w:space="0" w:color="000000"/>
              <w:bottom w:val="nil"/>
              <w:right w:val="nil"/>
            </w:tcBorders>
            <w:vAlign w:val="bottom"/>
          </w:tcPr>
          <w:p w14:paraId="0C0F1D16"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15.931</w:t>
            </w:r>
          </w:p>
        </w:tc>
        <w:tc>
          <w:tcPr>
            <w:tcW w:w="840" w:type="dxa"/>
            <w:tcBorders>
              <w:top w:val="single" w:sz="4" w:space="0" w:color="000000"/>
              <w:left w:val="single" w:sz="4" w:space="0" w:color="000000"/>
              <w:bottom w:val="nil"/>
              <w:right w:val="single" w:sz="4" w:space="0" w:color="000000"/>
            </w:tcBorders>
            <w:vAlign w:val="bottom"/>
          </w:tcPr>
          <w:p w14:paraId="3ADB8745"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0.102</w:t>
            </w:r>
          </w:p>
        </w:tc>
      </w:tr>
      <w:tr w:rsidR="00187C5B" w14:paraId="3F429BF5" w14:textId="77777777" w:rsidTr="00E9349D">
        <w:trPr>
          <w:trHeight w:val="288"/>
        </w:trPr>
        <w:tc>
          <w:tcPr>
            <w:tcW w:w="1650" w:type="dxa"/>
            <w:tcBorders>
              <w:top w:val="nil"/>
              <w:left w:val="single" w:sz="4" w:space="0" w:color="000000"/>
              <w:bottom w:val="nil"/>
              <w:right w:val="nil"/>
            </w:tcBorders>
            <w:vAlign w:val="bottom"/>
          </w:tcPr>
          <w:p w14:paraId="6514ACD7"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6537A2B3"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MID 1/3</w:t>
            </w:r>
            <w:r>
              <w:rPr>
                <w:rFonts w:ascii="Aptos Narrow" w:eastAsia="Aptos Narrow" w:hAnsi="Aptos Narrow" w:cs="Aptos Narrow"/>
                <w:vertAlign w:val="superscript"/>
              </w:rPr>
              <w:t>RD</w:t>
            </w:r>
          </w:p>
        </w:tc>
        <w:tc>
          <w:tcPr>
            <w:tcW w:w="630" w:type="dxa"/>
            <w:tcBorders>
              <w:top w:val="single" w:sz="4" w:space="0" w:color="000000"/>
              <w:left w:val="single" w:sz="4" w:space="0" w:color="000000"/>
              <w:bottom w:val="nil"/>
              <w:right w:val="nil"/>
            </w:tcBorders>
            <w:vAlign w:val="bottom"/>
          </w:tcPr>
          <w:p w14:paraId="22698AC4"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10</w:t>
            </w:r>
          </w:p>
        </w:tc>
        <w:tc>
          <w:tcPr>
            <w:tcW w:w="2025" w:type="dxa"/>
            <w:tcBorders>
              <w:top w:val="single" w:sz="4" w:space="0" w:color="000000"/>
              <w:left w:val="single" w:sz="4" w:space="0" w:color="000000"/>
              <w:bottom w:val="nil"/>
              <w:right w:val="nil"/>
            </w:tcBorders>
            <w:vAlign w:val="bottom"/>
          </w:tcPr>
          <w:p w14:paraId="45FD3D9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4 (36.4)</w:t>
            </w:r>
          </w:p>
        </w:tc>
        <w:tc>
          <w:tcPr>
            <w:tcW w:w="1335" w:type="dxa"/>
            <w:tcBorders>
              <w:top w:val="single" w:sz="4" w:space="0" w:color="000000"/>
              <w:left w:val="single" w:sz="4" w:space="0" w:color="000000"/>
              <w:bottom w:val="nil"/>
              <w:right w:val="nil"/>
            </w:tcBorders>
            <w:vAlign w:val="bottom"/>
          </w:tcPr>
          <w:p w14:paraId="1F30D97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6 (22.2)</w:t>
            </w:r>
          </w:p>
        </w:tc>
        <w:tc>
          <w:tcPr>
            <w:tcW w:w="1335" w:type="dxa"/>
            <w:tcBorders>
              <w:top w:val="single" w:sz="4" w:space="0" w:color="000000"/>
              <w:left w:val="single" w:sz="4" w:space="0" w:color="000000"/>
              <w:bottom w:val="nil"/>
              <w:right w:val="nil"/>
            </w:tcBorders>
            <w:vAlign w:val="bottom"/>
          </w:tcPr>
          <w:p w14:paraId="3014987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212A7B2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75C26FA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055BDF8C" w14:textId="77777777" w:rsidTr="00E9349D">
        <w:trPr>
          <w:trHeight w:val="288"/>
        </w:trPr>
        <w:tc>
          <w:tcPr>
            <w:tcW w:w="1650" w:type="dxa"/>
            <w:tcBorders>
              <w:top w:val="nil"/>
              <w:left w:val="single" w:sz="4" w:space="0" w:color="000000"/>
              <w:bottom w:val="nil"/>
              <w:right w:val="nil"/>
            </w:tcBorders>
            <w:vAlign w:val="bottom"/>
          </w:tcPr>
          <w:p w14:paraId="7965DFB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5443736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MID AND LOWER 1/3</w:t>
            </w:r>
            <w:r>
              <w:rPr>
                <w:rFonts w:ascii="Aptos Narrow" w:eastAsia="Aptos Narrow" w:hAnsi="Aptos Narrow" w:cs="Aptos Narrow"/>
                <w:vertAlign w:val="superscript"/>
              </w:rPr>
              <w:t>RD</w:t>
            </w:r>
          </w:p>
        </w:tc>
        <w:tc>
          <w:tcPr>
            <w:tcW w:w="630" w:type="dxa"/>
            <w:tcBorders>
              <w:top w:val="single" w:sz="4" w:space="0" w:color="000000"/>
              <w:left w:val="single" w:sz="4" w:space="0" w:color="000000"/>
              <w:bottom w:val="nil"/>
              <w:right w:val="nil"/>
            </w:tcBorders>
            <w:vAlign w:val="bottom"/>
          </w:tcPr>
          <w:p w14:paraId="3AAEF1B0"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7</w:t>
            </w:r>
          </w:p>
        </w:tc>
        <w:tc>
          <w:tcPr>
            <w:tcW w:w="2025" w:type="dxa"/>
            <w:tcBorders>
              <w:top w:val="single" w:sz="4" w:space="0" w:color="000000"/>
              <w:left w:val="single" w:sz="4" w:space="0" w:color="000000"/>
              <w:bottom w:val="nil"/>
              <w:right w:val="nil"/>
            </w:tcBorders>
            <w:vAlign w:val="bottom"/>
          </w:tcPr>
          <w:p w14:paraId="647ABA6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(18.2)</w:t>
            </w:r>
          </w:p>
        </w:tc>
        <w:tc>
          <w:tcPr>
            <w:tcW w:w="1335" w:type="dxa"/>
            <w:tcBorders>
              <w:top w:val="single" w:sz="4" w:space="0" w:color="000000"/>
              <w:left w:val="single" w:sz="4" w:space="0" w:color="000000"/>
              <w:bottom w:val="nil"/>
              <w:right w:val="nil"/>
            </w:tcBorders>
            <w:vAlign w:val="bottom"/>
          </w:tcPr>
          <w:p w14:paraId="534E474D"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4 (14.8)</w:t>
            </w:r>
          </w:p>
        </w:tc>
        <w:tc>
          <w:tcPr>
            <w:tcW w:w="1335" w:type="dxa"/>
            <w:tcBorders>
              <w:top w:val="single" w:sz="4" w:space="0" w:color="000000"/>
              <w:left w:val="single" w:sz="4" w:space="0" w:color="000000"/>
              <w:bottom w:val="nil"/>
              <w:right w:val="nil"/>
            </w:tcBorders>
            <w:vAlign w:val="bottom"/>
          </w:tcPr>
          <w:p w14:paraId="7D124A2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(50)</w:t>
            </w:r>
          </w:p>
        </w:tc>
        <w:tc>
          <w:tcPr>
            <w:tcW w:w="1155" w:type="dxa"/>
            <w:tcBorders>
              <w:top w:val="nil"/>
              <w:left w:val="single" w:sz="4" w:space="0" w:color="000000"/>
              <w:bottom w:val="nil"/>
              <w:right w:val="nil"/>
            </w:tcBorders>
            <w:vAlign w:val="bottom"/>
          </w:tcPr>
          <w:p w14:paraId="41B3E408"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2D3FD85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621CD57D" w14:textId="77777777" w:rsidTr="00E9349D">
        <w:trPr>
          <w:trHeight w:val="288"/>
        </w:trPr>
        <w:tc>
          <w:tcPr>
            <w:tcW w:w="1650" w:type="dxa"/>
            <w:tcBorders>
              <w:top w:val="nil"/>
              <w:left w:val="single" w:sz="4" w:space="0" w:color="000000"/>
              <w:bottom w:val="nil"/>
              <w:right w:val="nil"/>
            </w:tcBorders>
            <w:vAlign w:val="bottom"/>
          </w:tcPr>
          <w:p w14:paraId="309BB21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600BC09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MID AND UPPER 1/3</w:t>
            </w:r>
            <w:r>
              <w:rPr>
                <w:rFonts w:ascii="Aptos Narrow" w:eastAsia="Aptos Narrow" w:hAnsi="Aptos Narrow" w:cs="Aptos Narrow"/>
                <w:vertAlign w:val="superscript"/>
              </w:rPr>
              <w:t>RD</w:t>
            </w:r>
          </w:p>
        </w:tc>
        <w:tc>
          <w:tcPr>
            <w:tcW w:w="630" w:type="dxa"/>
            <w:tcBorders>
              <w:top w:val="single" w:sz="4" w:space="0" w:color="000000"/>
              <w:left w:val="single" w:sz="4" w:space="0" w:color="000000"/>
              <w:bottom w:val="nil"/>
              <w:right w:val="nil"/>
            </w:tcBorders>
            <w:vAlign w:val="bottom"/>
          </w:tcPr>
          <w:p w14:paraId="3DE96A4E"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2</w:t>
            </w:r>
          </w:p>
        </w:tc>
        <w:tc>
          <w:tcPr>
            <w:tcW w:w="2025" w:type="dxa"/>
            <w:tcBorders>
              <w:top w:val="single" w:sz="4" w:space="0" w:color="000000"/>
              <w:left w:val="single" w:sz="4" w:space="0" w:color="000000"/>
              <w:bottom w:val="nil"/>
              <w:right w:val="nil"/>
            </w:tcBorders>
            <w:vAlign w:val="bottom"/>
          </w:tcPr>
          <w:p w14:paraId="3EA0044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335" w:type="dxa"/>
            <w:tcBorders>
              <w:top w:val="single" w:sz="4" w:space="0" w:color="000000"/>
              <w:left w:val="single" w:sz="4" w:space="0" w:color="000000"/>
              <w:bottom w:val="nil"/>
              <w:right w:val="nil"/>
            </w:tcBorders>
            <w:vAlign w:val="bottom"/>
          </w:tcPr>
          <w:p w14:paraId="1BD2199A"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(3.7)</w:t>
            </w:r>
          </w:p>
        </w:tc>
        <w:tc>
          <w:tcPr>
            <w:tcW w:w="1335" w:type="dxa"/>
            <w:tcBorders>
              <w:top w:val="single" w:sz="4" w:space="0" w:color="000000"/>
              <w:left w:val="single" w:sz="4" w:space="0" w:color="000000"/>
              <w:bottom w:val="nil"/>
              <w:right w:val="nil"/>
            </w:tcBorders>
            <w:vAlign w:val="bottom"/>
          </w:tcPr>
          <w:p w14:paraId="662CE6AF"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(50)</w:t>
            </w:r>
          </w:p>
        </w:tc>
        <w:tc>
          <w:tcPr>
            <w:tcW w:w="1155" w:type="dxa"/>
            <w:tcBorders>
              <w:top w:val="nil"/>
              <w:left w:val="single" w:sz="4" w:space="0" w:color="000000"/>
              <w:bottom w:val="nil"/>
              <w:right w:val="nil"/>
            </w:tcBorders>
            <w:vAlign w:val="bottom"/>
          </w:tcPr>
          <w:p w14:paraId="639ABB3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420C04B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7627AACF" w14:textId="77777777" w:rsidTr="00E9349D">
        <w:trPr>
          <w:trHeight w:val="288"/>
        </w:trPr>
        <w:tc>
          <w:tcPr>
            <w:tcW w:w="1650" w:type="dxa"/>
            <w:tcBorders>
              <w:top w:val="nil"/>
              <w:left w:val="single" w:sz="4" w:space="0" w:color="000000"/>
              <w:bottom w:val="nil"/>
              <w:right w:val="nil"/>
            </w:tcBorders>
            <w:vAlign w:val="bottom"/>
          </w:tcPr>
          <w:p w14:paraId="0736F86D"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62E5232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UPPER 1/3</w:t>
            </w:r>
            <w:r>
              <w:rPr>
                <w:rFonts w:ascii="Aptos Narrow" w:eastAsia="Aptos Narrow" w:hAnsi="Aptos Narrow" w:cs="Aptos Narrow"/>
                <w:vertAlign w:val="superscript"/>
              </w:rPr>
              <w:t>RD</w:t>
            </w:r>
          </w:p>
        </w:tc>
        <w:tc>
          <w:tcPr>
            <w:tcW w:w="630" w:type="dxa"/>
            <w:tcBorders>
              <w:top w:val="single" w:sz="4" w:space="0" w:color="000000"/>
              <w:left w:val="single" w:sz="4" w:space="0" w:color="000000"/>
              <w:bottom w:val="nil"/>
              <w:right w:val="nil"/>
            </w:tcBorders>
            <w:vAlign w:val="bottom"/>
          </w:tcPr>
          <w:p w14:paraId="0B8323F5"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4</w:t>
            </w:r>
          </w:p>
        </w:tc>
        <w:tc>
          <w:tcPr>
            <w:tcW w:w="2025" w:type="dxa"/>
            <w:tcBorders>
              <w:top w:val="single" w:sz="4" w:space="0" w:color="000000"/>
              <w:left w:val="single" w:sz="4" w:space="0" w:color="000000"/>
              <w:bottom w:val="nil"/>
              <w:right w:val="nil"/>
            </w:tcBorders>
            <w:vAlign w:val="bottom"/>
          </w:tcPr>
          <w:p w14:paraId="410720B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(9.1)</w:t>
            </w:r>
          </w:p>
        </w:tc>
        <w:tc>
          <w:tcPr>
            <w:tcW w:w="1335" w:type="dxa"/>
            <w:tcBorders>
              <w:top w:val="single" w:sz="4" w:space="0" w:color="000000"/>
              <w:left w:val="single" w:sz="4" w:space="0" w:color="000000"/>
              <w:bottom w:val="nil"/>
              <w:right w:val="nil"/>
            </w:tcBorders>
            <w:vAlign w:val="bottom"/>
          </w:tcPr>
          <w:p w14:paraId="497F7EA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3 (11.1)</w:t>
            </w:r>
          </w:p>
        </w:tc>
        <w:tc>
          <w:tcPr>
            <w:tcW w:w="1335" w:type="dxa"/>
            <w:tcBorders>
              <w:top w:val="single" w:sz="4" w:space="0" w:color="000000"/>
              <w:left w:val="single" w:sz="4" w:space="0" w:color="000000"/>
              <w:bottom w:val="nil"/>
              <w:right w:val="nil"/>
            </w:tcBorders>
            <w:vAlign w:val="bottom"/>
          </w:tcPr>
          <w:p w14:paraId="3B2A828B"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68DED8F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4836B76D"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0A30278F" w14:textId="77777777" w:rsidTr="00E9349D">
        <w:trPr>
          <w:trHeight w:val="288"/>
        </w:trPr>
        <w:tc>
          <w:tcPr>
            <w:tcW w:w="1650" w:type="dxa"/>
            <w:tcBorders>
              <w:top w:val="nil"/>
              <w:left w:val="single" w:sz="4" w:space="0" w:color="000000"/>
              <w:bottom w:val="nil"/>
              <w:right w:val="nil"/>
            </w:tcBorders>
            <w:vAlign w:val="bottom"/>
          </w:tcPr>
          <w:p w14:paraId="6AD0BBB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64BE205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UPPER AND MID 1/3</w:t>
            </w:r>
            <w:r>
              <w:rPr>
                <w:rFonts w:ascii="Aptos Narrow" w:eastAsia="Aptos Narrow" w:hAnsi="Aptos Narrow" w:cs="Aptos Narrow"/>
                <w:vertAlign w:val="superscript"/>
              </w:rPr>
              <w:t>RD</w:t>
            </w:r>
          </w:p>
        </w:tc>
        <w:tc>
          <w:tcPr>
            <w:tcW w:w="630" w:type="dxa"/>
            <w:tcBorders>
              <w:top w:val="single" w:sz="4" w:space="0" w:color="000000"/>
              <w:left w:val="single" w:sz="4" w:space="0" w:color="000000"/>
              <w:bottom w:val="nil"/>
              <w:right w:val="nil"/>
            </w:tcBorders>
            <w:vAlign w:val="bottom"/>
          </w:tcPr>
          <w:p w14:paraId="6CEB80BF"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6</w:t>
            </w:r>
          </w:p>
        </w:tc>
        <w:tc>
          <w:tcPr>
            <w:tcW w:w="2025" w:type="dxa"/>
            <w:tcBorders>
              <w:top w:val="single" w:sz="4" w:space="0" w:color="000000"/>
              <w:left w:val="single" w:sz="4" w:space="0" w:color="000000"/>
              <w:bottom w:val="nil"/>
              <w:right w:val="nil"/>
            </w:tcBorders>
            <w:vAlign w:val="bottom"/>
          </w:tcPr>
          <w:p w14:paraId="21B702B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3 (27.3)</w:t>
            </w:r>
          </w:p>
        </w:tc>
        <w:tc>
          <w:tcPr>
            <w:tcW w:w="1335" w:type="dxa"/>
            <w:tcBorders>
              <w:top w:val="single" w:sz="4" w:space="0" w:color="000000"/>
              <w:left w:val="single" w:sz="4" w:space="0" w:color="000000"/>
              <w:bottom w:val="nil"/>
              <w:right w:val="nil"/>
            </w:tcBorders>
            <w:vAlign w:val="bottom"/>
          </w:tcPr>
          <w:p w14:paraId="04F1077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3 (11.1)</w:t>
            </w:r>
          </w:p>
        </w:tc>
        <w:tc>
          <w:tcPr>
            <w:tcW w:w="1335" w:type="dxa"/>
            <w:tcBorders>
              <w:top w:val="single" w:sz="4" w:space="0" w:color="000000"/>
              <w:left w:val="single" w:sz="4" w:space="0" w:color="000000"/>
              <w:bottom w:val="nil"/>
              <w:right w:val="nil"/>
            </w:tcBorders>
            <w:vAlign w:val="bottom"/>
          </w:tcPr>
          <w:p w14:paraId="2DB8554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nil"/>
              <w:right w:val="nil"/>
            </w:tcBorders>
            <w:vAlign w:val="bottom"/>
          </w:tcPr>
          <w:p w14:paraId="13AC074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499F9551"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139A1AEB" w14:textId="77777777" w:rsidTr="00E9349D">
        <w:trPr>
          <w:trHeight w:val="288"/>
        </w:trPr>
        <w:tc>
          <w:tcPr>
            <w:tcW w:w="1650" w:type="dxa"/>
            <w:tcBorders>
              <w:top w:val="single" w:sz="4" w:space="0" w:color="000000"/>
              <w:left w:val="single" w:sz="4" w:space="0" w:color="000000"/>
              <w:bottom w:val="nil"/>
              <w:right w:val="nil"/>
            </w:tcBorders>
            <w:vAlign w:val="bottom"/>
          </w:tcPr>
          <w:p w14:paraId="746A585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RT TECHNIQUE</w:t>
            </w:r>
          </w:p>
        </w:tc>
        <w:tc>
          <w:tcPr>
            <w:tcW w:w="1365" w:type="dxa"/>
            <w:tcBorders>
              <w:top w:val="single" w:sz="4" w:space="0" w:color="000000"/>
              <w:left w:val="single" w:sz="4" w:space="0" w:color="000000"/>
              <w:bottom w:val="nil"/>
              <w:right w:val="nil"/>
            </w:tcBorders>
            <w:vAlign w:val="bottom"/>
          </w:tcPr>
          <w:p w14:paraId="2ECBCEB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3DCRT</w:t>
            </w:r>
          </w:p>
        </w:tc>
        <w:tc>
          <w:tcPr>
            <w:tcW w:w="630" w:type="dxa"/>
            <w:tcBorders>
              <w:top w:val="single" w:sz="4" w:space="0" w:color="000000"/>
              <w:left w:val="single" w:sz="4" w:space="0" w:color="000000"/>
              <w:bottom w:val="nil"/>
              <w:right w:val="nil"/>
            </w:tcBorders>
            <w:vAlign w:val="bottom"/>
          </w:tcPr>
          <w:p w14:paraId="5BC5CC25"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11</w:t>
            </w:r>
          </w:p>
        </w:tc>
        <w:tc>
          <w:tcPr>
            <w:tcW w:w="2025" w:type="dxa"/>
            <w:tcBorders>
              <w:top w:val="single" w:sz="4" w:space="0" w:color="000000"/>
              <w:left w:val="single" w:sz="4" w:space="0" w:color="000000"/>
              <w:bottom w:val="nil"/>
              <w:right w:val="nil"/>
            </w:tcBorders>
            <w:vAlign w:val="bottom"/>
          </w:tcPr>
          <w:p w14:paraId="4E3591D7"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(18.2)</w:t>
            </w:r>
          </w:p>
        </w:tc>
        <w:tc>
          <w:tcPr>
            <w:tcW w:w="1335" w:type="dxa"/>
            <w:tcBorders>
              <w:top w:val="single" w:sz="4" w:space="0" w:color="000000"/>
              <w:left w:val="single" w:sz="4" w:space="0" w:color="000000"/>
              <w:bottom w:val="nil"/>
              <w:right w:val="nil"/>
            </w:tcBorders>
            <w:vAlign w:val="bottom"/>
          </w:tcPr>
          <w:p w14:paraId="7828BC3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9 (33.3)</w:t>
            </w:r>
          </w:p>
        </w:tc>
        <w:tc>
          <w:tcPr>
            <w:tcW w:w="1335" w:type="dxa"/>
            <w:tcBorders>
              <w:top w:val="single" w:sz="4" w:space="0" w:color="000000"/>
              <w:left w:val="single" w:sz="4" w:space="0" w:color="000000"/>
              <w:bottom w:val="nil"/>
              <w:right w:val="nil"/>
            </w:tcBorders>
            <w:vAlign w:val="bottom"/>
          </w:tcPr>
          <w:p w14:paraId="4DCAA03E"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single" w:sz="4" w:space="0" w:color="000000"/>
              <w:left w:val="single" w:sz="4" w:space="0" w:color="000000"/>
              <w:bottom w:val="nil"/>
              <w:right w:val="nil"/>
            </w:tcBorders>
            <w:vAlign w:val="bottom"/>
          </w:tcPr>
          <w:p w14:paraId="71723EF7"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2.316</w:t>
            </w:r>
          </w:p>
        </w:tc>
        <w:tc>
          <w:tcPr>
            <w:tcW w:w="840" w:type="dxa"/>
            <w:tcBorders>
              <w:top w:val="single" w:sz="4" w:space="0" w:color="000000"/>
              <w:left w:val="single" w:sz="4" w:space="0" w:color="000000"/>
              <w:bottom w:val="nil"/>
              <w:right w:val="single" w:sz="4" w:space="0" w:color="000000"/>
            </w:tcBorders>
            <w:vAlign w:val="bottom"/>
          </w:tcPr>
          <w:p w14:paraId="46E67EC5"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0.678</w:t>
            </w:r>
          </w:p>
        </w:tc>
      </w:tr>
      <w:tr w:rsidR="00187C5B" w14:paraId="6A22EFCA" w14:textId="77777777" w:rsidTr="00E9349D">
        <w:trPr>
          <w:trHeight w:val="288"/>
        </w:trPr>
        <w:tc>
          <w:tcPr>
            <w:tcW w:w="1650" w:type="dxa"/>
            <w:tcBorders>
              <w:top w:val="nil"/>
              <w:left w:val="single" w:sz="4" w:space="0" w:color="000000"/>
              <w:bottom w:val="nil"/>
              <w:right w:val="nil"/>
            </w:tcBorders>
            <w:vAlign w:val="bottom"/>
          </w:tcPr>
          <w:p w14:paraId="1A076A90"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nil"/>
              <w:right w:val="nil"/>
            </w:tcBorders>
            <w:vAlign w:val="bottom"/>
          </w:tcPr>
          <w:p w14:paraId="298FCAD7"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IMRT</w:t>
            </w:r>
          </w:p>
        </w:tc>
        <w:tc>
          <w:tcPr>
            <w:tcW w:w="630" w:type="dxa"/>
            <w:tcBorders>
              <w:top w:val="single" w:sz="4" w:space="0" w:color="000000"/>
              <w:left w:val="single" w:sz="4" w:space="0" w:color="000000"/>
              <w:bottom w:val="nil"/>
              <w:right w:val="nil"/>
            </w:tcBorders>
            <w:vAlign w:val="bottom"/>
          </w:tcPr>
          <w:p w14:paraId="0C655A3F"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25</w:t>
            </w:r>
          </w:p>
        </w:tc>
        <w:tc>
          <w:tcPr>
            <w:tcW w:w="2025" w:type="dxa"/>
            <w:tcBorders>
              <w:top w:val="single" w:sz="4" w:space="0" w:color="000000"/>
              <w:left w:val="single" w:sz="4" w:space="0" w:color="000000"/>
              <w:bottom w:val="nil"/>
              <w:right w:val="nil"/>
            </w:tcBorders>
            <w:vAlign w:val="bottom"/>
          </w:tcPr>
          <w:p w14:paraId="2743E8F2"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8 (72.7)</w:t>
            </w:r>
          </w:p>
        </w:tc>
        <w:tc>
          <w:tcPr>
            <w:tcW w:w="1335" w:type="dxa"/>
            <w:tcBorders>
              <w:top w:val="single" w:sz="4" w:space="0" w:color="000000"/>
              <w:left w:val="single" w:sz="4" w:space="0" w:color="000000"/>
              <w:bottom w:val="nil"/>
              <w:right w:val="nil"/>
            </w:tcBorders>
            <w:vAlign w:val="bottom"/>
          </w:tcPr>
          <w:p w14:paraId="734C5F62"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15 (55.6)</w:t>
            </w:r>
          </w:p>
        </w:tc>
        <w:tc>
          <w:tcPr>
            <w:tcW w:w="1335" w:type="dxa"/>
            <w:tcBorders>
              <w:top w:val="single" w:sz="4" w:space="0" w:color="000000"/>
              <w:left w:val="single" w:sz="4" w:space="0" w:color="000000"/>
              <w:bottom w:val="nil"/>
              <w:right w:val="nil"/>
            </w:tcBorders>
            <w:vAlign w:val="bottom"/>
          </w:tcPr>
          <w:p w14:paraId="53F419C7"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2 (100)</w:t>
            </w:r>
          </w:p>
        </w:tc>
        <w:tc>
          <w:tcPr>
            <w:tcW w:w="1155" w:type="dxa"/>
            <w:tcBorders>
              <w:top w:val="nil"/>
              <w:left w:val="single" w:sz="4" w:space="0" w:color="000000"/>
              <w:bottom w:val="nil"/>
              <w:right w:val="nil"/>
            </w:tcBorders>
            <w:vAlign w:val="bottom"/>
          </w:tcPr>
          <w:p w14:paraId="568DC5C7"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nil"/>
              <w:right w:val="single" w:sz="4" w:space="0" w:color="000000"/>
            </w:tcBorders>
            <w:vAlign w:val="bottom"/>
          </w:tcPr>
          <w:p w14:paraId="17E93F02"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r w:rsidR="00187C5B" w14:paraId="7E8854EF" w14:textId="77777777" w:rsidTr="00E9349D">
        <w:trPr>
          <w:trHeight w:val="288"/>
        </w:trPr>
        <w:tc>
          <w:tcPr>
            <w:tcW w:w="1650" w:type="dxa"/>
            <w:tcBorders>
              <w:top w:val="nil"/>
              <w:left w:val="single" w:sz="4" w:space="0" w:color="000000"/>
              <w:bottom w:val="single" w:sz="4" w:space="0" w:color="000000"/>
              <w:right w:val="nil"/>
            </w:tcBorders>
            <w:vAlign w:val="bottom"/>
          </w:tcPr>
          <w:p w14:paraId="5955FDD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1365" w:type="dxa"/>
            <w:tcBorders>
              <w:top w:val="single" w:sz="4" w:space="0" w:color="000000"/>
              <w:left w:val="single" w:sz="4" w:space="0" w:color="000000"/>
              <w:bottom w:val="single" w:sz="4" w:space="0" w:color="000000"/>
              <w:right w:val="nil"/>
            </w:tcBorders>
            <w:vAlign w:val="bottom"/>
          </w:tcPr>
          <w:p w14:paraId="52F7D25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VMAT</w:t>
            </w:r>
          </w:p>
        </w:tc>
        <w:tc>
          <w:tcPr>
            <w:tcW w:w="630" w:type="dxa"/>
            <w:tcBorders>
              <w:top w:val="single" w:sz="4" w:space="0" w:color="000000"/>
              <w:left w:val="single" w:sz="4" w:space="0" w:color="000000"/>
              <w:bottom w:val="single" w:sz="4" w:space="0" w:color="000000"/>
              <w:right w:val="nil"/>
            </w:tcBorders>
            <w:vAlign w:val="bottom"/>
          </w:tcPr>
          <w:p w14:paraId="084CEDAF" w14:textId="77777777" w:rsidR="00187C5B" w:rsidRDefault="00187C5B" w:rsidP="00E9349D">
            <w:pPr>
              <w:spacing w:line="240" w:lineRule="auto"/>
              <w:jc w:val="right"/>
              <w:rPr>
                <w:rFonts w:ascii="Aptos Narrow" w:eastAsia="Aptos Narrow" w:hAnsi="Aptos Narrow" w:cs="Aptos Narrow"/>
              </w:rPr>
            </w:pPr>
            <w:r>
              <w:rPr>
                <w:rFonts w:ascii="Aptos Narrow" w:eastAsia="Aptos Narrow" w:hAnsi="Aptos Narrow" w:cs="Aptos Narrow"/>
              </w:rPr>
              <w:t>4</w:t>
            </w:r>
          </w:p>
        </w:tc>
        <w:tc>
          <w:tcPr>
            <w:tcW w:w="2025" w:type="dxa"/>
            <w:tcBorders>
              <w:top w:val="single" w:sz="4" w:space="0" w:color="000000"/>
              <w:left w:val="single" w:sz="4" w:space="0" w:color="000000"/>
              <w:bottom w:val="single" w:sz="4" w:space="0" w:color="000000"/>
              <w:right w:val="nil"/>
            </w:tcBorders>
            <w:vAlign w:val="bottom"/>
          </w:tcPr>
          <w:p w14:paraId="0A470E25"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1 (9.1)</w:t>
            </w:r>
          </w:p>
        </w:tc>
        <w:tc>
          <w:tcPr>
            <w:tcW w:w="1335" w:type="dxa"/>
            <w:tcBorders>
              <w:top w:val="single" w:sz="4" w:space="0" w:color="000000"/>
              <w:left w:val="single" w:sz="4" w:space="0" w:color="000000"/>
              <w:bottom w:val="single" w:sz="4" w:space="0" w:color="000000"/>
              <w:right w:val="nil"/>
            </w:tcBorders>
            <w:vAlign w:val="bottom"/>
          </w:tcPr>
          <w:p w14:paraId="62F6646D"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3 (11.1)</w:t>
            </w:r>
          </w:p>
        </w:tc>
        <w:tc>
          <w:tcPr>
            <w:tcW w:w="1335" w:type="dxa"/>
            <w:tcBorders>
              <w:top w:val="single" w:sz="4" w:space="0" w:color="000000"/>
              <w:left w:val="single" w:sz="4" w:space="0" w:color="000000"/>
              <w:bottom w:val="single" w:sz="4" w:space="0" w:color="000000"/>
              <w:right w:val="nil"/>
            </w:tcBorders>
            <w:vAlign w:val="bottom"/>
          </w:tcPr>
          <w:p w14:paraId="21779246"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0 (0)</w:t>
            </w:r>
          </w:p>
        </w:tc>
        <w:tc>
          <w:tcPr>
            <w:tcW w:w="1155" w:type="dxa"/>
            <w:tcBorders>
              <w:top w:val="nil"/>
              <w:left w:val="single" w:sz="4" w:space="0" w:color="000000"/>
              <w:bottom w:val="single" w:sz="4" w:space="0" w:color="000000"/>
              <w:right w:val="nil"/>
            </w:tcBorders>
            <w:vAlign w:val="bottom"/>
          </w:tcPr>
          <w:p w14:paraId="033357C2"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c>
          <w:tcPr>
            <w:tcW w:w="840" w:type="dxa"/>
            <w:tcBorders>
              <w:top w:val="nil"/>
              <w:left w:val="single" w:sz="4" w:space="0" w:color="000000"/>
              <w:bottom w:val="single" w:sz="4" w:space="0" w:color="000000"/>
              <w:right w:val="single" w:sz="4" w:space="0" w:color="000000"/>
            </w:tcBorders>
            <w:vAlign w:val="bottom"/>
          </w:tcPr>
          <w:p w14:paraId="63BA5629" w14:textId="77777777" w:rsidR="00187C5B" w:rsidRDefault="00187C5B" w:rsidP="00E9349D">
            <w:pPr>
              <w:spacing w:line="240" w:lineRule="auto"/>
              <w:rPr>
                <w:rFonts w:ascii="Aptos Narrow" w:eastAsia="Aptos Narrow" w:hAnsi="Aptos Narrow" w:cs="Aptos Narrow"/>
              </w:rPr>
            </w:pPr>
            <w:r>
              <w:rPr>
                <w:rFonts w:ascii="Aptos Narrow" w:eastAsia="Aptos Narrow" w:hAnsi="Aptos Narrow" w:cs="Aptos Narrow"/>
              </w:rPr>
              <w:t xml:space="preserve"> </w:t>
            </w:r>
          </w:p>
        </w:tc>
      </w:tr>
    </w:tbl>
    <w:p w14:paraId="72719B0E" w14:textId="77777777" w:rsidR="002B5667" w:rsidRDefault="002B5667"/>
    <w:p w14:paraId="39C7277B" w14:textId="77777777" w:rsidR="00BB6D47" w:rsidRDefault="00BB6D47"/>
    <w:p w14:paraId="640982E9" w14:textId="77777777" w:rsidR="00133F2C" w:rsidRDefault="00133F2C" w:rsidP="00133F2C">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proofErr w:type="gramStart"/>
      <w:r>
        <w:rPr>
          <w:rFonts w:ascii="Times New Roman" w:eastAsia="Times New Roman" w:hAnsi="Times New Roman" w:cs="Times New Roman"/>
          <w:b/>
          <w:sz w:val="24"/>
          <w:szCs w:val="24"/>
        </w:rPr>
        <w:t>2 :</w:t>
      </w:r>
      <w:proofErr w:type="gramEnd"/>
      <w:r>
        <w:rPr>
          <w:rFonts w:ascii="Times New Roman" w:eastAsia="Times New Roman" w:hAnsi="Times New Roman" w:cs="Times New Roman"/>
          <w:b/>
          <w:sz w:val="24"/>
          <w:szCs w:val="24"/>
        </w:rPr>
        <w:t xml:space="preserve"> Response in percentage</w:t>
      </w:r>
    </w:p>
    <w:tbl>
      <w:tblPr>
        <w:tblStyle w:val="TableGrid"/>
        <w:tblW w:w="0" w:type="auto"/>
        <w:tblLook w:val="04A0" w:firstRow="1" w:lastRow="0" w:firstColumn="1" w:lastColumn="0" w:noHBand="0" w:noVBand="1"/>
      </w:tblPr>
      <w:tblGrid>
        <w:gridCol w:w="3005"/>
        <w:gridCol w:w="3005"/>
        <w:gridCol w:w="3006"/>
      </w:tblGrid>
      <w:tr w:rsidR="00EC7D69" w14:paraId="4371D143" w14:textId="77777777" w:rsidTr="00EC7D69">
        <w:tc>
          <w:tcPr>
            <w:tcW w:w="3005" w:type="dxa"/>
          </w:tcPr>
          <w:p w14:paraId="75FE9B50" w14:textId="77777777" w:rsidR="00EC7D69" w:rsidRPr="0010673E" w:rsidRDefault="00EC7D69" w:rsidP="00133F2C">
            <w:pPr>
              <w:spacing w:after="160" w:line="259" w:lineRule="auto"/>
              <w:rPr>
                <w:rFonts w:ascii="Times New Roman" w:eastAsia="Times New Roman" w:hAnsi="Times New Roman" w:cs="Times New Roman"/>
                <w:b/>
                <w:sz w:val="24"/>
                <w:szCs w:val="24"/>
              </w:rPr>
            </w:pPr>
          </w:p>
        </w:tc>
        <w:tc>
          <w:tcPr>
            <w:tcW w:w="3005" w:type="dxa"/>
          </w:tcPr>
          <w:p w14:paraId="43994CDD" w14:textId="0AD01938" w:rsidR="00EC7D69" w:rsidRPr="0010673E" w:rsidRDefault="00D07537" w:rsidP="00133F2C">
            <w:pPr>
              <w:spacing w:after="160" w:line="259" w:lineRule="auto"/>
              <w:rPr>
                <w:rFonts w:ascii="Times New Roman" w:eastAsia="Times New Roman" w:hAnsi="Times New Roman" w:cs="Times New Roman"/>
                <w:b/>
                <w:sz w:val="24"/>
                <w:szCs w:val="24"/>
              </w:rPr>
            </w:pPr>
            <w:r w:rsidRPr="0010673E">
              <w:rPr>
                <w:rFonts w:ascii="Times New Roman" w:hAnsi="Times New Roman" w:cs="Times New Roman"/>
                <w:sz w:val="24"/>
                <w:szCs w:val="24"/>
              </w:rPr>
              <w:t>Response</w:t>
            </w:r>
          </w:p>
        </w:tc>
        <w:tc>
          <w:tcPr>
            <w:tcW w:w="3006" w:type="dxa"/>
          </w:tcPr>
          <w:p w14:paraId="6B269D6A" w14:textId="548C8396" w:rsidR="00EC7D69" w:rsidRPr="0010673E" w:rsidRDefault="00E67D9F" w:rsidP="00133F2C">
            <w:pPr>
              <w:spacing w:after="160" w:line="259" w:lineRule="auto"/>
              <w:rPr>
                <w:rFonts w:ascii="Times New Roman" w:eastAsia="Times New Roman" w:hAnsi="Times New Roman" w:cs="Times New Roman"/>
                <w:b/>
                <w:sz w:val="24"/>
                <w:szCs w:val="24"/>
              </w:rPr>
            </w:pPr>
            <w:r w:rsidRPr="0010673E">
              <w:rPr>
                <w:rFonts w:ascii="Times New Roman" w:hAnsi="Times New Roman" w:cs="Times New Roman"/>
                <w:sz w:val="24"/>
                <w:szCs w:val="24"/>
              </w:rPr>
              <w:t>Valid Percent</w:t>
            </w:r>
          </w:p>
        </w:tc>
      </w:tr>
      <w:tr w:rsidR="00EC7D69" w14:paraId="4ABBAAE6" w14:textId="77777777" w:rsidTr="00EC7D69">
        <w:tc>
          <w:tcPr>
            <w:tcW w:w="3005" w:type="dxa"/>
          </w:tcPr>
          <w:p w14:paraId="0075C498" w14:textId="536552E0" w:rsidR="00EC7D69" w:rsidRPr="0010673E" w:rsidRDefault="007F1CD0" w:rsidP="008C7E91">
            <w:pPr>
              <w:spacing w:after="160" w:line="259" w:lineRule="auto"/>
              <w:rPr>
                <w:rFonts w:ascii="Times New Roman" w:eastAsia="Times New Roman" w:hAnsi="Times New Roman" w:cs="Times New Roman"/>
                <w:b/>
                <w:sz w:val="24"/>
                <w:szCs w:val="24"/>
              </w:rPr>
            </w:pPr>
            <w:r w:rsidRPr="0010673E">
              <w:rPr>
                <w:rFonts w:ascii="Times New Roman" w:hAnsi="Times New Roman" w:cs="Times New Roman"/>
                <w:sz w:val="24"/>
                <w:szCs w:val="24"/>
              </w:rPr>
              <w:t>Complete response</w:t>
            </w:r>
          </w:p>
        </w:tc>
        <w:tc>
          <w:tcPr>
            <w:tcW w:w="3005" w:type="dxa"/>
          </w:tcPr>
          <w:p w14:paraId="4103B91C" w14:textId="1F823EEE" w:rsidR="00EC7D69" w:rsidRPr="0010673E" w:rsidRDefault="00841EB6"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12</w:t>
            </w:r>
          </w:p>
        </w:tc>
        <w:tc>
          <w:tcPr>
            <w:tcW w:w="3006" w:type="dxa"/>
          </w:tcPr>
          <w:p w14:paraId="46E1425C" w14:textId="547168FC" w:rsidR="00EC7D69" w:rsidRPr="0010673E" w:rsidRDefault="00841EB6"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30</w:t>
            </w:r>
          </w:p>
        </w:tc>
      </w:tr>
      <w:tr w:rsidR="00EC7D69" w14:paraId="67FEC48D" w14:textId="77777777" w:rsidTr="00EC7D69">
        <w:tc>
          <w:tcPr>
            <w:tcW w:w="3005" w:type="dxa"/>
          </w:tcPr>
          <w:p w14:paraId="1C980D7A" w14:textId="7F912F6F" w:rsidR="00EC7D69" w:rsidRPr="0010673E" w:rsidRDefault="00493B7B" w:rsidP="00133F2C">
            <w:pPr>
              <w:spacing w:after="160" w:line="259" w:lineRule="auto"/>
              <w:rPr>
                <w:rFonts w:ascii="Times New Roman" w:eastAsia="Times New Roman" w:hAnsi="Times New Roman" w:cs="Times New Roman"/>
                <w:b/>
                <w:sz w:val="24"/>
                <w:szCs w:val="24"/>
              </w:rPr>
            </w:pPr>
            <w:r w:rsidRPr="0010673E">
              <w:rPr>
                <w:rFonts w:ascii="Times New Roman" w:hAnsi="Times New Roman" w:cs="Times New Roman"/>
                <w:sz w:val="24"/>
                <w:szCs w:val="24"/>
              </w:rPr>
              <w:t>Partial response</w:t>
            </w:r>
          </w:p>
        </w:tc>
        <w:tc>
          <w:tcPr>
            <w:tcW w:w="3005" w:type="dxa"/>
          </w:tcPr>
          <w:p w14:paraId="1049C595" w14:textId="52178EA9" w:rsidR="00EC7D69" w:rsidRPr="0010673E" w:rsidRDefault="00841EB6"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26</w:t>
            </w:r>
          </w:p>
        </w:tc>
        <w:tc>
          <w:tcPr>
            <w:tcW w:w="3006" w:type="dxa"/>
          </w:tcPr>
          <w:p w14:paraId="792DAACF" w14:textId="090AEEEE" w:rsidR="00EC7D69" w:rsidRPr="0010673E" w:rsidRDefault="0010673E"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65</w:t>
            </w:r>
          </w:p>
        </w:tc>
      </w:tr>
      <w:tr w:rsidR="00EC7D69" w14:paraId="595BE2F8" w14:textId="77777777" w:rsidTr="00EC7D69">
        <w:tc>
          <w:tcPr>
            <w:tcW w:w="3005" w:type="dxa"/>
          </w:tcPr>
          <w:p w14:paraId="33C75115" w14:textId="44930C34" w:rsidR="00EC7D69" w:rsidRPr="0010673E" w:rsidRDefault="008C7E91" w:rsidP="00133F2C">
            <w:pPr>
              <w:spacing w:after="160" w:line="259" w:lineRule="auto"/>
              <w:rPr>
                <w:rFonts w:ascii="Times New Roman" w:eastAsia="Times New Roman" w:hAnsi="Times New Roman" w:cs="Times New Roman"/>
                <w:b/>
                <w:sz w:val="24"/>
                <w:szCs w:val="24"/>
              </w:rPr>
            </w:pPr>
            <w:r w:rsidRPr="0010673E">
              <w:rPr>
                <w:rFonts w:ascii="Times New Roman" w:hAnsi="Times New Roman" w:cs="Times New Roman"/>
                <w:sz w:val="24"/>
                <w:szCs w:val="24"/>
              </w:rPr>
              <w:t>Progression</w:t>
            </w:r>
          </w:p>
        </w:tc>
        <w:tc>
          <w:tcPr>
            <w:tcW w:w="3005" w:type="dxa"/>
          </w:tcPr>
          <w:p w14:paraId="007E4FC6" w14:textId="6CC8B7C4" w:rsidR="00EC7D69" w:rsidRPr="0010673E" w:rsidRDefault="00841EB6"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2</w:t>
            </w:r>
          </w:p>
        </w:tc>
        <w:tc>
          <w:tcPr>
            <w:tcW w:w="3006" w:type="dxa"/>
          </w:tcPr>
          <w:p w14:paraId="08C71ACD" w14:textId="037CC6C1" w:rsidR="00EC7D69" w:rsidRPr="0010673E" w:rsidRDefault="0010673E"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5</w:t>
            </w:r>
          </w:p>
        </w:tc>
      </w:tr>
      <w:tr w:rsidR="00EC7D69" w14:paraId="37FEF0E1" w14:textId="77777777" w:rsidTr="00EC7D69">
        <w:tc>
          <w:tcPr>
            <w:tcW w:w="3005" w:type="dxa"/>
          </w:tcPr>
          <w:p w14:paraId="351F27C9" w14:textId="5E3B1107" w:rsidR="00EC7D69" w:rsidRPr="0010673E" w:rsidRDefault="00841EB6" w:rsidP="00133F2C">
            <w:pPr>
              <w:spacing w:after="160" w:line="259" w:lineRule="auto"/>
              <w:rPr>
                <w:rFonts w:ascii="Times New Roman" w:eastAsia="Times New Roman" w:hAnsi="Times New Roman" w:cs="Times New Roman"/>
                <w:b/>
                <w:sz w:val="24"/>
                <w:szCs w:val="24"/>
              </w:rPr>
            </w:pPr>
            <w:r w:rsidRPr="0010673E">
              <w:rPr>
                <w:rFonts w:ascii="Times New Roman" w:hAnsi="Times New Roman" w:cs="Times New Roman"/>
                <w:sz w:val="24"/>
                <w:szCs w:val="24"/>
              </w:rPr>
              <w:t>Total</w:t>
            </w:r>
          </w:p>
        </w:tc>
        <w:tc>
          <w:tcPr>
            <w:tcW w:w="3005" w:type="dxa"/>
          </w:tcPr>
          <w:p w14:paraId="07462A88" w14:textId="6547D9C9" w:rsidR="00EC7D69" w:rsidRPr="0010673E" w:rsidRDefault="00841EB6"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40</w:t>
            </w:r>
          </w:p>
        </w:tc>
        <w:tc>
          <w:tcPr>
            <w:tcW w:w="3006" w:type="dxa"/>
          </w:tcPr>
          <w:p w14:paraId="29DA5516" w14:textId="1789BB9B" w:rsidR="00EC7D69" w:rsidRPr="0010673E" w:rsidRDefault="0010673E"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100</w:t>
            </w:r>
          </w:p>
        </w:tc>
      </w:tr>
    </w:tbl>
    <w:p w14:paraId="240ED260" w14:textId="77777777" w:rsidR="00450C18" w:rsidRDefault="00450C18" w:rsidP="00133F2C">
      <w:pPr>
        <w:spacing w:after="160" w:line="259" w:lineRule="auto"/>
        <w:rPr>
          <w:rFonts w:ascii="Times New Roman" w:eastAsia="Times New Roman" w:hAnsi="Times New Roman" w:cs="Times New Roman"/>
          <w:b/>
          <w:sz w:val="24"/>
          <w:szCs w:val="24"/>
        </w:rPr>
      </w:pPr>
    </w:p>
    <w:p w14:paraId="16FB75CF" w14:textId="77777777" w:rsidR="005B0CA4" w:rsidRDefault="005B0CA4" w:rsidP="005B0CA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proofErr w:type="gramStart"/>
      <w:r>
        <w:rPr>
          <w:rFonts w:ascii="Times New Roman" w:eastAsia="Times New Roman" w:hAnsi="Times New Roman" w:cs="Times New Roman"/>
          <w:b/>
          <w:sz w:val="24"/>
          <w:szCs w:val="24"/>
        </w:rPr>
        <w:t>3 :</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sidRPr="00E618BA">
        <w:rPr>
          <w:rFonts w:ascii="Times New Roman" w:eastAsia="Times New Roman" w:hAnsi="Times New Roman" w:cs="Times New Roman"/>
          <w:b/>
          <w:bCs/>
          <w:sz w:val="24"/>
          <w:szCs w:val="24"/>
        </w:rPr>
        <w:t xml:space="preserve">Comparison between various parameters and response by one way </w:t>
      </w:r>
      <w:proofErr w:type="spellStart"/>
      <w:r w:rsidRPr="00E618BA">
        <w:rPr>
          <w:rFonts w:ascii="Times New Roman" w:eastAsia="Times New Roman" w:hAnsi="Times New Roman" w:cs="Times New Roman"/>
          <w:b/>
          <w:bCs/>
          <w:sz w:val="24"/>
          <w:szCs w:val="24"/>
        </w:rPr>
        <w:t>anova</w:t>
      </w:r>
      <w:proofErr w:type="spellEnd"/>
      <w:r w:rsidRPr="00E618BA">
        <w:rPr>
          <w:rFonts w:ascii="Times New Roman" w:eastAsia="Times New Roman" w:hAnsi="Times New Roman" w:cs="Times New Roman"/>
          <w:b/>
          <w:bCs/>
          <w:sz w:val="24"/>
          <w:szCs w:val="24"/>
        </w:rPr>
        <w:t xml:space="preserve"> and post hoc </w:t>
      </w:r>
      <w:proofErr w:type="spellStart"/>
      <w:r w:rsidRPr="00E618BA">
        <w:rPr>
          <w:rFonts w:ascii="Times New Roman" w:eastAsia="Times New Roman" w:hAnsi="Times New Roman" w:cs="Times New Roman"/>
          <w:b/>
          <w:bCs/>
          <w:sz w:val="24"/>
          <w:szCs w:val="24"/>
        </w:rPr>
        <w:t>tukey</w:t>
      </w:r>
      <w:proofErr w:type="spellEnd"/>
      <w:r w:rsidRPr="00E618BA">
        <w:rPr>
          <w:rFonts w:ascii="Times New Roman" w:eastAsia="Times New Roman" w:hAnsi="Times New Roman" w:cs="Times New Roman"/>
          <w:b/>
          <w:bCs/>
          <w:sz w:val="24"/>
          <w:szCs w:val="24"/>
        </w:rPr>
        <w:t xml:space="preserve"> test </w:t>
      </w:r>
    </w:p>
    <w:tbl>
      <w:tblPr>
        <w:tblW w:w="9983" w:type="dxa"/>
        <w:tblInd w:w="-5" w:type="dxa"/>
        <w:tblLook w:val="04A0" w:firstRow="1" w:lastRow="0" w:firstColumn="1" w:lastColumn="0" w:noHBand="0" w:noVBand="1"/>
      </w:tblPr>
      <w:tblGrid>
        <w:gridCol w:w="1093"/>
        <w:gridCol w:w="1200"/>
        <w:gridCol w:w="1200"/>
        <w:gridCol w:w="1117"/>
        <w:gridCol w:w="1001"/>
        <w:gridCol w:w="721"/>
        <w:gridCol w:w="1245"/>
        <w:gridCol w:w="1245"/>
        <w:gridCol w:w="1245"/>
      </w:tblGrid>
      <w:tr w:rsidR="00896CC0" w:rsidRPr="006F50CB" w14:paraId="6EE28B16" w14:textId="77777777" w:rsidTr="00896CC0">
        <w:trPr>
          <w:trHeight w:val="1493"/>
        </w:trPr>
        <w:tc>
          <w:tcPr>
            <w:tcW w:w="1024" w:type="dxa"/>
            <w:tcBorders>
              <w:top w:val="single" w:sz="4" w:space="0" w:color="auto"/>
              <w:left w:val="single" w:sz="4" w:space="0" w:color="auto"/>
              <w:bottom w:val="single" w:sz="4" w:space="0" w:color="auto"/>
              <w:right w:val="single" w:sz="4" w:space="0" w:color="auto"/>
            </w:tcBorders>
            <w:noWrap/>
            <w:vAlign w:val="bottom"/>
            <w:hideMark/>
          </w:tcPr>
          <w:p w14:paraId="1C424D32"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 </w:t>
            </w:r>
          </w:p>
        </w:tc>
        <w:tc>
          <w:tcPr>
            <w:tcW w:w="1200" w:type="dxa"/>
            <w:tcBorders>
              <w:top w:val="single" w:sz="4" w:space="0" w:color="auto"/>
              <w:left w:val="nil"/>
              <w:bottom w:val="single" w:sz="4" w:space="0" w:color="auto"/>
              <w:right w:val="single" w:sz="4" w:space="0" w:color="auto"/>
            </w:tcBorders>
            <w:vAlign w:val="center"/>
            <w:hideMark/>
          </w:tcPr>
          <w:p w14:paraId="3698470A" w14:textId="77777777" w:rsidR="00896CC0" w:rsidRPr="006F50CB" w:rsidRDefault="00896CC0" w:rsidP="00631354">
            <w:pPr>
              <w:spacing w:line="240" w:lineRule="auto"/>
              <w:jc w:val="center"/>
              <w:rPr>
                <w:rFonts w:ascii="Aptos Narrow" w:eastAsia="Times New Roman" w:hAnsi="Aptos Narrow" w:cs="Times New Roman"/>
                <w:color w:val="000000"/>
                <w:sz w:val="18"/>
                <w:szCs w:val="18"/>
              </w:rPr>
            </w:pPr>
            <w:r w:rsidRPr="006F50CB">
              <w:rPr>
                <w:rFonts w:ascii="Aptos Narrow" w:eastAsia="Times New Roman" w:hAnsi="Aptos Narrow" w:cs="Times New Roman"/>
                <w:color w:val="000000"/>
                <w:sz w:val="18"/>
                <w:szCs w:val="18"/>
              </w:rPr>
              <w:t>Complete response (N=11) Mean ± SD</w:t>
            </w:r>
          </w:p>
        </w:tc>
        <w:tc>
          <w:tcPr>
            <w:tcW w:w="1200" w:type="dxa"/>
            <w:tcBorders>
              <w:top w:val="single" w:sz="4" w:space="0" w:color="auto"/>
              <w:left w:val="nil"/>
              <w:bottom w:val="single" w:sz="4" w:space="0" w:color="auto"/>
              <w:right w:val="single" w:sz="4" w:space="0" w:color="auto"/>
            </w:tcBorders>
            <w:vAlign w:val="center"/>
            <w:hideMark/>
          </w:tcPr>
          <w:p w14:paraId="0AEA163D" w14:textId="77777777" w:rsidR="00896CC0" w:rsidRPr="006F50CB" w:rsidRDefault="00896CC0" w:rsidP="00631354">
            <w:pPr>
              <w:spacing w:line="240" w:lineRule="auto"/>
              <w:jc w:val="center"/>
              <w:rPr>
                <w:rFonts w:ascii="Aptos Narrow" w:eastAsia="Times New Roman" w:hAnsi="Aptos Narrow" w:cs="Times New Roman"/>
                <w:color w:val="000000"/>
                <w:sz w:val="18"/>
                <w:szCs w:val="18"/>
              </w:rPr>
            </w:pPr>
            <w:r w:rsidRPr="006F50CB">
              <w:rPr>
                <w:rFonts w:ascii="Aptos Narrow" w:eastAsia="Times New Roman" w:hAnsi="Aptos Narrow" w:cs="Times New Roman"/>
                <w:color w:val="000000"/>
                <w:sz w:val="18"/>
                <w:szCs w:val="18"/>
              </w:rPr>
              <w:t>Partial response (N=27) Mean ± SD</w:t>
            </w:r>
          </w:p>
        </w:tc>
        <w:tc>
          <w:tcPr>
            <w:tcW w:w="1117" w:type="dxa"/>
            <w:tcBorders>
              <w:top w:val="single" w:sz="4" w:space="0" w:color="auto"/>
              <w:left w:val="nil"/>
              <w:bottom w:val="single" w:sz="4" w:space="0" w:color="auto"/>
              <w:right w:val="single" w:sz="4" w:space="0" w:color="auto"/>
            </w:tcBorders>
            <w:vAlign w:val="center"/>
            <w:hideMark/>
          </w:tcPr>
          <w:p w14:paraId="5163E033" w14:textId="77777777" w:rsidR="00896CC0" w:rsidRPr="006F50CB" w:rsidRDefault="00896CC0" w:rsidP="00631354">
            <w:pPr>
              <w:spacing w:line="240" w:lineRule="auto"/>
              <w:jc w:val="center"/>
              <w:rPr>
                <w:rFonts w:ascii="Aptos Narrow" w:eastAsia="Times New Roman" w:hAnsi="Aptos Narrow" w:cs="Times New Roman"/>
                <w:color w:val="000000"/>
                <w:sz w:val="18"/>
                <w:szCs w:val="18"/>
              </w:rPr>
            </w:pPr>
            <w:r w:rsidRPr="006F50CB">
              <w:rPr>
                <w:rFonts w:ascii="Aptos Narrow" w:eastAsia="Times New Roman" w:hAnsi="Aptos Narrow" w:cs="Times New Roman"/>
                <w:color w:val="000000"/>
                <w:sz w:val="18"/>
                <w:szCs w:val="18"/>
              </w:rPr>
              <w:t>Progression (N=2) Mean ± SD</w:t>
            </w:r>
          </w:p>
        </w:tc>
        <w:tc>
          <w:tcPr>
            <w:tcW w:w="986" w:type="dxa"/>
            <w:tcBorders>
              <w:top w:val="single" w:sz="4" w:space="0" w:color="auto"/>
              <w:left w:val="nil"/>
              <w:bottom w:val="single" w:sz="4" w:space="0" w:color="auto"/>
              <w:right w:val="single" w:sz="4" w:space="0" w:color="auto"/>
            </w:tcBorders>
            <w:vAlign w:val="center"/>
            <w:hideMark/>
          </w:tcPr>
          <w:p w14:paraId="7F9CEDA6" w14:textId="77777777" w:rsidR="00896CC0" w:rsidRPr="006F50CB" w:rsidRDefault="00896CC0" w:rsidP="00631354">
            <w:pPr>
              <w:spacing w:line="240" w:lineRule="auto"/>
              <w:jc w:val="center"/>
              <w:rPr>
                <w:rFonts w:ascii="Aptos Narrow" w:eastAsia="Times New Roman" w:hAnsi="Aptos Narrow" w:cs="Times New Roman"/>
                <w:color w:val="000000"/>
                <w:sz w:val="18"/>
                <w:szCs w:val="18"/>
              </w:rPr>
            </w:pPr>
            <w:r w:rsidRPr="006F50CB">
              <w:rPr>
                <w:rFonts w:ascii="Aptos Narrow" w:eastAsia="Times New Roman" w:hAnsi="Aptos Narrow" w:cs="Times New Roman"/>
                <w:color w:val="000000"/>
                <w:sz w:val="18"/>
                <w:szCs w:val="18"/>
              </w:rPr>
              <w:t>F / Welch Statistics (* represents welch test)</w:t>
            </w:r>
          </w:p>
        </w:tc>
        <w:tc>
          <w:tcPr>
            <w:tcW w:w="721" w:type="dxa"/>
            <w:tcBorders>
              <w:top w:val="single" w:sz="4" w:space="0" w:color="auto"/>
              <w:left w:val="nil"/>
              <w:bottom w:val="single" w:sz="4" w:space="0" w:color="auto"/>
              <w:right w:val="single" w:sz="4" w:space="0" w:color="auto"/>
            </w:tcBorders>
            <w:vAlign w:val="center"/>
            <w:hideMark/>
          </w:tcPr>
          <w:p w14:paraId="4255F370" w14:textId="77777777" w:rsidR="00896CC0" w:rsidRPr="006F50CB" w:rsidRDefault="00896CC0" w:rsidP="00631354">
            <w:pPr>
              <w:spacing w:line="240" w:lineRule="auto"/>
              <w:jc w:val="center"/>
              <w:rPr>
                <w:rFonts w:ascii="Aptos Narrow" w:eastAsia="Times New Roman" w:hAnsi="Aptos Narrow" w:cs="Times New Roman"/>
                <w:color w:val="000000"/>
                <w:sz w:val="18"/>
                <w:szCs w:val="18"/>
              </w:rPr>
            </w:pPr>
            <w:r w:rsidRPr="006F50CB">
              <w:rPr>
                <w:rFonts w:ascii="Aptos Narrow" w:eastAsia="Times New Roman" w:hAnsi="Aptos Narrow" w:cs="Times New Roman"/>
                <w:color w:val="000000"/>
                <w:sz w:val="18"/>
                <w:szCs w:val="18"/>
              </w:rPr>
              <w:t xml:space="preserve">P value </w:t>
            </w:r>
          </w:p>
        </w:tc>
        <w:tc>
          <w:tcPr>
            <w:tcW w:w="1245" w:type="dxa"/>
            <w:tcBorders>
              <w:top w:val="single" w:sz="4" w:space="0" w:color="auto"/>
              <w:left w:val="nil"/>
              <w:bottom w:val="single" w:sz="4" w:space="0" w:color="auto"/>
              <w:right w:val="single" w:sz="4" w:space="0" w:color="auto"/>
            </w:tcBorders>
            <w:vAlign w:val="center"/>
            <w:hideMark/>
          </w:tcPr>
          <w:p w14:paraId="7668EC85" w14:textId="77777777" w:rsidR="00896CC0" w:rsidRPr="006F50CB" w:rsidRDefault="00896CC0" w:rsidP="00631354">
            <w:pPr>
              <w:spacing w:line="240" w:lineRule="auto"/>
              <w:jc w:val="center"/>
              <w:rPr>
                <w:rFonts w:ascii="Aptos Narrow" w:eastAsia="Times New Roman" w:hAnsi="Aptos Narrow" w:cs="Times New Roman"/>
                <w:color w:val="000000"/>
                <w:sz w:val="18"/>
                <w:szCs w:val="18"/>
              </w:rPr>
            </w:pPr>
            <w:r w:rsidRPr="006F50CB">
              <w:rPr>
                <w:rFonts w:ascii="Aptos Narrow" w:eastAsia="Times New Roman" w:hAnsi="Aptos Narrow" w:cs="Times New Roman"/>
                <w:color w:val="000000"/>
                <w:sz w:val="18"/>
                <w:szCs w:val="18"/>
              </w:rPr>
              <w:t>Complete response vs Partial response Difference (p value)</w:t>
            </w:r>
          </w:p>
        </w:tc>
        <w:tc>
          <w:tcPr>
            <w:tcW w:w="1245" w:type="dxa"/>
            <w:tcBorders>
              <w:top w:val="single" w:sz="4" w:space="0" w:color="auto"/>
              <w:left w:val="nil"/>
              <w:bottom w:val="single" w:sz="4" w:space="0" w:color="auto"/>
              <w:right w:val="single" w:sz="4" w:space="0" w:color="auto"/>
            </w:tcBorders>
            <w:vAlign w:val="center"/>
            <w:hideMark/>
          </w:tcPr>
          <w:p w14:paraId="3246AC8B" w14:textId="77777777" w:rsidR="00896CC0" w:rsidRPr="006F50CB" w:rsidRDefault="00896CC0" w:rsidP="00631354">
            <w:pPr>
              <w:spacing w:line="240" w:lineRule="auto"/>
              <w:jc w:val="center"/>
              <w:rPr>
                <w:rFonts w:ascii="Aptos Narrow" w:eastAsia="Times New Roman" w:hAnsi="Aptos Narrow" w:cs="Times New Roman"/>
                <w:color w:val="000000"/>
                <w:sz w:val="18"/>
                <w:szCs w:val="18"/>
              </w:rPr>
            </w:pPr>
            <w:r w:rsidRPr="006F50CB">
              <w:rPr>
                <w:rFonts w:ascii="Aptos Narrow" w:eastAsia="Times New Roman" w:hAnsi="Aptos Narrow" w:cs="Times New Roman"/>
                <w:color w:val="000000"/>
                <w:sz w:val="18"/>
                <w:szCs w:val="18"/>
              </w:rPr>
              <w:t xml:space="preserve">Complete response </w:t>
            </w:r>
            <w:proofErr w:type="gramStart"/>
            <w:r w:rsidRPr="006F50CB">
              <w:rPr>
                <w:rFonts w:ascii="Aptos Narrow" w:eastAsia="Times New Roman" w:hAnsi="Aptos Narrow" w:cs="Times New Roman"/>
                <w:color w:val="000000"/>
                <w:sz w:val="18"/>
                <w:szCs w:val="18"/>
              </w:rPr>
              <w:t>vs  Progression</w:t>
            </w:r>
            <w:proofErr w:type="gramEnd"/>
            <w:r w:rsidRPr="006F50CB">
              <w:rPr>
                <w:rFonts w:ascii="Aptos Narrow" w:eastAsia="Times New Roman" w:hAnsi="Aptos Narrow" w:cs="Times New Roman"/>
                <w:color w:val="000000"/>
                <w:sz w:val="18"/>
                <w:szCs w:val="18"/>
              </w:rPr>
              <w:t xml:space="preserve"> Difference (p value)</w:t>
            </w:r>
          </w:p>
        </w:tc>
        <w:tc>
          <w:tcPr>
            <w:tcW w:w="1245" w:type="dxa"/>
            <w:tcBorders>
              <w:top w:val="single" w:sz="4" w:space="0" w:color="auto"/>
              <w:left w:val="nil"/>
              <w:bottom w:val="single" w:sz="4" w:space="0" w:color="auto"/>
              <w:right w:val="single" w:sz="4" w:space="0" w:color="auto"/>
            </w:tcBorders>
            <w:vAlign w:val="center"/>
            <w:hideMark/>
          </w:tcPr>
          <w:p w14:paraId="5C561EA5" w14:textId="77777777" w:rsidR="00896CC0" w:rsidRPr="006F50CB" w:rsidRDefault="00896CC0" w:rsidP="00631354">
            <w:pPr>
              <w:spacing w:line="240" w:lineRule="auto"/>
              <w:jc w:val="center"/>
              <w:rPr>
                <w:rFonts w:ascii="Aptos Narrow" w:eastAsia="Times New Roman" w:hAnsi="Aptos Narrow" w:cs="Times New Roman"/>
                <w:color w:val="000000"/>
                <w:sz w:val="18"/>
                <w:szCs w:val="18"/>
              </w:rPr>
            </w:pPr>
            <w:r w:rsidRPr="006F50CB">
              <w:rPr>
                <w:rFonts w:ascii="Aptos Narrow" w:eastAsia="Times New Roman" w:hAnsi="Aptos Narrow" w:cs="Times New Roman"/>
                <w:color w:val="000000"/>
                <w:sz w:val="18"/>
                <w:szCs w:val="18"/>
              </w:rPr>
              <w:t>Partial response vs Progression Difference (p value)</w:t>
            </w:r>
          </w:p>
        </w:tc>
      </w:tr>
      <w:tr w:rsidR="00896CC0" w:rsidRPr="006F50CB" w14:paraId="0F924C16" w14:textId="77777777" w:rsidTr="00896CC0">
        <w:trPr>
          <w:trHeight w:val="336"/>
        </w:trPr>
        <w:tc>
          <w:tcPr>
            <w:tcW w:w="1024" w:type="dxa"/>
            <w:tcBorders>
              <w:top w:val="nil"/>
              <w:left w:val="single" w:sz="4" w:space="0" w:color="auto"/>
              <w:bottom w:val="single" w:sz="4" w:space="0" w:color="auto"/>
              <w:right w:val="single" w:sz="4" w:space="0" w:color="auto"/>
            </w:tcBorders>
            <w:noWrap/>
            <w:vAlign w:val="bottom"/>
            <w:hideMark/>
          </w:tcPr>
          <w:p w14:paraId="03FEC175"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AGE</w:t>
            </w:r>
          </w:p>
        </w:tc>
        <w:tc>
          <w:tcPr>
            <w:tcW w:w="1200" w:type="dxa"/>
            <w:tcBorders>
              <w:top w:val="nil"/>
              <w:left w:val="nil"/>
              <w:bottom w:val="single" w:sz="4" w:space="0" w:color="auto"/>
              <w:right w:val="single" w:sz="4" w:space="0" w:color="auto"/>
            </w:tcBorders>
            <w:noWrap/>
            <w:vAlign w:val="bottom"/>
            <w:hideMark/>
          </w:tcPr>
          <w:p w14:paraId="5F505FB9" w14:textId="77777777" w:rsidR="00896CC0" w:rsidRPr="006F50CB" w:rsidRDefault="00896CC0" w:rsidP="00631354">
            <w:pPr>
              <w:spacing w:line="240" w:lineRule="auto"/>
              <w:jc w:val="center"/>
              <w:rPr>
                <w:rFonts w:ascii="Aptos Narrow" w:eastAsia="Times New Roman" w:hAnsi="Aptos Narrow" w:cs="Times New Roman"/>
                <w:color w:val="000000"/>
              </w:rPr>
            </w:pPr>
            <w:r w:rsidRPr="006F50CB">
              <w:rPr>
                <w:rFonts w:ascii="Aptos Narrow" w:eastAsia="Times New Roman" w:hAnsi="Aptos Narrow" w:cs="Times New Roman"/>
                <w:color w:val="000000"/>
              </w:rPr>
              <w:t>61.27 ± 11.79</w:t>
            </w:r>
          </w:p>
        </w:tc>
        <w:tc>
          <w:tcPr>
            <w:tcW w:w="1200" w:type="dxa"/>
            <w:tcBorders>
              <w:top w:val="nil"/>
              <w:left w:val="nil"/>
              <w:bottom w:val="single" w:sz="4" w:space="0" w:color="auto"/>
              <w:right w:val="single" w:sz="4" w:space="0" w:color="auto"/>
            </w:tcBorders>
            <w:noWrap/>
            <w:vAlign w:val="bottom"/>
            <w:hideMark/>
          </w:tcPr>
          <w:p w14:paraId="29751B38" w14:textId="77777777" w:rsidR="00896CC0" w:rsidRPr="006F50CB" w:rsidRDefault="00896CC0" w:rsidP="00631354">
            <w:pPr>
              <w:spacing w:line="240" w:lineRule="auto"/>
              <w:jc w:val="center"/>
              <w:rPr>
                <w:rFonts w:ascii="Aptos Narrow" w:eastAsia="Times New Roman" w:hAnsi="Aptos Narrow" w:cs="Times New Roman"/>
                <w:color w:val="000000"/>
              </w:rPr>
            </w:pPr>
            <w:r w:rsidRPr="006F50CB">
              <w:rPr>
                <w:rFonts w:ascii="Aptos Narrow" w:eastAsia="Times New Roman" w:hAnsi="Aptos Narrow" w:cs="Times New Roman"/>
                <w:color w:val="000000"/>
              </w:rPr>
              <w:t>57.67 ± 10.32</w:t>
            </w:r>
          </w:p>
        </w:tc>
        <w:tc>
          <w:tcPr>
            <w:tcW w:w="1117" w:type="dxa"/>
            <w:tcBorders>
              <w:top w:val="nil"/>
              <w:left w:val="nil"/>
              <w:bottom w:val="single" w:sz="4" w:space="0" w:color="auto"/>
              <w:right w:val="single" w:sz="4" w:space="0" w:color="auto"/>
            </w:tcBorders>
            <w:noWrap/>
            <w:vAlign w:val="bottom"/>
            <w:hideMark/>
          </w:tcPr>
          <w:p w14:paraId="0CA1F31C" w14:textId="77777777" w:rsidR="00896CC0" w:rsidRPr="006F50CB" w:rsidRDefault="00896CC0" w:rsidP="00631354">
            <w:pPr>
              <w:spacing w:line="240" w:lineRule="auto"/>
              <w:jc w:val="center"/>
              <w:rPr>
                <w:rFonts w:ascii="Aptos Narrow" w:eastAsia="Times New Roman" w:hAnsi="Aptos Narrow" w:cs="Times New Roman"/>
                <w:color w:val="000000"/>
              </w:rPr>
            </w:pPr>
            <w:r w:rsidRPr="006F50CB">
              <w:rPr>
                <w:rFonts w:ascii="Aptos Narrow" w:eastAsia="Times New Roman" w:hAnsi="Aptos Narrow" w:cs="Times New Roman"/>
                <w:color w:val="000000"/>
              </w:rPr>
              <w:t>52.5 ± 0.71</w:t>
            </w:r>
          </w:p>
        </w:tc>
        <w:tc>
          <w:tcPr>
            <w:tcW w:w="986" w:type="dxa"/>
            <w:tcBorders>
              <w:top w:val="nil"/>
              <w:left w:val="nil"/>
              <w:bottom w:val="single" w:sz="4" w:space="0" w:color="auto"/>
              <w:right w:val="single" w:sz="4" w:space="0" w:color="auto"/>
            </w:tcBorders>
            <w:noWrap/>
            <w:vAlign w:val="bottom"/>
            <w:hideMark/>
          </w:tcPr>
          <w:p w14:paraId="3BF842C1"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 xml:space="preserve">0.778  </w:t>
            </w:r>
          </w:p>
        </w:tc>
        <w:tc>
          <w:tcPr>
            <w:tcW w:w="721" w:type="dxa"/>
            <w:tcBorders>
              <w:top w:val="nil"/>
              <w:left w:val="nil"/>
              <w:bottom w:val="single" w:sz="4" w:space="0" w:color="auto"/>
              <w:right w:val="single" w:sz="4" w:space="0" w:color="auto"/>
            </w:tcBorders>
            <w:noWrap/>
            <w:vAlign w:val="bottom"/>
            <w:hideMark/>
          </w:tcPr>
          <w:p w14:paraId="3E25A7D3" w14:textId="77777777" w:rsidR="00896CC0" w:rsidRPr="006F50CB" w:rsidRDefault="00896CC0" w:rsidP="00631354">
            <w:pPr>
              <w:spacing w:line="240" w:lineRule="auto"/>
              <w:jc w:val="right"/>
              <w:rPr>
                <w:rFonts w:ascii="Aptos Narrow" w:eastAsia="Times New Roman" w:hAnsi="Aptos Narrow" w:cs="Times New Roman"/>
                <w:color w:val="000000"/>
              </w:rPr>
            </w:pPr>
            <w:r w:rsidRPr="006F50CB">
              <w:rPr>
                <w:rFonts w:ascii="Aptos Narrow" w:eastAsia="Times New Roman" w:hAnsi="Aptos Narrow" w:cs="Times New Roman"/>
                <w:color w:val="000000"/>
              </w:rPr>
              <w:t>0.467</w:t>
            </w:r>
          </w:p>
        </w:tc>
        <w:tc>
          <w:tcPr>
            <w:tcW w:w="1245" w:type="dxa"/>
            <w:tcBorders>
              <w:top w:val="nil"/>
              <w:left w:val="nil"/>
              <w:bottom w:val="single" w:sz="4" w:space="0" w:color="auto"/>
              <w:right w:val="single" w:sz="4" w:space="0" w:color="auto"/>
            </w:tcBorders>
            <w:noWrap/>
            <w:vAlign w:val="bottom"/>
            <w:hideMark/>
          </w:tcPr>
          <w:p w14:paraId="45A42EF5"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3.61(0.612)</w:t>
            </w:r>
          </w:p>
        </w:tc>
        <w:tc>
          <w:tcPr>
            <w:tcW w:w="1245" w:type="dxa"/>
            <w:tcBorders>
              <w:top w:val="nil"/>
              <w:left w:val="nil"/>
              <w:bottom w:val="single" w:sz="4" w:space="0" w:color="auto"/>
              <w:right w:val="single" w:sz="4" w:space="0" w:color="auto"/>
            </w:tcBorders>
            <w:noWrap/>
            <w:vAlign w:val="bottom"/>
            <w:hideMark/>
          </w:tcPr>
          <w:p w14:paraId="46AA36A9"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8.77(0.535)</w:t>
            </w:r>
          </w:p>
        </w:tc>
        <w:tc>
          <w:tcPr>
            <w:tcW w:w="1245" w:type="dxa"/>
            <w:tcBorders>
              <w:top w:val="nil"/>
              <w:left w:val="nil"/>
              <w:bottom w:val="single" w:sz="4" w:space="0" w:color="auto"/>
              <w:right w:val="single" w:sz="4" w:space="0" w:color="auto"/>
            </w:tcBorders>
            <w:noWrap/>
            <w:vAlign w:val="bottom"/>
            <w:hideMark/>
          </w:tcPr>
          <w:p w14:paraId="0AFFBA14"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5.17(0.785)</w:t>
            </w:r>
          </w:p>
        </w:tc>
      </w:tr>
      <w:tr w:rsidR="00896CC0" w:rsidRPr="006F50CB" w14:paraId="7F058550" w14:textId="77777777" w:rsidTr="00896CC0">
        <w:trPr>
          <w:trHeight w:val="336"/>
        </w:trPr>
        <w:tc>
          <w:tcPr>
            <w:tcW w:w="1024" w:type="dxa"/>
            <w:tcBorders>
              <w:top w:val="nil"/>
              <w:left w:val="single" w:sz="4" w:space="0" w:color="auto"/>
              <w:bottom w:val="single" w:sz="4" w:space="0" w:color="auto"/>
              <w:right w:val="single" w:sz="4" w:space="0" w:color="auto"/>
            </w:tcBorders>
            <w:noWrap/>
            <w:vAlign w:val="bottom"/>
            <w:hideMark/>
          </w:tcPr>
          <w:p w14:paraId="7A7DB205"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 xml:space="preserve"> FROM ANAL VERGE</w:t>
            </w:r>
          </w:p>
        </w:tc>
        <w:tc>
          <w:tcPr>
            <w:tcW w:w="1200" w:type="dxa"/>
            <w:tcBorders>
              <w:top w:val="nil"/>
              <w:left w:val="nil"/>
              <w:bottom w:val="single" w:sz="4" w:space="0" w:color="auto"/>
              <w:right w:val="single" w:sz="4" w:space="0" w:color="auto"/>
            </w:tcBorders>
            <w:noWrap/>
            <w:vAlign w:val="bottom"/>
            <w:hideMark/>
          </w:tcPr>
          <w:p w14:paraId="43235557" w14:textId="77777777" w:rsidR="00896CC0" w:rsidRPr="006F50CB" w:rsidRDefault="00896CC0" w:rsidP="00631354">
            <w:pPr>
              <w:spacing w:line="240" w:lineRule="auto"/>
              <w:jc w:val="center"/>
              <w:rPr>
                <w:rFonts w:ascii="Aptos Narrow" w:eastAsia="Times New Roman" w:hAnsi="Aptos Narrow" w:cs="Times New Roman"/>
                <w:color w:val="000000"/>
              </w:rPr>
            </w:pPr>
            <w:r w:rsidRPr="006F50CB">
              <w:rPr>
                <w:rFonts w:ascii="Aptos Narrow" w:eastAsia="Times New Roman" w:hAnsi="Aptos Narrow" w:cs="Times New Roman"/>
                <w:color w:val="000000"/>
              </w:rPr>
              <w:t>4.55 ± 2.46</w:t>
            </w:r>
          </w:p>
        </w:tc>
        <w:tc>
          <w:tcPr>
            <w:tcW w:w="1200" w:type="dxa"/>
            <w:tcBorders>
              <w:top w:val="nil"/>
              <w:left w:val="nil"/>
              <w:bottom w:val="single" w:sz="4" w:space="0" w:color="auto"/>
              <w:right w:val="single" w:sz="4" w:space="0" w:color="auto"/>
            </w:tcBorders>
            <w:noWrap/>
            <w:vAlign w:val="bottom"/>
            <w:hideMark/>
          </w:tcPr>
          <w:p w14:paraId="3D8DB742" w14:textId="77777777" w:rsidR="00896CC0" w:rsidRPr="006F50CB" w:rsidRDefault="00896CC0" w:rsidP="00631354">
            <w:pPr>
              <w:spacing w:line="240" w:lineRule="auto"/>
              <w:jc w:val="center"/>
              <w:rPr>
                <w:rFonts w:ascii="Aptos Narrow" w:eastAsia="Times New Roman" w:hAnsi="Aptos Narrow" w:cs="Times New Roman"/>
                <w:color w:val="000000"/>
              </w:rPr>
            </w:pPr>
            <w:r w:rsidRPr="006F50CB">
              <w:rPr>
                <w:rFonts w:ascii="Aptos Narrow" w:eastAsia="Times New Roman" w:hAnsi="Aptos Narrow" w:cs="Times New Roman"/>
                <w:color w:val="000000"/>
              </w:rPr>
              <w:t>4.48 ± 3.27</w:t>
            </w:r>
          </w:p>
        </w:tc>
        <w:tc>
          <w:tcPr>
            <w:tcW w:w="1117" w:type="dxa"/>
            <w:tcBorders>
              <w:top w:val="nil"/>
              <w:left w:val="nil"/>
              <w:bottom w:val="single" w:sz="4" w:space="0" w:color="auto"/>
              <w:right w:val="single" w:sz="4" w:space="0" w:color="auto"/>
            </w:tcBorders>
            <w:noWrap/>
            <w:vAlign w:val="bottom"/>
            <w:hideMark/>
          </w:tcPr>
          <w:p w14:paraId="00BC31DA" w14:textId="77777777" w:rsidR="00896CC0" w:rsidRPr="006F50CB" w:rsidRDefault="00896CC0" w:rsidP="00631354">
            <w:pPr>
              <w:spacing w:line="240" w:lineRule="auto"/>
              <w:jc w:val="center"/>
              <w:rPr>
                <w:rFonts w:ascii="Aptos Narrow" w:eastAsia="Times New Roman" w:hAnsi="Aptos Narrow" w:cs="Times New Roman"/>
                <w:color w:val="000000"/>
              </w:rPr>
            </w:pPr>
            <w:r w:rsidRPr="006F50CB">
              <w:rPr>
                <w:rFonts w:ascii="Aptos Narrow" w:eastAsia="Times New Roman" w:hAnsi="Aptos Narrow" w:cs="Times New Roman"/>
                <w:color w:val="000000"/>
              </w:rPr>
              <w:t>1.5 ± 0.71</w:t>
            </w:r>
          </w:p>
        </w:tc>
        <w:tc>
          <w:tcPr>
            <w:tcW w:w="986" w:type="dxa"/>
            <w:tcBorders>
              <w:top w:val="nil"/>
              <w:left w:val="nil"/>
              <w:bottom w:val="single" w:sz="4" w:space="0" w:color="auto"/>
              <w:right w:val="single" w:sz="4" w:space="0" w:color="auto"/>
            </w:tcBorders>
            <w:noWrap/>
            <w:vAlign w:val="bottom"/>
            <w:hideMark/>
          </w:tcPr>
          <w:p w14:paraId="4ED127A0"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 xml:space="preserve">0.932  </w:t>
            </w:r>
          </w:p>
        </w:tc>
        <w:tc>
          <w:tcPr>
            <w:tcW w:w="721" w:type="dxa"/>
            <w:tcBorders>
              <w:top w:val="nil"/>
              <w:left w:val="nil"/>
              <w:bottom w:val="single" w:sz="4" w:space="0" w:color="auto"/>
              <w:right w:val="single" w:sz="4" w:space="0" w:color="auto"/>
            </w:tcBorders>
            <w:noWrap/>
            <w:vAlign w:val="bottom"/>
            <w:hideMark/>
          </w:tcPr>
          <w:p w14:paraId="48E9FE24" w14:textId="77777777" w:rsidR="00896CC0" w:rsidRPr="006F50CB" w:rsidRDefault="00896CC0" w:rsidP="00631354">
            <w:pPr>
              <w:spacing w:line="240" w:lineRule="auto"/>
              <w:jc w:val="right"/>
              <w:rPr>
                <w:rFonts w:ascii="Aptos Narrow" w:eastAsia="Times New Roman" w:hAnsi="Aptos Narrow" w:cs="Times New Roman"/>
                <w:color w:val="000000"/>
              </w:rPr>
            </w:pPr>
            <w:r w:rsidRPr="006F50CB">
              <w:rPr>
                <w:rFonts w:ascii="Aptos Narrow" w:eastAsia="Times New Roman" w:hAnsi="Aptos Narrow" w:cs="Times New Roman"/>
                <w:color w:val="000000"/>
              </w:rPr>
              <w:t>0.403</w:t>
            </w:r>
          </w:p>
        </w:tc>
        <w:tc>
          <w:tcPr>
            <w:tcW w:w="1245" w:type="dxa"/>
            <w:tcBorders>
              <w:top w:val="nil"/>
              <w:left w:val="nil"/>
              <w:bottom w:val="single" w:sz="4" w:space="0" w:color="auto"/>
              <w:right w:val="single" w:sz="4" w:space="0" w:color="auto"/>
            </w:tcBorders>
            <w:noWrap/>
            <w:vAlign w:val="bottom"/>
            <w:hideMark/>
          </w:tcPr>
          <w:p w14:paraId="53C7884A"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0.06(0.998)</w:t>
            </w:r>
          </w:p>
        </w:tc>
        <w:tc>
          <w:tcPr>
            <w:tcW w:w="1245" w:type="dxa"/>
            <w:tcBorders>
              <w:top w:val="nil"/>
              <w:left w:val="nil"/>
              <w:bottom w:val="single" w:sz="4" w:space="0" w:color="auto"/>
              <w:right w:val="single" w:sz="4" w:space="0" w:color="auto"/>
            </w:tcBorders>
            <w:noWrap/>
            <w:vAlign w:val="bottom"/>
            <w:hideMark/>
          </w:tcPr>
          <w:p w14:paraId="28C4573A"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3.05(0.4)</w:t>
            </w:r>
          </w:p>
        </w:tc>
        <w:tc>
          <w:tcPr>
            <w:tcW w:w="1245" w:type="dxa"/>
            <w:tcBorders>
              <w:top w:val="nil"/>
              <w:left w:val="nil"/>
              <w:bottom w:val="single" w:sz="4" w:space="0" w:color="auto"/>
              <w:right w:val="single" w:sz="4" w:space="0" w:color="auto"/>
            </w:tcBorders>
            <w:noWrap/>
            <w:vAlign w:val="bottom"/>
            <w:hideMark/>
          </w:tcPr>
          <w:p w14:paraId="0F530578"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2.98(0.381)</w:t>
            </w:r>
          </w:p>
        </w:tc>
      </w:tr>
      <w:tr w:rsidR="00896CC0" w:rsidRPr="006F50CB" w14:paraId="1796818F" w14:textId="77777777" w:rsidTr="00896CC0">
        <w:trPr>
          <w:trHeight w:val="336"/>
        </w:trPr>
        <w:tc>
          <w:tcPr>
            <w:tcW w:w="1024" w:type="dxa"/>
            <w:tcBorders>
              <w:top w:val="nil"/>
              <w:left w:val="single" w:sz="4" w:space="0" w:color="auto"/>
              <w:bottom w:val="single" w:sz="4" w:space="0" w:color="auto"/>
              <w:right w:val="single" w:sz="4" w:space="0" w:color="auto"/>
            </w:tcBorders>
            <w:noWrap/>
            <w:vAlign w:val="bottom"/>
            <w:hideMark/>
          </w:tcPr>
          <w:p w14:paraId="11D83B29"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TUMOR LENGTH</w:t>
            </w:r>
          </w:p>
        </w:tc>
        <w:tc>
          <w:tcPr>
            <w:tcW w:w="1200" w:type="dxa"/>
            <w:tcBorders>
              <w:top w:val="nil"/>
              <w:left w:val="nil"/>
              <w:bottom w:val="single" w:sz="4" w:space="0" w:color="auto"/>
              <w:right w:val="single" w:sz="4" w:space="0" w:color="auto"/>
            </w:tcBorders>
            <w:noWrap/>
            <w:vAlign w:val="bottom"/>
            <w:hideMark/>
          </w:tcPr>
          <w:p w14:paraId="2F62595B" w14:textId="77777777" w:rsidR="00896CC0" w:rsidRPr="006F50CB" w:rsidRDefault="00896CC0" w:rsidP="00631354">
            <w:pPr>
              <w:spacing w:line="240" w:lineRule="auto"/>
              <w:jc w:val="center"/>
              <w:rPr>
                <w:rFonts w:ascii="Aptos Narrow" w:eastAsia="Times New Roman" w:hAnsi="Aptos Narrow" w:cs="Times New Roman"/>
                <w:color w:val="000000"/>
              </w:rPr>
            </w:pPr>
            <w:r w:rsidRPr="006F50CB">
              <w:rPr>
                <w:rFonts w:ascii="Aptos Narrow" w:eastAsia="Times New Roman" w:hAnsi="Aptos Narrow" w:cs="Times New Roman"/>
                <w:color w:val="000000"/>
              </w:rPr>
              <w:t>5.76 ± 1.46</w:t>
            </w:r>
          </w:p>
        </w:tc>
        <w:tc>
          <w:tcPr>
            <w:tcW w:w="1200" w:type="dxa"/>
            <w:tcBorders>
              <w:top w:val="nil"/>
              <w:left w:val="nil"/>
              <w:bottom w:val="single" w:sz="4" w:space="0" w:color="auto"/>
              <w:right w:val="single" w:sz="4" w:space="0" w:color="auto"/>
            </w:tcBorders>
            <w:noWrap/>
            <w:vAlign w:val="bottom"/>
            <w:hideMark/>
          </w:tcPr>
          <w:p w14:paraId="6B0ABA25" w14:textId="77777777" w:rsidR="00896CC0" w:rsidRPr="006F50CB" w:rsidRDefault="00896CC0" w:rsidP="00631354">
            <w:pPr>
              <w:spacing w:line="240" w:lineRule="auto"/>
              <w:jc w:val="center"/>
              <w:rPr>
                <w:rFonts w:ascii="Aptos Narrow" w:eastAsia="Times New Roman" w:hAnsi="Aptos Narrow" w:cs="Times New Roman"/>
                <w:color w:val="000000"/>
              </w:rPr>
            </w:pPr>
            <w:r w:rsidRPr="006F50CB">
              <w:rPr>
                <w:rFonts w:ascii="Aptos Narrow" w:eastAsia="Times New Roman" w:hAnsi="Aptos Narrow" w:cs="Times New Roman"/>
                <w:color w:val="000000"/>
              </w:rPr>
              <w:t>6.61 ± 2.66</w:t>
            </w:r>
          </w:p>
        </w:tc>
        <w:tc>
          <w:tcPr>
            <w:tcW w:w="1117" w:type="dxa"/>
            <w:tcBorders>
              <w:top w:val="nil"/>
              <w:left w:val="nil"/>
              <w:bottom w:val="single" w:sz="4" w:space="0" w:color="auto"/>
              <w:right w:val="single" w:sz="4" w:space="0" w:color="auto"/>
            </w:tcBorders>
            <w:noWrap/>
            <w:vAlign w:val="bottom"/>
            <w:hideMark/>
          </w:tcPr>
          <w:p w14:paraId="1593FF3A" w14:textId="77777777" w:rsidR="00896CC0" w:rsidRPr="006F50CB" w:rsidRDefault="00896CC0" w:rsidP="00631354">
            <w:pPr>
              <w:spacing w:line="240" w:lineRule="auto"/>
              <w:jc w:val="center"/>
              <w:rPr>
                <w:rFonts w:ascii="Aptos Narrow" w:eastAsia="Times New Roman" w:hAnsi="Aptos Narrow" w:cs="Times New Roman"/>
                <w:color w:val="000000"/>
              </w:rPr>
            </w:pPr>
            <w:r w:rsidRPr="006F50CB">
              <w:rPr>
                <w:rFonts w:ascii="Aptos Narrow" w:eastAsia="Times New Roman" w:hAnsi="Aptos Narrow" w:cs="Times New Roman"/>
                <w:color w:val="000000"/>
              </w:rPr>
              <w:t>8 ± 0</w:t>
            </w:r>
          </w:p>
        </w:tc>
        <w:tc>
          <w:tcPr>
            <w:tcW w:w="986" w:type="dxa"/>
            <w:tcBorders>
              <w:top w:val="nil"/>
              <w:left w:val="nil"/>
              <w:bottom w:val="single" w:sz="4" w:space="0" w:color="auto"/>
              <w:right w:val="single" w:sz="4" w:space="0" w:color="auto"/>
            </w:tcBorders>
            <w:noWrap/>
            <w:vAlign w:val="bottom"/>
            <w:hideMark/>
          </w:tcPr>
          <w:p w14:paraId="69B30931"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 xml:space="preserve">0.961  </w:t>
            </w:r>
          </w:p>
        </w:tc>
        <w:tc>
          <w:tcPr>
            <w:tcW w:w="721" w:type="dxa"/>
            <w:tcBorders>
              <w:top w:val="nil"/>
              <w:left w:val="nil"/>
              <w:bottom w:val="single" w:sz="4" w:space="0" w:color="auto"/>
              <w:right w:val="single" w:sz="4" w:space="0" w:color="auto"/>
            </w:tcBorders>
            <w:noWrap/>
            <w:vAlign w:val="bottom"/>
            <w:hideMark/>
          </w:tcPr>
          <w:p w14:paraId="147494B0" w14:textId="77777777" w:rsidR="00896CC0" w:rsidRPr="006F50CB" w:rsidRDefault="00896CC0" w:rsidP="00631354">
            <w:pPr>
              <w:spacing w:line="240" w:lineRule="auto"/>
              <w:jc w:val="right"/>
              <w:rPr>
                <w:rFonts w:ascii="Aptos Narrow" w:eastAsia="Times New Roman" w:hAnsi="Aptos Narrow" w:cs="Times New Roman"/>
                <w:color w:val="000000"/>
              </w:rPr>
            </w:pPr>
            <w:r w:rsidRPr="006F50CB">
              <w:rPr>
                <w:rFonts w:ascii="Aptos Narrow" w:eastAsia="Times New Roman" w:hAnsi="Aptos Narrow" w:cs="Times New Roman"/>
                <w:color w:val="000000"/>
              </w:rPr>
              <w:t>0.392</w:t>
            </w:r>
          </w:p>
        </w:tc>
        <w:tc>
          <w:tcPr>
            <w:tcW w:w="1245" w:type="dxa"/>
            <w:tcBorders>
              <w:top w:val="nil"/>
              <w:left w:val="nil"/>
              <w:bottom w:val="single" w:sz="4" w:space="0" w:color="auto"/>
              <w:right w:val="single" w:sz="4" w:space="0" w:color="auto"/>
            </w:tcBorders>
            <w:noWrap/>
            <w:vAlign w:val="bottom"/>
            <w:hideMark/>
          </w:tcPr>
          <w:p w14:paraId="5778EF64"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-0.84(0.58)</w:t>
            </w:r>
          </w:p>
        </w:tc>
        <w:tc>
          <w:tcPr>
            <w:tcW w:w="1245" w:type="dxa"/>
            <w:tcBorders>
              <w:top w:val="nil"/>
              <w:left w:val="nil"/>
              <w:bottom w:val="single" w:sz="4" w:space="0" w:color="auto"/>
              <w:right w:val="single" w:sz="4" w:space="0" w:color="auto"/>
            </w:tcBorders>
            <w:noWrap/>
            <w:vAlign w:val="bottom"/>
            <w:hideMark/>
          </w:tcPr>
          <w:p w14:paraId="5584A5CB"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-2.24(0.44)</w:t>
            </w:r>
          </w:p>
        </w:tc>
        <w:tc>
          <w:tcPr>
            <w:tcW w:w="1245" w:type="dxa"/>
            <w:tcBorders>
              <w:top w:val="nil"/>
              <w:left w:val="nil"/>
              <w:bottom w:val="single" w:sz="4" w:space="0" w:color="auto"/>
              <w:right w:val="single" w:sz="4" w:space="0" w:color="auto"/>
            </w:tcBorders>
            <w:noWrap/>
            <w:vAlign w:val="bottom"/>
            <w:hideMark/>
          </w:tcPr>
          <w:p w14:paraId="5CD94E1C"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-1.39(0.701)</w:t>
            </w:r>
          </w:p>
        </w:tc>
      </w:tr>
      <w:tr w:rsidR="00896CC0" w:rsidRPr="006F50CB" w14:paraId="1693B6A8" w14:textId="77777777" w:rsidTr="00896CC0">
        <w:trPr>
          <w:trHeight w:val="471"/>
        </w:trPr>
        <w:tc>
          <w:tcPr>
            <w:tcW w:w="1024" w:type="dxa"/>
            <w:tcBorders>
              <w:top w:val="nil"/>
              <w:left w:val="single" w:sz="4" w:space="0" w:color="auto"/>
              <w:bottom w:val="single" w:sz="4" w:space="0" w:color="auto"/>
              <w:right w:val="single" w:sz="4" w:space="0" w:color="auto"/>
            </w:tcBorders>
            <w:noWrap/>
            <w:vAlign w:val="bottom"/>
            <w:hideMark/>
          </w:tcPr>
          <w:p w14:paraId="03F50852"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INTERVAL B/W RT AND SX</w:t>
            </w:r>
          </w:p>
        </w:tc>
        <w:tc>
          <w:tcPr>
            <w:tcW w:w="1200" w:type="dxa"/>
            <w:tcBorders>
              <w:top w:val="nil"/>
              <w:left w:val="nil"/>
              <w:bottom w:val="single" w:sz="4" w:space="0" w:color="auto"/>
              <w:right w:val="single" w:sz="4" w:space="0" w:color="auto"/>
            </w:tcBorders>
            <w:noWrap/>
            <w:vAlign w:val="bottom"/>
            <w:hideMark/>
          </w:tcPr>
          <w:p w14:paraId="6A4CDC32" w14:textId="77777777" w:rsidR="00896CC0" w:rsidRPr="006F50CB" w:rsidRDefault="00896CC0" w:rsidP="00631354">
            <w:pPr>
              <w:spacing w:line="240" w:lineRule="auto"/>
              <w:jc w:val="center"/>
              <w:rPr>
                <w:rFonts w:ascii="Aptos Narrow" w:eastAsia="Times New Roman" w:hAnsi="Aptos Narrow" w:cs="Times New Roman"/>
                <w:color w:val="000000"/>
              </w:rPr>
            </w:pPr>
            <w:r w:rsidRPr="006F50CB">
              <w:rPr>
                <w:rFonts w:ascii="Aptos Narrow" w:eastAsia="Times New Roman" w:hAnsi="Aptos Narrow" w:cs="Times New Roman"/>
                <w:color w:val="000000"/>
              </w:rPr>
              <w:t>7 ± 2.53</w:t>
            </w:r>
          </w:p>
        </w:tc>
        <w:tc>
          <w:tcPr>
            <w:tcW w:w="1200" w:type="dxa"/>
            <w:tcBorders>
              <w:top w:val="nil"/>
              <w:left w:val="nil"/>
              <w:bottom w:val="single" w:sz="4" w:space="0" w:color="auto"/>
              <w:right w:val="single" w:sz="4" w:space="0" w:color="auto"/>
            </w:tcBorders>
            <w:noWrap/>
            <w:vAlign w:val="bottom"/>
            <w:hideMark/>
          </w:tcPr>
          <w:p w14:paraId="21A86307" w14:textId="77777777" w:rsidR="00896CC0" w:rsidRPr="006F50CB" w:rsidRDefault="00896CC0" w:rsidP="00631354">
            <w:pPr>
              <w:spacing w:line="240" w:lineRule="auto"/>
              <w:jc w:val="center"/>
              <w:rPr>
                <w:rFonts w:ascii="Aptos Narrow" w:eastAsia="Times New Roman" w:hAnsi="Aptos Narrow" w:cs="Times New Roman"/>
                <w:color w:val="000000"/>
              </w:rPr>
            </w:pPr>
            <w:r w:rsidRPr="006F50CB">
              <w:rPr>
                <w:rFonts w:ascii="Aptos Narrow" w:eastAsia="Times New Roman" w:hAnsi="Aptos Narrow" w:cs="Times New Roman"/>
                <w:color w:val="000000"/>
              </w:rPr>
              <w:t>10.78 ± 3.24</w:t>
            </w:r>
          </w:p>
        </w:tc>
        <w:tc>
          <w:tcPr>
            <w:tcW w:w="1117" w:type="dxa"/>
            <w:tcBorders>
              <w:top w:val="nil"/>
              <w:left w:val="nil"/>
              <w:bottom w:val="single" w:sz="4" w:space="0" w:color="auto"/>
              <w:right w:val="single" w:sz="4" w:space="0" w:color="auto"/>
            </w:tcBorders>
            <w:noWrap/>
            <w:vAlign w:val="bottom"/>
            <w:hideMark/>
          </w:tcPr>
          <w:p w14:paraId="53EBB67E" w14:textId="77777777" w:rsidR="00896CC0" w:rsidRPr="006F50CB" w:rsidRDefault="00896CC0" w:rsidP="00631354">
            <w:pPr>
              <w:spacing w:line="240" w:lineRule="auto"/>
              <w:jc w:val="center"/>
              <w:rPr>
                <w:rFonts w:ascii="Aptos Narrow" w:eastAsia="Times New Roman" w:hAnsi="Aptos Narrow" w:cs="Times New Roman"/>
                <w:color w:val="000000"/>
              </w:rPr>
            </w:pPr>
            <w:r w:rsidRPr="006F50CB">
              <w:rPr>
                <w:rFonts w:ascii="Aptos Narrow" w:eastAsia="Times New Roman" w:hAnsi="Aptos Narrow" w:cs="Times New Roman"/>
                <w:color w:val="000000"/>
              </w:rPr>
              <w:t>9.5 ± 2.12</w:t>
            </w:r>
          </w:p>
        </w:tc>
        <w:tc>
          <w:tcPr>
            <w:tcW w:w="986" w:type="dxa"/>
            <w:tcBorders>
              <w:top w:val="nil"/>
              <w:left w:val="nil"/>
              <w:bottom w:val="single" w:sz="4" w:space="0" w:color="auto"/>
              <w:right w:val="single" w:sz="4" w:space="0" w:color="auto"/>
            </w:tcBorders>
            <w:noWrap/>
            <w:vAlign w:val="bottom"/>
            <w:hideMark/>
          </w:tcPr>
          <w:p w14:paraId="14C4ED66"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 xml:space="preserve">3.66  </w:t>
            </w:r>
          </w:p>
        </w:tc>
        <w:tc>
          <w:tcPr>
            <w:tcW w:w="721" w:type="dxa"/>
            <w:tcBorders>
              <w:top w:val="single" w:sz="4" w:space="0" w:color="auto"/>
              <w:left w:val="single" w:sz="4" w:space="0" w:color="auto"/>
              <w:bottom w:val="single" w:sz="4" w:space="0" w:color="auto"/>
              <w:right w:val="single" w:sz="4" w:space="0" w:color="auto"/>
            </w:tcBorders>
            <w:noWrap/>
            <w:vAlign w:val="bottom"/>
            <w:hideMark/>
          </w:tcPr>
          <w:p w14:paraId="61D40B90" w14:textId="77777777" w:rsidR="00896CC0" w:rsidRPr="006F50CB" w:rsidRDefault="00896CC0" w:rsidP="00631354">
            <w:pPr>
              <w:spacing w:line="240" w:lineRule="auto"/>
              <w:jc w:val="right"/>
              <w:rPr>
                <w:rFonts w:ascii="Aptos Narrow" w:eastAsia="Times New Roman" w:hAnsi="Aptos Narrow" w:cs="Times New Roman"/>
                <w:b/>
                <w:bCs/>
                <w:color w:val="FF0000"/>
                <w:u w:val="single"/>
              </w:rPr>
            </w:pPr>
            <w:r w:rsidRPr="006F50CB">
              <w:rPr>
                <w:rFonts w:ascii="Aptos Narrow" w:eastAsia="Times New Roman" w:hAnsi="Aptos Narrow" w:cs="Times New Roman"/>
                <w:b/>
                <w:bCs/>
                <w:color w:val="FF0000"/>
                <w:u w:val="single"/>
              </w:rPr>
              <w:t>0.037</w:t>
            </w:r>
          </w:p>
        </w:tc>
        <w:tc>
          <w:tcPr>
            <w:tcW w:w="1245" w:type="dxa"/>
            <w:tcBorders>
              <w:top w:val="nil"/>
              <w:left w:val="nil"/>
              <w:bottom w:val="single" w:sz="4" w:space="0" w:color="auto"/>
              <w:right w:val="single" w:sz="4" w:space="0" w:color="auto"/>
            </w:tcBorders>
            <w:noWrap/>
            <w:vAlign w:val="bottom"/>
            <w:hideMark/>
          </w:tcPr>
          <w:p w14:paraId="1ECC8548"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-3.78(0.029)</w:t>
            </w:r>
          </w:p>
        </w:tc>
        <w:tc>
          <w:tcPr>
            <w:tcW w:w="1245" w:type="dxa"/>
            <w:tcBorders>
              <w:top w:val="nil"/>
              <w:left w:val="nil"/>
              <w:bottom w:val="single" w:sz="4" w:space="0" w:color="auto"/>
              <w:right w:val="single" w:sz="4" w:space="0" w:color="auto"/>
            </w:tcBorders>
            <w:noWrap/>
            <w:vAlign w:val="bottom"/>
            <w:hideMark/>
          </w:tcPr>
          <w:p w14:paraId="2721D933"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-2.5(0.591)</w:t>
            </w:r>
          </w:p>
        </w:tc>
        <w:tc>
          <w:tcPr>
            <w:tcW w:w="1245" w:type="dxa"/>
            <w:tcBorders>
              <w:top w:val="nil"/>
              <w:left w:val="nil"/>
              <w:bottom w:val="single" w:sz="4" w:space="0" w:color="auto"/>
              <w:right w:val="single" w:sz="4" w:space="0" w:color="auto"/>
            </w:tcBorders>
            <w:noWrap/>
            <w:vAlign w:val="bottom"/>
            <w:hideMark/>
          </w:tcPr>
          <w:p w14:paraId="58963C4A" w14:textId="77777777" w:rsidR="00896CC0" w:rsidRPr="006F50CB" w:rsidRDefault="00896CC0" w:rsidP="00631354">
            <w:pPr>
              <w:spacing w:line="240" w:lineRule="auto"/>
              <w:rPr>
                <w:rFonts w:ascii="Aptos Narrow" w:eastAsia="Times New Roman" w:hAnsi="Aptos Narrow" w:cs="Times New Roman"/>
                <w:color w:val="000000"/>
              </w:rPr>
            </w:pPr>
            <w:r w:rsidRPr="006F50CB">
              <w:rPr>
                <w:rFonts w:ascii="Aptos Narrow" w:eastAsia="Times New Roman" w:hAnsi="Aptos Narrow" w:cs="Times New Roman"/>
                <w:color w:val="000000"/>
              </w:rPr>
              <w:t>1.28(0.842)</w:t>
            </w:r>
          </w:p>
        </w:tc>
      </w:tr>
    </w:tbl>
    <w:p w14:paraId="53608720" w14:textId="77777777" w:rsidR="004B2868" w:rsidRDefault="004B2868" w:rsidP="00F1168C">
      <w:pPr>
        <w:spacing w:after="160" w:line="259" w:lineRule="auto"/>
        <w:rPr>
          <w:rFonts w:ascii="Times New Roman" w:eastAsia="Times New Roman" w:hAnsi="Times New Roman" w:cs="Times New Roman"/>
          <w:b/>
          <w:sz w:val="26"/>
          <w:szCs w:val="26"/>
        </w:rPr>
      </w:pPr>
    </w:p>
    <w:p w14:paraId="1FD6DF9F" w14:textId="016CCC9D" w:rsidR="00F1168C" w:rsidRPr="00E618BA" w:rsidRDefault="00F1168C" w:rsidP="00E618BA">
      <w:pPr>
        <w:spacing w:after="160" w:line="480" w:lineRule="auto"/>
        <w:rPr>
          <w:rFonts w:ascii="Times New Roman" w:eastAsia="Times New Roman" w:hAnsi="Times New Roman" w:cs="Times New Roman"/>
          <w:b/>
          <w:sz w:val="24"/>
          <w:szCs w:val="24"/>
        </w:rPr>
      </w:pPr>
    </w:p>
    <w:p w14:paraId="72EFCB06" w14:textId="25254526" w:rsidR="006C2A85" w:rsidRPr="00E618BA" w:rsidRDefault="006C2A85" w:rsidP="00E618BA">
      <w:pPr>
        <w:spacing w:after="160" w:line="480" w:lineRule="auto"/>
        <w:rPr>
          <w:rFonts w:ascii="Times New Roman" w:eastAsia="Times New Roman" w:hAnsi="Times New Roman" w:cs="Times New Roman"/>
          <w:bCs/>
          <w:sz w:val="24"/>
          <w:szCs w:val="24"/>
        </w:rPr>
      </w:pPr>
      <w:r w:rsidRPr="00E618BA">
        <w:rPr>
          <w:rFonts w:ascii="Times New Roman" w:eastAsia="Times New Roman" w:hAnsi="Times New Roman" w:cs="Times New Roman"/>
          <w:bCs/>
          <w:sz w:val="24"/>
          <w:szCs w:val="24"/>
        </w:rPr>
        <w:t xml:space="preserve">Neoadjuvant chemoradiation is the standard of care for patients with locally advanced rectal carcinoma (LARC), offering the potential to downstage </w:t>
      </w:r>
      <w:proofErr w:type="spellStart"/>
      <w:r w:rsidRPr="00E618BA">
        <w:rPr>
          <w:rFonts w:ascii="Times New Roman" w:eastAsia="Times New Roman" w:hAnsi="Times New Roman" w:cs="Times New Roman"/>
          <w:bCs/>
          <w:sz w:val="24"/>
          <w:szCs w:val="24"/>
        </w:rPr>
        <w:t>tumors</w:t>
      </w:r>
      <w:proofErr w:type="spellEnd"/>
      <w:r w:rsidRPr="00E618BA">
        <w:rPr>
          <w:rFonts w:ascii="Times New Roman" w:eastAsia="Times New Roman" w:hAnsi="Times New Roman" w:cs="Times New Roman"/>
          <w:bCs/>
          <w:sz w:val="24"/>
          <w:szCs w:val="24"/>
        </w:rPr>
        <w:t xml:space="preserve">, increase </w:t>
      </w:r>
      <w:proofErr w:type="spellStart"/>
      <w:r w:rsidRPr="00E618BA">
        <w:rPr>
          <w:rFonts w:ascii="Times New Roman" w:eastAsia="Times New Roman" w:hAnsi="Times New Roman" w:cs="Times New Roman"/>
          <w:bCs/>
          <w:sz w:val="24"/>
          <w:szCs w:val="24"/>
        </w:rPr>
        <w:t>resectability</w:t>
      </w:r>
      <w:proofErr w:type="spellEnd"/>
      <w:r w:rsidRPr="00E618BA">
        <w:rPr>
          <w:rFonts w:ascii="Times New Roman" w:eastAsia="Times New Roman" w:hAnsi="Times New Roman" w:cs="Times New Roman"/>
          <w:bCs/>
          <w:sz w:val="24"/>
          <w:szCs w:val="24"/>
        </w:rPr>
        <w:t xml:space="preserve">, and improve local control. In this retrospective study, we evaluated the </w:t>
      </w:r>
      <w:proofErr w:type="spellStart"/>
      <w:r w:rsidRPr="00E618BA">
        <w:rPr>
          <w:rFonts w:ascii="Times New Roman" w:eastAsia="Times New Roman" w:hAnsi="Times New Roman" w:cs="Times New Roman"/>
          <w:bCs/>
          <w:sz w:val="24"/>
          <w:szCs w:val="24"/>
        </w:rPr>
        <w:t>clinico</w:t>
      </w:r>
      <w:proofErr w:type="spellEnd"/>
      <w:r w:rsidRPr="00E618BA">
        <w:rPr>
          <w:rFonts w:ascii="Times New Roman" w:eastAsia="Times New Roman" w:hAnsi="Times New Roman" w:cs="Times New Roman"/>
          <w:bCs/>
          <w:sz w:val="24"/>
          <w:szCs w:val="24"/>
        </w:rPr>
        <w:t>-pathological response to NACTRT among 40 patients with histologically proven rectal carcinoma treated at our institution. The findings demonstrate a pathological complete response (</w:t>
      </w:r>
      <w:proofErr w:type="spellStart"/>
      <w:r w:rsidRPr="00E618BA">
        <w:rPr>
          <w:rFonts w:ascii="Times New Roman" w:eastAsia="Times New Roman" w:hAnsi="Times New Roman" w:cs="Times New Roman"/>
          <w:bCs/>
          <w:sz w:val="24"/>
          <w:szCs w:val="24"/>
        </w:rPr>
        <w:t>pCR</w:t>
      </w:r>
      <w:proofErr w:type="spellEnd"/>
      <w:r w:rsidRPr="00E618BA">
        <w:rPr>
          <w:rFonts w:ascii="Times New Roman" w:eastAsia="Times New Roman" w:hAnsi="Times New Roman" w:cs="Times New Roman"/>
          <w:bCs/>
          <w:sz w:val="24"/>
          <w:szCs w:val="24"/>
        </w:rPr>
        <w:t xml:space="preserve">) rate of 30%, which is higher than the 13–21% reported in studies using three-dimensional conformal </w:t>
      </w:r>
      <w:r w:rsidRPr="00E618BA">
        <w:rPr>
          <w:rFonts w:ascii="Times New Roman" w:eastAsia="Times New Roman" w:hAnsi="Times New Roman" w:cs="Times New Roman"/>
          <w:bCs/>
          <w:sz w:val="24"/>
          <w:szCs w:val="24"/>
        </w:rPr>
        <w:lastRenderedPageBreak/>
        <w:t>radiotherapy (3D-CRT), suggesting that intensity-modulated radiotherapy (IMRT) may contribute to improved tumor response and organ preservation</w:t>
      </w:r>
      <w:r w:rsidR="0068687A" w:rsidRPr="00E618BA">
        <w:rPr>
          <w:rFonts w:ascii="Times New Roman" w:eastAsia="Times New Roman" w:hAnsi="Times New Roman" w:cs="Times New Roman"/>
          <w:bCs/>
          <w:sz w:val="24"/>
          <w:szCs w:val="24"/>
        </w:rPr>
        <w:t>.</w:t>
      </w:r>
    </w:p>
    <w:p w14:paraId="56ECA353" w14:textId="2DA4066C" w:rsidR="0068687A" w:rsidRPr="00E618BA" w:rsidRDefault="0068687A" w:rsidP="00E618BA">
      <w:pPr>
        <w:spacing w:after="160" w:line="480" w:lineRule="auto"/>
        <w:rPr>
          <w:rFonts w:ascii="Times New Roman" w:eastAsia="Times New Roman" w:hAnsi="Times New Roman" w:cs="Times New Roman"/>
          <w:bCs/>
          <w:sz w:val="24"/>
          <w:szCs w:val="24"/>
        </w:rPr>
      </w:pPr>
      <w:r w:rsidRPr="00E618BA">
        <w:rPr>
          <w:rFonts w:ascii="Times New Roman" w:eastAsia="Times New Roman" w:hAnsi="Times New Roman" w:cs="Times New Roman"/>
          <w:bCs/>
          <w:sz w:val="24"/>
          <w:szCs w:val="24"/>
        </w:rPr>
        <w:t xml:space="preserve">The correlation between tumor size and treatment response observed in this study supports the hypothesis that smaller or earlier-stage tumors (T2) respond more </w:t>
      </w:r>
      <w:proofErr w:type="spellStart"/>
      <w:r w:rsidRPr="00E618BA">
        <w:rPr>
          <w:rFonts w:ascii="Times New Roman" w:eastAsia="Times New Roman" w:hAnsi="Times New Roman" w:cs="Times New Roman"/>
          <w:bCs/>
          <w:sz w:val="24"/>
          <w:szCs w:val="24"/>
        </w:rPr>
        <w:t>favorably</w:t>
      </w:r>
      <w:proofErr w:type="spellEnd"/>
      <w:r w:rsidRPr="00E618BA">
        <w:rPr>
          <w:rFonts w:ascii="Times New Roman" w:eastAsia="Times New Roman" w:hAnsi="Times New Roman" w:cs="Times New Roman"/>
          <w:bCs/>
          <w:sz w:val="24"/>
          <w:szCs w:val="24"/>
        </w:rPr>
        <w:t xml:space="preserve"> to chemoradiation compared to advanced stages. This aligns with existing literature indicating that lower T-stage, smaller tumor volume, and absence of nodal involvement are significant predictors of </w:t>
      </w:r>
      <w:proofErr w:type="spellStart"/>
      <w:r w:rsidRPr="00E618BA">
        <w:rPr>
          <w:rFonts w:ascii="Times New Roman" w:eastAsia="Times New Roman" w:hAnsi="Times New Roman" w:cs="Times New Roman"/>
          <w:bCs/>
          <w:sz w:val="24"/>
          <w:szCs w:val="24"/>
        </w:rPr>
        <w:t>pCR</w:t>
      </w:r>
      <w:proofErr w:type="spellEnd"/>
      <w:r w:rsidRPr="00E618BA">
        <w:rPr>
          <w:rFonts w:ascii="Times New Roman" w:eastAsia="Times New Roman" w:hAnsi="Times New Roman" w:cs="Times New Roman"/>
          <w:bCs/>
          <w:sz w:val="24"/>
          <w:szCs w:val="24"/>
        </w:rPr>
        <w:t>. Our results also indicate that male patients demonstrated a higher rate of complete response than females, a finding that warrants further investigation to determine whether hormonal, anatomical, or biological factors may influence radiosensitivity and chemotherapy tolerance.</w:t>
      </w:r>
    </w:p>
    <w:p w14:paraId="54FE7278" w14:textId="77777777" w:rsidR="009D3F86" w:rsidRPr="00E618BA" w:rsidRDefault="009D3F86" w:rsidP="00E618BA">
      <w:pPr>
        <w:spacing w:after="160" w:line="480" w:lineRule="auto"/>
        <w:rPr>
          <w:rFonts w:ascii="Times New Roman" w:eastAsia="Times New Roman" w:hAnsi="Times New Roman" w:cs="Times New Roman"/>
          <w:bCs/>
          <w:sz w:val="24"/>
          <w:szCs w:val="24"/>
          <w:lang w:val="en-IN"/>
        </w:rPr>
      </w:pPr>
      <w:r w:rsidRPr="00E618BA">
        <w:rPr>
          <w:rFonts w:ascii="Times New Roman" w:eastAsia="Times New Roman" w:hAnsi="Times New Roman" w:cs="Times New Roman"/>
          <w:bCs/>
          <w:sz w:val="24"/>
          <w:szCs w:val="24"/>
          <w:lang w:val="en-IN"/>
        </w:rPr>
        <w:t>Downstaging after NACTRT plays a crucial role in enabling sphincter-preserving surgeries, thereby improving postoperative quality of life without compromising oncological outcomes. In our cohort, 53% of partial responders demonstrated more than 50% reduction in tumor size, emphasizing the clinical utility of preoperative chemoradiation in optimizing surgical feasibility. Similar outcomes have been reported by the German Rectal Cancer Study Group and subsequent trials, which established the superiority of preoperative over postoperative chemoradiation in terms of local control, toxicity profile, and sphincter preservation rates.</w:t>
      </w:r>
    </w:p>
    <w:p w14:paraId="407A3744" w14:textId="77777777" w:rsidR="009D3F86" w:rsidRPr="00E618BA" w:rsidRDefault="009D3F86" w:rsidP="00E618BA">
      <w:pPr>
        <w:spacing w:after="160" w:line="480" w:lineRule="auto"/>
        <w:rPr>
          <w:rFonts w:ascii="Times New Roman" w:eastAsia="Times New Roman" w:hAnsi="Times New Roman" w:cs="Times New Roman"/>
          <w:bCs/>
          <w:sz w:val="24"/>
          <w:szCs w:val="24"/>
          <w:lang w:val="en-IN"/>
        </w:rPr>
      </w:pPr>
      <w:r w:rsidRPr="00E618BA">
        <w:rPr>
          <w:rFonts w:ascii="Times New Roman" w:eastAsia="Times New Roman" w:hAnsi="Times New Roman" w:cs="Times New Roman"/>
          <w:bCs/>
          <w:sz w:val="24"/>
          <w:szCs w:val="24"/>
          <w:lang w:val="en-IN"/>
        </w:rPr>
        <w:t xml:space="preserve">The </w:t>
      </w:r>
      <w:proofErr w:type="spellStart"/>
      <w:r w:rsidRPr="00E618BA">
        <w:rPr>
          <w:rFonts w:ascii="Times New Roman" w:eastAsia="Times New Roman" w:hAnsi="Times New Roman" w:cs="Times New Roman"/>
          <w:bCs/>
          <w:sz w:val="24"/>
          <w:szCs w:val="24"/>
          <w:lang w:val="en-IN"/>
        </w:rPr>
        <w:t>pCR</w:t>
      </w:r>
      <w:proofErr w:type="spellEnd"/>
      <w:r w:rsidRPr="00E618BA">
        <w:rPr>
          <w:rFonts w:ascii="Times New Roman" w:eastAsia="Times New Roman" w:hAnsi="Times New Roman" w:cs="Times New Roman"/>
          <w:bCs/>
          <w:sz w:val="24"/>
          <w:szCs w:val="24"/>
          <w:lang w:val="en-IN"/>
        </w:rPr>
        <w:t xml:space="preserve"> rate observed in this study is comparable to results from modern IMRT-based series, reinforcing the dosimetric advantages of IMRT in achieving better tumor coverage while minimizing dose to organs at risk (OARs) such as the bladder and femoral heads. This precision may translate into enhanced tumor response and reduced treatment-related morbidity. Furthermore, the use of oral capecitabine as a radiosensitizer has shown similar efficacy to </w:t>
      </w:r>
      <w:proofErr w:type="spellStart"/>
      <w:r w:rsidRPr="00E618BA">
        <w:rPr>
          <w:rFonts w:ascii="Times New Roman" w:eastAsia="Times New Roman" w:hAnsi="Times New Roman" w:cs="Times New Roman"/>
          <w:bCs/>
          <w:sz w:val="24"/>
          <w:szCs w:val="24"/>
          <w:lang w:val="en-IN"/>
        </w:rPr>
        <w:t>infusional</w:t>
      </w:r>
      <w:proofErr w:type="spellEnd"/>
      <w:r w:rsidRPr="00E618BA">
        <w:rPr>
          <w:rFonts w:ascii="Times New Roman" w:eastAsia="Times New Roman" w:hAnsi="Times New Roman" w:cs="Times New Roman"/>
          <w:bCs/>
          <w:sz w:val="24"/>
          <w:szCs w:val="24"/>
          <w:lang w:val="en-IN"/>
        </w:rPr>
        <w:t xml:space="preserve"> 5-fluorouracil (5-FU) with greater patient convenience and compliance.</w:t>
      </w:r>
    </w:p>
    <w:p w14:paraId="468AC6E3" w14:textId="77777777" w:rsidR="009D3F86" w:rsidRPr="00E618BA" w:rsidRDefault="009D3F86" w:rsidP="00E618BA">
      <w:pPr>
        <w:spacing w:after="160" w:line="480" w:lineRule="auto"/>
        <w:rPr>
          <w:rFonts w:ascii="Times New Roman" w:eastAsia="Times New Roman" w:hAnsi="Times New Roman" w:cs="Times New Roman"/>
          <w:bCs/>
          <w:sz w:val="24"/>
          <w:szCs w:val="24"/>
        </w:rPr>
      </w:pPr>
    </w:p>
    <w:p w14:paraId="114D885E" w14:textId="6FBD923D" w:rsidR="00F1168C" w:rsidRPr="00E618BA" w:rsidRDefault="00BC2983" w:rsidP="00E618BA">
      <w:pPr>
        <w:spacing w:after="160" w:line="480" w:lineRule="auto"/>
        <w:rPr>
          <w:rFonts w:ascii="Times New Roman" w:eastAsia="Times New Roman" w:hAnsi="Times New Roman" w:cs="Times New Roman"/>
          <w:sz w:val="24"/>
          <w:szCs w:val="24"/>
        </w:rPr>
      </w:pPr>
      <w:proofErr w:type="spellStart"/>
      <w:r w:rsidRPr="00E618BA">
        <w:rPr>
          <w:rFonts w:ascii="Times New Roman" w:eastAsia="Times New Roman" w:hAnsi="Times New Roman" w:cs="Times New Roman"/>
          <w:b/>
          <w:sz w:val="24"/>
          <w:szCs w:val="24"/>
        </w:rPr>
        <w:lastRenderedPageBreak/>
        <w:t>Weerapat</w:t>
      </w:r>
      <w:proofErr w:type="spellEnd"/>
      <w:r w:rsidRPr="00E618BA">
        <w:rPr>
          <w:rFonts w:ascii="Times New Roman" w:eastAsia="Times New Roman" w:hAnsi="Times New Roman" w:cs="Times New Roman"/>
          <w:b/>
          <w:sz w:val="24"/>
          <w:szCs w:val="24"/>
        </w:rPr>
        <w:t xml:space="preserve"> </w:t>
      </w:r>
      <w:r w:rsidRPr="00E618BA">
        <w:rPr>
          <w:rFonts w:ascii="Times New Roman" w:eastAsia="Times New Roman" w:hAnsi="Times New Roman" w:cs="Times New Roman"/>
          <w:b/>
          <w:i/>
          <w:iCs/>
          <w:sz w:val="24"/>
          <w:szCs w:val="24"/>
        </w:rPr>
        <w:t>et al.</w:t>
      </w:r>
      <w:r w:rsidRPr="00E618BA">
        <w:rPr>
          <w:rFonts w:ascii="Times New Roman" w:eastAsia="Times New Roman" w:hAnsi="Times New Roman" w:cs="Times New Roman"/>
          <w:b/>
          <w:sz w:val="24"/>
          <w:szCs w:val="24"/>
        </w:rPr>
        <w:t xml:space="preserve"> </w:t>
      </w:r>
      <w:r w:rsidRPr="00E618BA">
        <w:rPr>
          <w:rFonts w:ascii="Times New Roman" w:eastAsia="Times New Roman" w:hAnsi="Times New Roman" w:cs="Times New Roman"/>
          <w:bCs/>
          <w:sz w:val="24"/>
          <w:szCs w:val="24"/>
        </w:rPr>
        <w:t>conducted a study involving 85 patients who received neoadjuvant chemoradiotherapy followed by surgery. The study reported a pathological complete response (</w:t>
      </w:r>
      <w:proofErr w:type="spellStart"/>
      <w:r w:rsidRPr="00E618BA">
        <w:rPr>
          <w:rFonts w:ascii="Times New Roman" w:eastAsia="Times New Roman" w:hAnsi="Times New Roman" w:cs="Times New Roman"/>
          <w:bCs/>
          <w:sz w:val="24"/>
          <w:szCs w:val="24"/>
        </w:rPr>
        <w:t>pCR</w:t>
      </w:r>
      <w:proofErr w:type="spellEnd"/>
      <w:r w:rsidRPr="00E618BA">
        <w:rPr>
          <w:rFonts w:ascii="Times New Roman" w:eastAsia="Times New Roman" w:hAnsi="Times New Roman" w:cs="Times New Roman"/>
          <w:bCs/>
          <w:sz w:val="24"/>
          <w:szCs w:val="24"/>
        </w:rPr>
        <w:t xml:space="preserve">) rate of 21.1% and a sphincter-preserving surgery rate of 57.6%. On univariate analysis, tumor length greater than 4 cm (P = 0.007) and positive lymph node status (P = 0.040) were significantly associated with a lower likelihood of achieving </w:t>
      </w:r>
      <w:proofErr w:type="spellStart"/>
      <w:proofErr w:type="gramStart"/>
      <w:r w:rsidRPr="00E618BA">
        <w:rPr>
          <w:rFonts w:ascii="Times New Roman" w:eastAsia="Times New Roman" w:hAnsi="Times New Roman" w:cs="Times New Roman"/>
          <w:bCs/>
          <w:sz w:val="24"/>
          <w:szCs w:val="24"/>
        </w:rPr>
        <w:t>pCR</w:t>
      </w:r>
      <w:proofErr w:type="spellEnd"/>
      <w:r w:rsidR="00F1168C" w:rsidRPr="00E618BA">
        <w:rPr>
          <w:rFonts w:ascii="Times New Roman" w:eastAsia="Times New Roman" w:hAnsi="Times New Roman" w:cs="Times New Roman"/>
          <w:sz w:val="24"/>
          <w:szCs w:val="24"/>
        </w:rPr>
        <w:t>.</w:t>
      </w:r>
      <w:r w:rsidR="00F1168C" w:rsidRPr="00E618BA">
        <w:rPr>
          <w:rFonts w:ascii="Times New Roman" w:eastAsia="Times New Roman" w:hAnsi="Times New Roman" w:cs="Times New Roman"/>
          <w:sz w:val="24"/>
          <w:szCs w:val="24"/>
          <w:vertAlign w:val="superscript"/>
        </w:rPr>
        <w:t>(</w:t>
      </w:r>
      <w:proofErr w:type="gramEnd"/>
      <w:r w:rsidR="00F1168C" w:rsidRPr="00E618BA">
        <w:rPr>
          <w:rFonts w:ascii="Times New Roman" w:eastAsia="Times New Roman" w:hAnsi="Times New Roman" w:cs="Times New Roman"/>
          <w:sz w:val="24"/>
          <w:szCs w:val="24"/>
          <w:vertAlign w:val="superscript"/>
        </w:rPr>
        <w:t>4)</w:t>
      </w:r>
    </w:p>
    <w:p w14:paraId="66753B10" w14:textId="715B245E" w:rsidR="00F1168C" w:rsidRPr="00E618BA" w:rsidRDefault="00AF24C7" w:rsidP="00E618BA">
      <w:pPr>
        <w:spacing w:after="160" w:line="480" w:lineRule="auto"/>
        <w:rPr>
          <w:rFonts w:ascii="Times New Roman" w:eastAsia="Times New Roman" w:hAnsi="Times New Roman" w:cs="Times New Roman"/>
          <w:sz w:val="24"/>
          <w:szCs w:val="24"/>
          <w:vertAlign w:val="superscript"/>
        </w:rPr>
      </w:pPr>
      <w:r w:rsidRPr="00E618BA">
        <w:rPr>
          <w:rFonts w:ascii="Times New Roman" w:eastAsia="Times New Roman" w:hAnsi="Times New Roman" w:cs="Times New Roman"/>
          <w:b/>
          <w:sz w:val="24"/>
          <w:szCs w:val="24"/>
        </w:rPr>
        <w:t xml:space="preserve">Iskander </w:t>
      </w:r>
      <w:r w:rsidRPr="00E618BA">
        <w:rPr>
          <w:rFonts w:ascii="Times New Roman" w:eastAsia="Times New Roman" w:hAnsi="Times New Roman" w:cs="Times New Roman"/>
          <w:b/>
          <w:i/>
          <w:iCs/>
          <w:sz w:val="24"/>
          <w:szCs w:val="24"/>
        </w:rPr>
        <w:t>et al</w:t>
      </w:r>
      <w:r w:rsidRPr="00E618BA">
        <w:rPr>
          <w:rFonts w:ascii="Times New Roman" w:eastAsia="Times New Roman" w:hAnsi="Times New Roman" w:cs="Times New Roman"/>
          <w:bCs/>
          <w:i/>
          <w:iCs/>
          <w:sz w:val="24"/>
          <w:szCs w:val="24"/>
        </w:rPr>
        <w:t>.</w:t>
      </w:r>
      <w:r w:rsidRPr="00E618BA">
        <w:rPr>
          <w:rFonts w:ascii="Times New Roman" w:eastAsia="Times New Roman" w:hAnsi="Times New Roman" w:cs="Times New Roman"/>
          <w:bCs/>
          <w:sz w:val="24"/>
          <w:szCs w:val="24"/>
        </w:rPr>
        <w:t xml:space="preserve"> conducted a study involving 130 patients with rectal carcinoma and reported a pathological complete response (</w:t>
      </w:r>
      <w:proofErr w:type="spellStart"/>
      <w:r w:rsidRPr="00E618BA">
        <w:rPr>
          <w:rFonts w:ascii="Times New Roman" w:eastAsia="Times New Roman" w:hAnsi="Times New Roman" w:cs="Times New Roman"/>
          <w:bCs/>
          <w:sz w:val="24"/>
          <w:szCs w:val="24"/>
        </w:rPr>
        <w:t>pCR</w:t>
      </w:r>
      <w:proofErr w:type="spellEnd"/>
      <w:r w:rsidRPr="00E618BA">
        <w:rPr>
          <w:rFonts w:ascii="Times New Roman" w:eastAsia="Times New Roman" w:hAnsi="Times New Roman" w:cs="Times New Roman"/>
          <w:bCs/>
          <w:sz w:val="24"/>
          <w:szCs w:val="24"/>
        </w:rPr>
        <w:t xml:space="preserve">) rate of 13.1%. Patients who achieved </w:t>
      </w:r>
      <w:proofErr w:type="spellStart"/>
      <w:r w:rsidRPr="00E618BA">
        <w:rPr>
          <w:rFonts w:ascii="Times New Roman" w:eastAsia="Times New Roman" w:hAnsi="Times New Roman" w:cs="Times New Roman"/>
          <w:bCs/>
          <w:sz w:val="24"/>
          <w:szCs w:val="24"/>
        </w:rPr>
        <w:t>pCR</w:t>
      </w:r>
      <w:proofErr w:type="spellEnd"/>
      <w:r w:rsidRPr="00E618BA">
        <w:rPr>
          <w:rFonts w:ascii="Times New Roman" w:eastAsia="Times New Roman" w:hAnsi="Times New Roman" w:cs="Times New Roman"/>
          <w:bCs/>
          <w:sz w:val="24"/>
          <w:szCs w:val="24"/>
        </w:rPr>
        <w:t xml:space="preserve"> had a lower incidence of symptomatic fistulas compared with those showing partial or no response (5.8% vs. 13.5% vs. 18.7%; p = 0.607). At five years, the disease-free survival (DFS) was significantly higher in the </w:t>
      </w:r>
      <w:proofErr w:type="spellStart"/>
      <w:r w:rsidRPr="00E618BA">
        <w:rPr>
          <w:rFonts w:ascii="Times New Roman" w:eastAsia="Times New Roman" w:hAnsi="Times New Roman" w:cs="Times New Roman"/>
          <w:bCs/>
          <w:sz w:val="24"/>
          <w:szCs w:val="24"/>
        </w:rPr>
        <w:t>pCR</w:t>
      </w:r>
      <w:proofErr w:type="spellEnd"/>
      <w:r w:rsidRPr="00E618BA">
        <w:rPr>
          <w:rFonts w:ascii="Times New Roman" w:eastAsia="Times New Roman" w:hAnsi="Times New Roman" w:cs="Times New Roman"/>
          <w:bCs/>
          <w:sz w:val="24"/>
          <w:szCs w:val="24"/>
        </w:rPr>
        <w:t xml:space="preserve"> group (93% vs. 79% vs. 47%; p = 0.0003), although there was no corresponding improvement in overall survival (OS). These findings suggest that achieving </w:t>
      </w:r>
      <w:proofErr w:type="spellStart"/>
      <w:r w:rsidRPr="00E618BA">
        <w:rPr>
          <w:rFonts w:ascii="Times New Roman" w:eastAsia="Times New Roman" w:hAnsi="Times New Roman" w:cs="Times New Roman"/>
          <w:bCs/>
          <w:sz w:val="24"/>
          <w:szCs w:val="24"/>
        </w:rPr>
        <w:t>pCR</w:t>
      </w:r>
      <w:proofErr w:type="spellEnd"/>
      <w:r w:rsidRPr="00E618BA">
        <w:rPr>
          <w:rFonts w:ascii="Times New Roman" w:eastAsia="Times New Roman" w:hAnsi="Times New Roman" w:cs="Times New Roman"/>
          <w:bCs/>
          <w:sz w:val="24"/>
          <w:szCs w:val="24"/>
        </w:rPr>
        <w:t xml:space="preserve"> contributes to reduced recurrence and improved DFS but does not necessarily translate into prolonged overall survival</w:t>
      </w:r>
      <w:r w:rsidRPr="00E618BA">
        <w:rPr>
          <w:rFonts w:ascii="Times New Roman" w:eastAsia="Times New Roman" w:hAnsi="Times New Roman" w:cs="Times New Roman"/>
          <w:b/>
          <w:sz w:val="24"/>
          <w:szCs w:val="24"/>
        </w:rPr>
        <w:t>.</w:t>
      </w:r>
      <w:r w:rsidRPr="00E618BA">
        <w:rPr>
          <w:rFonts w:ascii="Times New Roman" w:eastAsia="Times New Roman" w:hAnsi="Times New Roman" w:cs="Times New Roman"/>
          <w:b/>
          <w:sz w:val="24"/>
          <w:szCs w:val="24"/>
          <w:vertAlign w:val="superscript"/>
        </w:rPr>
        <w:t xml:space="preserve"> </w:t>
      </w:r>
      <w:r w:rsidR="00F1168C" w:rsidRPr="00E618BA">
        <w:rPr>
          <w:rFonts w:ascii="Times New Roman" w:eastAsia="Times New Roman" w:hAnsi="Times New Roman" w:cs="Times New Roman"/>
          <w:sz w:val="24"/>
          <w:szCs w:val="24"/>
          <w:vertAlign w:val="superscript"/>
        </w:rPr>
        <w:t>(5)</w:t>
      </w:r>
    </w:p>
    <w:p w14:paraId="3A67C881" w14:textId="6D81696E" w:rsidR="00F1168C" w:rsidRPr="00E618BA" w:rsidRDefault="00F3471A" w:rsidP="00E618BA">
      <w:pPr>
        <w:spacing w:after="160" w:line="480" w:lineRule="auto"/>
        <w:rPr>
          <w:rFonts w:ascii="Times New Roman" w:eastAsia="Times New Roman" w:hAnsi="Times New Roman" w:cs="Times New Roman"/>
          <w:sz w:val="24"/>
          <w:szCs w:val="24"/>
          <w:vertAlign w:val="superscript"/>
        </w:rPr>
      </w:pPr>
      <w:r w:rsidRPr="00E618BA">
        <w:rPr>
          <w:rFonts w:ascii="Times New Roman" w:eastAsia="Times New Roman" w:hAnsi="Times New Roman" w:cs="Times New Roman"/>
          <w:b/>
          <w:sz w:val="24"/>
          <w:szCs w:val="24"/>
        </w:rPr>
        <w:t xml:space="preserve">Fischer </w:t>
      </w:r>
      <w:r w:rsidRPr="00E618BA">
        <w:rPr>
          <w:rFonts w:ascii="Times New Roman" w:eastAsia="Times New Roman" w:hAnsi="Times New Roman" w:cs="Times New Roman"/>
          <w:b/>
          <w:i/>
          <w:iCs/>
          <w:sz w:val="24"/>
          <w:szCs w:val="24"/>
        </w:rPr>
        <w:t>et al.</w:t>
      </w:r>
      <w:r w:rsidRPr="00E618BA">
        <w:rPr>
          <w:rFonts w:ascii="Times New Roman" w:eastAsia="Times New Roman" w:hAnsi="Times New Roman" w:cs="Times New Roman"/>
          <w:b/>
          <w:sz w:val="24"/>
          <w:szCs w:val="24"/>
        </w:rPr>
        <w:t xml:space="preserve"> </w:t>
      </w:r>
      <w:r w:rsidRPr="00E618BA">
        <w:rPr>
          <w:rFonts w:ascii="Times New Roman" w:eastAsia="Times New Roman" w:hAnsi="Times New Roman" w:cs="Times New Roman"/>
          <w:bCs/>
          <w:sz w:val="24"/>
          <w:szCs w:val="24"/>
        </w:rPr>
        <w:t>conducted a retrospective study involving 164 patients with rectal carcinoma, reporting a pathological complete response (</w:t>
      </w:r>
      <w:proofErr w:type="spellStart"/>
      <w:r w:rsidRPr="00E618BA">
        <w:rPr>
          <w:rFonts w:ascii="Times New Roman" w:eastAsia="Times New Roman" w:hAnsi="Times New Roman" w:cs="Times New Roman"/>
          <w:bCs/>
          <w:sz w:val="24"/>
          <w:szCs w:val="24"/>
        </w:rPr>
        <w:t>pCR</w:t>
      </w:r>
      <w:proofErr w:type="spellEnd"/>
      <w:r w:rsidRPr="00E618BA">
        <w:rPr>
          <w:rFonts w:ascii="Times New Roman" w:eastAsia="Times New Roman" w:hAnsi="Times New Roman" w:cs="Times New Roman"/>
          <w:bCs/>
          <w:sz w:val="24"/>
          <w:szCs w:val="24"/>
        </w:rPr>
        <w:t xml:space="preserve">) rate of 14.6% and a good response rate (Tumor Regression Grade 0–1; TRG 0–1) of 43.7%. On univariate analysis, lower T stage, older age, node-negative status, anterior tumor location, and shorter tumor length on MRI were significantly associated with a </w:t>
      </w:r>
      <w:proofErr w:type="spellStart"/>
      <w:r w:rsidRPr="00E618BA">
        <w:rPr>
          <w:rFonts w:ascii="Times New Roman" w:eastAsia="Times New Roman" w:hAnsi="Times New Roman" w:cs="Times New Roman"/>
          <w:bCs/>
          <w:sz w:val="24"/>
          <w:szCs w:val="24"/>
        </w:rPr>
        <w:t>favorable</w:t>
      </w:r>
      <w:proofErr w:type="spellEnd"/>
      <w:r w:rsidRPr="00E618BA">
        <w:rPr>
          <w:rFonts w:ascii="Times New Roman" w:eastAsia="Times New Roman" w:hAnsi="Times New Roman" w:cs="Times New Roman"/>
          <w:bCs/>
          <w:sz w:val="24"/>
          <w:szCs w:val="24"/>
        </w:rPr>
        <w:t xml:space="preserve"> response (TRG 0–1). Predictors of </w:t>
      </w:r>
      <w:proofErr w:type="spellStart"/>
      <w:r w:rsidRPr="00E618BA">
        <w:rPr>
          <w:rFonts w:ascii="Times New Roman" w:eastAsia="Times New Roman" w:hAnsi="Times New Roman" w:cs="Times New Roman"/>
          <w:bCs/>
          <w:sz w:val="24"/>
          <w:szCs w:val="24"/>
        </w:rPr>
        <w:t>pCR</w:t>
      </w:r>
      <w:proofErr w:type="spellEnd"/>
      <w:r w:rsidRPr="00E618BA">
        <w:rPr>
          <w:rFonts w:ascii="Times New Roman" w:eastAsia="Times New Roman" w:hAnsi="Times New Roman" w:cs="Times New Roman"/>
          <w:bCs/>
          <w:sz w:val="24"/>
          <w:szCs w:val="24"/>
        </w:rPr>
        <w:t xml:space="preserve"> included lower clinical nodal stage (</w:t>
      </w:r>
      <w:proofErr w:type="spellStart"/>
      <w:r w:rsidRPr="00E618BA">
        <w:rPr>
          <w:rFonts w:ascii="Times New Roman" w:eastAsia="Times New Roman" w:hAnsi="Times New Roman" w:cs="Times New Roman"/>
          <w:bCs/>
          <w:sz w:val="24"/>
          <w:szCs w:val="24"/>
        </w:rPr>
        <w:t>cN</w:t>
      </w:r>
      <w:proofErr w:type="spellEnd"/>
      <w:r w:rsidRPr="00E618BA">
        <w:rPr>
          <w:rFonts w:ascii="Times New Roman" w:eastAsia="Times New Roman" w:hAnsi="Times New Roman" w:cs="Times New Roman"/>
          <w:bCs/>
          <w:sz w:val="24"/>
          <w:szCs w:val="24"/>
        </w:rPr>
        <w:t xml:space="preserve"> stage), carcinoembryonic antigen (CEA) levels &lt;5 ng/mL, and shorter tumor length on MRI. In binary logistic regression analysis, shorter tumor length on MRI and lower clinical nodal stage remained independent predictors of achieving </w:t>
      </w:r>
      <w:proofErr w:type="spellStart"/>
      <w:r w:rsidRPr="00E618BA">
        <w:rPr>
          <w:rFonts w:ascii="Times New Roman" w:eastAsia="Times New Roman" w:hAnsi="Times New Roman" w:cs="Times New Roman"/>
          <w:bCs/>
          <w:sz w:val="24"/>
          <w:szCs w:val="24"/>
        </w:rPr>
        <w:t>pCR</w:t>
      </w:r>
      <w:proofErr w:type="spellEnd"/>
      <w:r w:rsidRPr="00E618BA">
        <w:rPr>
          <w:rFonts w:ascii="Times New Roman" w:eastAsia="Times New Roman" w:hAnsi="Times New Roman" w:cs="Times New Roman"/>
          <w:bCs/>
          <w:sz w:val="24"/>
          <w:szCs w:val="24"/>
        </w:rPr>
        <w:t xml:space="preserve">, while a lower body mass index, anterior tumor location, and higher </w:t>
      </w:r>
      <w:proofErr w:type="spellStart"/>
      <w:r w:rsidRPr="00E618BA">
        <w:rPr>
          <w:rFonts w:ascii="Times New Roman" w:eastAsia="Times New Roman" w:hAnsi="Times New Roman" w:cs="Times New Roman"/>
          <w:bCs/>
          <w:sz w:val="24"/>
          <w:szCs w:val="24"/>
        </w:rPr>
        <w:t>hemoglobin</w:t>
      </w:r>
      <w:proofErr w:type="spellEnd"/>
      <w:r w:rsidRPr="00E618BA">
        <w:rPr>
          <w:rFonts w:ascii="Times New Roman" w:eastAsia="Times New Roman" w:hAnsi="Times New Roman" w:cs="Times New Roman"/>
          <w:bCs/>
          <w:sz w:val="24"/>
          <w:szCs w:val="24"/>
        </w:rPr>
        <w:t xml:space="preserve"> levels predicted a good response (TRG 0–1</w:t>
      </w:r>
      <w:proofErr w:type="gramStart"/>
      <w:r w:rsidRPr="00E618BA">
        <w:rPr>
          <w:rFonts w:ascii="Times New Roman" w:eastAsia="Times New Roman" w:hAnsi="Times New Roman" w:cs="Times New Roman"/>
          <w:bCs/>
          <w:sz w:val="24"/>
          <w:szCs w:val="24"/>
        </w:rPr>
        <w:t>)</w:t>
      </w:r>
      <w:r w:rsidR="00F1168C" w:rsidRPr="00E618BA">
        <w:rPr>
          <w:rFonts w:ascii="Times New Roman" w:eastAsia="Times New Roman" w:hAnsi="Times New Roman" w:cs="Times New Roman"/>
          <w:sz w:val="24"/>
          <w:szCs w:val="24"/>
        </w:rPr>
        <w:t>.</w:t>
      </w:r>
      <w:r w:rsidR="00F1168C" w:rsidRPr="00E618BA">
        <w:rPr>
          <w:rFonts w:ascii="Times New Roman" w:eastAsia="Times New Roman" w:hAnsi="Times New Roman" w:cs="Times New Roman"/>
          <w:sz w:val="24"/>
          <w:szCs w:val="24"/>
          <w:vertAlign w:val="superscript"/>
        </w:rPr>
        <w:t>(</w:t>
      </w:r>
      <w:proofErr w:type="gramEnd"/>
      <w:r w:rsidR="00F1168C" w:rsidRPr="00E618BA">
        <w:rPr>
          <w:rFonts w:ascii="Times New Roman" w:eastAsia="Times New Roman" w:hAnsi="Times New Roman" w:cs="Times New Roman"/>
          <w:sz w:val="24"/>
          <w:szCs w:val="24"/>
          <w:vertAlign w:val="superscript"/>
        </w:rPr>
        <w:t>6)</w:t>
      </w:r>
    </w:p>
    <w:p w14:paraId="3A83C1B9" w14:textId="4C3B52D6" w:rsidR="00F1168C" w:rsidRPr="00E618BA" w:rsidRDefault="00F44315" w:rsidP="00E618BA">
      <w:pPr>
        <w:spacing w:after="160" w:line="480" w:lineRule="auto"/>
        <w:rPr>
          <w:rFonts w:ascii="Times New Roman" w:eastAsia="Times New Roman" w:hAnsi="Times New Roman" w:cs="Times New Roman"/>
          <w:sz w:val="24"/>
          <w:szCs w:val="24"/>
          <w:vertAlign w:val="superscript"/>
        </w:rPr>
      </w:pPr>
      <w:r w:rsidRPr="00E618BA">
        <w:rPr>
          <w:rFonts w:ascii="Times New Roman" w:eastAsia="Times New Roman" w:hAnsi="Times New Roman" w:cs="Times New Roman"/>
          <w:b/>
          <w:sz w:val="24"/>
          <w:szCs w:val="24"/>
        </w:rPr>
        <w:lastRenderedPageBreak/>
        <w:t xml:space="preserve">Ren </w:t>
      </w:r>
      <w:r w:rsidRPr="00E618BA">
        <w:rPr>
          <w:rFonts w:ascii="Times New Roman" w:eastAsia="Times New Roman" w:hAnsi="Times New Roman" w:cs="Times New Roman"/>
          <w:b/>
          <w:i/>
          <w:iCs/>
          <w:sz w:val="24"/>
          <w:szCs w:val="24"/>
        </w:rPr>
        <w:t>et al.</w:t>
      </w:r>
      <w:r w:rsidRPr="00E618BA">
        <w:rPr>
          <w:rFonts w:ascii="Times New Roman" w:eastAsia="Times New Roman" w:hAnsi="Times New Roman" w:cs="Times New Roman"/>
          <w:b/>
          <w:sz w:val="24"/>
          <w:szCs w:val="24"/>
        </w:rPr>
        <w:t xml:space="preserve"> </w:t>
      </w:r>
      <w:r w:rsidRPr="00E618BA">
        <w:rPr>
          <w:rFonts w:ascii="Times New Roman" w:eastAsia="Times New Roman" w:hAnsi="Times New Roman" w:cs="Times New Roman"/>
          <w:bCs/>
          <w:sz w:val="24"/>
          <w:szCs w:val="24"/>
        </w:rPr>
        <w:t>analyzed 403 patients with locally advanced rectal cancer and reported a pathological complete response (</w:t>
      </w:r>
      <w:proofErr w:type="spellStart"/>
      <w:r w:rsidRPr="00E618BA">
        <w:rPr>
          <w:rFonts w:ascii="Times New Roman" w:eastAsia="Times New Roman" w:hAnsi="Times New Roman" w:cs="Times New Roman"/>
          <w:bCs/>
          <w:sz w:val="24"/>
          <w:szCs w:val="24"/>
        </w:rPr>
        <w:t>pCR</w:t>
      </w:r>
      <w:proofErr w:type="spellEnd"/>
      <w:r w:rsidRPr="00E618BA">
        <w:rPr>
          <w:rFonts w:ascii="Times New Roman" w:eastAsia="Times New Roman" w:hAnsi="Times New Roman" w:cs="Times New Roman"/>
          <w:bCs/>
          <w:sz w:val="24"/>
          <w:szCs w:val="24"/>
        </w:rPr>
        <w:t xml:space="preserve">) rate of 17.9% (72 patients), while 43.9% (177 patients) achieved </w:t>
      </w:r>
      <w:proofErr w:type="spellStart"/>
      <w:r w:rsidRPr="00E618BA">
        <w:rPr>
          <w:rFonts w:ascii="Times New Roman" w:eastAsia="Times New Roman" w:hAnsi="Times New Roman" w:cs="Times New Roman"/>
          <w:bCs/>
          <w:sz w:val="24"/>
          <w:szCs w:val="24"/>
        </w:rPr>
        <w:t>favorable</w:t>
      </w:r>
      <w:proofErr w:type="spellEnd"/>
      <w:r w:rsidRPr="00E618BA">
        <w:rPr>
          <w:rFonts w:ascii="Times New Roman" w:eastAsia="Times New Roman" w:hAnsi="Times New Roman" w:cs="Times New Roman"/>
          <w:bCs/>
          <w:sz w:val="24"/>
          <w:szCs w:val="24"/>
        </w:rPr>
        <w:t xml:space="preserve"> downstaging to ypT0–2N0M0 (</w:t>
      </w:r>
      <w:proofErr w:type="spellStart"/>
      <w:r w:rsidRPr="00E618BA">
        <w:rPr>
          <w:rFonts w:ascii="Times New Roman" w:eastAsia="Times New Roman" w:hAnsi="Times New Roman" w:cs="Times New Roman"/>
          <w:bCs/>
          <w:sz w:val="24"/>
          <w:szCs w:val="24"/>
        </w:rPr>
        <w:t>ypTNM</w:t>
      </w:r>
      <w:proofErr w:type="spellEnd"/>
      <w:r w:rsidRPr="00E618BA">
        <w:rPr>
          <w:rFonts w:ascii="Times New Roman" w:eastAsia="Times New Roman" w:hAnsi="Times New Roman" w:cs="Times New Roman"/>
          <w:bCs/>
          <w:sz w:val="24"/>
          <w:szCs w:val="24"/>
        </w:rPr>
        <w:t xml:space="preserve"> stage 0–I). Using a predictive nomogram, the study identified </w:t>
      </w:r>
      <w:proofErr w:type="spellStart"/>
      <w:r w:rsidRPr="00E618BA">
        <w:rPr>
          <w:rFonts w:ascii="Times New Roman" w:eastAsia="Times New Roman" w:hAnsi="Times New Roman" w:cs="Times New Roman"/>
          <w:bCs/>
          <w:sz w:val="24"/>
          <w:szCs w:val="24"/>
        </w:rPr>
        <w:t>mesorectal</w:t>
      </w:r>
      <w:proofErr w:type="spellEnd"/>
      <w:r w:rsidRPr="00E618BA">
        <w:rPr>
          <w:rFonts w:ascii="Times New Roman" w:eastAsia="Times New Roman" w:hAnsi="Times New Roman" w:cs="Times New Roman"/>
          <w:bCs/>
          <w:sz w:val="24"/>
          <w:szCs w:val="24"/>
        </w:rPr>
        <w:t xml:space="preserve"> fascia (MRF) status, tumor differentiation, neoadjuvant therapy (NT) regimen, and tumor length as key determinants influencing the probability of achieving </w:t>
      </w:r>
      <w:proofErr w:type="spellStart"/>
      <w:r w:rsidRPr="00E618BA">
        <w:rPr>
          <w:rFonts w:ascii="Times New Roman" w:eastAsia="Times New Roman" w:hAnsi="Times New Roman" w:cs="Times New Roman"/>
          <w:bCs/>
          <w:sz w:val="24"/>
          <w:szCs w:val="24"/>
        </w:rPr>
        <w:t>pCR</w:t>
      </w:r>
      <w:proofErr w:type="spellEnd"/>
      <w:r w:rsidRPr="00E618BA">
        <w:rPr>
          <w:rFonts w:ascii="Times New Roman" w:eastAsia="Times New Roman" w:hAnsi="Times New Roman" w:cs="Times New Roman"/>
          <w:bCs/>
          <w:sz w:val="24"/>
          <w:szCs w:val="24"/>
        </w:rPr>
        <w:t xml:space="preserve">. Additionally, tumor differentiation, MRF status, and clinical T stage were the principal factors associated with successful tumor </w:t>
      </w:r>
      <w:proofErr w:type="gramStart"/>
      <w:r w:rsidRPr="00E618BA">
        <w:rPr>
          <w:rFonts w:ascii="Times New Roman" w:eastAsia="Times New Roman" w:hAnsi="Times New Roman" w:cs="Times New Roman"/>
          <w:bCs/>
          <w:sz w:val="24"/>
          <w:szCs w:val="24"/>
        </w:rPr>
        <w:t>downstaging</w:t>
      </w:r>
      <w:r w:rsidR="00F1168C" w:rsidRPr="00E618BA">
        <w:rPr>
          <w:rFonts w:ascii="Times New Roman" w:eastAsia="Times New Roman" w:hAnsi="Times New Roman" w:cs="Times New Roman"/>
          <w:sz w:val="24"/>
          <w:szCs w:val="24"/>
        </w:rPr>
        <w:t>.</w:t>
      </w:r>
      <w:r w:rsidR="00F1168C" w:rsidRPr="00E618BA">
        <w:rPr>
          <w:rFonts w:ascii="Times New Roman" w:eastAsia="Times New Roman" w:hAnsi="Times New Roman" w:cs="Times New Roman"/>
          <w:sz w:val="24"/>
          <w:szCs w:val="24"/>
          <w:vertAlign w:val="superscript"/>
        </w:rPr>
        <w:t>(</w:t>
      </w:r>
      <w:proofErr w:type="gramEnd"/>
      <w:r w:rsidR="00F1168C" w:rsidRPr="00E618BA">
        <w:rPr>
          <w:rFonts w:ascii="Times New Roman" w:eastAsia="Times New Roman" w:hAnsi="Times New Roman" w:cs="Times New Roman"/>
          <w:sz w:val="24"/>
          <w:szCs w:val="24"/>
          <w:vertAlign w:val="superscript"/>
        </w:rPr>
        <w:t>7)</w:t>
      </w:r>
    </w:p>
    <w:p w14:paraId="6BABAD45" w14:textId="5FA731A4" w:rsidR="00F1168C" w:rsidRPr="00E618BA" w:rsidRDefault="00F51F53" w:rsidP="00E618BA">
      <w:pPr>
        <w:spacing w:after="160" w:line="480" w:lineRule="auto"/>
        <w:rPr>
          <w:rFonts w:ascii="Times New Roman" w:eastAsia="Times New Roman" w:hAnsi="Times New Roman" w:cs="Times New Roman"/>
          <w:sz w:val="24"/>
          <w:szCs w:val="24"/>
          <w:vertAlign w:val="superscript"/>
        </w:rPr>
      </w:pPr>
      <w:r w:rsidRPr="00E618BA">
        <w:rPr>
          <w:rFonts w:ascii="Times New Roman" w:eastAsia="Times New Roman" w:hAnsi="Times New Roman" w:cs="Times New Roman"/>
          <w:b/>
          <w:sz w:val="24"/>
          <w:szCs w:val="24"/>
        </w:rPr>
        <w:t xml:space="preserve">Gash </w:t>
      </w:r>
      <w:r w:rsidRPr="00E618BA">
        <w:rPr>
          <w:rFonts w:ascii="Times New Roman" w:eastAsia="Times New Roman" w:hAnsi="Times New Roman" w:cs="Times New Roman"/>
          <w:b/>
          <w:i/>
          <w:iCs/>
          <w:sz w:val="24"/>
          <w:szCs w:val="24"/>
        </w:rPr>
        <w:t>et al.</w:t>
      </w:r>
      <w:r w:rsidRPr="00E618BA">
        <w:rPr>
          <w:rFonts w:ascii="Times New Roman" w:eastAsia="Times New Roman" w:hAnsi="Times New Roman" w:cs="Times New Roman"/>
          <w:b/>
          <w:sz w:val="24"/>
          <w:szCs w:val="24"/>
        </w:rPr>
        <w:t xml:space="preserve"> </w:t>
      </w:r>
      <w:r w:rsidRPr="00E618BA">
        <w:rPr>
          <w:rFonts w:ascii="Times New Roman" w:eastAsia="Times New Roman" w:hAnsi="Times New Roman" w:cs="Times New Roman"/>
          <w:bCs/>
          <w:sz w:val="24"/>
          <w:szCs w:val="24"/>
        </w:rPr>
        <w:t>analyzed data from the National Cancer Database (NCDB) between 2009 and 2013, including 13,742 patients with rectal carcinoma. Among them, 32.4% (n = 4,452) achieved a pathological complete response (</w:t>
      </w:r>
      <w:proofErr w:type="spellStart"/>
      <w:r w:rsidRPr="00E618BA">
        <w:rPr>
          <w:rFonts w:ascii="Times New Roman" w:eastAsia="Times New Roman" w:hAnsi="Times New Roman" w:cs="Times New Roman"/>
          <w:bCs/>
          <w:sz w:val="24"/>
          <w:szCs w:val="24"/>
        </w:rPr>
        <w:t>pCR</w:t>
      </w:r>
      <w:proofErr w:type="spellEnd"/>
      <w:r w:rsidRPr="00E618BA">
        <w:rPr>
          <w:rFonts w:ascii="Times New Roman" w:eastAsia="Times New Roman" w:hAnsi="Times New Roman" w:cs="Times New Roman"/>
          <w:bCs/>
          <w:sz w:val="24"/>
          <w:szCs w:val="24"/>
        </w:rPr>
        <w:t xml:space="preserve">; </w:t>
      </w:r>
      <w:proofErr w:type="spellStart"/>
      <w:r w:rsidRPr="00E618BA">
        <w:rPr>
          <w:rFonts w:ascii="Times New Roman" w:eastAsia="Times New Roman" w:hAnsi="Times New Roman" w:cs="Times New Roman"/>
          <w:bCs/>
          <w:sz w:val="24"/>
          <w:szCs w:val="24"/>
        </w:rPr>
        <w:t>Tumor</w:t>
      </w:r>
      <w:proofErr w:type="spellEnd"/>
      <w:r w:rsidRPr="00E618BA">
        <w:rPr>
          <w:rFonts w:ascii="Times New Roman" w:eastAsia="Times New Roman" w:hAnsi="Times New Roman" w:cs="Times New Roman"/>
          <w:bCs/>
          <w:sz w:val="24"/>
          <w:szCs w:val="24"/>
        </w:rPr>
        <w:t xml:space="preserve"> Regression Grade 0, TRG 0). Factors associated with </w:t>
      </w:r>
      <w:proofErr w:type="spellStart"/>
      <w:r w:rsidRPr="00E618BA">
        <w:rPr>
          <w:rFonts w:ascii="Times New Roman" w:eastAsia="Times New Roman" w:hAnsi="Times New Roman" w:cs="Times New Roman"/>
          <w:bCs/>
          <w:sz w:val="24"/>
          <w:szCs w:val="24"/>
        </w:rPr>
        <w:t>pCR</w:t>
      </w:r>
      <w:proofErr w:type="spellEnd"/>
      <w:r w:rsidRPr="00E618BA">
        <w:rPr>
          <w:rFonts w:ascii="Times New Roman" w:eastAsia="Times New Roman" w:hAnsi="Times New Roman" w:cs="Times New Roman"/>
          <w:bCs/>
          <w:sz w:val="24"/>
          <w:szCs w:val="24"/>
        </w:rPr>
        <w:t xml:space="preserve">, compared with poor response (TRG 3), included adenocarcinoma histology (vs. mucinous adenocarcinoma), well or moderately differentiated tumors, lower clinical T stage (cT1–cT3), lower nodal stage (N0–N1), and the use of neoadjuvant chemotherapy. Conversely, elevated carcinoembryonic antigen (CEA) levels were significantly associated with TRG 3. Patients achieving </w:t>
      </w:r>
      <w:proofErr w:type="spellStart"/>
      <w:r w:rsidRPr="00E618BA">
        <w:rPr>
          <w:rFonts w:ascii="Times New Roman" w:eastAsia="Times New Roman" w:hAnsi="Times New Roman" w:cs="Times New Roman"/>
          <w:bCs/>
          <w:sz w:val="24"/>
          <w:szCs w:val="24"/>
        </w:rPr>
        <w:t>pCR</w:t>
      </w:r>
      <w:proofErr w:type="spellEnd"/>
      <w:r w:rsidRPr="00E618BA">
        <w:rPr>
          <w:rFonts w:ascii="Times New Roman" w:eastAsia="Times New Roman" w:hAnsi="Times New Roman" w:cs="Times New Roman"/>
          <w:bCs/>
          <w:sz w:val="24"/>
          <w:szCs w:val="24"/>
        </w:rPr>
        <w:t xml:space="preserve"> demonstrated higher rates of local excision, shorter hospital stays, and lower unplanned readmission rates compared with those with TRG 3. Additionally, R0 resection rates and overall survival were significantly higher across all regression grades compared with TRG 3 (</w:t>
      </w:r>
      <w:r w:rsidRPr="00E618BA">
        <w:rPr>
          <w:rFonts w:ascii="Times New Roman" w:eastAsia="Times New Roman" w:hAnsi="Times New Roman" w:cs="Times New Roman"/>
          <w:bCs/>
          <w:i/>
          <w:iCs/>
          <w:sz w:val="24"/>
          <w:szCs w:val="24"/>
        </w:rPr>
        <w:t>p</w:t>
      </w:r>
      <w:r w:rsidRPr="00E618BA">
        <w:rPr>
          <w:rFonts w:ascii="Times New Roman" w:eastAsia="Times New Roman" w:hAnsi="Times New Roman" w:cs="Times New Roman"/>
          <w:bCs/>
          <w:sz w:val="24"/>
          <w:szCs w:val="24"/>
        </w:rPr>
        <w:t xml:space="preserve"> &lt; 0.0001)</w:t>
      </w:r>
      <w:r w:rsidRPr="00E618BA">
        <w:rPr>
          <w:rFonts w:ascii="Times New Roman" w:eastAsia="Times New Roman" w:hAnsi="Times New Roman" w:cs="Times New Roman"/>
          <w:b/>
          <w:sz w:val="24"/>
          <w:szCs w:val="24"/>
        </w:rPr>
        <w:t>.</w:t>
      </w:r>
      <w:r w:rsidRPr="00E618BA">
        <w:rPr>
          <w:rFonts w:ascii="Times New Roman" w:eastAsia="Times New Roman" w:hAnsi="Times New Roman" w:cs="Times New Roman"/>
          <w:b/>
          <w:sz w:val="24"/>
          <w:szCs w:val="24"/>
          <w:vertAlign w:val="superscript"/>
        </w:rPr>
        <w:t xml:space="preserve"> </w:t>
      </w:r>
      <w:r w:rsidR="00F1168C" w:rsidRPr="00E618BA">
        <w:rPr>
          <w:rFonts w:ascii="Times New Roman" w:eastAsia="Times New Roman" w:hAnsi="Times New Roman" w:cs="Times New Roman"/>
          <w:sz w:val="24"/>
          <w:szCs w:val="24"/>
          <w:vertAlign w:val="superscript"/>
        </w:rPr>
        <w:t>(8)</w:t>
      </w:r>
    </w:p>
    <w:p w14:paraId="342332D1" w14:textId="4A490144" w:rsidR="00F1168C" w:rsidRPr="00E618BA" w:rsidRDefault="00AD2B64" w:rsidP="00E618BA">
      <w:pPr>
        <w:spacing w:after="160" w:line="480" w:lineRule="auto"/>
        <w:rPr>
          <w:rFonts w:ascii="Times New Roman" w:eastAsia="Times New Roman" w:hAnsi="Times New Roman" w:cs="Times New Roman"/>
          <w:sz w:val="24"/>
          <w:szCs w:val="24"/>
          <w:vertAlign w:val="superscript"/>
        </w:rPr>
      </w:pPr>
      <w:r w:rsidRPr="00E618BA">
        <w:rPr>
          <w:rFonts w:ascii="Times New Roman" w:eastAsia="Times New Roman" w:hAnsi="Times New Roman" w:cs="Times New Roman"/>
          <w:b/>
          <w:sz w:val="24"/>
          <w:szCs w:val="24"/>
        </w:rPr>
        <w:t xml:space="preserve">Bonetti </w:t>
      </w:r>
      <w:r w:rsidRPr="00E618BA">
        <w:rPr>
          <w:rFonts w:ascii="Times New Roman" w:eastAsia="Times New Roman" w:hAnsi="Times New Roman" w:cs="Times New Roman"/>
          <w:b/>
          <w:i/>
          <w:iCs/>
          <w:sz w:val="24"/>
          <w:szCs w:val="24"/>
        </w:rPr>
        <w:t>et al.</w:t>
      </w:r>
      <w:r w:rsidRPr="00E618BA">
        <w:rPr>
          <w:rFonts w:ascii="Times New Roman" w:eastAsia="Times New Roman" w:hAnsi="Times New Roman" w:cs="Times New Roman"/>
          <w:b/>
          <w:sz w:val="24"/>
          <w:szCs w:val="24"/>
        </w:rPr>
        <w:t xml:space="preserve"> </w:t>
      </w:r>
      <w:r w:rsidRPr="00E618BA">
        <w:rPr>
          <w:rFonts w:ascii="Times New Roman" w:eastAsia="Times New Roman" w:hAnsi="Times New Roman" w:cs="Times New Roman"/>
          <w:bCs/>
          <w:sz w:val="24"/>
          <w:szCs w:val="24"/>
        </w:rPr>
        <w:t>studied 238 patients treated with NACTRT followed by TME and found that node-positive status, mucinous histology, and poor differentiation were significantly associated with poor pathological response (low Dworak grade or unchanged/upstaged TNM</w:t>
      </w:r>
      <w:proofErr w:type="gramStart"/>
      <w:r w:rsidRPr="00E618BA">
        <w:rPr>
          <w:rFonts w:ascii="Times New Roman" w:eastAsia="Times New Roman" w:hAnsi="Times New Roman" w:cs="Times New Roman"/>
          <w:bCs/>
          <w:sz w:val="24"/>
          <w:szCs w:val="24"/>
        </w:rPr>
        <w:t>)</w:t>
      </w:r>
      <w:r w:rsidR="00F1168C" w:rsidRPr="00E618BA">
        <w:rPr>
          <w:rFonts w:ascii="Times New Roman" w:eastAsia="Times New Roman" w:hAnsi="Times New Roman" w:cs="Times New Roman"/>
          <w:sz w:val="24"/>
          <w:szCs w:val="24"/>
        </w:rPr>
        <w:t>.</w:t>
      </w:r>
      <w:r w:rsidR="00F1168C" w:rsidRPr="00E618BA">
        <w:rPr>
          <w:rFonts w:ascii="Times New Roman" w:eastAsia="Times New Roman" w:hAnsi="Times New Roman" w:cs="Times New Roman"/>
          <w:sz w:val="24"/>
          <w:szCs w:val="24"/>
          <w:vertAlign w:val="superscript"/>
        </w:rPr>
        <w:t>(</w:t>
      </w:r>
      <w:proofErr w:type="gramEnd"/>
      <w:r w:rsidR="00F1168C" w:rsidRPr="00E618BA">
        <w:rPr>
          <w:rFonts w:ascii="Times New Roman" w:eastAsia="Times New Roman" w:hAnsi="Times New Roman" w:cs="Times New Roman"/>
          <w:sz w:val="24"/>
          <w:szCs w:val="24"/>
          <w:vertAlign w:val="superscript"/>
        </w:rPr>
        <w:t>9)</w:t>
      </w:r>
    </w:p>
    <w:p w14:paraId="41F05434" w14:textId="77777777" w:rsidR="00F1168C" w:rsidRPr="00E618BA" w:rsidRDefault="00F1168C" w:rsidP="00E618BA">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b/>
          <w:sz w:val="24"/>
          <w:szCs w:val="24"/>
        </w:rPr>
        <w:lastRenderedPageBreak/>
        <w:t xml:space="preserve">5. Limitations and Future Directions: </w:t>
      </w:r>
      <w:r w:rsidRPr="00E618BA">
        <w:rPr>
          <w:rFonts w:ascii="Times New Roman" w:eastAsia="Times New Roman" w:hAnsi="Times New Roman" w:cs="Times New Roman"/>
          <w:sz w:val="24"/>
          <w:szCs w:val="24"/>
        </w:rPr>
        <w:t>It is essential to acknowledge the limitations of this retrospective study, such as potential selection bias and variability in treatment protocols. Future prospective studies with larger sample sizes and longer follow-up periods are warranted to validate these findings and further refine treatment algorithms. Additionally, exploring biomarkers or molecular profiling to predict treatment response could enhance personalized therapeutic strategies in rectal cancer management.</w:t>
      </w:r>
    </w:p>
    <w:p w14:paraId="3BDB25BC" w14:textId="77777777" w:rsidR="00F1168C" w:rsidRPr="00E618BA" w:rsidRDefault="00F1168C" w:rsidP="00E618BA">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6.Conclusion</w:t>
      </w:r>
    </w:p>
    <w:p w14:paraId="374225AE" w14:textId="77777777" w:rsidR="00C57B1A" w:rsidRPr="00E618BA" w:rsidRDefault="00C57B1A" w:rsidP="00E618BA">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sz w:val="24"/>
          <w:szCs w:val="24"/>
        </w:rPr>
        <w:t>In conclusion, this retrospective analysis underscores the beneficial impact of neoadjuvant chemoradiation in the management of rectal carcinoma. The findings add to the existing evidence supporting its efficacy in tumor downstaging, improving surgical outcomes, and informing clinical decision-making for patients with locally advanced disease. The study reaffirms neoadjuvant chemoradiation as an integral component of multimodal treatment strategies for rectal cancer. Further research with larger cohorts and long-term follow-up is warranted to optimize therapeutic protocols and enhance survival outcomes.</w:t>
      </w:r>
    </w:p>
    <w:p w14:paraId="2D35783D" w14:textId="2277CEE3" w:rsidR="00F1168C" w:rsidRPr="00E618BA" w:rsidRDefault="00F1168C" w:rsidP="00E618BA">
      <w:pPr>
        <w:spacing w:after="160" w:line="480" w:lineRule="auto"/>
        <w:rPr>
          <w:rFonts w:ascii="Times New Roman" w:eastAsia="Times New Roman" w:hAnsi="Times New Roman" w:cs="Times New Roman"/>
          <w:sz w:val="24"/>
          <w:szCs w:val="24"/>
        </w:rPr>
      </w:pPr>
      <w:bookmarkStart w:id="0" w:name="_GoBack"/>
      <w:bookmarkEnd w:id="0"/>
      <w:r w:rsidRPr="00E618BA">
        <w:rPr>
          <w:rFonts w:ascii="Times New Roman" w:eastAsia="Times New Roman" w:hAnsi="Times New Roman" w:cs="Times New Roman"/>
          <w:b/>
          <w:sz w:val="24"/>
          <w:szCs w:val="24"/>
        </w:rPr>
        <w:t xml:space="preserve">9.Conflict of interest: </w:t>
      </w:r>
      <w:r w:rsidRPr="00E618BA">
        <w:rPr>
          <w:rFonts w:ascii="Times New Roman" w:eastAsia="Times New Roman" w:hAnsi="Times New Roman" w:cs="Times New Roman"/>
          <w:sz w:val="24"/>
          <w:szCs w:val="24"/>
        </w:rPr>
        <w:t>There are no conflicts of interest.</w:t>
      </w:r>
    </w:p>
    <w:p w14:paraId="52A7EEFE" w14:textId="77777777" w:rsidR="00742BB0" w:rsidRPr="00742BB0" w:rsidRDefault="00742BB0" w:rsidP="00742BB0">
      <w:pPr>
        <w:spacing w:after="200"/>
        <w:jc w:val="both"/>
        <w:outlineLvl w:val="0"/>
        <w:rPr>
          <w:rFonts w:eastAsia="Times New Roman"/>
          <w:lang w:eastAsia="en-GB"/>
        </w:rPr>
      </w:pPr>
      <w:r w:rsidRPr="00742BB0">
        <w:rPr>
          <w:rFonts w:eastAsia="Times New Roman"/>
          <w:b/>
          <w:bCs/>
          <w:lang w:eastAsia="en-GB"/>
        </w:rPr>
        <w:t>COMPETING INTERESTS DISCLAIMER:</w:t>
      </w:r>
    </w:p>
    <w:p w14:paraId="0F887013" w14:textId="77777777" w:rsidR="00742BB0" w:rsidRPr="00742BB0" w:rsidRDefault="00742BB0" w:rsidP="00742BB0">
      <w:pPr>
        <w:spacing w:after="200"/>
        <w:rPr>
          <w:rFonts w:ascii="Calibri" w:eastAsia="Times New Roman" w:hAnsi="Calibri" w:cs="Times New Roman"/>
          <w:lang w:eastAsia="en-GB"/>
        </w:rPr>
      </w:pPr>
      <w:r w:rsidRPr="00742BB0">
        <w:rPr>
          <w:rFonts w:ascii="Calibri" w:eastAsia="Times New Roman" w:hAnsi="Calibri" w:cs="Times New Roman"/>
          <w:lang w:eastAsia="en-GB"/>
        </w:rPr>
        <w:t>Authors have declared that they have no known competing financial interests OR non-financial interests OR personal relationships that could have appeared to influence the work reported in this paper.</w:t>
      </w:r>
    </w:p>
    <w:p w14:paraId="76E0160B" w14:textId="77777777" w:rsidR="00F856E5" w:rsidRPr="00E618BA" w:rsidRDefault="00F856E5" w:rsidP="00E618BA">
      <w:pPr>
        <w:spacing w:after="160" w:line="480" w:lineRule="auto"/>
        <w:rPr>
          <w:rFonts w:ascii="Times New Roman" w:eastAsia="Times New Roman" w:hAnsi="Times New Roman" w:cs="Times New Roman"/>
          <w:sz w:val="24"/>
          <w:szCs w:val="24"/>
        </w:rPr>
      </w:pPr>
    </w:p>
    <w:p w14:paraId="77527C72" w14:textId="77777777" w:rsidR="00F1168C" w:rsidRPr="00E618BA" w:rsidRDefault="00F1168C" w:rsidP="00E618BA">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References</w:t>
      </w:r>
    </w:p>
    <w:p w14:paraId="327D1BC6" w14:textId="77777777" w:rsidR="00F1168C" w:rsidRPr="00E618BA" w:rsidRDefault="00F1168C" w:rsidP="00E618BA">
      <w:pPr>
        <w:numPr>
          <w:ilvl w:val="0"/>
          <w:numId w:val="1"/>
        </w:numPr>
        <w:spacing w:line="480" w:lineRule="auto"/>
        <w:rPr>
          <w:rFonts w:ascii="Times New Roman" w:eastAsia="Times New Roman" w:hAnsi="Times New Roman" w:cs="Times New Roman"/>
          <w:color w:val="181817"/>
          <w:sz w:val="24"/>
          <w:szCs w:val="24"/>
        </w:rPr>
      </w:pPr>
      <w:r w:rsidRPr="00E618BA">
        <w:rPr>
          <w:rFonts w:ascii="Times New Roman" w:eastAsia="Times New Roman" w:hAnsi="Times New Roman" w:cs="Times New Roman"/>
          <w:color w:val="181817"/>
          <w:sz w:val="24"/>
          <w:szCs w:val="24"/>
        </w:rPr>
        <w:t xml:space="preserve">Sung H, </w:t>
      </w:r>
      <w:proofErr w:type="spellStart"/>
      <w:r w:rsidRPr="00E618BA">
        <w:rPr>
          <w:rFonts w:ascii="Times New Roman" w:eastAsia="Times New Roman" w:hAnsi="Times New Roman" w:cs="Times New Roman"/>
          <w:color w:val="181817"/>
          <w:sz w:val="24"/>
          <w:szCs w:val="24"/>
        </w:rPr>
        <w:t>Ferlay</w:t>
      </w:r>
      <w:proofErr w:type="spellEnd"/>
      <w:r w:rsidRPr="00E618BA">
        <w:rPr>
          <w:rFonts w:ascii="Times New Roman" w:eastAsia="Times New Roman" w:hAnsi="Times New Roman" w:cs="Times New Roman"/>
          <w:color w:val="181817"/>
          <w:sz w:val="24"/>
          <w:szCs w:val="24"/>
        </w:rPr>
        <w:t xml:space="preserve"> J, Siegel RL, </w:t>
      </w:r>
      <w:proofErr w:type="spellStart"/>
      <w:r w:rsidRPr="00E618BA">
        <w:rPr>
          <w:rFonts w:ascii="Times New Roman" w:eastAsia="Times New Roman" w:hAnsi="Times New Roman" w:cs="Times New Roman"/>
          <w:color w:val="181817"/>
          <w:sz w:val="24"/>
          <w:szCs w:val="24"/>
        </w:rPr>
        <w:t>Laversanne</w:t>
      </w:r>
      <w:proofErr w:type="spellEnd"/>
      <w:r w:rsidRPr="00E618BA">
        <w:rPr>
          <w:rFonts w:ascii="Times New Roman" w:eastAsia="Times New Roman" w:hAnsi="Times New Roman" w:cs="Times New Roman"/>
          <w:color w:val="181817"/>
          <w:sz w:val="24"/>
          <w:szCs w:val="24"/>
        </w:rPr>
        <w:t xml:space="preserve"> M, </w:t>
      </w:r>
      <w:proofErr w:type="spellStart"/>
      <w:r w:rsidRPr="00E618BA">
        <w:rPr>
          <w:rFonts w:ascii="Times New Roman" w:eastAsia="Times New Roman" w:hAnsi="Times New Roman" w:cs="Times New Roman"/>
          <w:color w:val="181817"/>
          <w:sz w:val="24"/>
          <w:szCs w:val="24"/>
        </w:rPr>
        <w:t>Soerjomataram</w:t>
      </w:r>
      <w:proofErr w:type="spellEnd"/>
      <w:r w:rsidRPr="00E618BA">
        <w:rPr>
          <w:rFonts w:ascii="Times New Roman" w:eastAsia="Times New Roman" w:hAnsi="Times New Roman" w:cs="Times New Roman"/>
          <w:color w:val="181817"/>
          <w:sz w:val="24"/>
          <w:szCs w:val="24"/>
        </w:rPr>
        <w:t xml:space="preserve"> I, Jemal A, Bray F. Global Cancer Statistics 2020: GLOBOCAN Estimates of Incidence and Mortality Worldwide for 36 Cancers in 185 Countries. CA Cancer J Clin. 2021 May;71(3):209-249. </w:t>
      </w:r>
      <w:proofErr w:type="spellStart"/>
      <w:r w:rsidRPr="00E618BA">
        <w:rPr>
          <w:rFonts w:ascii="Times New Roman" w:eastAsia="Times New Roman" w:hAnsi="Times New Roman" w:cs="Times New Roman"/>
          <w:color w:val="181817"/>
          <w:sz w:val="24"/>
          <w:szCs w:val="24"/>
        </w:rPr>
        <w:t>doi</w:t>
      </w:r>
      <w:proofErr w:type="spellEnd"/>
      <w:r w:rsidRPr="00E618BA">
        <w:rPr>
          <w:rFonts w:ascii="Times New Roman" w:eastAsia="Times New Roman" w:hAnsi="Times New Roman" w:cs="Times New Roman"/>
          <w:color w:val="181817"/>
          <w:sz w:val="24"/>
          <w:szCs w:val="24"/>
        </w:rPr>
        <w:t xml:space="preserve">: 10.3322/caac.21660. </w:t>
      </w:r>
      <w:proofErr w:type="spellStart"/>
      <w:r w:rsidRPr="00E618BA">
        <w:rPr>
          <w:rFonts w:ascii="Times New Roman" w:eastAsia="Times New Roman" w:hAnsi="Times New Roman" w:cs="Times New Roman"/>
          <w:color w:val="181817"/>
          <w:sz w:val="24"/>
          <w:szCs w:val="24"/>
        </w:rPr>
        <w:t>Epub</w:t>
      </w:r>
      <w:proofErr w:type="spellEnd"/>
      <w:r w:rsidRPr="00E618BA">
        <w:rPr>
          <w:rFonts w:ascii="Times New Roman" w:eastAsia="Times New Roman" w:hAnsi="Times New Roman" w:cs="Times New Roman"/>
          <w:color w:val="181817"/>
          <w:sz w:val="24"/>
          <w:szCs w:val="24"/>
        </w:rPr>
        <w:t xml:space="preserve"> 2021 Feb 4. PMID: 33538338.</w:t>
      </w:r>
    </w:p>
    <w:p w14:paraId="6D563453" w14:textId="77777777" w:rsidR="00F1168C" w:rsidRPr="00E618BA" w:rsidRDefault="00F1168C" w:rsidP="00E618BA">
      <w:pPr>
        <w:pBdr>
          <w:top w:val="nil"/>
          <w:left w:val="nil"/>
          <w:bottom w:val="nil"/>
          <w:right w:val="nil"/>
          <w:between w:val="nil"/>
        </w:pBdr>
        <w:spacing w:line="480" w:lineRule="auto"/>
        <w:rPr>
          <w:rFonts w:ascii="Times New Roman" w:eastAsia="Times New Roman" w:hAnsi="Times New Roman" w:cs="Times New Roman"/>
          <w:color w:val="181817"/>
          <w:sz w:val="24"/>
          <w:szCs w:val="24"/>
        </w:rPr>
      </w:pPr>
    </w:p>
    <w:p w14:paraId="1F224DC3" w14:textId="77777777" w:rsidR="00F1168C" w:rsidRPr="00E618BA" w:rsidRDefault="00F1168C" w:rsidP="00E618BA">
      <w:pPr>
        <w:numPr>
          <w:ilvl w:val="0"/>
          <w:numId w:val="1"/>
        </w:numPr>
        <w:spacing w:line="480" w:lineRule="auto"/>
        <w:rPr>
          <w:rFonts w:ascii="Times New Roman" w:eastAsia="Times New Roman" w:hAnsi="Times New Roman" w:cs="Times New Roman"/>
          <w:color w:val="181817"/>
          <w:sz w:val="24"/>
          <w:szCs w:val="24"/>
        </w:rPr>
      </w:pPr>
      <w:proofErr w:type="spellStart"/>
      <w:r w:rsidRPr="00E618BA">
        <w:rPr>
          <w:rFonts w:ascii="Times New Roman" w:eastAsia="Times New Roman" w:hAnsi="Times New Roman" w:cs="Times New Roman"/>
          <w:color w:val="181817"/>
          <w:sz w:val="24"/>
          <w:szCs w:val="24"/>
        </w:rPr>
        <w:t>Couwenberg</w:t>
      </w:r>
      <w:proofErr w:type="spellEnd"/>
      <w:r w:rsidRPr="00E618BA">
        <w:rPr>
          <w:rFonts w:ascii="Times New Roman" w:eastAsia="Times New Roman" w:hAnsi="Times New Roman" w:cs="Times New Roman"/>
          <w:color w:val="181817"/>
          <w:sz w:val="24"/>
          <w:szCs w:val="24"/>
        </w:rPr>
        <w:t xml:space="preserve"> AM, Burbach JPM, van </w:t>
      </w:r>
      <w:proofErr w:type="spellStart"/>
      <w:r w:rsidRPr="00E618BA">
        <w:rPr>
          <w:rFonts w:ascii="Times New Roman" w:eastAsia="Times New Roman" w:hAnsi="Times New Roman" w:cs="Times New Roman"/>
          <w:color w:val="181817"/>
          <w:sz w:val="24"/>
          <w:szCs w:val="24"/>
        </w:rPr>
        <w:t>Grevenstein</w:t>
      </w:r>
      <w:proofErr w:type="spellEnd"/>
      <w:r w:rsidRPr="00E618BA">
        <w:rPr>
          <w:rFonts w:ascii="Times New Roman" w:eastAsia="Times New Roman" w:hAnsi="Times New Roman" w:cs="Times New Roman"/>
          <w:color w:val="181817"/>
          <w:sz w:val="24"/>
          <w:szCs w:val="24"/>
        </w:rPr>
        <w:t xml:space="preserve"> WMU, Smits AB, </w:t>
      </w:r>
      <w:proofErr w:type="spellStart"/>
      <w:r w:rsidRPr="00E618BA">
        <w:rPr>
          <w:rFonts w:ascii="Times New Roman" w:eastAsia="Times New Roman" w:hAnsi="Times New Roman" w:cs="Times New Roman"/>
          <w:color w:val="181817"/>
          <w:sz w:val="24"/>
          <w:szCs w:val="24"/>
        </w:rPr>
        <w:t>Consten</w:t>
      </w:r>
      <w:proofErr w:type="spellEnd"/>
      <w:r w:rsidRPr="00E618BA">
        <w:rPr>
          <w:rFonts w:ascii="Times New Roman" w:eastAsia="Times New Roman" w:hAnsi="Times New Roman" w:cs="Times New Roman"/>
          <w:color w:val="181817"/>
          <w:sz w:val="24"/>
          <w:szCs w:val="24"/>
        </w:rPr>
        <w:t xml:space="preserve"> ECJ, </w:t>
      </w:r>
      <w:proofErr w:type="spellStart"/>
      <w:r w:rsidRPr="00E618BA">
        <w:rPr>
          <w:rFonts w:ascii="Times New Roman" w:eastAsia="Times New Roman" w:hAnsi="Times New Roman" w:cs="Times New Roman"/>
          <w:color w:val="181817"/>
          <w:sz w:val="24"/>
          <w:szCs w:val="24"/>
        </w:rPr>
        <w:t>Schiphorst</w:t>
      </w:r>
      <w:proofErr w:type="spellEnd"/>
      <w:r w:rsidRPr="00E618BA">
        <w:rPr>
          <w:rFonts w:ascii="Times New Roman" w:eastAsia="Times New Roman" w:hAnsi="Times New Roman" w:cs="Times New Roman"/>
          <w:color w:val="181817"/>
          <w:sz w:val="24"/>
          <w:szCs w:val="24"/>
        </w:rPr>
        <w:t xml:space="preserve"> </w:t>
      </w:r>
      <w:proofErr w:type="spellStart"/>
      <w:proofErr w:type="gramStart"/>
      <w:r w:rsidRPr="00E618BA">
        <w:rPr>
          <w:rFonts w:ascii="Times New Roman" w:eastAsia="Times New Roman" w:hAnsi="Times New Roman" w:cs="Times New Roman"/>
          <w:color w:val="181817"/>
          <w:sz w:val="24"/>
          <w:szCs w:val="24"/>
        </w:rPr>
        <w:t>AHW,Wijffels</w:t>
      </w:r>
      <w:proofErr w:type="spellEnd"/>
      <w:proofErr w:type="gramEnd"/>
      <w:r w:rsidRPr="00E618BA">
        <w:rPr>
          <w:rFonts w:ascii="Times New Roman" w:eastAsia="Times New Roman" w:hAnsi="Times New Roman" w:cs="Times New Roman"/>
          <w:color w:val="181817"/>
          <w:sz w:val="24"/>
          <w:szCs w:val="24"/>
        </w:rPr>
        <w:t xml:space="preserve"> NAT, </w:t>
      </w:r>
      <w:proofErr w:type="spellStart"/>
      <w:r w:rsidRPr="00E618BA">
        <w:rPr>
          <w:rFonts w:ascii="Times New Roman" w:eastAsia="Times New Roman" w:hAnsi="Times New Roman" w:cs="Times New Roman"/>
          <w:color w:val="181817"/>
          <w:sz w:val="24"/>
          <w:szCs w:val="24"/>
        </w:rPr>
        <w:t>Heikens</w:t>
      </w:r>
      <w:proofErr w:type="spellEnd"/>
      <w:r w:rsidRPr="00E618BA">
        <w:rPr>
          <w:rFonts w:ascii="Times New Roman" w:eastAsia="Times New Roman" w:hAnsi="Times New Roman" w:cs="Times New Roman"/>
          <w:color w:val="181817"/>
          <w:sz w:val="24"/>
          <w:szCs w:val="24"/>
        </w:rPr>
        <w:t xml:space="preserve"> JT, </w:t>
      </w:r>
      <w:proofErr w:type="spellStart"/>
      <w:r w:rsidRPr="00E618BA">
        <w:rPr>
          <w:rFonts w:ascii="Times New Roman" w:eastAsia="Times New Roman" w:hAnsi="Times New Roman" w:cs="Times New Roman"/>
          <w:color w:val="181817"/>
          <w:sz w:val="24"/>
          <w:szCs w:val="24"/>
        </w:rPr>
        <w:t>Intven</w:t>
      </w:r>
      <w:proofErr w:type="spellEnd"/>
      <w:r w:rsidRPr="00E618BA">
        <w:rPr>
          <w:rFonts w:ascii="Times New Roman" w:eastAsia="Times New Roman" w:hAnsi="Times New Roman" w:cs="Times New Roman"/>
          <w:color w:val="181817"/>
          <w:sz w:val="24"/>
          <w:szCs w:val="24"/>
        </w:rPr>
        <w:t xml:space="preserve"> MPW, </w:t>
      </w:r>
      <w:proofErr w:type="spellStart"/>
      <w:r w:rsidRPr="00E618BA">
        <w:rPr>
          <w:rFonts w:ascii="Times New Roman" w:eastAsia="Times New Roman" w:hAnsi="Times New Roman" w:cs="Times New Roman"/>
          <w:color w:val="181817"/>
          <w:sz w:val="24"/>
          <w:szCs w:val="24"/>
        </w:rPr>
        <w:t>Verkooijen</w:t>
      </w:r>
      <w:proofErr w:type="spellEnd"/>
      <w:r w:rsidRPr="00E618BA">
        <w:rPr>
          <w:rFonts w:ascii="Times New Roman" w:eastAsia="Times New Roman" w:hAnsi="Times New Roman" w:cs="Times New Roman"/>
          <w:color w:val="181817"/>
          <w:sz w:val="24"/>
          <w:szCs w:val="24"/>
        </w:rPr>
        <w:t xml:space="preserve"> HM. Effect of Neoadjuvant Therapy and Rectal Surgery on Health-related Quality of Life in Patients With Rectal Cancer During the First 2 Years After Diagnosis. Clin Colorectal Cancer 2018; 17: e499-e512 [PMID: 29678514 </w:t>
      </w:r>
      <w:proofErr w:type="gramStart"/>
      <w:r w:rsidRPr="00E618BA">
        <w:rPr>
          <w:rFonts w:ascii="Times New Roman" w:eastAsia="Times New Roman" w:hAnsi="Times New Roman" w:cs="Times New Roman"/>
          <w:color w:val="181817"/>
          <w:sz w:val="24"/>
          <w:szCs w:val="24"/>
        </w:rPr>
        <w:t>DOI:10.1016/j.clcc</w:t>
      </w:r>
      <w:proofErr w:type="gramEnd"/>
      <w:r w:rsidRPr="00E618BA">
        <w:rPr>
          <w:rFonts w:ascii="Times New Roman" w:eastAsia="Times New Roman" w:hAnsi="Times New Roman" w:cs="Times New Roman"/>
          <w:color w:val="181817"/>
          <w:sz w:val="24"/>
          <w:szCs w:val="24"/>
        </w:rPr>
        <w:t>.2018.03.009]</w:t>
      </w:r>
    </w:p>
    <w:p w14:paraId="020E0431" w14:textId="77777777" w:rsidR="00F1168C" w:rsidRPr="00E618BA" w:rsidRDefault="00F1168C" w:rsidP="00E618BA">
      <w:pPr>
        <w:spacing w:line="480" w:lineRule="auto"/>
        <w:ind w:left="720"/>
        <w:rPr>
          <w:rFonts w:ascii="Times New Roman" w:eastAsia="Times New Roman" w:hAnsi="Times New Roman" w:cs="Times New Roman"/>
          <w:color w:val="181817"/>
          <w:sz w:val="24"/>
          <w:szCs w:val="24"/>
        </w:rPr>
      </w:pPr>
    </w:p>
    <w:p w14:paraId="582E28B9" w14:textId="69E465FD" w:rsidR="00F1168C" w:rsidRPr="00E618BA" w:rsidRDefault="00F1168C" w:rsidP="00E618BA">
      <w:pPr>
        <w:numPr>
          <w:ilvl w:val="0"/>
          <w:numId w:val="1"/>
        </w:numPr>
        <w:spacing w:line="480" w:lineRule="auto"/>
        <w:rPr>
          <w:rFonts w:ascii="Times New Roman" w:eastAsia="Times New Roman" w:hAnsi="Times New Roman" w:cs="Times New Roman"/>
          <w:color w:val="181817"/>
          <w:sz w:val="24"/>
          <w:szCs w:val="24"/>
        </w:rPr>
      </w:pPr>
      <w:proofErr w:type="spellStart"/>
      <w:r w:rsidRPr="00E618BA">
        <w:rPr>
          <w:rFonts w:ascii="Times New Roman" w:eastAsia="Times New Roman" w:hAnsi="Times New Roman" w:cs="Times New Roman"/>
          <w:color w:val="181817"/>
          <w:sz w:val="24"/>
          <w:szCs w:val="24"/>
        </w:rPr>
        <w:t>Kokaine</w:t>
      </w:r>
      <w:proofErr w:type="spellEnd"/>
      <w:r w:rsidRPr="00E618BA">
        <w:rPr>
          <w:rFonts w:ascii="Times New Roman" w:eastAsia="Times New Roman" w:hAnsi="Times New Roman" w:cs="Times New Roman"/>
          <w:color w:val="181817"/>
          <w:sz w:val="24"/>
          <w:szCs w:val="24"/>
        </w:rPr>
        <w:t xml:space="preserve"> L, </w:t>
      </w:r>
      <w:proofErr w:type="spellStart"/>
      <w:r w:rsidRPr="00E618BA">
        <w:rPr>
          <w:rFonts w:ascii="Times New Roman" w:eastAsia="Times New Roman" w:hAnsi="Times New Roman" w:cs="Times New Roman"/>
          <w:color w:val="181817"/>
          <w:sz w:val="24"/>
          <w:szCs w:val="24"/>
        </w:rPr>
        <w:t>Gardovskis</w:t>
      </w:r>
      <w:proofErr w:type="spellEnd"/>
      <w:r w:rsidRPr="00E618BA">
        <w:rPr>
          <w:rFonts w:ascii="Times New Roman" w:eastAsia="Times New Roman" w:hAnsi="Times New Roman" w:cs="Times New Roman"/>
          <w:color w:val="181817"/>
          <w:sz w:val="24"/>
          <w:szCs w:val="24"/>
        </w:rPr>
        <w:t xml:space="preserve"> A, </w:t>
      </w:r>
      <w:proofErr w:type="spellStart"/>
      <w:r w:rsidRPr="00E618BA">
        <w:rPr>
          <w:rFonts w:ascii="Times New Roman" w:eastAsia="Times New Roman" w:hAnsi="Times New Roman" w:cs="Times New Roman"/>
          <w:color w:val="181817"/>
          <w:sz w:val="24"/>
          <w:szCs w:val="24"/>
        </w:rPr>
        <w:t>Gardovskis</w:t>
      </w:r>
      <w:proofErr w:type="spellEnd"/>
      <w:r w:rsidRPr="00E618BA">
        <w:rPr>
          <w:rFonts w:ascii="Times New Roman" w:eastAsia="Times New Roman" w:hAnsi="Times New Roman" w:cs="Times New Roman"/>
          <w:color w:val="181817"/>
          <w:sz w:val="24"/>
          <w:szCs w:val="24"/>
        </w:rPr>
        <w:t xml:space="preserve"> J. Evaluation and predictive factors of complete response in rectal cancer after neoadjuvant chemoradiation therapy. Medicina. 2021 Sep 30;57(10):1044.</w:t>
      </w:r>
    </w:p>
    <w:p w14:paraId="7DDD3125" w14:textId="77777777" w:rsidR="00F1168C" w:rsidRPr="00E618BA" w:rsidRDefault="00F1168C" w:rsidP="00E618BA">
      <w:pPr>
        <w:spacing w:line="480" w:lineRule="auto"/>
        <w:ind w:left="720"/>
        <w:rPr>
          <w:rFonts w:ascii="Times New Roman" w:eastAsia="Times New Roman" w:hAnsi="Times New Roman" w:cs="Times New Roman"/>
          <w:color w:val="181817"/>
          <w:sz w:val="24"/>
          <w:szCs w:val="24"/>
        </w:rPr>
      </w:pPr>
    </w:p>
    <w:p w14:paraId="29B366E2" w14:textId="77777777" w:rsidR="00F1168C" w:rsidRPr="00E618BA" w:rsidRDefault="00F1168C" w:rsidP="00E618BA">
      <w:pPr>
        <w:widowControl w:val="0"/>
        <w:numPr>
          <w:ilvl w:val="0"/>
          <w:numId w:val="1"/>
        </w:numPr>
        <w:spacing w:line="480" w:lineRule="auto"/>
        <w:rPr>
          <w:rFonts w:ascii="Calibri" w:eastAsia="Calibri" w:hAnsi="Calibri" w:cs="Calibri"/>
          <w:color w:val="181817"/>
          <w:sz w:val="24"/>
          <w:szCs w:val="24"/>
        </w:rPr>
      </w:pPr>
      <w:r w:rsidRPr="00E618BA">
        <w:rPr>
          <w:rFonts w:ascii="Times New Roman" w:eastAsia="Times New Roman" w:hAnsi="Times New Roman" w:cs="Times New Roman"/>
          <w:color w:val="181817"/>
          <w:sz w:val="24"/>
          <w:szCs w:val="24"/>
        </w:rPr>
        <w:t> </w:t>
      </w:r>
      <w:proofErr w:type="spellStart"/>
      <w:r w:rsidRPr="00E618BA">
        <w:rPr>
          <w:rFonts w:ascii="Times New Roman" w:eastAsia="Times New Roman" w:hAnsi="Times New Roman" w:cs="Times New Roman"/>
          <w:color w:val="181817"/>
          <w:sz w:val="24"/>
          <w:szCs w:val="24"/>
        </w:rPr>
        <w:t>Suwanthanma</w:t>
      </w:r>
      <w:proofErr w:type="spellEnd"/>
      <w:r w:rsidRPr="00E618BA">
        <w:rPr>
          <w:rFonts w:ascii="Times New Roman" w:eastAsia="Times New Roman" w:hAnsi="Times New Roman" w:cs="Times New Roman"/>
          <w:color w:val="181817"/>
          <w:sz w:val="24"/>
          <w:szCs w:val="24"/>
        </w:rPr>
        <w:t xml:space="preserve"> W, </w:t>
      </w:r>
      <w:proofErr w:type="spellStart"/>
      <w:r w:rsidRPr="00E618BA">
        <w:rPr>
          <w:rFonts w:ascii="Times New Roman" w:eastAsia="Times New Roman" w:hAnsi="Times New Roman" w:cs="Times New Roman"/>
          <w:color w:val="181817"/>
          <w:sz w:val="24"/>
          <w:szCs w:val="24"/>
        </w:rPr>
        <w:t>Kitudomrat</w:t>
      </w:r>
      <w:proofErr w:type="spellEnd"/>
      <w:r w:rsidRPr="00E618BA">
        <w:rPr>
          <w:rFonts w:ascii="Times New Roman" w:eastAsia="Times New Roman" w:hAnsi="Times New Roman" w:cs="Times New Roman"/>
          <w:color w:val="181817"/>
          <w:sz w:val="24"/>
          <w:szCs w:val="24"/>
        </w:rPr>
        <w:t xml:space="preserve"> S, </w:t>
      </w:r>
      <w:proofErr w:type="spellStart"/>
      <w:r w:rsidRPr="00E618BA">
        <w:rPr>
          <w:rFonts w:ascii="Times New Roman" w:eastAsia="Times New Roman" w:hAnsi="Times New Roman" w:cs="Times New Roman"/>
          <w:color w:val="181817"/>
          <w:sz w:val="24"/>
          <w:szCs w:val="24"/>
        </w:rPr>
        <w:t>Euanorasetr</w:t>
      </w:r>
      <w:proofErr w:type="spellEnd"/>
      <w:r w:rsidRPr="00E618BA">
        <w:rPr>
          <w:rFonts w:ascii="Times New Roman" w:eastAsia="Times New Roman" w:hAnsi="Times New Roman" w:cs="Times New Roman"/>
          <w:color w:val="181817"/>
          <w:sz w:val="24"/>
          <w:szCs w:val="24"/>
        </w:rPr>
        <w:t xml:space="preserve"> C. Clinical outcome of neoadjuvant chemoradiation in rectal cancer treatment. Medicine 2021;00(00</w:t>
      </w:r>
      <w:proofErr w:type="gramStart"/>
      <w:r w:rsidRPr="00E618BA">
        <w:rPr>
          <w:rFonts w:ascii="Times New Roman" w:eastAsia="Times New Roman" w:hAnsi="Times New Roman" w:cs="Times New Roman"/>
          <w:color w:val="181817"/>
          <w:sz w:val="24"/>
          <w:szCs w:val="24"/>
        </w:rPr>
        <w:t>).Medicine</w:t>
      </w:r>
      <w:proofErr w:type="gramEnd"/>
      <w:r w:rsidRPr="00E618BA">
        <w:rPr>
          <w:rFonts w:ascii="Times New Roman" w:eastAsia="Times New Roman" w:hAnsi="Times New Roman" w:cs="Times New Roman"/>
          <w:color w:val="181817"/>
          <w:sz w:val="24"/>
          <w:szCs w:val="24"/>
        </w:rPr>
        <w:t xml:space="preserve"> 2021;100:38(e27366).</w:t>
      </w:r>
    </w:p>
    <w:p w14:paraId="627EAB1D" w14:textId="77777777" w:rsidR="00F1168C" w:rsidRPr="00E618BA" w:rsidRDefault="00F1168C" w:rsidP="00E618BA">
      <w:pPr>
        <w:widowControl w:val="0"/>
        <w:numPr>
          <w:ilvl w:val="0"/>
          <w:numId w:val="1"/>
        </w:numPr>
        <w:spacing w:before="200" w:line="480" w:lineRule="auto"/>
        <w:rPr>
          <w:rFonts w:ascii="Times New Roman" w:eastAsia="Times New Roman" w:hAnsi="Times New Roman" w:cs="Times New Roman"/>
          <w:color w:val="222222"/>
          <w:sz w:val="24"/>
          <w:szCs w:val="24"/>
          <w:highlight w:val="white"/>
        </w:rPr>
      </w:pPr>
      <w:r w:rsidRPr="00E618BA">
        <w:rPr>
          <w:rFonts w:ascii="Times New Roman" w:eastAsia="Times New Roman" w:hAnsi="Times New Roman" w:cs="Times New Roman"/>
          <w:color w:val="181817"/>
          <w:sz w:val="24"/>
          <w:szCs w:val="24"/>
        </w:rPr>
        <w:t xml:space="preserve">Iskander O, </w:t>
      </w:r>
      <w:proofErr w:type="spellStart"/>
      <w:r w:rsidRPr="00E618BA">
        <w:rPr>
          <w:rFonts w:ascii="Times New Roman" w:eastAsia="Times New Roman" w:hAnsi="Times New Roman" w:cs="Times New Roman"/>
          <w:color w:val="181817"/>
          <w:sz w:val="24"/>
          <w:szCs w:val="24"/>
        </w:rPr>
        <w:t>Courtot</w:t>
      </w:r>
      <w:proofErr w:type="spellEnd"/>
      <w:r w:rsidRPr="00E618BA">
        <w:rPr>
          <w:rFonts w:ascii="Times New Roman" w:eastAsia="Times New Roman" w:hAnsi="Times New Roman" w:cs="Times New Roman"/>
          <w:color w:val="181817"/>
          <w:sz w:val="24"/>
          <w:szCs w:val="24"/>
        </w:rPr>
        <w:t xml:space="preserve"> L, </w:t>
      </w:r>
      <w:proofErr w:type="spellStart"/>
      <w:r w:rsidRPr="00E618BA">
        <w:rPr>
          <w:rFonts w:ascii="Times New Roman" w:eastAsia="Times New Roman" w:hAnsi="Times New Roman" w:cs="Times New Roman"/>
          <w:color w:val="181817"/>
          <w:sz w:val="24"/>
          <w:szCs w:val="24"/>
        </w:rPr>
        <w:t>Tabchouri</w:t>
      </w:r>
      <w:proofErr w:type="spellEnd"/>
      <w:r w:rsidRPr="00E618BA">
        <w:rPr>
          <w:rFonts w:ascii="Times New Roman" w:eastAsia="Times New Roman" w:hAnsi="Times New Roman" w:cs="Times New Roman"/>
          <w:color w:val="181817"/>
          <w:sz w:val="24"/>
          <w:szCs w:val="24"/>
        </w:rPr>
        <w:t xml:space="preserve"> N, </w:t>
      </w:r>
      <w:proofErr w:type="spellStart"/>
      <w:r w:rsidRPr="00E618BA">
        <w:rPr>
          <w:rFonts w:ascii="Times New Roman" w:eastAsia="Times New Roman" w:hAnsi="Times New Roman" w:cs="Times New Roman"/>
          <w:color w:val="181817"/>
          <w:sz w:val="24"/>
          <w:szCs w:val="24"/>
        </w:rPr>
        <w:t>Artus</w:t>
      </w:r>
      <w:proofErr w:type="spellEnd"/>
      <w:r w:rsidRPr="00E618BA">
        <w:rPr>
          <w:rFonts w:ascii="Times New Roman" w:eastAsia="Times New Roman" w:hAnsi="Times New Roman" w:cs="Times New Roman"/>
          <w:color w:val="181817"/>
          <w:sz w:val="24"/>
          <w:szCs w:val="24"/>
        </w:rPr>
        <w:t xml:space="preserve"> A, Michot N, Muller O, et al. Complete Pathological Response Following </w:t>
      </w:r>
      <w:proofErr w:type="spellStart"/>
      <w:r w:rsidRPr="00E618BA">
        <w:rPr>
          <w:rFonts w:ascii="Times New Roman" w:eastAsia="Times New Roman" w:hAnsi="Times New Roman" w:cs="Times New Roman"/>
          <w:color w:val="181817"/>
          <w:sz w:val="24"/>
          <w:szCs w:val="24"/>
        </w:rPr>
        <w:t>Radiochemotherapy</w:t>
      </w:r>
      <w:proofErr w:type="spellEnd"/>
      <w:r w:rsidRPr="00E618BA">
        <w:rPr>
          <w:rFonts w:ascii="Times New Roman" w:eastAsia="Times New Roman" w:hAnsi="Times New Roman" w:cs="Times New Roman"/>
          <w:color w:val="181817"/>
          <w:sz w:val="24"/>
          <w:szCs w:val="24"/>
        </w:rPr>
        <w:t xml:space="preserve"> for Locally Advanced Rectal Cancer: Short and Long-term Outcome. Anticancer Research/Anticancer research. 2019 Sep 1;39(9):5105–13.</w:t>
      </w:r>
    </w:p>
    <w:p w14:paraId="30776E86" w14:textId="77777777" w:rsidR="00F1168C" w:rsidRPr="00E618BA" w:rsidRDefault="00F1168C" w:rsidP="00E618BA">
      <w:pPr>
        <w:widowControl w:val="0"/>
        <w:numPr>
          <w:ilvl w:val="0"/>
          <w:numId w:val="1"/>
        </w:numPr>
        <w:spacing w:before="200" w:line="480" w:lineRule="auto"/>
        <w:rPr>
          <w:rFonts w:ascii="Times New Roman" w:eastAsia="Times New Roman" w:hAnsi="Times New Roman" w:cs="Times New Roman"/>
          <w:color w:val="181817"/>
          <w:sz w:val="24"/>
          <w:szCs w:val="24"/>
        </w:rPr>
      </w:pPr>
      <w:r w:rsidRPr="00E618BA">
        <w:rPr>
          <w:rFonts w:ascii="Times New Roman" w:eastAsia="Times New Roman" w:hAnsi="Times New Roman" w:cs="Times New Roman"/>
          <w:color w:val="222222"/>
          <w:sz w:val="24"/>
          <w:szCs w:val="24"/>
          <w:highlight w:val="white"/>
        </w:rPr>
        <w:t>Fischer J, Eglinton TW, Frizelle FA. Clinical predictors of response to chemoradiotherapy for rectal cancer as an aid to organ preservation. ANZ journal of surgery. 2021 Jun;91(6):1190-5.</w:t>
      </w:r>
    </w:p>
    <w:p w14:paraId="70D7CF3D" w14:textId="77777777" w:rsidR="00F1168C" w:rsidRPr="00E618BA" w:rsidRDefault="00F1168C" w:rsidP="00E618BA">
      <w:pPr>
        <w:widowControl w:val="0"/>
        <w:numPr>
          <w:ilvl w:val="0"/>
          <w:numId w:val="1"/>
        </w:numPr>
        <w:spacing w:before="200" w:line="480" w:lineRule="auto"/>
        <w:rPr>
          <w:rFonts w:ascii="Times New Roman" w:eastAsia="Times New Roman" w:hAnsi="Times New Roman" w:cs="Times New Roman"/>
          <w:color w:val="222222"/>
          <w:sz w:val="24"/>
          <w:szCs w:val="24"/>
          <w:highlight w:val="white"/>
        </w:rPr>
      </w:pPr>
      <w:r w:rsidRPr="00E618BA">
        <w:rPr>
          <w:rFonts w:ascii="Times New Roman" w:eastAsia="Times New Roman" w:hAnsi="Times New Roman" w:cs="Times New Roman"/>
          <w:color w:val="222222"/>
          <w:sz w:val="24"/>
          <w:szCs w:val="24"/>
          <w:highlight w:val="white"/>
        </w:rPr>
        <w:t>Ren DL, Li J, Yu HC, Peng SY, Lin WD, Wang XL, Ghoorun RA, Luo YX. Nomograms for predicting pathological response to neoadjuvant treatments in patients with rectal cancer. World journal of gastroenterology. 2019 Jan 1;25(1):118.</w:t>
      </w:r>
    </w:p>
    <w:p w14:paraId="223638B8" w14:textId="77777777" w:rsidR="00F1168C" w:rsidRPr="00E618BA" w:rsidRDefault="00F1168C" w:rsidP="00E618BA">
      <w:pPr>
        <w:widowControl w:val="0"/>
        <w:numPr>
          <w:ilvl w:val="0"/>
          <w:numId w:val="1"/>
        </w:numPr>
        <w:spacing w:before="200" w:line="480" w:lineRule="auto"/>
        <w:rPr>
          <w:rFonts w:ascii="Times New Roman" w:eastAsia="Times New Roman" w:hAnsi="Times New Roman" w:cs="Times New Roman"/>
          <w:color w:val="222222"/>
          <w:sz w:val="24"/>
          <w:szCs w:val="24"/>
          <w:highlight w:val="white"/>
        </w:rPr>
      </w:pPr>
      <w:r w:rsidRPr="00E618BA">
        <w:rPr>
          <w:rFonts w:ascii="Times New Roman" w:eastAsia="Times New Roman" w:hAnsi="Times New Roman" w:cs="Times New Roman"/>
          <w:color w:val="222222"/>
          <w:sz w:val="24"/>
          <w:szCs w:val="24"/>
        </w:rPr>
        <w:lastRenderedPageBreak/>
        <w:t>Gash KJ, Baser O, Kiran RP. Factors associated with degree of tumour response to neo-adjuvant radiotherapy in rectal cancer and subsequent corresponding outcomes. European Journal of Surgical Oncology. 2017 Nov 1;43(11):2052-9.</w:t>
      </w:r>
    </w:p>
    <w:p w14:paraId="152AB181" w14:textId="77777777" w:rsidR="00F1168C" w:rsidRPr="00E618BA" w:rsidRDefault="00F1168C" w:rsidP="00E618BA">
      <w:pPr>
        <w:widowControl w:val="0"/>
        <w:numPr>
          <w:ilvl w:val="0"/>
          <w:numId w:val="1"/>
        </w:numPr>
        <w:spacing w:before="200" w:line="480" w:lineRule="auto"/>
        <w:rPr>
          <w:rFonts w:ascii="Times New Roman" w:eastAsia="Times New Roman" w:hAnsi="Times New Roman" w:cs="Times New Roman"/>
          <w:color w:val="222222"/>
          <w:sz w:val="24"/>
          <w:szCs w:val="24"/>
          <w:highlight w:val="white"/>
        </w:rPr>
      </w:pPr>
      <w:r w:rsidRPr="00E618BA">
        <w:rPr>
          <w:rFonts w:ascii="Times New Roman" w:eastAsia="Times New Roman" w:hAnsi="Times New Roman" w:cs="Times New Roman"/>
          <w:color w:val="222222"/>
          <w:sz w:val="24"/>
          <w:szCs w:val="24"/>
        </w:rPr>
        <w:t xml:space="preserve">Bonetti LR, </w:t>
      </w:r>
      <w:proofErr w:type="spellStart"/>
      <w:r w:rsidRPr="00E618BA">
        <w:rPr>
          <w:rFonts w:ascii="Times New Roman" w:eastAsia="Times New Roman" w:hAnsi="Times New Roman" w:cs="Times New Roman"/>
          <w:color w:val="222222"/>
          <w:sz w:val="24"/>
          <w:szCs w:val="24"/>
        </w:rPr>
        <w:t>Lionti</w:t>
      </w:r>
      <w:proofErr w:type="spellEnd"/>
      <w:r w:rsidRPr="00E618BA">
        <w:rPr>
          <w:rFonts w:ascii="Times New Roman" w:eastAsia="Times New Roman" w:hAnsi="Times New Roman" w:cs="Times New Roman"/>
          <w:color w:val="222222"/>
          <w:sz w:val="24"/>
          <w:szCs w:val="24"/>
        </w:rPr>
        <w:t xml:space="preserve"> S, </w:t>
      </w:r>
      <w:proofErr w:type="spellStart"/>
      <w:r w:rsidRPr="00E618BA">
        <w:rPr>
          <w:rFonts w:ascii="Times New Roman" w:eastAsia="Times New Roman" w:hAnsi="Times New Roman" w:cs="Times New Roman"/>
          <w:color w:val="222222"/>
          <w:sz w:val="24"/>
          <w:szCs w:val="24"/>
        </w:rPr>
        <w:t>Domati</w:t>
      </w:r>
      <w:proofErr w:type="spellEnd"/>
      <w:r w:rsidRPr="00E618BA">
        <w:rPr>
          <w:rFonts w:ascii="Times New Roman" w:eastAsia="Times New Roman" w:hAnsi="Times New Roman" w:cs="Times New Roman"/>
          <w:color w:val="222222"/>
          <w:sz w:val="24"/>
          <w:szCs w:val="24"/>
        </w:rPr>
        <w:t xml:space="preserve"> F, Barresi V. Do pathological variables have prognostic significance in rectal adenocarcinoma treated with neoadjuvant chemoradiotherapy and </w:t>
      </w:r>
      <w:proofErr w:type="gramStart"/>
      <w:r w:rsidRPr="00E618BA">
        <w:rPr>
          <w:rFonts w:ascii="Times New Roman" w:eastAsia="Times New Roman" w:hAnsi="Times New Roman" w:cs="Times New Roman"/>
          <w:color w:val="222222"/>
          <w:sz w:val="24"/>
          <w:szCs w:val="24"/>
        </w:rPr>
        <w:t>surgery?.</w:t>
      </w:r>
      <w:proofErr w:type="gramEnd"/>
      <w:r w:rsidRPr="00E618BA">
        <w:rPr>
          <w:rFonts w:ascii="Times New Roman" w:eastAsia="Times New Roman" w:hAnsi="Times New Roman" w:cs="Times New Roman"/>
          <w:color w:val="222222"/>
          <w:sz w:val="24"/>
          <w:szCs w:val="24"/>
        </w:rPr>
        <w:t xml:space="preserve"> World journal of gastroenterology. 2017 Feb 2;23(8):1412.</w:t>
      </w:r>
    </w:p>
    <w:p w14:paraId="21E8605B" w14:textId="77777777" w:rsidR="00F1168C" w:rsidRPr="00E618BA" w:rsidRDefault="00F1168C" w:rsidP="00E618BA">
      <w:pPr>
        <w:spacing w:before="240" w:after="240" w:line="480" w:lineRule="auto"/>
        <w:rPr>
          <w:rFonts w:ascii="Times New Roman" w:eastAsia="Times New Roman" w:hAnsi="Times New Roman" w:cs="Times New Roman"/>
          <w:color w:val="181817"/>
          <w:sz w:val="24"/>
          <w:szCs w:val="24"/>
        </w:rPr>
      </w:pPr>
      <w:r w:rsidRPr="00E618BA">
        <w:rPr>
          <w:rFonts w:ascii="Times New Roman" w:eastAsia="Times New Roman" w:hAnsi="Times New Roman" w:cs="Times New Roman"/>
          <w:color w:val="181817"/>
          <w:sz w:val="24"/>
          <w:szCs w:val="24"/>
        </w:rPr>
        <w:t>‌</w:t>
      </w:r>
    </w:p>
    <w:p w14:paraId="15F9989D" w14:textId="77777777" w:rsidR="00BB6D47" w:rsidRPr="00E618BA" w:rsidRDefault="00BB6D47" w:rsidP="00E618BA">
      <w:pPr>
        <w:spacing w:line="480" w:lineRule="auto"/>
        <w:rPr>
          <w:sz w:val="24"/>
          <w:szCs w:val="24"/>
        </w:rPr>
      </w:pPr>
    </w:p>
    <w:sectPr w:rsidR="00BB6D47" w:rsidRPr="00E618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6078C" w14:textId="77777777" w:rsidR="00FF4DBD" w:rsidRDefault="00FF4DBD" w:rsidP="00875A44">
      <w:pPr>
        <w:spacing w:line="240" w:lineRule="auto"/>
      </w:pPr>
      <w:r>
        <w:separator/>
      </w:r>
    </w:p>
  </w:endnote>
  <w:endnote w:type="continuationSeparator" w:id="0">
    <w:p w14:paraId="61F8B70E" w14:textId="77777777" w:rsidR="00FF4DBD" w:rsidRDefault="00FF4DBD" w:rsidP="00875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9D6B0" w14:textId="77777777" w:rsidR="00875A44" w:rsidRDefault="00875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AECE1" w14:textId="77777777" w:rsidR="00875A44" w:rsidRDefault="00875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004A6" w14:textId="77777777" w:rsidR="00875A44" w:rsidRDefault="00875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2543A" w14:textId="77777777" w:rsidR="00FF4DBD" w:rsidRDefault="00FF4DBD" w:rsidP="00875A44">
      <w:pPr>
        <w:spacing w:line="240" w:lineRule="auto"/>
      </w:pPr>
      <w:r>
        <w:separator/>
      </w:r>
    </w:p>
  </w:footnote>
  <w:footnote w:type="continuationSeparator" w:id="0">
    <w:p w14:paraId="2F9853C2" w14:textId="77777777" w:rsidR="00FF4DBD" w:rsidRDefault="00FF4DBD" w:rsidP="00875A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31899" w14:textId="72081CE3" w:rsidR="00875A44" w:rsidRDefault="00875A44">
    <w:pPr>
      <w:pStyle w:val="Header"/>
    </w:pPr>
    <w:r>
      <w:rPr>
        <w:noProof/>
      </w:rPr>
      <w:pict w14:anchorId="4190F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01609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51EF0" w14:textId="378D67B6" w:rsidR="00875A44" w:rsidRDefault="00875A44">
    <w:pPr>
      <w:pStyle w:val="Header"/>
    </w:pPr>
    <w:r>
      <w:rPr>
        <w:noProof/>
      </w:rPr>
      <w:pict w14:anchorId="0306D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01609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B3261" w14:textId="34E21B13" w:rsidR="00875A44" w:rsidRDefault="00875A44">
    <w:pPr>
      <w:pStyle w:val="Header"/>
    </w:pPr>
    <w:r>
      <w:rPr>
        <w:noProof/>
      </w:rPr>
      <w:pict w14:anchorId="2EACC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01609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A307E"/>
    <w:multiLevelType w:val="multilevel"/>
    <w:tmpl w:val="1A3AACBA"/>
    <w:lvl w:ilvl="0">
      <w:start w:val="1"/>
      <w:numFmt w:val="bullet"/>
      <w:lvlText w:val="•"/>
      <w:lvlJc w:val="right"/>
      <w:pPr>
        <w:ind w:left="360" w:hanging="180"/>
      </w:pPr>
      <w:rPr>
        <w:rFonts w:ascii="Arial" w:eastAsia="Arial" w:hAnsi="Arial" w:cs="Arial"/>
        <w:b w:val="0"/>
        <w:i w:val="0"/>
        <w:smallCaps w:val="0"/>
        <w:strike w:val="0"/>
        <w:color w:val="000000"/>
        <w:sz w:val="36"/>
        <w:szCs w:val="36"/>
        <w:u w:val="none"/>
        <w:shd w:val="clear" w:color="auto" w:fill="auto"/>
        <w:vertAlign w:val="baseline"/>
      </w:rPr>
    </w:lvl>
    <w:lvl w:ilvl="1">
      <w:start w:val="1"/>
      <w:numFmt w:val="bullet"/>
      <w:lvlText w:val="•"/>
      <w:lvlJc w:val="right"/>
      <w:pPr>
        <w:ind w:left="1080" w:hanging="180"/>
      </w:pPr>
      <w:rPr>
        <w:rFonts w:ascii="Arial" w:eastAsia="Arial" w:hAnsi="Arial" w:cs="Arial"/>
        <w:b w:val="0"/>
        <w:i w:val="0"/>
        <w:smallCaps w:val="0"/>
        <w:strike w:val="0"/>
        <w:color w:val="000000"/>
        <w:sz w:val="36"/>
        <w:szCs w:val="36"/>
        <w:u w:val="none"/>
        <w:shd w:val="clear" w:color="auto" w:fill="auto"/>
        <w:vertAlign w:val="baseline"/>
      </w:rPr>
    </w:lvl>
    <w:lvl w:ilvl="2">
      <w:start w:val="1"/>
      <w:numFmt w:val="bullet"/>
      <w:lvlText w:val="•"/>
      <w:lvlJc w:val="right"/>
      <w:pPr>
        <w:ind w:left="1800" w:hanging="180"/>
      </w:pPr>
      <w:rPr>
        <w:rFonts w:ascii="Arial" w:eastAsia="Arial" w:hAnsi="Arial" w:cs="Arial"/>
        <w:b w:val="0"/>
        <w:i w:val="0"/>
        <w:smallCaps w:val="0"/>
        <w:strike w:val="0"/>
        <w:color w:val="000000"/>
        <w:sz w:val="36"/>
        <w:szCs w:val="36"/>
        <w:u w:val="none"/>
        <w:shd w:val="clear" w:color="auto" w:fill="auto"/>
        <w:vertAlign w:val="baseline"/>
      </w:rPr>
    </w:lvl>
    <w:lvl w:ilvl="3">
      <w:start w:val="1"/>
      <w:numFmt w:val="bullet"/>
      <w:lvlText w:val="•"/>
      <w:lvlJc w:val="right"/>
      <w:pPr>
        <w:ind w:left="2520" w:hanging="180"/>
      </w:pPr>
      <w:rPr>
        <w:rFonts w:ascii="Arial" w:eastAsia="Arial" w:hAnsi="Arial" w:cs="Arial"/>
        <w:b w:val="0"/>
        <w:i w:val="0"/>
        <w:smallCaps w:val="0"/>
        <w:strike w:val="0"/>
        <w:color w:val="000000"/>
        <w:sz w:val="36"/>
        <w:szCs w:val="36"/>
        <w:u w:val="none"/>
        <w:shd w:val="clear" w:color="auto" w:fill="auto"/>
        <w:vertAlign w:val="baseline"/>
      </w:rPr>
    </w:lvl>
    <w:lvl w:ilvl="4">
      <w:start w:val="1"/>
      <w:numFmt w:val="bullet"/>
      <w:lvlText w:val="•"/>
      <w:lvlJc w:val="right"/>
      <w:pPr>
        <w:ind w:left="3240" w:hanging="180"/>
      </w:pPr>
      <w:rPr>
        <w:rFonts w:ascii="Arial" w:eastAsia="Arial" w:hAnsi="Arial" w:cs="Arial"/>
        <w:b w:val="0"/>
        <w:i w:val="0"/>
        <w:smallCaps w:val="0"/>
        <w:strike w:val="0"/>
        <w:color w:val="000000"/>
        <w:sz w:val="36"/>
        <w:szCs w:val="36"/>
        <w:u w:val="none"/>
        <w:shd w:val="clear" w:color="auto" w:fill="auto"/>
        <w:vertAlign w:val="baseline"/>
      </w:rPr>
    </w:lvl>
    <w:lvl w:ilvl="5">
      <w:start w:val="1"/>
      <w:numFmt w:val="bullet"/>
      <w:lvlText w:val="•"/>
      <w:lvlJc w:val="right"/>
      <w:pPr>
        <w:ind w:left="3960" w:hanging="180"/>
      </w:pPr>
      <w:rPr>
        <w:rFonts w:ascii="Arial" w:eastAsia="Arial" w:hAnsi="Arial" w:cs="Arial"/>
        <w:b w:val="0"/>
        <w:i w:val="0"/>
        <w:smallCaps w:val="0"/>
        <w:strike w:val="0"/>
        <w:color w:val="000000"/>
        <w:sz w:val="36"/>
        <w:szCs w:val="36"/>
        <w:u w:val="none"/>
        <w:shd w:val="clear" w:color="auto" w:fill="auto"/>
        <w:vertAlign w:val="baseline"/>
      </w:rPr>
    </w:lvl>
    <w:lvl w:ilvl="6">
      <w:start w:val="1"/>
      <w:numFmt w:val="bullet"/>
      <w:lvlText w:val="•"/>
      <w:lvlJc w:val="right"/>
      <w:pPr>
        <w:ind w:left="4680" w:hanging="180"/>
      </w:pPr>
      <w:rPr>
        <w:rFonts w:ascii="Arial" w:eastAsia="Arial" w:hAnsi="Arial" w:cs="Arial"/>
        <w:b w:val="0"/>
        <w:i w:val="0"/>
        <w:smallCaps w:val="0"/>
        <w:strike w:val="0"/>
        <w:color w:val="000000"/>
        <w:sz w:val="36"/>
        <w:szCs w:val="36"/>
        <w:u w:val="none"/>
        <w:shd w:val="clear" w:color="auto" w:fill="auto"/>
        <w:vertAlign w:val="baseline"/>
      </w:rPr>
    </w:lvl>
    <w:lvl w:ilvl="7">
      <w:start w:val="1"/>
      <w:numFmt w:val="bullet"/>
      <w:lvlText w:val="•"/>
      <w:lvlJc w:val="right"/>
      <w:pPr>
        <w:ind w:left="5400" w:hanging="180"/>
      </w:pPr>
      <w:rPr>
        <w:rFonts w:ascii="Arial" w:eastAsia="Arial" w:hAnsi="Arial" w:cs="Arial"/>
        <w:b w:val="0"/>
        <w:i w:val="0"/>
        <w:smallCaps w:val="0"/>
        <w:strike w:val="0"/>
        <w:color w:val="000000"/>
        <w:sz w:val="36"/>
        <w:szCs w:val="36"/>
        <w:u w:val="none"/>
        <w:shd w:val="clear" w:color="auto" w:fill="auto"/>
        <w:vertAlign w:val="baseline"/>
      </w:rPr>
    </w:lvl>
    <w:lvl w:ilvl="8">
      <w:start w:val="1"/>
      <w:numFmt w:val="bullet"/>
      <w:lvlText w:val="•"/>
      <w:lvlJc w:val="right"/>
      <w:pPr>
        <w:ind w:left="6120" w:hanging="180"/>
      </w:pPr>
      <w:rPr>
        <w:rFonts w:ascii="Arial" w:eastAsia="Arial" w:hAnsi="Arial" w:cs="Arial"/>
        <w:b w:val="0"/>
        <w:i w:val="0"/>
        <w:smallCaps w:val="0"/>
        <w:strike w:val="0"/>
        <w:color w:val="000000"/>
        <w:sz w:val="36"/>
        <w:szCs w:val="36"/>
        <w:u w:val="none"/>
        <w:shd w:val="clear" w:color="auto" w:fill="auto"/>
        <w:vertAlign w:val="baseline"/>
      </w:rPr>
    </w:lvl>
  </w:abstractNum>
  <w:abstractNum w:abstractNumId="1" w15:restartNumberingAfterBreak="0">
    <w:nsid w:val="3DC27691"/>
    <w:multiLevelType w:val="multilevel"/>
    <w:tmpl w:val="C23AE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BD"/>
    <w:rsid w:val="000441A0"/>
    <w:rsid w:val="000626EE"/>
    <w:rsid w:val="000A41EA"/>
    <w:rsid w:val="000A70AD"/>
    <w:rsid w:val="000F1F48"/>
    <w:rsid w:val="0010673E"/>
    <w:rsid w:val="00133F2C"/>
    <w:rsid w:val="00166AAE"/>
    <w:rsid w:val="00187C5B"/>
    <w:rsid w:val="001E134C"/>
    <w:rsid w:val="002B5667"/>
    <w:rsid w:val="00360181"/>
    <w:rsid w:val="003A1E7B"/>
    <w:rsid w:val="003E2B33"/>
    <w:rsid w:val="003E36C4"/>
    <w:rsid w:val="003E6B4F"/>
    <w:rsid w:val="0043064E"/>
    <w:rsid w:val="00450C18"/>
    <w:rsid w:val="00493B7B"/>
    <w:rsid w:val="00497982"/>
    <w:rsid w:val="00497AE0"/>
    <w:rsid w:val="004A511F"/>
    <w:rsid w:val="004A78E1"/>
    <w:rsid w:val="004B2868"/>
    <w:rsid w:val="004F709C"/>
    <w:rsid w:val="005258C4"/>
    <w:rsid w:val="0055240B"/>
    <w:rsid w:val="005A54EF"/>
    <w:rsid w:val="005B0CA4"/>
    <w:rsid w:val="0068687A"/>
    <w:rsid w:val="006A78C5"/>
    <w:rsid w:val="006C1791"/>
    <w:rsid w:val="006C2A85"/>
    <w:rsid w:val="00736180"/>
    <w:rsid w:val="00742BB0"/>
    <w:rsid w:val="0076557A"/>
    <w:rsid w:val="00783C21"/>
    <w:rsid w:val="007D3B43"/>
    <w:rsid w:val="007F1CD0"/>
    <w:rsid w:val="007F62E7"/>
    <w:rsid w:val="00841EB6"/>
    <w:rsid w:val="00875A44"/>
    <w:rsid w:val="00895E81"/>
    <w:rsid w:val="00896CC0"/>
    <w:rsid w:val="008C7E91"/>
    <w:rsid w:val="008D1BBD"/>
    <w:rsid w:val="009D3F86"/>
    <w:rsid w:val="009F3356"/>
    <w:rsid w:val="009F7B34"/>
    <w:rsid w:val="00A608BA"/>
    <w:rsid w:val="00A615E8"/>
    <w:rsid w:val="00A9171A"/>
    <w:rsid w:val="00AD2B64"/>
    <w:rsid w:val="00AF24C7"/>
    <w:rsid w:val="00AF6E5B"/>
    <w:rsid w:val="00B01758"/>
    <w:rsid w:val="00B3548F"/>
    <w:rsid w:val="00BB6D47"/>
    <w:rsid w:val="00BC2983"/>
    <w:rsid w:val="00C00FD2"/>
    <w:rsid w:val="00C57B1A"/>
    <w:rsid w:val="00CD340D"/>
    <w:rsid w:val="00D07537"/>
    <w:rsid w:val="00DC7B1A"/>
    <w:rsid w:val="00DD35FA"/>
    <w:rsid w:val="00E331FB"/>
    <w:rsid w:val="00E44384"/>
    <w:rsid w:val="00E618BA"/>
    <w:rsid w:val="00E67D9F"/>
    <w:rsid w:val="00E80CD8"/>
    <w:rsid w:val="00E915E6"/>
    <w:rsid w:val="00EC7D69"/>
    <w:rsid w:val="00F1168C"/>
    <w:rsid w:val="00F3471A"/>
    <w:rsid w:val="00F44315"/>
    <w:rsid w:val="00F51F53"/>
    <w:rsid w:val="00F57CC8"/>
    <w:rsid w:val="00F856E5"/>
    <w:rsid w:val="00FF3BD7"/>
    <w:rsid w:val="00FF3ED9"/>
    <w:rsid w:val="00FF4D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5EA856"/>
  <w15:chartTrackingRefBased/>
  <w15:docId w15:val="{AC839E3C-51E1-4A80-A75D-6A5EFDD9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41A0"/>
    <w:pPr>
      <w:spacing w:after="0" w:line="276" w:lineRule="auto"/>
    </w:pPr>
    <w:rPr>
      <w:rFonts w:ascii="Arial" w:eastAsia="Arial" w:hAnsi="Arial" w:cs="Arial"/>
      <w:kern w:val="0"/>
      <w:lang w:val="en-GB" w:eastAsia="en-IN"/>
      <w14:ligatures w14:val="none"/>
    </w:rPr>
  </w:style>
  <w:style w:type="paragraph" w:styleId="Heading1">
    <w:name w:val="heading 1"/>
    <w:basedOn w:val="Normal"/>
    <w:next w:val="Normal"/>
    <w:link w:val="Heading1Char"/>
    <w:uiPriority w:val="9"/>
    <w:qFormat/>
    <w:rsid w:val="008D1B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B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B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B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B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B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B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B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B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B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B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B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B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B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BBD"/>
    <w:rPr>
      <w:rFonts w:eastAsiaTheme="majorEastAsia" w:cstheme="majorBidi"/>
      <w:color w:val="272727" w:themeColor="text1" w:themeTint="D8"/>
    </w:rPr>
  </w:style>
  <w:style w:type="paragraph" w:styleId="Title">
    <w:name w:val="Title"/>
    <w:basedOn w:val="Normal"/>
    <w:next w:val="Normal"/>
    <w:link w:val="TitleChar"/>
    <w:uiPriority w:val="10"/>
    <w:qFormat/>
    <w:rsid w:val="008D1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BBD"/>
    <w:pPr>
      <w:spacing w:before="160"/>
      <w:jc w:val="center"/>
    </w:pPr>
    <w:rPr>
      <w:i/>
      <w:iCs/>
      <w:color w:val="404040" w:themeColor="text1" w:themeTint="BF"/>
    </w:rPr>
  </w:style>
  <w:style w:type="character" w:customStyle="1" w:styleId="QuoteChar">
    <w:name w:val="Quote Char"/>
    <w:basedOn w:val="DefaultParagraphFont"/>
    <w:link w:val="Quote"/>
    <w:uiPriority w:val="29"/>
    <w:rsid w:val="008D1BBD"/>
    <w:rPr>
      <w:i/>
      <w:iCs/>
      <w:color w:val="404040" w:themeColor="text1" w:themeTint="BF"/>
    </w:rPr>
  </w:style>
  <w:style w:type="paragraph" w:styleId="ListParagraph">
    <w:name w:val="List Paragraph"/>
    <w:basedOn w:val="Normal"/>
    <w:uiPriority w:val="34"/>
    <w:qFormat/>
    <w:rsid w:val="008D1BBD"/>
    <w:pPr>
      <w:ind w:left="720"/>
      <w:contextualSpacing/>
    </w:pPr>
  </w:style>
  <w:style w:type="character" w:styleId="IntenseEmphasis">
    <w:name w:val="Intense Emphasis"/>
    <w:basedOn w:val="DefaultParagraphFont"/>
    <w:uiPriority w:val="21"/>
    <w:qFormat/>
    <w:rsid w:val="008D1BBD"/>
    <w:rPr>
      <w:i/>
      <w:iCs/>
      <w:color w:val="2F5496" w:themeColor="accent1" w:themeShade="BF"/>
    </w:rPr>
  </w:style>
  <w:style w:type="paragraph" w:styleId="IntenseQuote">
    <w:name w:val="Intense Quote"/>
    <w:basedOn w:val="Normal"/>
    <w:next w:val="Normal"/>
    <w:link w:val="IntenseQuoteChar"/>
    <w:uiPriority w:val="30"/>
    <w:qFormat/>
    <w:rsid w:val="008D1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BBD"/>
    <w:rPr>
      <w:i/>
      <w:iCs/>
      <w:color w:val="2F5496" w:themeColor="accent1" w:themeShade="BF"/>
    </w:rPr>
  </w:style>
  <w:style w:type="character" w:styleId="IntenseReference">
    <w:name w:val="Intense Reference"/>
    <w:basedOn w:val="DefaultParagraphFont"/>
    <w:uiPriority w:val="32"/>
    <w:qFormat/>
    <w:rsid w:val="008D1BBD"/>
    <w:rPr>
      <w:b/>
      <w:bCs/>
      <w:smallCaps/>
      <w:color w:val="2F5496" w:themeColor="accent1" w:themeShade="BF"/>
      <w:spacing w:val="5"/>
    </w:rPr>
  </w:style>
  <w:style w:type="table" w:styleId="TableGrid">
    <w:name w:val="Table Grid"/>
    <w:basedOn w:val="TableNormal"/>
    <w:uiPriority w:val="39"/>
    <w:rsid w:val="00EC7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31FB"/>
    <w:rPr>
      <w:color w:val="0563C1" w:themeColor="hyperlink"/>
      <w:u w:val="single"/>
    </w:rPr>
  </w:style>
  <w:style w:type="character" w:styleId="UnresolvedMention">
    <w:name w:val="Unresolved Mention"/>
    <w:basedOn w:val="DefaultParagraphFont"/>
    <w:uiPriority w:val="99"/>
    <w:semiHidden/>
    <w:unhideWhenUsed/>
    <w:rsid w:val="00E331FB"/>
    <w:rPr>
      <w:color w:val="605E5C"/>
      <w:shd w:val="clear" w:color="auto" w:fill="E1DFDD"/>
    </w:rPr>
  </w:style>
  <w:style w:type="paragraph" w:styleId="Header">
    <w:name w:val="header"/>
    <w:basedOn w:val="Normal"/>
    <w:link w:val="HeaderChar"/>
    <w:uiPriority w:val="99"/>
    <w:unhideWhenUsed/>
    <w:rsid w:val="00875A44"/>
    <w:pPr>
      <w:tabs>
        <w:tab w:val="center" w:pos="4680"/>
        <w:tab w:val="right" w:pos="9360"/>
      </w:tabs>
      <w:spacing w:line="240" w:lineRule="auto"/>
    </w:pPr>
  </w:style>
  <w:style w:type="character" w:customStyle="1" w:styleId="HeaderChar">
    <w:name w:val="Header Char"/>
    <w:basedOn w:val="DefaultParagraphFont"/>
    <w:link w:val="Header"/>
    <w:uiPriority w:val="99"/>
    <w:rsid w:val="00875A44"/>
    <w:rPr>
      <w:rFonts w:ascii="Arial" w:eastAsia="Arial" w:hAnsi="Arial" w:cs="Arial"/>
      <w:kern w:val="0"/>
      <w:lang w:val="en-GB" w:eastAsia="en-IN"/>
      <w14:ligatures w14:val="none"/>
    </w:rPr>
  </w:style>
  <w:style w:type="paragraph" w:styleId="Footer">
    <w:name w:val="footer"/>
    <w:basedOn w:val="Normal"/>
    <w:link w:val="FooterChar"/>
    <w:uiPriority w:val="99"/>
    <w:unhideWhenUsed/>
    <w:rsid w:val="00875A44"/>
    <w:pPr>
      <w:tabs>
        <w:tab w:val="center" w:pos="4680"/>
        <w:tab w:val="right" w:pos="9360"/>
      </w:tabs>
      <w:spacing w:line="240" w:lineRule="auto"/>
    </w:pPr>
  </w:style>
  <w:style w:type="character" w:customStyle="1" w:styleId="FooterChar">
    <w:name w:val="Footer Char"/>
    <w:basedOn w:val="DefaultParagraphFont"/>
    <w:link w:val="Footer"/>
    <w:uiPriority w:val="99"/>
    <w:rsid w:val="00875A44"/>
    <w:rPr>
      <w:rFonts w:ascii="Arial" w:eastAsia="Arial" w:hAnsi="Arial" w:cs="Arial"/>
      <w:kern w:val="0"/>
      <w:lang w:val="en-GB"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15</Pages>
  <Words>3384</Words>
  <Characters>19292</Characters>
  <Application>Microsoft Office Word</Application>
  <DocSecurity>0</DocSecurity>
  <Lines>160</Lines>
  <Paragraphs>45</Paragraphs>
  <ScaleCrop>false</ScaleCrop>
  <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Zaiba Irum</dc:creator>
  <cp:keywords/>
  <dc:description/>
  <cp:lastModifiedBy>SDI 1084</cp:lastModifiedBy>
  <cp:revision>84</cp:revision>
  <dcterms:created xsi:type="dcterms:W3CDTF">2025-10-29T07:12:00Z</dcterms:created>
  <dcterms:modified xsi:type="dcterms:W3CDTF">2025-11-03T09:53:00Z</dcterms:modified>
</cp:coreProperties>
</file>