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1E47E" w14:textId="77777777" w:rsidR="00091D70" w:rsidRPr="00712AFE" w:rsidRDefault="00091D70" w:rsidP="00091D70">
      <w:pPr>
        <w:pStyle w:val="NormalWeb"/>
        <w:jc w:val="center"/>
        <w:rPr>
          <w:b/>
          <w:bCs/>
          <w:sz w:val="32"/>
          <w:szCs w:val="32"/>
        </w:rPr>
      </w:pPr>
      <w:r w:rsidRPr="00712AFE">
        <w:rPr>
          <w:b/>
          <w:bCs/>
          <w:sz w:val="32"/>
          <w:szCs w:val="32"/>
        </w:rPr>
        <w:t>Impact of Combined Application Irrigation and Mulching on Soil and Leaf Nutrient Dynamics, Mango Yield, and Quality</w:t>
      </w:r>
    </w:p>
    <w:p w14:paraId="11DBAAB0" w14:textId="02FF71EC" w:rsidR="00D43CD6" w:rsidRDefault="00D43CD6" w:rsidP="00D43CD6">
      <w:pPr>
        <w:spacing w:line="71" w:lineRule="exact"/>
        <w:rPr>
          <w:rFonts w:ascii="Times New Roman" w:eastAsia="Times New Roman" w:hAnsi="Times New Roman" w:cs="Times New Roman"/>
        </w:rPr>
      </w:pPr>
    </w:p>
    <w:p w14:paraId="1CC20F3A" w14:textId="77777777" w:rsidR="00DF53AC" w:rsidRPr="00712AFE" w:rsidRDefault="00DF53AC" w:rsidP="00D43CD6">
      <w:pPr>
        <w:spacing w:line="71" w:lineRule="exact"/>
        <w:rPr>
          <w:rFonts w:ascii="Times New Roman" w:eastAsia="Times New Roman" w:hAnsi="Times New Roman" w:cs="Times New Roman"/>
        </w:rPr>
      </w:pPr>
    </w:p>
    <w:p w14:paraId="332FEB25" w14:textId="77777777" w:rsidR="00D43CD6" w:rsidRPr="00712AFE" w:rsidRDefault="00D43CD6" w:rsidP="00D43CD6">
      <w:pPr>
        <w:spacing w:line="0" w:lineRule="atLeast"/>
        <w:jc w:val="center"/>
        <w:rPr>
          <w:rFonts w:ascii="Times New Roman" w:eastAsia="Times New Roman" w:hAnsi="Times New Roman" w:cs="Times New Roman"/>
          <w:b/>
          <w:i/>
          <w:color w:val="1B1C20"/>
          <w:sz w:val="22"/>
        </w:rPr>
      </w:pPr>
      <w:r w:rsidRPr="00712AFE">
        <w:rPr>
          <w:rFonts w:ascii="Times New Roman" w:eastAsia="Times New Roman" w:hAnsi="Times New Roman" w:cs="Times New Roman"/>
          <w:b/>
          <w:i/>
          <w:color w:val="1B1C20"/>
          <w:sz w:val="24"/>
          <w:szCs w:val="22"/>
        </w:rPr>
        <w:t>Abstract</w:t>
      </w:r>
      <w:r w:rsidRPr="00712AFE">
        <w:rPr>
          <w:rFonts w:ascii="Times New Roman" w:eastAsia="Times New Roman" w:hAnsi="Times New Roman" w:cs="Times New Roman"/>
          <w:b/>
          <w:i/>
          <w:color w:val="1B1C20"/>
          <w:sz w:val="22"/>
        </w:rPr>
        <w:t xml:space="preserve"> </w:t>
      </w:r>
    </w:p>
    <w:p w14:paraId="505CAFAD" w14:textId="77777777" w:rsidR="00730CC8" w:rsidRPr="00712AFE" w:rsidRDefault="0088777D" w:rsidP="00730CC8">
      <w:pPr>
        <w:pStyle w:val="NormalWeb"/>
        <w:spacing w:line="360" w:lineRule="auto"/>
        <w:jc w:val="both"/>
      </w:pPr>
      <w:r w:rsidRPr="00712AFE">
        <w:t xml:space="preserve">Soil moisture and nutrients are crucial for agricultural productivity, especially in arid and semiarid regions where they limit crop growth. </w:t>
      </w:r>
      <w:r w:rsidR="00730CC8" w:rsidRPr="00712AFE">
        <w:t>To address the present problem a two-year field experiment (2017–19) evaluated the combined effects of drip irrigation (75% and 100% ETc) and mulching (with/without 100-µm silver polyethylene) on mango cv. Banganpalli in red sandy loam soil of Southern Telangana (16°30'N, 78°19'E; 550 m MSL). A 2×2 factorial randomized block design with five replications was employed. The 100% ETc + mulching treatment recorded the highest soil moisture (13.4–16.6% across BBCH-510 to BBCH-709), available soil N (222–315 kg ha</w:t>
      </w:r>
      <w:r w:rsidR="00730CC8" w:rsidRPr="00712AFE">
        <w:rPr>
          <w:rFonts w:ascii="Cambria Math" w:hAnsi="Cambria Math"/>
        </w:rPr>
        <w:t>⁻</w:t>
      </w:r>
      <w:r w:rsidR="00730CC8" w:rsidRPr="00712AFE">
        <w:t>¹), leaf NPK (N: 0.82–1.11%, P: 0.19–0.22%, K: 0.74–0.91%), and fruit yield (89.11 kg tree</w:t>
      </w:r>
      <w:r w:rsidR="00730CC8" w:rsidRPr="00712AFE">
        <w:rPr>
          <w:rFonts w:ascii="Cambria Math" w:hAnsi="Cambria Math"/>
        </w:rPr>
        <w:t>⁻</w:t>
      </w:r>
      <w:r w:rsidR="00730CC8" w:rsidRPr="00712AFE">
        <w:t>¹)—35.83% higher than 75% ETc without mulching. It also maximized internal O</w:t>
      </w:r>
      <w:r w:rsidR="00730CC8" w:rsidRPr="00712AFE">
        <w:rPr>
          <w:rFonts w:ascii="Cambria Math" w:hAnsi="Cambria Math"/>
        </w:rPr>
        <w:t>₂</w:t>
      </w:r>
      <w:r w:rsidR="00730CC8" w:rsidRPr="00712AFE">
        <w:t>, minimized CO</w:t>
      </w:r>
      <w:r w:rsidR="00730CC8" w:rsidRPr="00712AFE">
        <w:rPr>
          <w:rFonts w:ascii="Cambria Math" w:hAnsi="Cambria Math"/>
        </w:rPr>
        <w:t>₂</w:t>
      </w:r>
      <w:r w:rsidR="00730CC8" w:rsidRPr="00712AFE">
        <w:t>, delayed chlorophyll degradation (DA-index: 0.96–0.55 over 9 days storage), and extended shelf life to 13.73 days. Fertilizer use efficiency peaked at 89.11 kg kg</w:t>
      </w:r>
      <w:r w:rsidR="00730CC8" w:rsidRPr="00712AFE">
        <w:rPr>
          <w:rFonts w:ascii="Cambria Math" w:hAnsi="Cambria Math"/>
        </w:rPr>
        <w:t>⁻</w:t>
      </w:r>
      <w:r w:rsidR="00730CC8" w:rsidRPr="00712AFE">
        <w:t>¹ under this treatment due to reduced nutrient leaching and enhanced uptake. Notably, 75% ETc + mulching yielded comparably to 100% ETc without mulching (75.78 vs. 75.18 kg tree</w:t>
      </w:r>
      <w:r w:rsidR="00730CC8" w:rsidRPr="00712AFE">
        <w:rPr>
          <w:rFonts w:ascii="Cambria Math" w:hAnsi="Cambria Math"/>
        </w:rPr>
        <w:t>⁻</w:t>
      </w:r>
      <w:r w:rsidR="00730CC8" w:rsidRPr="00712AFE">
        <w:t>¹) while achieving 25% water savings and the highest water use efficiency (WUE). Results from present study suggested that the drip irrigation and mulching optimize resource efficiency and fruit quality under water-limited semi-arid conditions. The 75% ETc + mulching regime is recommended as a sustainable, high-yielding strategy for mango orchards.</w:t>
      </w:r>
    </w:p>
    <w:p w14:paraId="0ECC5365" w14:textId="77777777" w:rsidR="00D43CD6" w:rsidRPr="00712AFE" w:rsidRDefault="00D43CD6" w:rsidP="00D43CD6">
      <w:pPr>
        <w:spacing w:line="360" w:lineRule="auto"/>
        <w:jc w:val="both"/>
        <w:rPr>
          <w:rFonts w:ascii="Times New Roman" w:eastAsia="Times New Roman" w:hAnsi="Times New Roman" w:cs="Times New Roman"/>
          <w:sz w:val="24"/>
          <w:szCs w:val="24"/>
        </w:rPr>
      </w:pPr>
      <w:r w:rsidRPr="00712AFE">
        <w:rPr>
          <w:rFonts w:ascii="Times New Roman" w:hAnsi="Times New Roman" w:cs="Times New Roman"/>
          <w:color w:val="000000"/>
          <w:sz w:val="24"/>
          <w:szCs w:val="24"/>
          <w:shd w:val="clear" w:color="auto" w:fill="FFFFFF"/>
        </w:rPr>
        <w:t xml:space="preserve"> </w:t>
      </w:r>
      <w:r w:rsidRPr="00712AFE">
        <w:rPr>
          <w:rFonts w:ascii="Times New Roman" w:eastAsia="Times New Roman" w:hAnsi="Times New Roman" w:cs="Times New Roman"/>
          <w:b/>
          <w:sz w:val="24"/>
          <w:szCs w:val="24"/>
        </w:rPr>
        <w:t xml:space="preserve">KEY </w:t>
      </w:r>
      <w:proofErr w:type="gramStart"/>
      <w:r w:rsidRPr="00712AFE">
        <w:rPr>
          <w:rFonts w:ascii="Times New Roman" w:eastAsia="Times New Roman" w:hAnsi="Times New Roman" w:cs="Times New Roman"/>
          <w:b/>
          <w:sz w:val="24"/>
          <w:szCs w:val="24"/>
        </w:rPr>
        <w:t>WORS:</w:t>
      </w:r>
      <w:r w:rsidRPr="00712AFE">
        <w:rPr>
          <w:rFonts w:ascii="Times New Roman" w:eastAsia="Times New Roman" w:hAnsi="Times New Roman" w:cs="Times New Roman"/>
          <w:sz w:val="24"/>
          <w:szCs w:val="24"/>
        </w:rPr>
        <w:t>,</w:t>
      </w:r>
      <w:proofErr w:type="gramEnd"/>
      <w:r w:rsidRPr="00712AFE">
        <w:rPr>
          <w:rFonts w:ascii="Times New Roman" w:eastAsia="Times New Roman" w:hAnsi="Times New Roman" w:cs="Times New Roman"/>
          <w:sz w:val="24"/>
          <w:szCs w:val="24"/>
        </w:rPr>
        <w:t xml:space="preserve"> Water use efficiency (WUE), </w:t>
      </w:r>
      <w:r w:rsidR="00730CC8" w:rsidRPr="00712AFE">
        <w:rPr>
          <w:rFonts w:ascii="Times New Roman" w:eastAsia="Times New Roman" w:hAnsi="Times New Roman" w:cs="Times New Roman"/>
          <w:sz w:val="24"/>
          <w:szCs w:val="24"/>
        </w:rPr>
        <w:t>nutrient</w:t>
      </w:r>
      <w:r w:rsidRPr="00712AFE">
        <w:rPr>
          <w:rFonts w:ascii="Times New Roman" w:eastAsia="Times New Roman" w:hAnsi="Times New Roman" w:cs="Times New Roman"/>
          <w:sz w:val="24"/>
          <w:szCs w:val="24"/>
        </w:rPr>
        <w:t xml:space="preserve"> use efficiency N&amp;KUE, Soil moisture availability, </w:t>
      </w:r>
      <w:r w:rsidR="00730CC8" w:rsidRPr="00712AFE">
        <w:rPr>
          <w:rFonts w:ascii="Times New Roman" w:eastAsia="Times New Roman" w:hAnsi="Times New Roman" w:cs="Times New Roman"/>
          <w:sz w:val="24"/>
          <w:szCs w:val="24"/>
        </w:rPr>
        <w:t xml:space="preserve">DA-index, </w:t>
      </w:r>
      <w:r w:rsidRPr="00712AFE">
        <w:rPr>
          <w:rFonts w:ascii="Times New Roman" w:eastAsia="Times New Roman" w:hAnsi="Times New Roman" w:cs="Times New Roman"/>
          <w:sz w:val="24"/>
          <w:szCs w:val="24"/>
        </w:rPr>
        <w:t>ETc,.</w:t>
      </w:r>
    </w:p>
    <w:p w14:paraId="4FA81179" w14:textId="77777777" w:rsidR="00574093" w:rsidRPr="00712AFE" w:rsidRDefault="00574093" w:rsidP="0076727F">
      <w:pPr>
        <w:spacing w:line="0" w:lineRule="atLeast"/>
        <w:rPr>
          <w:rFonts w:ascii="Times New Roman" w:eastAsia="Times New Roman" w:hAnsi="Times New Roman" w:cs="Times New Roman"/>
          <w:b/>
          <w:sz w:val="32"/>
          <w:szCs w:val="22"/>
        </w:rPr>
      </w:pPr>
    </w:p>
    <w:p w14:paraId="7DB3293E" w14:textId="77777777" w:rsidR="00574093" w:rsidRPr="00712AFE" w:rsidRDefault="00574093" w:rsidP="0076727F">
      <w:pPr>
        <w:spacing w:line="0" w:lineRule="atLeast"/>
        <w:rPr>
          <w:rFonts w:ascii="Times New Roman" w:eastAsia="Times New Roman" w:hAnsi="Times New Roman" w:cs="Times New Roman"/>
          <w:b/>
          <w:sz w:val="32"/>
          <w:szCs w:val="22"/>
        </w:rPr>
      </w:pPr>
    </w:p>
    <w:p w14:paraId="5D422B01" w14:textId="5BCEE928" w:rsidR="00574093" w:rsidRDefault="00574093" w:rsidP="0076727F">
      <w:pPr>
        <w:spacing w:line="0" w:lineRule="atLeast"/>
        <w:rPr>
          <w:rFonts w:ascii="Times New Roman" w:eastAsia="Times New Roman" w:hAnsi="Times New Roman" w:cs="Times New Roman"/>
          <w:b/>
          <w:sz w:val="32"/>
          <w:szCs w:val="22"/>
        </w:rPr>
      </w:pPr>
    </w:p>
    <w:p w14:paraId="2BD38025" w14:textId="6BE7D265" w:rsidR="00DF53AC" w:rsidRDefault="00DF53AC" w:rsidP="0076727F">
      <w:pPr>
        <w:spacing w:line="0" w:lineRule="atLeast"/>
        <w:rPr>
          <w:rFonts w:ascii="Times New Roman" w:eastAsia="Times New Roman" w:hAnsi="Times New Roman" w:cs="Times New Roman"/>
          <w:b/>
          <w:sz w:val="32"/>
          <w:szCs w:val="22"/>
        </w:rPr>
      </w:pPr>
    </w:p>
    <w:p w14:paraId="377F6D6B" w14:textId="2E957E1C" w:rsidR="00DF53AC" w:rsidRDefault="00DF53AC" w:rsidP="0076727F">
      <w:pPr>
        <w:spacing w:line="0" w:lineRule="atLeast"/>
        <w:rPr>
          <w:rFonts w:ascii="Times New Roman" w:eastAsia="Times New Roman" w:hAnsi="Times New Roman" w:cs="Times New Roman"/>
          <w:b/>
          <w:sz w:val="32"/>
          <w:szCs w:val="22"/>
        </w:rPr>
      </w:pPr>
    </w:p>
    <w:p w14:paraId="3813C2A7" w14:textId="691F4945" w:rsidR="00DF53AC" w:rsidRDefault="00DF53AC" w:rsidP="0076727F">
      <w:pPr>
        <w:spacing w:line="0" w:lineRule="atLeast"/>
        <w:rPr>
          <w:rFonts w:ascii="Times New Roman" w:eastAsia="Times New Roman" w:hAnsi="Times New Roman" w:cs="Times New Roman"/>
          <w:b/>
          <w:sz w:val="32"/>
          <w:szCs w:val="22"/>
        </w:rPr>
      </w:pPr>
    </w:p>
    <w:p w14:paraId="704ADCA4" w14:textId="77777777" w:rsidR="00DF53AC" w:rsidRPr="00712AFE" w:rsidRDefault="00DF53AC" w:rsidP="0076727F">
      <w:pPr>
        <w:spacing w:line="0" w:lineRule="atLeast"/>
        <w:rPr>
          <w:rFonts w:ascii="Times New Roman" w:eastAsia="Times New Roman" w:hAnsi="Times New Roman" w:cs="Times New Roman"/>
          <w:b/>
          <w:sz w:val="32"/>
          <w:szCs w:val="22"/>
        </w:rPr>
      </w:pPr>
      <w:bookmarkStart w:id="0" w:name="_GoBack"/>
      <w:bookmarkEnd w:id="0"/>
    </w:p>
    <w:p w14:paraId="4E78AC64" w14:textId="77777777" w:rsidR="00574093" w:rsidRDefault="00574093" w:rsidP="0076727F">
      <w:pPr>
        <w:spacing w:line="0" w:lineRule="atLeast"/>
        <w:rPr>
          <w:rFonts w:ascii="Times New Roman" w:eastAsia="Times New Roman" w:hAnsi="Times New Roman" w:cs="Times New Roman"/>
          <w:b/>
          <w:sz w:val="32"/>
          <w:szCs w:val="22"/>
        </w:rPr>
      </w:pPr>
    </w:p>
    <w:p w14:paraId="067A48CE" w14:textId="77777777" w:rsidR="00155758" w:rsidRPr="00712AFE" w:rsidRDefault="00155758" w:rsidP="0076727F">
      <w:pPr>
        <w:spacing w:line="0" w:lineRule="atLeast"/>
        <w:rPr>
          <w:rFonts w:ascii="Times New Roman" w:eastAsia="Times New Roman" w:hAnsi="Times New Roman" w:cs="Times New Roman"/>
          <w:b/>
          <w:sz w:val="32"/>
          <w:szCs w:val="22"/>
        </w:rPr>
      </w:pPr>
    </w:p>
    <w:p w14:paraId="1C47BD76" w14:textId="77777777" w:rsidR="00574093" w:rsidRPr="00712AFE" w:rsidRDefault="00574093" w:rsidP="0076727F">
      <w:pPr>
        <w:spacing w:line="0" w:lineRule="atLeast"/>
        <w:rPr>
          <w:rFonts w:ascii="Times New Roman" w:eastAsia="Times New Roman" w:hAnsi="Times New Roman" w:cs="Times New Roman"/>
          <w:b/>
          <w:sz w:val="32"/>
          <w:szCs w:val="22"/>
        </w:rPr>
      </w:pPr>
    </w:p>
    <w:p w14:paraId="073C1B4E" w14:textId="77777777" w:rsidR="00D43CD6" w:rsidRPr="00712AFE" w:rsidRDefault="0076727F" w:rsidP="0076727F">
      <w:pPr>
        <w:spacing w:line="0" w:lineRule="atLeast"/>
        <w:rPr>
          <w:rFonts w:ascii="Times New Roman" w:eastAsia="Times New Roman" w:hAnsi="Times New Roman" w:cs="Times New Roman"/>
          <w:b/>
          <w:sz w:val="32"/>
          <w:szCs w:val="22"/>
        </w:rPr>
      </w:pPr>
      <w:r w:rsidRPr="00712AFE">
        <w:rPr>
          <w:rFonts w:ascii="Times New Roman" w:eastAsia="Times New Roman" w:hAnsi="Times New Roman" w:cs="Times New Roman"/>
          <w:b/>
          <w:sz w:val="32"/>
          <w:szCs w:val="22"/>
        </w:rPr>
        <w:t xml:space="preserve">Introduction </w:t>
      </w:r>
    </w:p>
    <w:p w14:paraId="27F04519" w14:textId="77777777" w:rsidR="001670E6" w:rsidRPr="00712AFE" w:rsidRDefault="001670E6" w:rsidP="00D43CD6">
      <w:pPr>
        <w:autoSpaceDE w:val="0"/>
        <w:autoSpaceDN w:val="0"/>
        <w:adjustRightInd w:val="0"/>
        <w:spacing w:line="360" w:lineRule="auto"/>
        <w:ind w:firstLine="720"/>
        <w:jc w:val="both"/>
        <w:rPr>
          <w:rFonts w:ascii="Times New Roman" w:hAnsi="Times New Roman" w:cs="Times New Roman"/>
          <w:sz w:val="24"/>
          <w:szCs w:val="24"/>
        </w:rPr>
      </w:pPr>
      <w:r w:rsidRPr="00712AFE">
        <w:rPr>
          <w:rFonts w:ascii="Times New Roman" w:hAnsi="Times New Roman" w:cs="Times New Roman"/>
          <w:sz w:val="24"/>
          <w:szCs w:val="24"/>
        </w:rPr>
        <w:t>Mango (</w:t>
      </w:r>
      <w:r w:rsidRPr="00712AFE">
        <w:rPr>
          <w:rFonts w:ascii="Times New Roman" w:hAnsi="Times New Roman" w:cs="Times New Roman"/>
          <w:i/>
          <w:iCs/>
          <w:sz w:val="24"/>
          <w:szCs w:val="24"/>
        </w:rPr>
        <w:t>Mangifera indica</w:t>
      </w:r>
      <w:r w:rsidRPr="00712AFE">
        <w:rPr>
          <w:rFonts w:ascii="Times New Roman" w:hAnsi="Times New Roman" w:cs="Times New Roman"/>
          <w:sz w:val="24"/>
          <w:szCs w:val="24"/>
        </w:rPr>
        <w:t xml:space="preserve"> L.) is economically one of the most important fruit crop in India and is being grown in more than 87 countries in the world. In India, mango is economically one of the most important fruit crop in tropical and subtropical regions. India is world’s leading mango producer and it occupies 35.4 per cent (2.31million ha) of total area among the fruit crops with 23.1 per cent (22.35 million MT) production share. However, the average productivity (9.3 t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 of mango is very low compared to Utter Pradesh (17.63 t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 xml:space="preserve">); it indicates that, there is huge potential in increasing productivity of mango </w:t>
      </w:r>
      <w:r w:rsidR="00D43CD6" w:rsidRPr="00712AFE">
        <w:rPr>
          <w:rFonts w:ascii="Times New Roman" w:hAnsi="Times New Roman" w:cs="Times New Roman"/>
          <w:sz w:val="24"/>
          <w:szCs w:val="24"/>
        </w:rPr>
        <w:t>[1]</w:t>
      </w:r>
      <w:r w:rsidRPr="00712AFE">
        <w:rPr>
          <w:rFonts w:ascii="Times New Roman" w:hAnsi="Times New Roman" w:cs="Times New Roman"/>
          <w:sz w:val="24"/>
          <w:szCs w:val="24"/>
        </w:rPr>
        <w:t xml:space="preserve">. </w:t>
      </w:r>
      <w:r w:rsidRPr="00712AFE">
        <w:rPr>
          <w:rFonts w:ascii="Times New Roman" w:eastAsia="Arial" w:hAnsi="Times New Roman" w:cs="Times New Roman"/>
          <w:sz w:val="24"/>
          <w:szCs w:val="24"/>
        </w:rPr>
        <w:t xml:space="preserve">In Telangana mango occupies a prime position in cultivation among the fruit crops, </w:t>
      </w:r>
      <w:r w:rsidRPr="00712AFE">
        <w:rPr>
          <w:rFonts w:ascii="Times New Roman" w:eastAsia="Arial" w:hAnsi="Times New Roman" w:cs="Times New Roman"/>
          <w:i/>
          <w:iCs/>
          <w:sz w:val="24"/>
          <w:szCs w:val="24"/>
        </w:rPr>
        <w:t xml:space="preserve">i.e. </w:t>
      </w:r>
      <w:r w:rsidRPr="00712AFE">
        <w:rPr>
          <w:rFonts w:ascii="Times New Roman" w:eastAsia="Arial" w:hAnsi="Times New Roman" w:cs="Times New Roman"/>
          <w:sz w:val="24"/>
          <w:szCs w:val="24"/>
        </w:rPr>
        <w:t>70 per cent of total fruit cultivated area and 56% of total production devoted to mango, but the average productivity of India and Telangana (9.7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xml:space="preserve"> and 9.3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respectively) is very low compared to Uttar Pradesh (India) and Bangladesh (17.0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xml:space="preserve"> to 17.63 t ha</w:t>
      </w:r>
      <w:r w:rsidRPr="00712AFE">
        <w:rPr>
          <w:rFonts w:ascii="Times New Roman" w:eastAsia="Arial" w:hAnsi="Times New Roman" w:cs="Times New Roman"/>
          <w:sz w:val="24"/>
          <w:szCs w:val="24"/>
          <w:vertAlign w:val="superscript"/>
        </w:rPr>
        <w:t>-1</w:t>
      </w:r>
      <w:r w:rsidRPr="00712AFE">
        <w:rPr>
          <w:rFonts w:ascii="Times New Roman" w:eastAsia="Arial" w:hAnsi="Times New Roman" w:cs="Times New Roman"/>
          <w:sz w:val="24"/>
          <w:szCs w:val="24"/>
        </w:rPr>
        <w:t>) and it indicating that, there is huge potential to increasing the productivity of mango [</w:t>
      </w:r>
      <w:r w:rsidR="00D43CD6" w:rsidRPr="00712AFE">
        <w:rPr>
          <w:rFonts w:ascii="Times New Roman" w:eastAsia="Arial" w:hAnsi="Times New Roman" w:cs="Times New Roman"/>
          <w:sz w:val="24"/>
          <w:szCs w:val="24"/>
        </w:rPr>
        <w:t>2</w:t>
      </w:r>
      <w:r w:rsidRPr="00712AFE">
        <w:rPr>
          <w:rFonts w:ascii="Times New Roman" w:eastAsia="Arial" w:hAnsi="Times New Roman" w:cs="Times New Roman"/>
          <w:sz w:val="24"/>
          <w:szCs w:val="24"/>
        </w:rPr>
        <w:t>]. However, the mango productivity has declined due to several biotic and abiotic factors. Out of several biotic and a-biotic factors responsible, optimum water management is one of the most important factors that significantly influence productivity and quality, even though mango trees are tolerant to drought and occasional flooding. Water stress during the critical stages of fruit growth and development is the main reason for low productivity [</w:t>
      </w:r>
      <w:r w:rsidR="00D43CD6" w:rsidRPr="00712AFE">
        <w:rPr>
          <w:rFonts w:ascii="Times New Roman" w:eastAsia="Arial" w:hAnsi="Times New Roman" w:cs="Times New Roman"/>
          <w:sz w:val="24"/>
          <w:szCs w:val="24"/>
        </w:rPr>
        <w:t>3</w:t>
      </w:r>
      <w:r w:rsidRPr="00712AFE">
        <w:rPr>
          <w:rFonts w:ascii="Times New Roman" w:eastAsia="Arial" w:hAnsi="Times New Roman" w:cs="Times New Roman"/>
          <w:sz w:val="24"/>
          <w:szCs w:val="24"/>
        </w:rPr>
        <w:t>]. In such situation, water management, especially during development stage plays an important role in improving yield and quality. However, the amount and quality of available irrigation water of the arid and semi- arid regions are being main limiting factors for productivity of mango [</w:t>
      </w:r>
      <w:r w:rsidR="00A875FD" w:rsidRPr="00712AFE">
        <w:rPr>
          <w:rFonts w:ascii="Times New Roman" w:eastAsia="Arial" w:hAnsi="Times New Roman" w:cs="Times New Roman"/>
          <w:sz w:val="24"/>
          <w:szCs w:val="24"/>
        </w:rPr>
        <w:t>4</w:t>
      </w:r>
      <w:r w:rsidRPr="00712AFE">
        <w:rPr>
          <w:rFonts w:ascii="Times New Roman" w:eastAsia="Arial" w:hAnsi="Times New Roman" w:cs="Times New Roman"/>
          <w:sz w:val="24"/>
          <w:szCs w:val="24"/>
        </w:rPr>
        <w:t>].</w:t>
      </w:r>
    </w:p>
    <w:p w14:paraId="479787AE" w14:textId="77777777" w:rsidR="001670E6" w:rsidRPr="00712AFE" w:rsidRDefault="001670E6" w:rsidP="001670E6">
      <w:pPr>
        <w:autoSpaceDE w:val="0"/>
        <w:autoSpaceDN w:val="0"/>
        <w:adjustRightInd w:val="0"/>
        <w:spacing w:line="360" w:lineRule="auto"/>
        <w:jc w:val="both"/>
        <w:rPr>
          <w:rFonts w:ascii="Times New Roman" w:eastAsia="Arial" w:hAnsi="Times New Roman" w:cs="Times New Roman"/>
          <w:sz w:val="24"/>
          <w:szCs w:val="24"/>
        </w:rPr>
      </w:pPr>
      <w:r w:rsidRPr="00712AFE">
        <w:rPr>
          <w:rFonts w:ascii="Times New Roman" w:eastAsia="Arial" w:hAnsi="Times New Roman" w:cs="Times New Roman"/>
          <w:sz w:val="24"/>
          <w:szCs w:val="24"/>
        </w:rPr>
        <w:t>As the water and land are the important, indispensable resources for agricultural development and economic up-gradation of any country cannot be regarded as available in abundance and free forever. The demand for these two resources will continue to grow due to ever enhancing population. Increasing the water shortage has caused us to investigate the sustainable use of irrigation water. For this, specific effective water-saving irrigation techniques without detrimentally affecting crop production need to be developed urgently. In this context a shift in focus is indispensable for the development of additional water resources along with the efficient use of already developed water resources [</w:t>
      </w:r>
      <w:r w:rsidR="00A875FD" w:rsidRPr="00712AFE">
        <w:rPr>
          <w:rFonts w:ascii="Times New Roman" w:eastAsia="Arial" w:hAnsi="Times New Roman" w:cs="Times New Roman"/>
          <w:sz w:val="24"/>
          <w:szCs w:val="24"/>
        </w:rPr>
        <w:t>5</w:t>
      </w:r>
      <w:r w:rsidRPr="00712AFE">
        <w:rPr>
          <w:rFonts w:ascii="Times New Roman" w:eastAsia="Arial" w:hAnsi="Times New Roman" w:cs="Times New Roman"/>
          <w:sz w:val="24"/>
          <w:szCs w:val="24"/>
        </w:rPr>
        <w:t>]. As the mango is irrigated by basin and drip irrigation systems without any concern on crop water requirement and schedule; that has leads to inefficient utilization of available water and it must be converted from the basin irrigation system to drip irrigation with a proper scheduled manner, their by the water conserved and it would helps in increase the</w:t>
      </w:r>
      <w:r w:rsidR="00A875FD" w:rsidRPr="00712AFE">
        <w:rPr>
          <w:rFonts w:ascii="Times New Roman" w:eastAsia="Arial" w:hAnsi="Times New Roman" w:cs="Times New Roman"/>
          <w:sz w:val="24"/>
          <w:szCs w:val="24"/>
        </w:rPr>
        <w:t xml:space="preserve"> acreage with available water [6</w:t>
      </w:r>
      <w:r w:rsidRPr="00712AFE">
        <w:rPr>
          <w:rFonts w:ascii="Times New Roman" w:eastAsia="Arial" w:hAnsi="Times New Roman" w:cs="Times New Roman"/>
          <w:sz w:val="24"/>
          <w:szCs w:val="24"/>
        </w:rPr>
        <w:t xml:space="preserve">]. In addition to </w:t>
      </w:r>
      <w:r w:rsidRPr="00712AFE">
        <w:rPr>
          <w:rFonts w:ascii="Times New Roman" w:eastAsia="Arial" w:hAnsi="Times New Roman" w:cs="Times New Roman"/>
          <w:sz w:val="24"/>
          <w:szCs w:val="24"/>
        </w:rPr>
        <w:lastRenderedPageBreak/>
        <w:t>above the mulching is another important conservative cultural practice. As many studies have shown that mulches can improve soil qualities, weed control [</w:t>
      </w:r>
      <w:r w:rsidR="00A875FD" w:rsidRPr="00712AFE">
        <w:rPr>
          <w:rFonts w:ascii="Times New Roman" w:eastAsia="Arial" w:hAnsi="Times New Roman" w:cs="Times New Roman"/>
          <w:sz w:val="24"/>
          <w:szCs w:val="24"/>
        </w:rPr>
        <w:t>7</w:t>
      </w:r>
      <w:r w:rsidRPr="00712AFE">
        <w:rPr>
          <w:rFonts w:ascii="Times New Roman" w:eastAsia="Arial" w:hAnsi="Times New Roman" w:cs="Times New Roman"/>
          <w:sz w:val="24"/>
          <w:szCs w:val="24"/>
        </w:rPr>
        <w:t>] and also helps in efficient water management under such situation, the drip irrigation along with mulching is the best practice which saves 25-30% irrigation water [</w:t>
      </w:r>
      <w:r w:rsidR="00A875FD" w:rsidRPr="00712AFE">
        <w:rPr>
          <w:rFonts w:ascii="Times New Roman" w:eastAsia="Arial" w:hAnsi="Times New Roman" w:cs="Times New Roman"/>
          <w:sz w:val="24"/>
          <w:szCs w:val="24"/>
        </w:rPr>
        <w:t>8</w:t>
      </w:r>
      <w:r w:rsidRPr="00712AFE">
        <w:rPr>
          <w:rFonts w:ascii="Times New Roman" w:eastAsia="Arial" w:hAnsi="Times New Roman" w:cs="Times New Roman"/>
          <w:sz w:val="24"/>
          <w:szCs w:val="24"/>
        </w:rPr>
        <w:t>].</w:t>
      </w:r>
      <w:r w:rsidR="0076727F" w:rsidRPr="00712AFE">
        <w:rPr>
          <w:rFonts w:ascii="Times New Roman" w:eastAsia="Arial" w:hAnsi="Times New Roman" w:cs="Times New Roman"/>
          <w:sz w:val="24"/>
          <w:szCs w:val="24"/>
        </w:rPr>
        <w:t xml:space="preserve"> </w:t>
      </w:r>
      <w:r w:rsidRPr="00712AFE">
        <w:rPr>
          <w:rFonts w:ascii="Times New Roman" w:eastAsia="Arial" w:hAnsi="Times New Roman" w:cs="Times New Roman"/>
          <w:sz w:val="24"/>
          <w:szCs w:val="24"/>
        </w:rPr>
        <w:t>Sing et al. [</w:t>
      </w:r>
      <w:r w:rsidR="00A875FD" w:rsidRPr="00712AFE">
        <w:rPr>
          <w:rFonts w:ascii="Times New Roman" w:eastAsia="Arial" w:hAnsi="Times New Roman" w:cs="Times New Roman"/>
          <w:sz w:val="24"/>
          <w:szCs w:val="24"/>
        </w:rPr>
        <w:t>9</w:t>
      </w:r>
      <w:r w:rsidRPr="00712AFE">
        <w:rPr>
          <w:rFonts w:ascii="Times New Roman" w:eastAsia="Arial" w:hAnsi="Times New Roman" w:cs="Times New Roman"/>
          <w:sz w:val="24"/>
          <w:szCs w:val="24"/>
        </w:rPr>
        <w:t xml:space="preserve">] suggested that, the irrigation requirement met through drip irrigation along with polyethylene mulch gave the 164 per cent greater yield compared to ring basin irrigation in guava. With an above brief background, an experiment was carried to </w:t>
      </w:r>
      <w:r w:rsidR="00574093" w:rsidRPr="00712AFE">
        <w:rPr>
          <w:rFonts w:ascii="Times New Roman" w:hAnsi="Times New Roman" w:cs="Times New Roman"/>
          <w:sz w:val="24"/>
          <w:szCs w:val="24"/>
        </w:rPr>
        <w:t>on soil and leaf nutrient dynamics, mango yield, and quality</w:t>
      </w:r>
      <w:r w:rsidR="00574093" w:rsidRPr="00712AFE">
        <w:rPr>
          <w:rFonts w:ascii="Times New Roman" w:eastAsia="Arial" w:hAnsi="Times New Roman" w:cs="Times New Roman"/>
          <w:sz w:val="24"/>
          <w:szCs w:val="24"/>
        </w:rPr>
        <w:t xml:space="preserve"> of mango.</w:t>
      </w:r>
    </w:p>
    <w:p w14:paraId="1B3CEF83" w14:textId="77777777" w:rsidR="0043265E" w:rsidRPr="00712AFE" w:rsidRDefault="0043265E" w:rsidP="0043265E">
      <w:pPr>
        <w:tabs>
          <w:tab w:val="left" w:pos="7934"/>
        </w:tabs>
        <w:autoSpaceDE w:val="0"/>
        <w:autoSpaceDN w:val="0"/>
        <w:adjustRightInd w:val="0"/>
        <w:spacing w:before="100" w:beforeAutospacing="1" w:after="100" w:afterAutospacing="1" w:line="360" w:lineRule="auto"/>
        <w:jc w:val="both"/>
        <w:rPr>
          <w:rFonts w:ascii="Times New Roman" w:hAnsi="Times New Roman" w:cs="Times New Roman"/>
          <w:b/>
          <w:bCs/>
          <w:color w:val="000000"/>
          <w:sz w:val="24"/>
          <w:szCs w:val="24"/>
        </w:rPr>
      </w:pPr>
      <w:r w:rsidRPr="00712AFE">
        <w:rPr>
          <w:rFonts w:ascii="Times New Roman" w:hAnsi="Times New Roman" w:cs="Times New Roman"/>
          <w:b/>
          <w:bCs/>
          <w:color w:val="000000"/>
          <w:sz w:val="24"/>
          <w:szCs w:val="24"/>
        </w:rPr>
        <w:t>MATERIALS AND METHODS</w:t>
      </w:r>
      <w:r w:rsidRPr="00712AFE">
        <w:rPr>
          <w:rFonts w:ascii="Times New Roman" w:hAnsi="Times New Roman" w:cs="Times New Roman"/>
          <w:b/>
          <w:bCs/>
          <w:color w:val="000000"/>
          <w:sz w:val="24"/>
          <w:szCs w:val="24"/>
        </w:rPr>
        <w:tab/>
      </w:r>
    </w:p>
    <w:p w14:paraId="0BBD2B24" w14:textId="77777777" w:rsidR="0043265E" w:rsidRPr="00712AFE" w:rsidRDefault="0043265E" w:rsidP="0043265E">
      <w:pPr>
        <w:autoSpaceDE w:val="0"/>
        <w:autoSpaceDN w:val="0"/>
        <w:adjustRightInd w:val="0"/>
        <w:spacing w:line="360" w:lineRule="auto"/>
        <w:ind w:firstLine="720"/>
        <w:jc w:val="both"/>
        <w:rPr>
          <w:rFonts w:ascii="Times New Roman" w:hAnsi="Times New Roman" w:cs="Times New Roman"/>
          <w:sz w:val="24"/>
          <w:szCs w:val="24"/>
        </w:rPr>
      </w:pPr>
      <w:r w:rsidRPr="00712AFE">
        <w:rPr>
          <w:rFonts w:ascii="Times New Roman" w:hAnsi="Times New Roman" w:cs="Times New Roman"/>
          <w:color w:val="000000"/>
          <w:sz w:val="24"/>
          <w:szCs w:val="24"/>
        </w:rPr>
        <w:t xml:space="preserve">The field experiment was conducted during two successive years (from 2017 to 18 and 2018 to 19 was executed in the private mango orchard at Sathapur (Kollapur area, Nagarkurnool- Dist.) and the experimental farm is located at 16° 30' N latitude and 78° 19' E longitude at an elevation of 550 m above MSL, representing Southern Telangana zone, is mainly covered by red sandy soil, is locally known as ' </w:t>
      </w:r>
      <w:proofErr w:type="spellStart"/>
      <w:r w:rsidRPr="00712AFE">
        <w:rPr>
          <w:rFonts w:ascii="Times New Roman" w:hAnsi="Times New Roman" w:cs="Times New Roman"/>
          <w:color w:val="000000"/>
          <w:sz w:val="24"/>
          <w:szCs w:val="24"/>
        </w:rPr>
        <w:t>Chelka</w:t>
      </w:r>
      <w:proofErr w:type="spellEnd"/>
      <w:r w:rsidRPr="00712AFE">
        <w:rPr>
          <w:rFonts w:ascii="Times New Roman" w:hAnsi="Times New Roman" w:cs="Times New Roman"/>
          <w:color w:val="000000"/>
          <w:sz w:val="24"/>
          <w:szCs w:val="24"/>
        </w:rPr>
        <w:t xml:space="preserve"> soils'. </w:t>
      </w:r>
      <w:r w:rsidRPr="00712AFE">
        <w:rPr>
          <w:rFonts w:ascii="Times New Roman" w:hAnsi="Times New Roman" w:cs="Times New Roman"/>
          <w:sz w:val="24"/>
          <w:szCs w:val="24"/>
        </w:rPr>
        <w:t xml:space="preserve">The experimental soil was red sandy loam soil, with good drainage as well as moderate water holding capacity and the soil properties of experimental site mentioned in Table-1. Representative soil samples from the experimental plots were drawn from 0-45 cm depth from the wetting zone separately and dried under shade. The initial soil samples were used to determine its physical and chemical properties of soil before starting of experiment. The initial (Table-2) and final leaf analysis made by collecting of  mango leaves (20-30) from the leaves situated at fourth and fifth position from terminal bud of recently matured shoots </w:t>
      </w:r>
      <w:r w:rsidR="00155758">
        <w:rPr>
          <w:rFonts w:ascii="Times New Roman" w:hAnsi="Times New Roman" w:cs="Times New Roman"/>
          <w:sz w:val="24"/>
          <w:szCs w:val="24"/>
        </w:rPr>
        <w:t>[10]</w:t>
      </w:r>
      <w:r w:rsidRPr="00712AFE">
        <w:rPr>
          <w:rFonts w:ascii="Times New Roman" w:hAnsi="Times New Roman" w:cs="Times New Roman"/>
          <w:sz w:val="24"/>
          <w:szCs w:val="24"/>
        </w:rPr>
        <w:t>.</w:t>
      </w:r>
    </w:p>
    <w:p w14:paraId="732CC08B" w14:textId="77777777" w:rsidR="0043265E" w:rsidRPr="00712AFE" w:rsidRDefault="0043265E" w:rsidP="0043265E">
      <w:pPr>
        <w:autoSpaceDE w:val="0"/>
        <w:autoSpaceDN w:val="0"/>
        <w:adjustRightInd w:val="0"/>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Experimental design and applications </w:t>
      </w:r>
    </w:p>
    <w:p w14:paraId="16E384BE" w14:textId="77777777" w:rsidR="0043265E" w:rsidRPr="00712AFE" w:rsidRDefault="0043265E" w:rsidP="0043265E">
      <w:pPr>
        <w:autoSpaceDE w:val="0"/>
        <w:autoSpaceDN w:val="0"/>
        <w:adjustRightInd w:val="0"/>
        <w:spacing w:line="360" w:lineRule="auto"/>
        <w:ind w:firstLine="720"/>
        <w:jc w:val="both"/>
        <w:rPr>
          <w:rFonts w:ascii="Times New Roman" w:eastAsia="Arial" w:hAnsi="Times New Roman" w:cs="Times New Roman"/>
          <w:sz w:val="24"/>
          <w:szCs w:val="24"/>
        </w:rPr>
      </w:pPr>
      <w:r w:rsidRPr="00712AFE">
        <w:rPr>
          <w:rFonts w:ascii="Times New Roman" w:eastAsia="Arial" w:hAnsi="Times New Roman" w:cs="Times New Roman"/>
          <w:sz w:val="24"/>
          <w:szCs w:val="24"/>
        </w:rPr>
        <w:t xml:space="preserve">The field experiment was conducted during June- 2017 to May-2018 and June-2018 to May-2019 was executed in the private mango orchard at Sathapur (Kollapur area) and the experimental farm is located at 16° 30' N latitude and 78° 19' E longitude at an elevation of 550 m above MSL representing Southern Telangana zone, is mainly covered by red sandy soil, is locally known as ' </w:t>
      </w:r>
      <w:proofErr w:type="spellStart"/>
      <w:r w:rsidRPr="00712AFE">
        <w:rPr>
          <w:rFonts w:ascii="Times New Roman" w:eastAsia="Arial" w:hAnsi="Times New Roman" w:cs="Times New Roman"/>
          <w:sz w:val="24"/>
          <w:szCs w:val="24"/>
        </w:rPr>
        <w:t>Chelka</w:t>
      </w:r>
      <w:proofErr w:type="spellEnd"/>
      <w:r w:rsidRPr="00712AFE">
        <w:rPr>
          <w:rFonts w:ascii="Times New Roman" w:eastAsia="Arial" w:hAnsi="Times New Roman" w:cs="Times New Roman"/>
          <w:sz w:val="24"/>
          <w:szCs w:val="24"/>
        </w:rPr>
        <w:t xml:space="preserve"> soils' and the soil properties are mentioned in Table 1.Experiment comprised of 40 number of uniform size healthy trees of mango cv. Banganpalli, 12 years old plants were selected and the plants were planted with spacing of 10x10 m. Two plants were selected for each treatment in each replication. </w:t>
      </w:r>
    </w:p>
    <w:p w14:paraId="31682466" w14:textId="77777777" w:rsidR="0043265E" w:rsidRPr="00712AFE" w:rsidRDefault="00574093" w:rsidP="00574093">
      <w:pPr>
        <w:tabs>
          <w:tab w:val="left" w:pos="720"/>
        </w:tabs>
        <w:spacing w:before="100" w:beforeAutospacing="1" w:after="100" w:afterAutospacing="1" w:line="360" w:lineRule="auto"/>
        <w:jc w:val="both"/>
        <w:rPr>
          <w:rFonts w:ascii="Times New Roman" w:hAnsi="Times New Roman" w:cs="Times New Roman"/>
          <w:color w:val="000000"/>
          <w:sz w:val="24"/>
          <w:szCs w:val="24"/>
        </w:rPr>
      </w:pPr>
      <w:r w:rsidRPr="00712AFE">
        <w:rPr>
          <w:rFonts w:ascii="Times New Roman" w:eastAsia="Arial" w:hAnsi="Times New Roman" w:cs="Times New Roman"/>
          <w:sz w:val="24"/>
          <w:szCs w:val="24"/>
        </w:rPr>
        <w:tab/>
      </w:r>
      <w:r w:rsidR="0043265E" w:rsidRPr="00712AFE">
        <w:rPr>
          <w:rFonts w:ascii="Times New Roman" w:eastAsia="Arial" w:hAnsi="Times New Roman" w:cs="Times New Roman"/>
          <w:sz w:val="24"/>
          <w:szCs w:val="24"/>
        </w:rPr>
        <w:t xml:space="preserve">All plants were given similar cultural operations except irrigation and mulching. The application of recommended dose of fertilizers (RDF </w:t>
      </w:r>
      <w:r w:rsidR="0043265E" w:rsidRPr="00712AFE">
        <w:rPr>
          <w:rFonts w:ascii="Times New Roman" w:eastAsia="Arial" w:hAnsi="Times New Roman" w:cs="Times New Roman"/>
          <w:i/>
          <w:iCs/>
          <w:sz w:val="24"/>
          <w:szCs w:val="24"/>
        </w:rPr>
        <w:t>i.e.,</w:t>
      </w:r>
      <w:r w:rsidR="0043265E" w:rsidRPr="00712AFE">
        <w:rPr>
          <w:rFonts w:ascii="Times New Roman" w:eastAsia="Arial" w:hAnsi="Times New Roman" w:cs="Times New Roman"/>
          <w:sz w:val="24"/>
          <w:szCs w:val="24"/>
        </w:rPr>
        <w:t xml:space="preserve">1000:1000:1000 g of NPK and 50 </w:t>
      </w:r>
      <w:r w:rsidR="0043265E" w:rsidRPr="00712AFE">
        <w:rPr>
          <w:rFonts w:ascii="Times New Roman" w:eastAsia="Arial" w:hAnsi="Times New Roman" w:cs="Times New Roman"/>
          <w:sz w:val="24"/>
          <w:szCs w:val="24"/>
        </w:rPr>
        <w:lastRenderedPageBreak/>
        <w:t>kg of farm yard manure (FYM) plant</w:t>
      </w:r>
      <w:r w:rsidR="0043265E" w:rsidRPr="00712AFE">
        <w:rPr>
          <w:rFonts w:ascii="Times New Roman" w:eastAsia="Arial" w:hAnsi="Times New Roman" w:cs="Times New Roman"/>
          <w:sz w:val="24"/>
          <w:szCs w:val="24"/>
          <w:vertAlign w:val="superscript"/>
        </w:rPr>
        <w:t>-1</w:t>
      </w:r>
      <w:r w:rsidR="0043265E" w:rsidRPr="00712AFE">
        <w:rPr>
          <w:rFonts w:ascii="Times New Roman" w:eastAsia="Arial" w:hAnsi="Times New Roman" w:cs="Times New Roman"/>
          <w:sz w:val="24"/>
          <w:szCs w:val="24"/>
        </w:rPr>
        <w:t xml:space="preserve"> year </w:t>
      </w:r>
      <w:r w:rsidR="0043265E" w:rsidRPr="00712AFE">
        <w:rPr>
          <w:rFonts w:ascii="Times New Roman" w:eastAsia="Arial" w:hAnsi="Times New Roman" w:cs="Times New Roman"/>
          <w:sz w:val="24"/>
          <w:szCs w:val="24"/>
          <w:vertAlign w:val="superscript"/>
        </w:rPr>
        <w:t>-1</w:t>
      </w:r>
      <w:r w:rsidR="0043265E" w:rsidRPr="00712AFE">
        <w:rPr>
          <w:rFonts w:ascii="Times New Roman" w:eastAsia="Arial" w:hAnsi="Times New Roman" w:cs="Times New Roman"/>
          <w:sz w:val="24"/>
          <w:szCs w:val="24"/>
        </w:rPr>
        <w:t xml:space="preserve"> for more than ten years old plants) are applied during third week of June i.e. half of doses of nitrogen, potassium, total FYM and phosphorus were applied. Another half dose of nitrogen and potassium was applied through soil, along with the micronutrients [ZnSO4 (50 g) + FeSO4 (25 g) + Borax (20g) + MgSO4 (30 g) tree</w:t>
      </w:r>
      <w:r w:rsidR="0043265E" w:rsidRPr="00712AFE">
        <w:rPr>
          <w:rFonts w:ascii="Times New Roman" w:eastAsia="Arial" w:hAnsi="Times New Roman" w:cs="Times New Roman"/>
          <w:sz w:val="24"/>
          <w:szCs w:val="24"/>
          <w:vertAlign w:val="superscript"/>
        </w:rPr>
        <w:t>-1</w:t>
      </w:r>
      <w:r w:rsidR="0043265E" w:rsidRPr="00712AFE">
        <w:rPr>
          <w:rFonts w:ascii="Times New Roman" w:eastAsia="Arial" w:hAnsi="Times New Roman" w:cs="Times New Roman"/>
          <w:sz w:val="24"/>
          <w:szCs w:val="24"/>
        </w:rPr>
        <w:t>] are applied through foliar spray fruit at marble. Here, two levels M</w:t>
      </w:r>
      <w:r w:rsidR="0043265E" w:rsidRPr="00712AFE">
        <w:rPr>
          <w:rFonts w:ascii="Times New Roman" w:eastAsia="Arial" w:hAnsi="Times New Roman" w:cs="Times New Roman"/>
          <w:sz w:val="24"/>
          <w:szCs w:val="24"/>
          <w:vertAlign w:val="subscript"/>
        </w:rPr>
        <w:t>0</w:t>
      </w:r>
      <w:r w:rsidR="0043265E" w:rsidRPr="00712AFE">
        <w:rPr>
          <w:rFonts w:ascii="Times New Roman" w:eastAsia="Arial" w:hAnsi="Times New Roman" w:cs="Times New Roman"/>
          <w:sz w:val="24"/>
          <w:szCs w:val="24"/>
        </w:rPr>
        <w:t xml:space="preserve"> and M</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 xml:space="preserve"> i.e. without mulch and with mulching, respectively), mulch with silver Poly Ethylene of 100-micron thickness were used and two levels of irrigation (I</w:t>
      </w:r>
      <w:r w:rsidR="0043265E" w:rsidRPr="00712AFE">
        <w:rPr>
          <w:rFonts w:ascii="Times New Roman" w:eastAsia="Arial" w:hAnsi="Times New Roman" w:cs="Times New Roman"/>
          <w:sz w:val="24"/>
          <w:szCs w:val="24"/>
          <w:vertAlign w:val="subscript"/>
        </w:rPr>
        <w:t>1</w:t>
      </w:r>
      <w:r w:rsidR="0043265E" w:rsidRPr="00712AFE">
        <w:rPr>
          <w:rFonts w:ascii="Times New Roman" w:eastAsia="Arial" w:hAnsi="Times New Roman" w:cs="Times New Roman"/>
          <w:sz w:val="24"/>
          <w:szCs w:val="24"/>
        </w:rPr>
        <w:t xml:space="preserve"> -75% and I</w:t>
      </w:r>
      <w:r w:rsidR="0043265E" w:rsidRPr="00712AFE">
        <w:rPr>
          <w:rFonts w:ascii="Times New Roman" w:eastAsia="Arial" w:hAnsi="Times New Roman" w:cs="Times New Roman"/>
          <w:sz w:val="24"/>
          <w:szCs w:val="24"/>
          <w:vertAlign w:val="subscript"/>
        </w:rPr>
        <w:t>2</w:t>
      </w:r>
      <w:r w:rsidR="0043265E" w:rsidRPr="00712AFE">
        <w:rPr>
          <w:rFonts w:ascii="Times New Roman" w:eastAsia="Arial" w:hAnsi="Times New Roman" w:cs="Times New Roman"/>
          <w:sz w:val="24"/>
          <w:szCs w:val="24"/>
        </w:rPr>
        <w:t xml:space="preserve"> 100% ETc through drip).  Here is a bifactorial 2x2 design were used and There were two levels of irrigation as main plot and two levels of mulching in the sub plot together constituting four treatment combinations with five replications under factorial randomized block design (OPSTAT programme by COBS&amp;H CCS HAU, Hisar; [11]). </w:t>
      </w:r>
      <w:r w:rsidR="0043265E" w:rsidRPr="00712AFE">
        <w:rPr>
          <w:rFonts w:ascii="Times New Roman" w:hAnsi="Times New Roman" w:cs="Times New Roman"/>
          <w:color w:val="000000"/>
          <w:sz w:val="24"/>
          <w:szCs w:val="24"/>
        </w:rPr>
        <w:t>Duncan Multiple Range Test (DMRT) was used to distinguish means that were significantly different at P ≤ 0.05.</w:t>
      </w:r>
    </w:p>
    <w:p w14:paraId="03491973" w14:textId="77777777" w:rsidR="0043265E" w:rsidRPr="00712AFE" w:rsidRDefault="0043265E" w:rsidP="0043265E">
      <w:pPr>
        <w:autoSpaceDE w:val="0"/>
        <w:autoSpaceDN w:val="0"/>
        <w:adjustRightInd w:val="0"/>
        <w:spacing w:line="360" w:lineRule="auto"/>
        <w:ind w:firstLine="720"/>
        <w:jc w:val="both"/>
        <w:rPr>
          <w:rFonts w:ascii="Times New Roman" w:eastAsia="Arial" w:hAnsi="Times New Roman" w:cs="Times New Roman"/>
          <w:sz w:val="24"/>
          <w:szCs w:val="24"/>
        </w:rPr>
      </w:pPr>
      <w:r w:rsidRPr="00712AFE">
        <w:rPr>
          <w:rFonts w:ascii="Times New Roman" w:eastAsia="Arial" w:hAnsi="Times New Roman" w:cs="Times New Roman"/>
          <w:sz w:val="24"/>
          <w:szCs w:val="24"/>
        </w:rPr>
        <w:t>Taking into account the scheduling of irrigation at different levels of ETc and mulching were used in the treatment combination: I</w:t>
      </w:r>
      <w:r w:rsidRPr="00712AFE">
        <w:rPr>
          <w:rFonts w:ascii="Times New Roman" w:eastAsia="Arial" w:hAnsi="Times New Roman" w:cs="Times New Roman"/>
          <w:sz w:val="24"/>
          <w:szCs w:val="24"/>
          <w:vertAlign w:val="subscript"/>
        </w:rPr>
        <w:t>1</w:t>
      </w:r>
      <w:r w:rsidRPr="00712AFE">
        <w:rPr>
          <w:rFonts w:ascii="Times New Roman" w:eastAsia="Arial" w:hAnsi="Times New Roman" w:cs="Times New Roman"/>
          <w:sz w:val="24"/>
          <w:szCs w:val="24"/>
        </w:rPr>
        <w:t>M</w:t>
      </w:r>
      <w:r w:rsidRPr="00712AFE">
        <w:rPr>
          <w:rFonts w:ascii="Times New Roman" w:eastAsia="Arial" w:hAnsi="Times New Roman" w:cs="Times New Roman"/>
          <w:sz w:val="24"/>
          <w:szCs w:val="24"/>
          <w:vertAlign w:val="subscript"/>
        </w:rPr>
        <w:t>0</w:t>
      </w:r>
      <w:r w:rsidRPr="00712AFE">
        <w:rPr>
          <w:rFonts w:ascii="Times New Roman" w:eastAsia="Arial" w:hAnsi="Times New Roman" w:cs="Times New Roman"/>
          <w:sz w:val="24"/>
          <w:szCs w:val="24"/>
        </w:rPr>
        <w:t>-75% ETc + without mulching, I</w:t>
      </w:r>
      <w:r w:rsidRPr="00712AFE">
        <w:rPr>
          <w:rFonts w:ascii="Times New Roman" w:eastAsia="Arial" w:hAnsi="Times New Roman" w:cs="Times New Roman"/>
          <w:sz w:val="24"/>
          <w:szCs w:val="24"/>
          <w:vertAlign w:val="subscript"/>
        </w:rPr>
        <w:t>1</w:t>
      </w:r>
      <w:r w:rsidRPr="00712AFE">
        <w:rPr>
          <w:rFonts w:ascii="Times New Roman" w:eastAsia="Arial" w:hAnsi="Times New Roman" w:cs="Times New Roman"/>
          <w:sz w:val="24"/>
          <w:szCs w:val="24"/>
        </w:rPr>
        <w:t>M</w:t>
      </w:r>
      <w:r w:rsidRPr="00712AFE">
        <w:rPr>
          <w:rFonts w:ascii="Times New Roman" w:eastAsia="Arial" w:hAnsi="Times New Roman" w:cs="Times New Roman"/>
          <w:sz w:val="24"/>
          <w:szCs w:val="24"/>
          <w:vertAlign w:val="subscript"/>
        </w:rPr>
        <w:t>1</w:t>
      </w:r>
      <w:r w:rsidRPr="00712AFE">
        <w:rPr>
          <w:rFonts w:ascii="Times New Roman" w:eastAsia="Arial" w:hAnsi="Times New Roman" w:cs="Times New Roman"/>
          <w:sz w:val="24"/>
          <w:szCs w:val="24"/>
        </w:rPr>
        <w:t>- 75% ETc + with mulch, I</w:t>
      </w:r>
      <w:r w:rsidRPr="00712AFE">
        <w:rPr>
          <w:rFonts w:ascii="Times New Roman" w:eastAsia="Arial" w:hAnsi="Times New Roman" w:cs="Times New Roman"/>
          <w:sz w:val="24"/>
          <w:szCs w:val="24"/>
          <w:vertAlign w:val="subscript"/>
        </w:rPr>
        <w:t>2</w:t>
      </w:r>
      <w:r w:rsidRPr="00712AFE">
        <w:rPr>
          <w:rFonts w:ascii="Times New Roman" w:eastAsia="Arial" w:hAnsi="Times New Roman" w:cs="Times New Roman"/>
          <w:sz w:val="24"/>
          <w:szCs w:val="24"/>
        </w:rPr>
        <w:t>M</w:t>
      </w:r>
      <w:r w:rsidRPr="00712AFE">
        <w:rPr>
          <w:rFonts w:ascii="Times New Roman" w:eastAsia="Arial" w:hAnsi="Times New Roman" w:cs="Times New Roman"/>
          <w:sz w:val="24"/>
          <w:szCs w:val="24"/>
          <w:vertAlign w:val="subscript"/>
        </w:rPr>
        <w:t>0</w:t>
      </w:r>
      <w:r w:rsidRPr="00712AFE">
        <w:rPr>
          <w:rFonts w:ascii="Times New Roman" w:eastAsia="Arial" w:hAnsi="Times New Roman" w:cs="Times New Roman"/>
          <w:sz w:val="24"/>
          <w:szCs w:val="24"/>
        </w:rPr>
        <w:t>- 100% ETc + without mulching and I</w:t>
      </w:r>
      <w:r w:rsidRPr="00712AFE">
        <w:rPr>
          <w:rFonts w:ascii="Times New Roman" w:eastAsia="Arial" w:hAnsi="Times New Roman" w:cs="Times New Roman"/>
          <w:sz w:val="24"/>
          <w:szCs w:val="24"/>
          <w:vertAlign w:val="subscript"/>
        </w:rPr>
        <w:t>2</w:t>
      </w:r>
      <w:r w:rsidRPr="00712AFE">
        <w:rPr>
          <w:rFonts w:ascii="Times New Roman" w:eastAsia="Arial" w:hAnsi="Times New Roman" w:cs="Times New Roman"/>
          <w:sz w:val="24"/>
          <w:szCs w:val="24"/>
        </w:rPr>
        <w:t>M</w:t>
      </w:r>
      <w:r w:rsidRPr="00712AFE">
        <w:rPr>
          <w:rFonts w:ascii="Times New Roman" w:eastAsia="Arial" w:hAnsi="Times New Roman" w:cs="Times New Roman"/>
          <w:sz w:val="24"/>
          <w:szCs w:val="24"/>
          <w:vertAlign w:val="subscript"/>
        </w:rPr>
        <w:t>1</w:t>
      </w:r>
      <w:r w:rsidRPr="00712AFE">
        <w:rPr>
          <w:rFonts w:ascii="Times New Roman" w:eastAsia="Arial" w:hAnsi="Times New Roman" w:cs="Times New Roman"/>
          <w:sz w:val="24"/>
          <w:szCs w:val="24"/>
        </w:rPr>
        <w:t xml:space="preserve">- 100 % ETc + with mulch. Irrigation was scheduled by calculating ET using pan evaporation measurements adjusted by crop coefficient. The experimental plots were irrigated by using drip irrigation system and the crop water requirement was calculated daily with the help of meteorological data recorded by meteorological observatory of KVK, </w:t>
      </w:r>
      <w:proofErr w:type="spellStart"/>
      <w:r w:rsidRPr="00712AFE">
        <w:rPr>
          <w:rFonts w:ascii="Times New Roman" w:eastAsia="Arial" w:hAnsi="Times New Roman" w:cs="Times New Roman"/>
          <w:sz w:val="24"/>
          <w:szCs w:val="24"/>
        </w:rPr>
        <w:t>Palem</w:t>
      </w:r>
      <w:proofErr w:type="spellEnd"/>
      <w:r w:rsidRPr="00712AFE">
        <w:rPr>
          <w:rFonts w:ascii="Times New Roman" w:eastAsia="Arial" w:hAnsi="Times New Roman" w:cs="Times New Roman"/>
          <w:sz w:val="24"/>
          <w:szCs w:val="24"/>
        </w:rPr>
        <w:t xml:space="preserve">, </w:t>
      </w:r>
      <w:proofErr w:type="spellStart"/>
      <w:r w:rsidRPr="00712AFE">
        <w:rPr>
          <w:rFonts w:ascii="Times New Roman" w:eastAsia="Arial" w:hAnsi="Times New Roman" w:cs="Times New Roman"/>
          <w:sz w:val="24"/>
          <w:szCs w:val="24"/>
        </w:rPr>
        <w:t>Nagarkurnool</w:t>
      </w:r>
      <w:proofErr w:type="spellEnd"/>
      <w:r w:rsidRPr="00712AFE">
        <w:rPr>
          <w:rFonts w:ascii="Times New Roman" w:eastAsia="Arial" w:hAnsi="Times New Roman" w:cs="Times New Roman"/>
          <w:sz w:val="24"/>
          <w:szCs w:val="24"/>
        </w:rPr>
        <w:t>, and PJTSAU-Telangana. The irrigation water requirement was estimated by Pan “A” evaporation method, where the daily water requirement was calculated using the formula [12]:</w:t>
      </w:r>
    </w:p>
    <w:p w14:paraId="266213B1" w14:textId="77777777" w:rsidR="0043265E" w:rsidRPr="00712AFE" w:rsidRDefault="0043265E" w:rsidP="0043265E">
      <w:pPr>
        <w:pStyle w:val="Default"/>
        <w:spacing w:line="360" w:lineRule="auto"/>
        <w:ind w:firstLine="720"/>
        <w:jc w:val="both"/>
        <w:rPr>
          <w:rFonts w:ascii="Times New Roman" w:hAnsi="Times New Roman" w:cs="Times New Roman"/>
          <w:b/>
          <w:bCs/>
        </w:rPr>
      </w:pPr>
      <w:r w:rsidRPr="00712AFE">
        <w:rPr>
          <w:rFonts w:ascii="Times New Roman" w:hAnsi="Times New Roman" w:cs="Times New Roman"/>
          <w:b/>
          <w:bCs/>
        </w:rPr>
        <w:t xml:space="preserve">V = Ep. </w:t>
      </w:r>
      <w:proofErr w:type="spellStart"/>
      <w:r w:rsidRPr="00712AFE">
        <w:rPr>
          <w:rFonts w:ascii="Times New Roman" w:hAnsi="Times New Roman" w:cs="Times New Roman"/>
          <w:b/>
          <w:bCs/>
        </w:rPr>
        <w:t>Kp</w:t>
      </w:r>
      <w:proofErr w:type="spellEnd"/>
      <w:r w:rsidRPr="00712AFE">
        <w:rPr>
          <w:rFonts w:ascii="Times New Roman" w:hAnsi="Times New Roman" w:cs="Times New Roman"/>
          <w:b/>
          <w:bCs/>
        </w:rPr>
        <w:t xml:space="preserve">. Kc. Sp. Sr. Wp </w:t>
      </w:r>
      <w:r w:rsidR="00155758" w:rsidRPr="00712AFE">
        <w:rPr>
          <w:rFonts w:ascii="Times New Roman" w:hAnsi="Times New Roman" w:cs="Times New Roman"/>
        </w:rPr>
        <w:t>[12]</w:t>
      </w:r>
    </w:p>
    <w:p w14:paraId="1B9A28A6" w14:textId="77777777"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rPr>
        <w:t xml:space="preserve">Where, </w:t>
      </w:r>
    </w:p>
    <w:p w14:paraId="04162D64" w14:textId="77777777"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V</w:t>
      </w:r>
      <w:r w:rsidRPr="00712AFE">
        <w:rPr>
          <w:rFonts w:ascii="Times New Roman" w:hAnsi="Times New Roman" w:cs="Times New Roman"/>
        </w:rPr>
        <w:t xml:space="preserve"> = Volume of water required (litters day</w:t>
      </w:r>
      <w:r w:rsidRPr="00712AFE">
        <w:rPr>
          <w:rFonts w:ascii="Times New Roman" w:hAnsi="Times New Roman" w:cs="Times New Roman"/>
          <w:vertAlign w:val="superscript"/>
        </w:rPr>
        <w:t>-1</w:t>
      </w:r>
      <w:r w:rsidRPr="00712AFE">
        <w:rPr>
          <w:rFonts w:ascii="Times New Roman" w:hAnsi="Times New Roman" w:cs="Times New Roman"/>
        </w:rPr>
        <w:t xml:space="preserve"> plant</w:t>
      </w:r>
      <w:r w:rsidRPr="00712AFE">
        <w:rPr>
          <w:rFonts w:ascii="Times New Roman" w:hAnsi="Times New Roman" w:cs="Times New Roman"/>
          <w:vertAlign w:val="superscript"/>
        </w:rPr>
        <w:t>-1</w:t>
      </w:r>
      <w:r w:rsidRPr="00712AFE">
        <w:rPr>
          <w:rFonts w:ascii="Times New Roman" w:hAnsi="Times New Roman" w:cs="Times New Roman"/>
        </w:rPr>
        <w:t xml:space="preserve">), </w:t>
      </w:r>
    </w:p>
    <w:p w14:paraId="61D81AEF" w14:textId="77777777"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Ep</w:t>
      </w:r>
      <w:r w:rsidRPr="00712AFE">
        <w:rPr>
          <w:rFonts w:ascii="Times New Roman" w:hAnsi="Times New Roman" w:cs="Times New Roman"/>
        </w:rPr>
        <w:t xml:space="preserve"> = Pan evaporation as measured by Class-A pan evaporimeter mm day</w:t>
      </w:r>
      <w:r w:rsidRPr="00712AFE">
        <w:rPr>
          <w:rFonts w:ascii="Times New Roman" w:hAnsi="Times New Roman" w:cs="Times New Roman"/>
          <w:vertAlign w:val="superscript"/>
        </w:rPr>
        <w:t>-1</w:t>
      </w:r>
      <w:r w:rsidRPr="00712AFE">
        <w:rPr>
          <w:rFonts w:ascii="Times New Roman" w:hAnsi="Times New Roman" w:cs="Times New Roman"/>
        </w:rPr>
        <w:t xml:space="preserve">. </w:t>
      </w:r>
    </w:p>
    <w:p w14:paraId="3A8E3936" w14:textId="77777777" w:rsidR="0043265E" w:rsidRPr="00712AFE" w:rsidRDefault="0043265E" w:rsidP="0043265E">
      <w:pPr>
        <w:pStyle w:val="Default"/>
        <w:spacing w:line="360" w:lineRule="auto"/>
        <w:ind w:left="720" w:hanging="720"/>
        <w:jc w:val="both"/>
        <w:rPr>
          <w:rFonts w:ascii="Times New Roman" w:hAnsi="Times New Roman" w:cs="Times New Roman"/>
        </w:rPr>
      </w:pPr>
      <w:r w:rsidRPr="00712AFE">
        <w:rPr>
          <w:rFonts w:ascii="Times New Roman" w:hAnsi="Times New Roman" w:cs="Times New Roman"/>
          <w:b/>
          <w:bCs/>
        </w:rPr>
        <w:t>Kc</w:t>
      </w:r>
      <w:r w:rsidRPr="00712AFE">
        <w:rPr>
          <w:rFonts w:ascii="Times New Roman" w:hAnsi="Times New Roman" w:cs="Times New Roman"/>
        </w:rPr>
        <w:t xml:space="preserve"> = Crop co-efficient (co-efficient depends but for fully grown plants is 0.85) </w:t>
      </w:r>
    </w:p>
    <w:p w14:paraId="7D35A627" w14:textId="77777777" w:rsidR="0043265E" w:rsidRPr="00712AFE" w:rsidRDefault="0043265E" w:rsidP="0043265E">
      <w:pPr>
        <w:pStyle w:val="Default"/>
        <w:spacing w:line="360" w:lineRule="auto"/>
        <w:jc w:val="both"/>
        <w:rPr>
          <w:rFonts w:ascii="Times New Roman" w:hAnsi="Times New Roman" w:cs="Times New Roman"/>
        </w:rPr>
      </w:pPr>
      <w:proofErr w:type="spellStart"/>
      <w:r w:rsidRPr="00712AFE">
        <w:rPr>
          <w:rFonts w:ascii="Times New Roman" w:hAnsi="Times New Roman" w:cs="Times New Roman"/>
          <w:b/>
          <w:bCs/>
        </w:rPr>
        <w:t>Kp</w:t>
      </w:r>
      <w:proofErr w:type="spellEnd"/>
      <w:r w:rsidRPr="00712AFE">
        <w:rPr>
          <w:rFonts w:ascii="Times New Roman" w:hAnsi="Times New Roman" w:cs="Times New Roman"/>
        </w:rPr>
        <w:t xml:space="preserve"> = Pan co-efficient (0.7) </w:t>
      </w:r>
    </w:p>
    <w:p w14:paraId="0E3428B2" w14:textId="77777777" w:rsidR="0043265E" w:rsidRPr="00712AFE" w:rsidRDefault="0043265E" w:rsidP="0043265E">
      <w:pPr>
        <w:pStyle w:val="Default"/>
        <w:spacing w:line="360" w:lineRule="auto"/>
        <w:jc w:val="both"/>
        <w:rPr>
          <w:rFonts w:ascii="Times New Roman" w:hAnsi="Times New Roman" w:cs="Times New Roman"/>
        </w:rPr>
      </w:pPr>
      <w:r w:rsidRPr="00712AFE">
        <w:rPr>
          <w:rFonts w:ascii="Times New Roman" w:hAnsi="Times New Roman" w:cs="Times New Roman"/>
          <w:b/>
          <w:bCs/>
        </w:rPr>
        <w:t>Sp</w:t>
      </w:r>
      <w:r w:rsidRPr="00712AFE">
        <w:rPr>
          <w:rFonts w:ascii="Times New Roman" w:hAnsi="Times New Roman" w:cs="Times New Roman"/>
        </w:rPr>
        <w:t xml:space="preserve"> = Plant to plant spacing (m) </w:t>
      </w:r>
      <w:r w:rsidRPr="00712AFE">
        <w:rPr>
          <w:rFonts w:ascii="Times New Roman" w:hAnsi="Times New Roman" w:cs="Times New Roman"/>
          <w:b/>
          <w:bCs/>
        </w:rPr>
        <w:t>Sr</w:t>
      </w:r>
      <w:r w:rsidRPr="00712AFE">
        <w:rPr>
          <w:rFonts w:ascii="Times New Roman" w:hAnsi="Times New Roman" w:cs="Times New Roman"/>
        </w:rPr>
        <w:t xml:space="preserve"> = Row to row spacing (m) </w:t>
      </w:r>
    </w:p>
    <w:p w14:paraId="0209F854" w14:textId="77777777" w:rsidR="0043265E" w:rsidRPr="00712AFE" w:rsidRDefault="0043265E" w:rsidP="0043265E">
      <w:pPr>
        <w:spacing w:line="360" w:lineRule="auto"/>
        <w:ind w:left="720" w:hanging="720"/>
        <w:jc w:val="both"/>
        <w:rPr>
          <w:rFonts w:ascii="Times New Roman" w:hAnsi="Times New Roman" w:cs="Times New Roman"/>
          <w:color w:val="000000"/>
          <w:sz w:val="24"/>
          <w:szCs w:val="24"/>
        </w:rPr>
      </w:pPr>
      <w:r w:rsidRPr="00712AFE">
        <w:rPr>
          <w:rFonts w:ascii="Times New Roman" w:hAnsi="Times New Roman" w:cs="Times New Roman"/>
          <w:b/>
          <w:bCs/>
          <w:color w:val="000000"/>
          <w:sz w:val="24"/>
          <w:szCs w:val="24"/>
        </w:rPr>
        <w:t>Wp</w:t>
      </w:r>
      <w:r w:rsidRPr="00712AFE">
        <w:rPr>
          <w:rFonts w:ascii="Times New Roman" w:hAnsi="Times New Roman" w:cs="Times New Roman"/>
          <w:color w:val="000000"/>
          <w:sz w:val="24"/>
          <w:szCs w:val="24"/>
        </w:rPr>
        <w:t xml:space="preserve"> = Fractional wetted area (0.3 for wider spaced crops)</w:t>
      </w:r>
    </w:p>
    <w:p w14:paraId="538862D1" w14:textId="77777777" w:rsidR="0043265E" w:rsidRPr="00712AFE" w:rsidRDefault="0043265E" w:rsidP="0043265E">
      <w:pPr>
        <w:pStyle w:val="Default"/>
        <w:spacing w:line="360" w:lineRule="auto"/>
        <w:ind w:firstLine="720"/>
        <w:jc w:val="both"/>
        <w:rPr>
          <w:rFonts w:ascii="Times New Roman" w:hAnsi="Times New Roman" w:cs="Times New Roman"/>
        </w:rPr>
      </w:pPr>
      <w:r w:rsidRPr="00712AFE">
        <w:rPr>
          <w:rFonts w:ascii="Times New Roman" w:hAnsi="Times New Roman" w:cs="Times New Roman"/>
        </w:rPr>
        <w:t>The initial (Table-</w:t>
      </w:r>
      <w:r w:rsidR="00712AFE">
        <w:rPr>
          <w:rFonts w:ascii="Times New Roman" w:hAnsi="Times New Roman" w:cs="Times New Roman"/>
        </w:rPr>
        <w:t>1</w:t>
      </w:r>
      <w:r w:rsidRPr="00712AFE">
        <w:rPr>
          <w:rFonts w:ascii="Times New Roman" w:hAnsi="Times New Roman" w:cs="Times New Roman"/>
        </w:rPr>
        <w:t xml:space="preserve">) and final leaf analysis made by collecting of  mango leaves (20-30) from the leaves situated at fourth and fifth position from terminal bud of recently matured shoots </w:t>
      </w:r>
      <w:r w:rsidR="00155758">
        <w:rPr>
          <w:rFonts w:ascii="Times New Roman" w:hAnsi="Times New Roman" w:cs="Times New Roman"/>
        </w:rPr>
        <w:t>[11]</w:t>
      </w:r>
      <w:r w:rsidRPr="00712AFE">
        <w:rPr>
          <w:rFonts w:ascii="Times New Roman" w:hAnsi="Times New Roman" w:cs="Times New Roman"/>
        </w:rPr>
        <w:t>.</w:t>
      </w:r>
    </w:p>
    <w:p w14:paraId="3243BD87" w14:textId="77777777" w:rsidR="0043265E" w:rsidRPr="00712AFE" w:rsidRDefault="0043265E" w:rsidP="0043265E">
      <w:pPr>
        <w:tabs>
          <w:tab w:val="left" w:pos="1659"/>
        </w:tabs>
        <w:spacing w:before="120"/>
        <w:ind w:left="220"/>
        <w:rPr>
          <w:rFonts w:ascii="Times New Roman" w:hAnsi="Times New Roman" w:cs="Times New Roman"/>
          <w:b/>
          <w:sz w:val="24"/>
          <w:szCs w:val="24"/>
        </w:rPr>
      </w:pPr>
      <w:r w:rsidRPr="00712AFE">
        <w:rPr>
          <w:rFonts w:ascii="Times New Roman" w:hAnsi="Times New Roman" w:cs="Times New Roman"/>
          <w:b/>
          <w:sz w:val="24"/>
          <w:szCs w:val="24"/>
        </w:rPr>
        <w:t>Table 1: Methods to be used for soil, leaf and fruit</w:t>
      </w:r>
      <w:r w:rsidRPr="00712AFE">
        <w:rPr>
          <w:rFonts w:ascii="Times New Roman" w:hAnsi="Times New Roman" w:cs="Times New Roman"/>
          <w:b/>
          <w:spacing w:val="-3"/>
          <w:sz w:val="24"/>
          <w:szCs w:val="24"/>
        </w:rPr>
        <w:t xml:space="preserve"> </w:t>
      </w:r>
      <w:r w:rsidRPr="00712AFE">
        <w:rPr>
          <w:rFonts w:ascii="Times New Roman" w:hAnsi="Times New Roman" w:cs="Times New Roman"/>
          <w:b/>
          <w:sz w:val="24"/>
          <w:szCs w:val="24"/>
        </w:rPr>
        <w:t>analysis</w:t>
      </w:r>
      <w:r w:rsidR="00155758" w:rsidRPr="00155758">
        <w:rPr>
          <w:rFonts w:ascii="Times New Roman" w:hAnsi="Times New Roman" w:cs="Times New Roman"/>
          <w:sz w:val="24"/>
          <w:szCs w:val="24"/>
        </w:rPr>
        <w:t xml:space="preserve"> </w:t>
      </w:r>
      <w:r w:rsidR="00155758" w:rsidRPr="00155758">
        <w:rPr>
          <w:rFonts w:ascii="Times New Roman" w:hAnsi="Times New Roman" w:cs="Times New Roman"/>
          <w:b/>
          <w:bCs/>
          <w:sz w:val="24"/>
          <w:szCs w:val="24"/>
        </w:rPr>
        <w:t>[13]</w:t>
      </w:r>
    </w:p>
    <w:tbl>
      <w:tblPr>
        <w:tblW w:w="9415"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5"/>
        <w:gridCol w:w="6030"/>
      </w:tblGrid>
      <w:tr w:rsidR="0043265E" w:rsidRPr="00712AFE" w14:paraId="4833BEB5" w14:textId="77777777" w:rsidTr="00574093">
        <w:trPr>
          <w:trHeight w:val="352"/>
        </w:trPr>
        <w:tc>
          <w:tcPr>
            <w:tcW w:w="3385" w:type="dxa"/>
            <w:vAlign w:val="center"/>
          </w:tcPr>
          <w:p w14:paraId="6BCAA71A" w14:textId="77777777"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lastRenderedPageBreak/>
              <w:t>Soil analysis</w:t>
            </w:r>
          </w:p>
        </w:tc>
        <w:tc>
          <w:tcPr>
            <w:tcW w:w="6030" w:type="dxa"/>
            <w:vAlign w:val="center"/>
          </w:tcPr>
          <w:p w14:paraId="58798016" w14:textId="77777777"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Methods to be used</w:t>
            </w:r>
          </w:p>
        </w:tc>
      </w:tr>
      <w:tr w:rsidR="0043265E" w:rsidRPr="00712AFE" w14:paraId="0A44E415" w14:textId="77777777" w:rsidTr="00574093">
        <w:trPr>
          <w:trHeight w:val="368"/>
        </w:trPr>
        <w:tc>
          <w:tcPr>
            <w:tcW w:w="3385" w:type="dxa"/>
            <w:vAlign w:val="center"/>
          </w:tcPr>
          <w:p w14:paraId="0428031E"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Organic carbon (%)</w:t>
            </w:r>
          </w:p>
        </w:tc>
        <w:tc>
          <w:tcPr>
            <w:tcW w:w="6030" w:type="dxa"/>
            <w:vAlign w:val="center"/>
          </w:tcPr>
          <w:p w14:paraId="0E0C55D1" w14:textId="77777777" w:rsidR="0043265E" w:rsidRPr="00712AFE" w:rsidRDefault="0043265E" w:rsidP="00155758">
            <w:pPr>
              <w:autoSpaceDE w:val="0"/>
              <w:autoSpaceDN w:val="0"/>
              <w:adjustRightInd w:val="0"/>
              <w:rPr>
                <w:rFonts w:ascii="Times New Roman" w:hAnsi="Times New Roman" w:cs="Times New Roman"/>
                <w:sz w:val="24"/>
                <w:szCs w:val="24"/>
              </w:rPr>
            </w:pPr>
            <w:r w:rsidRPr="00712AFE">
              <w:rPr>
                <w:rFonts w:ascii="Times New Roman" w:hAnsi="Times New Roman" w:cs="Times New Roman"/>
                <w:sz w:val="24"/>
                <w:szCs w:val="24"/>
              </w:rPr>
              <w:t xml:space="preserve">Modified Walkley and Black Method; Jackson </w:t>
            </w:r>
          </w:p>
        </w:tc>
      </w:tr>
      <w:tr w:rsidR="0043265E" w:rsidRPr="00712AFE" w14:paraId="322D7D54" w14:textId="77777777" w:rsidTr="00574093">
        <w:trPr>
          <w:trHeight w:val="64"/>
        </w:trPr>
        <w:tc>
          <w:tcPr>
            <w:tcW w:w="3385" w:type="dxa"/>
            <w:vAlign w:val="center"/>
          </w:tcPr>
          <w:p w14:paraId="0FEEB31A"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nitrogen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14:paraId="5359AC22" w14:textId="77777777" w:rsidR="0043265E" w:rsidRPr="00712AFE" w:rsidRDefault="0043265E" w:rsidP="00155758">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Alkaline Potassium Permanganate method </w:t>
            </w:r>
          </w:p>
        </w:tc>
      </w:tr>
      <w:tr w:rsidR="0043265E" w:rsidRPr="00712AFE" w14:paraId="07C0F385" w14:textId="77777777" w:rsidTr="00574093">
        <w:trPr>
          <w:trHeight w:val="362"/>
        </w:trPr>
        <w:tc>
          <w:tcPr>
            <w:tcW w:w="3385" w:type="dxa"/>
            <w:vAlign w:val="center"/>
          </w:tcPr>
          <w:p w14:paraId="162DC55A"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phosphorous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14:paraId="74F8CC42"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Olsen’s Method </w:t>
            </w:r>
          </w:p>
        </w:tc>
      </w:tr>
      <w:tr w:rsidR="0043265E" w:rsidRPr="00712AFE" w14:paraId="422C0E03" w14:textId="77777777" w:rsidTr="00574093">
        <w:trPr>
          <w:trHeight w:val="368"/>
        </w:trPr>
        <w:tc>
          <w:tcPr>
            <w:tcW w:w="3385" w:type="dxa"/>
            <w:vAlign w:val="center"/>
          </w:tcPr>
          <w:p w14:paraId="104AEC64"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Available potassium (kg ha</w:t>
            </w:r>
            <w:r w:rsidRPr="00712AFE">
              <w:rPr>
                <w:rFonts w:ascii="Times New Roman" w:hAnsi="Times New Roman" w:cs="Times New Roman"/>
                <w:sz w:val="24"/>
                <w:szCs w:val="24"/>
                <w:vertAlign w:val="superscript"/>
              </w:rPr>
              <w:t>-1</w:t>
            </w:r>
            <w:r w:rsidRPr="00712AFE">
              <w:rPr>
                <w:rFonts w:ascii="Times New Roman" w:hAnsi="Times New Roman" w:cs="Times New Roman"/>
                <w:sz w:val="24"/>
                <w:szCs w:val="24"/>
              </w:rPr>
              <w:t>)</w:t>
            </w:r>
          </w:p>
        </w:tc>
        <w:tc>
          <w:tcPr>
            <w:tcW w:w="6030" w:type="dxa"/>
            <w:vAlign w:val="center"/>
          </w:tcPr>
          <w:p w14:paraId="255B7F36"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Flame photometry method </w:t>
            </w:r>
          </w:p>
        </w:tc>
      </w:tr>
      <w:tr w:rsidR="0043265E" w:rsidRPr="00712AFE" w14:paraId="4DD11872" w14:textId="77777777" w:rsidTr="00574093">
        <w:trPr>
          <w:trHeight w:val="352"/>
        </w:trPr>
        <w:tc>
          <w:tcPr>
            <w:tcW w:w="3385" w:type="dxa"/>
            <w:vAlign w:val="center"/>
          </w:tcPr>
          <w:p w14:paraId="2F22694D" w14:textId="77777777"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Leaf analysis</w:t>
            </w:r>
          </w:p>
        </w:tc>
        <w:tc>
          <w:tcPr>
            <w:tcW w:w="6030" w:type="dxa"/>
            <w:vAlign w:val="center"/>
          </w:tcPr>
          <w:p w14:paraId="562E6B24" w14:textId="77777777" w:rsidR="0043265E" w:rsidRPr="00712AFE" w:rsidRDefault="0043265E" w:rsidP="00B50E84">
            <w:pPr>
              <w:pStyle w:val="TableParagraph"/>
              <w:spacing w:line="360" w:lineRule="auto"/>
              <w:ind w:left="105"/>
              <w:rPr>
                <w:rFonts w:ascii="Times New Roman" w:hAnsi="Times New Roman" w:cs="Times New Roman"/>
                <w:b/>
                <w:sz w:val="24"/>
                <w:szCs w:val="24"/>
              </w:rPr>
            </w:pPr>
            <w:r w:rsidRPr="00712AFE">
              <w:rPr>
                <w:rFonts w:ascii="Times New Roman" w:hAnsi="Times New Roman" w:cs="Times New Roman"/>
                <w:b/>
                <w:sz w:val="24"/>
                <w:szCs w:val="24"/>
              </w:rPr>
              <w:t>Methods to be used</w:t>
            </w:r>
          </w:p>
        </w:tc>
      </w:tr>
      <w:tr w:rsidR="0043265E" w:rsidRPr="00712AFE" w14:paraId="76908A63" w14:textId="77777777" w:rsidTr="00574093">
        <w:trPr>
          <w:trHeight w:val="368"/>
        </w:trPr>
        <w:tc>
          <w:tcPr>
            <w:tcW w:w="3385" w:type="dxa"/>
            <w:vAlign w:val="center"/>
          </w:tcPr>
          <w:p w14:paraId="69A3BB7B"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Nitrogen (%)</w:t>
            </w:r>
          </w:p>
        </w:tc>
        <w:tc>
          <w:tcPr>
            <w:tcW w:w="6030" w:type="dxa"/>
            <w:vAlign w:val="center"/>
          </w:tcPr>
          <w:p w14:paraId="495C575E"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Modified Kjeldahl's digestion method </w:t>
            </w:r>
          </w:p>
        </w:tc>
      </w:tr>
      <w:tr w:rsidR="0043265E" w:rsidRPr="00712AFE" w14:paraId="63BFD8A9" w14:textId="77777777" w:rsidTr="00574093">
        <w:trPr>
          <w:trHeight w:val="731"/>
        </w:trPr>
        <w:tc>
          <w:tcPr>
            <w:tcW w:w="3385" w:type="dxa"/>
            <w:vAlign w:val="center"/>
          </w:tcPr>
          <w:p w14:paraId="2219DE9E"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Phosphorus (%)</w:t>
            </w:r>
          </w:p>
        </w:tc>
        <w:tc>
          <w:tcPr>
            <w:tcW w:w="6030" w:type="dxa"/>
            <w:vAlign w:val="center"/>
          </w:tcPr>
          <w:p w14:paraId="557E278B" w14:textId="77777777" w:rsidR="0043265E" w:rsidRPr="00712AFE" w:rsidRDefault="0043265E" w:rsidP="00B50E84">
            <w:pPr>
              <w:pStyle w:val="TableParagraph"/>
              <w:spacing w:line="360" w:lineRule="auto"/>
              <w:ind w:left="105"/>
              <w:rPr>
                <w:rFonts w:ascii="Times New Roman" w:hAnsi="Times New Roman" w:cs="Times New Roman"/>
                <w:sz w:val="24"/>
                <w:szCs w:val="24"/>
              </w:rPr>
            </w:pPr>
            <w:proofErr w:type="spellStart"/>
            <w:r w:rsidRPr="00712AFE">
              <w:rPr>
                <w:rFonts w:ascii="Times New Roman" w:hAnsi="Times New Roman" w:cs="Times New Roman"/>
                <w:sz w:val="24"/>
                <w:szCs w:val="24"/>
              </w:rPr>
              <w:t>Vanado</w:t>
            </w:r>
            <w:proofErr w:type="spellEnd"/>
            <w:r w:rsidRPr="00712AFE">
              <w:rPr>
                <w:rFonts w:ascii="Times New Roman" w:hAnsi="Times New Roman" w:cs="Times New Roman"/>
                <w:sz w:val="24"/>
                <w:szCs w:val="24"/>
              </w:rPr>
              <w:t>-</w:t>
            </w:r>
            <w:proofErr w:type="spellStart"/>
            <w:r w:rsidRPr="00712AFE">
              <w:rPr>
                <w:rFonts w:ascii="Times New Roman" w:hAnsi="Times New Roman" w:cs="Times New Roman"/>
                <w:sz w:val="24"/>
                <w:szCs w:val="24"/>
              </w:rPr>
              <w:t>molybdo</w:t>
            </w:r>
            <w:proofErr w:type="spellEnd"/>
            <w:r w:rsidRPr="00712AFE">
              <w:rPr>
                <w:rFonts w:ascii="Times New Roman" w:hAnsi="Times New Roman" w:cs="Times New Roman"/>
                <w:sz w:val="24"/>
                <w:szCs w:val="24"/>
              </w:rPr>
              <w:t xml:space="preserve">-phosphoric yellow </w:t>
            </w:r>
            <w:proofErr w:type="spellStart"/>
            <w:r w:rsidRPr="00712AFE">
              <w:rPr>
                <w:rFonts w:ascii="Times New Roman" w:hAnsi="Times New Roman" w:cs="Times New Roman"/>
                <w:sz w:val="24"/>
                <w:szCs w:val="24"/>
              </w:rPr>
              <w:t>colour</w:t>
            </w:r>
            <w:proofErr w:type="spellEnd"/>
            <w:r w:rsidRPr="00712AFE">
              <w:rPr>
                <w:rFonts w:ascii="Times New Roman" w:hAnsi="Times New Roman" w:cs="Times New Roman"/>
                <w:sz w:val="24"/>
                <w:szCs w:val="24"/>
              </w:rPr>
              <w:t xml:space="preserve"> method in nitric acid system </w:t>
            </w:r>
          </w:p>
        </w:tc>
      </w:tr>
      <w:tr w:rsidR="0043265E" w:rsidRPr="00712AFE" w14:paraId="36EAD875" w14:textId="77777777" w:rsidTr="00574093">
        <w:trPr>
          <w:trHeight w:val="362"/>
        </w:trPr>
        <w:tc>
          <w:tcPr>
            <w:tcW w:w="3385" w:type="dxa"/>
            <w:vAlign w:val="center"/>
          </w:tcPr>
          <w:p w14:paraId="51E7AB14"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Potassium (%)</w:t>
            </w:r>
          </w:p>
        </w:tc>
        <w:tc>
          <w:tcPr>
            <w:tcW w:w="6030" w:type="dxa"/>
            <w:vAlign w:val="center"/>
          </w:tcPr>
          <w:p w14:paraId="3F9AF662" w14:textId="77777777" w:rsidR="0043265E" w:rsidRPr="00712AFE" w:rsidRDefault="0043265E" w:rsidP="00B50E84">
            <w:pPr>
              <w:pStyle w:val="TableParagraph"/>
              <w:spacing w:line="360" w:lineRule="auto"/>
              <w:ind w:left="105"/>
              <w:rPr>
                <w:rFonts w:ascii="Times New Roman" w:hAnsi="Times New Roman" w:cs="Times New Roman"/>
                <w:sz w:val="24"/>
                <w:szCs w:val="24"/>
              </w:rPr>
            </w:pPr>
            <w:r w:rsidRPr="00712AFE">
              <w:rPr>
                <w:rFonts w:ascii="Times New Roman" w:hAnsi="Times New Roman" w:cs="Times New Roman"/>
                <w:sz w:val="24"/>
                <w:szCs w:val="24"/>
              </w:rPr>
              <w:t xml:space="preserve">Flame photometric determination </w:t>
            </w:r>
          </w:p>
        </w:tc>
      </w:tr>
    </w:tbl>
    <w:p w14:paraId="6A7EC596" w14:textId="77777777" w:rsidR="0043265E" w:rsidRPr="00712AFE" w:rsidRDefault="0043265E" w:rsidP="0043265E">
      <w:pPr>
        <w:pStyle w:val="ListParagraph"/>
        <w:tabs>
          <w:tab w:val="left" w:pos="270"/>
        </w:tabs>
        <w:rPr>
          <w:rFonts w:ascii="Times New Roman" w:hAnsi="Times New Roman" w:cs="Times New Roman"/>
          <w:b/>
          <w:bCs/>
          <w:sz w:val="24"/>
          <w:szCs w:val="24"/>
        </w:rPr>
      </w:pPr>
      <w:r w:rsidRPr="00712AFE">
        <w:rPr>
          <w:rFonts w:ascii="Times New Roman" w:hAnsi="Times New Roman" w:cs="Times New Roman"/>
          <w:b/>
          <w:sz w:val="24"/>
          <w:szCs w:val="24"/>
        </w:rPr>
        <w:t>Soil moisture content (%)</w:t>
      </w:r>
    </w:p>
    <w:p w14:paraId="1C6EF777" w14:textId="77777777" w:rsidR="0043265E" w:rsidRPr="00712AFE" w:rsidRDefault="0043265E" w:rsidP="0043265E">
      <w:pPr>
        <w:tabs>
          <w:tab w:val="left" w:pos="0"/>
        </w:tabs>
        <w:spacing w:line="360" w:lineRule="auto"/>
        <w:rPr>
          <w:rFonts w:ascii="Times New Roman" w:hAnsi="Times New Roman" w:cs="Times New Roman"/>
          <w:sz w:val="24"/>
          <w:szCs w:val="24"/>
        </w:rPr>
      </w:pPr>
      <w:r w:rsidRPr="00712AFE">
        <w:rPr>
          <w:rFonts w:ascii="Times New Roman" w:hAnsi="Times New Roman" w:cs="Times New Roman"/>
          <w:sz w:val="24"/>
          <w:szCs w:val="24"/>
        </w:rPr>
        <w:tab/>
        <w:t>In order to study the soil moisture content under drip irrigation and conventional method, moisture content was determined using PDSR soil moisture sensor before starting the irrigation and the Soil moisture content was  estimated at a lateral distance of 30 cm away from the emitter. Under conventional surface irrigation, soil moisture was recorded at 120 cm away from the tree trunk with the help of digital soil moisture meter. Average values of soil moisture were computed for different crop growth stages and the Measurement range: 0% to 50% moisture content of soil sample with 0.1% resolution.</w:t>
      </w:r>
    </w:p>
    <w:tbl>
      <w:tblPr>
        <w:tblStyle w:val="TableGrid"/>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30"/>
        <w:gridCol w:w="1710"/>
        <w:gridCol w:w="1349"/>
        <w:gridCol w:w="541"/>
        <w:gridCol w:w="225"/>
        <w:gridCol w:w="135"/>
        <w:gridCol w:w="1260"/>
        <w:gridCol w:w="404"/>
        <w:gridCol w:w="734"/>
        <w:gridCol w:w="510"/>
        <w:gridCol w:w="152"/>
        <w:gridCol w:w="84"/>
        <w:gridCol w:w="402"/>
      </w:tblGrid>
      <w:tr w:rsidR="0043265E" w:rsidRPr="00712AFE" w14:paraId="05E1F00F" w14:textId="77777777" w:rsidTr="00B50E84">
        <w:trPr>
          <w:trHeight w:val="2160"/>
        </w:trPr>
        <w:tc>
          <w:tcPr>
            <w:tcW w:w="2268" w:type="dxa"/>
          </w:tcPr>
          <w:p w14:paraId="68186040" w14:textId="77777777" w:rsidR="0043265E" w:rsidRPr="00712AFE" w:rsidRDefault="0043265E" w:rsidP="00B50E84">
            <w:pPr>
              <w:ind w:left="-144"/>
              <w:rPr>
                <w:rFonts w:ascii="Times New Roman" w:hAnsi="Times New Roman" w:cs="Times New Roman"/>
                <w:noProof/>
                <w:sz w:val="24"/>
                <w:szCs w:val="24"/>
                <w:vertAlign w:val="subscript"/>
              </w:rPr>
            </w:pPr>
            <w:r w:rsidRPr="00712AFE">
              <w:rPr>
                <w:rFonts w:ascii="Times New Roman" w:hAnsi="Times New Roman" w:cs="Times New Roman"/>
                <w:noProof/>
                <w:sz w:val="24"/>
                <w:szCs w:val="24"/>
                <w:vertAlign w:val="subscript"/>
              </w:rPr>
              <w:drawing>
                <wp:inline distT="0" distB="0" distL="0" distR="0" wp14:anchorId="53EFB39C" wp14:editId="2DCA379F">
                  <wp:extent cx="1316477" cy="1564748"/>
                  <wp:effectExtent l="152400" t="57150" r="93223" b="73552"/>
                  <wp:docPr id="2" name="Picture 4" descr="C:\Users\hi.lenovo\Desktop\DSC0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enovo\Desktop\DSC03528.JPG"/>
                          <pic:cNvPicPr>
                            <a:picLocks noChangeAspect="1" noChangeArrowheads="1"/>
                          </pic:cNvPicPr>
                        </pic:nvPicPr>
                        <pic:blipFill>
                          <a:blip r:embed="rId7" cstate="print">
                            <a:lum bright="-20000"/>
                          </a:blip>
                          <a:srcRect/>
                          <a:stretch>
                            <a:fillRect/>
                          </a:stretch>
                        </pic:blipFill>
                        <pic:spPr bwMode="auto">
                          <a:xfrm>
                            <a:off x="0" y="0"/>
                            <a:ext cx="1321040" cy="1570171"/>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340" w:type="dxa"/>
            <w:gridSpan w:val="2"/>
          </w:tcPr>
          <w:p w14:paraId="0A317728" w14:textId="77777777"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rPr>
              <w:drawing>
                <wp:inline distT="0" distB="0" distL="0" distR="0" wp14:anchorId="41C4A155" wp14:editId="2F6E1A2A">
                  <wp:extent cx="1239659" cy="1568312"/>
                  <wp:effectExtent l="152400" t="57150" r="93841" b="89038"/>
                  <wp:docPr id="3" name="Picture 5" descr="C:\Users\hi.lenovo\AppData\Local\Microsoft\Windows\INetCache\Content.Word\DSC0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lenovo\AppData\Local\Microsoft\Windows\INetCache\Content.Word\DSC03515.jpg"/>
                          <pic:cNvPicPr>
                            <a:picLocks noChangeAspect="1" noChangeArrowheads="1"/>
                          </pic:cNvPicPr>
                        </pic:nvPicPr>
                        <pic:blipFill>
                          <a:blip r:embed="rId8" cstate="print">
                            <a:lum bright="-20000" contrast="10000"/>
                          </a:blip>
                          <a:srcRect/>
                          <a:stretch>
                            <a:fillRect/>
                          </a:stretch>
                        </pic:blipFill>
                        <pic:spPr bwMode="auto">
                          <a:xfrm>
                            <a:off x="0" y="0"/>
                            <a:ext cx="1242641" cy="1572085"/>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250" w:type="dxa"/>
            <w:gridSpan w:val="4"/>
          </w:tcPr>
          <w:p w14:paraId="26B4EF55" w14:textId="77777777"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rPr>
              <w:drawing>
                <wp:inline distT="0" distB="0" distL="0" distR="0" wp14:anchorId="2DEE8065" wp14:editId="31C072F1">
                  <wp:extent cx="1188026" cy="1504384"/>
                  <wp:effectExtent l="95250" t="57150" r="107374" b="95816"/>
                  <wp:docPr id="4" name="Picture 3" descr="C:\Users\hi.lenovo\Desktop\MODIFIED 03-01-2019\703- Stage.JPG"/>
                  <wp:cNvGraphicFramePr/>
                  <a:graphic xmlns:a="http://schemas.openxmlformats.org/drawingml/2006/main">
                    <a:graphicData uri="http://schemas.openxmlformats.org/drawingml/2006/picture">
                      <pic:pic xmlns:pic="http://schemas.openxmlformats.org/drawingml/2006/picture">
                        <pic:nvPicPr>
                          <pic:cNvPr id="2052" name="Picture 4" descr="C:\Users\hi.lenovo\Desktop\MODIFIED 03-01-2019\703- Stage.JPG"/>
                          <pic:cNvPicPr>
                            <a:picLocks noChangeAspect="1" noChangeArrowheads="1"/>
                          </pic:cNvPicPr>
                        </pic:nvPicPr>
                        <pic:blipFill>
                          <a:blip r:embed="rId9" cstate="print">
                            <a:lum bright="-30000" contrast="10000"/>
                          </a:blip>
                          <a:srcRect t="11652" b="8991"/>
                          <a:stretch>
                            <a:fillRect/>
                          </a:stretch>
                        </pic:blipFill>
                        <pic:spPr bwMode="auto">
                          <a:xfrm>
                            <a:off x="0" y="0"/>
                            <a:ext cx="1198956" cy="1518225"/>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546" w:type="dxa"/>
            <w:gridSpan w:val="7"/>
          </w:tcPr>
          <w:p w14:paraId="064E5365" w14:textId="77777777" w:rsidR="0043265E" w:rsidRPr="00712AFE" w:rsidRDefault="0043265E" w:rsidP="00B50E84">
            <w:pPr>
              <w:ind w:left="-144"/>
              <w:rPr>
                <w:rFonts w:ascii="Times New Roman" w:hAnsi="Times New Roman" w:cs="Times New Roman"/>
                <w:sz w:val="24"/>
                <w:szCs w:val="24"/>
                <w:vertAlign w:val="subscript"/>
              </w:rPr>
            </w:pPr>
            <w:r w:rsidRPr="00712AFE">
              <w:rPr>
                <w:rFonts w:ascii="Times New Roman" w:hAnsi="Times New Roman" w:cs="Times New Roman"/>
                <w:noProof/>
                <w:sz w:val="24"/>
                <w:szCs w:val="24"/>
                <w:vertAlign w:val="subscript"/>
              </w:rPr>
              <w:drawing>
                <wp:inline distT="0" distB="0" distL="0" distR="0" wp14:anchorId="3F064FA2" wp14:editId="7029C9A6">
                  <wp:extent cx="1169452" cy="1504384"/>
                  <wp:effectExtent l="95250" t="57150" r="106898" b="95816"/>
                  <wp:docPr id="5" name="Picture 1" descr="C:\Users\hi.lenovo\Desktop\MODIFIED 03-01-2019\705-Stage.JPG"/>
                  <wp:cNvGraphicFramePr/>
                  <a:graphic xmlns:a="http://schemas.openxmlformats.org/drawingml/2006/main">
                    <a:graphicData uri="http://schemas.openxmlformats.org/drawingml/2006/picture">
                      <pic:pic xmlns:pic="http://schemas.openxmlformats.org/drawingml/2006/picture">
                        <pic:nvPicPr>
                          <pic:cNvPr id="2050" name="Picture 2" descr="C:\Users\hi.lenovo\Desktop\MODIFIED 03-01-2019\705-Stage.JPG"/>
                          <pic:cNvPicPr>
                            <a:picLocks noGrp="1" noChangeAspect="1" noChangeArrowheads="1"/>
                          </pic:cNvPicPr>
                        </pic:nvPicPr>
                        <pic:blipFill>
                          <a:blip r:embed="rId10" cstate="print">
                            <a:lum bright="-10000" contrast="20000"/>
                          </a:blip>
                          <a:srcRect t="8933" b="25473"/>
                          <a:stretch>
                            <a:fillRect/>
                          </a:stretch>
                        </pic:blipFill>
                        <pic:spPr bwMode="auto">
                          <a:xfrm>
                            <a:off x="0" y="0"/>
                            <a:ext cx="1185446" cy="1524959"/>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3265E" w:rsidRPr="00712AFE" w14:paraId="45D12D30" w14:textId="77777777" w:rsidTr="00B50E84">
        <w:trPr>
          <w:trHeight w:val="291"/>
        </w:trPr>
        <w:tc>
          <w:tcPr>
            <w:tcW w:w="2268" w:type="dxa"/>
          </w:tcPr>
          <w:p w14:paraId="47C322ED" w14:textId="77777777"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BBCH-510</w:t>
            </w:r>
          </w:p>
        </w:tc>
        <w:tc>
          <w:tcPr>
            <w:tcW w:w="2340" w:type="dxa"/>
            <w:gridSpan w:val="2"/>
          </w:tcPr>
          <w:p w14:paraId="241FAFC6" w14:textId="77777777"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BBCH-619</w:t>
            </w:r>
          </w:p>
        </w:tc>
        <w:tc>
          <w:tcPr>
            <w:tcW w:w="2115" w:type="dxa"/>
            <w:gridSpan w:val="3"/>
          </w:tcPr>
          <w:p w14:paraId="6EA6F1F4" w14:textId="77777777" w:rsidR="0043265E" w:rsidRPr="00712AFE" w:rsidRDefault="0043265E" w:rsidP="00B50E84">
            <w:pPr>
              <w:spacing w:before="120" w:after="120"/>
              <w:ind w:left="-144"/>
              <w:jc w:val="center"/>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BBCH-701</w:t>
            </w:r>
          </w:p>
        </w:tc>
        <w:tc>
          <w:tcPr>
            <w:tcW w:w="3681" w:type="dxa"/>
            <w:gridSpan w:val="8"/>
          </w:tcPr>
          <w:p w14:paraId="159D123B" w14:textId="77777777" w:rsidR="0043265E" w:rsidRPr="00712AFE" w:rsidRDefault="0043265E" w:rsidP="00B50E84">
            <w:pPr>
              <w:spacing w:before="120" w:after="120"/>
              <w:ind w:left="720"/>
              <w:rPr>
                <w:rFonts w:ascii="Times New Roman" w:hAnsi="Times New Roman" w:cs="Times New Roman"/>
                <w:b/>
                <w:bCs/>
                <w:sz w:val="24"/>
                <w:szCs w:val="24"/>
                <w:vertAlign w:val="subscript"/>
              </w:rPr>
            </w:pPr>
            <w:r w:rsidRPr="00712AFE">
              <w:rPr>
                <w:rFonts w:ascii="Times New Roman" w:hAnsi="Times New Roman" w:cs="Times New Roman"/>
                <w:b/>
                <w:bCs/>
                <w:sz w:val="24"/>
                <w:szCs w:val="24"/>
                <w:vertAlign w:val="subscript"/>
              </w:rPr>
              <w:t>BBCH-703</w:t>
            </w:r>
          </w:p>
        </w:tc>
      </w:tr>
      <w:tr w:rsidR="0043265E" w:rsidRPr="00712AFE" w14:paraId="0C121A67" w14:textId="77777777" w:rsidTr="00B50E84">
        <w:trPr>
          <w:gridAfter w:val="4"/>
          <w:wAfter w:w="1148" w:type="dxa"/>
          <w:trHeight w:val="291"/>
        </w:trPr>
        <w:tc>
          <w:tcPr>
            <w:tcW w:w="2898" w:type="dxa"/>
            <w:gridSpan w:val="2"/>
          </w:tcPr>
          <w:p w14:paraId="04BF566B" w14:textId="77777777"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noProof/>
                <w:sz w:val="24"/>
                <w:szCs w:val="24"/>
                <w:vertAlign w:val="subscript"/>
              </w:rPr>
              <w:drawing>
                <wp:inline distT="0" distB="0" distL="0" distR="0" wp14:anchorId="0E29D04E" wp14:editId="7529027F">
                  <wp:extent cx="1362075" cy="1743075"/>
                  <wp:effectExtent l="95250" t="57150" r="104775" b="104775"/>
                  <wp:docPr id="6" name="Picture 2" descr="C:\Users\hi.lenovo\Desktop\MODIFIED 03-01-2019\709 Stage.JPG"/>
                  <wp:cNvGraphicFramePr/>
                  <a:graphic xmlns:a="http://schemas.openxmlformats.org/drawingml/2006/main">
                    <a:graphicData uri="http://schemas.openxmlformats.org/drawingml/2006/picture">
                      <pic:pic xmlns:pic="http://schemas.openxmlformats.org/drawingml/2006/picture">
                        <pic:nvPicPr>
                          <pic:cNvPr id="2051" name="Picture 3" descr="C:\Users\hi.lenovo\Desktop\MODIFIED 03-01-2019\709 Stage.JPG"/>
                          <pic:cNvPicPr>
                            <a:picLocks noChangeAspect="1" noChangeArrowheads="1"/>
                          </pic:cNvPicPr>
                        </pic:nvPicPr>
                        <pic:blipFill>
                          <a:blip r:embed="rId11" cstate="print">
                            <a:lum bright="-20000" contrast="30000"/>
                          </a:blip>
                          <a:srcRect t="10905" b="17772"/>
                          <a:stretch>
                            <a:fillRect/>
                          </a:stretch>
                        </pic:blipFill>
                        <pic:spPr bwMode="auto">
                          <a:xfrm flipH="1">
                            <a:off x="0" y="0"/>
                            <a:ext cx="1378914" cy="1764625"/>
                          </a:xfrm>
                          <a:prstGeom prst="round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59" w:type="dxa"/>
            <w:gridSpan w:val="2"/>
          </w:tcPr>
          <w:p w14:paraId="3B630164" w14:textId="77777777"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b/>
                <w:bCs/>
                <w:noProof/>
                <w:sz w:val="24"/>
                <w:szCs w:val="24"/>
                <w:vertAlign w:val="subscript"/>
              </w:rPr>
              <w:drawing>
                <wp:inline distT="0" distB="0" distL="0" distR="0" wp14:anchorId="4151AAE3" wp14:editId="75159DE7">
                  <wp:extent cx="1398422" cy="1790990"/>
                  <wp:effectExtent l="152400" t="38100" r="87478" b="56860"/>
                  <wp:docPr id="7" name="Picture 1" descr="E:\DESKTOP-2, 21-02-2019\2nd Seson photes\10-04-2019\DSC04054.JPG"/>
                  <wp:cNvGraphicFramePr/>
                  <a:graphic xmlns:a="http://schemas.openxmlformats.org/drawingml/2006/main">
                    <a:graphicData uri="http://schemas.openxmlformats.org/drawingml/2006/picture">
                      <pic:pic xmlns:pic="http://schemas.openxmlformats.org/drawingml/2006/picture">
                        <pic:nvPicPr>
                          <pic:cNvPr id="5" name="Picture 4" descr="E:\DESKTOP-2, 21-02-2019\2nd Seson photes\10-04-2019\DSC04054.JPG"/>
                          <pic:cNvPicPr>
                            <a:picLocks noChangeAspect="1" noChangeArrowheads="1"/>
                          </pic:cNvPicPr>
                        </pic:nvPicPr>
                        <pic:blipFill>
                          <a:blip r:embed="rId12" cstate="print">
                            <a:lum bright="-10000" contrast="10000"/>
                          </a:blip>
                          <a:srcRect l="16417" t="23660" r="9220" b="14911"/>
                          <a:stretch>
                            <a:fillRect/>
                          </a:stretch>
                        </pic:blipFill>
                        <pic:spPr bwMode="auto">
                          <a:xfrm>
                            <a:off x="0" y="0"/>
                            <a:ext cx="1399192" cy="1791976"/>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2565" w:type="dxa"/>
            <w:gridSpan w:val="5"/>
          </w:tcPr>
          <w:p w14:paraId="60392DD8" w14:textId="77777777" w:rsidR="0043265E" w:rsidRPr="00712AFE" w:rsidRDefault="0043265E" w:rsidP="00B50E84">
            <w:pPr>
              <w:spacing w:before="120" w:after="120"/>
              <w:jc w:val="center"/>
              <w:rPr>
                <w:rFonts w:ascii="Times New Roman" w:hAnsi="Times New Roman" w:cs="Times New Roman"/>
                <w:b/>
                <w:bCs/>
                <w:sz w:val="24"/>
                <w:szCs w:val="24"/>
                <w:vertAlign w:val="subscript"/>
              </w:rPr>
            </w:pPr>
            <w:r w:rsidRPr="00712AFE">
              <w:rPr>
                <w:rFonts w:ascii="Times New Roman" w:hAnsi="Times New Roman" w:cs="Times New Roman"/>
                <w:b/>
                <w:bCs/>
                <w:noProof/>
                <w:sz w:val="24"/>
                <w:szCs w:val="24"/>
                <w:vertAlign w:val="subscript"/>
              </w:rPr>
              <w:drawing>
                <wp:inline distT="0" distB="0" distL="0" distR="0" wp14:anchorId="5957A625" wp14:editId="128DC3C5">
                  <wp:extent cx="1390650" cy="1790700"/>
                  <wp:effectExtent l="152400" t="38100" r="76200" b="57150"/>
                  <wp:docPr id="8" name="Picture 2" descr="E:\DESKTOP-2, 21-02-2019\2nd Seson photes\10-04-2019\DSC03965.JPG"/>
                  <wp:cNvGraphicFramePr/>
                  <a:graphic xmlns:a="http://schemas.openxmlformats.org/drawingml/2006/main">
                    <a:graphicData uri="http://schemas.openxmlformats.org/drawingml/2006/picture">
                      <pic:pic xmlns:pic="http://schemas.openxmlformats.org/drawingml/2006/picture">
                        <pic:nvPicPr>
                          <pic:cNvPr id="6" name="Picture 2" descr="E:\DESKTOP-2, 21-02-2019\2nd Seson photes\10-04-2019\DSC03965.JPG"/>
                          <pic:cNvPicPr>
                            <a:picLocks noChangeAspect="1" noChangeArrowheads="1"/>
                          </pic:cNvPicPr>
                        </pic:nvPicPr>
                        <pic:blipFill>
                          <a:blip r:embed="rId13" cstate="print">
                            <a:lum contrast="20000"/>
                          </a:blip>
                          <a:srcRect t="8434" b="20723"/>
                          <a:stretch>
                            <a:fillRect/>
                          </a:stretch>
                        </pic:blipFill>
                        <pic:spPr bwMode="auto">
                          <a:xfrm>
                            <a:off x="0" y="0"/>
                            <a:ext cx="1390598" cy="1790633"/>
                          </a:xfrm>
                          <a:prstGeom prst="roundRect">
                            <a:avLst>
                              <a:gd name="adj" fmla="val 16667"/>
                            </a:avLst>
                          </a:prstGeom>
                          <a:ln w="28575">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734" w:type="dxa"/>
          </w:tcPr>
          <w:p w14:paraId="0CA0B37B" w14:textId="77777777" w:rsidR="0043265E" w:rsidRPr="00712AFE" w:rsidRDefault="0043265E" w:rsidP="00B50E84">
            <w:pPr>
              <w:spacing w:before="120" w:after="120"/>
              <w:jc w:val="center"/>
              <w:rPr>
                <w:rFonts w:ascii="Times New Roman" w:hAnsi="Times New Roman" w:cs="Times New Roman"/>
                <w:b/>
                <w:bCs/>
                <w:sz w:val="24"/>
                <w:szCs w:val="24"/>
                <w:vertAlign w:val="subscript"/>
              </w:rPr>
            </w:pPr>
          </w:p>
        </w:tc>
      </w:tr>
      <w:tr w:rsidR="0043265E" w:rsidRPr="00712AFE" w14:paraId="725F7ED2" w14:textId="77777777" w:rsidTr="00B50E84">
        <w:trPr>
          <w:gridAfter w:val="1"/>
          <w:wAfter w:w="402" w:type="dxa"/>
          <w:trHeight w:val="291"/>
        </w:trPr>
        <w:tc>
          <w:tcPr>
            <w:tcW w:w="2898" w:type="dxa"/>
            <w:gridSpan w:val="2"/>
          </w:tcPr>
          <w:p w14:paraId="2D8B950C" w14:textId="77777777"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lastRenderedPageBreak/>
              <w:t>BBCH-705</w:t>
            </w:r>
          </w:p>
        </w:tc>
        <w:tc>
          <w:tcPr>
            <w:tcW w:w="3600" w:type="dxa"/>
            <w:gridSpan w:val="3"/>
          </w:tcPr>
          <w:p w14:paraId="5EE1A69A" w14:textId="77777777"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BBCH-709</w:t>
            </w:r>
          </w:p>
        </w:tc>
        <w:tc>
          <w:tcPr>
            <w:tcW w:w="1620" w:type="dxa"/>
            <w:gridSpan w:val="3"/>
          </w:tcPr>
          <w:p w14:paraId="11C15976" w14:textId="77777777" w:rsidR="0043265E" w:rsidRPr="00712AFE" w:rsidRDefault="0043265E" w:rsidP="00B50E84">
            <w:pPr>
              <w:spacing w:before="120" w:after="120"/>
              <w:jc w:val="center"/>
              <w:rPr>
                <w:rFonts w:ascii="Times New Roman" w:hAnsi="Times New Roman" w:cs="Times New Roman"/>
                <w:b/>
                <w:bCs/>
                <w:sz w:val="24"/>
                <w:szCs w:val="24"/>
              </w:rPr>
            </w:pPr>
            <w:r w:rsidRPr="00712AFE">
              <w:rPr>
                <w:rFonts w:ascii="Times New Roman" w:hAnsi="Times New Roman" w:cs="Times New Roman"/>
                <w:b/>
                <w:bCs/>
                <w:sz w:val="24"/>
                <w:szCs w:val="24"/>
              </w:rPr>
              <w:t>BBCH-800</w:t>
            </w:r>
          </w:p>
        </w:tc>
        <w:tc>
          <w:tcPr>
            <w:tcW w:w="1648" w:type="dxa"/>
            <w:gridSpan w:val="3"/>
          </w:tcPr>
          <w:p w14:paraId="4191AC7B" w14:textId="77777777" w:rsidR="0043265E" w:rsidRPr="00712AFE" w:rsidRDefault="0043265E" w:rsidP="00B50E84">
            <w:pPr>
              <w:spacing w:before="120" w:after="120"/>
              <w:jc w:val="center"/>
              <w:rPr>
                <w:rFonts w:ascii="Times New Roman" w:hAnsi="Times New Roman" w:cs="Times New Roman"/>
                <w:b/>
                <w:bCs/>
                <w:sz w:val="24"/>
                <w:szCs w:val="24"/>
              </w:rPr>
            </w:pPr>
          </w:p>
        </w:tc>
        <w:tc>
          <w:tcPr>
            <w:tcW w:w="236" w:type="dxa"/>
            <w:gridSpan w:val="2"/>
          </w:tcPr>
          <w:p w14:paraId="0C92AF65" w14:textId="77777777" w:rsidR="0043265E" w:rsidRPr="00712AFE" w:rsidRDefault="0043265E" w:rsidP="00B50E84">
            <w:pPr>
              <w:spacing w:before="120" w:after="120"/>
              <w:jc w:val="center"/>
              <w:rPr>
                <w:rFonts w:ascii="Times New Roman" w:hAnsi="Times New Roman" w:cs="Times New Roman"/>
                <w:b/>
                <w:bCs/>
                <w:sz w:val="24"/>
                <w:szCs w:val="24"/>
                <w:vertAlign w:val="subscript"/>
              </w:rPr>
            </w:pPr>
          </w:p>
        </w:tc>
      </w:tr>
      <w:tr w:rsidR="0043265E" w:rsidRPr="00712AFE" w14:paraId="61C1EF3F" w14:textId="77777777" w:rsidTr="00B50E84">
        <w:trPr>
          <w:gridAfter w:val="2"/>
          <w:wAfter w:w="486" w:type="dxa"/>
          <w:trHeight w:val="74"/>
        </w:trPr>
        <w:tc>
          <w:tcPr>
            <w:tcW w:w="9918" w:type="dxa"/>
            <w:gridSpan w:val="12"/>
          </w:tcPr>
          <w:p w14:paraId="549122EB" w14:textId="150D8646" w:rsidR="0043265E" w:rsidRPr="00712AFE" w:rsidRDefault="0043265E" w:rsidP="00B50E84">
            <w:pPr>
              <w:autoSpaceDE w:val="0"/>
              <w:autoSpaceDN w:val="0"/>
              <w:adjustRightInd w:val="0"/>
              <w:spacing w:before="100" w:beforeAutospacing="1" w:after="100" w:afterAutospacing="1"/>
              <w:rPr>
                <w:rFonts w:ascii="Times New Roman" w:hAnsi="Times New Roman" w:cs="Times New Roman"/>
                <w:color w:val="231F20"/>
                <w:sz w:val="24"/>
                <w:szCs w:val="24"/>
              </w:rPr>
            </w:pPr>
            <w:r w:rsidRPr="00712AFE">
              <w:rPr>
                <w:rFonts w:ascii="Times New Roman" w:hAnsi="Times New Roman" w:cs="Times New Roman"/>
                <w:b/>
                <w:color w:val="231F20"/>
                <w:sz w:val="24"/>
                <w:szCs w:val="24"/>
              </w:rPr>
              <w:t>F</w:t>
            </w:r>
            <w:r w:rsidR="00C56C14">
              <w:rPr>
                <w:rFonts w:ascii="Times New Roman" w:hAnsi="Times New Roman" w:cs="Times New Roman"/>
                <w:b/>
                <w:color w:val="231F20"/>
                <w:sz w:val="24"/>
                <w:szCs w:val="24"/>
              </w:rPr>
              <w:t>i</w:t>
            </w:r>
            <w:r w:rsidRPr="00712AFE">
              <w:rPr>
                <w:rFonts w:ascii="Times New Roman" w:hAnsi="Times New Roman" w:cs="Times New Roman"/>
                <w:b/>
                <w:color w:val="231F20"/>
                <w:sz w:val="24"/>
                <w:szCs w:val="24"/>
              </w:rPr>
              <w:t>gure</w:t>
            </w:r>
            <w:r w:rsidR="00812715">
              <w:rPr>
                <w:rFonts w:ascii="Times New Roman" w:hAnsi="Times New Roman" w:cs="Times New Roman"/>
                <w:b/>
                <w:color w:val="231F20"/>
                <w:sz w:val="24"/>
                <w:szCs w:val="24"/>
              </w:rPr>
              <w:t xml:space="preserve"> 1</w:t>
            </w:r>
            <w:r w:rsidRPr="00712AFE">
              <w:rPr>
                <w:rFonts w:ascii="Times New Roman" w:hAnsi="Times New Roman" w:cs="Times New Roman"/>
                <w:b/>
                <w:color w:val="231F20"/>
                <w:sz w:val="24"/>
                <w:szCs w:val="24"/>
              </w:rPr>
              <w:t xml:space="preserve">: Depiction of important phenophases in mango </w:t>
            </w:r>
            <w:r w:rsidR="008B691E">
              <w:rPr>
                <w:rFonts w:ascii="Times New Roman" w:hAnsi="Times New Roman" w:cs="Times New Roman"/>
                <w:b/>
                <w:color w:val="231F20"/>
                <w:sz w:val="24"/>
                <w:szCs w:val="24"/>
              </w:rPr>
              <w:t>[14]</w:t>
            </w:r>
          </w:p>
          <w:p w14:paraId="5EF5691C" w14:textId="77777777" w:rsidR="0043265E" w:rsidRPr="00712AFE" w:rsidRDefault="0043265E" w:rsidP="00B50E84">
            <w:pPr>
              <w:autoSpaceDE w:val="0"/>
              <w:autoSpaceDN w:val="0"/>
              <w:adjustRightInd w:val="0"/>
              <w:ind w:left="720" w:hanging="720"/>
              <w:rPr>
                <w:rFonts w:ascii="Times New Roman" w:eastAsiaTheme="minorHAnsi" w:hAnsi="Times New Roman" w:cs="Times New Roman"/>
                <w:color w:val="000000"/>
                <w:sz w:val="24"/>
                <w:szCs w:val="24"/>
              </w:rPr>
            </w:pPr>
            <w:r w:rsidRPr="00712AFE">
              <w:rPr>
                <w:rFonts w:ascii="Times New Roman" w:eastAsiaTheme="minorHAnsi" w:hAnsi="Times New Roman" w:cs="Times New Roman"/>
                <w:b/>
                <w:color w:val="231F20"/>
                <w:sz w:val="24"/>
                <w:szCs w:val="24"/>
              </w:rPr>
              <w:t>BBCH-510-</w:t>
            </w:r>
            <w:r w:rsidRPr="00712AFE">
              <w:rPr>
                <w:rFonts w:ascii="Times New Roman" w:eastAsiaTheme="minorHAnsi" w:hAnsi="Times New Roman" w:cs="Times New Roman"/>
                <w:color w:val="000000"/>
                <w:sz w:val="24"/>
                <w:szCs w:val="24"/>
              </w:rPr>
              <w:t>Buds closed and covered with green or brownish scales.</w:t>
            </w:r>
          </w:p>
          <w:p w14:paraId="07CE4BEA" w14:textId="77777777" w:rsidR="0043265E" w:rsidRPr="00712AFE" w:rsidRDefault="0043265E" w:rsidP="00B50E84">
            <w:pPr>
              <w:autoSpaceDE w:val="0"/>
              <w:autoSpaceDN w:val="0"/>
              <w:adjustRightInd w:val="0"/>
              <w:ind w:left="720" w:right="144" w:hanging="720"/>
              <w:rPr>
                <w:rFonts w:ascii="Times New Roman" w:eastAsiaTheme="minorHAnsi" w:hAnsi="Times New Roman" w:cs="Times New Roman"/>
                <w:b/>
                <w:color w:val="231F20"/>
                <w:sz w:val="24"/>
                <w:szCs w:val="24"/>
              </w:rPr>
            </w:pPr>
            <w:r w:rsidRPr="00712AFE">
              <w:rPr>
                <w:rFonts w:ascii="Times New Roman" w:eastAsiaTheme="minorHAnsi" w:hAnsi="Times New Roman" w:cs="Times New Roman"/>
                <w:b/>
                <w:color w:val="231F20"/>
                <w:sz w:val="24"/>
                <w:szCs w:val="24"/>
              </w:rPr>
              <w:t>BBCH-619-</w:t>
            </w:r>
            <w:r w:rsidRPr="00712AFE">
              <w:rPr>
                <w:rFonts w:ascii="Times New Roman" w:eastAsiaTheme="minorHAnsi" w:hAnsi="Times New Roman" w:cs="Times New Roman"/>
                <w:color w:val="000000"/>
                <w:sz w:val="24"/>
                <w:szCs w:val="24"/>
              </w:rPr>
              <w:t>End of flowering: all petals fallen and fruit set</w:t>
            </w:r>
            <w:r w:rsidRPr="00712AFE">
              <w:rPr>
                <w:rFonts w:ascii="Times New Roman" w:eastAsiaTheme="minorHAnsi" w:hAnsi="Times New Roman" w:cs="Times New Roman"/>
                <w:b/>
                <w:color w:val="231F20"/>
                <w:sz w:val="24"/>
                <w:szCs w:val="24"/>
              </w:rPr>
              <w:t>.</w:t>
            </w:r>
          </w:p>
          <w:p w14:paraId="10430356" w14:textId="77777777" w:rsidR="0043265E" w:rsidRPr="00712AFE" w:rsidRDefault="0043265E" w:rsidP="00B50E84">
            <w:pPr>
              <w:autoSpaceDE w:val="0"/>
              <w:autoSpaceDN w:val="0"/>
              <w:adjustRightInd w:val="0"/>
              <w:ind w:left="720" w:right="144" w:hanging="720"/>
              <w:rPr>
                <w:rFonts w:ascii="Times New Roman" w:eastAsiaTheme="minorHAnsi" w:hAnsi="Times New Roman" w:cs="Times New Roman"/>
                <w:bCs/>
                <w:color w:val="231F20"/>
                <w:sz w:val="24"/>
                <w:szCs w:val="24"/>
              </w:rPr>
            </w:pPr>
            <w:r w:rsidRPr="00712AFE">
              <w:rPr>
                <w:rFonts w:ascii="Times New Roman" w:eastAsiaTheme="minorHAnsi" w:hAnsi="Times New Roman" w:cs="Times New Roman"/>
                <w:b/>
                <w:color w:val="231F20"/>
                <w:sz w:val="24"/>
                <w:szCs w:val="24"/>
              </w:rPr>
              <w:t>BBCH-701</w:t>
            </w:r>
            <w:r w:rsidRPr="00712AFE">
              <w:rPr>
                <w:rFonts w:ascii="Times New Roman" w:eastAsiaTheme="minorHAnsi" w:hAnsi="Times New Roman" w:cs="Times New Roman"/>
                <w:bCs/>
                <w:color w:val="231F20"/>
                <w:sz w:val="24"/>
                <w:szCs w:val="24"/>
              </w:rPr>
              <w:t>-Fruits at 10% of final size, styles still visible (beginning of physiological fruit drop).</w:t>
            </w:r>
          </w:p>
          <w:p w14:paraId="75E3BDF9" w14:textId="77777777" w:rsidR="0043265E" w:rsidRPr="00712AFE" w:rsidRDefault="0043265E" w:rsidP="00B50E84">
            <w:pPr>
              <w:autoSpaceDE w:val="0"/>
              <w:autoSpaceDN w:val="0"/>
              <w:adjustRightInd w:val="0"/>
              <w:ind w:left="720" w:right="144" w:hanging="720"/>
              <w:rPr>
                <w:rFonts w:ascii="Times New Roman" w:hAnsi="Times New Roman" w:cs="Times New Roman"/>
                <w:color w:val="231F20"/>
                <w:sz w:val="24"/>
                <w:szCs w:val="24"/>
              </w:rPr>
            </w:pPr>
            <w:r w:rsidRPr="00712AFE">
              <w:rPr>
                <w:rFonts w:ascii="Times New Roman" w:hAnsi="Times New Roman" w:cs="Times New Roman"/>
                <w:b/>
                <w:color w:val="231F20"/>
                <w:sz w:val="24"/>
                <w:szCs w:val="24"/>
              </w:rPr>
              <w:t>BBCH-703</w:t>
            </w:r>
            <w:r w:rsidRPr="00712AFE">
              <w:rPr>
                <w:rFonts w:ascii="Times New Roman" w:hAnsi="Times New Roman" w:cs="Times New Roman"/>
                <w:color w:val="231F20"/>
                <w:sz w:val="24"/>
                <w:szCs w:val="24"/>
              </w:rPr>
              <w:t xml:space="preserve">-Fruits at 30% of final size (end of physiological fruit drop). </w:t>
            </w:r>
          </w:p>
          <w:p w14:paraId="3CFC0174" w14:textId="77777777"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color w:val="231F20"/>
                <w:sz w:val="24"/>
                <w:szCs w:val="24"/>
              </w:rPr>
              <w:t>BBCH-705</w:t>
            </w:r>
            <w:r w:rsidRPr="00712AFE">
              <w:rPr>
                <w:rFonts w:ascii="Times New Roman" w:hAnsi="Times New Roman" w:cs="Times New Roman"/>
                <w:color w:val="231F20"/>
                <w:sz w:val="24"/>
                <w:szCs w:val="24"/>
              </w:rPr>
              <w:t>-Fruits at 50% of final size</w:t>
            </w:r>
            <w:r w:rsidRPr="00712AFE">
              <w:rPr>
                <w:rFonts w:ascii="Times New Roman" w:hAnsi="Times New Roman" w:cs="Times New Roman"/>
                <w:bCs/>
                <w:sz w:val="24"/>
                <w:szCs w:val="24"/>
              </w:rPr>
              <w:t xml:space="preserve">. </w:t>
            </w:r>
          </w:p>
          <w:p w14:paraId="2AD08CB1" w14:textId="77777777"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sz w:val="24"/>
                <w:szCs w:val="24"/>
              </w:rPr>
              <w:t>BBCH-705</w:t>
            </w:r>
            <w:r w:rsidRPr="00712AFE">
              <w:rPr>
                <w:rFonts w:ascii="Times New Roman" w:hAnsi="Times New Roman" w:cs="Times New Roman"/>
                <w:bCs/>
                <w:sz w:val="24"/>
                <w:szCs w:val="24"/>
              </w:rPr>
              <w:t xml:space="preserve">-Fruits at 50% of final size. </w:t>
            </w:r>
          </w:p>
          <w:p w14:paraId="1DB23C11" w14:textId="77777777" w:rsidR="0043265E" w:rsidRPr="00712AFE" w:rsidRDefault="0043265E" w:rsidP="00B50E84">
            <w:pPr>
              <w:autoSpaceDE w:val="0"/>
              <w:autoSpaceDN w:val="0"/>
              <w:adjustRightInd w:val="0"/>
              <w:ind w:left="720" w:right="144" w:hanging="720"/>
              <w:rPr>
                <w:rFonts w:ascii="Times New Roman" w:hAnsi="Times New Roman" w:cs="Times New Roman"/>
                <w:bCs/>
                <w:sz w:val="24"/>
                <w:szCs w:val="24"/>
              </w:rPr>
            </w:pPr>
            <w:r w:rsidRPr="00712AFE">
              <w:rPr>
                <w:rFonts w:ascii="Times New Roman" w:hAnsi="Times New Roman" w:cs="Times New Roman"/>
                <w:b/>
                <w:sz w:val="24"/>
                <w:szCs w:val="24"/>
              </w:rPr>
              <w:t>BBCH-709</w:t>
            </w:r>
            <w:r w:rsidRPr="00712AFE">
              <w:rPr>
                <w:rFonts w:ascii="Times New Roman" w:hAnsi="Times New Roman" w:cs="Times New Roman"/>
                <w:bCs/>
                <w:sz w:val="24"/>
                <w:szCs w:val="24"/>
              </w:rPr>
              <w:t xml:space="preserve">-Fruits at standard cultivar size, shoulders fully developed. </w:t>
            </w:r>
          </w:p>
          <w:p w14:paraId="59B722E1" w14:textId="77777777" w:rsidR="0043265E" w:rsidRPr="00712AFE" w:rsidRDefault="0043265E" w:rsidP="00B50E84">
            <w:pPr>
              <w:autoSpaceDE w:val="0"/>
              <w:autoSpaceDN w:val="0"/>
              <w:adjustRightInd w:val="0"/>
              <w:rPr>
                <w:rFonts w:ascii="Times New Roman" w:hAnsi="Times New Roman" w:cs="Times New Roman"/>
                <w:sz w:val="24"/>
                <w:szCs w:val="24"/>
                <w:vertAlign w:val="subscript"/>
              </w:rPr>
            </w:pPr>
            <w:r w:rsidRPr="00712AFE">
              <w:rPr>
                <w:rFonts w:ascii="Times New Roman" w:hAnsi="Times New Roman" w:cs="Times New Roman"/>
                <w:b/>
                <w:sz w:val="24"/>
                <w:szCs w:val="24"/>
              </w:rPr>
              <w:t>BBCH-800</w:t>
            </w:r>
            <w:r w:rsidRPr="00712AFE">
              <w:rPr>
                <w:rFonts w:ascii="Times New Roman" w:hAnsi="Times New Roman" w:cs="Times New Roman"/>
                <w:bCs/>
                <w:sz w:val="24"/>
                <w:szCs w:val="24"/>
              </w:rPr>
              <w:t>-Physiological maturity: fruit fully developed, pulp creamy green in color.</w:t>
            </w:r>
          </w:p>
        </w:tc>
      </w:tr>
    </w:tbl>
    <w:p w14:paraId="68043819" w14:textId="77777777" w:rsidR="0043265E" w:rsidRPr="00712AFE" w:rsidRDefault="0043265E" w:rsidP="0043265E">
      <w:pPr>
        <w:autoSpaceDE w:val="0"/>
        <w:autoSpaceDN w:val="0"/>
        <w:adjustRightInd w:val="0"/>
        <w:ind w:firstLine="720"/>
        <w:rPr>
          <w:rFonts w:ascii="Times New Roman" w:hAnsi="Times New Roman" w:cs="Times New Roman"/>
          <w:sz w:val="24"/>
          <w:szCs w:val="24"/>
        </w:rPr>
      </w:pPr>
    </w:p>
    <w:p w14:paraId="04E90CB9" w14:textId="77777777" w:rsidR="0043265E" w:rsidRPr="00712AFE" w:rsidRDefault="0043265E" w:rsidP="0043265E">
      <w:pPr>
        <w:tabs>
          <w:tab w:val="left" w:pos="5745"/>
          <w:tab w:val="left" w:pos="9810"/>
        </w:tabs>
        <w:spacing w:line="360" w:lineRule="auto"/>
        <w:contextualSpacing/>
        <w:rPr>
          <w:rFonts w:ascii="Times New Roman" w:hAnsi="Times New Roman" w:cs="Times New Roman"/>
          <w:b/>
          <w:bCs/>
          <w:sz w:val="24"/>
          <w:szCs w:val="24"/>
        </w:rPr>
      </w:pPr>
      <w:r w:rsidRPr="00712AFE">
        <w:rPr>
          <w:rFonts w:ascii="Times New Roman" w:hAnsi="Times New Roman" w:cs="Times New Roman"/>
          <w:b/>
          <w:sz w:val="24"/>
          <w:szCs w:val="24"/>
        </w:rPr>
        <w:t>DA-index</w:t>
      </w:r>
    </w:p>
    <w:p w14:paraId="7B99CF6C" w14:textId="77777777" w:rsidR="00574093" w:rsidRPr="00712AFE" w:rsidRDefault="0043265E" w:rsidP="00574093">
      <w:pPr>
        <w:pStyle w:val="NormalWeb"/>
        <w:spacing w:line="360" w:lineRule="auto"/>
      </w:pPr>
      <w:r w:rsidRPr="00712AFE">
        <w:t xml:space="preserve">Changes in fruit color can be assessed using the DA-index (difference of absorbance index), which measures the level of chlorophyll-a in the fruit flesh just beneath the skin. Generally, DA-index values decrease with fruit ripening as chlorophyll-a degrades </w:t>
      </w:r>
      <w:r w:rsidR="008B691E">
        <w:t>[15]</w:t>
      </w:r>
      <w:r w:rsidRPr="00712AFE">
        <w:t>. DA-index measurements were taken at three-day intervals.</w:t>
      </w:r>
    </w:p>
    <w:p w14:paraId="56B7679B" w14:textId="77777777" w:rsidR="0043265E" w:rsidRPr="00712AFE" w:rsidRDefault="0043265E" w:rsidP="0043265E">
      <w:pPr>
        <w:autoSpaceDE w:val="0"/>
        <w:autoSpaceDN w:val="0"/>
        <w:adjustRightInd w:val="0"/>
        <w:spacing w:line="360" w:lineRule="auto"/>
        <w:rPr>
          <w:rFonts w:ascii="Times New Roman" w:hAnsi="Times New Roman" w:cs="Times New Roman"/>
          <w:b/>
          <w:bCs/>
          <w:sz w:val="24"/>
          <w:szCs w:val="24"/>
        </w:rPr>
      </w:pPr>
      <w:r w:rsidRPr="00712AFE">
        <w:rPr>
          <w:rFonts w:ascii="Times New Roman" w:hAnsi="Times New Roman" w:cs="Times New Roman"/>
          <w:b/>
          <w:sz w:val="24"/>
          <w:szCs w:val="24"/>
        </w:rPr>
        <w:t>Estimation of O</w:t>
      </w:r>
      <w:r w:rsidRPr="00712AFE">
        <w:rPr>
          <w:rFonts w:ascii="Times New Roman" w:hAnsi="Times New Roman" w:cs="Times New Roman"/>
          <w:b/>
          <w:sz w:val="24"/>
          <w:szCs w:val="24"/>
          <w:vertAlign w:val="subscript"/>
        </w:rPr>
        <w:t>2</w:t>
      </w:r>
      <w:r w:rsidRPr="00712AFE">
        <w:rPr>
          <w:rFonts w:ascii="Times New Roman" w:hAnsi="Times New Roman" w:cs="Times New Roman"/>
          <w:b/>
          <w:sz w:val="24"/>
          <w:szCs w:val="24"/>
        </w:rPr>
        <w:t xml:space="preserve"> and Co</w:t>
      </w:r>
      <w:r w:rsidRPr="00712AFE">
        <w:rPr>
          <w:rFonts w:ascii="Times New Roman" w:hAnsi="Times New Roman" w:cs="Times New Roman"/>
          <w:b/>
          <w:sz w:val="24"/>
          <w:szCs w:val="24"/>
          <w:vertAlign w:val="subscript"/>
        </w:rPr>
        <w:t>2</w:t>
      </w:r>
      <w:r w:rsidRPr="00712AFE">
        <w:rPr>
          <w:rFonts w:ascii="Times New Roman" w:hAnsi="Times New Roman" w:cs="Times New Roman"/>
          <w:b/>
          <w:sz w:val="24"/>
          <w:szCs w:val="24"/>
        </w:rPr>
        <w:t xml:space="preserve"> (% kg fresh mass</w:t>
      </w:r>
      <w:r w:rsidRPr="00712AFE">
        <w:rPr>
          <w:rFonts w:ascii="Times New Roman" w:hAnsi="Times New Roman" w:cs="Times New Roman"/>
          <w:b/>
          <w:sz w:val="24"/>
          <w:szCs w:val="24"/>
          <w:vertAlign w:val="superscript"/>
        </w:rPr>
        <w:t>-1</w:t>
      </w:r>
      <w:r w:rsidRPr="00712AFE">
        <w:rPr>
          <w:rFonts w:ascii="Times New Roman" w:hAnsi="Times New Roman" w:cs="Times New Roman"/>
          <w:b/>
          <w:sz w:val="24"/>
          <w:szCs w:val="24"/>
        </w:rPr>
        <w:t xml:space="preserve"> hr</w:t>
      </w:r>
      <w:r w:rsidRPr="00712AFE">
        <w:rPr>
          <w:rFonts w:ascii="Times New Roman" w:hAnsi="Times New Roman" w:cs="Times New Roman"/>
          <w:b/>
          <w:sz w:val="24"/>
          <w:szCs w:val="24"/>
          <w:vertAlign w:val="superscript"/>
        </w:rPr>
        <w:t>-1</w:t>
      </w:r>
      <w:r w:rsidRPr="00712AFE">
        <w:rPr>
          <w:rFonts w:ascii="Times New Roman" w:hAnsi="Times New Roman" w:cs="Times New Roman"/>
          <w:b/>
          <w:sz w:val="24"/>
          <w:szCs w:val="24"/>
        </w:rPr>
        <w:t>)</w:t>
      </w:r>
    </w:p>
    <w:p w14:paraId="550E8B6F" w14:textId="77777777" w:rsidR="0043265E" w:rsidRPr="00712AFE" w:rsidRDefault="0043265E" w:rsidP="0043265E">
      <w:pPr>
        <w:pStyle w:val="ListParagraph"/>
        <w:tabs>
          <w:tab w:val="left" w:pos="0"/>
        </w:tabs>
        <w:spacing w:line="360" w:lineRule="auto"/>
        <w:ind w:firstLine="720"/>
        <w:rPr>
          <w:rFonts w:ascii="Times New Roman" w:hAnsi="Times New Roman" w:cs="Times New Roman"/>
          <w:sz w:val="24"/>
          <w:szCs w:val="24"/>
        </w:rPr>
      </w:pPr>
      <w:r w:rsidRPr="00712AFE">
        <w:rPr>
          <w:rFonts w:ascii="Times New Roman" w:hAnsi="Times New Roman" w:cs="Times New Roman"/>
          <w:sz w:val="24"/>
          <w:szCs w:val="24"/>
        </w:rPr>
        <w:t>The PBI DAN sensor was used to estimate the 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and Co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w:t>
      </w:r>
      <w:r w:rsidRPr="00712AFE">
        <w:rPr>
          <w:rFonts w:ascii="Times New Roman" w:hAnsi="Times New Roman" w:cs="Times New Roman"/>
          <w:bCs/>
          <w:sz w:val="24"/>
          <w:szCs w:val="24"/>
        </w:rPr>
        <w:t>(% kg fresh mass</w:t>
      </w:r>
      <w:r w:rsidRPr="00712AFE">
        <w:rPr>
          <w:rFonts w:ascii="Times New Roman" w:hAnsi="Times New Roman" w:cs="Times New Roman"/>
          <w:bCs/>
          <w:sz w:val="24"/>
          <w:szCs w:val="24"/>
          <w:vertAlign w:val="superscript"/>
        </w:rPr>
        <w:t>-1</w:t>
      </w:r>
      <w:r w:rsidRPr="00712AFE">
        <w:rPr>
          <w:rFonts w:ascii="Times New Roman" w:hAnsi="Times New Roman" w:cs="Times New Roman"/>
          <w:bCs/>
          <w:sz w:val="24"/>
          <w:szCs w:val="24"/>
        </w:rPr>
        <w:t xml:space="preserve"> hr</w:t>
      </w:r>
      <w:r w:rsidRPr="00712AFE">
        <w:rPr>
          <w:rFonts w:ascii="Times New Roman" w:hAnsi="Times New Roman" w:cs="Times New Roman"/>
          <w:bCs/>
          <w:sz w:val="24"/>
          <w:szCs w:val="24"/>
          <w:vertAlign w:val="superscript"/>
        </w:rPr>
        <w:t>-1</w:t>
      </w:r>
      <w:r w:rsidRPr="00712AFE">
        <w:rPr>
          <w:rFonts w:ascii="Times New Roman" w:hAnsi="Times New Roman" w:cs="Times New Roman"/>
          <w:bCs/>
          <w:sz w:val="24"/>
          <w:szCs w:val="24"/>
        </w:rPr>
        <w:t>)</w:t>
      </w:r>
      <w:r w:rsidRPr="00712AFE">
        <w:rPr>
          <w:rFonts w:ascii="Times New Roman" w:hAnsi="Times New Roman" w:cs="Times New Roman"/>
          <w:b/>
          <w:sz w:val="24"/>
          <w:szCs w:val="24"/>
        </w:rPr>
        <w:t xml:space="preserve"> </w:t>
      </w:r>
      <w:r w:rsidRPr="00712AFE">
        <w:rPr>
          <w:rFonts w:ascii="Times New Roman" w:hAnsi="Times New Roman" w:cs="Times New Roman"/>
          <w:sz w:val="24"/>
          <w:szCs w:val="24"/>
        </w:rPr>
        <w:t>content and the estimations are made at three days interval by placing silicon Teflon septa on the plastic container. The instrument calibrated under open condition before starting the gas composition estimation, then, the needle of 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and Co</w:t>
      </w:r>
      <w:r w:rsidRPr="00712AFE">
        <w:rPr>
          <w:rFonts w:ascii="Times New Roman" w:hAnsi="Times New Roman" w:cs="Times New Roman"/>
          <w:sz w:val="24"/>
          <w:szCs w:val="24"/>
          <w:vertAlign w:val="subscript"/>
        </w:rPr>
        <w:t>2</w:t>
      </w:r>
      <w:r w:rsidRPr="00712AFE">
        <w:rPr>
          <w:rFonts w:ascii="Times New Roman" w:hAnsi="Times New Roman" w:cs="Times New Roman"/>
          <w:sz w:val="24"/>
          <w:szCs w:val="24"/>
        </w:rPr>
        <w:t xml:space="preserve"> analyzer was inserted through septa and the gas composition was measured. </w:t>
      </w:r>
    </w:p>
    <w:p w14:paraId="2A081145" w14:textId="77777777" w:rsidR="0043265E" w:rsidRPr="00712AFE" w:rsidRDefault="0043265E" w:rsidP="0043265E">
      <w:pPr>
        <w:pStyle w:val="ListParagraph"/>
        <w:autoSpaceDE w:val="0"/>
        <w:autoSpaceDN w:val="0"/>
        <w:adjustRightInd w:val="0"/>
        <w:spacing w:before="100" w:beforeAutospacing="1" w:after="100" w:afterAutospacing="1"/>
        <w:rPr>
          <w:rFonts w:ascii="Times New Roman" w:hAnsi="Times New Roman" w:cs="Times New Roman"/>
          <w:b/>
          <w:bCs/>
          <w:sz w:val="24"/>
          <w:szCs w:val="24"/>
        </w:rPr>
      </w:pPr>
      <w:r w:rsidRPr="00712AFE">
        <w:rPr>
          <w:rFonts w:ascii="Times New Roman" w:hAnsi="Times New Roman" w:cs="Times New Roman"/>
          <w:b/>
          <w:bCs/>
          <w:sz w:val="24"/>
          <w:szCs w:val="24"/>
        </w:rPr>
        <w:t>Water Use Efficiency (WUE kg m</w:t>
      </w:r>
      <w:r w:rsidRPr="00712AFE">
        <w:rPr>
          <w:rFonts w:ascii="Times New Roman" w:hAnsi="Times New Roman" w:cs="Times New Roman"/>
          <w:b/>
          <w:bCs/>
          <w:sz w:val="24"/>
          <w:szCs w:val="24"/>
          <w:vertAlign w:val="superscript"/>
        </w:rPr>
        <w:t>-3</w:t>
      </w:r>
      <w:r w:rsidRPr="00712AFE">
        <w:rPr>
          <w:rFonts w:ascii="Times New Roman" w:hAnsi="Times New Roman" w:cs="Times New Roman"/>
          <w:b/>
          <w:bCs/>
          <w:sz w:val="24"/>
          <w:szCs w:val="24"/>
        </w:rPr>
        <w:t>)</w:t>
      </w:r>
    </w:p>
    <w:p w14:paraId="128B45C8" w14:textId="77777777" w:rsidR="0043265E" w:rsidRPr="00712AFE" w:rsidRDefault="0043265E" w:rsidP="0043265E">
      <w:pPr>
        <w:autoSpaceDE w:val="0"/>
        <w:autoSpaceDN w:val="0"/>
        <w:adjustRightInd w:val="0"/>
        <w:ind w:firstLine="720"/>
        <w:rPr>
          <w:rFonts w:ascii="Times New Roman" w:hAnsi="Times New Roman" w:cs="Times New Roman"/>
          <w:sz w:val="24"/>
          <w:szCs w:val="24"/>
        </w:rPr>
      </w:pPr>
      <w:r w:rsidRPr="00712AFE">
        <w:rPr>
          <w:rFonts w:ascii="Times New Roman" w:hAnsi="Times New Roman" w:cs="Times New Roman"/>
          <w:sz w:val="24"/>
          <w:szCs w:val="24"/>
        </w:rPr>
        <w:t>Water use efficiency (WUE) was computed from the following formula and has been expressed as kg m</w:t>
      </w:r>
      <w:r w:rsidRPr="00712AFE">
        <w:rPr>
          <w:rFonts w:ascii="Times New Roman" w:hAnsi="Times New Roman" w:cs="Times New Roman"/>
          <w:sz w:val="24"/>
          <w:szCs w:val="24"/>
          <w:vertAlign w:val="superscript"/>
        </w:rPr>
        <w:t>-3</w:t>
      </w:r>
      <w:r w:rsidRPr="00712AFE">
        <w:rPr>
          <w:rFonts w:ascii="Times New Roman" w:hAnsi="Times New Roman" w:cs="Times New Roman"/>
          <w:b/>
          <w:bCs/>
          <w:sz w:val="24"/>
          <w:szCs w:val="24"/>
        </w:rPr>
        <w:t xml:space="preserve"> </w:t>
      </w:r>
      <w:r w:rsidRPr="00712AFE">
        <w:rPr>
          <w:rFonts w:ascii="Times New Roman" w:hAnsi="Times New Roman" w:cs="Times New Roman"/>
          <w:bCs/>
          <w:sz w:val="24"/>
          <w:szCs w:val="24"/>
        </w:rPr>
        <w:t xml:space="preserve">water </w:t>
      </w:r>
      <w:r w:rsidR="008B691E">
        <w:rPr>
          <w:rFonts w:ascii="Times New Roman" w:hAnsi="Times New Roman" w:cs="Times New Roman"/>
          <w:bCs/>
          <w:sz w:val="24"/>
          <w:szCs w:val="24"/>
        </w:rPr>
        <w:t>[16]</w:t>
      </w:r>
      <w:r w:rsidRPr="00712AFE">
        <w:rPr>
          <w:rFonts w:ascii="Times New Roman" w:hAnsi="Times New Roman" w:cs="Times New Roman"/>
          <w:sz w:val="24"/>
          <w:szCs w:val="24"/>
        </w:rPr>
        <w:t>.</w:t>
      </w:r>
    </w:p>
    <w:p w14:paraId="0400C89A" w14:textId="77777777" w:rsidR="0043265E" w:rsidRPr="00712AFE" w:rsidRDefault="0043265E" w:rsidP="0043265E">
      <w:pPr>
        <w:autoSpaceDE w:val="0"/>
        <w:autoSpaceDN w:val="0"/>
        <w:adjustRightInd w:val="0"/>
        <w:ind w:firstLine="720"/>
        <w:rPr>
          <w:rFonts w:ascii="Times New Roman" w:hAnsi="Times New Roman" w:cs="Times New Roman"/>
          <w:sz w:val="24"/>
          <w:szCs w:val="24"/>
        </w:rPr>
      </w:pPr>
      <m:oMathPara>
        <m:oMath>
          <m:r>
            <m:rPr>
              <m:nor/>
            </m:rPr>
            <w:rPr>
              <w:rFonts w:ascii="Times New Roman" w:hAnsi="Times New Roman" w:cs="Times New Roman"/>
              <w:b/>
              <w:bCs/>
              <w:i/>
              <w:iCs/>
              <w:sz w:val="24"/>
              <w:szCs w:val="24"/>
            </w:rPr>
            <m:t xml:space="preserve">    WUE =Y/TWA      </m:t>
          </m:r>
          <m:r>
            <m:rPr>
              <m:sty m:val="p"/>
            </m:rPr>
            <w:rPr>
              <w:rFonts w:ascii="Times New Roman" w:hAnsi="Times New Roman" w:cs="Times New Roman"/>
              <w:sz w:val="24"/>
              <w:szCs w:val="24"/>
            </w:rPr>
            <w:br/>
          </m:r>
        </m:oMath>
      </m:oMathPara>
      <w:r w:rsidRPr="00712AFE">
        <w:rPr>
          <w:rFonts w:ascii="Times New Roman" w:hAnsi="Times New Roman" w:cs="Times New Roman"/>
          <w:sz w:val="24"/>
          <w:szCs w:val="24"/>
        </w:rPr>
        <w:t>Where;</w:t>
      </w:r>
    </w:p>
    <w:p w14:paraId="2D1C5F3D" w14:textId="77777777" w:rsidR="0043265E" w:rsidRPr="00712AFE" w:rsidRDefault="0043265E" w:rsidP="0043265E">
      <w:pPr>
        <w:autoSpaceDE w:val="0"/>
        <w:autoSpaceDN w:val="0"/>
        <w:adjustRightInd w:val="0"/>
        <w:ind w:left="720"/>
        <w:rPr>
          <w:rFonts w:ascii="Times New Roman" w:hAnsi="Times New Roman" w:cs="Times New Roman"/>
          <w:sz w:val="24"/>
          <w:szCs w:val="24"/>
        </w:rPr>
      </w:pPr>
      <w:r w:rsidRPr="00712AFE">
        <w:rPr>
          <w:rFonts w:ascii="Times New Roman" w:hAnsi="Times New Roman" w:cs="Times New Roman"/>
          <w:sz w:val="24"/>
          <w:szCs w:val="24"/>
        </w:rPr>
        <w:t>Y- Yield (kg)</w:t>
      </w:r>
    </w:p>
    <w:p w14:paraId="347E6FD7" w14:textId="77777777" w:rsidR="0043265E" w:rsidRPr="00712AFE" w:rsidRDefault="0043265E" w:rsidP="0043265E">
      <w:pPr>
        <w:ind w:left="720"/>
        <w:rPr>
          <w:rFonts w:ascii="Times New Roman" w:hAnsi="Times New Roman" w:cs="Times New Roman"/>
          <w:sz w:val="24"/>
          <w:szCs w:val="24"/>
        </w:rPr>
      </w:pPr>
      <w:r w:rsidRPr="00712AFE">
        <w:rPr>
          <w:rFonts w:ascii="Times New Roman" w:hAnsi="Times New Roman" w:cs="Times New Roman"/>
          <w:sz w:val="24"/>
          <w:szCs w:val="24"/>
        </w:rPr>
        <w:t>TWA- Total amount of water applied (m</w:t>
      </w:r>
      <w:r w:rsidRPr="00712AFE">
        <w:rPr>
          <w:rFonts w:ascii="Times New Roman" w:hAnsi="Times New Roman" w:cs="Times New Roman"/>
          <w:sz w:val="24"/>
          <w:szCs w:val="24"/>
          <w:vertAlign w:val="superscript"/>
        </w:rPr>
        <w:t>-3</w:t>
      </w:r>
      <w:r w:rsidRPr="00712AFE">
        <w:rPr>
          <w:rFonts w:ascii="Times New Roman" w:hAnsi="Times New Roman" w:cs="Times New Roman"/>
          <w:sz w:val="24"/>
          <w:szCs w:val="24"/>
        </w:rPr>
        <w:t>)</w:t>
      </w:r>
    </w:p>
    <w:p w14:paraId="71956C49" w14:textId="77777777" w:rsidR="0043265E" w:rsidRPr="00712AFE" w:rsidRDefault="0043265E" w:rsidP="0043265E">
      <w:pPr>
        <w:pStyle w:val="ListParagraph"/>
        <w:autoSpaceDE w:val="0"/>
        <w:autoSpaceDN w:val="0"/>
        <w:adjustRightInd w:val="0"/>
        <w:spacing w:before="120" w:after="120"/>
        <w:rPr>
          <w:rFonts w:ascii="Times New Roman" w:hAnsi="Times New Roman" w:cs="Times New Roman"/>
          <w:b/>
          <w:bCs/>
          <w:sz w:val="24"/>
          <w:szCs w:val="24"/>
        </w:rPr>
      </w:pPr>
      <w:r w:rsidRPr="00712AFE">
        <w:rPr>
          <w:rFonts w:ascii="Times New Roman" w:hAnsi="Times New Roman" w:cs="Times New Roman"/>
          <w:b/>
          <w:bCs/>
          <w:sz w:val="24"/>
          <w:szCs w:val="24"/>
        </w:rPr>
        <w:t>Fertilizer use efficiency (FUE kg kg</w:t>
      </w:r>
      <w:r w:rsidRPr="00712AFE">
        <w:rPr>
          <w:rFonts w:ascii="Times New Roman" w:hAnsi="Times New Roman" w:cs="Times New Roman"/>
          <w:b/>
          <w:bCs/>
          <w:sz w:val="24"/>
          <w:szCs w:val="24"/>
          <w:vertAlign w:val="superscript"/>
        </w:rPr>
        <w:t>-1</w:t>
      </w:r>
      <w:r w:rsidRPr="00712AFE">
        <w:rPr>
          <w:rFonts w:ascii="Times New Roman" w:hAnsi="Times New Roman" w:cs="Times New Roman"/>
          <w:b/>
          <w:bCs/>
          <w:sz w:val="24"/>
          <w:szCs w:val="24"/>
        </w:rPr>
        <w:t>)</w:t>
      </w:r>
    </w:p>
    <w:p w14:paraId="0C681CEA" w14:textId="77777777" w:rsidR="0043265E" w:rsidRPr="00712AFE" w:rsidRDefault="0043265E" w:rsidP="0043265E">
      <w:pPr>
        <w:autoSpaceDE w:val="0"/>
        <w:autoSpaceDN w:val="0"/>
        <w:adjustRightInd w:val="0"/>
        <w:spacing w:line="360" w:lineRule="auto"/>
        <w:jc w:val="both"/>
        <w:rPr>
          <w:rFonts w:ascii="Times New Roman" w:hAnsi="Times New Roman" w:cs="Times New Roman"/>
          <w:sz w:val="24"/>
          <w:szCs w:val="24"/>
        </w:rPr>
      </w:pPr>
      <w:r w:rsidRPr="00712AFE">
        <w:rPr>
          <w:rFonts w:ascii="Times New Roman" w:eastAsia="Arial" w:hAnsi="Times New Roman" w:cs="Times New Roman"/>
          <w:sz w:val="24"/>
          <w:szCs w:val="24"/>
        </w:rPr>
        <w:t xml:space="preserve">The word “efficiency” generally indicates “the level of output per unit of input.” Referred to the plant system, “efficiency” defines the “growth, physiological activity, yield or harvested yield (output) per unit of land, water, nutrient, or energy (input).” While focusing the attention on the nutrients, the term NUE is defined as “the plant growth, physiological activity, yield or harvested yield per unit of nutrient.” Even within this simple ratio, NUE has </w:t>
      </w:r>
      <w:r w:rsidRPr="00712AFE">
        <w:rPr>
          <w:rFonts w:ascii="Times New Roman" w:eastAsia="Arial" w:hAnsi="Times New Roman" w:cs="Times New Roman"/>
          <w:sz w:val="24"/>
          <w:szCs w:val="24"/>
        </w:rPr>
        <w:lastRenderedPageBreak/>
        <w:t xml:space="preserve">been defined in 18 different ways in diverse contexts which are primarily grouped in “Agronomic” (uptake efficiency) and “Physiological” (utilization efficiency) terms. </w:t>
      </w:r>
      <w:r w:rsidRPr="00712AFE">
        <w:rPr>
          <w:rFonts w:ascii="Times New Roman" w:hAnsi="Times New Roman" w:cs="Times New Roman"/>
          <w:color w:val="000000"/>
          <w:sz w:val="24"/>
          <w:szCs w:val="24"/>
        </w:rPr>
        <w:t xml:space="preserve">The </w:t>
      </w:r>
      <w:r w:rsidRPr="00712AFE">
        <w:rPr>
          <w:rFonts w:ascii="Times New Roman" w:hAnsi="Times New Roman" w:cs="Times New Roman"/>
          <w:sz w:val="24"/>
          <w:szCs w:val="24"/>
        </w:rPr>
        <w:t>fertilizer use efficiency (FUE) was computed from the following formula and has been expressed as kg kg</w:t>
      </w:r>
      <w:r w:rsidRPr="00712AFE">
        <w:rPr>
          <w:rFonts w:ascii="Times New Roman" w:hAnsi="Times New Roman" w:cs="Times New Roman"/>
          <w:sz w:val="24"/>
          <w:szCs w:val="24"/>
          <w:vertAlign w:val="superscript"/>
        </w:rPr>
        <w:t>-1</w:t>
      </w:r>
      <w:r w:rsidRPr="00712AFE">
        <w:rPr>
          <w:rFonts w:ascii="Times New Roman" w:hAnsi="Times New Roman" w:cs="Times New Roman"/>
          <w:b/>
          <w:bCs/>
          <w:sz w:val="24"/>
          <w:szCs w:val="24"/>
        </w:rPr>
        <w:t xml:space="preserve"> </w:t>
      </w:r>
      <w:r w:rsidR="008B691E">
        <w:rPr>
          <w:rFonts w:ascii="Times New Roman" w:hAnsi="Times New Roman" w:cs="Times New Roman"/>
          <w:bCs/>
          <w:sz w:val="24"/>
          <w:szCs w:val="24"/>
        </w:rPr>
        <w:t>[17]</w:t>
      </w:r>
      <w:r w:rsidRPr="00712AFE">
        <w:rPr>
          <w:rFonts w:ascii="Times New Roman" w:hAnsi="Times New Roman" w:cs="Times New Roman"/>
          <w:sz w:val="24"/>
          <w:szCs w:val="24"/>
        </w:rPr>
        <w:t>.</w:t>
      </w:r>
    </w:p>
    <w:p w14:paraId="112A022B" w14:textId="77777777" w:rsidR="0043265E" w:rsidRPr="00712AFE" w:rsidRDefault="0043265E" w:rsidP="0043265E">
      <w:pPr>
        <w:autoSpaceDE w:val="0"/>
        <w:autoSpaceDN w:val="0"/>
        <w:adjustRightInd w:val="0"/>
        <w:ind w:firstLine="720"/>
        <w:rPr>
          <w:rFonts w:ascii="Times New Roman" w:hAnsi="Times New Roman" w:cs="Times New Roman"/>
          <w:sz w:val="24"/>
          <w:szCs w:val="24"/>
        </w:rPr>
      </w:pPr>
    </w:p>
    <w:p w14:paraId="13A1F833" w14:textId="77777777" w:rsidR="0043265E" w:rsidRPr="00712AFE" w:rsidRDefault="00C35A87" w:rsidP="0043265E">
      <w:pPr>
        <w:autoSpaceDE w:val="0"/>
        <w:autoSpaceDN w:val="0"/>
        <w:adjustRightInd w:val="0"/>
        <w:ind w:firstLine="720"/>
        <w:rPr>
          <w:rFonts w:ascii="Times New Roman" w:hAnsi="Times New Roman" w:cs="Times New Roman"/>
          <w:sz w:val="24"/>
          <w:szCs w:val="24"/>
        </w:rPr>
      </w:pPr>
      <m:oMathPara>
        <m:oMath>
          <m:sSup>
            <m:sSupPr>
              <m:ctrlPr>
                <w:rPr>
                  <w:rFonts w:ascii="Cambria Math" w:hAnsi="Times New Roman" w:cs="Times New Roman"/>
                  <w:iCs/>
                  <w:color w:val="000000"/>
                  <w:sz w:val="24"/>
                  <w:szCs w:val="24"/>
                  <w:bdr w:val="single" w:sz="4" w:space="0" w:color="auto"/>
                </w:rPr>
              </m:ctrlPr>
            </m:sSupPr>
            <m:e>
              <m:r>
                <m:rPr>
                  <m:nor/>
                </m:rPr>
                <w:rPr>
                  <w:rFonts w:ascii="Times New Roman" w:hAnsi="Times New Roman" w:cs="Times New Roman"/>
                  <w:iCs/>
                  <w:color w:val="000000"/>
                  <w:sz w:val="24"/>
                  <w:szCs w:val="24"/>
                  <w:bdr w:val="single" w:sz="4" w:space="0" w:color="auto"/>
                </w:rPr>
                <m:t xml:space="preserve"> </m:t>
              </m:r>
              <m:r>
                <m:rPr>
                  <m:nor/>
                </m:rPr>
                <w:rPr>
                  <w:rFonts w:ascii="Times New Roman" w:hAnsi="Times New Roman" w:cs="Times New Roman"/>
                  <w:sz w:val="24"/>
                  <w:szCs w:val="24"/>
                </w:rPr>
                <m:t xml:space="preserve">Fertilizer use efficiency </m:t>
              </m:r>
              <m:r>
                <m:rPr>
                  <m:nor/>
                </m:rPr>
                <w:rPr>
                  <w:rFonts w:ascii="Times New Roman" w:hAnsi="Times New Roman" w:cs="Times New Roman"/>
                  <w:iCs/>
                  <w:color w:val="000000"/>
                  <w:sz w:val="24"/>
                  <w:szCs w:val="24"/>
                  <w:bdr w:val="single" w:sz="4" w:space="0" w:color="auto"/>
                </w:rPr>
                <m:t>(kg kg</m:t>
              </m:r>
            </m:e>
            <m:sup>
              <m:r>
                <m:rPr>
                  <m:nor/>
                </m:rPr>
                <w:rPr>
                  <w:rFonts w:ascii="Times New Roman" w:hAnsi="Times New Roman" w:cs="Times New Roman"/>
                  <w:iCs/>
                  <w:color w:val="000000"/>
                  <w:sz w:val="24"/>
                  <w:szCs w:val="24"/>
                  <w:bdr w:val="single" w:sz="4" w:space="0" w:color="auto"/>
                </w:rPr>
                <m:t>-1</m:t>
              </m:r>
            </m:sup>
          </m:sSup>
          <m:r>
            <m:rPr>
              <m:nor/>
            </m:rPr>
            <w:rPr>
              <w:rFonts w:ascii="Times New Roman" w:hAnsi="Times New Roman" w:cs="Times New Roman"/>
              <w:iCs/>
              <w:color w:val="000000"/>
              <w:sz w:val="24"/>
              <w:szCs w:val="24"/>
              <w:bdr w:val="single" w:sz="4" w:space="0" w:color="auto"/>
            </w:rPr>
            <m:t>)=</m:t>
          </m:r>
          <m:r>
            <m:rPr>
              <m:sty m:val="p"/>
            </m:rPr>
            <w:rPr>
              <w:rFonts w:ascii="Cambria Math" w:hAnsi="Times New Roman" w:cs="Times New Roman"/>
              <w:color w:val="000000"/>
              <w:sz w:val="24"/>
              <w:szCs w:val="24"/>
              <w:bdr w:val="single" w:sz="4" w:space="0" w:color="auto"/>
            </w:rPr>
            <m:t xml:space="preserve"> </m:t>
          </m:r>
          <m:f>
            <m:fPr>
              <m:type m:val="lin"/>
              <m:ctrlPr>
                <w:rPr>
                  <w:rFonts w:ascii="Cambria Math" w:hAnsi="Times New Roman" w:cs="Times New Roman"/>
                  <w:iCs/>
                  <w:color w:val="000000"/>
                  <w:sz w:val="24"/>
                  <w:szCs w:val="24"/>
                  <w:bdr w:val="single" w:sz="4" w:space="0" w:color="auto"/>
                </w:rPr>
              </m:ctrlPr>
            </m:fPr>
            <m:num>
              <m:r>
                <m:rPr>
                  <m:nor/>
                </m:rPr>
                <w:rPr>
                  <w:rFonts w:ascii="Times New Roman" w:hAnsi="Times New Roman" w:cs="Times New Roman"/>
                  <w:iCs/>
                  <w:color w:val="000000"/>
                  <w:sz w:val="24"/>
                  <w:szCs w:val="24"/>
                  <w:bdr w:val="single" w:sz="4" w:space="0" w:color="auto"/>
                </w:rPr>
                <m:t>Fruit yield in treated plant</m:t>
              </m:r>
            </m:num>
            <m:den>
              <m:r>
                <m:rPr>
                  <m:nor/>
                </m:rPr>
                <w:rPr>
                  <w:rFonts w:ascii="Times New Roman" w:hAnsi="Times New Roman" w:cs="Times New Roman"/>
                  <w:iCs/>
                  <w:color w:val="000000"/>
                  <w:sz w:val="24"/>
                  <w:szCs w:val="24"/>
                  <w:bdr w:val="single" w:sz="4" w:space="0" w:color="auto"/>
                </w:rPr>
                <m:t>the amount of Nutrient applied</m:t>
              </m:r>
            </m:den>
          </m:f>
        </m:oMath>
      </m:oMathPara>
    </w:p>
    <w:p w14:paraId="47BB886E" w14:textId="77777777" w:rsidR="0043265E" w:rsidRPr="00712AFE" w:rsidRDefault="0043265E" w:rsidP="0043265E">
      <w:pPr>
        <w:rPr>
          <w:rFonts w:ascii="Times New Roman" w:hAnsi="Times New Roman" w:cs="Times New Roman"/>
          <w:sz w:val="24"/>
          <w:szCs w:val="24"/>
        </w:rPr>
      </w:pPr>
    </w:p>
    <w:p w14:paraId="006DBDE1" w14:textId="77777777" w:rsidR="00730CC8" w:rsidRPr="00712AFE" w:rsidRDefault="00730CC8" w:rsidP="00730CC8">
      <w:pPr>
        <w:spacing w:line="360" w:lineRule="auto"/>
        <w:rPr>
          <w:rFonts w:ascii="Times New Roman" w:hAnsi="Times New Roman" w:cs="Times New Roman"/>
          <w:b/>
          <w:bCs/>
          <w:sz w:val="28"/>
          <w:szCs w:val="28"/>
        </w:rPr>
      </w:pPr>
      <w:r w:rsidRPr="00712AFE">
        <w:rPr>
          <w:rFonts w:ascii="Times New Roman" w:hAnsi="Times New Roman" w:cs="Times New Roman"/>
          <w:b/>
          <w:bCs/>
          <w:sz w:val="28"/>
          <w:szCs w:val="28"/>
        </w:rPr>
        <w:t xml:space="preserve">RESULTS AND DISCUSSION </w:t>
      </w:r>
    </w:p>
    <w:p w14:paraId="0D1A1305" w14:textId="77777777" w:rsidR="00730CC8" w:rsidRPr="00712AFE" w:rsidRDefault="00730CC8" w:rsidP="00730CC8">
      <w:pPr>
        <w:spacing w:line="360" w:lineRule="auto"/>
        <w:rPr>
          <w:rFonts w:ascii="Times New Roman" w:hAnsi="Times New Roman" w:cs="Times New Roman"/>
          <w:b/>
          <w:bCs/>
          <w:sz w:val="26"/>
          <w:szCs w:val="26"/>
        </w:rPr>
      </w:pPr>
      <w:r w:rsidRPr="00712AFE">
        <w:rPr>
          <w:rFonts w:ascii="Times New Roman" w:hAnsi="Times New Roman" w:cs="Times New Roman"/>
          <w:b/>
          <w:bCs/>
          <w:sz w:val="26"/>
          <w:szCs w:val="26"/>
        </w:rPr>
        <w:t>Impact of combined application of irrigation and mulching on soil and leaf nutrient dynamics of mango</w:t>
      </w:r>
    </w:p>
    <w:p w14:paraId="3C5855B9" w14:textId="77777777"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Soil nutrient dynamics of mango</w:t>
      </w:r>
    </w:p>
    <w:p w14:paraId="23DD744F" w14:textId="77777777" w:rsidR="00730CC8" w:rsidRPr="00712AFE" w:rsidRDefault="00730CC8" w:rsidP="00730CC8">
      <w:pPr>
        <w:pStyle w:val="NormalWeb"/>
        <w:spacing w:line="360" w:lineRule="auto"/>
        <w:jc w:val="both"/>
      </w:pPr>
      <w:r w:rsidRPr="00712AFE">
        <w:t>The interaction between irrigation and mulching treatments did not show significant differences on available nitrogen, phosphorus, and potassium (NPK) content across the various phenophases (BBCH703, 705 and 709). However, the highest available nitrogen (222–315 kg ha</w:t>
      </w:r>
      <w:r w:rsidRPr="00712AFE">
        <w:rPr>
          <w:rFonts w:ascii="Cambria Math" w:hAnsi="Cambria Math"/>
        </w:rPr>
        <w:t>⁻</w:t>
      </w:r>
      <w:r w:rsidRPr="00712AFE">
        <w:t>¹), and lowest phosphorus (16.00–17.64 kg ha</w:t>
      </w:r>
      <w:r w:rsidRPr="00712AFE">
        <w:rPr>
          <w:rFonts w:ascii="Cambria Math" w:hAnsi="Cambria Math"/>
        </w:rPr>
        <w:t>⁻</w:t>
      </w:r>
      <w:r w:rsidRPr="00712AFE">
        <w:t>¹), and potassium (286.45–317.03 kg ha</w:t>
      </w:r>
      <w:r w:rsidRPr="00712AFE">
        <w:rPr>
          <w:rFonts w:ascii="Cambria Math" w:hAnsi="Cambria Math"/>
        </w:rPr>
        <w:t>⁻</w:t>
      </w:r>
      <w:r w:rsidRPr="00712AFE">
        <w:t>¹) were recorded with the application of 100% ETc combined with mulching. In contrast, the lowest available nitrogen (204–305 kg ha</w:t>
      </w:r>
      <w:r w:rsidRPr="00712AFE">
        <w:rPr>
          <w:rFonts w:ascii="Cambria Math" w:hAnsi="Cambria Math"/>
        </w:rPr>
        <w:t>⁻</w:t>
      </w:r>
      <w:r w:rsidRPr="00712AFE">
        <w:t>¹), high phosphorus (20.97–23.08 kg ha</w:t>
      </w:r>
      <w:r w:rsidRPr="00712AFE">
        <w:rPr>
          <w:rFonts w:ascii="Cambria Math" w:hAnsi="Cambria Math"/>
        </w:rPr>
        <w:t>⁻</w:t>
      </w:r>
      <w:r w:rsidRPr="00712AFE">
        <w:t>¹), and potassium (305.33–334.22 kg ha</w:t>
      </w:r>
      <w:r w:rsidRPr="00712AFE">
        <w:rPr>
          <w:rFonts w:ascii="Cambria Math" w:hAnsi="Cambria Math"/>
        </w:rPr>
        <w:t>⁻</w:t>
      </w:r>
      <w:r w:rsidRPr="00712AFE">
        <w:t xml:space="preserve">¹) were observed in the treatment 75% ETc without mulching (Table </w:t>
      </w:r>
      <w:r w:rsidR="00712AFE">
        <w:t>2</w:t>
      </w:r>
      <w:r w:rsidRPr="00712AFE">
        <w:t>).</w:t>
      </w:r>
    </w:p>
    <w:p w14:paraId="01C3D19F" w14:textId="0B47123C" w:rsidR="00712AFE" w:rsidRPr="00712AFE" w:rsidRDefault="00730CC8" w:rsidP="00A07959">
      <w:pPr>
        <w:pStyle w:val="NormalWeb"/>
        <w:spacing w:line="360" w:lineRule="auto"/>
        <w:jc w:val="both"/>
        <w:rPr>
          <w:b/>
          <w:bCs/>
        </w:rPr>
      </w:pPr>
      <w:r w:rsidRPr="00712AFE">
        <w:t xml:space="preserve">In this study, the increased available nitrogen content with higher irrigation along with mulching may be attributed due to greater soil moisture availability (Figure </w:t>
      </w:r>
      <w:r w:rsidR="00712AFE">
        <w:t>2</w:t>
      </w:r>
      <w:r w:rsidRPr="00712AFE">
        <w:t xml:space="preserve">). Additionally, mulches are effective in reducing nitrate leaching, improving soil physical properties, preventing erosion, regulating soil temperature, and enhancing water retention. These improved soil conditions likely enhanced biological activity </w:t>
      </w:r>
      <w:r w:rsidR="00601643">
        <w:t>[18, 19 and 20]</w:t>
      </w:r>
      <w:r w:rsidRPr="00712AFE">
        <w:t>, which contributed to increased nitrogen availability. However, the lowest available P</w:t>
      </w:r>
      <w:r w:rsidRPr="00712AFE">
        <w:rPr>
          <w:rFonts w:ascii="Cambria Math" w:hAnsi="Cambria Math"/>
        </w:rPr>
        <w:t>₂</w:t>
      </w:r>
      <w:r w:rsidRPr="00712AFE">
        <w:t>O</w:t>
      </w:r>
      <w:r w:rsidRPr="00712AFE">
        <w:rPr>
          <w:rFonts w:ascii="Cambria Math" w:hAnsi="Cambria Math"/>
        </w:rPr>
        <w:t>₅</w:t>
      </w:r>
      <w:r w:rsidRPr="00712AFE">
        <w:t xml:space="preserve"> and K</w:t>
      </w:r>
      <w:r w:rsidRPr="00712AFE">
        <w:rPr>
          <w:rFonts w:ascii="Cambria Math" w:hAnsi="Cambria Math"/>
        </w:rPr>
        <w:t>₂</w:t>
      </w:r>
      <w:r w:rsidRPr="00712AFE">
        <w:t>O were observed in plants treated with 100% ETc and mulching, possibly due to increased soil moistur</w:t>
      </w:r>
      <w:r w:rsidR="00744295">
        <w:t>e availability (13–16%) (Figure</w:t>
      </w:r>
      <w:r w:rsidRPr="00712AFE">
        <w:t xml:space="preserve"> </w:t>
      </w:r>
      <w:r w:rsidR="00712AFE">
        <w:t>2</w:t>
      </w:r>
      <w:r w:rsidRPr="00712AFE">
        <w:t xml:space="preserve">). Higher soil moisture may have enhanced the solubilization of mineral nutrients </w:t>
      </w:r>
      <w:r w:rsidR="00601643">
        <w:t>[21]</w:t>
      </w:r>
      <w:r w:rsidRPr="00712AFE">
        <w:t>, leading to improved fertilizer use efficiency (89.11 kg kg</w:t>
      </w:r>
      <w:r w:rsidRPr="00712AFE">
        <w:rPr>
          <w:rFonts w:ascii="Cambria Math" w:hAnsi="Cambria Math"/>
        </w:rPr>
        <w:t>⁻</w:t>
      </w:r>
      <w:r w:rsidRPr="00712AFE">
        <w:t>¹) (Table</w:t>
      </w:r>
      <w:r w:rsidR="00724D09">
        <w:t xml:space="preserve"> 4</w:t>
      </w:r>
      <w:r w:rsidRPr="00712AFE">
        <w:t>). This increased solubilization likely resulted in reduced available P</w:t>
      </w:r>
      <w:r w:rsidRPr="00712AFE">
        <w:rPr>
          <w:rFonts w:ascii="Cambria Math" w:hAnsi="Cambria Math"/>
        </w:rPr>
        <w:t>₂</w:t>
      </w:r>
      <w:r w:rsidRPr="00712AFE">
        <w:t>O</w:t>
      </w:r>
      <w:r w:rsidRPr="00712AFE">
        <w:rPr>
          <w:rFonts w:ascii="Cambria Math" w:hAnsi="Cambria Math"/>
        </w:rPr>
        <w:t>₅</w:t>
      </w:r>
      <w:r w:rsidRPr="00712AFE">
        <w:t xml:space="preserve"> and K</w:t>
      </w:r>
      <w:r w:rsidRPr="00712AFE">
        <w:rPr>
          <w:rFonts w:ascii="Cambria Math" w:hAnsi="Cambria Math"/>
        </w:rPr>
        <w:t>₂</w:t>
      </w:r>
      <w:r w:rsidRPr="00712AFE">
        <w:t>O in the soil. Similar findings were reported in mango</w:t>
      </w:r>
      <w:r w:rsidR="00601643">
        <w:t xml:space="preserve"> [22] and</w:t>
      </w:r>
      <w:r w:rsidRPr="00712AFE">
        <w:t xml:space="preserve"> </w:t>
      </w:r>
      <w:r w:rsidR="00601643">
        <w:t>in litchi [23]</w:t>
      </w:r>
      <w:r w:rsidRPr="00712AFE">
        <w:t>.</w:t>
      </w:r>
    </w:p>
    <w:p w14:paraId="504D68D9" w14:textId="77777777" w:rsidR="00712AFE" w:rsidRPr="00712AFE" w:rsidRDefault="00712AFE" w:rsidP="00730CC8">
      <w:pPr>
        <w:spacing w:line="360" w:lineRule="auto"/>
        <w:rPr>
          <w:rFonts w:ascii="Times New Roman" w:hAnsi="Times New Roman" w:cs="Times New Roman"/>
          <w:b/>
          <w:bCs/>
          <w:sz w:val="24"/>
          <w:szCs w:val="24"/>
        </w:rPr>
        <w:sectPr w:rsidR="00712AFE" w:rsidRPr="00712AFE" w:rsidSect="00574093">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08" w:footer="708" w:gutter="0"/>
          <w:cols w:space="708"/>
          <w:docGrid w:linePitch="360"/>
        </w:sectPr>
      </w:pPr>
    </w:p>
    <w:p w14:paraId="44BC2D7E" w14:textId="77777777" w:rsidR="00712AFE" w:rsidRPr="00712AFE" w:rsidRDefault="00712AFE" w:rsidP="003B66EB">
      <w:pPr>
        <w:spacing w:line="360" w:lineRule="auto"/>
        <w:ind w:left="144" w:hanging="144"/>
        <w:rPr>
          <w:rFonts w:ascii="Times New Roman" w:hAnsi="Times New Roman" w:cs="Times New Roman"/>
          <w:b/>
          <w:bCs/>
        </w:rPr>
      </w:pPr>
      <w:r w:rsidRPr="00712AFE">
        <w:rPr>
          <w:rFonts w:ascii="Times New Roman" w:hAnsi="Times New Roman" w:cs="Times New Roman"/>
          <w:b/>
          <w:bCs/>
        </w:rPr>
        <w:lastRenderedPageBreak/>
        <w:t xml:space="preserve">Table </w:t>
      </w:r>
      <w:r>
        <w:rPr>
          <w:rFonts w:ascii="Times New Roman" w:hAnsi="Times New Roman" w:cs="Times New Roman"/>
          <w:b/>
          <w:bCs/>
        </w:rPr>
        <w:t>2</w:t>
      </w:r>
      <w:r w:rsidRPr="00712AFE">
        <w:rPr>
          <w:rFonts w:ascii="Times New Roman" w:hAnsi="Times New Roman" w:cs="Times New Roman"/>
          <w:b/>
          <w:bCs/>
        </w:rPr>
        <w:t>: Available of nitrogen content (kg ha</w:t>
      </w:r>
      <w:r w:rsidRPr="00712AFE">
        <w:rPr>
          <w:rFonts w:ascii="Times New Roman" w:hAnsi="Times New Roman" w:cs="Times New Roman"/>
          <w:b/>
          <w:bCs/>
          <w:vertAlign w:val="superscript"/>
        </w:rPr>
        <w:t>-1</w:t>
      </w:r>
      <w:r w:rsidRPr="00712AFE">
        <w:rPr>
          <w:rFonts w:ascii="Times New Roman" w:hAnsi="Times New Roman" w:cs="Times New Roman"/>
          <w:b/>
          <w:bCs/>
        </w:rPr>
        <w:t>) different phenophases of fruit development</w:t>
      </w:r>
    </w:p>
    <w:p w14:paraId="022A1165" w14:textId="77777777" w:rsidR="00712AFE" w:rsidRPr="00712AFE" w:rsidRDefault="00712AFE" w:rsidP="003B66EB">
      <w:pPr>
        <w:spacing w:line="360" w:lineRule="auto"/>
        <w:ind w:left="144" w:hanging="144"/>
        <w:rPr>
          <w:rFonts w:ascii="Times New Roman" w:hAnsi="Times New Roman" w:cs="Times New Roman"/>
          <w:b/>
          <w:bCs/>
        </w:rPr>
      </w:pPr>
    </w:p>
    <w:tbl>
      <w:tblPr>
        <w:tblStyle w:val="TableGrid"/>
        <w:tblW w:w="14722" w:type="dxa"/>
        <w:tblLayout w:type="fixed"/>
        <w:tblLook w:val="04A0" w:firstRow="1" w:lastRow="0" w:firstColumn="1" w:lastColumn="0" w:noHBand="0" w:noVBand="1"/>
      </w:tblPr>
      <w:tblGrid>
        <w:gridCol w:w="2718"/>
        <w:gridCol w:w="1260"/>
        <w:gridCol w:w="1350"/>
        <w:gridCol w:w="1139"/>
        <w:gridCol w:w="1273"/>
        <w:gridCol w:w="1495"/>
        <w:gridCol w:w="1344"/>
        <w:gridCol w:w="1190"/>
        <w:gridCol w:w="1614"/>
        <w:gridCol w:w="1339"/>
      </w:tblGrid>
      <w:tr w:rsidR="00712AFE" w:rsidRPr="00712AFE" w14:paraId="3A6E15CF" w14:textId="77777777" w:rsidTr="00B50E84">
        <w:trPr>
          <w:trHeight w:val="73"/>
        </w:trPr>
        <w:tc>
          <w:tcPr>
            <w:tcW w:w="2718" w:type="dxa"/>
            <w:vMerge w:val="restart"/>
            <w:noWrap/>
            <w:vAlign w:val="center"/>
            <w:hideMark/>
          </w:tcPr>
          <w:p w14:paraId="22EA0245" w14:textId="77777777"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Treatments</w:t>
            </w:r>
          </w:p>
        </w:tc>
        <w:tc>
          <w:tcPr>
            <w:tcW w:w="3749" w:type="dxa"/>
            <w:gridSpan w:val="3"/>
            <w:vAlign w:val="center"/>
          </w:tcPr>
          <w:p w14:paraId="0665DBDA" w14:textId="77777777"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rPr>
              <w:t>Available of nitrogen content (kg ha</w:t>
            </w:r>
            <w:r w:rsidRPr="00712AFE">
              <w:rPr>
                <w:rFonts w:ascii="Times New Roman" w:hAnsi="Times New Roman" w:cs="Times New Roman"/>
                <w:b/>
                <w:bCs/>
                <w:vertAlign w:val="superscript"/>
              </w:rPr>
              <w:t>-1</w:t>
            </w:r>
            <w:r w:rsidRPr="00712AFE">
              <w:rPr>
                <w:rFonts w:ascii="Times New Roman" w:hAnsi="Times New Roman" w:cs="Times New Roman"/>
                <w:b/>
                <w:bCs/>
              </w:rPr>
              <w:t>)</w:t>
            </w:r>
          </w:p>
        </w:tc>
        <w:tc>
          <w:tcPr>
            <w:tcW w:w="4112" w:type="dxa"/>
            <w:gridSpan w:val="3"/>
            <w:vAlign w:val="center"/>
          </w:tcPr>
          <w:p w14:paraId="0CAFE8F4" w14:textId="77777777" w:rsidR="00712AFE" w:rsidRPr="00712AFE" w:rsidRDefault="00712AFE" w:rsidP="003B66EB">
            <w:pPr>
              <w:spacing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rPr>
              <w:t>Available of phosphorus content (kg ha</w:t>
            </w:r>
            <w:r w:rsidRPr="00712AFE">
              <w:rPr>
                <w:rFonts w:ascii="Times New Roman" w:hAnsi="Times New Roman" w:cs="Times New Roman"/>
                <w:b/>
                <w:bCs/>
                <w:vertAlign w:val="superscript"/>
              </w:rPr>
              <w:t>-1</w:t>
            </w:r>
            <w:r w:rsidRPr="00712AFE">
              <w:rPr>
                <w:rFonts w:ascii="Times New Roman" w:hAnsi="Times New Roman" w:cs="Times New Roman"/>
                <w:b/>
                <w:bCs/>
              </w:rPr>
              <w:t>) in</w:t>
            </w:r>
          </w:p>
        </w:tc>
        <w:tc>
          <w:tcPr>
            <w:tcW w:w="4143" w:type="dxa"/>
            <w:gridSpan w:val="3"/>
            <w:vAlign w:val="center"/>
          </w:tcPr>
          <w:p w14:paraId="5388994E" w14:textId="77777777" w:rsidR="00712AFE" w:rsidRPr="00712AFE" w:rsidRDefault="00712AFE" w:rsidP="003B66EB">
            <w:pPr>
              <w:spacing w:line="360" w:lineRule="auto"/>
              <w:ind w:left="144"/>
              <w:jc w:val="center"/>
              <w:rPr>
                <w:rFonts w:ascii="Times New Roman" w:hAnsi="Times New Roman" w:cs="Times New Roman"/>
                <w:b/>
                <w:bCs/>
              </w:rPr>
            </w:pPr>
            <w:r w:rsidRPr="00712AFE">
              <w:rPr>
                <w:rFonts w:ascii="Times New Roman" w:hAnsi="Times New Roman" w:cs="Times New Roman"/>
                <w:b/>
                <w:bCs/>
              </w:rPr>
              <w:t>Available of potassium content (kg ha</w:t>
            </w:r>
            <w:r w:rsidRPr="00712AFE">
              <w:rPr>
                <w:rFonts w:ascii="Times New Roman" w:hAnsi="Times New Roman" w:cs="Times New Roman"/>
                <w:b/>
                <w:bCs/>
                <w:vertAlign w:val="superscript"/>
              </w:rPr>
              <w:t>-1</w:t>
            </w:r>
            <w:r w:rsidRPr="00712AFE">
              <w:rPr>
                <w:rFonts w:ascii="Times New Roman" w:hAnsi="Times New Roman" w:cs="Times New Roman"/>
                <w:b/>
                <w:bCs/>
              </w:rPr>
              <w:t>)</w:t>
            </w:r>
          </w:p>
        </w:tc>
      </w:tr>
      <w:tr w:rsidR="00712AFE" w:rsidRPr="00712AFE" w14:paraId="7EDFC710" w14:textId="77777777" w:rsidTr="00B50E84">
        <w:trPr>
          <w:trHeight w:val="68"/>
        </w:trPr>
        <w:tc>
          <w:tcPr>
            <w:tcW w:w="2718" w:type="dxa"/>
            <w:vMerge/>
            <w:noWrap/>
            <w:hideMark/>
          </w:tcPr>
          <w:p w14:paraId="2C478330" w14:textId="77777777" w:rsidR="00712AFE" w:rsidRPr="00712AFE" w:rsidRDefault="00712AFE" w:rsidP="003B66EB">
            <w:pPr>
              <w:spacing w:line="360" w:lineRule="auto"/>
              <w:ind w:left="144"/>
              <w:jc w:val="center"/>
              <w:rPr>
                <w:rFonts w:ascii="Times New Roman" w:hAnsi="Times New Roman" w:cs="Times New Roman"/>
                <w:b/>
                <w:bCs/>
                <w:color w:val="000000" w:themeColor="text1"/>
              </w:rPr>
            </w:pPr>
          </w:p>
        </w:tc>
        <w:tc>
          <w:tcPr>
            <w:tcW w:w="1260" w:type="dxa"/>
            <w:noWrap/>
            <w:vAlign w:val="center"/>
            <w:hideMark/>
          </w:tcPr>
          <w:p w14:paraId="4E808BDF" w14:textId="77777777"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350" w:type="dxa"/>
            <w:noWrap/>
            <w:vAlign w:val="center"/>
            <w:hideMark/>
          </w:tcPr>
          <w:p w14:paraId="3482D622" w14:textId="77777777"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139" w:type="dxa"/>
            <w:noWrap/>
            <w:vAlign w:val="center"/>
            <w:hideMark/>
          </w:tcPr>
          <w:p w14:paraId="1A5DB450" w14:textId="77777777"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c>
          <w:tcPr>
            <w:tcW w:w="1273" w:type="dxa"/>
            <w:vAlign w:val="center"/>
          </w:tcPr>
          <w:p w14:paraId="17DB325D" w14:textId="77777777"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495" w:type="dxa"/>
            <w:vAlign w:val="center"/>
          </w:tcPr>
          <w:p w14:paraId="4F27D055" w14:textId="77777777"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344" w:type="dxa"/>
            <w:vAlign w:val="center"/>
          </w:tcPr>
          <w:p w14:paraId="45702FB6" w14:textId="77777777"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c>
          <w:tcPr>
            <w:tcW w:w="1190" w:type="dxa"/>
            <w:vAlign w:val="center"/>
          </w:tcPr>
          <w:p w14:paraId="7BE322FE" w14:textId="77777777"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BBCH-703</w:t>
            </w:r>
          </w:p>
        </w:tc>
        <w:tc>
          <w:tcPr>
            <w:tcW w:w="1614" w:type="dxa"/>
            <w:vAlign w:val="center"/>
          </w:tcPr>
          <w:p w14:paraId="53C26E39" w14:textId="77777777"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BBCH-705</w:t>
            </w:r>
          </w:p>
        </w:tc>
        <w:tc>
          <w:tcPr>
            <w:tcW w:w="1339" w:type="dxa"/>
            <w:vAlign w:val="center"/>
          </w:tcPr>
          <w:p w14:paraId="650B5599" w14:textId="77777777"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BCH-709</w:t>
            </w:r>
          </w:p>
        </w:tc>
      </w:tr>
      <w:tr w:rsidR="00712AFE" w:rsidRPr="00712AFE" w14:paraId="0801AFF7" w14:textId="77777777" w:rsidTr="00B50E84">
        <w:trPr>
          <w:trHeight w:val="68"/>
        </w:trPr>
        <w:tc>
          <w:tcPr>
            <w:tcW w:w="2718" w:type="dxa"/>
            <w:noWrap/>
            <w:hideMark/>
          </w:tcPr>
          <w:p w14:paraId="69E4B402" w14:textId="77777777"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without mulch</w:t>
            </w:r>
          </w:p>
        </w:tc>
        <w:tc>
          <w:tcPr>
            <w:tcW w:w="1260" w:type="dxa"/>
            <w:noWrap/>
            <w:vAlign w:val="center"/>
            <w:hideMark/>
          </w:tcPr>
          <w:p w14:paraId="05DAB308"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204.3</w:t>
            </w:r>
            <w:r w:rsidRPr="00712AFE">
              <w:rPr>
                <w:rFonts w:ascii="Times New Roman" w:hAnsi="Times New Roman" w:cs="Times New Roman"/>
                <w:color w:val="000000"/>
                <w:vertAlign w:val="superscript"/>
              </w:rPr>
              <w:t>a</w:t>
            </w:r>
          </w:p>
        </w:tc>
        <w:tc>
          <w:tcPr>
            <w:tcW w:w="1350" w:type="dxa"/>
            <w:noWrap/>
            <w:vAlign w:val="center"/>
            <w:hideMark/>
          </w:tcPr>
          <w:p w14:paraId="3212E883"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207.72</w:t>
            </w:r>
            <w:r w:rsidRPr="00712AFE">
              <w:rPr>
                <w:rFonts w:ascii="Times New Roman" w:hAnsi="Times New Roman" w:cs="Times New Roman"/>
                <w:color w:val="000000"/>
                <w:vertAlign w:val="superscript"/>
              </w:rPr>
              <w:t xml:space="preserve"> a</w:t>
            </w:r>
          </w:p>
        </w:tc>
        <w:tc>
          <w:tcPr>
            <w:tcW w:w="1139" w:type="dxa"/>
            <w:noWrap/>
            <w:vAlign w:val="center"/>
            <w:hideMark/>
          </w:tcPr>
          <w:p w14:paraId="1A6EC2AF"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257.47</w:t>
            </w:r>
            <w:r w:rsidRPr="00712AFE">
              <w:rPr>
                <w:rFonts w:ascii="Times New Roman" w:hAnsi="Times New Roman" w:cs="Times New Roman"/>
                <w:color w:val="000000"/>
                <w:vertAlign w:val="superscript"/>
              </w:rPr>
              <w:t xml:space="preserve"> a</w:t>
            </w:r>
          </w:p>
        </w:tc>
        <w:tc>
          <w:tcPr>
            <w:tcW w:w="1273" w:type="dxa"/>
            <w:vAlign w:val="center"/>
          </w:tcPr>
          <w:p w14:paraId="262F65EE"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20.97</w:t>
            </w:r>
            <w:r w:rsidRPr="00712AFE">
              <w:rPr>
                <w:rFonts w:ascii="Times New Roman" w:hAnsi="Times New Roman" w:cs="Times New Roman"/>
                <w:color w:val="000000"/>
                <w:vertAlign w:val="superscript"/>
              </w:rPr>
              <w:t xml:space="preserve"> a</w:t>
            </w:r>
          </w:p>
        </w:tc>
        <w:tc>
          <w:tcPr>
            <w:tcW w:w="1495" w:type="dxa"/>
            <w:vAlign w:val="center"/>
          </w:tcPr>
          <w:p w14:paraId="03661157"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20.93</w:t>
            </w:r>
            <w:r w:rsidRPr="00712AFE">
              <w:rPr>
                <w:rFonts w:ascii="Times New Roman" w:hAnsi="Times New Roman" w:cs="Times New Roman"/>
                <w:color w:val="000000"/>
                <w:vertAlign w:val="superscript"/>
              </w:rPr>
              <w:t xml:space="preserve"> a</w:t>
            </w:r>
          </w:p>
        </w:tc>
        <w:tc>
          <w:tcPr>
            <w:tcW w:w="1344" w:type="dxa"/>
            <w:vAlign w:val="center"/>
          </w:tcPr>
          <w:p w14:paraId="7DB3DAB8"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23.08</w:t>
            </w:r>
            <w:r w:rsidRPr="00712AFE">
              <w:rPr>
                <w:rFonts w:ascii="Times New Roman" w:hAnsi="Times New Roman" w:cs="Times New Roman"/>
                <w:color w:val="000000"/>
                <w:vertAlign w:val="superscript"/>
              </w:rPr>
              <w:t xml:space="preserve"> a</w:t>
            </w:r>
          </w:p>
        </w:tc>
        <w:tc>
          <w:tcPr>
            <w:tcW w:w="1190" w:type="dxa"/>
            <w:vAlign w:val="center"/>
          </w:tcPr>
          <w:p w14:paraId="77DAB3CF"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305.33</w:t>
            </w:r>
            <w:r w:rsidRPr="00712AFE">
              <w:rPr>
                <w:rFonts w:ascii="Times New Roman" w:hAnsi="Times New Roman" w:cs="Times New Roman"/>
                <w:color w:val="000000"/>
                <w:vertAlign w:val="superscript"/>
              </w:rPr>
              <w:t xml:space="preserve"> a</w:t>
            </w:r>
          </w:p>
        </w:tc>
        <w:tc>
          <w:tcPr>
            <w:tcW w:w="1614" w:type="dxa"/>
            <w:vAlign w:val="center"/>
          </w:tcPr>
          <w:p w14:paraId="1C310CDB"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334.22</w:t>
            </w:r>
            <w:r w:rsidRPr="00712AFE">
              <w:rPr>
                <w:rFonts w:ascii="Times New Roman" w:hAnsi="Times New Roman" w:cs="Times New Roman"/>
                <w:color w:val="000000"/>
                <w:vertAlign w:val="superscript"/>
              </w:rPr>
              <w:t xml:space="preserve"> a</w:t>
            </w:r>
          </w:p>
        </w:tc>
        <w:tc>
          <w:tcPr>
            <w:tcW w:w="1339" w:type="dxa"/>
            <w:vAlign w:val="center"/>
          </w:tcPr>
          <w:p w14:paraId="20C6DC64"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327.76</w:t>
            </w:r>
          </w:p>
        </w:tc>
      </w:tr>
      <w:tr w:rsidR="00712AFE" w:rsidRPr="00712AFE" w14:paraId="75A72177" w14:textId="77777777" w:rsidTr="00B50E84">
        <w:trPr>
          <w:trHeight w:val="68"/>
        </w:trPr>
        <w:tc>
          <w:tcPr>
            <w:tcW w:w="2718" w:type="dxa"/>
            <w:noWrap/>
            <w:hideMark/>
          </w:tcPr>
          <w:p w14:paraId="43C83CB8" w14:textId="77777777"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 mulch</w:t>
            </w:r>
          </w:p>
        </w:tc>
        <w:tc>
          <w:tcPr>
            <w:tcW w:w="1260" w:type="dxa"/>
            <w:noWrap/>
            <w:vAlign w:val="center"/>
            <w:hideMark/>
          </w:tcPr>
          <w:p w14:paraId="73CE3C34"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210.7</w:t>
            </w:r>
            <w:r w:rsidRPr="00712AFE">
              <w:rPr>
                <w:rFonts w:ascii="Times New Roman" w:hAnsi="Times New Roman" w:cs="Times New Roman"/>
                <w:color w:val="000000"/>
                <w:vertAlign w:val="superscript"/>
              </w:rPr>
              <w:t xml:space="preserve"> a</w:t>
            </w:r>
          </w:p>
        </w:tc>
        <w:tc>
          <w:tcPr>
            <w:tcW w:w="1350" w:type="dxa"/>
            <w:noWrap/>
            <w:vAlign w:val="center"/>
            <w:hideMark/>
          </w:tcPr>
          <w:p w14:paraId="49E87D2B"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212.74</w:t>
            </w:r>
            <w:r w:rsidRPr="00712AFE">
              <w:rPr>
                <w:rFonts w:ascii="Times New Roman" w:hAnsi="Times New Roman" w:cs="Times New Roman"/>
                <w:color w:val="000000"/>
                <w:vertAlign w:val="superscript"/>
              </w:rPr>
              <w:t xml:space="preserve"> a</w:t>
            </w:r>
          </w:p>
        </w:tc>
        <w:tc>
          <w:tcPr>
            <w:tcW w:w="1139" w:type="dxa"/>
            <w:noWrap/>
            <w:vAlign w:val="center"/>
            <w:hideMark/>
          </w:tcPr>
          <w:p w14:paraId="7716B236"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262.55</w:t>
            </w:r>
            <w:r w:rsidRPr="00712AFE">
              <w:rPr>
                <w:rFonts w:ascii="Times New Roman" w:hAnsi="Times New Roman" w:cs="Times New Roman"/>
                <w:color w:val="000000"/>
                <w:vertAlign w:val="superscript"/>
              </w:rPr>
              <w:t xml:space="preserve"> a</w:t>
            </w:r>
          </w:p>
        </w:tc>
        <w:tc>
          <w:tcPr>
            <w:tcW w:w="1273" w:type="dxa"/>
            <w:vAlign w:val="center"/>
          </w:tcPr>
          <w:p w14:paraId="3CBFA86B"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19.76</w:t>
            </w:r>
            <w:r w:rsidRPr="00712AFE">
              <w:rPr>
                <w:rFonts w:ascii="Times New Roman" w:hAnsi="Times New Roman" w:cs="Times New Roman"/>
                <w:color w:val="000000"/>
                <w:vertAlign w:val="superscript"/>
              </w:rPr>
              <w:t xml:space="preserve"> a</w:t>
            </w:r>
          </w:p>
        </w:tc>
        <w:tc>
          <w:tcPr>
            <w:tcW w:w="1495" w:type="dxa"/>
            <w:vAlign w:val="center"/>
          </w:tcPr>
          <w:p w14:paraId="1FACF2CE"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17.87</w:t>
            </w:r>
            <w:r w:rsidRPr="00712AFE">
              <w:rPr>
                <w:rFonts w:ascii="Times New Roman" w:hAnsi="Times New Roman" w:cs="Times New Roman"/>
                <w:color w:val="000000"/>
                <w:vertAlign w:val="superscript"/>
              </w:rPr>
              <w:t xml:space="preserve"> a</w:t>
            </w:r>
          </w:p>
        </w:tc>
        <w:tc>
          <w:tcPr>
            <w:tcW w:w="1344" w:type="dxa"/>
            <w:vAlign w:val="center"/>
          </w:tcPr>
          <w:p w14:paraId="48EB8BD2"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19.95</w:t>
            </w:r>
            <w:r w:rsidRPr="00712AFE">
              <w:rPr>
                <w:rFonts w:ascii="Times New Roman" w:hAnsi="Times New Roman" w:cs="Times New Roman"/>
                <w:color w:val="000000"/>
                <w:vertAlign w:val="superscript"/>
              </w:rPr>
              <w:t xml:space="preserve"> a</w:t>
            </w:r>
          </w:p>
        </w:tc>
        <w:tc>
          <w:tcPr>
            <w:tcW w:w="1190" w:type="dxa"/>
            <w:vAlign w:val="center"/>
          </w:tcPr>
          <w:p w14:paraId="0F5FDFF8"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294.29</w:t>
            </w:r>
            <w:r w:rsidRPr="00712AFE">
              <w:rPr>
                <w:rFonts w:ascii="Times New Roman" w:hAnsi="Times New Roman" w:cs="Times New Roman"/>
                <w:color w:val="000000"/>
                <w:vertAlign w:val="superscript"/>
              </w:rPr>
              <w:t xml:space="preserve"> a</w:t>
            </w:r>
          </w:p>
        </w:tc>
        <w:tc>
          <w:tcPr>
            <w:tcW w:w="1614" w:type="dxa"/>
            <w:vAlign w:val="center"/>
          </w:tcPr>
          <w:p w14:paraId="6C1FD70D"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315.44</w:t>
            </w:r>
            <w:r w:rsidRPr="00712AFE">
              <w:rPr>
                <w:rFonts w:ascii="Times New Roman" w:hAnsi="Times New Roman" w:cs="Times New Roman"/>
                <w:color w:val="000000"/>
                <w:vertAlign w:val="superscript"/>
              </w:rPr>
              <w:t xml:space="preserve"> a</w:t>
            </w:r>
          </w:p>
        </w:tc>
        <w:tc>
          <w:tcPr>
            <w:tcW w:w="1339" w:type="dxa"/>
            <w:vAlign w:val="center"/>
          </w:tcPr>
          <w:p w14:paraId="1C8A0323"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325.85</w:t>
            </w:r>
            <w:r w:rsidRPr="00712AFE">
              <w:rPr>
                <w:rFonts w:ascii="Times New Roman" w:hAnsi="Times New Roman" w:cs="Times New Roman"/>
                <w:color w:val="000000"/>
                <w:vertAlign w:val="superscript"/>
              </w:rPr>
              <w:t xml:space="preserve"> a</w:t>
            </w:r>
          </w:p>
        </w:tc>
      </w:tr>
      <w:tr w:rsidR="00712AFE" w:rsidRPr="00712AFE" w14:paraId="2FF03E41" w14:textId="77777777" w:rsidTr="00B50E84">
        <w:trPr>
          <w:trHeight w:val="68"/>
        </w:trPr>
        <w:tc>
          <w:tcPr>
            <w:tcW w:w="2718" w:type="dxa"/>
            <w:noWrap/>
            <w:hideMark/>
          </w:tcPr>
          <w:p w14:paraId="27BBC493" w14:textId="77777777"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without mulch</w:t>
            </w:r>
          </w:p>
        </w:tc>
        <w:tc>
          <w:tcPr>
            <w:tcW w:w="1260" w:type="dxa"/>
            <w:noWrap/>
            <w:vAlign w:val="center"/>
            <w:hideMark/>
          </w:tcPr>
          <w:p w14:paraId="6970F612"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197.9</w:t>
            </w:r>
            <w:r w:rsidRPr="00712AFE">
              <w:rPr>
                <w:rFonts w:ascii="Times New Roman" w:hAnsi="Times New Roman" w:cs="Times New Roman"/>
                <w:color w:val="000000"/>
                <w:vertAlign w:val="superscript"/>
              </w:rPr>
              <w:t xml:space="preserve"> a</w:t>
            </w:r>
          </w:p>
        </w:tc>
        <w:tc>
          <w:tcPr>
            <w:tcW w:w="1350" w:type="dxa"/>
            <w:noWrap/>
            <w:vAlign w:val="center"/>
            <w:hideMark/>
          </w:tcPr>
          <w:p w14:paraId="2D9CF2FF"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211.83</w:t>
            </w:r>
            <w:r w:rsidRPr="00712AFE">
              <w:rPr>
                <w:rFonts w:ascii="Times New Roman" w:hAnsi="Times New Roman" w:cs="Times New Roman"/>
                <w:color w:val="000000"/>
                <w:vertAlign w:val="superscript"/>
              </w:rPr>
              <w:t xml:space="preserve"> a</w:t>
            </w:r>
          </w:p>
        </w:tc>
        <w:tc>
          <w:tcPr>
            <w:tcW w:w="1139" w:type="dxa"/>
            <w:noWrap/>
            <w:vAlign w:val="center"/>
            <w:hideMark/>
          </w:tcPr>
          <w:p w14:paraId="7922EE09"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254.47</w:t>
            </w:r>
            <w:r w:rsidRPr="00712AFE">
              <w:rPr>
                <w:rFonts w:ascii="Times New Roman" w:hAnsi="Times New Roman" w:cs="Times New Roman"/>
                <w:color w:val="000000"/>
                <w:vertAlign w:val="superscript"/>
              </w:rPr>
              <w:t xml:space="preserve"> a</w:t>
            </w:r>
          </w:p>
        </w:tc>
        <w:tc>
          <w:tcPr>
            <w:tcW w:w="1273" w:type="dxa"/>
            <w:vAlign w:val="center"/>
          </w:tcPr>
          <w:p w14:paraId="4C12C176"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18.4</w:t>
            </w:r>
            <w:r w:rsidRPr="00712AFE">
              <w:rPr>
                <w:rFonts w:ascii="Times New Roman" w:hAnsi="Times New Roman" w:cs="Times New Roman"/>
                <w:color w:val="000000"/>
                <w:vertAlign w:val="superscript"/>
              </w:rPr>
              <w:t xml:space="preserve"> a</w:t>
            </w:r>
          </w:p>
        </w:tc>
        <w:tc>
          <w:tcPr>
            <w:tcW w:w="1495" w:type="dxa"/>
            <w:vAlign w:val="center"/>
          </w:tcPr>
          <w:p w14:paraId="06949ED1"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17.29</w:t>
            </w:r>
            <w:r w:rsidRPr="00712AFE">
              <w:rPr>
                <w:rFonts w:ascii="Times New Roman" w:hAnsi="Times New Roman" w:cs="Times New Roman"/>
                <w:color w:val="000000"/>
                <w:vertAlign w:val="superscript"/>
              </w:rPr>
              <w:t xml:space="preserve"> a</w:t>
            </w:r>
          </w:p>
        </w:tc>
        <w:tc>
          <w:tcPr>
            <w:tcW w:w="1344" w:type="dxa"/>
            <w:vAlign w:val="center"/>
          </w:tcPr>
          <w:p w14:paraId="0E9D6E54"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21.33</w:t>
            </w:r>
            <w:r w:rsidRPr="00712AFE">
              <w:rPr>
                <w:rFonts w:ascii="Times New Roman" w:hAnsi="Times New Roman" w:cs="Times New Roman"/>
                <w:color w:val="000000"/>
                <w:vertAlign w:val="superscript"/>
              </w:rPr>
              <w:t xml:space="preserve"> a</w:t>
            </w:r>
          </w:p>
        </w:tc>
        <w:tc>
          <w:tcPr>
            <w:tcW w:w="1190" w:type="dxa"/>
            <w:vAlign w:val="center"/>
          </w:tcPr>
          <w:p w14:paraId="489E3B0C"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290.5</w:t>
            </w:r>
            <w:r w:rsidRPr="00712AFE">
              <w:rPr>
                <w:rFonts w:ascii="Times New Roman" w:hAnsi="Times New Roman" w:cs="Times New Roman"/>
                <w:color w:val="000000"/>
                <w:vertAlign w:val="superscript"/>
              </w:rPr>
              <w:t xml:space="preserve"> a</w:t>
            </w:r>
          </w:p>
        </w:tc>
        <w:tc>
          <w:tcPr>
            <w:tcW w:w="1614" w:type="dxa"/>
            <w:vAlign w:val="center"/>
          </w:tcPr>
          <w:p w14:paraId="794C0D7A"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322.24</w:t>
            </w:r>
            <w:r w:rsidRPr="00712AFE">
              <w:rPr>
                <w:rFonts w:ascii="Times New Roman" w:hAnsi="Times New Roman" w:cs="Times New Roman"/>
                <w:color w:val="000000"/>
                <w:vertAlign w:val="superscript"/>
              </w:rPr>
              <w:t xml:space="preserve"> a</w:t>
            </w:r>
          </w:p>
        </w:tc>
        <w:tc>
          <w:tcPr>
            <w:tcW w:w="1339" w:type="dxa"/>
            <w:vAlign w:val="center"/>
          </w:tcPr>
          <w:p w14:paraId="75AE0484"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325.9</w:t>
            </w:r>
            <w:r w:rsidRPr="00712AFE">
              <w:rPr>
                <w:rFonts w:ascii="Times New Roman" w:hAnsi="Times New Roman" w:cs="Times New Roman"/>
                <w:color w:val="000000"/>
                <w:vertAlign w:val="superscript"/>
              </w:rPr>
              <w:t xml:space="preserve"> a</w:t>
            </w:r>
          </w:p>
        </w:tc>
      </w:tr>
      <w:tr w:rsidR="00712AFE" w:rsidRPr="00712AFE" w14:paraId="0C416637" w14:textId="77777777" w:rsidTr="00B50E84">
        <w:trPr>
          <w:trHeight w:val="68"/>
        </w:trPr>
        <w:tc>
          <w:tcPr>
            <w:tcW w:w="2718" w:type="dxa"/>
            <w:noWrap/>
            <w:hideMark/>
          </w:tcPr>
          <w:p w14:paraId="2E9118A9" w14:textId="77777777"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 mulch</w:t>
            </w:r>
          </w:p>
        </w:tc>
        <w:tc>
          <w:tcPr>
            <w:tcW w:w="1260" w:type="dxa"/>
            <w:noWrap/>
            <w:vAlign w:val="center"/>
            <w:hideMark/>
          </w:tcPr>
          <w:p w14:paraId="0F6BC518"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225.8</w:t>
            </w:r>
            <w:r w:rsidRPr="00712AFE">
              <w:rPr>
                <w:rFonts w:ascii="Times New Roman" w:hAnsi="Times New Roman" w:cs="Times New Roman"/>
                <w:color w:val="000000"/>
                <w:vertAlign w:val="superscript"/>
              </w:rPr>
              <w:t xml:space="preserve"> a</w:t>
            </w:r>
          </w:p>
        </w:tc>
        <w:tc>
          <w:tcPr>
            <w:tcW w:w="1350" w:type="dxa"/>
            <w:noWrap/>
            <w:vAlign w:val="center"/>
            <w:hideMark/>
          </w:tcPr>
          <w:p w14:paraId="3474D7F3"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222.65</w:t>
            </w:r>
            <w:r w:rsidRPr="00712AFE">
              <w:rPr>
                <w:rFonts w:ascii="Times New Roman" w:hAnsi="Times New Roman" w:cs="Times New Roman"/>
                <w:color w:val="000000"/>
                <w:vertAlign w:val="superscript"/>
              </w:rPr>
              <w:t xml:space="preserve"> a</w:t>
            </w:r>
          </w:p>
        </w:tc>
        <w:tc>
          <w:tcPr>
            <w:tcW w:w="1139" w:type="dxa"/>
            <w:noWrap/>
            <w:vAlign w:val="center"/>
            <w:hideMark/>
          </w:tcPr>
          <w:p w14:paraId="018D61E5"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268.36</w:t>
            </w:r>
            <w:r w:rsidRPr="00712AFE">
              <w:rPr>
                <w:rFonts w:ascii="Times New Roman" w:hAnsi="Times New Roman" w:cs="Times New Roman"/>
                <w:color w:val="000000"/>
                <w:vertAlign w:val="superscript"/>
              </w:rPr>
              <w:t xml:space="preserve"> a</w:t>
            </w:r>
          </w:p>
        </w:tc>
        <w:tc>
          <w:tcPr>
            <w:tcW w:w="1273" w:type="dxa"/>
            <w:vAlign w:val="center"/>
          </w:tcPr>
          <w:p w14:paraId="27F12EC9"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17.64</w:t>
            </w:r>
            <w:r w:rsidRPr="00712AFE">
              <w:rPr>
                <w:rFonts w:ascii="Times New Roman" w:hAnsi="Times New Roman" w:cs="Times New Roman"/>
                <w:color w:val="000000"/>
                <w:vertAlign w:val="superscript"/>
              </w:rPr>
              <w:t xml:space="preserve"> a</w:t>
            </w:r>
          </w:p>
        </w:tc>
        <w:tc>
          <w:tcPr>
            <w:tcW w:w="1495" w:type="dxa"/>
            <w:vAlign w:val="center"/>
          </w:tcPr>
          <w:p w14:paraId="6A9CAF62"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16.00</w:t>
            </w:r>
            <w:r w:rsidRPr="00712AFE">
              <w:rPr>
                <w:rFonts w:ascii="Times New Roman" w:hAnsi="Times New Roman" w:cs="Times New Roman"/>
                <w:color w:val="000000"/>
                <w:vertAlign w:val="superscript"/>
              </w:rPr>
              <w:t xml:space="preserve"> a</w:t>
            </w:r>
          </w:p>
        </w:tc>
        <w:tc>
          <w:tcPr>
            <w:tcW w:w="1344" w:type="dxa"/>
            <w:vAlign w:val="center"/>
          </w:tcPr>
          <w:p w14:paraId="18012A31"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17.53</w:t>
            </w:r>
            <w:r w:rsidRPr="00712AFE">
              <w:rPr>
                <w:rFonts w:ascii="Times New Roman" w:hAnsi="Times New Roman" w:cs="Times New Roman"/>
                <w:color w:val="000000"/>
                <w:vertAlign w:val="superscript"/>
              </w:rPr>
              <w:t xml:space="preserve"> a</w:t>
            </w:r>
          </w:p>
        </w:tc>
        <w:tc>
          <w:tcPr>
            <w:tcW w:w="1190" w:type="dxa"/>
            <w:vAlign w:val="center"/>
          </w:tcPr>
          <w:p w14:paraId="7FBC6506"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286.45</w:t>
            </w:r>
            <w:r w:rsidRPr="00712AFE">
              <w:rPr>
                <w:rFonts w:ascii="Times New Roman" w:hAnsi="Times New Roman" w:cs="Times New Roman"/>
                <w:color w:val="000000"/>
                <w:vertAlign w:val="superscript"/>
              </w:rPr>
              <w:t xml:space="preserve"> a</w:t>
            </w:r>
          </w:p>
        </w:tc>
        <w:tc>
          <w:tcPr>
            <w:tcW w:w="1614" w:type="dxa"/>
            <w:vAlign w:val="center"/>
          </w:tcPr>
          <w:p w14:paraId="797CA577"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311.5</w:t>
            </w:r>
            <w:r w:rsidRPr="00712AFE">
              <w:rPr>
                <w:rFonts w:ascii="Times New Roman" w:hAnsi="Times New Roman" w:cs="Times New Roman"/>
                <w:color w:val="000000"/>
                <w:vertAlign w:val="superscript"/>
              </w:rPr>
              <w:t xml:space="preserve"> a</w:t>
            </w:r>
          </w:p>
        </w:tc>
        <w:tc>
          <w:tcPr>
            <w:tcW w:w="1339" w:type="dxa"/>
            <w:vAlign w:val="center"/>
          </w:tcPr>
          <w:p w14:paraId="3DE4C409"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317.03</w:t>
            </w:r>
            <w:r w:rsidRPr="00712AFE">
              <w:rPr>
                <w:rFonts w:ascii="Times New Roman" w:hAnsi="Times New Roman" w:cs="Times New Roman"/>
                <w:color w:val="000000"/>
                <w:vertAlign w:val="superscript"/>
              </w:rPr>
              <w:t xml:space="preserve"> a</w:t>
            </w:r>
          </w:p>
        </w:tc>
      </w:tr>
      <w:tr w:rsidR="00712AFE" w:rsidRPr="00712AFE" w14:paraId="08393E98" w14:textId="77777777" w:rsidTr="00B50E84">
        <w:trPr>
          <w:trHeight w:val="68"/>
        </w:trPr>
        <w:tc>
          <w:tcPr>
            <w:tcW w:w="2718" w:type="dxa"/>
            <w:noWrap/>
            <w:hideMark/>
          </w:tcPr>
          <w:p w14:paraId="43FAF065" w14:textId="77777777"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shd w:val="clear" w:color="auto" w:fill="FFFFFF"/>
              </w:rPr>
              <w:t>CD</w:t>
            </w:r>
            <w:r w:rsidRPr="00712AFE">
              <w:rPr>
                <w:rFonts w:ascii="Times New Roman" w:hAnsi="Times New Roman" w:cs="Times New Roman"/>
                <w:b/>
                <w:bCs/>
                <w:color w:val="000000" w:themeColor="text1"/>
              </w:rPr>
              <w:t xml:space="preserve"> (p ≤ 0.05)</w:t>
            </w:r>
          </w:p>
        </w:tc>
        <w:tc>
          <w:tcPr>
            <w:tcW w:w="1260" w:type="dxa"/>
            <w:noWrap/>
            <w:vAlign w:val="center"/>
            <w:hideMark/>
          </w:tcPr>
          <w:p w14:paraId="0CE5372C" w14:textId="77777777"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28.37</w:t>
            </w:r>
          </w:p>
        </w:tc>
        <w:tc>
          <w:tcPr>
            <w:tcW w:w="1350" w:type="dxa"/>
            <w:noWrap/>
            <w:vAlign w:val="center"/>
            <w:hideMark/>
          </w:tcPr>
          <w:p w14:paraId="50825CB7" w14:textId="77777777"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7.49</w:t>
            </w:r>
          </w:p>
        </w:tc>
        <w:tc>
          <w:tcPr>
            <w:tcW w:w="1139" w:type="dxa"/>
            <w:noWrap/>
            <w:vAlign w:val="center"/>
            <w:hideMark/>
          </w:tcPr>
          <w:p w14:paraId="342BA821" w14:textId="77777777"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41.10</w:t>
            </w:r>
          </w:p>
        </w:tc>
        <w:tc>
          <w:tcPr>
            <w:tcW w:w="1273" w:type="dxa"/>
            <w:vAlign w:val="center"/>
          </w:tcPr>
          <w:p w14:paraId="09DDD70E" w14:textId="77777777"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2.16</w:t>
            </w:r>
          </w:p>
        </w:tc>
        <w:tc>
          <w:tcPr>
            <w:tcW w:w="1495" w:type="dxa"/>
            <w:vAlign w:val="center"/>
          </w:tcPr>
          <w:p w14:paraId="1E8FD821" w14:textId="77777777"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3.30</w:t>
            </w:r>
          </w:p>
        </w:tc>
        <w:tc>
          <w:tcPr>
            <w:tcW w:w="1344" w:type="dxa"/>
            <w:vAlign w:val="center"/>
          </w:tcPr>
          <w:p w14:paraId="0F632BA1" w14:textId="77777777"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6.18</w:t>
            </w:r>
          </w:p>
        </w:tc>
        <w:tc>
          <w:tcPr>
            <w:tcW w:w="1190" w:type="dxa"/>
            <w:vAlign w:val="center"/>
          </w:tcPr>
          <w:p w14:paraId="6A8D7775" w14:textId="77777777"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9.42</w:t>
            </w:r>
          </w:p>
        </w:tc>
        <w:tc>
          <w:tcPr>
            <w:tcW w:w="1614" w:type="dxa"/>
            <w:vAlign w:val="center"/>
          </w:tcPr>
          <w:p w14:paraId="502CB7A4" w14:textId="77777777" w:rsidR="00712AFE" w:rsidRPr="00712AFE" w:rsidRDefault="00712AFE" w:rsidP="003B66EB">
            <w:pPr>
              <w:spacing w:before="120" w:line="360" w:lineRule="auto"/>
              <w:ind w:left="144"/>
              <w:jc w:val="center"/>
              <w:rPr>
                <w:rFonts w:ascii="Times New Roman" w:hAnsi="Times New Roman" w:cs="Times New Roman"/>
                <w:color w:val="000000" w:themeColor="text1"/>
              </w:rPr>
            </w:pPr>
            <w:r w:rsidRPr="00712AFE">
              <w:rPr>
                <w:rFonts w:ascii="Times New Roman" w:hAnsi="Times New Roman" w:cs="Times New Roman"/>
                <w:color w:val="000000" w:themeColor="text1"/>
              </w:rPr>
              <w:t>15.36</w:t>
            </w:r>
            <w:r w:rsidRPr="00712AFE">
              <w:rPr>
                <w:rFonts w:ascii="Times New Roman" w:hAnsi="Times New Roman" w:cs="Times New Roman"/>
                <w:color w:val="000000"/>
                <w:vertAlign w:val="superscript"/>
              </w:rPr>
              <w:t xml:space="preserve"> </w:t>
            </w:r>
          </w:p>
        </w:tc>
        <w:tc>
          <w:tcPr>
            <w:tcW w:w="1339" w:type="dxa"/>
            <w:vAlign w:val="center"/>
          </w:tcPr>
          <w:p w14:paraId="5E8DFD3F" w14:textId="77777777" w:rsidR="00712AFE" w:rsidRPr="00712AFE" w:rsidRDefault="00712AFE" w:rsidP="003B66EB">
            <w:pPr>
              <w:spacing w:before="120" w:line="360" w:lineRule="auto"/>
              <w:ind w:left="144"/>
              <w:jc w:val="center"/>
              <w:rPr>
                <w:rFonts w:ascii="Times New Roman" w:hAnsi="Times New Roman" w:cs="Times New Roman"/>
              </w:rPr>
            </w:pPr>
            <w:r w:rsidRPr="00712AFE">
              <w:rPr>
                <w:rFonts w:ascii="Times New Roman" w:hAnsi="Times New Roman" w:cs="Times New Roman"/>
              </w:rPr>
              <w:t>9.15</w:t>
            </w:r>
          </w:p>
        </w:tc>
      </w:tr>
    </w:tbl>
    <w:p w14:paraId="1723057E" w14:textId="77777777" w:rsidR="00712AFE" w:rsidRPr="00712AFE" w:rsidRDefault="00712AFE" w:rsidP="003B66EB">
      <w:pPr>
        <w:pStyle w:val="Default"/>
        <w:spacing w:line="360" w:lineRule="auto"/>
        <w:jc w:val="both"/>
        <w:rPr>
          <w:rFonts w:ascii="Times New Roman" w:hAnsi="Times New Roman" w:cs="Times New Roman"/>
          <w:sz w:val="20"/>
          <w:szCs w:val="20"/>
        </w:rPr>
      </w:pPr>
      <w:r w:rsidRPr="00712AFE">
        <w:rPr>
          <w:rFonts w:ascii="Times New Roman" w:hAnsi="Times New Roman" w:cs="Times New Roman"/>
          <w:b/>
          <w:bCs/>
          <w:sz w:val="20"/>
          <w:szCs w:val="20"/>
        </w:rPr>
        <w:t>Note</w:t>
      </w:r>
      <w:r w:rsidRPr="00712AFE">
        <w:rPr>
          <w:rFonts w:ascii="Times New Roman" w:hAnsi="Times New Roman" w:cs="Times New Roman"/>
          <w:sz w:val="20"/>
          <w:szCs w:val="20"/>
        </w:rPr>
        <w:t>: Letters indicate significant differences (p ≤ 0.05).</w:t>
      </w:r>
    </w:p>
    <w:p w14:paraId="3596760F" w14:textId="77777777" w:rsidR="00712AFE" w:rsidRPr="00712AFE" w:rsidRDefault="00712AFE" w:rsidP="003B66EB">
      <w:pPr>
        <w:spacing w:line="360" w:lineRule="auto"/>
        <w:ind w:left="144" w:hanging="234"/>
        <w:rPr>
          <w:rFonts w:ascii="Times New Roman" w:hAnsi="Times New Roman" w:cs="Times New Roman"/>
          <w:b/>
          <w:bCs/>
        </w:rPr>
      </w:pPr>
      <w:r w:rsidRPr="00712AFE">
        <w:rPr>
          <w:rFonts w:ascii="Times New Roman" w:hAnsi="Times New Roman" w:cs="Times New Roman"/>
          <w:b/>
          <w:bCs/>
        </w:rPr>
        <w:t xml:space="preserve">Table </w:t>
      </w:r>
      <w:r>
        <w:rPr>
          <w:rFonts w:ascii="Times New Roman" w:hAnsi="Times New Roman" w:cs="Times New Roman"/>
          <w:b/>
          <w:bCs/>
        </w:rPr>
        <w:t>3</w:t>
      </w:r>
      <w:r w:rsidRPr="00712AFE">
        <w:rPr>
          <w:rFonts w:ascii="Times New Roman" w:hAnsi="Times New Roman" w:cs="Times New Roman"/>
          <w:b/>
          <w:bCs/>
        </w:rPr>
        <w:t>: Leaf NPK content (%) of mango cv. Banganpalli at different phenophases of fruit development.</w:t>
      </w:r>
    </w:p>
    <w:tbl>
      <w:tblPr>
        <w:tblStyle w:val="TableGrid"/>
        <w:tblW w:w="14722" w:type="dxa"/>
        <w:tblLayout w:type="fixed"/>
        <w:tblLook w:val="04A0" w:firstRow="1" w:lastRow="0" w:firstColumn="1" w:lastColumn="0" w:noHBand="0" w:noVBand="1"/>
      </w:tblPr>
      <w:tblGrid>
        <w:gridCol w:w="2718"/>
        <w:gridCol w:w="1260"/>
        <w:gridCol w:w="1350"/>
        <w:gridCol w:w="1139"/>
        <w:gridCol w:w="1273"/>
        <w:gridCol w:w="1495"/>
        <w:gridCol w:w="1344"/>
        <w:gridCol w:w="1190"/>
        <w:gridCol w:w="1614"/>
        <w:gridCol w:w="1339"/>
      </w:tblGrid>
      <w:tr w:rsidR="00712AFE" w:rsidRPr="00712AFE" w14:paraId="5878C383" w14:textId="77777777" w:rsidTr="00B50E84">
        <w:trPr>
          <w:trHeight w:val="73"/>
        </w:trPr>
        <w:tc>
          <w:tcPr>
            <w:tcW w:w="2718" w:type="dxa"/>
            <w:vMerge w:val="restart"/>
            <w:noWrap/>
            <w:vAlign w:val="center"/>
            <w:hideMark/>
          </w:tcPr>
          <w:p w14:paraId="683BFBA2" w14:textId="77777777"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bCs/>
                <w:color w:val="000000" w:themeColor="text1"/>
              </w:rPr>
              <w:t>Treatments</w:t>
            </w:r>
          </w:p>
        </w:tc>
        <w:tc>
          <w:tcPr>
            <w:tcW w:w="3749" w:type="dxa"/>
            <w:gridSpan w:val="3"/>
            <w:vAlign w:val="center"/>
          </w:tcPr>
          <w:p w14:paraId="60315C0D" w14:textId="77777777"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N (%)</w:t>
            </w:r>
          </w:p>
        </w:tc>
        <w:tc>
          <w:tcPr>
            <w:tcW w:w="4112" w:type="dxa"/>
            <w:gridSpan w:val="3"/>
          </w:tcPr>
          <w:p w14:paraId="60A555A2" w14:textId="77777777"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P (%)</w:t>
            </w:r>
          </w:p>
        </w:tc>
        <w:tc>
          <w:tcPr>
            <w:tcW w:w="4143" w:type="dxa"/>
            <w:gridSpan w:val="3"/>
          </w:tcPr>
          <w:p w14:paraId="41D30BCE" w14:textId="77777777" w:rsidR="00712AFE" w:rsidRPr="00712AFE" w:rsidRDefault="00712AFE" w:rsidP="003B66EB">
            <w:pPr>
              <w:spacing w:before="120" w:line="360" w:lineRule="auto"/>
              <w:ind w:left="144"/>
              <w:jc w:val="center"/>
              <w:rPr>
                <w:rFonts w:ascii="Times New Roman" w:hAnsi="Times New Roman" w:cs="Times New Roman"/>
                <w:b/>
                <w:color w:val="000000" w:themeColor="text1"/>
              </w:rPr>
            </w:pPr>
            <w:r w:rsidRPr="00712AFE">
              <w:rPr>
                <w:rFonts w:ascii="Times New Roman" w:hAnsi="Times New Roman" w:cs="Times New Roman"/>
                <w:b/>
                <w:color w:val="000000" w:themeColor="text1"/>
              </w:rPr>
              <w:t>K (%)</w:t>
            </w:r>
          </w:p>
        </w:tc>
      </w:tr>
      <w:tr w:rsidR="00712AFE" w:rsidRPr="00712AFE" w14:paraId="281E167C" w14:textId="77777777" w:rsidTr="00B50E84">
        <w:trPr>
          <w:trHeight w:val="68"/>
        </w:trPr>
        <w:tc>
          <w:tcPr>
            <w:tcW w:w="2718" w:type="dxa"/>
            <w:vMerge/>
            <w:noWrap/>
            <w:hideMark/>
          </w:tcPr>
          <w:p w14:paraId="2BF16516" w14:textId="77777777" w:rsidR="00712AFE" w:rsidRPr="00712AFE" w:rsidRDefault="00712AFE" w:rsidP="003B66EB">
            <w:pPr>
              <w:spacing w:before="120" w:line="360" w:lineRule="auto"/>
              <w:ind w:left="144"/>
              <w:jc w:val="center"/>
              <w:rPr>
                <w:rFonts w:ascii="Times New Roman" w:hAnsi="Times New Roman" w:cs="Times New Roman"/>
                <w:b/>
                <w:bCs/>
                <w:color w:val="000000" w:themeColor="text1"/>
              </w:rPr>
            </w:pPr>
          </w:p>
        </w:tc>
        <w:tc>
          <w:tcPr>
            <w:tcW w:w="1260" w:type="dxa"/>
            <w:noWrap/>
            <w:hideMark/>
          </w:tcPr>
          <w:p w14:paraId="66BFD76E" w14:textId="77777777"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350" w:type="dxa"/>
            <w:noWrap/>
            <w:hideMark/>
          </w:tcPr>
          <w:p w14:paraId="68B87A04" w14:textId="77777777"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139" w:type="dxa"/>
            <w:noWrap/>
            <w:hideMark/>
          </w:tcPr>
          <w:p w14:paraId="082DCA3E" w14:textId="77777777"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c>
          <w:tcPr>
            <w:tcW w:w="1273" w:type="dxa"/>
          </w:tcPr>
          <w:p w14:paraId="5FB45761" w14:textId="77777777"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495" w:type="dxa"/>
          </w:tcPr>
          <w:p w14:paraId="2489208C" w14:textId="77777777"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344" w:type="dxa"/>
          </w:tcPr>
          <w:p w14:paraId="3BB25B73" w14:textId="77777777"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c>
          <w:tcPr>
            <w:tcW w:w="1190" w:type="dxa"/>
          </w:tcPr>
          <w:p w14:paraId="446B1448" w14:textId="77777777" w:rsidR="00712AFE" w:rsidRPr="00712AFE" w:rsidRDefault="00712AFE" w:rsidP="003B66EB">
            <w:pPr>
              <w:spacing w:before="120" w:line="360" w:lineRule="auto"/>
              <w:rPr>
                <w:rFonts w:ascii="Times New Roman" w:hAnsi="Times New Roman" w:cs="Times New Roman"/>
                <w:b/>
                <w:color w:val="000000" w:themeColor="text1"/>
              </w:rPr>
            </w:pPr>
            <w:r w:rsidRPr="00712AFE">
              <w:rPr>
                <w:rFonts w:ascii="Times New Roman" w:hAnsi="Times New Roman" w:cs="Times New Roman"/>
                <w:b/>
                <w:color w:val="000000" w:themeColor="text1"/>
              </w:rPr>
              <w:t xml:space="preserve">BBCH-703 </w:t>
            </w:r>
          </w:p>
        </w:tc>
        <w:tc>
          <w:tcPr>
            <w:tcW w:w="1614" w:type="dxa"/>
          </w:tcPr>
          <w:p w14:paraId="5AF5EF43" w14:textId="77777777"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BBCH-705 </w:t>
            </w:r>
          </w:p>
        </w:tc>
        <w:tc>
          <w:tcPr>
            <w:tcW w:w="1339" w:type="dxa"/>
          </w:tcPr>
          <w:p w14:paraId="27E8C6C4" w14:textId="77777777" w:rsidR="00712AFE" w:rsidRPr="00712AFE" w:rsidRDefault="00712AFE" w:rsidP="003B66EB">
            <w:pPr>
              <w:spacing w:before="120" w:line="360" w:lineRule="auto"/>
              <w:ind w:left="144"/>
              <w:rPr>
                <w:rFonts w:ascii="Times New Roman" w:hAnsi="Times New Roman" w:cs="Times New Roman"/>
                <w:b/>
                <w:color w:val="000000" w:themeColor="text1"/>
              </w:rPr>
            </w:pPr>
            <w:r w:rsidRPr="00712AFE">
              <w:rPr>
                <w:rFonts w:ascii="Times New Roman" w:hAnsi="Times New Roman" w:cs="Times New Roman"/>
                <w:b/>
                <w:bCs/>
                <w:color w:val="000000" w:themeColor="text1"/>
              </w:rPr>
              <w:t xml:space="preserve">BCH-709 </w:t>
            </w:r>
          </w:p>
        </w:tc>
      </w:tr>
      <w:tr w:rsidR="00712AFE" w:rsidRPr="00712AFE" w14:paraId="5F3AD97A" w14:textId="77777777" w:rsidTr="00B50E84">
        <w:trPr>
          <w:trHeight w:val="68"/>
        </w:trPr>
        <w:tc>
          <w:tcPr>
            <w:tcW w:w="2718" w:type="dxa"/>
            <w:noWrap/>
            <w:hideMark/>
          </w:tcPr>
          <w:p w14:paraId="25515F40" w14:textId="77777777"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without mulch</w:t>
            </w:r>
          </w:p>
        </w:tc>
        <w:tc>
          <w:tcPr>
            <w:tcW w:w="1260" w:type="dxa"/>
            <w:noWrap/>
            <w:vAlign w:val="center"/>
            <w:hideMark/>
          </w:tcPr>
          <w:p w14:paraId="3DBFE9AD"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0.73</w:t>
            </w:r>
            <w:r w:rsidRPr="00712AFE">
              <w:rPr>
                <w:rFonts w:ascii="Times New Roman" w:hAnsi="Times New Roman" w:cs="Times New Roman"/>
                <w:color w:val="000000"/>
                <w:vertAlign w:val="superscript"/>
              </w:rPr>
              <w:t xml:space="preserve"> b</w:t>
            </w:r>
          </w:p>
        </w:tc>
        <w:tc>
          <w:tcPr>
            <w:tcW w:w="1350" w:type="dxa"/>
            <w:noWrap/>
            <w:vAlign w:val="center"/>
            <w:hideMark/>
          </w:tcPr>
          <w:p w14:paraId="06745A02"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0.63</w:t>
            </w:r>
            <w:r w:rsidRPr="00712AFE">
              <w:rPr>
                <w:rFonts w:ascii="Times New Roman" w:hAnsi="Times New Roman" w:cs="Times New Roman"/>
                <w:color w:val="000000"/>
                <w:vertAlign w:val="superscript"/>
              </w:rPr>
              <w:t xml:space="preserve"> c</w:t>
            </w:r>
          </w:p>
        </w:tc>
        <w:tc>
          <w:tcPr>
            <w:tcW w:w="1139" w:type="dxa"/>
            <w:noWrap/>
            <w:vAlign w:val="center"/>
            <w:hideMark/>
          </w:tcPr>
          <w:p w14:paraId="38ADAF22"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0.67</w:t>
            </w:r>
            <w:r w:rsidRPr="00712AFE">
              <w:rPr>
                <w:rFonts w:ascii="Times New Roman" w:hAnsi="Times New Roman" w:cs="Times New Roman"/>
                <w:color w:val="000000"/>
                <w:vertAlign w:val="superscript"/>
              </w:rPr>
              <w:t xml:space="preserve"> c</w:t>
            </w:r>
          </w:p>
        </w:tc>
        <w:tc>
          <w:tcPr>
            <w:tcW w:w="1273" w:type="dxa"/>
            <w:vAlign w:val="center"/>
          </w:tcPr>
          <w:p w14:paraId="7A246BDD"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0.12</w:t>
            </w:r>
            <w:r w:rsidRPr="00712AFE">
              <w:rPr>
                <w:rFonts w:ascii="Times New Roman" w:hAnsi="Times New Roman" w:cs="Times New Roman"/>
                <w:color w:val="000000"/>
                <w:vertAlign w:val="superscript"/>
              </w:rPr>
              <w:t xml:space="preserve"> c</w:t>
            </w:r>
          </w:p>
        </w:tc>
        <w:tc>
          <w:tcPr>
            <w:tcW w:w="1495" w:type="dxa"/>
            <w:vAlign w:val="center"/>
          </w:tcPr>
          <w:p w14:paraId="624AE62F"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0.12</w:t>
            </w:r>
            <w:r w:rsidRPr="00712AFE">
              <w:rPr>
                <w:rFonts w:ascii="Times New Roman" w:hAnsi="Times New Roman" w:cs="Times New Roman"/>
                <w:color w:val="000000"/>
                <w:vertAlign w:val="superscript"/>
              </w:rPr>
              <w:t xml:space="preserve"> d</w:t>
            </w:r>
          </w:p>
        </w:tc>
        <w:tc>
          <w:tcPr>
            <w:tcW w:w="1344" w:type="dxa"/>
            <w:vAlign w:val="center"/>
          </w:tcPr>
          <w:p w14:paraId="6E6D7E4D"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0.11</w:t>
            </w:r>
            <w:r w:rsidRPr="00712AFE">
              <w:rPr>
                <w:rFonts w:ascii="Times New Roman" w:hAnsi="Times New Roman" w:cs="Times New Roman"/>
                <w:color w:val="000000"/>
                <w:vertAlign w:val="superscript"/>
              </w:rPr>
              <w:t xml:space="preserve"> c</w:t>
            </w:r>
          </w:p>
        </w:tc>
        <w:tc>
          <w:tcPr>
            <w:tcW w:w="1190" w:type="dxa"/>
            <w:vAlign w:val="center"/>
          </w:tcPr>
          <w:p w14:paraId="79933905"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b</w:t>
            </w:r>
          </w:p>
        </w:tc>
        <w:tc>
          <w:tcPr>
            <w:tcW w:w="1614" w:type="dxa"/>
            <w:vAlign w:val="center"/>
          </w:tcPr>
          <w:p w14:paraId="1FFF6822"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a</w:t>
            </w:r>
          </w:p>
        </w:tc>
        <w:tc>
          <w:tcPr>
            <w:tcW w:w="1339" w:type="dxa"/>
            <w:vAlign w:val="center"/>
          </w:tcPr>
          <w:p w14:paraId="244AA8CF"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0.71</w:t>
            </w:r>
            <w:r w:rsidRPr="00712AFE">
              <w:rPr>
                <w:rFonts w:ascii="Times New Roman" w:hAnsi="Times New Roman" w:cs="Times New Roman"/>
                <w:color w:val="000000"/>
                <w:vertAlign w:val="superscript"/>
              </w:rPr>
              <w:t xml:space="preserve"> a</w:t>
            </w:r>
          </w:p>
        </w:tc>
      </w:tr>
      <w:tr w:rsidR="00712AFE" w:rsidRPr="00712AFE" w14:paraId="6BFF975E" w14:textId="77777777" w:rsidTr="00B50E84">
        <w:trPr>
          <w:trHeight w:val="68"/>
        </w:trPr>
        <w:tc>
          <w:tcPr>
            <w:tcW w:w="2718" w:type="dxa"/>
            <w:noWrap/>
            <w:hideMark/>
          </w:tcPr>
          <w:p w14:paraId="6FB5F3B6" w14:textId="77777777"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color w:val="000000" w:themeColor="text1"/>
              </w:rPr>
              <w:t>75% ETc+</w:t>
            </w:r>
            <w:r w:rsidRPr="00712AFE">
              <w:rPr>
                <w:rFonts w:ascii="Times New Roman" w:eastAsia="Arial" w:hAnsi="Times New Roman" w:cs="Times New Roman"/>
                <w:b/>
                <w:bCs/>
              </w:rPr>
              <w:t xml:space="preserve"> with  mulch</w:t>
            </w:r>
          </w:p>
        </w:tc>
        <w:tc>
          <w:tcPr>
            <w:tcW w:w="1260" w:type="dxa"/>
            <w:noWrap/>
            <w:vAlign w:val="center"/>
            <w:hideMark/>
          </w:tcPr>
          <w:p w14:paraId="32537784"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14:paraId="471CDA18"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w:t>
            </w:r>
            <w:r w:rsidRPr="00712AFE">
              <w:rPr>
                <w:rFonts w:ascii="Times New Roman" w:hAnsi="Times New Roman" w:cs="Times New Roman"/>
                <w:color w:val="000000"/>
                <w:vertAlign w:val="superscript"/>
              </w:rPr>
              <w:t>b</w:t>
            </w:r>
          </w:p>
        </w:tc>
        <w:tc>
          <w:tcPr>
            <w:tcW w:w="1139" w:type="dxa"/>
            <w:noWrap/>
            <w:vAlign w:val="center"/>
            <w:hideMark/>
          </w:tcPr>
          <w:p w14:paraId="38E7AE13"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0.74</w:t>
            </w:r>
            <w:r w:rsidRPr="00712AFE">
              <w:rPr>
                <w:rFonts w:ascii="Times New Roman" w:hAnsi="Times New Roman" w:cs="Times New Roman"/>
                <w:color w:val="000000"/>
                <w:vertAlign w:val="superscript"/>
              </w:rPr>
              <w:t xml:space="preserve"> b</w:t>
            </w:r>
          </w:p>
        </w:tc>
        <w:tc>
          <w:tcPr>
            <w:tcW w:w="1273" w:type="dxa"/>
            <w:vAlign w:val="center"/>
          </w:tcPr>
          <w:p w14:paraId="2B0DE333"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0.15</w:t>
            </w:r>
            <w:r w:rsidRPr="00712AFE">
              <w:rPr>
                <w:rFonts w:ascii="Times New Roman" w:hAnsi="Times New Roman" w:cs="Times New Roman"/>
                <w:color w:val="000000"/>
                <w:vertAlign w:val="superscript"/>
              </w:rPr>
              <w:t xml:space="preserve"> b</w:t>
            </w:r>
          </w:p>
        </w:tc>
        <w:tc>
          <w:tcPr>
            <w:tcW w:w="1495" w:type="dxa"/>
            <w:vAlign w:val="center"/>
          </w:tcPr>
          <w:p w14:paraId="4ED1DC44"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0.16</w:t>
            </w:r>
            <w:r w:rsidRPr="00712AFE">
              <w:rPr>
                <w:rFonts w:ascii="Times New Roman" w:hAnsi="Times New Roman" w:cs="Times New Roman"/>
                <w:color w:val="000000"/>
                <w:vertAlign w:val="superscript"/>
              </w:rPr>
              <w:t xml:space="preserve"> c</w:t>
            </w:r>
          </w:p>
        </w:tc>
        <w:tc>
          <w:tcPr>
            <w:tcW w:w="1344" w:type="dxa"/>
            <w:vAlign w:val="center"/>
          </w:tcPr>
          <w:p w14:paraId="63FBF424"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0.14</w:t>
            </w:r>
            <w:r w:rsidRPr="00712AFE">
              <w:rPr>
                <w:rFonts w:ascii="Times New Roman" w:hAnsi="Times New Roman" w:cs="Times New Roman"/>
                <w:color w:val="000000"/>
                <w:vertAlign w:val="superscript"/>
              </w:rPr>
              <w:t xml:space="preserve"> b</w:t>
            </w:r>
          </w:p>
        </w:tc>
        <w:tc>
          <w:tcPr>
            <w:tcW w:w="1190" w:type="dxa"/>
            <w:vAlign w:val="center"/>
          </w:tcPr>
          <w:p w14:paraId="53D2084E"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0.75</w:t>
            </w:r>
            <w:r w:rsidRPr="00712AFE">
              <w:rPr>
                <w:rFonts w:ascii="Times New Roman" w:hAnsi="Times New Roman" w:cs="Times New Roman"/>
                <w:color w:val="000000"/>
                <w:vertAlign w:val="superscript"/>
              </w:rPr>
              <w:t xml:space="preserve"> b</w:t>
            </w:r>
          </w:p>
        </w:tc>
        <w:tc>
          <w:tcPr>
            <w:tcW w:w="1614" w:type="dxa"/>
            <w:vAlign w:val="center"/>
          </w:tcPr>
          <w:p w14:paraId="3B958283"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0.86</w:t>
            </w:r>
            <w:r w:rsidRPr="00712AFE">
              <w:rPr>
                <w:rFonts w:ascii="Times New Roman" w:hAnsi="Times New Roman" w:cs="Times New Roman"/>
                <w:color w:val="000000"/>
                <w:vertAlign w:val="superscript"/>
              </w:rPr>
              <w:t xml:space="preserve"> a</w:t>
            </w:r>
          </w:p>
        </w:tc>
        <w:tc>
          <w:tcPr>
            <w:tcW w:w="1339" w:type="dxa"/>
            <w:vAlign w:val="center"/>
          </w:tcPr>
          <w:p w14:paraId="71BC9DD3"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0.72</w:t>
            </w:r>
            <w:r w:rsidRPr="00712AFE">
              <w:rPr>
                <w:rFonts w:ascii="Times New Roman" w:hAnsi="Times New Roman" w:cs="Times New Roman"/>
                <w:color w:val="000000"/>
                <w:vertAlign w:val="superscript"/>
              </w:rPr>
              <w:t xml:space="preserve"> a</w:t>
            </w:r>
          </w:p>
        </w:tc>
      </w:tr>
      <w:tr w:rsidR="00712AFE" w:rsidRPr="00712AFE" w14:paraId="0F51EAB0" w14:textId="77777777" w:rsidTr="00B50E84">
        <w:trPr>
          <w:trHeight w:val="68"/>
        </w:trPr>
        <w:tc>
          <w:tcPr>
            <w:tcW w:w="2718" w:type="dxa"/>
            <w:noWrap/>
            <w:hideMark/>
          </w:tcPr>
          <w:p w14:paraId="475EEAC2" w14:textId="77777777"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without mulch</w:t>
            </w:r>
          </w:p>
        </w:tc>
        <w:tc>
          <w:tcPr>
            <w:tcW w:w="1260" w:type="dxa"/>
            <w:noWrap/>
            <w:vAlign w:val="center"/>
            <w:hideMark/>
          </w:tcPr>
          <w:p w14:paraId="1F60E6D3"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14:paraId="6383F807"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0.72</w:t>
            </w:r>
            <w:r w:rsidRPr="00712AFE">
              <w:rPr>
                <w:rFonts w:ascii="Times New Roman" w:hAnsi="Times New Roman" w:cs="Times New Roman"/>
                <w:color w:val="000000"/>
                <w:vertAlign w:val="superscript"/>
              </w:rPr>
              <w:t xml:space="preserve"> b</w:t>
            </w:r>
          </w:p>
        </w:tc>
        <w:tc>
          <w:tcPr>
            <w:tcW w:w="1139" w:type="dxa"/>
            <w:noWrap/>
            <w:vAlign w:val="center"/>
            <w:hideMark/>
          </w:tcPr>
          <w:p w14:paraId="58CF1A67"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0.73</w:t>
            </w:r>
            <w:r w:rsidRPr="00712AFE">
              <w:rPr>
                <w:rFonts w:ascii="Times New Roman" w:hAnsi="Times New Roman" w:cs="Times New Roman"/>
                <w:color w:val="000000"/>
                <w:vertAlign w:val="superscript"/>
              </w:rPr>
              <w:t xml:space="preserve"> b</w:t>
            </w:r>
          </w:p>
        </w:tc>
        <w:tc>
          <w:tcPr>
            <w:tcW w:w="1273" w:type="dxa"/>
            <w:vAlign w:val="center"/>
          </w:tcPr>
          <w:p w14:paraId="1C34D6E8"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0.14</w:t>
            </w:r>
            <w:r w:rsidRPr="00712AFE">
              <w:rPr>
                <w:rFonts w:ascii="Times New Roman" w:hAnsi="Times New Roman" w:cs="Times New Roman"/>
                <w:color w:val="000000"/>
                <w:vertAlign w:val="superscript"/>
              </w:rPr>
              <w:t xml:space="preserve"> b</w:t>
            </w:r>
          </w:p>
        </w:tc>
        <w:tc>
          <w:tcPr>
            <w:tcW w:w="1495" w:type="dxa"/>
            <w:vAlign w:val="center"/>
          </w:tcPr>
          <w:p w14:paraId="322554EE"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0.19</w:t>
            </w:r>
            <w:r w:rsidRPr="00712AFE">
              <w:rPr>
                <w:rFonts w:ascii="Times New Roman" w:hAnsi="Times New Roman" w:cs="Times New Roman"/>
                <w:color w:val="000000"/>
                <w:vertAlign w:val="superscript"/>
              </w:rPr>
              <w:t xml:space="preserve"> b</w:t>
            </w:r>
          </w:p>
        </w:tc>
        <w:tc>
          <w:tcPr>
            <w:tcW w:w="1344" w:type="dxa"/>
            <w:vAlign w:val="center"/>
          </w:tcPr>
          <w:p w14:paraId="5D37EF59"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0.15</w:t>
            </w:r>
            <w:r w:rsidRPr="00712AFE">
              <w:rPr>
                <w:rFonts w:ascii="Times New Roman" w:hAnsi="Times New Roman" w:cs="Times New Roman"/>
                <w:color w:val="000000"/>
                <w:vertAlign w:val="superscript"/>
              </w:rPr>
              <w:t xml:space="preserve"> b</w:t>
            </w:r>
          </w:p>
        </w:tc>
        <w:tc>
          <w:tcPr>
            <w:tcW w:w="1190" w:type="dxa"/>
            <w:vAlign w:val="center"/>
          </w:tcPr>
          <w:p w14:paraId="45E60EB6"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0.76</w:t>
            </w:r>
            <w:r w:rsidRPr="00712AFE">
              <w:rPr>
                <w:rFonts w:ascii="Times New Roman" w:hAnsi="Times New Roman" w:cs="Times New Roman"/>
                <w:color w:val="000000"/>
                <w:vertAlign w:val="superscript"/>
              </w:rPr>
              <w:t xml:space="preserve"> b</w:t>
            </w:r>
          </w:p>
        </w:tc>
        <w:tc>
          <w:tcPr>
            <w:tcW w:w="1614" w:type="dxa"/>
            <w:vAlign w:val="center"/>
          </w:tcPr>
          <w:p w14:paraId="25CF2CBE"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0.81</w:t>
            </w:r>
            <w:r w:rsidRPr="00712AFE">
              <w:rPr>
                <w:rFonts w:ascii="Times New Roman" w:hAnsi="Times New Roman" w:cs="Times New Roman"/>
                <w:color w:val="000000"/>
                <w:vertAlign w:val="superscript"/>
              </w:rPr>
              <w:t xml:space="preserve"> a</w:t>
            </w:r>
          </w:p>
        </w:tc>
        <w:tc>
          <w:tcPr>
            <w:tcW w:w="1339" w:type="dxa"/>
            <w:vAlign w:val="center"/>
          </w:tcPr>
          <w:p w14:paraId="17F43996"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0.73</w:t>
            </w:r>
            <w:r w:rsidRPr="00712AFE">
              <w:rPr>
                <w:rFonts w:ascii="Times New Roman" w:hAnsi="Times New Roman" w:cs="Times New Roman"/>
                <w:color w:val="000000"/>
                <w:vertAlign w:val="superscript"/>
              </w:rPr>
              <w:t xml:space="preserve"> a</w:t>
            </w:r>
          </w:p>
        </w:tc>
      </w:tr>
      <w:tr w:rsidR="00712AFE" w:rsidRPr="00712AFE" w14:paraId="298F00E0" w14:textId="77777777" w:rsidTr="00B50E84">
        <w:trPr>
          <w:trHeight w:val="68"/>
        </w:trPr>
        <w:tc>
          <w:tcPr>
            <w:tcW w:w="2718" w:type="dxa"/>
            <w:noWrap/>
            <w:hideMark/>
          </w:tcPr>
          <w:p w14:paraId="54A52872" w14:textId="77777777" w:rsidR="00712AFE" w:rsidRPr="00712AFE" w:rsidRDefault="00712AFE" w:rsidP="003B66EB">
            <w:pPr>
              <w:spacing w:before="120" w:line="360" w:lineRule="auto"/>
              <w:ind w:left="144"/>
              <w:jc w:val="center"/>
              <w:rPr>
                <w:rFonts w:ascii="Times New Roman" w:hAnsi="Times New Roman" w:cs="Times New Roman"/>
                <w:b/>
                <w:bCs/>
                <w:color w:val="000000" w:themeColor="text1"/>
              </w:rPr>
            </w:pPr>
            <w:r w:rsidRPr="00712AFE">
              <w:rPr>
                <w:rFonts w:ascii="Times New Roman" w:hAnsi="Times New Roman" w:cs="Times New Roman"/>
                <w:b/>
                <w:bCs/>
                <w:color w:val="000000" w:themeColor="text1"/>
              </w:rPr>
              <w:t>100% ETc+</w:t>
            </w:r>
            <w:r w:rsidRPr="00712AFE">
              <w:rPr>
                <w:rFonts w:ascii="Times New Roman" w:eastAsia="Arial" w:hAnsi="Times New Roman" w:cs="Times New Roman"/>
                <w:b/>
                <w:bCs/>
              </w:rPr>
              <w:t xml:space="preserve"> with mulch</w:t>
            </w:r>
          </w:p>
        </w:tc>
        <w:tc>
          <w:tcPr>
            <w:tcW w:w="1260" w:type="dxa"/>
            <w:noWrap/>
            <w:vAlign w:val="center"/>
            <w:hideMark/>
          </w:tcPr>
          <w:p w14:paraId="5F0D7454"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0.82</w:t>
            </w:r>
            <w:r w:rsidRPr="00712AFE">
              <w:rPr>
                <w:rFonts w:ascii="Times New Roman" w:hAnsi="Times New Roman" w:cs="Times New Roman"/>
                <w:color w:val="000000"/>
                <w:vertAlign w:val="superscript"/>
              </w:rPr>
              <w:t xml:space="preserve"> a</w:t>
            </w:r>
          </w:p>
        </w:tc>
        <w:tc>
          <w:tcPr>
            <w:tcW w:w="1350" w:type="dxa"/>
            <w:noWrap/>
            <w:vAlign w:val="center"/>
            <w:hideMark/>
          </w:tcPr>
          <w:p w14:paraId="2234AF55"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1.11</w:t>
            </w:r>
            <w:r w:rsidRPr="00712AFE">
              <w:rPr>
                <w:rFonts w:ascii="Times New Roman" w:hAnsi="Times New Roman" w:cs="Times New Roman"/>
                <w:color w:val="000000"/>
                <w:vertAlign w:val="superscript"/>
              </w:rPr>
              <w:t xml:space="preserve"> a</w:t>
            </w:r>
          </w:p>
        </w:tc>
        <w:tc>
          <w:tcPr>
            <w:tcW w:w="1139" w:type="dxa"/>
            <w:noWrap/>
            <w:vAlign w:val="center"/>
            <w:hideMark/>
          </w:tcPr>
          <w:p w14:paraId="5A370A2C"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0.86</w:t>
            </w:r>
            <w:r w:rsidRPr="00712AFE">
              <w:rPr>
                <w:rFonts w:ascii="Times New Roman" w:hAnsi="Times New Roman" w:cs="Times New Roman"/>
                <w:color w:val="000000"/>
                <w:vertAlign w:val="superscript"/>
              </w:rPr>
              <w:t xml:space="preserve"> a</w:t>
            </w:r>
          </w:p>
        </w:tc>
        <w:tc>
          <w:tcPr>
            <w:tcW w:w="1273" w:type="dxa"/>
            <w:vAlign w:val="center"/>
          </w:tcPr>
          <w:p w14:paraId="0C8E1FF7"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0.22</w:t>
            </w:r>
            <w:r w:rsidRPr="00712AFE">
              <w:rPr>
                <w:rFonts w:ascii="Times New Roman" w:hAnsi="Times New Roman" w:cs="Times New Roman"/>
                <w:color w:val="000000"/>
                <w:vertAlign w:val="superscript"/>
              </w:rPr>
              <w:t xml:space="preserve"> a</w:t>
            </w:r>
          </w:p>
        </w:tc>
        <w:tc>
          <w:tcPr>
            <w:tcW w:w="1495" w:type="dxa"/>
            <w:vAlign w:val="center"/>
          </w:tcPr>
          <w:p w14:paraId="436D0260"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0.21</w:t>
            </w:r>
            <w:r w:rsidRPr="00712AFE">
              <w:rPr>
                <w:rFonts w:ascii="Times New Roman" w:hAnsi="Times New Roman" w:cs="Times New Roman"/>
                <w:color w:val="000000"/>
                <w:vertAlign w:val="superscript"/>
              </w:rPr>
              <w:t xml:space="preserve"> a</w:t>
            </w:r>
          </w:p>
        </w:tc>
        <w:tc>
          <w:tcPr>
            <w:tcW w:w="1344" w:type="dxa"/>
            <w:vAlign w:val="center"/>
          </w:tcPr>
          <w:p w14:paraId="4800E6D4"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0.19</w:t>
            </w:r>
            <w:r w:rsidRPr="00712AFE">
              <w:rPr>
                <w:rFonts w:ascii="Times New Roman" w:hAnsi="Times New Roman" w:cs="Times New Roman"/>
                <w:color w:val="000000"/>
                <w:vertAlign w:val="superscript"/>
              </w:rPr>
              <w:t xml:space="preserve"> a</w:t>
            </w:r>
          </w:p>
        </w:tc>
        <w:tc>
          <w:tcPr>
            <w:tcW w:w="1190" w:type="dxa"/>
            <w:vAlign w:val="center"/>
          </w:tcPr>
          <w:p w14:paraId="65A43791"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0.84</w:t>
            </w:r>
            <w:r w:rsidRPr="00712AFE">
              <w:rPr>
                <w:rFonts w:ascii="Times New Roman" w:hAnsi="Times New Roman" w:cs="Times New Roman"/>
                <w:color w:val="000000"/>
                <w:vertAlign w:val="superscript"/>
              </w:rPr>
              <w:t xml:space="preserve"> a</w:t>
            </w:r>
          </w:p>
        </w:tc>
        <w:tc>
          <w:tcPr>
            <w:tcW w:w="1614" w:type="dxa"/>
            <w:vAlign w:val="center"/>
          </w:tcPr>
          <w:p w14:paraId="67F4ACBC"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0.91</w:t>
            </w:r>
            <w:r w:rsidRPr="00712AFE">
              <w:rPr>
                <w:rFonts w:ascii="Times New Roman" w:hAnsi="Times New Roman" w:cs="Times New Roman"/>
                <w:color w:val="000000"/>
                <w:vertAlign w:val="superscript"/>
              </w:rPr>
              <w:t xml:space="preserve"> a</w:t>
            </w:r>
          </w:p>
        </w:tc>
        <w:tc>
          <w:tcPr>
            <w:tcW w:w="1339" w:type="dxa"/>
            <w:vAlign w:val="center"/>
          </w:tcPr>
          <w:p w14:paraId="30939A30" w14:textId="77777777" w:rsidR="00712AFE" w:rsidRPr="00712AFE" w:rsidRDefault="00712AFE" w:rsidP="003B66EB">
            <w:pPr>
              <w:spacing w:before="120" w:line="360" w:lineRule="auto"/>
              <w:ind w:left="144"/>
              <w:jc w:val="center"/>
              <w:rPr>
                <w:rFonts w:ascii="Times New Roman" w:hAnsi="Times New Roman" w:cs="Times New Roman"/>
                <w:color w:val="000000"/>
                <w:sz w:val="22"/>
              </w:rPr>
            </w:pPr>
            <w:r w:rsidRPr="00712AFE">
              <w:rPr>
                <w:rFonts w:ascii="Times New Roman" w:hAnsi="Times New Roman" w:cs="Times New Roman"/>
                <w:color w:val="000000"/>
                <w:sz w:val="22"/>
              </w:rPr>
              <w:t>0.74</w:t>
            </w:r>
            <w:r w:rsidRPr="00712AFE">
              <w:rPr>
                <w:rFonts w:ascii="Times New Roman" w:hAnsi="Times New Roman" w:cs="Times New Roman"/>
                <w:color w:val="000000"/>
                <w:vertAlign w:val="superscript"/>
              </w:rPr>
              <w:t xml:space="preserve"> a</w:t>
            </w:r>
          </w:p>
        </w:tc>
      </w:tr>
      <w:tr w:rsidR="00712AFE" w:rsidRPr="00712AFE" w14:paraId="156368A4" w14:textId="77777777" w:rsidTr="00B50E84">
        <w:trPr>
          <w:trHeight w:val="107"/>
        </w:trPr>
        <w:tc>
          <w:tcPr>
            <w:tcW w:w="2718" w:type="dxa"/>
            <w:noWrap/>
            <w:hideMark/>
          </w:tcPr>
          <w:p w14:paraId="6E215841" w14:textId="77777777" w:rsidR="00712AFE" w:rsidRPr="00712AFE" w:rsidRDefault="00712AFE" w:rsidP="003B66EB">
            <w:pPr>
              <w:spacing w:before="120" w:line="360" w:lineRule="auto"/>
              <w:ind w:left="144"/>
              <w:rPr>
                <w:rFonts w:ascii="Times New Roman" w:hAnsi="Times New Roman" w:cs="Times New Roman"/>
                <w:b/>
                <w:bCs/>
                <w:color w:val="000000" w:themeColor="text1"/>
              </w:rPr>
            </w:pPr>
            <w:r w:rsidRPr="00712AFE">
              <w:rPr>
                <w:rFonts w:ascii="Times New Roman" w:hAnsi="Times New Roman" w:cs="Times New Roman"/>
                <w:b/>
                <w:bCs/>
                <w:shd w:val="clear" w:color="auto" w:fill="FFFFFF"/>
              </w:rPr>
              <w:t>CD</w:t>
            </w:r>
            <w:r w:rsidRPr="00712AFE">
              <w:rPr>
                <w:rFonts w:ascii="Times New Roman" w:hAnsi="Times New Roman" w:cs="Times New Roman"/>
                <w:b/>
                <w:bCs/>
                <w:color w:val="000000" w:themeColor="text1"/>
              </w:rPr>
              <w:t xml:space="preserve"> (p ≤ 0.05)</w:t>
            </w:r>
          </w:p>
        </w:tc>
        <w:tc>
          <w:tcPr>
            <w:tcW w:w="1260" w:type="dxa"/>
            <w:noWrap/>
            <w:vAlign w:val="center"/>
            <w:hideMark/>
          </w:tcPr>
          <w:p w14:paraId="1043AF60"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0.05</w:t>
            </w:r>
          </w:p>
        </w:tc>
        <w:tc>
          <w:tcPr>
            <w:tcW w:w="1350" w:type="dxa"/>
            <w:noWrap/>
            <w:vAlign w:val="center"/>
            <w:hideMark/>
          </w:tcPr>
          <w:p w14:paraId="0FABAFCC"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0.03</w:t>
            </w:r>
          </w:p>
        </w:tc>
        <w:tc>
          <w:tcPr>
            <w:tcW w:w="1139" w:type="dxa"/>
            <w:noWrap/>
            <w:vAlign w:val="center"/>
            <w:hideMark/>
          </w:tcPr>
          <w:p w14:paraId="4883E83F"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273" w:type="dxa"/>
            <w:vAlign w:val="center"/>
          </w:tcPr>
          <w:p w14:paraId="07718924"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495" w:type="dxa"/>
            <w:vAlign w:val="center"/>
          </w:tcPr>
          <w:p w14:paraId="29A6CBCC"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344" w:type="dxa"/>
            <w:vAlign w:val="center"/>
          </w:tcPr>
          <w:p w14:paraId="7EE520E8"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0.04</w:t>
            </w:r>
          </w:p>
        </w:tc>
        <w:tc>
          <w:tcPr>
            <w:tcW w:w="1190" w:type="dxa"/>
            <w:vAlign w:val="center"/>
          </w:tcPr>
          <w:p w14:paraId="372C4F48"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614" w:type="dxa"/>
            <w:vAlign w:val="center"/>
          </w:tcPr>
          <w:p w14:paraId="39EA3F52"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c>
          <w:tcPr>
            <w:tcW w:w="1339" w:type="dxa"/>
            <w:vAlign w:val="center"/>
          </w:tcPr>
          <w:p w14:paraId="6A8BEF2C" w14:textId="77777777" w:rsidR="00712AFE" w:rsidRPr="00712AFE" w:rsidRDefault="00712AFE" w:rsidP="003B66EB">
            <w:pPr>
              <w:spacing w:before="120" w:line="360" w:lineRule="auto"/>
              <w:ind w:left="144"/>
              <w:jc w:val="center"/>
              <w:rPr>
                <w:rFonts w:ascii="Times New Roman" w:hAnsi="Times New Roman" w:cs="Times New Roman"/>
                <w:color w:val="000000"/>
              </w:rPr>
            </w:pPr>
            <w:r w:rsidRPr="00712AFE">
              <w:rPr>
                <w:rFonts w:ascii="Times New Roman" w:hAnsi="Times New Roman" w:cs="Times New Roman"/>
                <w:color w:val="000000"/>
              </w:rPr>
              <w:t>0.01</w:t>
            </w:r>
          </w:p>
        </w:tc>
      </w:tr>
    </w:tbl>
    <w:p w14:paraId="21B22682" w14:textId="77777777" w:rsidR="00712AFE" w:rsidRPr="00712AFE" w:rsidRDefault="00712AFE" w:rsidP="003B66EB">
      <w:pPr>
        <w:pStyle w:val="Default"/>
        <w:spacing w:line="360" w:lineRule="auto"/>
        <w:jc w:val="both"/>
        <w:rPr>
          <w:rFonts w:ascii="Times New Roman" w:hAnsi="Times New Roman" w:cs="Times New Roman"/>
          <w:sz w:val="20"/>
          <w:szCs w:val="20"/>
        </w:rPr>
      </w:pPr>
      <w:r w:rsidRPr="00712AFE">
        <w:rPr>
          <w:rFonts w:ascii="Times New Roman" w:hAnsi="Times New Roman" w:cs="Times New Roman"/>
          <w:b/>
          <w:bCs/>
          <w:sz w:val="20"/>
          <w:szCs w:val="20"/>
        </w:rPr>
        <w:t>Note</w:t>
      </w:r>
      <w:r w:rsidRPr="00712AFE">
        <w:rPr>
          <w:rFonts w:ascii="Times New Roman" w:hAnsi="Times New Roman" w:cs="Times New Roman"/>
          <w:sz w:val="20"/>
          <w:szCs w:val="20"/>
        </w:rPr>
        <w:t>: Letters indicate significant differences (p ≤ 0.05)</w:t>
      </w:r>
    </w:p>
    <w:p w14:paraId="4A7C1547" w14:textId="77777777" w:rsidR="00712AFE" w:rsidRPr="00712AFE" w:rsidRDefault="00712AFE" w:rsidP="00730CC8">
      <w:pPr>
        <w:spacing w:line="360" w:lineRule="auto"/>
        <w:rPr>
          <w:rFonts w:ascii="Times New Roman" w:hAnsi="Times New Roman" w:cs="Times New Roman"/>
          <w:b/>
          <w:bCs/>
          <w:sz w:val="24"/>
          <w:szCs w:val="24"/>
        </w:rPr>
        <w:sectPr w:rsidR="00712AFE" w:rsidRPr="00712AFE" w:rsidSect="00712AFE">
          <w:pgSz w:w="16839" w:h="11907" w:orient="landscape" w:code="9"/>
          <w:pgMar w:top="1440" w:right="1440" w:bottom="1440" w:left="1440" w:header="708" w:footer="708" w:gutter="0"/>
          <w:cols w:space="708"/>
          <w:docGrid w:linePitch="360"/>
        </w:sectPr>
      </w:pPr>
    </w:p>
    <w:p w14:paraId="15492CA6" w14:textId="77777777" w:rsidR="00712AFE" w:rsidRPr="00712AFE" w:rsidRDefault="00712AFE" w:rsidP="00730CC8">
      <w:pPr>
        <w:spacing w:line="360" w:lineRule="auto"/>
        <w:rPr>
          <w:rFonts w:ascii="Times New Roman" w:hAnsi="Times New Roman" w:cs="Times New Roman"/>
          <w:b/>
          <w:bCs/>
          <w:sz w:val="24"/>
          <w:szCs w:val="24"/>
        </w:rPr>
      </w:pPr>
    </w:p>
    <w:p w14:paraId="33428657" w14:textId="77777777"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Leaf nutrient dynamics of mango</w:t>
      </w:r>
    </w:p>
    <w:p w14:paraId="1A288DA0" w14:textId="77777777" w:rsidR="00730CC8" w:rsidRPr="00712AFE" w:rsidRDefault="00730CC8" w:rsidP="00730CC8">
      <w:pPr>
        <w:spacing w:line="360" w:lineRule="auto"/>
        <w:ind w:firstLine="540"/>
        <w:jc w:val="both"/>
        <w:rPr>
          <w:rFonts w:ascii="Times New Roman" w:hAnsi="Times New Roman" w:cs="Times New Roman"/>
          <w:sz w:val="24"/>
          <w:szCs w:val="24"/>
        </w:rPr>
      </w:pPr>
      <w:r w:rsidRPr="00712AFE">
        <w:rPr>
          <w:rFonts w:ascii="Times New Roman" w:hAnsi="Times New Roman" w:cs="Times New Roman"/>
          <w:sz w:val="24"/>
          <w:szCs w:val="24"/>
        </w:rPr>
        <w:t>The data revealed that there was significant difference among different irrigation and mulching treatment interactions with respect to leaf NPK content (%)</w:t>
      </w:r>
      <w:r w:rsidR="0090461D">
        <w:rPr>
          <w:rFonts w:ascii="Times New Roman" w:hAnsi="Times New Roman" w:cs="Times New Roman"/>
          <w:sz w:val="24"/>
          <w:szCs w:val="24"/>
        </w:rPr>
        <w:t xml:space="preserve"> (Table 3)</w:t>
      </w:r>
      <w:r w:rsidRPr="00712AFE">
        <w:rPr>
          <w:rFonts w:ascii="Times New Roman" w:hAnsi="Times New Roman" w:cs="Times New Roman"/>
          <w:sz w:val="24"/>
          <w:szCs w:val="24"/>
        </w:rPr>
        <w:t xml:space="preserve">. Maximum leaf N (0.82-1.11 %) P (0.19-0.22%) K (0.74-0.91 %) was recorded with application of 100 % ETc along with mulching during different phenophases of fruit development where as the minimum leaf NPK (%) recorded in 75 % ETc + without mulching application. which might be due to the increased the soil moisture content (14.0-16.5 %) when compared to 75 % ETc + without mulching (9.3%) treatment (Figure 1). Further, when plants irrigated with 100 % ETc along with mulching has enhanced the nutrient use efficiency (Figure 8) due to synergistic effect of mulching and increased irrigation level. Further, the higher moisture regime might help mitigating the shrinkage of roots and increased in contact surface between the roots and soil solution, which resulted into greater absorption of available nutrients. This might have resulted in increased leaf NPK content in the present investigation. The similar findings are reported earlier by </w:t>
      </w:r>
      <w:r w:rsidR="00601643">
        <w:rPr>
          <w:rFonts w:ascii="Times New Roman" w:hAnsi="Times New Roman" w:cs="Times New Roman"/>
          <w:sz w:val="24"/>
          <w:szCs w:val="24"/>
        </w:rPr>
        <w:t>[24]</w:t>
      </w:r>
      <w:r w:rsidRPr="00712AFE">
        <w:rPr>
          <w:rFonts w:ascii="Times New Roman" w:hAnsi="Times New Roman" w:cs="Times New Roman"/>
          <w:sz w:val="24"/>
          <w:szCs w:val="24"/>
        </w:rPr>
        <w:t xml:space="preserve"> and </w:t>
      </w:r>
      <w:r w:rsidR="00601643">
        <w:rPr>
          <w:rFonts w:ascii="Times New Roman" w:hAnsi="Times New Roman" w:cs="Times New Roman"/>
          <w:sz w:val="24"/>
          <w:szCs w:val="24"/>
        </w:rPr>
        <w:t>[25]</w:t>
      </w:r>
      <w:r w:rsidRPr="00712AFE">
        <w:rPr>
          <w:rFonts w:ascii="Times New Roman" w:hAnsi="Times New Roman" w:cs="Times New Roman"/>
          <w:sz w:val="24"/>
          <w:szCs w:val="24"/>
        </w:rPr>
        <w:t xml:space="preserve"> in pomegranate. Similar was also results earlier reported </w:t>
      </w:r>
      <w:r w:rsidR="00601643">
        <w:rPr>
          <w:rFonts w:ascii="Times New Roman" w:hAnsi="Times New Roman" w:cs="Times New Roman"/>
          <w:sz w:val="24"/>
          <w:szCs w:val="24"/>
        </w:rPr>
        <w:t>[26]</w:t>
      </w:r>
      <w:r w:rsidRPr="00712AFE">
        <w:rPr>
          <w:rFonts w:ascii="Times New Roman" w:hAnsi="Times New Roman" w:cs="Times New Roman"/>
          <w:sz w:val="24"/>
          <w:szCs w:val="24"/>
        </w:rPr>
        <w:t xml:space="preserve"> in sapota.</w:t>
      </w:r>
    </w:p>
    <w:p w14:paraId="20CDFAAF" w14:textId="77777777"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 xml:space="preserve">Impact of combined application of irrigation and mulching on moisture content of mango </w:t>
      </w:r>
    </w:p>
    <w:p w14:paraId="1916D0F6" w14:textId="77777777" w:rsidR="00730CC8" w:rsidRPr="00712AFE" w:rsidRDefault="00730CC8" w:rsidP="00730CC8">
      <w:pPr>
        <w:pStyle w:val="NormalWeb"/>
        <w:spacing w:line="360" w:lineRule="auto"/>
        <w:ind w:firstLine="720"/>
        <w:jc w:val="both"/>
      </w:pPr>
      <w:r w:rsidRPr="00712AFE">
        <w:t>The interaction between irrigation and mulching significantly affected soil moisture content during the BBCH-510, BBCH-619, BBCH-701, BBCH-703, BBCH-705, and BBCH-709 phenophases of fruit development</w:t>
      </w:r>
      <w:r w:rsidR="0090461D">
        <w:t xml:space="preserve"> (Figure 2)</w:t>
      </w:r>
      <w:r w:rsidRPr="00712AFE">
        <w:t>. The highest soil moisture content was observed in the treatment 100% ETc combined with mulching, recording values of 14.7%, 14.3%, 15.7%, 16.6%, 14.4%, and 13.4% at BBCH-510, BBCH-619, BBCH-701, BBCH-703, BBCH-705, and BBCH-709 phenophases, respectively, followed by the I</w:t>
      </w:r>
      <w:r w:rsidRPr="00712AFE">
        <w:rPr>
          <w:vertAlign w:val="subscript"/>
        </w:rPr>
        <w:t>1</w:t>
      </w:r>
      <w:r w:rsidRPr="00712AFE">
        <w:t>M</w:t>
      </w:r>
      <w:r w:rsidRPr="00712AFE">
        <w:rPr>
          <w:vertAlign w:val="subscript"/>
        </w:rPr>
        <w:t>1</w:t>
      </w:r>
      <w:r w:rsidRPr="00712AFE">
        <w:t xml:space="preserve"> treatment. The lowest soil moisture content was recorded in the treatment with 75% ETc without mulching (I</w:t>
      </w:r>
      <w:r w:rsidRPr="00712AFE">
        <w:rPr>
          <w:vertAlign w:val="subscript"/>
        </w:rPr>
        <w:t>1</w:t>
      </w:r>
      <w:r w:rsidRPr="00712AFE">
        <w:t>M</w:t>
      </w:r>
      <w:r w:rsidRPr="00712AFE">
        <w:rPr>
          <w:vertAlign w:val="subscript"/>
        </w:rPr>
        <w:t>0</w:t>
      </w:r>
      <w:r w:rsidRPr="00712AFE">
        <w:t>), with values of 6.5%, 6.2%, 7.1%, 7.5%, 6.2%, and 6.0% at the respective phenophases.</w:t>
      </w:r>
    </w:p>
    <w:p w14:paraId="1B5B287D" w14:textId="77777777" w:rsidR="00730CC8" w:rsidRPr="00712AFE" w:rsidRDefault="00730CC8" w:rsidP="00730CC8">
      <w:pPr>
        <w:pStyle w:val="NormalWeb"/>
        <w:spacing w:line="360" w:lineRule="auto"/>
        <w:ind w:firstLine="720"/>
        <w:jc w:val="both"/>
      </w:pPr>
      <w:r w:rsidRPr="00712AFE">
        <w:t xml:space="preserve">The highest soil moisture content in the 100% ETc with mulching treatment can be attributed to daily drip irrigation at 100% ETc, which maintains moisture in the upper soil layers, combined with the effect of mulching. The higher moisture content under mulch treatments is likely due to polyethylene mulch significantly reducing soil drying and minimizing diurnal moisture fluctuations. This is primarily because daytime evaporation, the </w:t>
      </w:r>
      <w:r w:rsidRPr="00712AFE">
        <w:lastRenderedPageBreak/>
        <w:t xml:space="preserve">main cause of diurnal moisture variation in bare soil, is greatly reduced under mulch. Additionally, moisture that evaporates under the plastic mulch condenses on the underside of the polyethylene sheet and returns to the soil surface, effectively eliminating the diurnal cycling observed in bare soil. The synergistic effect of maximum irrigation and mulching led to improved soil moisture retention in this study. Similar findings have been reported </w:t>
      </w:r>
      <w:r w:rsidR="00601643">
        <w:t>[27]</w:t>
      </w:r>
      <w:r w:rsidRPr="00712AFE">
        <w:t xml:space="preserve"> in </w:t>
      </w:r>
      <w:r w:rsidR="00601643">
        <w:t>and</w:t>
      </w:r>
      <w:r w:rsidRPr="00712AFE">
        <w:t xml:space="preserve"> in sapota cv. </w:t>
      </w:r>
      <w:proofErr w:type="spellStart"/>
      <w:r w:rsidRPr="00712AFE">
        <w:t>Kalipatti</w:t>
      </w:r>
      <w:proofErr w:type="spellEnd"/>
      <w:r w:rsidR="00601643">
        <w:t xml:space="preserve"> [28]</w:t>
      </w:r>
      <w:r w:rsidRPr="00712AFE">
        <w:t>.</w:t>
      </w:r>
    </w:p>
    <w:p w14:paraId="132D02F4" w14:textId="77777777" w:rsidR="00712AFE" w:rsidRDefault="00712AFE" w:rsidP="00712AFE">
      <w:pPr>
        <w:jc w:val="both"/>
      </w:pPr>
      <w:r w:rsidRPr="005A1CE8">
        <w:rPr>
          <w:noProof/>
        </w:rPr>
        <w:drawing>
          <wp:inline distT="0" distB="0" distL="0" distR="0" wp14:anchorId="639C0660" wp14:editId="73AD7859">
            <wp:extent cx="6495271" cy="3312543"/>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D6FF51" w14:textId="77777777" w:rsidR="00712AFE" w:rsidRPr="0090461D" w:rsidRDefault="00712AFE" w:rsidP="0090461D">
      <w:pPr>
        <w:ind w:left="720" w:hanging="576"/>
        <w:rPr>
          <w:rFonts w:ascii="Times New Roman" w:hAnsi="Times New Roman" w:cs="Times New Roman"/>
          <w:b/>
        </w:rPr>
      </w:pPr>
      <w:r w:rsidRPr="0090461D">
        <w:rPr>
          <w:rFonts w:ascii="Times New Roman" w:hAnsi="Times New Roman" w:cs="Times New Roman"/>
          <w:b/>
        </w:rPr>
        <w:t>Figure 2: Interaction effect of irrigation and mulching on soil moisture content (%) of mango (Data based on PDSR soil moisture sensor readings at BBCH 510 to 709)</w:t>
      </w:r>
    </w:p>
    <w:p w14:paraId="130D9481" w14:textId="77777777"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fruit yield of mango</w:t>
      </w:r>
    </w:p>
    <w:p w14:paraId="0B06D6AF" w14:textId="77777777" w:rsidR="00730CC8" w:rsidRPr="00712AFE" w:rsidRDefault="00730CC8" w:rsidP="00730CC8">
      <w:pPr>
        <w:spacing w:line="360" w:lineRule="auto"/>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The interaction between mulching and irrigation significantly affected fruit yield per tree. The highest yield was recorded with 100% ETc + mulching (89.11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followed by 75% ETc + mulching (75.78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The lowest yield was observed with 75% ETc without mulching (57.18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 xml:space="preserve">¹). Application of 100% ETc + mulching increased fruit yield per tree by 35.83% compared to 75% ETc without mulching. The superior yield with 100% ETc + mulching was likely due to greater fruit weight and number per tree, driven by higher soil moisture availability (as measured by sensors) relative to the 75% ETc without mulching treatment (9.3% lower moisture). Elevated soil moisture enhanced mineral nutrient solubility, improving nutrient </w:t>
      </w:r>
      <w:r w:rsidR="00A07959">
        <w:rPr>
          <w:rFonts w:ascii="Times New Roman" w:hAnsi="Times New Roman" w:cs="Times New Roman"/>
          <w:color w:val="000000" w:themeColor="text1"/>
          <w:sz w:val="24"/>
          <w:szCs w:val="24"/>
        </w:rPr>
        <w:t>use</w:t>
      </w:r>
      <w:r w:rsidRPr="00712AFE">
        <w:rPr>
          <w:rFonts w:ascii="Times New Roman" w:hAnsi="Times New Roman" w:cs="Times New Roman"/>
          <w:color w:val="000000" w:themeColor="text1"/>
          <w:sz w:val="24"/>
          <w:szCs w:val="24"/>
        </w:rPr>
        <w:t xml:space="preserve"> efficiency (</w:t>
      </w:r>
      <w:r w:rsidRPr="00A07959">
        <w:rPr>
          <w:rFonts w:ascii="Times New Roman" w:hAnsi="Times New Roman" w:cs="Times New Roman"/>
          <w:color w:val="000000" w:themeColor="text1"/>
          <w:sz w:val="24"/>
          <w:szCs w:val="24"/>
        </w:rPr>
        <w:t>Figure</w:t>
      </w:r>
      <w:r w:rsidRPr="00712AFE">
        <w:rPr>
          <w:rFonts w:ascii="Times New Roman" w:hAnsi="Times New Roman" w:cs="Times New Roman"/>
          <w:color w:val="000000" w:themeColor="text1"/>
          <w:sz w:val="24"/>
          <w:szCs w:val="24"/>
        </w:rPr>
        <w:t xml:space="preserve"> </w:t>
      </w:r>
      <w:r w:rsidR="00A07959">
        <w:rPr>
          <w:rFonts w:ascii="Times New Roman" w:hAnsi="Times New Roman" w:cs="Times New Roman"/>
          <w:color w:val="000000" w:themeColor="text1"/>
          <w:sz w:val="24"/>
          <w:szCs w:val="24"/>
        </w:rPr>
        <w:t>9</w:t>
      </w:r>
      <w:r w:rsidRPr="00712AFE">
        <w:rPr>
          <w:rFonts w:ascii="Times New Roman" w:hAnsi="Times New Roman" w:cs="Times New Roman"/>
          <w:color w:val="000000" w:themeColor="text1"/>
          <w:sz w:val="24"/>
          <w:szCs w:val="24"/>
        </w:rPr>
        <w:t>). Continuous availability of water and nutrients throughout the crop cycle likely boosted photosynthesis, leading to greater accumulation of photosynthates and auxin-like substances. These promoted fruit physical development and increased fruit set, ultimately contributing to higher overall yield per tree.</w:t>
      </w:r>
    </w:p>
    <w:p w14:paraId="2066A56F" w14:textId="77777777" w:rsidR="00730CC8" w:rsidRDefault="00730CC8" w:rsidP="00730CC8">
      <w:pPr>
        <w:spacing w:line="360" w:lineRule="auto"/>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lastRenderedPageBreak/>
        <w:t xml:space="preserve">Comparisons at the same irrigation level also revealed significant effects: 100% ETc + mulching produced 23.06% higher yield per tree than 100% ETc without mulching. Moreover, 100% ETc without mulching was statistically comparable to 75% ETc + mulching in terms of yield per tree. This indicates that 75% ETc + mulching had a pronounced positive effect, matching the performance of 100% ETc without mulching while achieving 25% water savings. Similar yield enhancements with combined irrigation and mulching have been reported previously: </w:t>
      </w:r>
      <w:r w:rsidR="00D129BD">
        <w:rPr>
          <w:rFonts w:ascii="Times New Roman" w:hAnsi="Times New Roman" w:cs="Times New Roman"/>
          <w:color w:val="000000" w:themeColor="text1"/>
          <w:sz w:val="24"/>
          <w:szCs w:val="24"/>
        </w:rPr>
        <w:t>[29]</w:t>
      </w:r>
      <w:r w:rsidRPr="00712AFE">
        <w:rPr>
          <w:rFonts w:ascii="Times New Roman" w:hAnsi="Times New Roman" w:cs="Times New Roman"/>
          <w:color w:val="000000" w:themeColor="text1"/>
          <w:sz w:val="24"/>
          <w:szCs w:val="24"/>
        </w:rPr>
        <w:t xml:space="preserve"> in mango cv. </w:t>
      </w:r>
      <w:proofErr w:type="spellStart"/>
      <w:r w:rsidRPr="00712AFE">
        <w:rPr>
          <w:rFonts w:ascii="Times New Roman" w:hAnsi="Times New Roman" w:cs="Times New Roman"/>
          <w:color w:val="000000" w:themeColor="text1"/>
          <w:sz w:val="24"/>
          <w:szCs w:val="24"/>
        </w:rPr>
        <w:t>Dashehari</w:t>
      </w:r>
      <w:proofErr w:type="spellEnd"/>
      <w:r w:rsidRPr="00712AFE">
        <w:rPr>
          <w:rFonts w:ascii="Times New Roman" w:hAnsi="Times New Roman" w:cs="Times New Roman"/>
          <w:color w:val="000000" w:themeColor="text1"/>
          <w:sz w:val="24"/>
          <w:szCs w:val="24"/>
        </w:rPr>
        <w:t xml:space="preserve">; in mango cv. Lat </w:t>
      </w:r>
      <w:proofErr w:type="spellStart"/>
      <w:r w:rsidRPr="00712AFE">
        <w:rPr>
          <w:rFonts w:ascii="Times New Roman" w:hAnsi="Times New Roman" w:cs="Times New Roman"/>
          <w:color w:val="000000" w:themeColor="text1"/>
          <w:sz w:val="24"/>
          <w:szCs w:val="24"/>
        </w:rPr>
        <w:t>Sinduri</w:t>
      </w:r>
      <w:proofErr w:type="spellEnd"/>
      <w:r w:rsidR="00D129BD">
        <w:rPr>
          <w:rFonts w:ascii="Times New Roman" w:hAnsi="Times New Roman" w:cs="Times New Roman"/>
          <w:color w:val="000000" w:themeColor="text1"/>
          <w:sz w:val="24"/>
          <w:szCs w:val="24"/>
        </w:rPr>
        <w:t xml:space="preserve"> [30]</w:t>
      </w:r>
      <w:r w:rsidRPr="00712AFE">
        <w:rPr>
          <w:rFonts w:ascii="Times New Roman" w:hAnsi="Times New Roman" w:cs="Times New Roman"/>
          <w:color w:val="000000" w:themeColor="text1"/>
          <w:sz w:val="24"/>
          <w:szCs w:val="24"/>
        </w:rPr>
        <w:t>; in mango cv. Arka Anmol</w:t>
      </w:r>
      <w:r w:rsidR="00D129BD">
        <w:rPr>
          <w:rFonts w:ascii="Times New Roman" w:hAnsi="Times New Roman" w:cs="Times New Roman"/>
          <w:color w:val="000000" w:themeColor="text1"/>
          <w:sz w:val="24"/>
          <w:szCs w:val="24"/>
        </w:rPr>
        <w:t xml:space="preserve"> [31]. In </w:t>
      </w:r>
      <w:proofErr w:type="spellStart"/>
      <w:r w:rsidR="00D129BD">
        <w:rPr>
          <w:rFonts w:ascii="Times New Roman" w:hAnsi="Times New Roman" w:cs="Times New Roman"/>
          <w:color w:val="000000" w:themeColor="text1"/>
          <w:sz w:val="24"/>
          <w:szCs w:val="24"/>
        </w:rPr>
        <w:t>bael</w:t>
      </w:r>
      <w:proofErr w:type="spellEnd"/>
      <w:r w:rsidR="00D129BD">
        <w:rPr>
          <w:rFonts w:ascii="Times New Roman" w:hAnsi="Times New Roman" w:cs="Times New Roman"/>
          <w:color w:val="000000" w:themeColor="text1"/>
          <w:sz w:val="24"/>
          <w:szCs w:val="24"/>
        </w:rPr>
        <w:t xml:space="preserve"> [32]</w:t>
      </w:r>
      <w:r w:rsidRPr="00712AFE">
        <w:rPr>
          <w:rFonts w:ascii="Times New Roman" w:hAnsi="Times New Roman" w:cs="Times New Roman"/>
          <w:color w:val="000000" w:themeColor="text1"/>
          <w:sz w:val="24"/>
          <w:szCs w:val="24"/>
        </w:rPr>
        <w:t>found that black polythene mulching combined with basin irrigation every 10 days minimized fruit drop and maximized yield, whereas mulching without irrigation led to higher fruit drop.</w:t>
      </w:r>
    </w:p>
    <w:p w14:paraId="1CE54D19" w14:textId="77777777" w:rsidR="0090461D" w:rsidRDefault="0090461D" w:rsidP="0090461D">
      <w:pPr>
        <w:jc w:val="both"/>
      </w:pPr>
      <w:r w:rsidRPr="00A808B3">
        <w:rPr>
          <w:noProof/>
        </w:rPr>
        <w:drawing>
          <wp:inline distT="0" distB="0" distL="0" distR="0" wp14:anchorId="60EEE89D" wp14:editId="485EB9A8">
            <wp:extent cx="5628904" cy="2386940"/>
            <wp:effectExtent l="0" t="0" r="0" b="0"/>
            <wp:docPr id="1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CB6D48" w14:textId="77777777"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Figure 3: Interaction effect of irrigation and mulching on fruit yield (kg tree</w:t>
      </w:r>
      <w:r w:rsidRPr="0090461D">
        <w:rPr>
          <w:rFonts w:ascii="Times New Roman" w:hAnsi="Times New Roman" w:cs="Times New Roman"/>
          <w:b/>
          <w:vertAlign w:val="superscript"/>
        </w:rPr>
        <w:t>-1</w:t>
      </w:r>
      <w:r w:rsidRPr="0090461D">
        <w:rPr>
          <w:rFonts w:ascii="Times New Roman" w:hAnsi="Times New Roman" w:cs="Times New Roman"/>
          <w:b/>
        </w:rPr>
        <w:t xml:space="preserve">) at final harvesting </w:t>
      </w:r>
    </w:p>
    <w:p w14:paraId="4E2C3BA5" w14:textId="77777777" w:rsidR="0090461D" w:rsidRPr="00712AFE" w:rsidRDefault="0090461D" w:rsidP="00730CC8">
      <w:pPr>
        <w:spacing w:line="360" w:lineRule="auto"/>
        <w:jc w:val="both"/>
        <w:rPr>
          <w:rFonts w:ascii="Times New Roman" w:hAnsi="Times New Roman" w:cs="Times New Roman"/>
          <w:color w:val="000000" w:themeColor="text1"/>
          <w:sz w:val="24"/>
          <w:szCs w:val="24"/>
        </w:rPr>
      </w:pPr>
    </w:p>
    <w:p w14:paraId="11F916A4" w14:textId="77777777"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fruit quality of mango</w:t>
      </w:r>
    </w:p>
    <w:p w14:paraId="1BE6420F" w14:textId="77777777"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Rate of respiration </w:t>
      </w:r>
    </w:p>
    <w:p w14:paraId="6B8100EE" w14:textId="77777777" w:rsidR="00730CC8" w:rsidRDefault="00730CC8" w:rsidP="00730CC8">
      <w:pPr>
        <w:pStyle w:val="NormalWeb"/>
        <w:spacing w:line="360" w:lineRule="auto"/>
        <w:jc w:val="both"/>
      </w:pPr>
      <w:r w:rsidRPr="00712AFE">
        <w:t xml:space="preserve">The combined application of irrigation and mulching in the present study resulted in significantly higher internal oxygen and lower carbon dioxide levels (Figure </w:t>
      </w:r>
      <w:r w:rsidR="002813F1">
        <w:t>4&amp;5</w:t>
      </w:r>
      <w:r w:rsidRPr="00712AFE">
        <w:t>). The maximum oxygen and minimum CO</w:t>
      </w:r>
      <w:r w:rsidRPr="00712AFE">
        <w:rPr>
          <w:rFonts w:ascii="Cambria Math" w:hAnsi="Cambria Math"/>
        </w:rPr>
        <w:t>₂</w:t>
      </w:r>
      <w:r w:rsidRPr="00712AFE">
        <w:t xml:space="preserve"> content observed with 100% ETc irrigation plus mulching may be attributed to enhanced physiological activity, including greater photosynthate accumulation via increased stomatal conductance and CO</w:t>
      </w:r>
      <w:r w:rsidRPr="00712AFE">
        <w:rPr>
          <w:rFonts w:ascii="Cambria Math" w:hAnsi="Cambria Math"/>
        </w:rPr>
        <w:t>₂</w:t>
      </w:r>
      <w:r w:rsidRPr="00712AFE">
        <w:t xml:space="preserve"> assimilation, facilitated by improved soil moisture and nutrient solubility. Furthermore, higher soil moisture likely promoted the translocation of synthesized assimilates from source to sink, leading to elevated sugar and ascorbic acid contents. The increased sugar levels may have contributed to greater fruit firmness, while the elevated ascorbic acid, acting as an antioxidant, likely reduced th</w:t>
      </w:r>
      <w:r w:rsidR="002813F1">
        <w:t>e respiration rate</w:t>
      </w:r>
      <w:r w:rsidRPr="00712AFE">
        <w:t>.</w:t>
      </w:r>
    </w:p>
    <w:p w14:paraId="4F0D8F3D" w14:textId="77777777" w:rsidR="0090461D" w:rsidRPr="00983BAA" w:rsidRDefault="0090461D" w:rsidP="0090461D">
      <w:pPr>
        <w:jc w:val="both"/>
        <w:rPr>
          <w:rFonts w:cs="Times New Roman"/>
          <w:sz w:val="24"/>
          <w:szCs w:val="24"/>
        </w:rPr>
      </w:pPr>
      <w:r w:rsidRPr="00983BAA">
        <w:rPr>
          <w:rFonts w:cs="Times New Roman"/>
          <w:noProof/>
          <w:sz w:val="24"/>
          <w:szCs w:val="24"/>
        </w:rPr>
        <w:lastRenderedPageBreak/>
        <w:drawing>
          <wp:inline distT="0" distB="0" distL="0" distR="0" wp14:anchorId="75054E13" wp14:editId="67912C41">
            <wp:extent cx="5551335" cy="3108960"/>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3CFCD6" w14:textId="77777777"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 xml:space="preserve">Figure </w:t>
      </w:r>
      <w:r>
        <w:rPr>
          <w:rFonts w:ascii="Times New Roman" w:hAnsi="Times New Roman" w:cs="Times New Roman"/>
          <w:b/>
        </w:rPr>
        <w:t>4</w:t>
      </w:r>
      <w:r w:rsidRPr="0090461D">
        <w:rPr>
          <w:rFonts w:ascii="Times New Roman" w:hAnsi="Times New Roman" w:cs="Times New Roman"/>
          <w:b/>
        </w:rPr>
        <w:t>: Interaction effect of irrigation and mulching on O</w:t>
      </w:r>
      <w:r w:rsidRPr="0090461D">
        <w:rPr>
          <w:rFonts w:ascii="Times New Roman" w:hAnsi="Times New Roman" w:cs="Times New Roman"/>
          <w:b/>
          <w:vertAlign w:val="subscript"/>
        </w:rPr>
        <w:t>2</w:t>
      </w:r>
      <w:r w:rsidRPr="0090461D">
        <w:rPr>
          <w:rFonts w:ascii="Times New Roman" w:hAnsi="Times New Roman" w:cs="Times New Roman"/>
          <w:b/>
        </w:rPr>
        <w:t xml:space="preserve"> (% kg fresh mass</w:t>
      </w:r>
      <w:r w:rsidRPr="0090461D">
        <w:rPr>
          <w:rFonts w:ascii="Times New Roman" w:hAnsi="Times New Roman" w:cs="Times New Roman"/>
          <w:b/>
          <w:vertAlign w:val="superscript"/>
        </w:rPr>
        <w:t>-1</w:t>
      </w:r>
      <w:r w:rsidRPr="0090461D">
        <w:rPr>
          <w:rFonts w:ascii="Times New Roman" w:hAnsi="Times New Roman" w:cs="Times New Roman"/>
          <w:b/>
        </w:rPr>
        <w:t xml:space="preserve"> h</w:t>
      </w:r>
      <w:r w:rsidRPr="0090461D">
        <w:rPr>
          <w:rFonts w:ascii="Times New Roman" w:hAnsi="Times New Roman" w:cs="Times New Roman"/>
          <w:b/>
          <w:vertAlign w:val="superscript"/>
        </w:rPr>
        <w:t>-1</w:t>
      </w:r>
      <w:r w:rsidRPr="0090461D">
        <w:rPr>
          <w:rFonts w:ascii="Times New Roman" w:hAnsi="Times New Roman" w:cs="Times New Roman"/>
          <w:b/>
        </w:rPr>
        <w:t>) consumption of mango fruits after harvest.</w:t>
      </w:r>
    </w:p>
    <w:p w14:paraId="7CBC8A3C" w14:textId="77777777" w:rsidR="0090461D" w:rsidRPr="00983BAA" w:rsidRDefault="0090461D" w:rsidP="0090461D">
      <w:pPr>
        <w:jc w:val="both"/>
        <w:rPr>
          <w:rFonts w:cs="Times New Roman"/>
          <w:sz w:val="24"/>
          <w:szCs w:val="24"/>
        </w:rPr>
      </w:pPr>
      <w:r w:rsidRPr="00983BAA">
        <w:rPr>
          <w:rFonts w:cs="Times New Roman"/>
          <w:noProof/>
          <w:sz w:val="24"/>
          <w:szCs w:val="24"/>
        </w:rPr>
        <w:drawing>
          <wp:inline distT="0" distB="0" distL="0" distR="0" wp14:anchorId="475BB578" wp14:editId="244DA01A">
            <wp:extent cx="5570867" cy="3428233"/>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102099" w14:textId="77777777" w:rsidR="0090461D" w:rsidRPr="0090461D" w:rsidRDefault="0090461D" w:rsidP="0090461D">
      <w:pPr>
        <w:ind w:left="720" w:hanging="720"/>
        <w:jc w:val="both"/>
        <w:rPr>
          <w:rFonts w:ascii="Times New Roman" w:hAnsi="Times New Roman" w:cs="Times New Roman"/>
          <w:b/>
        </w:rPr>
      </w:pPr>
      <w:r w:rsidRPr="0090461D">
        <w:rPr>
          <w:rFonts w:ascii="Times New Roman" w:hAnsi="Times New Roman" w:cs="Times New Roman"/>
          <w:b/>
        </w:rPr>
        <w:t xml:space="preserve">Figure </w:t>
      </w:r>
      <w:r>
        <w:rPr>
          <w:rFonts w:ascii="Times New Roman" w:hAnsi="Times New Roman" w:cs="Times New Roman"/>
          <w:b/>
        </w:rPr>
        <w:t>5</w:t>
      </w:r>
      <w:r w:rsidRPr="0090461D">
        <w:rPr>
          <w:rFonts w:ascii="Times New Roman" w:hAnsi="Times New Roman" w:cs="Times New Roman"/>
          <w:b/>
        </w:rPr>
        <w:t>: Interaction effect of irrigation and mulching on Co</w:t>
      </w:r>
      <w:r w:rsidRPr="0090461D">
        <w:rPr>
          <w:rFonts w:ascii="Times New Roman" w:hAnsi="Times New Roman" w:cs="Times New Roman"/>
          <w:b/>
          <w:vertAlign w:val="subscript"/>
        </w:rPr>
        <w:t>2</w:t>
      </w:r>
      <w:r w:rsidRPr="0090461D">
        <w:rPr>
          <w:rFonts w:ascii="Times New Roman" w:hAnsi="Times New Roman" w:cs="Times New Roman"/>
          <w:b/>
        </w:rPr>
        <w:t xml:space="preserve"> (% kg fresh mass</w:t>
      </w:r>
      <w:r w:rsidRPr="0090461D">
        <w:rPr>
          <w:rFonts w:ascii="Times New Roman" w:hAnsi="Times New Roman" w:cs="Times New Roman"/>
          <w:b/>
          <w:vertAlign w:val="superscript"/>
        </w:rPr>
        <w:t>-1</w:t>
      </w:r>
      <w:r w:rsidRPr="0090461D">
        <w:rPr>
          <w:rFonts w:ascii="Times New Roman" w:hAnsi="Times New Roman" w:cs="Times New Roman"/>
          <w:b/>
        </w:rPr>
        <w:t xml:space="preserve"> h</w:t>
      </w:r>
      <w:r w:rsidRPr="0090461D">
        <w:rPr>
          <w:rFonts w:ascii="Times New Roman" w:hAnsi="Times New Roman" w:cs="Times New Roman"/>
          <w:b/>
          <w:vertAlign w:val="superscript"/>
        </w:rPr>
        <w:t>-1</w:t>
      </w:r>
      <w:r w:rsidRPr="0090461D">
        <w:rPr>
          <w:rFonts w:ascii="Times New Roman" w:hAnsi="Times New Roman" w:cs="Times New Roman"/>
          <w:b/>
        </w:rPr>
        <w:t>) emission mango fruits after harvest.</w:t>
      </w:r>
    </w:p>
    <w:p w14:paraId="4DBF70B6" w14:textId="77777777" w:rsidR="0090461D" w:rsidRPr="00712AFE" w:rsidRDefault="0090461D" w:rsidP="00730CC8">
      <w:pPr>
        <w:pStyle w:val="NormalWeb"/>
        <w:spacing w:line="360" w:lineRule="auto"/>
        <w:jc w:val="both"/>
      </w:pPr>
    </w:p>
    <w:p w14:paraId="4453DBDF" w14:textId="77777777"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DA index </w:t>
      </w:r>
    </w:p>
    <w:p w14:paraId="6026C71C" w14:textId="77777777" w:rsidR="00730CC8" w:rsidRDefault="00730CC8" w:rsidP="00730CC8">
      <w:pPr>
        <w:pStyle w:val="NormalWeb"/>
        <w:spacing w:line="360" w:lineRule="auto"/>
        <w:jc w:val="both"/>
      </w:pPr>
      <w:r w:rsidRPr="00712AFE">
        <w:t xml:space="preserve">The data revealed significant differences among the interactions of irrigation and mulching treatments with respect to the DA-index (Figure </w:t>
      </w:r>
      <w:r w:rsidR="002813F1">
        <w:t>6</w:t>
      </w:r>
      <w:r w:rsidRPr="00712AFE">
        <w:t xml:space="preserve">). On the day of harvest, the DA-index </w:t>
      </w:r>
      <w:r w:rsidRPr="00712AFE">
        <w:lastRenderedPageBreak/>
        <w:t>showed no significant differences. Thereafter, the DA-index varied significantly across the different irrigation and mulching interactions. The highest DA-index was observed with irrigation at 100% ETc combined with mulching (0.96, 0.74, and 0.55 on the 3rd, 6th, and 9th days of storage, respectively), whereas the lowest was recorded without mulching (I</w:t>
      </w:r>
      <w:r w:rsidRPr="00712AFE">
        <w:rPr>
          <w:vertAlign w:val="subscript"/>
        </w:rPr>
        <w:t>1</w:t>
      </w:r>
      <w:r w:rsidRPr="00712AFE">
        <w:t>M</w:t>
      </w:r>
      <w:r w:rsidRPr="00712AFE">
        <w:rPr>
          <w:vertAlign w:val="subscript"/>
        </w:rPr>
        <w:t>0</w:t>
      </w:r>
      <w:r w:rsidRPr="00712AFE">
        <w:t>) (0.57, 0.44, and 0.10 on the 3rd, 6th, and 9th days of storage, respectively). Higher irrigation levels combined with mulching significantly slowed chlorophyll degradation compared to other treatments. The synergistic effect of irrigation and mulching likely enhanced photosynthetic rates, promoting the production of antioxidants, sugars, and other essential compounds. These elevated levels of antioxidants, sugars, and compounds may have delayed chlorophyll degradation in the present study.</w:t>
      </w:r>
    </w:p>
    <w:p w14:paraId="4AB179DA" w14:textId="77777777" w:rsidR="002813F1" w:rsidRDefault="002813F1" w:rsidP="002813F1">
      <w:pPr>
        <w:jc w:val="both"/>
      </w:pPr>
      <w:r w:rsidRPr="00D16CB2">
        <w:rPr>
          <w:noProof/>
        </w:rPr>
        <w:drawing>
          <wp:inline distT="0" distB="0" distL="0" distR="0" wp14:anchorId="5103C150" wp14:editId="181BF8ED">
            <wp:extent cx="5990253" cy="3442996"/>
            <wp:effectExtent l="0" t="0" r="0" b="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59C83A1" w14:textId="77777777" w:rsidR="002813F1" w:rsidRDefault="002813F1" w:rsidP="002813F1">
      <w:pPr>
        <w:jc w:val="both"/>
      </w:pPr>
    </w:p>
    <w:p w14:paraId="30726C64" w14:textId="77777777" w:rsidR="002813F1" w:rsidRPr="002813F1" w:rsidRDefault="002813F1" w:rsidP="002813F1">
      <w:pPr>
        <w:jc w:val="both"/>
        <w:rPr>
          <w:rFonts w:ascii="Times New Roman" w:hAnsi="Times New Roman" w:cs="Times New Roman"/>
          <w:b/>
          <w:sz w:val="22"/>
          <w:szCs w:val="22"/>
        </w:rPr>
      </w:pPr>
      <w:r w:rsidRPr="002813F1">
        <w:rPr>
          <w:rFonts w:ascii="Times New Roman" w:hAnsi="Times New Roman" w:cs="Times New Roman"/>
          <w:b/>
          <w:sz w:val="22"/>
          <w:szCs w:val="22"/>
        </w:rPr>
        <w:t xml:space="preserve">Figure </w:t>
      </w:r>
      <w:r>
        <w:rPr>
          <w:rFonts w:ascii="Times New Roman" w:hAnsi="Times New Roman" w:cs="Times New Roman"/>
          <w:b/>
          <w:sz w:val="22"/>
          <w:szCs w:val="22"/>
        </w:rPr>
        <w:t>6</w:t>
      </w:r>
      <w:r w:rsidRPr="002813F1">
        <w:rPr>
          <w:rFonts w:ascii="Times New Roman" w:hAnsi="Times New Roman" w:cs="Times New Roman"/>
          <w:b/>
          <w:sz w:val="22"/>
          <w:szCs w:val="22"/>
        </w:rPr>
        <w:t>: Interaction effect of irrigation and mulching on DA index mango fruits after harvest</w:t>
      </w:r>
    </w:p>
    <w:p w14:paraId="30B4F4F2" w14:textId="77777777" w:rsidR="00730CC8" w:rsidRPr="00712AFE" w:rsidRDefault="00730CC8" w:rsidP="00730CC8">
      <w:pPr>
        <w:spacing w:line="360" w:lineRule="auto"/>
        <w:jc w:val="both"/>
        <w:rPr>
          <w:rFonts w:ascii="Times New Roman" w:hAnsi="Times New Roman" w:cs="Times New Roman"/>
          <w:b/>
          <w:bCs/>
          <w:sz w:val="24"/>
          <w:szCs w:val="24"/>
        </w:rPr>
      </w:pPr>
      <w:r w:rsidRPr="00712AFE">
        <w:rPr>
          <w:rFonts w:ascii="Times New Roman" w:hAnsi="Times New Roman" w:cs="Times New Roman"/>
          <w:b/>
          <w:bCs/>
          <w:sz w:val="24"/>
          <w:szCs w:val="24"/>
        </w:rPr>
        <w:t xml:space="preserve">Shelf life </w:t>
      </w:r>
    </w:p>
    <w:p w14:paraId="2925BFBB" w14:textId="77777777" w:rsidR="00730CC8" w:rsidRPr="00712AFE" w:rsidRDefault="00730CC8" w:rsidP="00730CC8">
      <w:pPr>
        <w:spacing w:line="360" w:lineRule="auto"/>
        <w:ind w:firstLine="720"/>
        <w:jc w:val="both"/>
        <w:rPr>
          <w:rFonts w:ascii="Times New Roman" w:hAnsi="Times New Roman" w:cs="Times New Roman"/>
          <w:sz w:val="24"/>
          <w:szCs w:val="24"/>
        </w:rPr>
      </w:pPr>
      <w:r w:rsidRPr="00712AFE">
        <w:rPr>
          <w:rFonts w:ascii="Times New Roman" w:hAnsi="Times New Roman" w:cs="Times New Roman"/>
          <w:color w:val="000000" w:themeColor="text1"/>
          <w:sz w:val="24"/>
          <w:szCs w:val="24"/>
        </w:rPr>
        <w:t>A comparison of data on shelf life of mango cv. Banganpalli was significantly influenced by different irrigation and mulching treatments</w:t>
      </w:r>
      <w:r w:rsidR="002810B5">
        <w:rPr>
          <w:rFonts w:ascii="Times New Roman" w:hAnsi="Times New Roman" w:cs="Times New Roman"/>
          <w:color w:val="000000" w:themeColor="text1"/>
          <w:sz w:val="24"/>
          <w:szCs w:val="24"/>
        </w:rPr>
        <w:t xml:space="preserve"> (Figure 7)</w:t>
      </w:r>
      <w:r w:rsidRPr="00712AFE">
        <w:rPr>
          <w:rFonts w:ascii="Times New Roman" w:hAnsi="Times New Roman" w:cs="Times New Roman"/>
          <w:color w:val="000000" w:themeColor="text1"/>
          <w:sz w:val="24"/>
          <w:szCs w:val="24"/>
        </w:rPr>
        <w:t xml:space="preserve">.  Maximum number of shelf life was observed in 100% ETc along with mulching (13.73), where the minimum shelf life was recorded in 75 % ETc + without mulching (9.00).  The maximum number of shelf life with application of 100% ETc along with mulching helped in mitigating the shrinkage of roots and increased in contact surface between the roots and soil solution in presence of favorable hydrothermal regimes. This might have resulted into efficient exploitation of available soil moisture and nutrients have resulted in increased rate of photosynthesis. The </w:t>
      </w:r>
      <w:r w:rsidRPr="00712AFE">
        <w:rPr>
          <w:rFonts w:ascii="Times New Roman" w:hAnsi="Times New Roman" w:cs="Times New Roman"/>
          <w:color w:val="000000" w:themeColor="text1"/>
          <w:sz w:val="24"/>
          <w:szCs w:val="24"/>
        </w:rPr>
        <w:lastRenderedPageBreak/>
        <w:t xml:space="preserve">increased rate of photosynthesis might have increased fruit sugars other essential components, through increased carbon assimilation thus, probably had resulted in </w:t>
      </w:r>
      <w:r w:rsidR="00D129BD">
        <w:rPr>
          <w:rFonts w:ascii="Times New Roman" w:hAnsi="Times New Roman" w:cs="Times New Roman"/>
          <w:color w:val="000000" w:themeColor="text1"/>
          <w:sz w:val="24"/>
          <w:szCs w:val="24"/>
        </w:rPr>
        <w:t>[33]</w:t>
      </w:r>
      <w:r w:rsidRPr="00712AFE">
        <w:rPr>
          <w:rFonts w:ascii="Times New Roman" w:hAnsi="Times New Roman" w:cs="Times New Roman"/>
          <w:color w:val="000000" w:themeColor="text1"/>
          <w:sz w:val="24"/>
          <w:szCs w:val="24"/>
        </w:rPr>
        <w:t xml:space="preserve"> higher </w:t>
      </w:r>
      <w:r w:rsidRPr="00712AFE">
        <w:rPr>
          <w:rFonts w:ascii="Times New Roman" w:hAnsi="Times New Roman" w:cs="Times New Roman"/>
          <w:bCs/>
          <w:color w:val="000000" w:themeColor="text1"/>
          <w:sz w:val="24"/>
          <w:szCs w:val="24"/>
        </w:rPr>
        <w:t xml:space="preserve">amount sugars and ascorbic </w:t>
      </w:r>
      <w:proofErr w:type="gramStart"/>
      <w:r w:rsidRPr="00712AFE">
        <w:rPr>
          <w:rFonts w:ascii="Times New Roman" w:hAnsi="Times New Roman" w:cs="Times New Roman"/>
          <w:bCs/>
          <w:color w:val="000000" w:themeColor="text1"/>
          <w:sz w:val="24"/>
          <w:szCs w:val="24"/>
        </w:rPr>
        <w:t>acid .</w:t>
      </w:r>
      <w:proofErr w:type="gramEnd"/>
      <w:r w:rsidRPr="00712AFE">
        <w:rPr>
          <w:rFonts w:ascii="Times New Roman" w:hAnsi="Times New Roman" w:cs="Times New Roman"/>
          <w:color w:val="000000" w:themeColor="text1"/>
          <w:sz w:val="24"/>
          <w:szCs w:val="24"/>
        </w:rPr>
        <w:t xml:space="preserve"> These increased </w:t>
      </w:r>
      <w:r w:rsidRPr="00712AFE">
        <w:rPr>
          <w:rFonts w:ascii="Times New Roman" w:hAnsi="Times New Roman" w:cs="Times New Roman"/>
          <w:bCs/>
          <w:color w:val="000000" w:themeColor="text1"/>
          <w:sz w:val="24"/>
          <w:szCs w:val="24"/>
        </w:rPr>
        <w:t xml:space="preserve">sugars and ascorbic acid </w:t>
      </w:r>
      <w:r w:rsidRPr="00712AFE">
        <w:rPr>
          <w:rFonts w:ascii="Times New Roman" w:hAnsi="Times New Roman" w:cs="Times New Roman"/>
          <w:color w:val="000000" w:themeColor="text1"/>
          <w:sz w:val="24"/>
          <w:szCs w:val="24"/>
        </w:rPr>
        <w:t xml:space="preserve">might have resulted in increased cell wall integrity, fruit firmness, reduced chlorophyll degradation (Figure </w:t>
      </w:r>
      <w:r w:rsidR="002810B5">
        <w:rPr>
          <w:rFonts w:ascii="Times New Roman" w:hAnsi="Times New Roman" w:cs="Times New Roman"/>
          <w:color w:val="000000" w:themeColor="text1"/>
          <w:sz w:val="24"/>
          <w:szCs w:val="24"/>
        </w:rPr>
        <w:t>6</w:t>
      </w:r>
      <w:r w:rsidRPr="00712AFE">
        <w:rPr>
          <w:rFonts w:ascii="Times New Roman" w:hAnsi="Times New Roman" w:cs="Times New Roman"/>
          <w:color w:val="000000" w:themeColor="text1"/>
          <w:sz w:val="24"/>
          <w:szCs w:val="24"/>
        </w:rPr>
        <w:t>), and restricted respiration rate (Figure</w:t>
      </w:r>
      <w:r w:rsidR="002810B5">
        <w:rPr>
          <w:rFonts w:ascii="Times New Roman" w:hAnsi="Times New Roman" w:cs="Times New Roman"/>
          <w:color w:val="000000" w:themeColor="text1"/>
          <w:sz w:val="24"/>
          <w:szCs w:val="24"/>
        </w:rPr>
        <w:t xml:space="preserve"> 4&amp;5</w:t>
      </w:r>
      <w:r w:rsidRPr="00712AFE">
        <w:rPr>
          <w:rFonts w:ascii="Times New Roman" w:hAnsi="Times New Roman" w:cs="Times New Roman"/>
          <w:color w:val="000000" w:themeColor="text1"/>
          <w:sz w:val="24"/>
          <w:szCs w:val="24"/>
        </w:rPr>
        <w:t xml:space="preserve">) in the present investigation. This ultimately increased the shelf life of mango fruits in the present investigation. Similar findings were earlier reported </w:t>
      </w:r>
      <w:r w:rsidR="00D129BD">
        <w:rPr>
          <w:rFonts w:ascii="Times New Roman" w:hAnsi="Times New Roman" w:cs="Times New Roman"/>
          <w:color w:val="000000" w:themeColor="text1"/>
          <w:sz w:val="24"/>
          <w:szCs w:val="24"/>
        </w:rPr>
        <w:t>[34]</w:t>
      </w:r>
      <w:r w:rsidRPr="00712AFE">
        <w:rPr>
          <w:rFonts w:ascii="Times New Roman" w:hAnsi="Times New Roman" w:cs="Times New Roman"/>
          <w:color w:val="000000" w:themeColor="text1"/>
          <w:sz w:val="24"/>
          <w:szCs w:val="24"/>
        </w:rPr>
        <w:t xml:space="preserve"> in blueberry.</w:t>
      </w:r>
    </w:p>
    <w:p w14:paraId="28393E47" w14:textId="77777777" w:rsidR="002810B5" w:rsidRDefault="002810B5" w:rsidP="002810B5">
      <w:pPr>
        <w:jc w:val="center"/>
        <w:rPr>
          <w:rFonts w:ascii="Times New Roman" w:hAnsi="Times New Roman" w:cs="Times New Roman"/>
        </w:rPr>
      </w:pPr>
      <w:r w:rsidRPr="00955DC7">
        <w:rPr>
          <w:rFonts w:ascii="Times New Roman" w:hAnsi="Times New Roman" w:cs="Times New Roman"/>
          <w:noProof/>
        </w:rPr>
        <w:drawing>
          <wp:inline distT="0" distB="0" distL="0" distR="0" wp14:anchorId="04294DEE" wp14:editId="3F9F4EEB">
            <wp:extent cx="5365102" cy="3284375"/>
            <wp:effectExtent l="0" t="0" r="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716FF5D" w14:textId="77777777" w:rsidR="002810B5" w:rsidRPr="003B66EB" w:rsidRDefault="002810B5" w:rsidP="002810B5">
      <w:pPr>
        <w:jc w:val="both"/>
        <w:rPr>
          <w:rFonts w:ascii="Times New Roman" w:hAnsi="Times New Roman" w:cs="Times New Roman"/>
          <w:b/>
        </w:rPr>
      </w:pPr>
      <w:r w:rsidRPr="003B66EB">
        <w:rPr>
          <w:rFonts w:ascii="Times New Roman" w:hAnsi="Times New Roman" w:cs="Times New Roman"/>
          <w:b/>
        </w:rPr>
        <w:t xml:space="preserve">Figure </w:t>
      </w:r>
      <w:r w:rsidR="003B66EB">
        <w:rPr>
          <w:rFonts w:ascii="Times New Roman" w:hAnsi="Times New Roman" w:cs="Times New Roman"/>
          <w:b/>
        </w:rPr>
        <w:t>7</w:t>
      </w:r>
      <w:r w:rsidRPr="003B66EB">
        <w:rPr>
          <w:rFonts w:ascii="Times New Roman" w:hAnsi="Times New Roman" w:cs="Times New Roman"/>
          <w:b/>
        </w:rPr>
        <w:t>: Interaction effect of irrigation and mulching on shelf life of mango (no. of days)</w:t>
      </w:r>
    </w:p>
    <w:p w14:paraId="084F56E6" w14:textId="77777777" w:rsidR="002810B5" w:rsidRDefault="002810B5" w:rsidP="00730CC8">
      <w:pPr>
        <w:spacing w:line="360" w:lineRule="auto"/>
        <w:rPr>
          <w:rFonts w:ascii="Times New Roman" w:hAnsi="Times New Roman" w:cs="Times New Roman"/>
          <w:b/>
          <w:bCs/>
          <w:sz w:val="24"/>
          <w:szCs w:val="24"/>
        </w:rPr>
      </w:pPr>
    </w:p>
    <w:p w14:paraId="66C56D4D" w14:textId="77777777"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Effect of combined application of irrigation and mulching on water and fertilizer</w:t>
      </w:r>
      <w:r w:rsidRPr="00712AFE">
        <w:rPr>
          <w:rFonts w:ascii="Times New Roman" w:hAnsi="Times New Roman" w:cs="Times New Roman"/>
          <w:sz w:val="24"/>
          <w:szCs w:val="24"/>
        </w:rPr>
        <w:t xml:space="preserve"> </w:t>
      </w:r>
      <w:r w:rsidRPr="00712AFE">
        <w:rPr>
          <w:rFonts w:ascii="Times New Roman" w:hAnsi="Times New Roman" w:cs="Times New Roman"/>
          <w:b/>
          <w:bCs/>
          <w:sz w:val="24"/>
          <w:szCs w:val="24"/>
        </w:rPr>
        <w:t>use efficiency of mango</w:t>
      </w:r>
    </w:p>
    <w:p w14:paraId="3EFF0235" w14:textId="77777777"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Water use efficiency of mango (kg m</w:t>
      </w:r>
      <w:r w:rsidRPr="00712AFE">
        <w:rPr>
          <w:rFonts w:ascii="Times New Roman" w:hAnsi="Times New Roman" w:cs="Times New Roman"/>
          <w:b/>
          <w:bCs/>
          <w:sz w:val="24"/>
          <w:szCs w:val="24"/>
          <w:vertAlign w:val="superscript"/>
        </w:rPr>
        <w:t>-3</w:t>
      </w:r>
      <w:r w:rsidRPr="00712AFE">
        <w:rPr>
          <w:rFonts w:ascii="Times New Roman" w:hAnsi="Times New Roman" w:cs="Times New Roman"/>
          <w:b/>
          <w:bCs/>
          <w:sz w:val="24"/>
          <w:szCs w:val="24"/>
        </w:rPr>
        <w:t>)</w:t>
      </w:r>
    </w:p>
    <w:p w14:paraId="58047FEC" w14:textId="77777777" w:rsidR="00730CC8" w:rsidRDefault="00730CC8" w:rsidP="00730CC8">
      <w:pPr>
        <w:pStyle w:val="NormalWeb"/>
        <w:spacing w:line="360" w:lineRule="auto"/>
        <w:jc w:val="both"/>
      </w:pPr>
      <w:r w:rsidRPr="00712AFE">
        <w:t xml:space="preserve">The combined application of irrigation and mulching resulted in significant differences in water use efficiency (WUE) (Figure </w:t>
      </w:r>
      <w:r w:rsidR="003B66EB">
        <w:t>8</w:t>
      </w:r>
      <w:r w:rsidRPr="00712AFE">
        <w:t>). The highest WUE was observed with 75% ETc irrigation combined with mulching, whereas the lowest was recorded with 75% ETc without mulching. In the present study, the 75% ETc + mulching treatment yielded the significantly highest WUE, primarily because mulching achieved the greatest yield per unit of water consumed. This elevated WUE under 75% ETc with mulching can be attributed to improved soil microclimate, a weed-free environment, reduced evaporation, and enhanced moisture availability.</w:t>
      </w:r>
      <w:r w:rsidR="003B66EB">
        <w:t xml:space="preserve"> </w:t>
      </w:r>
      <w:r w:rsidRPr="00712AFE">
        <w:t xml:space="preserve">High soil moisture in the root zone increases nutrient solubility, leading to improved nutrient uptake by the plant. The resulting high soil moisture and nutrient </w:t>
      </w:r>
      <w:r w:rsidRPr="00712AFE">
        <w:lastRenderedPageBreak/>
        <w:t xml:space="preserve">availability promote earlier and better fruit growth and development through enhanced photosynthetic rates and efficient translocation of assimilates from leaves to fruits. Similar findings have been reported previously in mango cv. </w:t>
      </w:r>
      <w:proofErr w:type="spellStart"/>
      <w:r w:rsidRPr="00712AFE">
        <w:t>Dashehari</w:t>
      </w:r>
      <w:proofErr w:type="spellEnd"/>
      <w:r w:rsidR="00D129BD">
        <w:t xml:space="preserve"> [29]</w:t>
      </w:r>
      <w:r w:rsidRPr="00712AFE">
        <w:t xml:space="preserve"> and in sapota cv. </w:t>
      </w:r>
      <w:proofErr w:type="spellStart"/>
      <w:r w:rsidRPr="00712AFE">
        <w:t>Kalipatti</w:t>
      </w:r>
      <w:proofErr w:type="spellEnd"/>
      <w:r w:rsidR="00D129BD">
        <w:t xml:space="preserve"> [</w:t>
      </w:r>
      <w:r w:rsidR="00621B0C">
        <w:t>26]</w:t>
      </w:r>
      <w:r w:rsidRPr="00712AFE">
        <w:t>.</w:t>
      </w:r>
    </w:p>
    <w:p w14:paraId="3FAC6450" w14:textId="77777777" w:rsidR="003B66EB" w:rsidRDefault="003B66EB" w:rsidP="003B66EB">
      <w:pPr>
        <w:jc w:val="both"/>
      </w:pPr>
      <w:r w:rsidRPr="00AF2C12">
        <w:rPr>
          <w:noProof/>
        </w:rPr>
        <w:drawing>
          <wp:inline distT="0" distB="0" distL="0" distR="0" wp14:anchorId="5DA374B2" wp14:editId="62C0BD02">
            <wp:extent cx="6120882" cy="2995127"/>
            <wp:effectExtent l="0" t="0" r="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913A43" w14:textId="77777777" w:rsidR="003B66EB" w:rsidRPr="003B66EB" w:rsidRDefault="003B66EB" w:rsidP="003B66EB">
      <w:pPr>
        <w:ind w:left="720" w:hanging="720"/>
        <w:jc w:val="center"/>
        <w:rPr>
          <w:rFonts w:ascii="Times New Roman" w:hAnsi="Times New Roman" w:cs="Times New Roman"/>
          <w:b/>
        </w:rPr>
      </w:pPr>
      <w:r w:rsidRPr="003B66EB">
        <w:rPr>
          <w:rFonts w:ascii="Times New Roman" w:hAnsi="Times New Roman" w:cs="Times New Roman"/>
          <w:b/>
        </w:rPr>
        <w:t>Figure 8: Interaction effect of irrigation and mulching on water use efficiency</w:t>
      </w:r>
    </w:p>
    <w:p w14:paraId="0574F715" w14:textId="77777777" w:rsidR="003B66EB" w:rsidRDefault="003B66EB" w:rsidP="003B66EB">
      <w:pPr>
        <w:jc w:val="both"/>
      </w:pPr>
    </w:p>
    <w:p w14:paraId="733792D4" w14:textId="77777777" w:rsidR="00730CC8" w:rsidRPr="00712AFE" w:rsidRDefault="00730CC8" w:rsidP="00730CC8">
      <w:pPr>
        <w:spacing w:line="360" w:lineRule="auto"/>
        <w:rPr>
          <w:rFonts w:ascii="Times New Roman" w:hAnsi="Times New Roman" w:cs="Times New Roman"/>
          <w:b/>
          <w:bCs/>
          <w:sz w:val="24"/>
          <w:szCs w:val="24"/>
        </w:rPr>
      </w:pPr>
      <w:r w:rsidRPr="00712AFE">
        <w:rPr>
          <w:rFonts w:ascii="Times New Roman" w:hAnsi="Times New Roman" w:cs="Times New Roman"/>
          <w:b/>
          <w:bCs/>
          <w:sz w:val="24"/>
          <w:szCs w:val="24"/>
        </w:rPr>
        <w:t>Fertilizer</w:t>
      </w:r>
      <w:r w:rsidRPr="00712AFE">
        <w:rPr>
          <w:rFonts w:ascii="Times New Roman" w:hAnsi="Times New Roman" w:cs="Times New Roman"/>
          <w:sz w:val="24"/>
          <w:szCs w:val="24"/>
        </w:rPr>
        <w:t xml:space="preserve"> </w:t>
      </w:r>
      <w:r w:rsidRPr="00712AFE">
        <w:rPr>
          <w:rFonts w:ascii="Times New Roman" w:hAnsi="Times New Roman" w:cs="Times New Roman"/>
          <w:b/>
          <w:bCs/>
          <w:sz w:val="24"/>
          <w:szCs w:val="24"/>
        </w:rPr>
        <w:t>use efficiency of mango</w:t>
      </w:r>
      <w:r w:rsidRPr="00712AFE">
        <w:rPr>
          <w:rFonts w:ascii="Times New Roman" w:eastAsia="Times New Roman" w:hAnsi="Times New Roman" w:cs="Times New Roman"/>
          <w:b/>
          <w:bCs/>
          <w:color w:val="000000"/>
          <w:kern w:val="24"/>
          <w:sz w:val="24"/>
          <w:szCs w:val="24"/>
        </w:rPr>
        <w:t xml:space="preserve"> </w:t>
      </w:r>
      <w:r w:rsidRPr="00712AFE">
        <w:rPr>
          <w:rFonts w:ascii="Times New Roman" w:hAnsi="Times New Roman" w:cs="Times New Roman"/>
          <w:b/>
          <w:bCs/>
          <w:sz w:val="24"/>
          <w:szCs w:val="24"/>
        </w:rPr>
        <w:t>(kg kg</w:t>
      </w:r>
      <w:r w:rsidRPr="00712AFE">
        <w:rPr>
          <w:rFonts w:ascii="Times New Roman" w:hAnsi="Times New Roman" w:cs="Times New Roman"/>
          <w:b/>
          <w:bCs/>
          <w:sz w:val="24"/>
          <w:szCs w:val="24"/>
          <w:vertAlign w:val="superscript"/>
        </w:rPr>
        <w:t>-1</w:t>
      </w:r>
      <w:r w:rsidRPr="00712AFE">
        <w:rPr>
          <w:rFonts w:ascii="Times New Roman" w:hAnsi="Times New Roman" w:cs="Times New Roman"/>
          <w:b/>
          <w:bCs/>
          <w:sz w:val="24"/>
          <w:szCs w:val="24"/>
        </w:rPr>
        <w:t xml:space="preserve">) </w:t>
      </w:r>
    </w:p>
    <w:p w14:paraId="3608C3AE" w14:textId="77777777" w:rsidR="00730CC8" w:rsidRPr="00712AFE" w:rsidRDefault="00730CC8" w:rsidP="00730CC8">
      <w:pPr>
        <w:spacing w:line="360" w:lineRule="auto"/>
        <w:ind w:firstLine="720"/>
        <w:jc w:val="both"/>
        <w:rPr>
          <w:rFonts w:ascii="Times New Roman" w:hAnsi="Times New Roman" w:cs="Times New Roman"/>
          <w:sz w:val="24"/>
          <w:szCs w:val="24"/>
        </w:rPr>
      </w:pPr>
      <w:r w:rsidRPr="00712AFE">
        <w:rPr>
          <w:rFonts w:ascii="Times New Roman" w:hAnsi="Times New Roman" w:cs="Times New Roman"/>
          <w:sz w:val="24"/>
          <w:szCs w:val="24"/>
        </w:rPr>
        <w:t xml:space="preserve">The interaction of different irrigation and mulching has shown significant difference on fertilizer use efficiency of mango (Figure </w:t>
      </w:r>
      <w:r w:rsidR="003B66EB">
        <w:rPr>
          <w:rFonts w:ascii="Times New Roman" w:hAnsi="Times New Roman" w:cs="Times New Roman"/>
          <w:sz w:val="24"/>
          <w:szCs w:val="24"/>
        </w:rPr>
        <w:t>9</w:t>
      </w:r>
      <w:r w:rsidRPr="00712AFE">
        <w:rPr>
          <w:rFonts w:ascii="Times New Roman" w:hAnsi="Times New Roman" w:cs="Times New Roman"/>
          <w:sz w:val="24"/>
          <w:szCs w:val="24"/>
        </w:rPr>
        <w:t xml:space="preserve">). Maximum fertilizer use efficiency was observed in application of mulching (89.11), whereas the minimum fertilizer use efficiency observed in without mulch condition (57.11). Present study suggests that, application of 100 % ETc along with mulching proven to higher fertilizer use efficiency compared to other treatments it may be due to the plastic mulch increase soil moisture by reducing loss of water through evaporation, increase fertilizer use efficiency by reducing loss of nutrients through leaching, surface run off or volatilization, eliminates weed growth at the vicinity of tree, thereby providing congenial environment for enhanced tree growth, fruit yield and quality, besides ameliorating leaf nutrient contents and water use efficiency in apple </w:t>
      </w:r>
      <w:r w:rsidR="00621B0C">
        <w:rPr>
          <w:rFonts w:ascii="Times New Roman" w:hAnsi="Times New Roman" w:cs="Times New Roman"/>
          <w:sz w:val="24"/>
          <w:szCs w:val="24"/>
        </w:rPr>
        <w:t xml:space="preserve">[35] </w:t>
      </w:r>
      <w:r w:rsidRPr="00712AFE">
        <w:rPr>
          <w:rFonts w:ascii="Times New Roman" w:hAnsi="Times New Roman" w:cs="Times New Roman"/>
          <w:sz w:val="24"/>
          <w:szCs w:val="24"/>
        </w:rPr>
        <w:t>and in guava cv. Lalit</w:t>
      </w:r>
      <w:r w:rsidR="00621B0C">
        <w:rPr>
          <w:rFonts w:ascii="Times New Roman" w:hAnsi="Times New Roman" w:cs="Times New Roman"/>
          <w:sz w:val="24"/>
          <w:szCs w:val="24"/>
        </w:rPr>
        <w:t xml:space="preserve"> [36]</w:t>
      </w:r>
      <w:r w:rsidRPr="00712AFE">
        <w:rPr>
          <w:rFonts w:ascii="Times New Roman" w:hAnsi="Times New Roman" w:cs="Times New Roman"/>
          <w:sz w:val="24"/>
          <w:szCs w:val="24"/>
        </w:rPr>
        <w:t>. From our study the interaction of mulching along with 100% ETc has exerted 35.96 % higher FUE over 75 % ETc + without mulching.</w:t>
      </w:r>
    </w:p>
    <w:p w14:paraId="0947BD03" w14:textId="77777777" w:rsidR="003B66EB" w:rsidRDefault="003B66EB" w:rsidP="003B66EB">
      <w:pPr>
        <w:jc w:val="both"/>
      </w:pPr>
      <w:r w:rsidRPr="00AF2C12">
        <w:rPr>
          <w:noProof/>
        </w:rPr>
        <w:lastRenderedPageBreak/>
        <w:drawing>
          <wp:inline distT="0" distB="0" distL="0" distR="0" wp14:anchorId="171FE898" wp14:editId="3E2AD427">
            <wp:extent cx="5411755" cy="2743200"/>
            <wp:effectExtent l="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2AC48E" w14:textId="77777777" w:rsidR="003B66EB" w:rsidRPr="003B66EB" w:rsidRDefault="003B66EB" w:rsidP="003B66EB">
      <w:pPr>
        <w:ind w:left="720" w:hanging="720"/>
        <w:jc w:val="center"/>
        <w:rPr>
          <w:rFonts w:ascii="Times New Roman" w:hAnsi="Times New Roman" w:cs="Times New Roman"/>
          <w:b/>
        </w:rPr>
      </w:pPr>
      <w:r w:rsidRPr="003B66EB">
        <w:rPr>
          <w:rFonts w:ascii="Times New Roman" w:hAnsi="Times New Roman" w:cs="Times New Roman"/>
          <w:b/>
        </w:rPr>
        <w:t>Figure 9: Interaction effect of irrigation and mulching on fertilizer use efficiency</w:t>
      </w:r>
    </w:p>
    <w:p w14:paraId="23C3325C" w14:textId="77777777" w:rsidR="003B66EB" w:rsidRDefault="003B66EB" w:rsidP="00730CC8">
      <w:pPr>
        <w:rPr>
          <w:rFonts w:ascii="Times New Roman" w:hAnsi="Times New Roman" w:cs="Times New Roman"/>
          <w:b/>
          <w:bCs/>
          <w:color w:val="000000" w:themeColor="text1"/>
          <w:sz w:val="24"/>
          <w:szCs w:val="24"/>
        </w:rPr>
      </w:pPr>
    </w:p>
    <w:p w14:paraId="126FC4CC" w14:textId="77777777" w:rsidR="00730CC8" w:rsidRPr="003B66EB" w:rsidRDefault="003B66EB" w:rsidP="00730CC8">
      <w:pPr>
        <w:rPr>
          <w:rFonts w:ascii="Times New Roman" w:hAnsi="Times New Roman" w:cs="Times New Roman"/>
          <w:b/>
          <w:bCs/>
          <w:color w:val="000000" w:themeColor="text1"/>
          <w:sz w:val="28"/>
          <w:szCs w:val="28"/>
        </w:rPr>
      </w:pPr>
      <w:r w:rsidRPr="003B66EB">
        <w:rPr>
          <w:rFonts w:ascii="Times New Roman" w:hAnsi="Times New Roman" w:cs="Times New Roman"/>
          <w:b/>
          <w:bCs/>
          <w:color w:val="000000" w:themeColor="text1"/>
          <w:sz w:val="28"/>
          <w:szCs w:val="28"/>
        </w:rPr>
        <w:t>CONCLUSION</w:t>
      </w:r>
    </w:p>
    <w:p w14:paraId="64DD83A0" w14:textId="77777777" w:rsidR="00730CC8" w:rsidRPr="00712AFE" w:rsidRDefault="00730CC8" w:rsidP="00730CC8">
      <w:pPr>
        <w:ind w:firstLine="720"/>
        <w:rPr>
          <w:rFonts w:ascii="Times New Roman" w:hAnsi="Times New Roman" w:cs="Times New Roman"/>
          <w:color w:val="000000" w:themeColor="text1"/>
          <w:sz w:val="24"/>
          <w:szCs w:val="24"/>
        </w:rPr>
      </w:pPr>
    </w:p>
    <w:p w14:paraId="210F6FD6" w14:textId="77777777" w:rsidR="00730CC8" w:rsidRPr="00712AFE"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The combined application of drip irrigation and mulching significantly influenced soil and leaf nutrient dynamics, moisture retention, fruit yield, quality, shelf life, and resource use efficiency in mango cv. Banganpalli. The treatment with 100% ETc + mulching consistently emerged as superior, recording the highest soil moisture (13.4–16.6% across phenophases), maximum leaf NPK content (N: 0.82–1.11%, P: 0.19–0.22%, K: 0.74–0.91%), elevated available soil nitrogen (222–315 kg ha</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and optimal fruit yield (89.11 kg tree</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¹)—a 35.83% increase over 75% ETc without mulching. This treatment also enhanced internal oxygen levels, reduced CO</w:t>
      </w:r>
      <w:r w:rsidRPr="00712AFE">
        <w:rPr>
          <w:rFonts w:ascii="Cambria Math" w:hAnsi="Cambria Math" w:cs="Times New Roman"/>
          <w:color w:val="000000" w:themeColor="text1"/>
          <w:sz w:val="24"/>
          <w:szCs w:val="24"/>
        </w:rPr>
        <w:t>₂</w:t>
      </w:r>
      <w:r w:rsidRPr="00712AFE">
        <w:rPr>
          <w:rFonts w:ascii="Times New Roman" w:hAnsi="Times New Roman" w:cs="Times New Roman"/>
          <w:color w:val="000000" w:themeColor="text1"/>
          <w:sz w:val="24"/>
          <w:szCs w:val="24"/>
        </w:rPr>
        <w:t xml:space="preserve"> accumulation, delayed chlorophyll degradation (highest DA-index during storage), and extended shelf life to 13.73 days.</w:t>
      </w:r>
    </w:p>
    <w:p w14:paraId="68422EFE" w14:textId="77777777" w:rsidR="00730CC8" w:rsidRPr="00712AFE"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Notably, 75% ETc + mulching achieved comparable yield to 100% ETc without mulching while conserving 25% irrigation water and registering the highest water use efficiency (WUE) due to reduced evaporation, weed suppression, and sustained root-zone moisture. Fertilizer use efficiency was maximized under 100% ETc + mulching (89.11 kg kg</w:t>
      </w:r>
      <w:r w:rsidRPr="00712AFE">
        <w:rPr>
          <w:rFonts w:ascii="Times New Roman" w:hAnsi="Cambria Math" w:cs="Times New Roman"/>
          <w:color w:val="000000" w:themeColor="text1"/>
          <w:sz w:val="24"/>
          <w:szCs w:val="24"/>
        </w:rPr>
        <w:t>⁻</w:t>
      </w:r>
      <w:r w:rsidRPr="00712AFE">
        <w:rPr>
          <w:rFonts w:ascii="Times New Roman" w:hAnsi="Times New Roman" w:cs="Times New Roman"/>
          <w:color w:val="000000" w:themeColor="text1"/>
          <w:sz w:val="24"/>
          <w:szCs w:val="24"/>
        </w:rPr>
        <w:t>¹), reflecting reduced nutrient losses and improved uptake under favorable hydrothermal regimes.</w:t>
      </w:r>
    </w:p>
    <w:p w14:paraId="4E11C6B3" w14:textId="77777777" w:rsidR="00730CC8" w:rsidRPr="00712AFE" w:rsidRDefault="00730CC8" w:rsidP="00730CC8">
      <w:pPr>
        <w:spacing w:line="360" w:lineRule="auto"/>
        <w:ind w:firstLine="720"/>
        <w:jc w:val="both"/>
        <w:rPr>
          <w:rFonts w:ascii="Times New Roman" w:hAnsi="Times New Roman" w:cs="Times New Roman"/>
          <w:color w:val="000000" w:themeColor="text1"/>
          <w:sz w:val="24"/>
          <w:szCs w:val="24"/>
        </w:rPr>
      </w:pPr>
      <w:r w:rsidRPr="00712AFE">
        <w:rPr>
          <w:rFonts w:ascii="Times New Roman" w:hAnsi="Times New Roman" w:cs="Times New Roman"/>
          <w:color w:val="000000" w:themeColor="text1"/>
          <w:sz w:val="24"/>
          <w:szCs w:val="24"/>
        </w:rPr>
        <w:t xml:space="preserve">Overall, the synergistic effects of irrigation and mulching optimized soil–plant–water–nutrient interactions, promoting sustainable mango production. The 75% ETc + mulching regime </w:t>
      </w:r>
      <w:r w:rsidR="003B66EB" w:rsidRPr="00712AFE">
        <w:rPr>
          <w:rFonts w:ascii="Times New Roman" w:hAnsi="Times New Roman" w:cs="Times New Roman"/>
          <w:color w:val="000000" w:themeColor="text1"/>
          <w:sz w:val="24"/>
          <w:szCs w:val="24"/>
        </w:rPr>
        <w:t>offer</w:t>
      </w:r>
      <w:r w:rsidRPr="00712AFE">
        <w:rPr>
          <w:rFonts w:ascii="Times New Roman" w:hAnsi="Times New Roman" w:cs="Times New Roman"/>
          <w:color w:val="000000" w:themeColor="text1"/>
          <w:sz w:val="24"/>
          <w:szCs w:val="24"/>
        </w:rPr>
        <w:t xml:space="preserve"> a practical, water-efficient alternative without compromising yield or quality, making it highly recommendable for resource-constrained orchards. These findings align with prior reports in mango and other fruit crops, reinforcing the efficacy of integrated </w:t>
      </w:r>
      <w:r w:rsidRPr="00712AFE">
        <w:rPr>
          <w:rFonts w:ascii="Times New Roman" w:hAnsi="Times New Roman" w:cs="Times New Roman"/>
          <w:color w:val="000000" w:themeColor="text1"/>
          <w:sz w:val="24"/>
          <w:szCs w:val="24"/>
        </w:rPr>
        <w:lastRenderedPageBreak/>
        <w:t>drip irrigation and mulching systems in enhancing productivity and input-use efficiency under semi-arid conditions.</w:t>
      </w:r>
    </w:p>
    <w:p w14:paraId="1B00A79B" w14:textId="77777777" w:rsidR="000D3937" w:rsidRDefault="001865A4" w:rsidP="001670E6">
      <w:pPr>
        <w:autoSpaceDE w:val="0"/>
        <w:autoSpaceDN w:val="0"/>
        <w:adjustRightInd w:val="0"/>
        <w:spacing w:line="360" w:lineRule="auto"/>
        <w:jc w:val="both"/>
        <w:rPr>
          <w:rFonts w:ascii="Times New Roman" w:hAnsi="Times New Roman" w:cs="Times New Roman"/>
          <w:b/>
          <w:bCs/>
          <w:color w:val="000000" w:themeColor="text1"/>
          <w:sz w:val="32"/>
          <w:szCs w:val="32"/>
        </w:rPr>
      </w:pPr>
      <w:r w:rsidRPr="001865A4">
        <w:rPr>
          <w:rFonts w:ascii="Times New Roman" w:hAnsi="Times New Roman" w:cs="Times New Roman"/>
          <w:b/>
          <w:bCs/>
          <w:color w:val="000000" w:themeColor="text1"/>
          <w:sz w:val="32"/>
          <w:szCs w:val="32"/>
        </w:rPr>
        <w:t xml:space="preserve">REFERENCES </w:t>
      </w:r>
    </w:p>
    <w:p w14:paraId="032AB257" w14:textId="77777777"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i/>
          <w:iCs/>
          <w:sz w:val="24"/>
          <w:szCs w:val="24"/>
        </w:rPr>
      </w:pPr>
      <w:r w:rsidRPr="00485622">
        <w:rPr>
          <w:rFonts w:ascii="Times New Roman" w:hAnsi="Times New Roman" w:cs="Times New Roman"/>
          <w:sz w:val="24"/>
          <w:szCs w:val="24"/>
        </w:rPr>
        <w:t xml:space="preserve">NHB (National Horticulture Board), 2018. Indian Horticulture Database-2017. Ministry of Agriculture, Government of India 85, Institutional Area, Sector-18, Gurgaon - 122 015. </w:t>
      </w:r>
      <w:proofErr w:type="gramStart"/>
      <w:r w:rsidRPr="00485622">
        <w:rPr>
          <w:rFonts w:ascii="Times New Roman" w:hAnsi="Times New Roman" w:cs="Times New Roman"/>
          <w:sz w:val="24"/>
          <w:szCs w:val="24"/>
        </w:rPr>
        <w:t>Website :</w:t>
      </w:r>
      <w:proofErr w:type="gramEnd"/>
      <w:r w:rsidRPr="00485622">
        <w:rPr>
          <w:rFonts w:ascii="Times New Roman" w:hAnsi="Times New Roman" w:cs="Times New Roman"/>
          <w:sz w:val="24"/>
          <w:szCs w:val="24"/>
        </w:rPr>
        <w:t xml:space="preserve"> </w:t>
      </w:r>
      <w:hyperlink r:id="rId28" w:history="1">
        <w:r w:rsidRPr="00485622">
          <w:rPr>
            <w:rStyle w:val="Hyperlink"/>
            <w:rFonts w:ascii="Times New Roman" w:hAnsi="Times New Roman" w:cs="Times New Roman"/>
            <w:i/>
            <w:iCs/>
            <w:sz w:val="24"/>
            <w:szCs w:val="24"/>
          </w:rPr>
          <w:t>www.nhb.gov.in</w:t>
        </w:r>
      </w:hyperlink>
      <w:r w:rsidRPr="00485622">
        <w:rPr>
          <w:rFonts w:ascii="Times New Roman" w:hAnsi="Times New Roman" w:cs="Times New Roman"/>
          <w:i/>
          <w:iCs/>
          <w:sz w:val="24"/>
          <w:szCs w:val="24"/>
        </w:rPr>
        <w:t>.</w:t>
      </w:r>
    </w:p>
    <w:p w14:paraId="18085C98" w14:textId="77777777"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Anonymous. Fruits. Indian Horticulture Database, National Horticulture Board, Ministry of Agriculture, Govt. of India; 2018. </w:t>
      </w:r>
      <w:proofErr w:type="spellStart"/>
      <w:r w:rsidRPr="00485622">
        <w:rPr>
          <w:rFonts w:ascii="Times New Roman" w:hAnsi="Times New Roman" w:cs="Times New Roman"/>
          <w:sz w:val="24"/>
          <w:szCs w:val="24"/>
        </w:rPr>
        <w:t>Available:http</w:t>
      </w:r>
      <w:proofErr w:type="spellEnd"/>
      <w:r w:rsidRPr="00485622">
        <w:rPr>
          <w:rFonts w:ascii="Times New Roman" w:hAnsi="Times New Roman" w:cs="Times New Roman"/>
          <w:sz w:val="24"/>
          <w:szCs w:val="24"/>
        </w:rPr>
        <w:t>://nhb.gov.in.</w:t>
      </w:r>
    </w:p>
    <w:p w14:paraId="13D4F469" w14:textId="77777777"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proofErr w:type="spellStart"/>
      <w:r w:rsidRPr="00485622">
        <w:rPr>
          <w:rFonts w:ascii="Times New Roman" w:hAnsi="Times New Roman" w:cs="Times New Roman"/>
          <w:sz w:val="24"/>
          <w:szCs w:val="24"/>
        </w:rPr>
        <w:t>Ganeshamurthy</w:t>
      </w:r>
      <w:proofErr w:type="spellEnd"/>
      <w:r w:rsidRPr="00485622">
        <w:rPr>
          <w:rFonts w:ascii="Times New Roman" w:hAnsi="Times New Roman" w:cs="Times New Roman"/>
          <w:sz w:val="24"/>
          <w:szCs w:val="24"/>
        </w:rPr>
        <w:t xml:space="preserve"> AN*, Rupa TR, </w:t>
      </w:r>
      <w:proofErr w:type="spellStart"/>
      <w:r w:rsidRPr="00485622">
        <w:rPr>
          <w:rFonts w:ascii="Times New Roman" w:hAnsi="Times New Roman" w:cs="Times New Roman"/>
          <w:sz w:val="24"/>
          <w:szCs w:val="24"/>
        </w:rPr>
        <w:t>Shivananda</w:t>
      </w:r>
      <w:proofErr w:type="spellEnd"/>
      <w:r w:rsidRPr="00485622">
        <w:rPr>
          <w:rFonts w:ascii="Times New Roman" w:hAnsi="Times New Roman" w:cs="Times New Roman"/>
          <w:sz w:val="24"/>
          <w:szCs w:val="24"/>
        </w:rPr>
        <w:t xml:space="preserve"> TN. Enhancing Mango Productivity through Sustainable Resource Management. Journal of horticultural science. 2018;13(1):1-31.</w:t>
      </w:r>
    </w:p>
    <w:p w14:paraId="6BB12BAB" w14:textId="77777777"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Adak T, Kumar K, Singh VK, Singh Vinod Kumar, Singh AK. Effect of different soil moisture regimes on soil moisture rd dynamics, yield and quality in mango. In: Proceedings of 3 International Agronomy Congress on “Agriculture Diversification, Climate Change Management and Livelihoods”, held during November 26-30</w:t>
      </w:r>
      <w:r w:rsidRPr="00485622">
        <w:rPr>
          <w:rFonts w:ascii="Times New Roman" w:hAnsi="Times New Roman" w:cs="Times New Roman"/>
          <w:sz w:val="24"/>
          <w:szCs w:val="24"/>
          <w:vertAlign w:val="superscript"/>
        </w:rPr>
        <w:t>th</w:t>
      </w:r>
      <w:r w:rsidRPr="00485622">
        <w:rPr>
          <w:rFonts w:ascii="Times New Roman" w:hAnsi="Times New Roman" w:cs="Times New Roman"/>
          <w:sz w:val="24"/>
          <w:szCs w:val="24"/>
        </w:rPr>
        <w:t>, 2012 at IARI, New Delhi, India. 2012;1416-1418.</w:t>
      </w:r>
    </w:p>
    <w:p w14:paraId="06E542EC" w14:textId="77777777"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Daniel PL, Eelco VB. Water Resources Planning and Management: An Overview. Water Resource Systems Planning and Management. 2017;1-49.</w:t>
      </w:r>
    </w:p>
    <w:p w14:paraId="24451EB2" w14:textId="77777777"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Panigrahi P, Srivastava AK. Deficit irrigation (DI) scheduling for matured Nagpur mandarin (Citrus reticulata Blanco) trees of central India. Indian Journal of Soil Conservation. 2011;39(2):149- 154.</w:t>
      </w:r>
    </w:p>
    <w:p w14:paraId="0AB746AB" w14:textId="77777777"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Ross OC. Reflective mulch effects on the grapevine environment, Pinot noir vine performance, and juice and wine characteristics. Dissertation, Lincoln University; 2010.</w:t>
      </w:r>
    </w:p>
    <w:p w14:paraId="341EC3D9" w14:textId="77777777"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Santosh K. Influence of Drip Irrigation and Mulch on Leaf Area Maximization, Water Use Efficiency and Yield of Potato (</w:t>
      </w:r>
      <w:r w:rsidRPr="00485622">
        <w:rPr>
          <w:rFonts w:ascii="Times New Roman" w:hAnsi="Times New Roman" w:cs="Times New Roman"/>
          <w:i/>
          <w:iCs/>
          <w:sz w:val="24"/>
          <w:szCs w:val="24"/>
        </w:rPr>
        <w:t xml:space="preserve">Solanum tuberosum </w:t>
      </w:r>
      <w:r w:rsidRPr="00485622">
        <w:rPr>
          <w:rFonts w:ascii="Times New Roman" w:hAnsi="Times New Roman" w:cs="Times New Roman"/>
          <w:sz w:val="24"/>
          <w:szCs w:val="24"/>
        </w:rPr>
        <w:t>L.). Journal of Agricultural Science. 2012;4(1):71-80.</w:t>
      </w:r>
    </w:p>
    <w:p w14:paraId="1B4C1860" w14:textId="77777777" w:rsidR="001865A4" w:rsidRPr="00485622" w:rsidRDefault="001865A4" w:rsidP="001865A4">
      <w:pPr>
        <w:pStyle w:val="ListParagraph"/>
        <w:widowControl w:val="0"/>
        <w:numPr>
          <w:ilvl w:val="0"/>
          <w:numId w:val="1"/>
        </w:numPr>
        <w:autoSpaceDE w:val="0"/>
        <w:autoSpaceDN w:val="0"/>
        <w:adjustRightInd w:val="0"/>
        <w:spacing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Singh K. Fall in Water Table in Central Punjab – How Serious? The </w:t>
      </w:r>
      <w:proofErr w:type="spellStart"/>
      <w:r w:rsidRPr="00485622">
        <w:rPr>
          <w:rFonts w:ascii="Times New Roman" w:hAnsi="Times New Roman" w:cs="Times New Roman"/>
          <w:sz w:val="24"/>
          <w:szCs w:val="24"/>
        </w:rPr>
        <w:t>PunjabState</w:t>
      </w:r>
      <w:proofErr w:type="spellEnd"/>
      <w:r w:rsidRPr="00485622">
        <w:rPr>
          <w:rFonts w:ascii="Times New Roman" w:hAnsi="Times New Roman" w:cs="Times New Roman"/>
          <w:sz w:val="24"/>
          <w:szCs w:val="24"/>
        </w:rPr>
        <w:t xml:space="preserve"> Farmers Commission, Chandigarh. 2006;13.</w:t>
      </w:r>
    </w:p>
    <w:p w14:paraId="514FEBB9"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Tandon, H. L. S. 1993. Methods of Analysis of Soils, Plants, Water and Fertilizers. </w:t>
      </w:r>
      <w:proofErr w:type="spellStart"/>
      <w:r w:rsidRPr="00485622">
        <w:rPr>
          <w:rFonts w:ascii="Times New Roman" w:hAnsi="Times New Roman" w:cs="Times New Roman"/>
          <w:sz w:val="24"/>
          <w:szCs w:val="24"/>
        </w:rPr>
        <w:t>Fertiliser</w:t>
      </w:r>
      <w:proofErr w:type="spellEnd"/>
      <w:r w:rsidRPr="00485622">
        <w:rPr>
          <w:rFonts w:ascii="Times New Roman" w:hAnsi="Times New Roman" w:cs="Times New Roman"/>
          <w:sz w:val="24"/>
          <w:szCs w:val="24"/>
        </w:rPr>
        <w:t xml:space="preserve"> Development and Consultation </w:t>
      </w:r>
      <w:proofErr w:type="spellStart"/>
      <w:r w:rsidRPr="00485622">
        <w:rPr>
          <w:rFonts w:ascii="Times New Roman" w:hAnsi="Times New Roman" w:cs="Times New Roman"/>
          <w:sz w:val="24"/>
          <w:szCs w:val="24"/>
        </w:rPr>
        <w:t>Organisation</w:t>
      </w:r>
      <w:proofErr w:type="spellEnd"/>
      <w:r w:rsidRPr="00485622">
        <w:rPr>
          <w:rFonts w:ascii="Times New Roman" w:hAnsi="Times New Roman" w:cs="Times New Roman"/>
          <w:sz w:val="24"/>
          <w:szCs w:val="24"/>
        </w:rPr>
        <w:t>, New Delhi.</w:t>
      </w:r>
    </w:p>
    <w:p w14:paraId="0212F1AD"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85622">
        <w:rPr>
          <w:rFonts w:ascii="Times New Roman" w:eastAsia="Arial" w:hAnsi="Times New Roman" w:cs="Times New Roman"/>
          <w:sz w:val="24"/>
          <w:szCs w:val="24"/>
        </w:rPr>
        <w:t>Sheoran</w:t>
      </w:r>
      <w:proofErr w:type="spellEnd"/>
      <w:r w:rsidRPr="00485622">
        <w:rPr>
          <w:rFonts w:ascii="Times New Roman" w:eastAsia="Arial" w:hAnsi="Times New Roman" w:cs="Times New Roman"/>
          <w:sz w:val="24"/>
          <w:szCs w:val="24"/>
        </w:rPr>
        <w:t xml:space="preserve"> OP, </w:t>
      </w:r>
      <w:proofErr w:type="spellStart"/>
      <w:r w:rsidRPr="00485622">
        <w:rPr>
          <w:rFonts w:ascii="Times New Roman" w:eastAsia="Arial" w:hAnsi="Times New Roman" w:cs="Times New Roman"/>
          <w:sz w:val="24"/>
          <w:szCs w:val="24"/>
        </w:rPr>
        <w:t>Tonk</w:t>
      </w:r>
      <w:proofErr w:type="spellEnd"/>
      <w:r w:rsidRPr="00485622">
        <w:rPr>
          <w:rFonts w:ascii="Times New Roman" w:eastAsia="Arial" w:hAnsi="Times New Roman" w:cs="Times New Roman"/>
          <w:sz w:val="24"/>
          <w:szCs w:val="24"/>
        </w:rPr>
        <w:t xml:space="preserve"> DS, Kaushik LS, Hasija RC, Pannu RS. Statistical Software Package for Agricultural Research Workers. Recent Advances in information </w:t>
      </w:r>
      <w:r w:rsidRPr="00485622">
        <w:rPr>
          <w:rFonts w:ascii="Times New Roman" w:eastAsia="Arial" w:hAnsi="Times New Roman" w:cs="Times New Roman"/>
          <w:sz w:val="24"/>
          <w:szCs w:val="24"/>
        </w:rPr>
        <w:lastRenderedPageBreak/>
        <w:t xml:space="preserve">theory, Statistics &amp; Computer Applications by D.S. Hooda &amp; R.C. Hasija Department of Mathematics Statistics, CCS HAU, Hisar. 1998;139-143. </w:t>
      </w:r>
      <w:r w:rsidRPr="00485622">
        <w:rPr>
          <w:rFonts w:ascii="Times New Roman" w:hAnsi="Times New Roman" w:cs="Times New Roman"/>
          <w:sz w:val="24"/>
          <w:szCs w:val="24"/>
        </w:rPr>
        <w:t xml:space="preserve">12. </w:t>
      </w:r>
    </w:p>
    <w:p w14:paraId="2BCE28AE" w14:textId="77777777"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shd w:val="clear" w:color="auto" w:fill="FFFFFF"/>
        </w:rPr>
      </w:pPr>
      <w:r w:rsidRPr="00485622">
        <w:rPr>
          <w:rFonts w:ascii="Times New Roman" w:hAnsi="Times New Roman" w:cs="Times New Roman"/>
          <w:sz w:val="24"/>
          <w:szCs w:val="24"/>
          <w:shd w:val="clear" w:color="auto" w:fill="FFFFFF"/>
        </w:rPr>
        <w:t xml:space="preserve">Shukla, K.N., Singh, P. K. and Singh, K. K. 2001. Crop water requirement under drip irrigation. Plasticulture Development Centre, GBPUAT, </w:t>
      </w:r>
      <w:proofErr w:type="spellStart"/>
      <w:r w:rsidRPr="00485622">
        <w:rPr>
          <w:rFonts w:ascii="Times New Roman" w:hAnsi="Times New Roman" w:cs="Times New Roman"/>
          <w:sz w:val="24"/>
          <w:szCs w:val="24"/>
          <w:shd w:val="clear" w:color="auto" w:fill="FFFFFF"/>
        </w:rPr>
        <w:t>Pantnagar</w:t>
      </w:r>
      <w:proofErr w:type="spellEnd"/>
      <w:r w:rsidRPr="00485622">
        <w:rPr>
          <w:rFonts w:ascii="Times New Roman" w:hAnsi="Times New Roman" w:cs="Times New Roman"/>
          <w:b/>
          <w:bCs/>
          <w:sz w:val="24"/>
          <w:szCs w:val="24"/>
          <w:shd w:val="clear" w:color="auto" w:fill="FFFFFF"/>
        </w:rPr>
        <w:t>.  </w:t>
      </w:r>
      <w:hyperlink r:id="rId29" w:tgtFrame="_blank" w:history="1">
        <w:r w:rsidRPr="00485622">
          <w:rPr>
            <w:rStyle w:val="Strong"/>
            <w:rFonts w:ascii="Times New Roman" w:hAnsi="Times New Roman" w:cs="Times New Roman"/>
            <w:b w:val="0"/>
            <w:bCs w:val="0"/>
            <w:i/>
            <w:iCs/>
            <w:sz w:val="24"/>
            <w:szCs w:val="24"/>
            <w:shd w:val="clear" w:color="auto" w:fill="FFFFFF"/>
          </w:rPr>
          <w:t>Journal of Geoscience and Environment Protection</w:t>
        </w:r>
      </w:hyperlink>
      <w:r w:rsidRPr="00485622">
        <w:rPr>
          <w:rFonts w:ascii="Times New Roman" w:hAnsi="Times New Roman" w:cs="Times New Roman"/>
          <w:sz w:val="24"/>
          <w:szCs w:val="24"/>
          <w:shd w:val="clear" w:color="auto" w:fill="FFFFFF"/>
        </w:rPr>
        <w:t>. </w:t>
      </w:r>
      <w:hyperlink r:id="rId30" w:tgtFrame="_blank" w:history="1">
        <w:r w:rsidRPr="00485622">
          <w:rPr>
            <w:rStyle w:val="Hyperlink"/>
            <w:rFonts w:ascii="Times New Roman" w:eastAsiaTheme="majorEastAsia" w:hAnsi="Times New Roman" w:cs="Times New Roman"/>
            <w:sz w:val="24"/>
            <w:szCs w:val="24"/>
            <w:shd w:val="clear" w:color="auto" w:fill="FFFFFF"/>
          </w:rPr>
          <w:t>5(7</w:t>
        </w:r>
      </w:hyperlink>
      <w:r w:rsidRPr="00485622">
        <w:rPr>
          <w:rFonts w:ascii="Times New Roman" w:hAnsi="Times New Roman" w:cs="Times New Roman"/>
          <w:sz w:val="24"/>
          <w:szCs w:val="24"/>
          <w:shd w:val="clear" w:color="auto" w:fill="FFFFFF"/>
        </w:rPr>
        <w:t>): 22-30.</w:t>
      </w:r>
    </w:p>
    <w:p w14:paraId="1EFB62D9" w14:textId="77777777" w:rsidR="001865A4" w:rsidRPr="00485622" w:rsidRDefault="001865A4" w:rsidP="001865A4">
      <w:pPr>
        <w:pStyle w:val="ListParagraph"/>
        <w:widowControl w:val="0"/>
        <w:numPr>
          <w:ilvl w:val="0"/>
          <w:numId w:val="1"/>
        </w:numPr>
        <w:autoSpaceDE w:val="0"/>
        <w:autoSpaceDN w:val="0"/>
        <w:spacing w:line="360" w:lineRule="auto"/>
        <w:jc w:val="both"/>
        <w:rPr>
          <w:rFonts w:ascii="Times New Roman" w:hAnsi="Times New Roman" w:cs="Times New Roman"/>
          <w:color w:val="232323"/>
          <w:sz w:val="24"/>
          <w:szCs w:val="24"/>
          <w:shd w:val="clear" w:color="auto" w:fill="FFFFFF"/>
        </w:rPr>
      </w:pPr>
      <w:r w:rsidRPr="00485622">
        <w:rPr>
          <w:rFonts w:ascii="Times New Roman" w:hAnsi="Times New Roman" w:cs="Times New Roman"/>
          <w:color w:val="232323"/>
          <w:sz w:val="24"/>
          <w:szCs w:val="24"/>
          <w:shd w:val="clear" w:color="auto" w:fill="FFFFFF"/>
        </w:rPr>
        <w:t>Jackson, M.L. (1967) Soil Chemical Analysis. Prentice Hall, Englewood cliffs, NJ.</w:t>
      </w:r>
    </w:p>
    <w:p w14:paraId="2D0BDBD3" w14:textId="77777777"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Vijay Krishna, G. 2019.   Studies on the influence of plant bio regulators and chemicals on phenology, yield and quality of mango cv. Banganpalli. Ph.D., </w:t>
      </w:r>
      <w:r w:rsidRPr="00485622">
        <w:rPr>
          <w:rFonts w:ascii="Times New Roman" w:hAnsi="Times New Roman" w:cs="Times New Roman"/>
          <w:i/>
          <w:iCs/>
          <w:sz w:val="24"/>
          <w:szCs w:val="24"/>
        </w:rPr>
        <w:t>thesis</w:t>
      </w:r>
      <w:r w:rsidRPr="00485622">
        <w:rPr>
          <w:rFonts w:ascii="Times New Roman" w:hAnsi="Times New Roman" w:cs="Times New Roman"/>
          <w:sz w:val="24"/>
          <w:szCs w:val="24"/>
        </w:rPr>
        <w:t xml:space="preserve"> submitted to SKLTSHU-</w:t>
      </w:r>
      <w:proofErr w:type="spellStart"/>
      <w:r w:rsidRPr="00485622">
        <w:rPr>
          <w:rFonts w:ascii="Times New Roman" w:hAnsi="Times New Roman" w:cs="Times New Roman"/>
          <w:sz w:val="24"/>
          <w:szCs w:val="24"/>
        </w:rPr>
        <w:t>Mulugu</w:t>
      </w:r>
      <w:proofErr w:type="spellEnd"/>
      <w:r w:rsidRPr="00485622">
        <w:rPr>
          <w:rFonts w:ascii="Times New Roman" w:hAnsi="Times New Roman" w:cs="Times New Roman"/>
          <w:sz w:val="24"/>
          <w:szCs w:val="24"/>
        </w:rPr>
        <w:t>, College of Horticulture, Rajendranagar. p-30-55.</w:t>
      </w:r>
    </w:p>
    <w:p w14:paraId="3AFD01F3" w14:textId="77777777"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Zhang, B., Zhang, B., Song, C. Z. and Ma, R. 2017. Determination of fruit maturity and its prediction model based on the pericarp index of absorbance difference (IAD) for peaches. </w:t>
      </w:r>
      <w:proofErr w:type="spellStart"/>
      <w:r w:rsidRPr="00485622">
        <w:rPr>
          <w:rFonts w:ascii="Times New Roman" w:hAnsi="Times New Roman" w:cs="Times New Roman"/>
          <w:i/>
          <w:iCs/>
          <w:sz w:val="24"/>
          <w:szCs w:val="24"/>
        </w:rPr>
        <w:t>PLoS</w:t>
      </w:r>
      <w:proofErr w:type="spellEnd"/>
      <w:r w:rsidRPr="00485622">
        <w:rPr>
          <w:rFonts w:ascii="Times New Roman" w:hAnsi="Times New Roman" w:cs="Times New Roman"/>
          <w:i/>
          <w:iCs/>
          <w:sz w:val="24"/>
          <w:szCs w:val="24"/>
        </w:rPr>
        <w:t xml:space="preserve"> One</w:t>
      </w:r>
      <w:r w:rsidRPr="00485622">
        <w:rPr>
          <w:rFonts w:ascii="Times New Roman" w:hAnsi="Times New Roman" w:cs="Times New Roman"/>
          <w:sz w:val="24"/>
          <w:szCs w:val="24"/>
        </w:rPr>
        <w:t>. 12(5): 1-11.</w:t>
      </w:r>
    </w:p>
    <w:p w14:paraId="17408805" w14:textId="77777777" w:rsidR="001865A4" w:rsidRPr="00485622" w:rsidRDefault="001865A4" w:rsidP="001865A4">
      <w:pPr>
        <w:pStyle w:val="ListParagraph"/>
        <w:widowControl w:val="0"/>
        <w:numPr>
          <w:ilvl w:val="0"/>
          <w:numId w:val="1"/>
        </w:numPr>
        <w:shd w:val="clear" w:color="auto" w:fill="FFFFFF"/>
        <w:autoSpaceDE w:val="0"/>
        <w:autoSpaceDN w:val="0"/>
        <w:spacing w:after="120" w:line="360" w:lineRule="auto"/>
        <w:jc w:val="both"/>
        <w:rPr>
          <w:rFonts w:ascii="Times New Roman" w:eastAsia="Arial Unicode MS" w:hAnsi="Times New Roman" w:cs="Times New Roman"/>
          <w:color w:val="000000"/>
          <w:sz w:val="24"/>
          <w:szCs w:val="24"/>
        </w:rPr>
      </w:pPr>
      <w:r w:rsidRPr="00485622">
        <w:rPr>
          <w:rFonts w:ascii="Times New Roman" w:hAnsi="Times New Roman" w:cs="Times New Roman"/>
          <w:sz w:val="24"/>
          <w:szCs w:val="24"/>
        </w:rPr>
        <w:t>Víctor, H. D. Z., Carmen, R. R. P., Baltasar, G. R., Saray, G. G. and Iván, F. G. T. 2019. Water use and fruit yield of mango (</w:t>
      </w:r>
      <w:proofErr w:type="spellStart"/>
      <w:r w:rsidRPr="00485622">
        <w:rPr>
          <w:rFonts w:ascii="Times New Roman" w:hAnsi="Times New Roman" w:cs="Times New Roman"/>
          <w:i/>
          <w:iCs/>
          <w:sz w:val="24"/>
          <w:szCs w:val="24"/>
        </w:rPr>
        <w:t>Mangiferaindica</w:t>
      </w:r>
      <w:proofErr w:type="spellEnd"/>
      <w:r w:rsidRPr="00485622">
        <w:rPr>
          <w:rFonts w:ascii="Times New Roman" w:hAnsi="Times New Roman" w:cs="Times New Roman"/>
          <w:sz w:val="24"/>
          <w:szCs w:val="24"/>
        </w:rPr>
        <w:t xml:space="preserve"> L.) grown in a subtropical Mediterranean climate, International Journal of Fruit Science, 19:2, 136-150.</w:t>
      </w:r>
      <w:r w:rsidRPr="00485622">
        <w:rPr>
          <w:rFonts w:ascii="Times New Roman" w:eastAsia="Arial Unicode MS" w:hAnsi="Times New Roman" w:cs="Times New Roman"/>
          <w:color w:val="000000"/>
          <w:sz w:val="24"/>
          <w:szCs w:val="24"/>
        </w:rPr>
        <w:t xml:space="preserve"> </w:t>
      </w:r>
    </w:p>
    <w:p w14:paraId="21AED8E6"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shd w:val="clear" w:color="auto" w:fill="FFFFFF"/>
        </w:rPr>
      </w:pPr>
      <w:r w:rsidRPr="00485622">
        <w:rPr>
          <w:rFonts w:ascii="Times New Roman" w:hAnsi="Times New Roman" w:cs="Times New Roman"/>
          <w:sz w:val="24"/>
          <w:szCs w:val="24"/>
          <w:shd w:val="clear" w:color="auto" w:fill="FFFFFF"/>
        </w:rPr>
        <w:t>Srivastava, A. K. and Malhotra, S. K. 2017. Nutrient use efficiency in perennial fruit crops-A review</w:t>
      </w:r>
      <w:r w:rsidRPr="00485622">
        <w:rPr>
          <w:rFonts w:ascii="Times New Roman" w:hAnsi="Times New Roman" w:cs="Times New Roman"/>
          <w:i/>
          <w:iCs/>
          <w:sz w:val="24"/>
          <w:szCs w:val="24"/>
          <w:shd w:val="clear" w:color="auto" w:fill="FFFFFF"/>
        </w:rPr>
        <w:t xml:space="preserve">. Journal of Plant Nutrition, </w:t>
      </w:r>
      <w:r w:rsidRPr="00485622">
        <w:rPr>
          <w:rFonts w:ascii="Times New Roman" w:hAnsi="Times New Roman" w:cs="Times New Roman"/>
          <w:sz w:val="24"/>
          <w:szCs w:val="24"/>
          <w:shd w:val="clear" w:color="auto" w:fill="FFFFFF"/>
        </w:rPr>
        <w:t>40(13), 1928–1953.</w:t>
      </w:r>
    </w:p>
    <w:p w14:paraId="4BC3A20E"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Hooks, C. R. R. and Johnson, M. W. 2003. Impact of agricultural diversification on the insect community of cruciferous crops. </w:t>
      </w:r>
      <w:r w:rsidRPr="00485622">
        <w:rPr>
          <w:rFonts w:ascii="Times New Roman" w:hAnsi="Times New Roman" w:cs="Times New Roman"/>
          <w:i/>
          <w:iCs/>
          <w:sz w:val="24"/>
          <w:szCs w:val="24"/>
        </w:rPr>
        <w:t>Crop Protection</w:t>
      </w:r>
      <w:r w:rsidRPr="00485622">
        <w:rPr>
          <w:rFonts w:ascii="Times New Roman" w:hAnsi="Times New Roman" w:cs="Times New Roman"/>
          <w:sz w:val="24"/>
          <w:szCs w:val="24"/>
        </w:rPr>
        <w:t>. 22: 223-238.</w:t>
      </w:r>
    </w:p>
    <w:p w14:paraId="2B2CDD43"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Mahmoud, I., El –</w:t>
      </w:r>
      <w:proofErr w:type="spellStart"/>
      <w:r w:rsidRPr="00485622">
        <w:rPr>
          <w:rFonts w:ascii="Times New Roman" w:hAnsi="Times New Roman" w:cs="Times New Roman"/>
          <w:sz w:val="24"/>
          <w:szCs w:val="24"/>
        </w:rPr>
        <w:t>Desouky</w:t>
      </w:r>
      <w:proofErr w:type="spellEnd"/>
      <w:r w:rsidRPr="00485622">
        <w:rPr>
          <w:rFonts w:ascii="Times New Roman" w:hAnsi="Times New Roman" w:cs="Times New Roman"/>
          <w:sz w:val="24"/>
          <w:szCs w:val="24"/>
        </w:rPr>
        <w:t xml:space="preserve">, </w:t>
      </w:r>
      <w:proofErr w:type="spellStart"/>
      <w:r w:rsidRPr="00485622">
        <w:rPr>
          <w:rFonts w:ascii="Times New Roman" w:hAnsi="Times New Roman" w:cs="Times New Roman"/>
          <w:sz w:val="24"/>
          <w:szCs w:val="24"/>
        </w:rPr>
        <w:t>Sheren</w:t>
      </w:r>
      <w:proofErr w:type="spellEnd"/>
      <w:r w:rsidRPr="00485622">
        <w:rPr>
          <w:rFonts w:ascii="Times New Roman" w:hAnsi="Times New Roman" w:cs="Times New Roman"/>
          <w:sz w:val="24"/>
          <w:szCs w:val="24"/>
        </w:rPr>
        <w:t xml:space="preserve">, A. </w:t>
      </w:r>
      <w:proofErr w:type="gramStart"/>
      <w:r w:rsidRPr="00485622">
        <w:rPr>
          <w:rFonts w:ascii="Times New Roman" w:hAnsi="Times New Roman" w:cs="Times New Roman"/>
          <w:sz w:val="24"/>
          <w:szCs w:val="24"/>
        </w:rPr>
        <w:t>and  Abd</w:t>
      </w:r>
      <w:proofErr w:type="gramEnd"/>
      <w:r w:rsidRPr="00485622">
        <w:rPr>
          <w:rFonts w:ascii="Times New Roman" w:hAnsi="Times New Roman" w:cs="Times New Roman"/>
          <w:sz w:val="24"/>
          <w:szCs w:val="24"/>
        </w:rPr>
        <w:t xml:space="preserve"> El- Hamied. 2014. Improving growth and productivity of pomegranate fruit trees planted on sandy dunes slopes at </w:t>
      </w:r>
      <w:proofErr w:type="spellStart"/>
      <w:r w:rsidRPr="00485622">
        <w:rPr>
          <w:rFonts w:ascii="Times New Roman" w:hAnsi="Times New Roman" w:cs="Times New Roman"/>
          <w:sz w:val="24"/>
          <w:szCs w:val="24"/>
        </w:rPr>
        <w:t>baloza</w:t>
      </w:r>
      <w:proofErr w:type="spellEnd"/>
      <w:r w:rsidRPr="00485622">
        <w:rPr>
          <w:rFonts w:ascii="Times New Roman" w:hAnsi="Times New Roman" w:cs="Times New Roman"/>
          <w:sz w:val="24"/>
          <w:szCs w:val="24"/>
        </w:rPr>
        <w:t xml:space="preserve"> district using different methods of drip irrigation, organic fertilization, and soil mulching. </w:t>
      </w:r>
      <w:r w:rsidRPr="00485622">
        <w:rPr>
          <w:rFonts w:ascii="Times New Roman" w:hAnsi="Times New Roman" w:cs="Times New Roman"/>
          <w:i/>
          <w:iCs/>
          <w:sz w:val="24"/>
          <w:szCs w:val="24"/>
        </w:rPr>
        <w:t>Journal of Agriculture and Veterinary Science</w:t>
      </w:r>
      <w:r w:rsidRPr="00485622">
        <w:rPr>
          <w:rFonts w:ascii="Times New Roman" w:hAnsi="Times New Roman" w:cs="Times New Roman"/>
          <w:sz w:val="24"/>
          <w:szCs w:val="24"/>
        </w:rPr>
        <w:t>. 7(12): 86-97.</w:t>
      </w:r>
    </w:p>
    <w:p w14:paraId="73311593"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proofErr w:type="spellStart"/>
      <w:r w:rsidRPr="00485622">
        <w:rPr>
          <w:rFonts w:ascii="Times New Roman" w:hAnsi="Times New Roman" w:cs="Times New Roman"/>
          <w:sz w:val="24"/>
          <w:szCs w:val="24"/>
        </w:rPr>
        <w:t>Sarolia</w:t>
      </w:r>
      <w:proofErr w:type="spellEnd"/>
      <w:r w:rsidRPr="00485622">
        <w:rPr>
          <w:rFonts w:ascii="Times New Roman" w:hAnsi="Times New Roman" w:cs="Times New Roman"/>
          <w:sz w:val="24"/>
          <w:szCs w:val="24"/>
        </w:rPr>
        <w:t xml:space="preserve">, D. K. and Bhardwaj, R. L. 2012. Effect of mulching on crop production under rainfed condition: A review. </w:t>
      </w:r>
      <w:r w:rsidRPr="00485622">
        <w:rPr>
          <w:rFonts w:ascii="Times New Roman" w:hAnsi="Times New Roman" w:cs="Times New Roman"/>
          <w:i/>
          <w:iCs/>
          <w:sz w:val="24"/>
          <w:szCs w:val="24"/>
          <w:shd w:val="clear" w:color="auto" w:fill="FFFFFF"/>
        </w:rPr>
        <w:t>International Journal of Research in Chemistry and Environment</w:t>
      </w:r>
      <w:r w:rsidRPr="00485622">
        <w:rPr>
          <w:rFonts w:ascii="Times New Roman" w:hAnsi="Times New Roman" w:cs="Times New Roman"/>
          <w:sz w:val="24"/>
          <w:szCs w:val="24"/>
        </w:rPr>
        <w:t>. 2: 8-20.</w:t>
      </w:r>
    </w:p>
    <w:p w14:paraId="3D15981F"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Barber, S.A.1995. Soil nutrient bioavailability: A mechanistic approach. John </w:t>
      </w:r>
      <w:proofErr w:type="gramStart"/>
      <w:r w:rsidRPr="00485622">
        <w:rPr>
          <w:rFonts w:ascii="Times New Roman" w:hAnsi="Times New Roman" w:cs="Times New Roman"/>
          <w:sz w:val="24"/>
          <w:szCs w:val="24"/>
        </w:rPr>
        <w:t>Wiley  and</w:t>
      </w:r>
      <w:proofErr w:type="gramEnd"/>
      <w:r w:rsidRPr="00485622">
        <w:rPr>
          <w:rFonts w:ascii="Times New Roman" w:hAnsi="Times New Roman" w:cs="Times New Roman"/>
          <w:sz w:val="24"/>
          <w:szCs w:val="24"/>
        </w:rPr>
        <w:t xml:space="preserve">  Sons, New York.</w:t>
      </w:r>
    </w:p>
    <w:p w14:paraId="0079B083"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lastRenderedPageBreak/>
        <w:t xml:space="preserve">Dutta, P. and Kundu, S. 2012. Effect of bio-fertilizers on nutrient status and fruit quality of </w:t>
      </w:r>
      <w:proofErr w:type="spellStart"/>
      <w:r w:rsidRPr="00485622">
        <w:rPr>
          <w:rFonts w:ascii="Times New Roman" w:hAnsi="Times New Roman" w:cs="Times New Roman"/>
          <w:sz w:val="24"/>
          <w:szCs w:val="24"/>
        </w:rPr>
        <w:t>Himsagar</w:t>
      </w:r>
      <w:proofErr w:type="spellEnd"/>
      <w:r w:rsidRPr="00485622">
        <w:rPr>
          <w:rFonts w:ascii="Times New Roman" w:hAnsi="Times New Roman" w:cs="Times New Roman"/>
          <w:sz w:val="24"/>
          <w:szCs w:val="24"/>
        </w:rPr>
        <w:t xml:space="preserve"> mango grown in new alluvial zones of West Bengal. </w:t>
      </w:r>
      <w:r w:rsidRPr="00485622">
        <w:rPr>
          <w:rFonts w:ascii="Times New Roman" w:hAnsi="Times New Roman" w:cs="Times New Roman"/>
          <w:i/>
          <w:iCs/>
          <w:sz w:val="24"/>
          <w:szCs w:val="24"/>
        </w:rPr>
        <w:t>Journal of Crop and Weed</w:t>
      </w:r>
      <w:r w:rsidRPr="00485622">
        <w:rPr>
          <w:rFonts w:ascii="Times New Roman" w:hAnsi="Times New Roman" w:cs="Times New Roman"/>
          <w:sz w:val="24"/>
          <w:szCs w:val="24"/>
        </w:rPr>
        <w:t>. 8:72-74.</w:t>
      </w:r>
    </w:p>
    <w:p w14:paraId="57753D7F"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Anubha, R., Lal, R. L., Uniyal, S. and Chand, S. 2013. Response of organic manures on growth, nutrient status and yield of Litchi (</w:t>
      </w:r>
      <w:r w:rsidRPr="00485622">
        <w:rPr>
          <w:rFonts w:ascii="Times New Roman" w:hAnsi="Times New Roman" w:cs="Times New Roman"/>
          <w:i/>
          <w:iCs/>
          <w:sz w:val="24"/>
          <w:szCs w:val="24"/>
        </w:rPr>
        <w:t xml:space="preserve">Litchi chinensis </w:t>
      </w:r>
      <w:r w:rsidRPr="00485622">
        <w:rPr>
          <w:rFonts w:ascii="Times New Roman" w:hAnsi="Times New Roman" w:cs="Times New Roman"/>
          <w:sz w:val="24"/>
          <w:szCs w:val="24"/>
        </w:rPr>
        <w:t xml:space="preserve">Sonn.) cv. Rose Scented. </w:t>
      </w:r>
      <w:r w:rsidRPr="00485622">
        <w:rPr>
          <w:rFonts w:ascii="Times New Roman" w:hAnsi="Times New Roman" w:cs="Times New Roman"/>
          <w:i/>
          <w:iCs/>
          <w:sz w:val="24"/>
          <w:szCs w:val="24"/>
        </w:rPr>
        <w:t>Progressive Horticulture</w:t>
      </w:r>
      <w:r w:rsidRPr="00485622">
        <w:rPr>
          <w:rFonts w:ascii="Times New Roman" w:hAnsi="Times New Roman" w:cs="Times New Roman"/>
          <w:sz w:val="24"/>
          <w:szCs w:val="24"/>
        </w:rPr>
        <w:t>. 45:126–131.</w:t>
      </w:r>
    </w:p>
    <w:p w14:paraId="47C51BE9"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i/>
          <w:iCs/>
          <w:sz w:val="24"/>
          <w:szCs w:val="24"/>
        </w:rPr>
      </w:pPr>
      <w:r w:rsidRPr="00485622">
        <w:rPr>
          <w:rFonts w:ascii="Times New Roman" w:hAnsi="Times New Roman" w:cs="Times New Roman"/>
          <w:sz w:val="24"/>
          <w:szCs w:val="24"/>
        </w:rPr>
        <w:t xml:space="preserve">Rad, P. M. R., Movahedi Naeini, S. A. R. and </w:t>
      </w:r>
      <w:proofErr w:type="spellStart"/>
      <w:r w:rsidRPr="00485622">
        <w:rPr>
          <w:rFonts w:ascii="Times New Roman" w:hAnsi="Times New Roman" w:cs="Times New Roman"/>
          <w:sz w:val="24"/>
          <w:szCs w:val="24"/>
        </w:rPr>
        <w:t>Pessarakli</w:t>
      </w:r>
      <w:proofErr w:type="spellEnd"/>
      <w:r w:rsidRPr="00485622">
        <w:rPr>
          <w:rFonts w:ascii="Times New Roman" w:hAnsi="Times New Roman" w:cs="Times New Roman"/>
          <w:sz w:val="24"/>
          <w:szCs w:val="24"/>
        </w:rPr>
        <w:t xml:space="preserve">, M. 2011. Nutrient uptake, soil and plant nutrient content and yield components of wheat plants under different planting systems and various irrigation frequencies. </w:t>
      </w:r>
      <w:r w:rsidRPr="00485622">
        <w:rPr>
          <w:rFonts w:ascii="Times New Roman" w:hAnsi="Times New Roman" w:cs="Times New Roman"/>
          <w:i/>
          <w:iCs/>
          <w:sz w:val="24"/>
          <w:szCs w:val="24"/>
        </w:rPr>
        <w:t>Journal of Plant Nutrition.</w:t>
      </w:r>
      <w:r w:rsidRPr="00485622">
        <w:rPr>
          <w:rFonts w:ascii="Times New Roman" w:hAnsi="Times New Roman" w:cs="Times New Roman"/>
          <w:sz w:val="24"/>
          <w:szCs w:val="24"/>
        </w:rPr>
        <w:t xml:space="preserve"> 1133-1143.</w:t>
      </w:r>
    </w:p>
    <w:p w14:paraId="6FCC98BA" w14:textId="77777777"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r w:rsidRPr="00485622">
        <w:t xml:space="preserve">Haneef, Mohd. Kaushik, R. A., </w:t>
      </w:r>
      <w:proofErr w:type="spellStart"/>
      <w:r w:rsidRPr="00485622">
        <w:t>Sarolia</w:t>
      </w:r>
      <w:proofErr w:type="spellEnd"/>
      <w:r w:rsidRPr="00485622">
        <w:t xml:space="preserve">, D. K., </w:t>
      </w:r>
      <w:proofErr w:type="spellStart"/>
      <w:r w:rsidRPr="00485622">
        <w:t>Mordia</w:t>
      </w:r>
      <w:proofErr w:type="spellEnd"/>
      <w:r w:rsidRPr="00485622">
        <w:t xml:space="preserve">, A. and Mahesh Dhakar. 2014. Irrigation scheduling and fertigation in pomegranate cv. </w:t>
      </w:r>
      <w:proofErr w:type="spellStart"/>
      <w:r w:rsidRPr="00485622">
        <w:t>Bhagwa</w:t>
      </w:r>
      <w:proofErr w:type="spellEnd"/>
      <w:r w:rsidRPr="00485622">
        <w:t xml:space="preserve"> under high density planting system.</w:t>
      </w:r>
      <w:r w:rsidRPr="00485622">
        <w:rPr>
          <w:i/>
          <w:iCs/>
        </w:rPr>
        <w:t xml:space="preserve"> Indian Journal of Horticulture. </w:t>
      </w:r>
      <w:r w:rsidRPr="00485622">
        <w:t>71(1): 45-48.</w:t>
      </w:r>
    </w:p>
    <w:p w14:paraId="170C04AB" w14:textId="77777777"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Tiwari, K. N., Kumar, M., Santosh, D. T., Singh, V. K., Maji, M. K., and Karan, A. K. 2014. Influence of drip irrigation and plastic mulch on yield of sapota (</w:t>
      </w:r>
      <w:r w:rsidRPr="00485622">
        <w:rPr>
          <w:rFonts w:ascii="Times New Roman" w:hAnsi="Times New Roman" w:cs="Times New Roman"/>
          <w:i/>
          <w:iCs/>
          <w:sz w:val="24"/>
          <w:szCs w:val="24"/>
        </w:rPr>
        <w:t>Achras zapota</w:t>
      </w:r>
      <w:r w:rsidRPr="00485622">
        <w:rPr>
          <w:rFonts w:ascii="Times New Roman" w:hAnsi="Times New Roman" w:cs="Times New Roman"/>
          <w:sz w:val="24"/>
          <w:szCs w:val="24"/>
        </w:rPr>
        <w:t xml:space="preserve">) and soil nutrients. </w:t>
      </w:r>
      <w:r w:rsidRPr="00485622">
        <w:rPr>
          <w:rFonts w:ascii="Times New Roman" w:hAnsi="Times New Roman" w:cs="Times New Roman"/>
          <w:i/>
          <w:iCs/>
          <w:sz w:val="24"/>
          <w:szCs w:val="24"/>
        </w:rPr>
        <w:t xml:space="preserve">Irrigation and Drainage Engineering. </w:t>
      </w:r>
      <w:r w:rsidRPr="00485622">
        <w:rPr>
          <w:rFonts w:ascii="Times New Roman" w:hAnsi="Times New Roman" w:cs="Times New Roman"/>
          <w:sz w:val="24"/>
          <w:szCs w:val="24"/>
        </w:rPr>
        <w:t>3: 116-117.</w:t>
      </w:r>
    </w:p>
    <w:p w14:paraId="431BD994"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Singh, R., Bhandari, A. R. and Thakur, B. C. 2004. Effect of mulching on in situ soil moisture, growth, yield and economics of plum fruit trees under rainfed condition of mid hills of Himalayas. </w:t>
      </w:r>
      <w:r w:rsidRPr="00485622">
        <w:rPr>
          <w:rFonts w:ascii="Times New Roman" w:hAnsi="Times New Roman" w:cs="Times New Roman"/>
          <w:i/>
          <w:iCs/>
          <w:sz w:val="24"/>
          <w:szCs w:val="24"/>
        </w:rPr>
        <w:t xml:space="preserve">Journal of the Indian Society of Soil Science. </w:t>
      </w:r>
      <w:r w:rsidRPr="00485622">
        <w:rPr>
          <w:rFonts w:ascii="Times New Roman" w:hAnsi="Times New Roman" w:cs="Times New Roman"/>
          <w:sz w:val="24"/>
          <w:szCs w:val="24"/>
        </w:rPr>
        <w:t>52(4): 411-414.</w:t>
      </w:r>
    </w:p>
    <w:p w14:paraId="1E76EB38"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Style w:val="A3"/>
          <w:rFonts w:ascii="Times New Roman" w:hAnsi="Times New Roman"/>
          <w:sz w:val="24"/>
          <w:szCs w:val="24"/>
        </w:rPr>
      </w:pPr>
      <w:r w:rsidRPr="00485622">
        <w:rPr>
          <w:rFonts w:ascii="Times New Roman" w:hAnsi="Times New Roman" w:cs="Times New Roman"/>
          <w:sz w:val="24"/>
          <w:szCs w:val="24"/>
        </w:rPr>
        <w:t>Tiwari, K. N., Mukesh Kumar, Vikas Kumar Singh and Santosh, D. T. 2016.  Response of drip irrigation and plastic mulch on quality of sapota (</w:t>
      </w:r>
      <w:r w:rsidRPr="00485622">
        <w:rPr>
          <w:rFonts w:ascii="Times New Roman" w:hAnsi="Times New Roman" w:cs="Times New Roman"/>
          <w:i/>
          <w:iCs/>
          <w:sz w:val="24"/>
          <w:szCs w:val="24"/>
        </w:rPr>
        <w:t>Achras Zapota</w:t>
      </w:r>
      <w:r w:rsidRPr="00485622">
        <w:rPr>
          <w:rFonts w:ascii="Times New Roman" w:hAnsi="Times New Roman" w:cs="Times New Roman"/>
          <w:sz w:val="24"/>
          <w:szCs w:val="24"/>
        </w:rPr>
        <w:t xml:space="preserve">) fruits. </w:t>
      </w:r>
      <w:r w:rsidRPr="00485622">
        <w:rPr>
          <w:rStyle w:val="A6"/>
          <w:rFonts w:ascii="Times New Roman" w:hAnsi="Times New Roman"/>
          <w:i/>
          <w:iCs/>
          <w:sz w:val="24"/>
          <w:szCs w:val="24"/>
        </w:rPr>
        <w:t>International Journal of Agriculture, Environment and Biotechnology</w:t>
      </w:r>
      <w:r w:rsidRPr="00485622">
        <w:rPr>
          <w:rStyle w:val="A6"/>
          <w:rFonts w:ascii="Times New Roman" w:hAnsi="Times New Roman"/>
          <w:sz w:val="24"/>
          <w:szCs w:val="24"/>
        </w:rPr>
        <w:t>.</w:t>
      </w:r>
      <w:r w:rsidRPr="00485622">
        <w:rPr>
          <w:rFonts w:ascii="Times New Roman" w:hAnsi="Times New Roman" w:cs="Times New Roman"/>
          <w:sz w:val="24"/>
          <w:szCs w:val="24"/>
        </w:rPr>
        <w:t xml:space="preserve"> </w:t>
      </w:r>
      <w:r w:rsidRPr="00485622">
        <w:rPr>
          <w:rStyle w:val="A3"/>
          <w:rFonts w:ascii="Times New Roman" w:hAnsi="Times New Roman"/>
          <w:sz w:val="24"/>
          <w:szCs w:val="24"/>
        </w:rPr>
        <w:t>9(4): 699-710.</w:t>
      </w:r>
    </w:p>
    <w:p w14:paraId="532A7EC3" w14:textId="77777777"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Panigrahi, H. K., Narendra Agrawal, R., Agrawal, Saket Dubey and Tiwari, S. P. 2010. Effect of drip irrigation and polythene mulch on the fruit yield and quality parameters of mango (</w:t>
      </w:r>
      <w:r w:rsidRPr="00485622">
        <w:rPr>
          <w:rFonts w:ascii="Times New Roman" w:hAnsi="Times New Roman" w:cs="Times New Roman"/>
          <w:i/>
          <w:iCs/>
          <w:sz w:val="24"/>
          <w:szCs w:val="24"/>
        </w:rPr>
        <w:t xml:space="preserve">Mangifera indica </w:t>
      </w:r>
      <w:r w:rsidRPr="00485622">
        <w:rPr>
          <w:rFonts w:ascii="Times New Roman" w:hAnsi="Times New Roman" w:cs="Times New Roman"/>
          <w:sz w:val="24"/>
          <w:szCs w:val="24"/>
        </w:rPr>
        <w:t>L.).</w:t>
      </w:r>
      <w:r w:rsidRPr="00485622">
        <w:rPr>
          <w:rFonts w:ascii="Times New Roman" w:hAnsi="Times New Roman" w:cs="Times New Roman"/>
          <w:i/>
          <w:iCs/>
          <w:sz w:val="24"/>
          <w:szCs w:val="24"/>
        </w:rPr>
        <w:t xml:space="preserve"> Journal of Horticultural Sciences. </w:t>
      </w:r>
      <w:r w:rsidRPr="00485622">
        <w:rPr>
          <w:rFonts w:ascii="Times New Roman" w:hAnsi="Times New Roman" w:cs="Times New Roman"/>
          <w:sz w:val="24"/>
          <w:szCs w:val="24"/>
        </w:rPr>
        <w:t>5 (2): 140-143.</w:t>
      </w:r>
    </w:p>
    <w:p w14:paraId="204DDA41" w14:textId="77777777" w:rsidR="001865A4" w:rsidRPr="00485622" w:rsidRDefault="001865A4" w:rsidP="001865A4">
      <w:pPr>
        <w:pStyle w:val="ListParagraph"/>
        <w:widowControl w:val="0"/>
        <w:numPr>
          <w:ilvl w:val="0"/>
          <w:numId w:val="1"/>
        </w:numPr>
        <w:autoSpaceDE w:val="0"/>
        <w:autoSpaceDN w:val="0"/>
        <w:spacing w:after="120" w:line="360" w:lineRule="auto"/>
        <w:jc w:val="both"/>
        <w:rPr>
          <w:rStyle w:val="A3"/>
          <w:rFonts w:ascii="Times New Roman" w:hAnsi="Times New Roman"/>
          <w:color w:val="auto"/>
          <w:sz w:val="24"/>
          <w:szCs w:val="24"/>
        </w:rPr>
      </w:pPr>
      <w:r w:rsidRPr="00485622">
        <w:rPr>
          <w:rFonts w:ascii="Times New Roman" w:hAnsi="Times New Roman" w:cs="Times New Roman"/>
          <w:sz w:val="24"/>
          <w:szCs w:val="24"/>
        </w:rPr>
        <w:t>Dinesh, K., Pandey, V. and Vishal, N. 2008. Effect of drip irrigation regimes on growth, yield and quality of mango hybrid Arka Anmol.</w:t>
      </w:r>
      <w:r w:rsidRPr="00485622">
        <w:rPr>
          <w:rFonts w:ascii="Times New Roman" w:hAnsi="Times New Roman" w:cs="Times New Roman"/>
          <w:i/>
          <w:iCs/>
          <w:sz w:val="24"/>
          <w:szCs w:val="24"/>
        </w:rPr>
        <w:t xml:space="preserve"> Indian </w:t>
      </w:r>
      <w:proofErr w:type="spellStart"/>
      <w:r w:rsidRPr="00485622">
        <w:rPr>
          <w:rFonts w:ascii="Times New Roman" w:hAnsi="Times New Roman" w:cs="Times New Roman"/>
          <w:i/>
          <w:iCs/>
          <w:sz w:val="24"/>
          <w:szCs w:val="24"/>
        </w:rPr>
        <w:t>Jouran</w:t>
      </w:r>
      <w:proofErr w:type="spellEnd"/>
      <w:r w:rsidRPr="00485622">
        <w:rPr>
          <w:rFonts w:ascii="Times New Roman" w:hAnsi="Times New Roman" w:cs="Times New Roman"/>
          <w:i/>
          <w:iCs/>
          <w:sz w:val="24"/>
          <w:szCs w:val="24"/>
        </w:rPr>
        <w:t xml:space="preserve"> </w:t>
      </w:r>
      <w:r w:rsidRPr="00485622">
        <w:rPr>
          <w:rFonts w:ascii="Times New Roman" w:hAnsi="Times New Roman" w:cs="Times New Roman"/>
          <w:i/>
          <w:iCs/>
          <w:sz w:val="24"/>
          <w:szCs w:val="24"/>
        </w:rPr>
        <w:lastRenderedPageBreak/>
        <w:t xml:space="preserve">Horticulture. </w:t>
      </w:r>
      <w:r w:rsidRPr="00485622">
        <w:rPr>
          <w:rFonts w:ascii="Times New Roman" w:hAnsi="Times New Roman" w:cs="Times New Roman"/>
          <w:sz w:val="24"/>
          <w:szCs w:val="24"/>
        </w:rPr>
        <w:t>65(4), December 2008: 409-412.</w:t>
      </w:r>
    </w:p>
    <w:p w14:paraId="65BABA2A"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Kumar, D., Pandey, V. and Nath, V. 2008. Effect of organic mulches and irrigation scheduling through drip on growth and yield of ‘Lal Sundari’ mango (</w:t>
      </w:r>
      <w:r w:rsidRPr="00485622">
        <w:rPr>
          <w:rFonts w:ascii="Times New Roman" w:hAnsi="Times New Roman" w:cs="Times New Roman"/>
          <w:i/>
          <w:iCs/>
          <w:sz w:val="24"/>
          <w:szCs w:val="24"/>
        </w:rPr>
        <w:t>Mangifera indica</w:t>
      </w:r>
      <w:r w:rsidRPr="00485622">
        <w:rPr>
          <w:rFonts w:ascii="Times New Roman" w:hAnsi="Times New Roman" w:cs="Times New Roman"/>
          <w:sz w:val="24"/>
          <w:szCs w:val="24"/>
        </w:rPr>
        <w:t xml:space="preserve">) in Eastern region of India. </w:t>
      </w:r>
      <w:r w:rsidRPr="00485622">
        <w:rPr>
          <w:rFonts w:ascii="Times New Roman" w:hAnsi="Times New Roman" w:cs="Times New Roman"/>
          <w:i/>
          <w:iCs/>
          <w:sz w:val="24"/>
          <w:szCs w:val="24"/>
        </w:rPr>
        <w:t>Indian Journal of Agricultural Sciences</w:t>
      </w:r>
      <w:r w:rsidRPr="00485622">
        <w:rPr>
          <w:rFonts w:ascii="Times New Roman" w:hAnsi="Times New Roman" w:cs="Times New Roman"/>
          <w:sz w:val="24"/>
          <w:szCs w:val="24"/>
        </w:rPr>
        <w:t>. 78(5): 385-388.</w:t>
      </w:r>
    </w:p>
    <w:p w14:paraId="4784D332" w14:textId="77777777" w:rsidR="001865A4" w:rsidRPr="00485622" w:rsidRDefault="001865A4" w:rsidP="001865A4">
      <w:pPr>
        <w:pStyle w:val="ListParagraph"/>
        <w:widowControl w:val="0"/>
        <w:numPr>
          <w:ilvl w:val="0"/>
          <w:numId w:val="1"/>
        </w:numPr>
        <w:autoSpaceDE w:val="0"/>
        <w:autoSpaceDN w:val="0"/>
        <w:adjustRightInd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Ghosh, S., Mahato, S. and Halder, S. 2020. Effect of mulching and supplementary irrigation on fruit set, fruit drop, fruit retention and yield of </w:t>
      </w:r>
      <w:proofErr w:type="spellStart"/>
      <w:r w:rsidRPr="00485622">
        <w:rPr>
          <w:rFonts w:ascii="Times New Roman" w:hAnsi="Times New Roman" w:cs="Times New Roman"/>
          <w:sz w:val="24"/>
          <w:szCs w:val="24"/>
        </w:rPr>
        <w:t>bael</w:t>
      </w:r>
      <w:proofErr w:type="spellEnd"/>
      <w:r w:rsidRPr="00485622">
        <w:rPr>
          <w:rFonts w:ascii="Times New Roman" w:hAnsi="Times New Roman" w:cs="Times New Roman"/>
          <w:sz w:val="24"/>
          <w:szCs w:val="24"/>
        </w:rPr>
        <w:t xml:space="preserve"> (</w:t>
      </w:r>
      <w:r w:rsidRPr="00485622">
        <w:rPr>
          <w:rFonts w:ascii="Times New Roman" w:hAnsi="Times New Roman" w:cs="Times New Roman"/>
          <w:i/>
          <w:iCs/>
          <w:sz w:val="24"/>
          <w:szCs w:val="24"/>
        </w:rPr>
        <w:t xml:space="preserve">Aegle </w:t>
      </w:r>
      <w:proofErr w:type="spellStart"/>
      <w:r w:rsidRPr="00485622">
        <w:rPr>
          <w:rFonts w:ascii="Times New Roman" w:hAnsi="Times New Roman" w:cs="Times New Roman"/>
          <w:i/>
          <w:iCs/>
          <w:sz w:val="24"/>
          <w:szCs w:val="24"/>
        </w:rPr>
        <w:t>marmelos</w:t>
      </w:r>
      <w:proofErr w:type="spellEnd"/>
      <w:r w:rsidRPr="00485622">
        <w:rPr>
          <w:rFonts w:ascii="Times New Roman" w:hAnsi="Times New Roman" w:cs="Times New Roman"/>
          <w:sz w:val="24"/>
          <w:szCs w:val="24"/>
        </w:rPr>
        <w:t xml:space="preserve"> Correa.). </w:t>
      </w:r>
      <w:r w:rsidRPr="00485622">
        <w:rPr>
          <w:rFonts w:ascii="Times New Roman" w:hAnsi="Times New Roman" w:cs="Times New Roman"/>
          <w:i/>
          <w:iCs/>
          <w:sz w:val="24"/>
          <w:szCs w:val="24"/>
        </w:rPr>
        <w:t>Journal of Crop and Weed Science</w:t>
      </w:r>
      <w:r w:rsidRPr="00485622">
        <w:rPr>
          <w:rFonts w:ascii="Times New Roman" w:hAnsi="Times New Roman" w:cs="Times New Roman"/>
          <w:sz w:val="24"/>
          <w:szCs w:val="24"/>
        </w:rPr>
        <w:t>. 16(3): 38-43.</w:t>
      </w:r>
    </w:p>
    <w:p w14:paraId="4DA6FB42" w14:textId="77777777"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Borthakur, P. K. and Bhattacharyya, R. K. 1996b. Organic mulches in guava orchard. </w:t>
      </w:r>
      <w:r w:rsidRPr="00485622">
        <w:rPr>
          <w:rFonts w:ascii="Times New Roman" w:hAnsi="Times New Roman" w:cs="Times New Roman"/>
          <w:i/>
          <w:iCs/>
          <w:sz w:val="24"/>
          <w:szCs w:val="24"/>
        </w:rPr>
        <w:t>India Journal of Horticulture</w:t>
      </w:r>
      <w:r w:rsidRPr="00485622">
        <w:rPr>
          <w:rFonts w:ascii="Times New Roman" w:hAnsi="Times New Roman" w:cs="Times New Roman"/>
          <w:sz w:val="24"/>
          <w:szCs w:val="24"/>
        </w:rPr>
        <w:t>. 37: 43-44.</w:t>
      </w:r>
    </w:p>
    <w:p w14:paraId="1A01E181" w14:textId="77777777" w:rsidR="001865A4" w:rsidRPr="00485622" w:rsidRDefault="001865A4" w:rsidP="001865A4">
      <w:pPr>
        <w:pStyle w:val="ListParagraph"/>
        <w:widowControl w:val="0"/>
        <w:numPr>
          <w:ilvl w:val="0"/>
          <w:numId w:val="1"/>
        </w:numPr>
        <w:autoSpaceDE w:val="0"/>
        <w:autoSpaceDN w:val="0"/>
        <w:spacing w:after="120" w:line="360" w:lineRule="auto"/>
        <w:jc w:val="both"/>
        <w:rPr>
          <w:rFonts w:ascii="Times New Roman" w:hAnsi="Times New Roman" w:cs="Times New Roman"/>
          <w:sz w:val="24"/>
          <w:szCs w:val="24"/>
        </w:rPr>
      </w:pPr>
      <w:r w:rsidRPr="00485622">
        <w:rPr>
          <w:rFonts w:ascii="Times New Roman" w:hAnsi="Times New Roman" w:cs="Times New Roman"/>
          <w:sz w:val="24"/>
          <w:szCs w:val="24"/>
        </w:rPr>
        <w:t xml:space="preserve">David, L., Ehret1, Brenda Frey, Tom Forge and Tom Helmer. 2012. Effects of drip irrigation </w:t>
      </w:r>
      <w:proofErr w:type="spellStart"/>
      <w:r w:rsidRPr="00485622">
        <w:rPr>
          <w:rFonts w:ascii="Times New Roman" w:hAnsi="Times New Roman" w:cs="Times New Roman"/>
          <w:sz w:val="24"/>
          <w:szCs w:val="24"/>
        </w:rPr>
        <w:t>conFiguration</w:t>
      </w:r>
      <w:proofErr w:type="spellEnd"/>
      <w:r w:rsidRPr="00485622">
        <w:rPr>
          <w:rFonts w:ascii="Times New Roman" w:hAnsi="Times New Roman" w:cs="Times New Roman"/>
          <w:sz w:val="24"/>
          <w:szCs w:val="24"/>
        </w:rPr>
        <w:t xml:space="preserve"> and rate on yield and fruit quality of young high bush blueberry plants. </w:t>
      </w:r>
      <w:proofErr w:type="spellStart"/>
      <w:r w:rsidRPr="00485622">
        <w:rPr>
          <w:rFonts w:ascii="Times New Roman" w:hAnsi="Times New Roman" w:cs="Times New Roman"/>
          <w:i/>
          <w:iCs/>
          <w:sz w:val="24"/>
          <w:szCs w:val="24"/>
        </w:rPr>
        <w:t>HortScience</w:t>
      </w:r>
      <w:proofErr w:type="spellEnd"/>
      <w:r w:rsidRPr="00485622">
        <w:rPr>
          <w:rFonts w:ascii="Times New Roman" w:hAnsi="Times New Roman" w:cs="Times New Roman"/>
          <w:i/>
          <w:iCs/>
          <w:sz w:val="24"/>
          <w:szCs w:val="24"/>
        </w:rPr>
        <w:t>.</w:t>
      </w:r>
      <w:r w:rsidRPr="00485622">
        <w:rPr>
          <w:rFonts w:ascii="Times New Roman" w:hAnsi="Times New Roman" w:cs="Times New Roman"/>
          <w:sz w:val="24"/>
          <w:szCs w:val="24"/>
        </w:rPr>
        <w:t xml:space="preserve"> 47(3):414–421.</w:t>
      </w:r>
    </w:p>
    <w:p w14:paraId="5534D320" w14:textId="77777777"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r w:rsidRPr="00485622">
        <w:t xml:space="preserve">Neilsen, G. H., Hogue, E. J., Forge, T. and Neilsen, D. 2003. Mulches and biosolids affect </w:t>
      </w:r>
      <w:proofErr w:type="spellStart"/>
      <w:r w:rsidRPr="00485622">
        <w:t>vigour</w:t>
      </w:r>
      <w:proofErr w:type="spellEnd"/>
      <w:r w:rsidRPr="00485622">
        <w:t xml:space="preserve">, yield and leaf nutrition of fertigated high density apple. </w:t>
      </w:r>
      <w:r w:rsidRPr="00485622">
        <w:rPr>
          <w:i/>
          <w:iCs/>
        </w:rPr>
        <w:t>Journal of Horticultural Science</w:t>
      </w:r>
      <w:r w:rsidRPr="00485622">
        <w:t>, 38(1): 41-45.</w:t>
      </w:r>
    </w:p>
    <w:p w14:paraId="6694547B" w14:textId="77777777" w:rsidR="001865A4" w:rsidRPr="00485622" w:rsidRDefault="001865A4" w:rsidP="001865A4">
      <w:pPr>
        <w:pStyle w:val="NormalWeb"/>
        <w:numPr>
          <w:ilvl w:val="0"/>
          <w:numId w:val="1"/>
        </w:numPr>
        <w:shd w:val="clear" w:color="auto" w:fill="FCFCFC"/>
        <w:spacing w:before="0" w:beforeAutospacing="0" w:after="120" w:afterAutospacing="0" w:line="360" w:lineRule="auto"/>
        <w:jc w:val="both"/>
      </w:pPr>
      <w:proofErr w:type="spellStart"/>
      <w:r w:rsidRPr="00485622">
        <w:t>Prananath</w:t>
      </w:r>
      <w:proofErr w:type="spellEnd"/>
      <w:r w:rsidRPr="00485622">
        <w:t xml:space="preserve">, B., Kanchan Kumar, Srivastava and Tarun Adak. 2017. Response of guava cv. Lalit to plastic mulch, fertigation and micro-nutrient spray under raised bed. </w:t>
      </w:r>
      <w:r w:rsidRPr="00485622">
        <w:rPr>
          <w:i/>
          <w:iCs/>
        </w:rPr>
        <w:t>Indian Journal of Agriculture and Allied Sciences</w:t>
      </w:r>
      <w:r w:rsidRPr="00485622">
        <w:t>. 3(4): 1-8.</w:t>
      </w:r>
    </w:p>
    <w:p w14:paraId="6379D510" w14:textId="77777777" w:rsidR="001865A4" w:rsidRPr="001865A4" w:rsidRDefault="001865A4" w:rsidP="001670E6">
      <w:pPr>
        <w:autoSpaceDE w:val="0"/>
        <w:autoSpaceDN w:val="0"/>
        <w:adjustRightInd w:val="0"/>
        <w:spacing w:line="360" w:lineRule="auto"/>
        <w:jc w:val="both"/>
        <w:rPr>
          <w:rFonts w:ascii="Times New Roman" w:eastAsia="Arial" w:hAnsi="Times New Roman" w:cs="Times New Roman"/>
          <w:b/>
          <w:bCs/>
          <w:sz w:val="32"/>
          <w:szCs w:val="32"/>
        </w:rPr>
      </w:pPr>
    </w:p>
    <w:sectPr w:rsidR="001865A4" w:rsidRPr="001865A4" w:rsidSect="0057409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BE8AA" w14:textId="77777777" w:rsidR="00C35A87" w:rsidRDefault="00C35A87" w:rsidP="00DF53AC">
      <w:r>
        <w:separator/>
      </w:r>
    </w:p>
  </w:endnote>
  <w:endnote w:type="continuationSeparator" w:id="0">
    <w:p w14:paraId="38B43CED" w14:textId="77777777" w:rsidR="00C35A87" w:rsidRDefault="00C35A87" w:rsidP="00DF5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96A45" w14:textId="77777777" w:rsidR="00DF53AC" w:rsidRDefault="00DF53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94F7A" w14:textId="77777777" w:rsidR="00DF53AC" w:rsidRDefault="00DF53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A9904" w14:textId="77777777" w:rsidR="00DF53AC" w:rsidRDefault="00DF53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2305D" w14:textId="77777777" w:rsidR="00C35A87" w:rsidRDefault="00C35A87" w:rsidP="00DF53AC">
      <w:r>
        <w:separator/>
      </w:r>
    </w:p>
  </w:footnote>
  <w:footnote w:type="continuationSeparator" w:id="0">
    <w:p w14:paraId="49DF4CF4" w14:textId="77777777" w:rsidR="00C35A87" w:rsidRDefault="00C35A87" w:rsidP="00DF5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64C0" w14:textId="3B02539C" w:rsidR="00DF53AC" w:rsidRDefault="00DF53AC">
    <w:pPr>
      <w:pStyle w:val="Header"/>
    </w:pPr>
    <w:r>
      <w:rPr>
        <w:noProof/>
      </w:rPr>
      <w:pict w14:anchorId="2B6E21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417E7" w14:textId="3AFACB62" w:rsidR="00DF53AC" w:rsidRDefault="00DF53AC">
    <w:pPr>
      <w:pStyle w:val="Header"/>
    </w:pPr>
    <w:r>
      <w:rPr>
        <w:noProof/>
      </w:rPr>
      <w:pict w14:anchorId="6977FB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E61CD" w14:textId="17A498D5" w:rsidR="00DF53AC" w:rsidRDefault="00DF53AC">
    <w:pPr>
      <w:pStyle w:val="Header"/>
    </w:pPr>
    <w:r>
      <w:rPr>
        <w:noProof/>
      </w:rPr>
      <w:pict w14:anchorId="7B7D7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9967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BE06D2"/>
    <w:multiLevelType w:val="hybridMultilevel"/>
    <w:tmpl w:val="C9E621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27DA"/>
    <w:rsid w:val="000039CE"/>
    <w:rsid w:val="00091D70"/>
    <w:rsid w:val="000D3937"/>
    <w:rsid w:val="000E3670"/>
    <w:rsid w:val="00155758"/>
    <w:rsid w:val="001670E6"/>
    <w:rsid w:val="001865A4"/>
    <w:rsid w:val="001C64A6"/>
    <w:rsid w:val="002810B5"/>
    <w:rsid w:val="002813F1"/>
    <w:rsid w:val="003203A1"/>
    <w:rsid w:val="00385F51"/>
    <w:rsid w:val="003B66EB"/>
    <w:rsid w:val="003D0E6B"/>
    <w:rsid w:val="003D0ECF"/>
    <w:rsid w:val="0043265E"/>
    <w:rsid w:val="004327DA"/>
    <w:rsid w:val="004C73C0"/>
    <w:rsid w:val="004F658A"/>
    <w:rsid w:val="00540E82"/>
    <w:rsid w:val="00574093"/>
    <w:rsid w:val="00580401"/>
    <w:rsid w:val="0058564E"/>
    <w:rsid w:val="005A062E"/>
    <w:rsid w:val="00601643"/>
    <w:rsid w:val="00621B0C"/>
    <w:rsid w:val="00631521"/>
    <w:rsid w:val="006B2DEF"/>
    <w:rsid w:val="00712AFE"/>
    <w:rsid w:val="00724D09"/>
    <w:rsid w:val="00730CC8"/>
    <w:rsid w:val="00744295"/>
    <w:rsid w:val="0076727F"/>
    <w:rsid w:val="00812715"/>
    <w:rsid w:val="00845C2F"/>
    <w:rsid w:val="0088777D"/>
    <w:rsid w:val="008B691E"/>
    <w:rsid w:val="0090461D"/>
    <w:rsid w:val="00A07959"/>
    <w:rsid w:val="00A5042C"/>
    <w:rsid w:val="00A875FD"/>
    <w:rsid w:val="00AA76B1"/>
    <w:rsid w:val="00AE2EF9"/>
    <w:rsid w:val="00B64EC8"/>
    <w:rsid w:val="00B80122"/>
    <w:rsid w:val="00B9709E"/>
    <w:rsid w:val="00C35A87"/>
    <w:rsid w:val="00C56C14"/>
    <w:rsid w:val="00C76585"/>
    <w:rsid w:val="00C76B98"/>
    <w:rsid w:val="00CB1075"/>
    <w:rsid w:val="00CC6A9D"/>
    <w:rsid w:val="00D129BD"/>
    <w:rsid w:val="00D43CD6"/>
    <w:rsid w:val="00DC619C"/>
    <w:rsid w:val="00DF385B"/>
    <w:rsid w:val="00DF53AC"/>
    <w:rsid w:val="00E93B41"/>
    <w:rsid w:val="00EE4758"/>
    <w:rsid w:val="00FC5CC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AD1B2C"/>
  <w15:docId w15:val="{992F78E3-B8F4-41C4-983C-ACC75C67F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rial"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27DA"/>
    <w:pPr>
      <w:widowControl/>
      <w:autoSpaceDE/>
      <w:autoSpaceDN/>
    </w:pPr>
    <w:rPr>
      <w:rFonts w:ascii="Calibri" w:eastAsia="Calibri" w:hAnsi="Calibri" w:cs="Arial"/>
      <w:sz w:val="20"/>
      <w:szCs w:val="20"/>
      <w:lang w:bidi="te-IN"/>
    </w:rPr>
  </w:style>
  <w:style w:type="paragraph" w:styleId="Heading1">
    <w:name w:val="heading 1"/>
    <w:basedOn w:val="Normal"/>
    <w:link w:val="Heading1Char"/>
    <w:uiPriority w:val="1"/>
    <w:qFormat/>
    <w:rsid w:val="000E3670"/>
    <w:pPr>
      <w:spacing w:before="68" w:line="282" w:lineRule="exact"/>
      <w:ind w:left="409"/>
      <w:outlineLvl w:val="0"/>
    </w:pPr>
    <w:rPr>
      <w:sz w:val="28"/>
      <w:szCs w:val="28"/>
    </w:rPr>
  </w:style>
  <w:style w:type="paragraph" w:styleId="Heading2">
    <w:name w:val="heading 2"/>
    <w:basedOn w:val="Normal"/>
    <w:link w:val="Heading2Char"/>
    <w:uiPriority w:val="9"/>
    <w:qFormat/>
    <w:rsid w:val="000E3670"/>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85F51"/>
    <w:rPr>
      <w:rFonts w:ascii="Arial" w:eastAsia="Arial" w:hAnsi="Arial" w:cs="Arial"/>
      <w:sz w:val="28"/>
      <w:szCs w:val="28"/>
    </w:rPr>
  </w:style>
  <w:style w:type="paragraph" w:styleId="Title">
    <w:name w:val="Title"/>
    <w:basedOn w:val="Normal"/>
    <w:link w:val="TitleChar"/>
    <w:uiPriority w:val="1"/>
    <w:qFormat/>
    <w:rsid w:val="000E3670"/>
    <w:pPr>
      <w:spacing w:before="534"/>
      <w:ind w:left="477"/>
    </w:pPr>
    <w:rPr>
      <w:rFonts w:ascii="Times New Roman" w:eastAsia="Times New Roman" w:hAnsi="Times New Roman" w:cs="Times New Roman"/>
      <w:b/>
      <w:bCs/>
      <w:sz w:val="56"/>
      <w:szCs w:val="56"/>
    </w:rPr>
  </w:style>
  <w:style w:type="character" w:customStyle="1" w:styleId="TitleChar">
    <w:name w:val="Title Char"/>
    <w:basedOn w:val="DefaultParagraphFont"/>
    <w:link w:val="Title"/>
    <w:uiPriority w:val="1"/>
    <w:rsid w:val="00385F51"/>
    <w:rPr>
      <w:rFonts w:ascii="Times New Roman" w:eastAsia="Times New Roman" w:hAnsi="Times New Roman" w:cs="Times New Roman"/>
      <w:b/>
      <w:bCs/>
      <w:sz w:val="56"/>
      <w:szCs w:val="56"/>
    </w:rPr>
  </w:style>
  <w:style w:type="paragraph" w:styleId="BodyText">
    <w:name w:val="Body Text"/>
    <w:basedOn w:val="Normal"/>
    <w:link w:val="BodyTextChar"/>
    <w:uiPriority w:val="1"/>
    <w:qFormat/>
    <w:rsid w:val="000E3670"/>
    <w:pPr>
      <w:spacing w:before="1"/>
    </w:pPr>
    <w:rPr>
      <w:sz w:val="25"/>
      <w:szCs w:val="25"/>
    </w:rPr>
  </w:style>
  <w:style w:type="character" w:customStyle="1" w:styleId="BodyTextChar">
    <w:name w:val="Body Text Char"/>
    <w:basedOn w:val="DefaultParagraphFont"/>
    <w:link w:val="BodyText"/>
    <w:uiPriority w:val="1"/>
    <w:rsid w:val="00385F51"/>
    <w:rPr>
      <w:rFonts w:ascii="Arial" w:eastAsia="Arial" w:hAnsi="Arial" w:cs="Arial"/>
      <w:sz w:val="25"/>
      <w:szCs w:val="25"/>
    </w:rPr>
  </w:style>
  <w:style w:type="paragraph" w:styleId="ListParagraph">
    <w:name w:val="List Paragraph"/>
    <w:basedOn w:val="Normal"/>
    <w:uiPriority w:val="1"/>
    <w:qFormat/>
    <w:rsid w:val="000E3670"/>
  </w:style>
  <w:style w:type="paragraph" w:customStyle="1" w:styleId="TableParagraph">
    <w:name w:val="Table Paragraph"/>
    <w:basedOn w:val="Normal"/>
    <w:uiPriority w:val="1"/>
    <w:qFormat/>
    <w:rsid w:val="000E3670"/>
  </w:style>
  <w:style w:type="character" w:customStyle="1" w:styleId="Heading2Char">
    <w:name w:val="Heading 2 Char"/>
    <w:basedOn w:val="DefaultParagraphFont"/>
    <w:link w:val="Heading2"/>
    <w:uiPriority w:val="9"/>
    <w:rsid w:val="000E3670"/>
    <w:rPr>
      <w:rFonts w:ascii="Times New Roman" w:eastAsia="Times New Roman" w:hAnsi="Times New Roman" w:cs="Times New Roman"/>
      <w:b/>
      <w:bCs/>
      <w:sz w:val="36"/>
      <w:szCs w:val="36"/>
      <w:lang w:bidi="te-IN"/>
    </w:rPr>
  </w:style>
  <w:style w:type="paragraph" w:customStyle="1" w:styleId="Default">
    <w:name w:val="Default"/>
    <w:rsid w:val="00540E82"/>
    <w:pPr>
      <w:widowControl/>
      <w:adjustRightInd w:val="0"/>
    </w:pPr>
    <w:rPr>
      <w:rFonts w:ascii="Cambria" w:hAnsi="Cambria" w:cs="Cambria"/>
      <w:color w:val="000000"/>
      <w:sz w:val="24"/>
      <w:szCs w:val="24"/>
      <w:lang w:bidi="te-IN"/>
    </w:rPr>
  </w:style>
  <w:style w:type="paragraph" w:styleId="NormalWeb">
    <w:name w:val="Normal (Web)"/>
    <w:basedOn w:val="Normal"/>
    <w:uiPriority w:val="99"/>
    <w:unhideWhenUsed/>
    <w:rsid w:val="00C76585"/>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3CD6"/>
    <w:rPr>
      <w:color w:val="0000FF"/>
      <w:u w:val="single"/>
    </w:rPr>
  </w:style>
  <w:style w:type="table" w:styleId="TableGrid">
    <w:name w:val="Table Grid"/>
    <w:basedOn w:val="TableNormal"/>
    <w:uiPriority w:val="59"/>
    <w:rsid w:val="00432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265E"/>
    <w:rPr>
      <w:rFonts w:ascii="Tahoma" w:hAnsi="Tahoma" w:cs="Tahoma"/>
      <w:sz w:val="16"/>
      <w:szCs w:val="16"/>
    </w:rPr>
  </w:style>
  <w:style w:type="character" w:customStyle="1" w:styleId="BalloonTextChar">
    <w:name w:val="Balloon Text Char"/>
    <w:basedOn w:val="DefaultParagraphFont"/>
    <w:link w:val="BalloonText"/>
    <w:uiPriority w:val="99"/>
    <w:semiHidden/>
    <w:rsid w:val="0043265E"/>
    <w:rPr>
      <w:rFonts w:ascii="Tahoma" w:eastAsia="Calibri" w:hAnsi="Tahoma" w:cs="Tahoma"/>
      <w:sz w:val="16"/>
      <w:szCs w:val="16"/>
      <w:lang w:bidi="te-IN"/>
    </w:rPr>
  </w:style>
  <w:style w:type="character" w:styleId="Strong">
    <w:name w:val="Strong"/>
    <w:basedOn w:val="DefaultParagraphFont"/>
    <w:uiPriority w:val="22"/>
    <w:qFormat/>
    <w:rsid w:val="001865A4"/>
    <w:rPr>
      <w:b/>
      <w:bCs/>
    </w:rPr>
  </w:style>
  <w:style w:type="character" w:customStyle="1" w:styleId="A6">
    <w:name w:val="A6"/>
    <w:uiPriority w:val="99"/>
    <w:rsid w:val="001865A4"/>
    <w:rPr>
      <w:rFonts w:cs="Times New Roman"/>
      <w:color w:val="000000"/>
      <w:sz w:val="22"/>
      <w:szCs w:val="22"/>
    </w:rPr>
  </w:style>
  <w:style w:type="character" w:customStyle="1" w:styleId="A3">
    <w:name w:val="A3"/>
    <w:uiPriority w:val="99"/>
    <w:rsid w:val="001865A4"/>
    <w:rPr>
      <w:rFonts w:cs="Times New Roman"/>
      <w:color w:val="000000"/>
      <w:sz w:val="18"/>
      <w:szCs w:val="18"/>
    </w:rPr>
  </w:style>
  <w:style w:type="paragraph" w:styleId="Header">
    <w:name w:val="header"/>
    <w:basedOn w:val="Normal"/>
    <w:link w:val="HeaderChar"/>
    <w:uiPriority w:val="99"/>
    <w:unhideWhenUsed/>
    <w:rsid w:val="00DF53AC"/>
    <w:pPr>
      <w:tabs>
        <w:tab w:val="center" w:pos="4680"/>
        <w:tab w:val="right" w:pos="9360"/>
      </w:tabs>
    </w:pPr>
  </w:style>
  <w:style w:type="character" w:customStyle="1" w:styleId="HeaderChar">
    <w:name w:val="Header Char"/>
    <w:basedOn w:val="DefaultParagraphFont"/>
    <w:link w:val="Header"/>
    <w:uiPriority w:val="99"/>
    <w:rsid w:val="00DF53AC"/>
    <w:rPr>
      <w:rFonts w:ascii="Calibri" w:eastAsia="Calibri" w:hAnsi="Calibri" w:cs="Arial"/>
      <w:sz w:val="20"/>
      <w:szCs w:val="20"/>
      <w:lang w:bidi="te-IN"/>
    </w:rPr>
  </w:style>
  <w:style w:type="paragraph" w:styleId="Footer">
    <w:name w:val="footer"/>
    <w:basedOn w:val="Normal"/>
    <w:link w:val="FooterChar"/>
    <w:uiPriority w:val="99"/>
    <w:unhideWhenUsed/>
    <w:rsid w:val="00DF53AC"/>
    <w:pPr>
      <w:tabs>
        <w:tab w:val="center" w:pos="4680"/>
        <w:tab w:val="right" w:pos="9360"/>
      </w:tabs>
    </w:pPr>
  </w:style>
  <w:style w:type="character" w:customStyle="1" w:styleId="FooterChar">
    <w:name w:val="Footer Char"/>
    <w:basedOn w:val="DefaultParagraphFont"/>
    <w:link w:val="Footer"/>
    <w:uiPriority w:val="99"/>
    <w:rsid w:val="00DF53AC"/>
    <w:rPr>
      <w:rFonts w:ascii="Calibri" w:eastAsia="Calibri" w:hAnsi="Calibri" w:cs="Arial"/>
      <w:sz w:val="20"/>
      <w:szCs w:val="20"/>
      <w:lang w:bidi="te-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4530667">
      <w:bodyDiv w:val="1"/>
      <w:marLeft w:val="0"/>
      <w:marRight w:val="0"/>
      <w:marTop w:val="0"/>
      <w:marBottom w:val="0"/>
      <w:divBdr>
        <w:top w:val="none" w:sz="0" w:space="0" w:color="auto"/>
        <w:left w:val="none" w:sz="0" w:space="0" w:color="auto"/>
        <w:bottom w:val="none" w:sz="0" w:space="0" w:color="auto"/>
        <w:right w:val="none" w:sz="0" w:space="0" w:color="auto"/>
      </w:divBdr>
    </w:div>
    <w:div w:id="1010136503">
      <w:bodyDiv w:val="1"/>
      <w:marLeft w:val="0"/>
      <w:marRight w:val="0"/>
      <w:marTop w:val="0"/>
      <w:marBottom w:val="0"/>
      <w:divBdr>
        <w:top w:val="none" w:sz="0" w:space="0" w:color="auto"/>
        <w:left w:val="none" w:sz="0" w:space="0" w:color="auto"/>
        <w:bottom w:val="none" w:sz="0" w:space="0" w:color="auto"/>
        <w:right w:val="none" w:sz="0" w:space="0" w:color="auto"/>
      </w:divBdr>
    </w:div>
    <w:div w:id="1341156385">
      <w:bodyDiv w:val="1"/>
      <w:marLeft w:val="0"/>
      <w:marRight w:val="0"/>
      <w:marTop w:val="0"/>
      <w:marBottom w:val="0"/>
      <w:divBdr>
        <w:top w:val="none" w:sz="0" w:space="0" w:color="auto"/>
        <w:left w:val="none" w:sz="0" w:space="0" w:color="auto"/>
        <w:bottom w:val="none" w:sz="0" w:space="0" w:color="auto"/>
        <w:right w:val="none" w:sz="0" w:space="0" w:color="auto"/>
      </w:divBdr>
    </w:div>
    <w:div w:id="1534264218">
      <w:bodyDiv w:val="1"/>
      <w:marLeft w:val="0"/>
      <w:marRight w:val="0"/>
      <w:marTop w:val="0"/>
      <w:marBottom w:val="0"/>
      <w:divBdr>
        <w:top w:val="none" w:sz="0" w:space="0" w:color="auto"/>
        <w:left w:val="none" w:sz="0" w:space="0" w:color="auto"/>
        <w:bottom w:val="none" w:sz="0" w:space="0" w:color="auto"/>
        <w:right w:val="none" w:sz="0" w:space="0" w:color="auto"/>
      </w:divBdr>
    </w:div>
    <w:div w:id="1634600759">
      <w:bodyDiv w:val="1"/>
      <w:marLeft w:val="0"/>
      <w:marRight w:val="0"/>
      <w:marTop w:val="0"/>
      <w:marBottom w:val="0"/>
      <w:divBdr>
        <w:top w:val="none" w:sz="0" w:space="0" w:color="auto"/>
        <w:left w:val="none" w:sz="0" w:space="0" w:color="auto"/>
        <w:bottom w:val="none" w:sz="0" w:space="0" w:color="auto"/>
        <w:right w:val="none" w:sz="0" w:space="0" w:color="auto"/>
      </w:divBdr>
    </w:div>
    <w:div w:id="1739665673">
      <w:bodyDiv w:val="1"/>
      <w:marLeft w:val="0"/>
      <w:marRight w:val="0"/>
      <w:marTop w:val="0"/>
      <w:marBottom w:val="0"/>
      <w:divBdr>
        <w:top w:val="none" w:sz="0" w:space="0" w:color="auto"/>
        <w:left w:val="none" w:sz="0" w:space="0" w:color="auto"/>
        <w:bottom w:val="none" w:sz="0" w:space="0" w:color="auto"/>
        <w:right w:val="none" w:sz="0" w:space="0" w:color="auto"/>
      </w:divBdr>
    </w:div>
    <w:div w:id="187604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hart" Target="charts/chart1.xml"/><Relationship Id="rId29" Type="http://schemas.openxmlformats.org/officeDocument/2006/relationships/hyperlink" Target="https://www.scirp.org/(S(lz5mqp453edsnp55rrgjct55))/journal/Home.aspx?JournalID=24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hyperlink" Target="http://www.nhb.gov.in" TargetMode="External"/><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www.scirp.org/(S(lz5mqp453edsnp55rrgjct55))/journal/Home.aspx?IssueID=971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ESKTOP-2,%2021-02-2019\2nd%20Season%20data\COMPLEATED\2x2x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ESKTOP-2,%2021-02-2019\2nd%20Season%20data\Ess\O2%20and%20CO2%20Rati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ESKTOP-2,%2021-02-2019\2nd%20Season%20data\Ess\O2%20and%20CO2%20Rat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i.lenovo\Desktop\New%20folder\New%20folder\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896431510855227E-2"/>
          <c:y val="0.15529851235138728"/>
          <c:w val="0.85323506902175439"/>
          <c:h val="0.70538254144927326"/>
        </c:manualLayout>
      </c:layout>
      <c:barChart>
        <c:barDir val="col"/>
        <c:grouping val="clustered"/>
        <c:varyColors val="0"/>
        <c:ser>
          <c:idx val="0"/>
          <c:order val="0"/>
          <c:tx>
            <c:strRef>
              <c:f>Sheet9!$O$9</c:f>
              <c:strCache>
                <c:ptCount val="1"/>
                <c:pt idx="0">
                  <c:v>75% ETc+ without mulch</c:v>
                </c:pt>
              </c:strCache>
            </c:strRef>
          </c:tx>
          <c:spPr>
            <a:solidFill>
              <a:schemeClr val="bg2">
                <a:lumMod val="50000"/>
              </a:schemeClr>
            </a:solidFill>
            <a:ln>
              <a:solidFill>
                <a:schemeClr val="tx1"/>
              </a:solidFill>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BA-44CD-85AA-FB240D264CCF}"/>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BA-44CD-85AA-FB240D264CCF}"/>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BA-44CD-85AA-FB240D264CCF}"/>
                </c:ext>
              </c:extLst>
            </c:dLbl>
            <c:dLbl>
              <c:idx val="3"/>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BA-44CD-85AA-FB240D264CCF}"/>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BA-44CD-85AA-FB240D264CCF}"/>
                </c:ext>
              </c:extLst>
            </c:dLbl>
            <c:dLbl>
              <c:idx val="5"/>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Sheet9!$P$9:$U$9</c:f>
              <c:numCache>
                <c:formatCode>General</c:formatCode>
                <c:ptCount val="6"/>
                <c:pt idx="0">
                  <c:v>6.5</c:v>
                </c:pt>
                <c:pt idx="1">
                  <c:v>7.5</c:v>
                </c:pt>
                <c:pt idx="2">
                  <c:v>6.2</c:v>
                </c:pt>
                <c:pt idx="3">
                  <c:v>6.2</c:v>
                </c:pt>
                <c:pt idx="4">
                  <c:v>7.1</c:v>
                </c:pt>
                <c:pt idx="5">
                  <c:v>6</c:v>
                </c:pt>
              </c:numCache>
            </c:numRef>
          </c:val>
          <c:extLst>
            <c:ext xmlns:c16="http://schemas.microsoft.com/office/drawing/2014/chart" uri="{C3380CC4-5D6E-409C-BE32-E72D297353CC}">
              <c16:uniqueId val="{00000006-D5BA-44CD-85AA-FB240D264CCF}"/>
            </c:ext>
          </c:extLst>
        </c:ser>
        <c:ser>
          <c:idx val="1"/>
          <c:order val="1"/>
          <c:tx>
            <c:strRef>
              <c:f>Sheet9!$O$10</c:f>
              <c:strCache>
                <c:ptCount val="1"/>
                <c:pt idx="0">
                  <c:v>75% ETc+ without mulch</c:v>
                </c:pt>
              </c:strCache>
            </c:strRef>
          </c:tx>
          <c:spPr>
            <a:solidFill>
              <a:schemeClr val="accent2">
                <a:lumMod val="60000"/>
                <a:lumOff val="40000"/>
              </a:schemeClr>
            </a:solidFill>
            <a:ln>
              <a:solidFill>
                <a:schemeClr val="tx1"/>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BA-44CD-85AA-FB240D264CCF}"/>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BA-44CD-85AA-FB240D264CCF}"/>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BA-44CD-85AA-FB240D264CCF}"/>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BA-44CD-85AA-FB240D264CCF}"/>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BA-44CD-85AA-FB240D264CCF}"/>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Sheet9!$P$10:$U$10</c:f>
              <c:numCache>
                <c:formatCode>General</c:formatCode>
                <c:ptCount val="6"/>
                <c:pt idx="0">
                  <c:v>11.3</c:v>
                </c:pt>
                <c:pt idx="1">
                  <c:v>11.7</c:v>
                </c:pt>
                <c:pt idx="2">
                  <c:v>8.7000000000000011</c:v>
                </c:pt>
                <c:pt idx="3">
                  <c:v>8.8000000000000007</c:v>
                </c:pt>
                <c:pt idx="4">
                  <c:v>11.5</c:v>
                </c:pt>
                <c:pt idx="5">
                  <c:v>8.7000000000000011</c:v>
                </c:pt>
              </c:numCache>
            </c:numRef>
          </c:val>
          <c:extLst>
            <c:ext xmlns:c16="http://schemas.microsoft.com/office/drawing/2014/chart" uri="{C3380CC4-5D6E-409C-BE32-E72D297353CC}">
              <c16:uniqueId val="{0000000D-D5BA-44CD-85AA-FB240D264CCF}"/>
            </c:ext>
          </c:extLst>
        </c:ser>
        <c:ser>
          <c:idx val="2"/>
          <c:order val="2"/>
          <c:tx>
            <c:strRef>
              <c:f>Sheet9!$O$11</c:f>
              <c:strCache>
                <c:ptCount val="1"/>
                <c:pt idx="0">
                  <c:v>100% ETc+ without mulch</c:v>
                </c:pt>
              </c:strCache>
            </c:strRef>
          </c:tx>
          <c:spPr>
            <a:solidFill>
              <a:schemeClr val="accent3">
                <a:lumMod val="60000"/>
                <a:lumOff val="40000"/>
              </a:schemeClr>
            </a:solidFill>
            <a:ln>
              <a:solidFill>
                <a:schemeClr val="tx1"/>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BA-44CD-85AA-FB240D264CCF}"/>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5BA-44CD-85AA-FB240D264CCF}"/>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BA-44CD-85AA-FB240D264CCF}"/>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BA-44CD-85AA-FB240D264CCF}"/>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5BA-44CD-85AA-FB240D264CCF}"/>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Sheet9!$P$11:$U$11</c:f>
              <c:numCache>
                <c:formatCode>General</c:formatCode>
                <c:ptCount val="6"/>
                <c:pt idx="0">
                  <c:v>11.5</c:v>
                </c:pt>
                <c:pt idx="1">
                  <c:v>12.6</c:v>
                </c:pt>
                <c:pt idx="2">
                  <c:v>10.9</c:v>
                </c:pt>
                <c:pt idx="3">
                  <c:v>11.2</c:v>
                </c:pt>
                <c:pt idx="4">
                  <c:v>12.1</c:v>
                </c:pt>
                <c:pt idx="5">
                  <c:v>10.9</c:v>
                </c:pt>
              </c:numCache>
            </c:numRef>
          </c:val>
          <c:extLst>
            <c:ext xmlns:c16="http://schemas.microsoft.com/office/drawing/2014/chart" uri="{C3380CC4-5D6E-409C-BE32-E72D297353CC}">
              <c16:uniqueId val="{00000014-D5BA-44CD-85AA-FB240D264CCF}"/>
            </c:ext>
          </c:extLst>
        </c:ser>
        <c:ser>
          <c:idx val="3"/>
          <c:order val="3"/>
          <c:tx>
            <c:strRef>
              <c:f>Sheet9!$O$12</c:f>
              <c:strCache>
                <c:ptCount val="1"/>
                <c:pt idx="0">
                  <c:v>100% ETc+ without mulch</c:v>
                </c:pt>
              </c:strCache>
            </c:strRef>
          </c:tx>
          <c:spPr>
            <a:solidFill>
              <a:schemeClr val="accent6">
                <a:lumMod val="60000"/>
                <a:lumOff val="40000"/>
              </a:schemeClr>
            </a:solidFill>
            <a:ln>
              <a:solidFill>
                <a:schemeClr val="tx1"/>
              </a:solidFill>
            </a:ln>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5BA-44CD-85AA-FB240D264CCF}"/>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5BA-44CD-85AA-FB240D264CCF}"/>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5BA-44CD-85AA-FB240D264CCF}"/>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5BA-44CD-85AA-FB240D264CCF}"/>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5BA-44CD-85AA-FB240D264CCF}"/>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5BA-44CD-85AA-FB240D264CC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Sheet9!$P$8:$U$8</c:f>
              <c:strCache>
                <c:ptCount val="6"/>
                <c:pt idx="0">
                  <c:v>BBCH-510</c:v>
                </c:pt>
                <c:pt idx="1">
                  <c:v>BBCH-619</c:v>
                </c:pt>
                <c:pt idx="2">
                  <c:v>BBCH-701</c:v>
                </c:pt>
                <c:pt idx="3">
                  <c:v>BBCH-703 </c:v>
                </c:pt>
                <c:pt idx="4">
                  <c:v>BBCH-705 </c:v>
                </c:pt>
                <c:pt idx="5">
                  <c:v>BCH-709 </c:v>
                </c:pt>
              </c:strCache>
            </c:strRef>
          </c:cat>
          <c:val>
            <c:numRef>
              <c:f>Sheet9!$P$12:$U$12</c:f>
              <c:numCache>
                <c:formatCode>General</c:formatCode>
                <c:ptCount val="6"/>
                <c:pt idx="0">
                  <c:v>14.7</c:v>
                </c:pt>
                <c:pt idx="1">
                  <c:v>16.600000000000001</c:v>
                </c:pt>
                <c:pt idx="2">
                  <c:v>14.3</c:v>
                </c:pt>
                <c:pt idx="3">
                  <c:v>14.4</c:v>
                </c:pt>
                <c:pt idx="4">
                  <c:v>15.7</c:v>
                </c:pt>
                <c:pt idx="5">
                  <c:v>13.4</c:v>
                </c:pt>
              </c:numCache>
            </c:numRef>
          </c:val>
          <c:extLst>
            <c:ext xmlns:c16="http://schemas.microsoft.com/office/drawing/2014/chart" uri="{C3380CC4-5D6E-409C-BE32-E72D297353CC}">
              <c16:uniqueId val="{0000001B-D5BA-44CD-85AA-FB240D264CCF}"/>
            </c:ext>
          </c:extLst>
        </c:ser>
        <c:dLbls>
          <c:showLegendKey val="0"/>
          <c:showVal val="1"/>
          <c:showCatName val="0"/>
          <c:showSerName val="0"/>
          <c:showPercent val="0"/>
          <c:showBubbleSize val="0"/>
        </c:dLbls>
        <c:gapWidth val="150"/>
        <c:axId val="120172544"/>
        <c:axId val="120174848"/>
      </c:barChart>
      <c:catAx>
        <c:axId val="120172544"/>
        <c:scaling>
          <c:orientation val="minMax"/>
        </c:scaling>
        <c:delete val="0"/>
        <c:axPos val="b"/>
        <c:title>
          <c:tx>
            <c:rich>
              <a:bodyPr/>
              <a:lstStyle/>
              <a:p>
                <a:pPr>
                  <a:defRPr/>
                </a:pPr>
                <a:r>
                  <a:rPr lang="en-US"/>
                  <a:t>Diferent phenophases of mango cv. Banganaplli</a:t>
                </a:r>
              </a:p>
            </c:rich>
          </c:tx>
          <c:overlay val="0"/>
        </c:title>
        <c:numFmt formatCode="General" sourceLinked="0"/>
        <c:majorTickMark val="out"/>
        <c:minorTickMark val="none"/>
        <c:tickLblPos val="nextTo"/>
        <c:crossAx val="120174848"/>
        <c:crosses val="autoZero"/>
        <c:auto val="1"/>
        <c:lblAlgn val="ctr"/>
        <c:lblOffset val="100"/>
        <c:noMultiLvlLbl val="0"/>
      </c:catAx>
      <c:valAx>
        <c:axId val="120174848"/>
        <c:scaling>
          <c:orientation val="minMax"/>
        </c:scaling>
        <c:delete val="0"/>
        <c:axPos val="l"/>
        <c:title>
          <c:tx>
            <c:rich>
              <a:bodyPr rot="-5400000" vert="horz"/>
              <a:lstStyle/>
              <a:p>
                <a:pPr>
                  <a:defRPr/>
                </a:pPr>
                <a:r>
                  <a:rPr lang="en-US"/>
                  <a:t>Soil moisture cotent (%)</a:t>
                </a:r>
              </a:p>
            </c:rich>
          </c:tx>
          <c:overlay val="0"/>
        </c:title>
        <c:numFmt formatCode="General" sourceLinked="1"/>
        <c:majorTickMark val="out"/>
        <c:minorTickMark val="none"/>
        <c:tickLblPos val="nextTo"/>
        <c:crossAx val="120172544"/>
        <c:crosses val="autoZero"/>
        <c:crossBetween val="between"/>
      </c:valAx>
    </c:plotArea>
    <c:legend>
      <c:legendPos val="r"/>
      <c:layout>
        <c:manualLayout>
          <c:xMode val="edge"/>
          <c:yMode val="edge"/>
          <c:x val="3.7025234798581545E-2"/>
          <c:y val="3.9516299993403299E-4"/>
          <c:w val="0.93562634178749149"/>
          <c:h val="0.11437951403276943"/>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30809370390671"/>
          <c:y val="7.8032087771794142E-2"/>
          <c:w val="0.73027751050648826"/>
          <c:h val="0.81562293145198461"/>
        </c:manualLayout>
      </c:layout>
      <c:barChart>
        <c:barDir val="col"/>
        <c:grouping val="clustered"/>
        <c:varyColors val="0"/>
        <c:ser>
          <c:idx val="0"/>
          <c:order val="0"/>
          <c:tx>
            <c:strRef>
              <c:f>'Percent fruit set'!$C$74</c:f>
              <c:strCache>
                <c:ptCount val="1"/>
                <c:pt idx="0">
                  <c:v>75 % ETc + without mulching</c:v>
                </c:pt>
              </c:strCache>
            </c:strRef>
          </c:tx>
          <c:spPr>
            <a:solidFill>
              <a:schemeClr val="bg2">
                <a:lumMod val="50000"/>
              </a:schemeClr>
            </a:solidFill>
            <a:ln>
              <a:solidFill>
                <a:srgbClr val="002060"/>
              </a:solidFill>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set'!$D$74</c:f>
              <c:numCache>
                <c:formatCode>General</c:formatCode>
                <c:ptCount val="1"/>
                <c:pt idx="0">
                  <c:v>57.18</c:v>
                </c:pt>
              </c:numCache>
            </c:numRef>
          </c:val>
          <c:extLst>
            <c:ext xmlns:c16="http://schemas.microsoft.com/office/drawing/2014/chart" uri="{C3380CC4-5D6E-409C-BE32-E72D297353CC}">
              <c16:uniqueId val="{00000001-F664-4065-B200-C3928DBAE14D}"/>
            </c:ext>
          </c:extLst>
        </c:ser>
        <c:ser>
          <c:idx val="1"/>
          <c:order val="1"/>
          <c:tx>
            <c:strRef>
              <c:f>'Percent fruit set'!$C$75</c:f>
              <c:strCache>
                <c:ptCount val="1"/>
                <c:pt idx="0">
                  <c:v>75 % ETc + with mulching</c:v>
                </c:pt>
              </c:strCache>
            </c:strRef>
          </c:tx>
          <c:spPr>
            <a:solidFill>
              <a:schemeClr val="tx2">
                <a:lumMod val="60000"/>
                <a:lumOff val="40000"/>
              </a:schemeClr>
            </a:solidFill>
            <a:ln>
              <a:solidFill>
                <a:srgbClr val="002060"/>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set'!$D$75</c:f>
              <c:numCache>
                <c:formatCode>General</c:formatCode>
                <c:ptCount val="1"/>
                <c:pt idx="0">
                  <c:v>75.78</c:v>
                </c:pt>
              </c:numCache>
            </c:numRef>
          </c:val>
          <c:extLst>
            <c:ext xmlns:c16="http://schemas.microsoft.com/office/drawing/2014/chart" uri="{C3380CC4-5D6E-409C-BE32-E72D297353CC}">
              <c16:uniqueId val="{00000003-F664-4065-B200-C3928DBAE14D}"/>
            </c:ext>
          </c:extLst>
        </c:ser>
        <c:ser>
          <c:idx val="2"/>
          <c:order val="2"/>
          <c:tx>
            <c:strRef>
              <c:f>'Percent fruit set'!$C$76</c:f>
              <c:strCache>
                <c:ptCount val="1"/>
                <c:pt idx="0">
                  <c:v>100 % ETc + without mulching</c:v>
                </c:pt>
              </c:strCache>
            </c:strRef>
          </c:tx>
          <c:spPr>
            <a:solidFill>
              <a:schemeClr val="accent2">
                <a:lumMod val="60000"/>
                <a:lumOff val="40000"/>
              </a:schemeClr>
            </a:solidFill>
            <a:ln>
              <a:solidFill>
                <a:srgbClr val="002060"/>
              </a:solidFill>
            </a:ln>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set'!$D$76</c:f>
              <c:numCache>
                <c:formatCode>General</c:formatCode>
                <c:ptCount val="1"/>
                <c:pt idx="0">
                  <c:v>68.56</c:v>
                </c:pt>
              </c:numCache>
            </c:numRef>
          </c:val>
          <c:extLst>
            <c:ext xmlns:c16="http://schemas.microsoft.com/office/drawing/2014/chart" uri="{C3380CC4-5D6E-409C-BE32-E72D297353CC}">
              <c16:uniqueId val="{00000005-F664-4065-B200-C3928DBAE14D}"/>
            </c:ext>
          </c:extLst>
        </c:ser>
        <c:ser>
          <c:idx val="3"/>
          <c:order val="3"/>
          <c:tx>
            <c:strRef>
              <c:f>'Percent fruit set'!$C$77</c:f>
              <c:strCache>
                <c:ptCount val="1"/>
                <c:pt idx="0">
                  <c:v>100 % ETc + with mulching</c:v>
                </c:pt>
              </c:strCache>
            </c:strRef>
          </c:tx>
          <c:spPr>
            <a:solidFill>
              <a:schemeClr val="accent3">
                <a:lumMod val="60000"/>
                <a:lumOff val="40000"/>
              </a:schemeClr>
            </a:solidFill>
            <a:ln>
              <a:solidFill>
                <a:srgbClr val="002060"/>
              </a:solidFill>
            </a:ln>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64-4065-B200-C3928DBAE14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set'!$D$77</c:f>
              <c:numCache>
                <c:formatCode>General</c:formatCode>
                <c:ptCount val="1"/>
                <c:pt idx="0">
                  <c:v>89.11</c:v>
                </c:pt>
              </c:numCache>
            </c:numRef>
          </c:val>
          <c:extLst>
            <c:ext xmlns:c16="http://schemas.microsoft.com/office/drawing/2014/chart" uri="{C3380CC4-5D6E-409C-BE32-E72D297353CC}">
              <c16:uniqueId val="{00000007-F664-4065-B200-C3928DBAE14D}"/>
            </c:ext>
          </c:extLst>
        </c:ser>
        <c:ser>
          <c:idx val="4"/>
          <c:order val="4"/>
          <c:tx>
            <c:strRef>
              <c:f>'Percent fruit set'!$C$78</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set'!$D$78</c:f>
              <c:numCache>
                <c:formatCode>General</c:formatCode>
                <c:ptCount val="1"/>
              </c:numCache>
            </c:numRef>
          </c:val>
          <c:extLst>
            <c:ext xmlns:c16="http://schemas.microsoft.com/office/drawing/2014/chart" uri="{C3380CC4-5D6E-409C-BE32-E72D297353CC}">
              <c16:uniqueId val="{00000008-F664-4065-B200-C3928DBAE14D}"/>
            </c:ext>
          </c:extLst>
        </c:ser>
        <c:ser>
          <c:idx val="7"/>
          <c:order val="5"/>
          <c:tx>
            <c:strRef>
              <c:f>'Percent fruit set'!$C$81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'Percent fruit set'!$D$73</c:f>
              <c:strCache>
                <c:ptCount val="1"/>
                <c:pt idx="0">
                  <c:v>Each data point average of two years</c:v>
                </c:pt>
              </c:strCache>
            </c:strRef>
          </c:cat>
          <c:val>
            <c:numRef>
              <c:f>'Percent fruit set'!$D$81</c:f>
              <c:numCache>
                <c:formatCode>General</c:formatCode>
                <c:ptCount val="1"/>
              </c:numCache>
            </c:numRef>
          </c:val>
          <c:extLst>
            <c:ext xmlns:c16="http://schemas.microsoft.com/office/drawing/2014/chart" uri="{C3380CC4-5D6E-409C-BE32-E72D297353CC}">
              <c16:uniqueId val="{00000009-F664-4065-B200-C3928DBAE14D}"/>
            </c:ext>
          </c:extLst>
        </c:ser>
        <c:dLbls>
          <c:showLegendKey val="0"/>
          <c:showVal val="1"/>
          <c:showCatName val="0"/>
          <c:showSerName val="0"/>
          <c:showPercent val="0"/>
          <c:showBubbleSize val="0"/>
        </c:dLbls>
        <c:gapWidth val="150"/>
        <c:axId val="147675776"/>
        <c:axId val="147698048"/>
      </c:barChart>
      <c:catAx>
        <c:axId val="147675776"/>
        <c:scaling>
          <c:orientation val="minMax"/>
        </c:scaling>
        <c:delete val="0"/>
        <c:axPos val="b"/>
        <c:numFmt formatCode="General" sourceLinked="1"/>
        <c:majorTickMark val="none"/>
        <c:minorTickMark val="none"/>
        <c:tickLblPos val="nextTo"/>
        <c:txPr>
          <a:bodyPr/>
          <a:lstStyle/>
          <a:p>
            <a:pPr>
              <a:defRPr baseline="0">
                <a:solidFill>
                  <a:schemeClr val="bg1"/>
                </a:solidFill>
              </a:defRPr>
            </a:pPr>
            <a:endParaRPr lang="en-US"/>
          </a:p>
        </c:txPr>
        <c:crossAx val="147698048"/>
        <c:crosses val="autoZero"/>
        <c:auto val="1"/>
        <c:lblAlgn val="ctr"/>
        <c:lblOffset val="100"/>
        <c:noMultiLvlLbl val="0"/>
      </c:catAx>
      <c:valAx>
        <c:axId val="147698048"/>
        <c:scaling>
          <c:orientation val="minMax"/>
        </c:scaling>
        <c:delete val="0"/>
        <c:axPos val="l"/>
        <c:title>
          <c:tx>
            <c:rich>
              <a:bodyPr rot="-5400000" vert="horz"/>
              <a:lstStyle/>
              <a:p>
                <a:pPr>
                  <a:defRPr sz="1300"/>
                </a:pPr>
                <a:r>
                  <a:rPr lang="en-US" sz="1300"/>
                  <a:t>Fruit</a:t>
                </a:r>
                <a:r>
                  <a:rPr lang="en-US" sz="1300" baseline="0"/>
                  <a:t> yied kg tree</a:t>
                </a:r>
                <a:r>
                  <a:rPr lang="en-US" sz="1300" baseline="30000"/>
                  <a:t>-1</a:t>
                </a:r>
              </a:p>
            </c:rich>
          </c:tx>
          <c:layout>
            <c:manualLayout>
              <c:xMode val="edge"/>
              <c:yMode val="edge"/>
              <c:x val="1.1003401346215665E-2"/>
              <c:y val="0.14463157294977549"/>
            </c:manualLayout>
          </c:layout>
          <c:overlay val="0"/>
        </c:title>
        <c:numFmt formatCode="General" sourceLinked="1"/>
        <c:majorTickMark val="none"/>
        <c:minorTickMark val="none"/>
        <c:tickLblPos val="nextTo"/>
        <c:txPr>
          <a:bodyPr/>
          <a:lstStyle/>
          <a:p>
            <a:pPr>
              <a:defRPr sz="800" b="0"/>
            </a:pPr>
            <a:endParaRPr lang="en-US"/>
          </a:p>
        </c:txPr>
        <c:crossAx val="147675776"/>
        <c:crosses val="autoZero"/>
        <c:crossBetween val="between"/>
      </c:valAx>
      <c:spPr>
        <a:ln>
          <a:noFill/>
        </a:ln>
      </c:spPr>
    </c:plotArea>
    <c:legend>
      <c:legendPos val="r"/>
      <c:legendEntry>
        <c:idx val="4"/>
        <c:delete val="1"/>
      </c:legendEntry>
      <c:legendEntry>
        <c:idx val="5"/>
        <c:delete val="1"/>
      </c:legendEntry>
      <c:layout>
        <c:manualLayout>
          <c:xMode val="edge"/>
          <c:yMode val="edge"/>
          <c:x val="0.62555161715318486"/>
          <c:y val="0.10092964213595652"/>
          <c:w val="0.35803737281715942"/>
          <c:h val="0.71609876199103428"/>
        </c:manualLayout>
      </c:layout>
      <c:overlay val="0"/>
      <c:spPr>
        <a:noFill/>
        <a:ln>
          <a:noFill/>
        </a:ln>
      </c:spPr>
      <c:txPr>
        <a:bodyPr/>
        <a:lstStyle/>
        <a:p>
          <a:pPr rtl="0">
            <a:defRPr sz="1050" b="1"/>
          </a:pPr>
          <a:endParaRPr lang="en-US"/>
        </a:p>
      </c:txPr>
    </c:legend>
    <c:plotVisOnly val="1"/>
    <c:dispBlanksAs val="gap"/>
    <c:showDLblsOverMax val="0"/>
  </c:chart>
  <c:spPr>
    <a:noFill/>
    <a:ln>
      <a:noFill/>
    </a:ln>
    <a:scene3d>
      <a:camera prst="orthographicFront"/>
      <a:lightRig rig="threePt" dir="t"/>
    </a:scene3d>
    <a:sp3d prstMaterial="dkEdge">
      <a:bevelT w="57150" h="57150" prst="coolSlant"/>
      <a:bevelB w="38100" h="63500"/>
    </a:sp3d>
  </c:spPr>
  <c:txPr>
    <a:bodyPr/>
    <a:lstStyle/>
    <a:p>
      <a:pPr algn="just">
        <a:defRPr b="1">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2771238138083"/>
          <c:y val="0.14598374604437594"/>
          <c:w val="0.78474593147741345"/>
          <c:h val="0.69045147765292625"/>
        </c:manualLayout>
      </c:layout>
      <c:scatterChart>
        <c:scatterStyle val="smoothMarker"/>
        <c:varyColors val="0"/>
        <c:ser>
          <c:idx val="0"/>
          <c:order val="0"/>
          <c:tx>
            <c:strRef>
              <c:f>Sheet3!$R$6</c:f>
              <c:strCache>
                <c:ptCount val="1"/>
                <c:pt idx="0">
                  <c:v>75% ETc + Without mulch </c:v>
                </c:pt>
              </c:strCache>
            </c:strRef>
          </c:tx>
          <c:dLbls>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Sheet3!$Q$7:$Q$11</c:f>
              <c:numCache>
                <c:formatCode>General</c:formatCode>
                <c:ptCount val="5"/>
                <c:pt idx="0">
                  <c:v>1</c:v>
                </c:pt>
                <c:pt idx="1">
                  <c:v>3</c:v>
                </c:pt>
                <c:pt idx="2">
                  <c:v>6</c:v>
                </c:pt>
                <c:pt idx="3">
                  <c:v>9</c:v>
                </c:pt>
                <c:pt idx="4">
                  <c:v>12</c:v>
                </c:pt>
              </c:numCache>
            </c:numRef>
          </c:xVal>
          <c:yVal>
            <c:numRef>
              <c:f>Sheet3!$R$7:$R$11</c:f>
              <c:numCache>
                <c:formatCode>General</c:formatCode>
                <c:ptCount val="5"/>
                <c:pt idx="0">
                  <c:v>13.9</c:v>
                </c:pt>
                <c:pt idx="1">
                  <c:v>9.5</c:v>
                </c:pt>
                <c:pt idx="2">
                  <c:v>10.6</c:v>
                </c:pt>
                <c:pt idx="3">
                  <c:v>11.2</c:v>
                </c:pt>
                <c:pt idx="4">
                  <c:v>8.1</c:v>
                </c:pt>
              </c:numCache>
            </c:numRef>
          </c:yVal>
          <c:smooth val="1"/>
          <c:extLst>
            <c:ext xmlns:c16="http://schemas.microsoft.com/office/drawing/2014/chart" uri="{C3380CC4-5D6E-409C-BE32-E72D297353CC}">
              <c16:uniqueId val="{00000000-A9EF-471F-AEAC-6CFC630B00B2}"/>
            </c:ext>
          </c:extLst>
        </c:ser>
        <c:ser>
          <c:idx val="1"/>
          <c:order val="1"/>
          <c:tx>
            <c:strRef>
              <c:f>Sheet3!$S$6</c:f>
              <c:strCache>
                <c:ptCount val="1"/>
                <c:pt idx="0">
                  <c:v>75% ETc + With mulch </c:v>
                </c:pt>
              </c:strCache>
            </c:strRef>
          </c:tx>
          <c:spPr>
            <a:ln>
              <a:solidFill>
                <a:srgbClr val="C00000"/>
              </a:solidFill>
            </a:ln>
          </c:spPr>
          <c:marker>
            <c:spPr>
              <a:solidFill>
                <a:srgbClr val="C00000"/>
              </a:solidFill>
              <a:ln>
                <a:solidFill>
                  <a:srgbClr val="C00000"/>
                </a:solidFill>
              </a:ln>
            </c:spPr>
          </c:marker>
          <c:dLbls>
            <c:delete val="1"/>
          </c:dLbls>
          <c:xVal>
            <c:numRef>
              <c:f>Sheet3!$Q$7:$Q$11</c:f>
              <c:numCache>
                <c:formatCode>General</c:formatCode>
                <c:ptCount val="5"/>
                <c:pt idx="0">
                  <c:v>1</c:v>
                </c:pt>
                <c:pt idx="1">
                  <c:v>3</c:v>
                </c:pt>
                <c:pt idx="2">
                  <c:v>6</c:v>
                </c:pt>
                <c:pt idx="3">
                  <c:v>9</c:v>
                </c:pt>
                <c:pt idx="4">
                  <c:v>12</c:v>
                </c:pt>
              </c:numCache>
            </c:numRef>
          </c:xVal>
          <c:yVal>
            <c:numRef>
              <c:f>Sheet3!$S$7:$S$11</c:f>
              <c:numCache>
                <c:formatCode>General</c:formatCode>
                <c:ptCount val="5"/>
                <c:pt idx="0">
                  <c:v>15.1</c:v>
                </c:pt>
                <c:pt idx="1">
                  <c:v>11.4</c:v>
                </c:pt>
                <c:pt idx="2">
                  <c:v>8.9</c:v>
                </c:pt>
                <c:pt idx="3">
                  <c:v>10.5</c:v>
                </c:pt>
                <c:pt idx="4">
                  <c:v>10</c:v>
                </c:pt>
              </c:numCache>
            </c:numRef>
          </c:yVal>
          <c:smooth val="1"/>
          <c:extLst>
            <c:ext xmlns:c16="http://schemas.microsoft.com/office/drawing/2014/chart" uri="{C3380CC4-5D6E-409C-BE32-E72D297353CC}">
              <c16:uniqueId val="{00000001-A9EF-471F-AEAC-6CFC630B00B2}"/>
            </c:ext>
          </c:extLst>
        </c:ser>
        <c:ser>
          <c:idx val="2"/>
          <c:order val="2"/>
          <c:tx>
            <c:strRef>
              <c:f>Sheet3!$T$6</c:f>
              <c:strCache>
                <c:ptCount val="1"/>
                <c:pt idx="0">
                  <c:v>100% ETc + Without mulch </c:v>
                </c:pt>
              </c:strCache>
            </c:strRef>
          </c:tx>
          <c:spPr>
            <a:ln>
              <a:solidFill>
                <a:srgbClr val="00B050"/>
              </a:solidFill>
            </a:ln>
          </c:spPr>
          <c:marker>
            <c:spPr>
              <a:solidFill>
                <a:srgbClr val="00B050"/>
              </a:solidFill>
              <a:ln>
                <a:solidFill>
                  <a:srgbClr val="00B050"/>
                </a:solidFill>
              </a:ln>
            </c:spPr>
          </c:marker>
          <c:dLbls>
            <c:delete val="1"/>
          </c:dLbls>
          <c:xVal>
            <c:numRef>
              <c:f>Sheet3!$Q$7:$Q$11</c:f>
              <c:numCache>
                <c:formatCode>General</c:formatCode>
                <c:ptCount val="5"/>
                <c:pt idx="0">
                  <c:v>1</c:v>
                </c:pt>
                <c:pt idx="1">
                  <c:v>3</c:v>
                </c:pt>
                <c:pt idx="2">
                  <c:v>6</c:v>
                </c:pt>
                <c:pt idx="3">
                  <c:v>9</c:v>
                </c:pt>
                <c:pt idx="4">
                  <c:v>12</c:v>
                </c:pt>
              </c:numCache>
            </c:numRef>
          </c:xVal>
          <c:yVal>
            <c:numRef>
              <c:f>Sheet3!$T$7:$T$11</c:f>
              <c:numCache>
                <c:formatCode>General</c:formatCode>
                <c:ptCount val="5"/>
                <c:pt idx="0">
                  <c:v>13.1</c:v>
                </c:pt>
                <c:pt idx="1">
                  <c:v>10</c:v>
                </c:pt>
                <c:pt idx="2">
                  <c:v>10.8</c:v>
                </c:pt>
                <c:pt idx="3">
                  <c:v>11.5</c:v>
                </c:pt>
                <c:pt idx="4">
                  <c:v>9</c:v>
                </c:pt>
              </c:numCache>
            </c:numRef>
          </c:yVal>
          <c:smooth val="1"/>
          <c:extLst>
            <c:ext xmlns:c16="http://schemas.microsoft.com/office/drawing/2014/chart" uri="{C3380CC4-5D6E-409C-BE32-E72D297353CC}">
              <c16:uniqueId val="{00000002-A9EF-471F-AEAC-6CFC630B00B2}"/>
            </c:ext>
          </c:extLst>
        </c:ser>
        <c:ser>
          <c:idx val="3"/>
          <c:order val="3"/>
          <c:tx>
            <c:strRef>
              <c:f>Sheet3!$U$6</c:f>
              <c:strCache>
                <c:ptCount val="1"/>
                <c:pt idx="0">
                  <c:v>100% ETc + With mulch </c:v>
                </c:pt>
              </c:strCache>
            </c:strRef>
          </c:tx>
          <c:spPr>
            <a:ln>
              <a:solidFill>
                <a:srgbClr val="7030A0"/>
              </a:solidFill>
            </a:ln>
          </c:spPr>
          <c:marker>
            <c:spPr>
              <a:solidFill>
                <a:srgbClr val="7030A0"/>
              </a:solidFill>
              <a:ln>
                <a:solidFill>
                  <a:srgbClr val="7030A0"/>
                </a:solidFill>
              </a:ln>
            </c:spPr>
          </c:marker>
          <c:dLbls>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Sheet3!$Q$7:$Q$11</c:f>
              <c:numCache>
                <c:formatCode>General</c:formatCode>
                <c:ptCount val="5"/>
                <c:pt idx="0">
                  <c:v>1</c:v>
                </c:pt>
                <c:pt idx="1">
                  <c:v>3</c:v>
                </c:pt>
                <c:pt idx="2">
                  <c:v>6</c:v>
                </c:pt>
                <c:pt idx="3">
                  <c:v>9</c:v>
                </c:pt>
                <c:pt idx="4">
                  <c:v>12</c:v>
                </c:pt>
              </c:numCache>
            </c:numRef>
          </c:xVal>
          <c:yVal>
            <c:numRef>
              <c:f>Sheet3!$U$7:$U$11</c:f>
              <c:numCache>
                <c:formatCode>General</c:formatCode>
                <c:ptCount val="5"/>
                <c:pt idx="0">
                  <c:v>15.6</c:v>
                </c:pt>
                <c:pt idx="1">
                  <c:v>12.5</c:v>
                </c:pt>
                <c:pt idx="2">
                  <c:v>10.6</c:v>
                </c:pt>
                <c:pt idx="3">
                  <c:v>12.4</c:v>
                </c:pt>
                <c:pt idx="4">
                  <c:v>10.1</c:v>
                </c:pt>
              </c:numCache>
            </c:numRef>
          </c:yVal>
          <c:smooth val="1"/>
          <c:extLst>
            <c:ext xmlns:c16="http://schemas.microsoft.com/office/drawing/2014/chart" uri="{C3380CC4-5D6E-409C-BE32-E72D297353CC}">
              <c16:uniqueId val="{00000003-A9EF-471F-AEAC-6CFC630B00B2}"/>
            </c:ext>
          </c:extLst>
        </c:ser>
        <c:dLbls>
          <c:showLegendKey val="0"/>
          <c:showVal val="1"/>
          <c:showCatName val="1"/>
          <c:showSerName val="0"/>
          <c:showPercent val="0"/>
          <c:showBubbleSize val="0"/>
        </c:dLbls>
        <c:axId val="158250880"/>
        <c:axId val="159522816"/>
      </c:scatterChart>
      <c:valAx>
        <c:axId val="158250880"/>
        <c:scaling>
          <c:orientation val="minMax"/>
        </c:scaling>
        <c:delete val="0"/>
        <c:axPos val="b"/>
        <c:title>
          <c:tx>
            <c:rich>
              <a:bodyPr/>
              <a:lstStyle/>
              <a:p>
                <a:pPr>
                  <a:defRPr sz="1100">
                    <a:solidFill>
                      <a:schemeClr val="dk1"/>
                    </a:solidFill>
                    <a:latin typeface="Times New Roman" pitchFamily="18" charset="0"/>
                    <a:ea typeface="+mn-ea"/>
                    <a:cs typeface="Times New Roman" pitchFamily="18" charset="0"/>
                  </a:defRPr>
                </a:pPr>
                <a:r>
                  <a:rPr lang="en-US" sz="1100">
                    <a:solidFill>
                      <a:schemeClr val="dk1"/>
                    </a:solidFill>
                    <a:latin typeface="Times New Roman" pitchFamily="18" charset="0"/>
                    <a:ea typeface="+mn-ea"/>
                    <a:cs typeface="Times New Roman" pitchFamily="18" charset="0"/>
                  </a:rPr>
                  <a:t>Number</a:t>
                </a:r>
                <a:r>
                  <a:rPr lang="en-US" sz="1100" baseline="0">
                    <a:solidFill>
                      <a:schemeClr val="dk1"/>
                    </a:solidFill>
                    <a:latin typeface="Times New Roman" pitchFamily="18" charset="0"/>
                    <a:ea typeface="+mn-ea"/>
                    <a:cs typeface="Times New Roman" pitchFamily="18" charset="0"/>
                  </a:rPr>
                  <a:t> </a:t>
                </a:r>
                <a:r>
                  <a:rPr lang="en-US" sz="1100">
                    <a:solidFill>
                      <a:schemeClr val="dk1"/>
                    </a:solidFill>
                    <a:latin typeface="Times New Roman" pitchFamily="18" charset="0"/>
                    <a:ea typeface="+mn-ea"/>
                    <a:cs typeface="Times New Roman" pitchFamily="18" charset="0"/>
                  </a:rPr>
                  <a:t>of days after harvest</a:t>
                </a:r>
                <a:endParaRPr lang="en-US" sz="1100">
                  <a:latin typeface="Times New Roman" pitchFamily="18" charset="0"/>
                  <a:cs typeface="Times New Roman" pitchFamily="18" charset="0"/>
                </a:endParaRPr>
              </a:p>
            </c:rich>
          </c:tx>
          <c:overlay val="0"/>
          <c:spPr>
            <a:solidFill>
              <a:schemeClr val="lt1"/>
            </a:solidFill>
            <a:ln w="12700" cap="flat" cmpd="sng" algn="ctr">
              <a:noFill/>
              <a:prstDash val="solid"/>
            </a:ln>
            <a:effectLst/>
          </c:spPr>
        </c:title>
        <c:numFmt formatCode="General" sourceLinked="1"/>
        <c:majorTickMark val="out"/>
        <c:minorTickMark val="none"/>
        <c:tickLblPos val="nextTo"/>
        <c:crossAx val="159522816"/>
        <c:crosses val="autoZero"/>
        <c:crossBetween val="midCat"/>
      </c:valAx>
      <c:valAx>
        <c:axId val="159522816"/>
        <c:scaling>
          <c:orientation val="minMax"/>
        </c:scaling>
        <c:delete val="0"/>
        <c:axPos val="l"/>
        <c:title>
          <c:tx>
            <c:rich>
              <a:bodyPr rot="-5400000" vert="horz"/>
              <a:lstStyle/>
              <a:p>
                <a:pPr>
                  <a:defRPr sz="1200">
                    <a:solidFill>
                      <a:schemeClr val="dk1"/>
                    </a:solidFill>
                    <a:latin typeface="Times New Roman" pitchFamily="18" charset="0"/>
                    <a:ea typeface="+mn-ea"/>
                    <a:cs typeface="Times New Roman" pitchFamily="18" charset="0"/>
                  </a:defRPr>
                </a:pPr>
                <a:r>
                  <a:rPr lang="en-US" sz="1200">
                    <a:solidFill>
                      <a:schemeClr val="dk1"/>
                    </a:solidFill>
                    <a:latin typeface="Times New Roman" pitchFamily="18" charset="0"/>
                    <a:ea typeface="+mn-ea"/>
                    <a:cs typeface="Times New Roman" pitchFamily="18" charset="0"/>
                  </a:rPr>
                  <a:t>O</a:t>
                </a:r>
                <a:r>
                  <a:rPr lang="en-US" sz="1200" baseline="-25000">
                    <a:solidFill>
                      <a:schemeClr val="dk1"/>
                    </a:solidFill>
                    <a:latin typeface="Times New Roman" pitchFamily="18" charset="0"/>
                    <a:ea typeface="+mn-ea"/>
                    <a:cs typeface="Times New Roman" pitchFamily="18" charset="0"/>
                  </a:rPr>
                  <a:t>2</a:t>
                </a:r>
                <a:r>
                  <a:rPr lang="en-US" sz="1200">
                    <a:solidFill>
                      <a:schemeClr val="dk1"/>
                    </a:solidFill>
                    <a:latin typeface="Times New Roman" pitchFamily="18" charset="0"/>
                    <a:ea typeface="+mn-ea"/>
                    <a:cs typeface="Times New Roman" pitchFamily="18" charset="0"/>
                  </a:rPr>
                  <a:t> (% </a:t>
                </a:r>
                <a:r>
                  <a:rPr lang="en-US" sz="1200" b="1" i="0" u="none" strike="noStrike" baseline="0"/>
                  <a:t>kg fresh mass</a:t>
                </a:r>
                <a:r>
                  <a:rPr lang="en-US" sz="1200" b="1" i="0" u="none" strike="noStrike" baseline="30000"/>
                  <a:t>-1</a:t>
                </a:r>
                <a:r>
                  <a:rPr lang="en-US" sz="1200" b="1" i="0" u="none" strike="noStrike" baseline="0"/>
                  <a:t> h</a:t>
                </a:r>
                <a:r>
                  <a:rPr lang="en-US" sz="1200" b="1" i="0" u="none" strike="noStrike" baseline="30000"/>
                  <a:t>-1</a:t>
                </a:r>
                <a:r>
                  <a:rPr lang="en-US" sz="1200">
                    <a:solidFill>
                      <a:schemeClr val="dk1"/>
                    </a:solidFill>
                    <a:latin typeface="Times New Roman" pitchFamily="18" charset="0"/>
                    <a:ea typeface="+mn-ea"/>
                    <a:cs typeface="Times New Roman" pitchFamily="18" charset="0"/>
                  </a:rPr>
                  <a:t>) </a:t>
                </a:r>
                <a:endParaRPr lang="en-US" sz="1200">
                  <a:latin typeface="Times New Roman" pitchFamily="18" charset="0"/>
                  <a:cs typeface="Times New Roman" pitchFamily="18" charset="0"/>
                </a:endParaRPr>
              </a:p>
            </c:rich>
          </c:tx>
          <c:layout>
            <c:manualLayout>
              <c:xMode val="edge"/>
              <c:yMode val="edge"/>
              <c:x val="3.8993527457976011E-2"/>
              <c:y val="0.22196082908840528"/>
            </c:manualLayout>
          </c:layout>
          <c:overlay val="0"/>
          <c:spPr>
            <a:solidFill>
              <a:schemeClr val="lt1"/>
            </a:solidFill>
            <a:ln w="9525" cap="flat" cmpd="sng" algn="ctr">
              <a:noFill/>
              <a:prstDash val="solid"/>
            </a:ln>
            <a:effectLst/>
          </c:spPr>
        </c:title>
        <c:numFmt formatCode="General" sourceLinked="1"/>
        <c:majorTickMark val="out"/>
        <c:minorTickMark val="none"/>
        <c:tickLblPos val="nextTo"/>
        <c:crossAx val="158250880"/>
        <c:crosses val="autoZero"/>
        <c:crossBetween val="midCat"/>
      </c:valAx>
      <c:spPr>
        <a:solidFill>
          <a:schemeClr val="lt1"/>
        </a:solidFill>
        <a:ln w="25400" cap="flat" cmpd="sng" algn="ctr">
          <a:noFill/>
          <a:prstDash val="solid"/>
        </a:ln>
        <a:effectLst/>
      </c:spPr>
    </c:plotArea>
    <c:legend>
      <c:legendPos val="r"/>
      <c:layout>
        <c:manualLayout>
          <c:xMode val="edge"/>
          <c:yMode val="edge"/>
          <c:x val="0.13187366863646605"/>
          <c:y val="1.7355516384673742E-2"/>
          <c:w val="0.78248629354904187"/>
          <c:h val="0.10474354388841574"/>
        </c:manualLayout>
      </c:layout>
      <c:overlay val="0"/>
      <c:spPr>
        <a:solidFill>
          <a:schemeClr val="lt1"/>
        </a:solidFill>
        <a:ln w="12700" cap="flat" cmpd="sng" algn="ctr">
          <a:noFill/>
          <a:prstDash val="solid"/>
        </a:ln>
        <a:effectLst/>
        <a:scene3d>
          <a:camera prst="orthographicFront"/>
          <a:lightRig rig="threePt" dir="t"/>
        </a:scene3d>
        <a:sp3d/>
      </c:spPr>
      <c:txPr>
        <a:bodyPr/>
        <a:lstStyle/>
        <a:p>
          <a:pPr>
            <a:defRPr b="0">
              <a:solidFill>
                <a:schemeClr val="dk1"/>
              </a:solidFill>
              <a:latin typeface="Times New Roman" pitchFamily="18" charset="0"/>
              <a:ea typeface="+mn-ea"/>
              <a:cs typeface="Times New Roman" pitchFamily="18" charset="0"/>
            </a:defRPr>
          </a:pPr>
          <a:endParaRPr lang="en-US"/>
        </a:p>
      </c:txPr>
    </c:legend>
    <c:plotVisOnly val="1"/>
    <c:dispBlanksAs val="gap"/>
    <c:showDLblsOverMax val="0"/>
  </c:chart>
  <c:spPr>
    <a:noFill/>
    <a:ln w="25400" cap="flat" cmpd="sng" algn="ctr">
      <a:noFill/>
      <a:prstDash val="solid"/>
    </a:ln>
    <a:effectLst/>
    <a:scene3d>
      <a:camera prst="orthographicFront"/>
      <a:lightRig rig="threePt" dir="t"/>
    </a:scene3d>
    <a:sp3d>
      <a:bevelT/>
    </a:sp3d>
  </c:spPr>
  <c:txPr>
    <a:bodyPr/>
    <a:lstStyle/>
    <a:p>
      <a:pPr marL="36000" indent="-457200">
        <a:spcBef>
          <a:spcPts val="0"/>
        </a:spcBef>
        <a:spcAft>
          <a:spcPts val="0"/>
        </a:spcAft>
        <a:defRPr>
          <a:solidFill>
            <a:schemeClr val="dk1"/>
          </a:solidFill>
          <a:latin typeface="Times New Roman" pitchFamily="18" charset="0"/>
          <a:ea typeface="+mn-ea"/>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6551546464188"/>
          <c:y val="0.17480094267495838"/>
          <c:w val="0.80673631238352406"/>
          <c:h val="0.64098232966211943"/>
        </c:manualLayout>
      </c:layout>
      <c:scatterChart>
        <c:scatterStyle val="smoothMarker"/>
        <c:varyColors val="0"/>
        <c:ser>
          <c:idx val="0"/>
          <c:order val="0"/>
          <c:tx>
            <c:strRef>
              <c:f>Sheet3!$F$15</c:f>
              <c:strCache>
                <c:ptCount val="1"/>
                <c:pt idx="0">
                  <c:v>75% ETc + Without mulch </c:v>
                </c:pt>
              </c:strCache>
            </c:strRef>
          </c:tx>
          <c:spPr>
            <a:ln>
              <a:solidFill>
                <a:schemeClr val="tx2">
                  <a:lumMod val="50000"/>
                </a:schemeClr>
              </a:solidFill>
            </a:ln>
          </c:spPr>
          <c:marker>
            <c:spPr>
              <a:ln>
                <a:solidFill>
                  <a:schemeClr val="tx2">
                    <a:lumMod val="50000"/>
                  </a:schemeClr>
                </a:solidFill>
              </a:ln>
            </c:spPr>
          </c:marker>
          <c:dLbls>
            <c:dLbl>
              <c:idx val="4"/>
              <c:layout>
                <c:manualLayout>
                  <c:x val="-7.0995741714858299E-2"/>
                  <c:y val="-2.207505518763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3D-4EFF-8619-6705B9A52364}"/>
                </c:ext>
              </c:extLst>
            </c:dLbl>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Sheet3!$E$16:$E$20</c:f>
              <c:numCache>
                <c:formatCode>General</c:formatCode>
                <c:ptCount val="5"/>
                <c:pt idx="0">
                  <c:v>1</c:v>
                </c:pt>
                <c:pt idx="1">
                  <c:v>3</c:v>
                </c:pt>
                <c:pt idx="2">
                  <c:v>6</c:v>
                </c:pt>
                <c:pt idx="3">
                  <c:v>9</c:v>
                </c:pt>
                <c:pt idx="4">
                  <c:v>12</c:v>
                </c:pt>
              </c:numCache>
            </c:numRef>
          </c:xVal>
          <c:yVal>
            <c:numRef>
              <c:f>Sheet3!$F$16:$F$20</c:f>
              <c:numCache>
                <c:formatCode>General</c:formatCode>
                <c:ptCount val="5"/>
                <c:pt idx="0">
                  <c:v>7.1</c:v>
                </c:pt>
                <c:pt idx="1">
                  <c:v>10.6</c:v>
                </c:pt>
                <c:pt idx="2">
                  <c:v>8.6</c:v>
                </c:pt>
                <c:pt idx="3">
                  <c:v>6.6</c:v>
                </c:pt>
                <c:pt idx="4">
                  <c:v>7.6</c:v>
                </c:pt>
              </c:numCache>
            </c:numRef>
          </c:yVal>
          <c:smooth val="1"/>
          <c:extLst>
            <c:ext xmlns:c16="http://schemas.microsoft.com/office/drawing/2014/chart" uri="{C3380CC4-5D6E-409C-BE32-E72D297353CC}">
              <c16:uniqueId val="{00000001-AE3D-4EFF-8619-6705B9A52364}"/>
            </c:ext>
          </c:extLst>
        </c:ser>
        <c:ser>
          <c:idx val="1"/>
          <c:order val="1"/>
          <c:tx>
            <c:strRef>
              <c:f>Sheet3!$G$15</c:f>
              <c:strCache>
                <c:ptCount val="1"/>
                <c:pt idx="0">
                  <c:v>75% ETc + With mulch </c:v>
                </c:pt>
              </c:strCache>
            </c:strRef>
          </c:tx>
          <c:spPr>
            <a:ln>
              <a:solidFill>
                <a:srgbClr val="FF0000"/>
              </a:solidFill>
            </a:ln>
          </c:spPr>
          <c:marker>
            <c:spPr>
              <a:solidFill>
                <a:srgbClr val="FF0000"/>
              </a:solidFill>
              <a:ln>
                <a:solidFill>
                  <a:srgbClr val="FF0000"/>
                </a:solidFill>
              </a:ln>
            </c:spPr>
          </c:marker>
          <c:dLbls>
            <c:delete val="1"/>
          </c:dLbls>
          <c:xVal>
            <c:numRef>
              <c:f>Sheet3!$E$16:$E$20</c:f>
              <c:numCache>
                <c:formatCode>General</c:formatCode>
                <c:ptCount val="5"/>
                <c:pt idx="0">
                  <c:v>1</c:v>
                </c:pt>
                <c:pt idx="1">
                  <c:v>3</c:v>
                </c:pt>
                <c:pt idx="2">
                  <c:v>6</c:v>
                </c:pt>
                <c:pt idx="3">
                  <c:v>9</c:v>
                </c:pt>
                <c:pt idx="4">
                  <c:v>12</c:v>
                </c:pt>
              </c:numCache>
            </c:numRef>
          </c:xVal>
          <c:yVal>
            <c:numRef>
              <c:f>Sheet3!$G$16:$G$20</c:f>
              <c:numCache>
                <c:formatCode>General</c:formatCode>
                <c:ptCount val="5"/>
                <c:pt idx="0">
                  <c:v>5.6</c:v>
                </c:pt>
                <c:pt idx="1">
                  <c:v>8.9</c:v>
                </c:pt>
                <c:pt idx="2">
                  <c:v>10.8</c:v>
                </c:pt>
                <c:pt idx="3">
                  <c:v>6.8</c:v>
                </c:pt>
                <c:pt idx="4">
                  <c:v>8.2000000000000011</c:v>
                </c:pt>
              </c:numCache>
            </c:numRef>
          </c:yVal>
          <c:smooth val="1"/>
          <c:extLst>
            <c:ext xmlns:c16="http://schemas.microsoft.com/office/drawing/2014/chart" uri="{C3380CC4-5D6E-409C-BE32-E72D297353CC}">
              <c16:uniqueId val="{00000002-AE3D-4EFF-8619-6705B9A52364}"/>
            </c:ext>
          </c:extLst>
        </c:ser>
        <c:ser>
          <c:idx val="2"/>
          <c:order val="2"/>
          <c:tx>
            <c:strRef>
              <c:f>Sheet3!$H$15</c:f>
              <c:strCache>
                <c:ptCount val="1"/>
                <c:pt idx="0">
                  <c:v>100% ETc + Without mulch </c:v>
                </c:pt>
              </c:strCache>
            </c:strRef>
          </c:tx>
          <c:spPr>
            <a:ln>
              <a:solidFill>
                <a:schemeClr val="accent3">
                  <a:lumMod val="50000"/>
                </a:schemeClr>
              </a:solidFill>
            </a:ln>
          </c:spPr>
          <c:marker>
            <c:spPr>
              <a:solidFill>
                <a:schemeClr val="accent3">
                  <a:lumMod val="50000"/>
                </a:schemeClr>
              </a:solidFill>
              <a:ln>
                <a:solidFill>
                  <a:schemeClr val="accent3">
                    <a:lumMod val="50000"/>
                  </a:schemeClr>
                </a:solidFill>
              </a:ln>
            </c:spPr>
          </c:marker>
          <c:dLbls>
            <c:delete val="1"/>
          </c:dLbls>
          <c:xVal>
            <c:numRef>
              <c:f>Sheet3!$E$16:$E$20</c:f>
              <c:numCache>
                <c:formatCode>General</c:formatCode>
                <c:ptCount val="5"/>
                <c:pt idx="0">
                  <c:v>1</c:v>
                </c:pt>
                <c:pt idx="1">
                  <c:v>3</c:v>
                </c:pt>
                <c:pt idx="2">
                  <c:v>6</c:v>
                </c:pt>
                <c:pt idx="3">
                  <c:v>9</c:v>
                </c:pt>
                <c:pt idx="4">
                  <c:v>12</c:v>
                </c:pt>
              </c:numCache>
            </c:numRef>
          </c:xVal>
          <c:yVal>
            <c:numRef>
              <c:f>Sheet3!$H$16:$H$20</c:f>
              <c:numCache>
                <c:formatCode>General</c:formatCode>
                <c:ptCount val="5"/>
                <c:pt idx="0">
                  <c:v>7.4</c:v>
                </c:pt>
                <c:pt idx="1">
                  <c:v>9.5</c:v>
                </c:pt>
                <c:pt idx="2">
                  <c:v>8</c:v>
                </c:pt>
                <c:pt idx="3">
                  <c:v>5.8</c:v>
                </c:pt>
                <c:pt idx="4">
                  <c:v>7.1</c:v>
                </c:pt>
              </c:numCache>
            </c:numRef>
          </c:yVal>
          <c:smooth val="1"/>
          <c:extLst>
            <c:ext xmlns:c16="http://schemas.microsoft.com/office/drawing/2014/chart" uri="{C3380CC4-5D6E-409C-BE32-E72D297353CC}">
              <c16:uniqueId val="{00000003-AE3D-4EFF-8619-6705B9A52364}"/>
            </c:ext>
          </c:extLst>
        </c:ser>
        <c:ser>
          <c:idx val="3"/>
          <c:order val="3"/>
          <c:tx>
            <c:strRef>
              <c:f>Sheet3!$I$15</c:f>
              <c:strCache>
                <c:ptCount val="1"/>
                <c:pt idx="0">
                  <c:v>100% ETc + With mulch </c:v>
                </c:pt>
              </c:strCache>
            </c:strRef>
          </c:tx>
          <c:spPr>
            <a:ln>
              <a:solidFill>
                <a:srgbClr val="7030A0"/>
              </a:solidFill>
            </a:ln>
          </c:spPr>
          <c:marker>
            <c:spPr>
              <a:ln>
                <a:solidFill>
                  <a:srgbClr val="7030A0"/>
                </a:solidFill>
              </a:ln>
            </c:spPr>
          </c:marker>
          <c:dLbls>
            <c:dLbl>
              <c:idx val="0"/>
              <c:layout>
                <c:manualLayout>
                  <c:x val="-7.4225503969680154E-2"/>
                  <c:y val="3.0452451721680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3D-4EFF-8619-6705B9A52364}"/>
                </c:ext>
              </c:extLst>
            </c:dLbl>
            <c:dLbl>
              <c:idx val="1"/>
              <c:layout>
                <c:manualLayout>
                  <c:x val="-1.61342176626262E-2"/>
                  <c:y val="2.6037440684156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3D-4EFF-8619-6705B9A52364}"/>
                </c:ext>
              </c:extLst>
            </c:dLbl>
            <c:dLbl>
              <c:idx val="2"/>
              <c:layout>
                <c:manualLayout>
                  <c:x val="-1.61342176626262E-2"/>
                  <c:y val="-4.9017746953822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3D-4EFF-8619-6705B9A52364}"/>
                </c:ext>
              </c:extLst>
            </c:dLbl>
            <c:dLbl>
              <c:idx val="3"/>
              <c:layout>
                <c:manualLayout>
                  <c:x val="-6.0394245325144022E-2"/>
                  <c:y val="4.8112495871792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3D-4EFF-8619-6705B9A52364}"/>
                </c:ext>
              </c:extLst>
            </c:dLbl>
            <c:dLbl>
              <c:idx val="4"/>
              <c:layout>
                <c:manualLayout>
                  <c:x val="4.6329271081788911E-4"/>
                  <c:y val="-4.01877248787611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3D-4EFF-8619-6705B9A52364}"/>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a:lstStyle/>
              <a:p>
                <a:pPr>
                  <a:defRPr sz="9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Sheet3!$E$16:$E$20</c:f>
              <c:numCache>
                <c:formatCode>General</c:formatCode>
                <c:ptCount val="5"/>
                <c:pt idx="0">
                  <c:v>1</c:v>
                </c:pt>
                <c:pt idx="1">
                  <c:v>3</c:v>
                </c:pt>
                <c:pt idx="2">
                  <c:v>6</c:v>
                </c:pt>
                <c:pt idx="3">
                  <c:v>9</c:v>
                </c:pt>
                <c:pt idx="4">
                  <c:v>12</c:v>
                </c:pt>
              </c:numCache>
            </c:numRef>
          </c:xVal>
          <c:yVal>
            <c:numRef>
              <c:f>Sheet3!$I$16:$I$20</c:f>
              <c:numCache>
                <c:formatCode>General</c:formatCode>
                <c:ptCount val="5"/>
                <c:pt idx="0">
                  <c:v>5.7</c:v>
                </c:pt>
                <c:pt idx="1">
                  <c:v>6.3</c:v>
                </c:pt>
                <c:pt idx="2">
                  <c:v>9.9</c:v>
                </c:pt>
                <c:pt idx="3">
                  <c:v>5.7</c:v>
                </c:pt>
                <c:pt idx="4">
                  <c:v>7.4</c:v>
                </c:pt>
              </c:numCache>
            </c:numRef>
          </c:yVal>
          <c:smooth val="1"/>
          <c:extLst>
            <c:ext xmlns:c16="http://schemas.microsoft.com/office/drawing/2014/chart" uri="{C3380CC4-5D6E-409C-BE32-E72D297353CC}">
              <c16:uniqueId val="{00000009-AE3D-4EFF-8619-6705B9A52364}"/>
            </c:ext>
          </c:extLst>
        </c:ser>
        <c:dLbls>
          <c:showLegendKey val="0"/>
          <c:showVal val="1"/>
          <c:showCatName val="1"/>
          <c:showSerName val="0"/>
          <c:showPercent val="0"/>
          <c:showBubbleSize val="0"/>
        </c:dLbls>
        <c:axId val="121256576"/>
        <c:axId val="139977472"/>
      </c:scatterChart>
      <c:valAx>
        <c:axId val="121256576"/>
        <c:scaling>
          <c:orientation val="minMax"/>
        </c:scaling>
        <c:delete val="0"/>
        <c:axPos val="b"/>
        <c:title>
          <c:tx>
            <c:rich>
              <a:bodyPr/>
              <a:lstStyle/>
              <a:p>
                <a:pPr>
                  <a:defRPr>
                    <a:solidFill>
                      <a:schemeClr val="dk1"/>
                    </a:solidFill>
                    <a:latin typeface="Times New Roman" pitchFamily="18" charset="0"/>
                    <a:ea typeface="+mn-ea"/>
                    <a:cs typeface="Times New Roman" pitchFamily="18" charset="0"/>
                  </a:defRPr>
                </a:pPr>
                <a:r>
                  <a:rPr lang="en-US">
                    <a:solidFill>
                      <a:schemeClr val="dk1"/>
                    </a:solidFill>
                    <a:latin typeface="Times New Roman" pitchFamily="18" charset="0"/>
                    <a:ea typeface="+mn-ea"/>
                    <a:cs typeface="Times New Roman" pitchFamily="18" charset="0"/>
                  </a:rPr>
                  <a:t>No. of days after harvest</a:t>
                </a:r>
                <a:endParaRPr lang="en-US">
                  <a:latin typeface="Times New Roman" pitchFamily="18" charset="0"/>
                  <a:cs typeface="Times New Roman" pitchFamily="18" charset="0"/>
                </a:endParaRPr>
              </a:p>
            </c:rich>
          </c:tx>
          <c:layout>
            <c:manualLayout>
              <c:xMode val="edge"/>
              <c:yMode val="edge"/>
              <c:x val="0.39097293980433712"/>
              <c:y val="0.90776855595753236"/>
            </c:manualLayout>
          </c:layout>
          <c:overlay val="0"/>
          <c:spPr>
            <a:solidFill>
              <a:schemeClr val="lt1"/>
            </a:solidFill>
            <a:ln w="12700" cap="flat" cmpd="sng" algn="ctr">
              <a:noFill/>
              <a:prstDash val="solid"/>
            </a:ln>
            <a:effectLst/>
          </c:spPr>
        </c:title>
        <c:numFmt formatCode="General" sourceLinked="1"/>
        <c:majorTickMark val="out"/>
        <c:minorTickMark val="none"/>
        <c:tickLblPos val="nextTo"/>
        <c:crossAx val="139977472"/>
        <c:crosses val="autoZero"/>
        <c:crossBetween val="midCat"/>
      </c:valAx>
      <c:valAx>
        <c:axId val="139977472"/>
        <c:scaling>
          <c:orientation val="minMax"/>
        </c:scaling>
        <c:delete val="0"/>
        <c:axPos val="l"/>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Co</a:t>
                </a:r>
                <a:r>
                  <a:rPr lang="en-US" sz="1200" baseline="-25000">
                    <a:latin typeface="Times New Roman" pitchFamily="18" charset="0"/>
                    <a:cs typeface="Times New Roman" pitchFamily="18" charset="0"/>
                  </a:rPr>
                  <a:t>2</a:t>
                </a:r>
                <a:r>
                  <a:rPr lang="en-US" sz="1200">
                    <a:latin typeface="Times New Roman" pitchFamily="18" charset="0"/>
                    <a:cs typeface="Times New Roman" pitchFamily="18" charset="0"/>
                  </a:rPr>
                  <a:t> (% </a:t>
                </a:r>
                <a:r>
                  <a:rPr lang="en-US" sz="1200" b="1" i="0" u="none" strike="noStrike" baseline="0"/>
                  <a:t>kg fresh mass</a:t>
                </a:r>
                <a:r>
                  <a:rPr lang="en-US" sz="1200" b="1" i="0" u="none" strike="noStrike" baseline="30000"/>
                  <a:t>-1</a:t>
                </a:r>
                <a:r>
                  <a:rPr lang="en-US" sz="1200" b="1" i="0" u="none" strike="noStrike" baseline="0"/>
                  <a:t> h</a:t>
                </a:r>
                <a:r>
                  <a:rPr lang="en-US" sz="1200" b="1" i="0" u="none" strike="noStrike" baseline="30000"/>
                  <a:t>-1</a:t>
                </a:r>
                <a:r>
                  <a:rPr lang="en-US" sz="1200">
                    <a:latin typeface="Times New Roman" pitchFamily="18" charset="0"/>
                    <a:cs typeface="Times New Roman" pitchFamily="18" charset="0"/>
                  </a:rPr>
                  <a:t>) </a:t>
                </a:r>
              </a:p>
            </c:rich>
          </c:tx>
          <c:overlay val="0"/>
          <c:spPr>
            <a:solidFill>
              <a:schemeClr val="lt1"/>
            </a:solidFill>
            <a:ln w="12700" cap="flat" cmpd="sng" algn="ctr">
              <a:noFill/>
              <a:prstDash val="solid"/>
            </a:ln>
            <a:effectLst/>
          </c:spPr>
        </c:title>
        <c:numFmt formatCode="General" sourceLinked="1"/>
        <c:majorTickMark val="out"/>
        <c:minorTickMark val="none"/>
        <c:tickLblPos val="nextTo"/>
        <c:crossAx val="121256576"/>
        <c:crosses val="autoZero"/>
        <c:crossBetween val="midCat"/>
      </c:valAx>
    </c:plotArea>
    <c:legend>
      <c:legendPos val="r"/>
      <c:layout>
        <c:manualLayout>
          <c:xMode val="edge"/>
          <c:yMode val="edge"/>
          <c:x val="0.12549354293235654"/>
          <c:y val="4.9457646623000964E-2"/>
          <c:w val="0.80263659271910992"/>
          <c:h val="0.12144266269028046"/>
        </c:manualLayout>
      </c:layout>
      <c:overlay val="0"/>
      <c:spPr>
        <a:solidFill>
          <a:schemeClr val="lt1"/>
        </a:solidFill>
        <a:ln w="12700" cap="flat" cmpd="sng" algn="ctr">
          <a:noFill/>
          <a:prstDash val="solid"/>
        </a:ln>
        <a:effectLst/>
        <a:scene3d>
          <a:camera prst="orthographicFront"/>
          <a:lightRig rig="threePt" dir="t"/>
        </a:scene3d>
        <a:sp3d/>
      </c:spPr>
      <c:txPr>
        <a:bodyPr/>
        <a:lstStyle/>
        <a:p>
          <a:pPr>
            <a:defRPr sz="1000" b="0"/>
          </a:pPr>
          <a:endParaRPr lang="en-US"/>
        </a:p>
      </c:txPr>
    </c:legend>
    <c:plotVisOnly val="1"/>
    <c:dispBlanksAs val="gap"/>
    <c:showDLblsOverMax val="0"/>
  </c:chart>
  <c:spPr>
    <a:noFill/>
    <a:ln w="25400" cap="flat" cmpd="sng" algn="ctr">
      <a:noFill/>
      <a:prstDash val="solid"/>
    </a:ln>
    <a:effectLst/>
    <a:scene3d>
      <a:camera prst="orthographicFront"/>
      <a:lightRig rig="threePt" dir="t"/>
    </a:scene3d>
    <a:sp3d/>
  </c:spPr>
  <c:txPr>
    <a:bodyPr/>
    <a:lstStyle/>
    <a:p>
      <a:pPr algn="just">
        <a:defRPr sz="1100">
          <a:solidFill>
            <a:schemeClr val="dk1"/>
          </a:solidFill>
          <a:latin typeface="Times New Roman" pitchFamily="18" charset="0"/>
          <a:ea typeface="+mn-ea"/>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0875826112853"/>
          <c:y val="0.21509377298143856"/>
          <c:w val="0.78044232856274887"/>
          <c:h val="0.67174112313810774"/>
        </c:manualLayout>
      </c:layout>
      <c:scatterChart>
        <c:scatterStyle val="lineMarker"/>
        <c:varyColors val="0"/>
        <c:ser>
          <c:idx val="0"/>
          <c:order val="0"/>
          <c:tx>
            <c:strRef>
              <c:f>Sheet10!$H$17</c:f>
              <c:strCache>
                <c:ptCount val="1"/>
                <c:pt idx="0">
                  <c:v>75% ETc+ without mulch</c:v>
                </c:pt>
              </c:strCache>
            </c:strRef>
          </c:tx>
          <c:dLbls>
            <c:delete val="1"/>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Sheet10!$I$17:$L$17</c:f>
              <c:numCache>
                <c:formatCode>General</c:formatCode>
                <c:ptCount val="4"/>
                <c:pt idx="0">
                  <c:v>1.21</c:v>
                </c:pt>
                <c:pt idx="1">
                  <c:v>0.56999999999999995</c:v>
                </c:pt>
                <c:pt idx="2">
                  <c:v>0.31000000000000016</c:v>
                </c:pt>
                <c:pt idx="3">
                  <c:v>0.2</c:v>
                </c:pt>
              </c:numCache>
            </c:numRef>
          </c:yVal>
          <c:smooth val="0"/>
          <c:extLst>
            <c:ext xmlns:c16="http://schemas.microsoft.com/office/drawing/2014/chart" uri="{C3380CC4-5D6E-409C-BE32-E72D297353CC}">
              <c16:uniqueId val="{00000000-61C2-48EC-85E5-D102427A07C5}"/>
            </c:ext>
          </c:extLst>
        </c:ser>
        <c:ser>
          <c:idx val="1"/>
          <c:order val="1"/>
          <c:tx>
            <c:strRef>
              <c:f>Sheet10!$H$18</c:f>
              <c:strCache>
                <c:ptCount val="1"/>
                <c:pt idx="0">
                  <c:v>75% ETc+ with mulch</c:v>
                </c:pt>
              </c:strCache>
            </c:strRef>
          </c:tx>
          <c:dLbls>
            <c:delete val="1"/>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Sheet10!$I$18:$L$18</c:f>
              <c:numCache>
                <c:formatCode>General</c:formatCode>
                <c:ptCount val="4"/>
                <c:pt idx="0">
                  <c:v>1.2</c:v>
                </c:pt>
                <c:pt idx="1">
                  <c:v>0.76000000000000034</c:v>
                </c:pt>
                <c:pt idx="2">
                  <c:v>0.44</c:v>
                </c:pt>
                <c:pt idx="3">
                  <c:v>0.36000000000000015</c:v>
                </c:pt>
              </c:numCache>
            </c:numRef>
          </c:yVal>
          <c:smooth val="0"/>
          <c:extLst>
            <c:ext xmlns:c16="http://schemas.microsoft.com/office/drawing/2014/chart" uri="{C3380CC4-5D6E-409C-BE32-E72D297353CC}">
              <c16:uniqueId val="{00000001-61C2-48EC-85E5-D102427A07C5}"/>
            </c:ext>
          </c:extLst>
        </c:ser>
        <c:ser>
          <c:idx val="2"/>
          <c:order val="2"/>
          <c:tx>
            <c:strRef>
              <c:f>Sheet10!$H$19</c:f>
              <c:strCache>
                <c:ptCount val="1"/>
                <c:pt idx="0">
                  <c:v>100% ETc+ without mulch</c:v>
                </c:pt>
              </c:strCache>
            </c:strRef>
          </c:tx>
          <c:dLbls>
            <c:delete val="1"/>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Sheet10!$I$19:$L$19</c:f>
              <c:numCache>
                <c:formatCode>General</c:formatCode>
                <c:ptCount val="4"/>
                <c:pt idx="0">
                  <c:v>1.02</c:v>
                </c:pt>
                <c:pt idx="1">
                  <c:v>0.61000000000000032</c:v>
                </c:pt>
                <c:pt idx="2">
                  <c:v>0.35000000000000014</c:v>
                </c:pt>
                <c:pt idx="3">
                  <c:v>0.14000000000000001</c:v>
                </c:pt>
              </c:numCache>
            </c:numRef>
          </c:yVal>
          <c:smooth val="0"/>
          <c:extLst>
            <c:ext xmlns:c16="http://schemas.microsoft.com/office/drawing/2014/chart" uri="{C3380CC4-5D6E-409C-BE32-E72D297353CC}">
              <c16:uniqueId val="{00000002-61C2-48EC-85E5-D102427A07C5}"/>
            </c:ext>
          </c:extLst>
        </c:ser>
        <c:ser>
          <c:idx val="3"/>
          <c:order val="3"/>
          <c:tx>
            <c:strRef>
              <c:f>Sheet10!$H$20</c:f>
              <c:strCache>
                <c:ptCount val="1"/>
                <c:pt idx="0">
                  <c:v>100% ETc+ with mulch</c:v>
                </c:pt>
              </c:strCache>
            </c:strRef>
          </c:tx>
          <c:dLbls>
            <c:dLbl>
              <c:idx val="0"/>
              <c:layout>
                <c:manualLayout>
                  <c:x val="-2.4998777180195896E-2"/>
                  <c:y val="-5.1226896574959602E-2"/>
                </c:manualLayout>
              </c:layout>
              <c:tx>
                <c:rich>
                  <a:bodyPr/>
                  <a:lstStyle/>
                  <a:p>
                    <a:r>
                      <a:rPr lang="en-US"/>
                      <a:t>On the day of harvest</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2-48EC-85E5-D102427A07C5}"/>
                </c:ext>
              </c:extLst>
            </c:dLbl>
            <c:dLbl>
              <c:idx val="1"/>
              <c:layout>
                <c:manualLayout>
                  <c:x val="-7.2212642771515664E-2"/>
                  <c:y val="-7.0234760656126383E-2"/>
                </c:manualLayout>
              </c:layout>
              <c:tx>
                <c:rich>
                  <a:bodyPr/>
                  <a:lstStyle/>
                  <a:p>
                    <a:r>
                      <a:rPr lang="en-US"/>
                      <a:t>3 days after harvest</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C2-48EC-85E5-D102427A07C5}"/>
                </c:ext>
              </c:extLst>
            </c:dLbl>
            <c:dLbl>
              <c:idx val="2"/>
              <c:layout>
                <c:manualLayout>
                  <c:x val="-2.8096142182976309E-2"/>
                  <c:y val="-7.0084310292547539E-2"/>
                </c:manualLayout>
              </c:layout>
              <c:tx>
                <c:rich>
                  <a:bodyPr/>
                  <a:lstStyle/>
                  <a:p>
                    <a:r>
                      <a:rPr lang="en-US"/>
                      <a:t>6 days after harvest</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C2-48EC-85E5-D102427A07C5}"/>
                </c:ext>
              </c:extLst>
            </c:dLbl>
            <c:dLbl>
              <c:idx val="3"/>
              <c:layout>
                <c:manualLayout>
                  <c:x val="-1.9080997079756065E-2"/>
                  <c:y val="-5.9018366562145333E-2"/>
                </c:manualLayout>
              </c:layout>
              <c:tx>
                <c:rich>
                  <a:bodyPr/>
                  <a:lstStyle/>
                  <a:p>
                    <a:r>
                      <a:rPr lang="en-US"/>
                      <a:t>9 day after harvest, </a:t>
                    </a:r>
                  </a:p>
                </c:rich>
              </c:tx>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C2-48EC-85E5-D102427A07C5}"/>
                </c:ext>
              </c:extLst>
            </c:dLbl>
            <c:spPr>
              <a:noFill/>
              <a:ln>
                <a:noFill/>
              </a:ln>
              <a:effectLst/>
            </c:spPr>
            <c:dLblPos val="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errBars>
            <c:errDir val="x"/>
            <c:errBarType val="both"/>
            <c:errValType val="percentage"/>
            <c:noEndCap val="0"/>
            <c:val val="5"/>
          </c:errBars>
          <c:errBars>
            <c:errDir val="y"/>
            <c:errBarType val="both"/>
            <c:errValType val="percentage"/>
            <c:noEndCap val="0"/>
            <c:val val="5"/>
          </c:errBars>
          <c:xVal>
            <c:strRef>
              <c:f>Sheet10!$I$16:$L$16</c:f>
              <c:strCache>
                <c:ptCount val="4"/>
                <c:pt idx="0">
                  <c:v>On the day of harvest</c:v>
                </c:pt>
                <c:pt idx="1">
                  <c:v>3 days after harvest</c:v>
                </c:pt>
                <c:pt idx="2">
                  <c:v>6 days after harvest</c:v>
                </c:pt>
                <c:pt idx="3">
                  <c:v>9 day after harvest</c:v>
                </c:pt>
              </c:strCache>
            </c:strRef>
          </c:xVal>
          <c:yVal>
            <c:numRef>
              <c:f>Sheet10!$I$20:$L$20</c:f>
              <c:numCache>
                <c:formatCode>General</c:formatCode>
                <c:ptCount val="4"/>
                <c:pt idx="0">
                  <c:v>1.24</c:v>
                </c:pt>
                <c:pt idx="1">
                  <c:v>0.9600000000000003</c:v>
                </c:pt>
                <c:pt idx="2">
                  <c:v>0.74000000000000032</c:v>
                </c:pt>
                <c:pt idx="3">
                  <c:v>0.55000000000000004</c:v>
                </c:pt>
              </c:numCache>
            </c:numRef>
          </c:yVal>
          <c:smooth val="0"/>
          <c:extLst>
            <c:ext xmlns:c16="http://schemas.microsoft.com/office/drawing/2014/chart" uri="{C3380CC4-5D6E-409C-BE32-E72D297353CC}">
              <c16:uniqueId val="{00000007-61C2-48EC-85E5-D102427A07C5}"/>
            </c:ext>
          </c:extLst>
        </c:ser>
        <c:dLbls>
          <c:showLegendKey val="0"/>
          <c:showVal val="1"/>
          <c:showCatName val="1"/>
          <c:showSerName val="0"/>
          <c:showPercent val="0"/>
          <c:showBubbleSize val="0"/>
        </c:dLbls>
        <c:axId val="145500416"/>
        <c:axId val="158155136"/>
      </c:scatterChart>
      <c:valAx>
        <c:axId val="145500416"/>
        <c:scaling>
          <c:orientation val="minMax"/>
        </c:scaling>
        <c:delete val="0"/>
        <c:axPos val="b"/>
        <c:title>
          <c:tx>
            <c:rich>
              <a:bodyPr/>
              <a:lstStyle/>
              <a:p>
                <a:pPr>
                  <a:defRPr/>
                </a:pPr>
                <a:r>
                  <a:rPr lang="en-US"/>
                  <a:t>Days after Harvest</a:t>
                </a:r>
              </a:p>
            </c:rich>
          </c:tx>
          <c:overlay val="0"/>
        </c:title>
        <c:majorTickMark val="out"/>
        <c:minorTickMark val="none"/>
        <c:tickLblPos val="nextTo"/>
        <c:crossAx val="158155136"/>
        <c:crosses val="autoZero"/>
        <c:crossBetween val="midCat"/>
      </c:valAx>
      <c:valAx>
        <c:axId val="158155136"/>
        <c:scaling>
          <c:orientation val="minMax"/>
        </c:scaling>
        <c:delete val="0"/>
        <c:axPos val="l"/>
        <c:title>
          <c:tx>
            <c:rich>
              <a:bodyPr/>
              <a:lstStyle/>
              <a:p>
                <a:pPr>
                  <a:defRPr/>
                </a:pPr>
                <a:r>
                  <a:rPr lang="en-US"/>
                  <a:t>DA Index</a:t>
                </a:r>
              </a:p>
            </c:rich>
          </c:tx>
          <c:overlay val="0"/>
        </c:title>
        <c:numFmt formatCode="General" sourceLinked="1"/>
        <c:majorTickMark val="out"/>
        <c:minorTickMark val="none"/>
        <c:tickLblPos val="nextTo"/>
        <c:crossAx val="145500416"/>
        <c:crosses val="autoZero"/>
        <c:crossBetween val="midCat"/>
      </c:valAx>
    </c:plotArea>
    <c:legend>
      <c:legendPos val="r"/>
      <c:layout>
        <c:manualLayout>
          <c:xMode val="edge"/>
          <c:yMode val="edge"/>
          <c:x val="1.6480163592245061E-2"/>
          <c:y val="2.9266914552347648E-2"/>
          <c:w val="0.96947172845929164"/>
          <c:h val="0.11657743917954497"/>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n-US"/>
              <a:t>Shelf life </a:t>
            </a:r>
          </a:p>
        </c:rich>
      </c:tx>
      <c:overlay val="0"/>
      <c:spPr>
        <a:ln>
          <a:noFill/>
        </a:ln>
      </c:spPr>
    </c:title>
    <c:autoTitleDeleted val="0"/>
    <c:plotArea>
      <c:layout/>
      <c:barChart>
        <c:barDir val="col"/>
        <c:grouping val="clustered"/>
        <c:varyColors val="0"/>
        <c:ser>
          <c:idx val="0"/>
          <c:order val="0"/>
          <c:tx>
            <c:strRef>
              <c:f>Sheet11!$J$7</c:f>
              <c:strCache>
                <c:ptCount val="1"/>
                <c:pt idx="0">
                  <c:v>Shelf life</c:v>
                </c:pt>
              </c:strCache>
            </c:strRef>
          </c:tx>
          <c:spPr>
            <a:solidFill>
              <a:schemeClr val="accent6">
                <a:lumMod val="60000"/>
                <a:lumOff val="40000"/>
              </a:schemeClr>
            </a:solidFill>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B4-42D5-A82C-E602B2EE39E3}"/>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B4-42D5-A82C-E602B2EE39E3}"/>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B4-42D5-A82C-E602B2EE39E3}"/>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B4-42D5-A82C-E602B2EE39E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Sheet11!$I$8:$I$11</c:f>
              <c:strCache>
                <c:ptCount val="4"/>
                <c:pt idx="0">
                  <c:v>75% ETc+ without mulch</c:v>
                </c:pt>
                <c:pt idx="1">
                  <c:v>75% ETc+ with mulch</c:v>
                </c:pt>
                <c:pt idx="2">
                  <c:v>100% ETc+ without mulch</c:v>
                </c:pt>
                <c:pt idx="3">
                  <c:v>100% ETc+ with mulch</c:v>
                </c:pt>
              </c:strCache>
            </c:strRef>
          </c:cat>
          <c:val>
            <c:numRef>
              <c:f>Sheet11!$J$8:$J$11</c:f>
              <c:numCache>
                <c:formatCode>General</c:formatCode>
                <c:ptCount val="4"/>
                <c:pt idx="0">
                  <c:v>9</c:v>
                </c:pt>
                <c:pt idx="1">
                  <c:v>11.27</c:v>
                </c:pt>
                <c:pt idx="2">
                  <c:v>10.8</c:v>
                </c:pt>
                <c:pt idx="3">
                  <c:v>13.729999999999999</c:v>
                </c:pt>
              </c:numCache>
            </c:numRef>
          </c:val>
          <c:extLst>
            <c:ext xmlns:c16="http://schemas.microsoft.com/office/drawing/2014/chart" uri="{C3380CC4-5D6E-409C-BE32-E72D297353CC}">
              <c16:uniqueId val="{00000004-76B4-42D5-A82C-E602B2EE39E3}"/>
            </c:ext>
          </c:extLst>
        </c:ser>
        <c:dLbls>
          <c:showLegendKey val="0"/>
          <c:showVal val="1"/>
          <c:showCatName val="0"/>
          <c:showSerName val="0"/>
          <c:showPercent val="0"/>
          <c:showBubbleSize val="0"/>
        </c:dLbls>
        <c:gapWidth val="150"/>
        <c:axId val="158229248"/>
        <c:axId val="158230784"/>
      </c:barChart>
      <c:catAx>
        <c:axId val="158229248"/>
        <c:scaling>
          <c:orientation val="minMax"/>
        </c:scaling>
        <c:delete val="0"/>
        <c:axPos val="b"/>
        <c:numFmt formatCode="General" sourceLinked="0"/>
        <c:majorTickMark val="out"/>
        <c:minorTickMark val="none"/>
        <c:tickLblPos val="nextTo"/>
        <c:txPr>
          <a:bodyPr/>
          <a:lstStyle/>
          <a:p>
            <a:pPr>
              <a:defRPr sz="1050"/>
            </a:pPr>
            <a:endParaRPr lang="en-US"/>
          </a:p>
        </c:txPr>
        <c:crossAx val="158230784"/>
        <c:crosses val="autoZero"/>
        <c:auto val="1"/>
        <c:lblAlgn val="ctr"/>
        <c:lblOffset val="100"/>
        <c:noMultiLvlLbl val="0"/>
      </c:catAx>
      <c:valAx>
        <c:axId val="158230784"/>
        <c:scaling>
          <c:orientation val="minMax"/>
        </c:scaling>
        <c:delete val="0"/>
        <c:axPos val="l"/>
        <c:title>
          <c:tx>
            <c:rich>
              <a:bodyPr rot="-5400000" vert="horz"/>
              <a:lstStyle/>
              <a:p>
                <a:pPr>
                  <a:defRPr sz="1100"/>
                </a:pPr>
                <a:r>
                  <a:rPr lang="en-US" sz="1100"/>
                  <a:t>Number</a:t>
                </a:r>
                <a:r>
                  <a:rPr lang="en-US" sz="1100" baseline="0"/>
                  <a:t> of days </a:t>
                </a:r>
                <a:endParaRPr lang="en-US" sz="1100"/>
              </a:p>
            </c:rich>
          </c:tx>
          <c:overlay val="0"/>
        </c:title>
        <c:numFmt formatCode="General" sourceLinked="1"/>
        <c:majorTickMark val="out"/>
        <c:minorTickMark val="none"/>
        <c:tickLblPos val="nextTo"/>
        <c:crossAx val="158229248"/>
        <c:crosses val="autoZero"/>
        <c:crossBetween val="between"/>
      </c:valAx>
    </c:plotArea>
    <c:plotVisOnly val="1"/>
    <c:dispBlanksAs val="gap"/>
    <c:showDLblsOverMax val="0"/>
  </c:chart>
  <c:spPr>
    <a:ln>
      <a:noFill/>
    </a:ln>
  </c:spPr>
  <c:txPr>
    <a:bodyPr/>
    <a:lstStyle/>
    <a:p>
      <a:pPr algn="just">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402341035164543E-2"/>
          <c:y val="8.8797904062165006E-2"/>
          <c:w val="0.79875138909719223"/>
          <c:h val="0.73871759027246586"/>
        </c:manualLayout>
      </c:layout>
      <c:barChart>
        <c:barDir val="col"/>
        <c:grouping val="clustered"/>
        <c:varyColors val="0"/>
        <c:ser>
          <c:idx val="0"/>
          <c:order val="0"/>
          <c:tx>
            <c:strRef>
              <c:f>Sheet9!$AB$18</c:f>
              <c:strCache>
                <c:ptCount val="1"/>
                <c:pt idx="0">
                  <c:v>Water use efficiency (kg m-3)</c:v>
                </c:pt>
              </c:strCache>
            </c:strRef>
          </c:tx>
          <c:spPr>
            <a:solidFill>
              <a:schemeClr val="accent5">
                <a:lumMod val="60000"/>
                <a:lumOff val="40000"/>
              </a:schemeClr>
            </a:solidFill>
            <a:ln>
              <a:solidFill>
                <a:schemeClr val="tx1"/>
              </a:solidFill>
            </a:ln>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22-458B-91C4-BC9A7EA6D947}"/>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22-458B-91C4-BC9A7EA6D947}"/>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22-458B-91C4-BC9A7EA6D947}"/>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22-458B-91C4-BC9A7EA6D94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Sheet9!$AA$19:$AA$22</c:f>
              <c:strCache>
                <c:ptCount val="4"/>
                <c:pt idx="0">
                  <c:v>75% ETc+ without mulch</c:v>
                </c:pt>
                <c:pt idx="1">
                  <c:v>75% ETc+ with mulch</c:v>
                </c:pt>
                <c:pt idx="2">
                  <c:v>100% ETc+ without mulch</c:v>
                </c:pt>
                <c:pt idx="3">
                  <c:v>100% ETc+ with mulch</c:v>
                </c:pt>
              </c:strCache>
            </c:strRef>
          </c:cat>
          <c:val>
            <c:numRef>
              <c:f>Sheet9!$AB$19:$AB$22</c:f>
              <c:numCache>
                <c:formatCode>General</c:formatCode>
                <c:ptCount val="4"/>
                <c:pt idx="0">
                  <c:v>4.74</c:v>
                </c:pt>
                <c:pt idx="1">
                  <c:v>6.28</c:v>
                </c:pt>
                <c:pt idx="2">
                  <c:v>4.26</c:v>
                </c:pt>
                <c:pt idx="3">
                  <c:v>5.54</c:v>
                </c:pt>
              </c:numCache>
            </c:numRef>
          </c:val>
          <c:extLst>
            <c:ext xmlns:c16="http://schemas.microsoft.com/office/drawing/2014/chart" uri="{C3380CC4-5D6E-409C-BE32-E72D297353CC}">
              <c16:uniqueId val="{00000004-7A22-458B-91C4-BC9A7EA6D947}"/>
            </c:ext>
          </c:extLst>
        </c:ser>
        <c:dLbls>
          <c:showLegendKey val="0"/>
          <c:showVal val="1"/>
          <c:showCatName val="0"/>
          <c:showSerName val="0"/>
          <c:showPercent val="0"/>
          <c:showBubbleSize val="0"/>
        </c:dLbls>
        <c:gapWidth val="150"/>
        <c:axId val="158263936"/>
        <c:axId val="158941568"/>
      </c:barChart>
      <c:catAx>
        <c:axId val="15826393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58941568"/>
        <c:crosses val="autoZero"/>
        <c:auto val="1"/>
        <c:lblAlgn val="ctr"/>
        <c:lblOffset val="100"/>
        <c:noMultiLvlLbl val="0"/>
      </c:catAx>
      <c:valAx>
        <c:axId val="158941568"/>
        <c:scaling>
          <c:orientation val="minMax"/>
        </c:scaling>
        <c:delete val="0"/>
        <c:axPos val="l"/>
        <c:title>
          <c:tx>
            <c:rich>
              <a:bodyPr rot="-5400000" vert="horz"/>
              <a:lstStyle/>
              <a:p>
                <a:pPr>
                  <a:defRPr sz="700"/>
                </a:pPr>
                <a:r>
                  <a:rPr lang="en-US" sz="1200" b="1" i="0" baseline="0"/>
                  <a:t>Water use efficiency (kg m</a:t>
                </a:r>
                <a:r>
                  <a:rPr lang="en-US" sz="1200" b="1" i="0" baseline="30000"/>
                  <a:t>-3</a:t>
                </a:r>
                <a:r>
                  <a:rPr lang="en-US" sz="1200" b="1" i="0" baseline="0"/>
                  <a:t>)</a:t>
                </a:r>
                <a:endParaRPr lang="en-US" sz="700"/>
              </a:p>
            </c:rich>
          </c:tx>
          <c:overlay val="0"/>
        </c:title>
        <c:numFmt formatCode="General" sourceLinked="1"/>
        <c:majorTickMark val="out"/>
        <c:minorTickMark val="none"/>
        <c:tickLblPos val="nextTo"/>
        <c:crossAx val="158263936"/>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Sheet9!$AB$25</c:f>
              <c:strCache>
                <c:ptCount val="1"/>
                <c:pt idx="0">
                  <c:v>Fertilizer use efficiency (kg kg-1)</c:v>
                </c:pt>
              </c:strCache>
            </c:strRef>
          </c:tx>
          <c:spPr>
            <a:solidFill>
              <a:schemeClr val="accent2">
                <a:lumMod val="60000"/>
                <a:lumOff val="40000"/>
              </a:schemeClr>
            </a:solidFill>
            <a:ln>
              <a:solidFill>
                <a:schemeClr val="tx1"/>
              </a:solidFill>
            </a:ln>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8D-406B-9780-E33F804B4E7D}"/>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8D-406B-9780-E33F804B4E7D}"/>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8D-406B-9780-E33F804B4E7D}"/>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8D-406B-9780-E33F804B4E7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Sheet9!$AA$26:$AA$29</c:f>
              <c:strCache>
                <c:ptCount val="4"/>
                <c:pt idx="0">
                  <c:v>75% ETc+ without mulch</c:v>
                </c:pt>
                <c:pt idx="1">
                  <c:v>75% ETc+ with mulch</c:v>
                </c:pt>
                <c:pt idx="2">
                  <c:v>100% ETc+ without mulch</c:v>
                </c:pt>
                <c:pt idx="3">
                  <c:v>100% ETc+ with mulch</c:v>
                </c:pt>
              </c:strCache>
            </c:strRef>
          </c:cat>
          <c:val>
            <c:numRef>
              <c:f>Sheet9!$AB$26:$AB$29</c:f>
              <c:numCache>
                <c:formatCode>General</c:formatCode>
                <c:ptCount val="4"/>
                <c:pt idx="0">
                  <c:v>57.11</c:v>
                </c:pt>
                <c:pt idx="1">
                  <c:v>75.78</c:v>
                </c:pt>
                <c:pt idx="2">
                  <c:v>68.56</c:v>
                </c:pt>
                <c:pt idx="3">
                  <c:v>89.11</c:v>
                </c:pt>
              </c:numCache>
            </c:numRef>
          </c:val>
          <c:extLst>
            <c:ext xmlns:c16="http://schemas.microsoft.com/office/drawing/2014/chart" uri="{C3380CC4-5D6E-409C-BE32-E72D297353CC}">
              <c16:uniqueId val="{00000004-F48D-406B-9780-E33F804B4E7D}"/>
            </c:ext>
          </c:extLst>
        </c:ser>
        <c:dLbls>
          <c:showLegendKey val="0"/>
          <c:showVal val="0"/>
          <c:showCatName val="0"/>
          <c:showSerName val="0"/>
          <c:showPercent val="0"/>
          <c:showBubbleSize val="0"/>
        </c:dLbls>
        <c:gapWidth val="150"/>
        <c:axId val="158957952"/>
        <c:axId val="158959488"/>
      </c:barChart>
      <c:catAx>
        <c:axId val="15895795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en-US"/>
          </a:p>
        </c:txPr>
        <c:crossAx val="158959488"/>
        <c:crosses val="autoZero"/>
        <c:auto val="1"/>
        <c:lblAlgn val="ctr"/>
        <c:lblOffset val="100"/>
        <c:noMultiLvlLbl val="0"/>
      </c:catAx>
      <c:valAx>
        <c:axId val="158959488"/>
        <c:scaling>
          <c:orientation val="minMax"/>
        </c:scaling>
        <c:delete val="0"/>
        <c:axPos val="l"/>
        <c:title>
          <c:tx>
            <c:rich>
              <a:bodyPr rot="-5400000" vert="horz"/>
              <a:lstStyle/>
              <a:p>
                <a:pPr>
                  <a:defRPr sz="600"/>
                </a:pPr>
                <a:r>
                  <a:rPr lang="en-US" sz="1100" b="1" i="0" baseline="0"/>
                  <a:t>Fertilizer use efficiency (kg kg</a:t>
                </a:r>
                <a:r>
                  <a:rPr lang="en-US" sz="1100" b="1" i="0" baseline="30000"/>
                  <a:t>-1</a:t>
                </a:r>
                <a:r>
                  <a:rPr lang="en-US" sz="1100" b="1" i="0" baseline="0"/>
                  <a:t>)</a:t>
                </a:r>
                <a:endParaRPr lang="en-US" sz="600"/>
              </a:p>
            </c:rich>
          </c:tx>
          <c:overlay val="0"/>
        </c:title>
        <c:numFmt formatCode="General" sourceLinked="1"/>
        <c:majorTickMark val="out"/>
        <c:minorTickMark val="none"/>
        <c:tickLblPos val="nextTo"/>
        <c:crossAx val="15895795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454</TotalTime>
  <Pages>20</Pages>
  <Words>5616</Words>
  <Characters>32015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SDI 1084</cp:lastModifiedBy>
  <cp:revision>26</cp:revision>
  <dcterms:created xsi:type="dcterms:W3CDTF">2025-10-07T09:42:00Z</dcterms:created>
  <dcterms:modified xsi:type="dcterms:W3CDTF">2025-10-29T09:53:00Z</dcterms:modified>
</cp:coreProperties>
</file>