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A5B0A" w14:textId="77777777" w:rsidR="006A338F" w:rsidRDefault="006A338F" w:rsidP="00DE0D81">
      <w:pPr>
        <w:spacing w:line="240" w:lineRule="auto"/>
        <w:jc w:val="right"/>
        <w:rPr>
          <w:rFonts w:ascii="Arial" w:hAnsi="Arial" w:cs="Arial"/>
          <w:color w:val="000000" w:themeColor="text1"/>
          <w:sz w:val="36"/>
          <w:szCs w:val="36"/>
        </w:rPr>
      </w:pPr>
      <w:r w:rsidRPr="006A338F">
        <w:rPr>
          <w:rFonts w:ascii="Arial" w:hAnsi="Arial" w:cs="Arial"/>
          <w:color w:val="000000" w:themeColor="text1"/>
          <w:sz w:val="36"/>
          <w:szCs w:val="36"/>
        </w:rPr>
        <w:t>Original Research Article</w:t>
      </w:r>
    </w:p>
    <w:p w14:paraId="05FFCE6D" w14:textId="77777777" w:rsidR="006A338F" w:rsidRDefault="006A338F" w:rsidP="00DE0D81">
      <w:pPr>
        <w:spacing w:line="240" w:lineRule="auto"/>
        <w:jc w:val="right"/>
        <w:rPr>
          <w:rFonts w:ascii="Arial" w:hAnsi="Arial" w:cs="Arial"/>
          <w:color w:val="000000" w:themeColor="text1"/>
          <w:sz w:val="36"/>
          <w:szCs w:val="36"/>
        </w:rPr>
      </w:pPr>
    </w:p>
    <w:p w14:paraId="28ECA3BB" w14:textId="4F839534" w:rsidR="00841435" w:rsidRPr="00F16A08" w:rsidRDefault="00841435" w:rsidP="00DE0D81">
      <w:pPr>
        <w:spacing w:line="240" w:lineRule="auto"/>
        <w:jc w:val="right"/>
        <w:rPr>
          <w:rFonts w:ascii="Arial" w:hAnsi="Arial" w:cs="Arial"/>
          <w:color w:val="000000" w:themeColor="text1"/>
          <w:sz w:val="36"/>
          <w:szCs w:val="36"/>
        </w:rPr>
      </w:pPr>
      <w:r w:rsidRPr="00F16A08">
        <w:rPr>
          <w:rFonts w:ascii="Arial" w:hAnsi="Arial" w:cs="Arial"/>
          <w:color w:val="000000" w:themeColor="text1"/>
          <w:sz w:val="36"/>
          <w:szCs w:val="36"/>
        </w:rPr>
        <w:t>Knowledge, Attitude, and Preventive Practices Toward Sexually Transmitted Infections Among College Students of Sikkim Manipal University: An Institutional</w:t>
      </w:r>
      <w:r w:rsidRPr="00F16A08">
        <w:rPr>
          <w:rFonts w:ascii="Cambria Math" w:hAnsi="Cambria Math" w:cs="Cambria Math"/>
          <w:color w:val="000000" w:themeColor="text1"/>
          <w:sz w:val="36"/>
          <w:szCs w:val="36"/>
        </w:rPr>
        <w:t>‑</w:t>
      </w:r>
      <w:r w:rsidRPr="00F16A08">
        <w:rPr>
          <w:rFonts w:ascii="Arial" w:hAnsi="Arial" w:cs="Arial"/>
          <w:color w:val="000000" w:themeColor="text1"/>
          <w:sz w:val="36"/>
          <w:szCs w:val="36"/>
        </w:rPr>
        <w:t>Based Cross</w:t>
      </w:r>
      <w:r w:rsidRPr="00F16A08">
        <w:rPr>
          <w:rFonts w:ascii="Cambria Math" w:hAnsi="Cambria Math" w:cs="Cambria Math"/>
          <w:color w:val="000000" w:themeColor="text1"/>
          <w:sz w:val="36"/>
          <w:szCs w:val="36"/>
        </w:rPr>
        <w:t>‑</w:t>
      </w:r>
      <w:r w:rsidRPr="00F16A08">
        <w:rPr>
          <w:rFonts w:ascii="Arial" w:hAnsi="Arial" w:cs="Arial"/>
          <w:color w:val="000000" w:themeColor="text1"/>
          <w:sz w:val="36"/>
          <w:szCs w:val="36"/>
        </w:rPr>
        <w:t>Sectional Study</w:t>
      </w:r>
    </w:p>
    <w:p w14:paraId="4B6EB6B4" w14:textId="77777777" w:rsidR="00DE0D81" w:rsidRPr="00F16A08" w:rsidRDefault="00DE0D81" w:rsidP="00DE0D81">
      <w:pPr>
        <w:spacing w:line="240" w:lineRule="auto"/>
        <w:jc w:val="center"/>
        <w:rPr>
          <w:rFonts w:ascii="Arial" w:hAnsi="Arial" w:cs="Arial"/>
          <w:b/>
          <w:bCs/>
          <w:color w:val="000000" w:themeColor="text1"/>
          <w:sz w:val="24"/>
          <w:szCs w:val="24"/>
        </w:rPr>
      </w:pPr>
    </w:p>
    <w:p w14:paraId="4B3E7351" w14:textId="77777777" w:rsidR="00841435" w:rsidRPr="00F16A08" w:rsidRDefault="00841435" w:rsidP="00DE0D81">
      <w:pPr>
        <w:spacing w:line="240" w:lineRule="auto"/>
        <w:jc w:val="both"/>
        <w:rPr>
          <w:rFonts w:ascii="Arial" w:hAnsi="Arial" w:cs="Arial"/>
          <w:color w:val="000000" w:themeColor="text1"/>
          <w:sz w:val="24"/>
          <w:szCs w:val="24"/>
        </w:rPr>
      </w:pPr>
    </w:p>
    <w:p w14:paraId="35DAB92D" w14:textId="43AE4EAC" w:rsidR="00841435" w:rsidRPr="00F16A08" w:rsidRDefault="00841435" w:rsidP="006D4A49">
      <w:pPr>
        <w:spacing w:line="240" w:lineRule="auto"/>
        <w:rPr>
          <w:rFonts w:ascii="Arial" w:hAnsi="Arial" w:cs="Arial"/>
          <w:b/>
          <w:bCs/>
          <w:color w:val="000000" w:themeColor="text1"/>
        </w:rPr>
      </w:pPr>
      <w:r w:rsidRPr="00F16A08">
        <w:rPr>
          <w:rFonts w:ascii="Arial" w:hAnsi="Arial" w:cs="Arial"/>
          <w:b/>
          <w:bCs/>
          <w:color w:val="000000" w:themeColor="text1"/>
        </w:rPr>
        <w:t>ABSTRACT</w:t>
      </w:r>
    </w:p>
    <w:p w14:paraId="668AB549" w14:textId="2AF309B0" w:rsidR="00841435" w:rsidRPr="00F16A08" w:rsidRDefault="00F34422" w:rsidP="00DE0D81">
      <w:pPr>
        <w:spacing w:line="240" w:lineRule="auto"/>
        <w:jc w:val="both"/>
        <w:rPr>
          <w:rFonts w:ascii="Arial" w:hAnsi="Arial" w:cs="Arial"/>
          <w:color w:val="000000" w:themeColor="text1"/>
          <w:sz w:val="20"/>
          <w:szCs w:val="20"/>
        </w:rPr>
      </w:pPr>
      <w:r w:rsidRPr="00F16A08">
        <w:rPr>
          <w:rFonts w:ascii="Arial" w:hAnsi="Arial" w:cs="Arial"/>
          <w:b/>
          <w:bCs/>
          <w:color w:val="000000" w:themeColor="text1"/>
          <w:sz w:val="20"/>
          <w:szCs w:val="20"/>
        </w:rPr>
        <w:t>Background &amp; Objective</w:t>
      </w:r>
      <w:r w:rsidR="00841435" w:rsidRPr="00F16A08">
        <w:rPr>
          <w:rFonts w:ascii="Arial" w:hAnsi="Arial" w:cs="Arial"/>
          <w:b/>
          <w:bCs/>
          <w:color w:val="000000" w:themeColor="text1"/>
          <w:sz w:val="20"/>
          <w:szCs w:val="20"/>
        </w:rPr>
        <w:t>:</w:t>
      </w:r>
      <w:r w:rsidR="00841435" w:rsidRPr="00F16A08">
        <w:rPr>
          <w:rFonts w:ascii="Arial" w:hAnsi="Arial" w:cs="Arial"/>
          <w:color w:val="000000" w:themeColor="text1"/>
          <w:sz w:val="20"/>
          <w:szCs w:val="20"/>
        </w:rPr>
        <w:t xml:space="preserve"> Sexually transmitted infections (STIs) remain a major global public health challenge, disproportionately affecting young adults, particularly university students. Limited awareness, negative attitudes, and inadequate preventive </w:t>
      </w:r>
      <w:proofErr w:type="spellStart"/>
      <w:r w:rsidR="00841435" w:rsidRPr="00F16A08">
        <w:rPr>
          <w:rFonts w:ascii="Arial" w:hAnsi="Arial" w:cs="Arial"/>
          <w:color w:val="000000" w:themeColor="text1"/>
          <w:sz w:val="20"/>
          <w:szCs w:val="20"/>
        </w:rPr>
        <w:t>behavior</w:t>
      </w:r>
      <w:proofErr w:type="spellEnd"/>
      <w:r w:rsidR="00841435" w:rsidRPr="00F16A08">
        <w:rPr>
          <w:rFonts w:ascii="Arial" w:hAnsi="Arial" w:cs="Arial"/>
          <w:color w:val="000000" w:themeColor="text1"/>
          <w:sz w:val="20"/>
          <w:szCs w:val="20"/>
        </w:rPr>
        <w:t xml:space="preserve"> heighten vulnerability. In Sikkim, insufficient region</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specific data limits effective planning of reproductive health interventions</w:t>
      </w:r>
      <w:r w:rsidRPr="00F16A08">
        <w:rPr>
          <w:rFonts w:ascii="Arial" w:hAnsi="Arial" w:cs="Arial"/>
          <w:color w:val="000000" w:themeColor="text1"/>
          <w:sz w:val="20"/>
          <w:szCs w:val="20"/>
        </w:rPr>
        <w:t xml:space="preserve">. The objective of the study is to </w:t>
      </w:r>
      <w:r w:rsidR="00841435" w:rsidRPr="00F16A08">
        <w:rPr>
          <w:rFonts w:ascii="Arial" w:hAnsi="Arial" w:cs="Arial"/>
          <w:color w:val="000000" w:themeColor="text1"/>
          <w:sz w:val="20"/>
          <w:szCs w:val="20"/>
        </w:rPr>
        <w:t xml:space="preserve">assess the knowledge, attitude, and preventive practices toward STIs among undergraduate college students of Sikkim Manipal University and to determine their association with demographic variables. </w:t>
      </w:r>
      <w:r w:rsidRPr="00F16A08">
        <w:rPr>
          <w:rFonts w:ascii="Arial" w:hAnsi="Arial" w:cs="Arial"/>
          <w:b/>
          <w:bCs/>
          <w:color w:val="000000" w:themeColor="text1"/>
          <w:sz w:val="20"/>
          <w:szCs w:val="20"/>
        </w:rPr>
        <w:t>Methodology</w:t>
      </w:r>
      <w:r w:rsidR="00841435" w:rsidRPr="00F16A08">
        <w:rPr>
          <w:rFonts w:ascii="Arial" w:hAnsi="Arial" w:cs="Arial"/>
          <w:color w:val="000000" w:themeColor="text1"/>
          <w:sz w:val="20"/>
          <w:szCs w:val="20"/>
        </w:rPr>
        <w:t>: A cross</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sectional study was conducted among 192 students using proportionate stratified and systematic sampling. Data were collected through validated structured questionnaires on socio</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demographics, STI knowledge, a 4</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point Likert attitude scale, and self</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reported preventive practices. Descriptive and inferential statistics including chi</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 xml:space="preserve">square test, Fisher’s exact test, and Pearson correlation were used. </w:t>
      </w:r>
      <w:r w:rsidR="00841435" w:rsidRPr="00F16A08">
        <w:rPr>
          <w:rFonts w:ascii="Arial" w:hAnsi="Arial" w:cs="Arial"/>
          <w:b/>
          <w:bCs/>
          <w:color w:val="000000" w:themeColor="text1"/>
          <w:sz w:val="20"/>
          <w:szCs w:val="20"/>
        </w:rPr>
        <w:t>Results:</w:t>
      </w:r>
      <w:r w:rsidR="00841435" w:rsidRPr="00F16A08">
        <w:rPr>
          <w:rFonts w:ascii="Arial" w:hAnsi="Arial" w:cs="Arial"/>
          <w:color w:val="000000" w:themeColor="text1"/>
          <w:sz w:val="20"/>
          <w:szCs w:val="20"/>
        </w:rPr>
        <w:t xml:space="preserve"> Most students were unmarried (99%), heterosexual (98.4%), and from nuclear families (68.2%). Overall, 76% had moderate knowledge, 21.4% inadequate knowledge, and only 2.6% adequate knowledge. Half of the students had </w:t>
      </w:r>
      <w:proofErr w:type="spellStart"/>
      <w:r w:rsidR="00841435" w:rsidRPr="00F16A08">
        <w:rPr>
          <w:rFonts w:ascii="Arial" w:hAnsi="Arial" w:cs="Arial"/>
          <w:color w:val="000000" w:themeColor="text1"/>
          <w:sz w:val="20"/>
          <w:szCs w:val="20"/>
        </w:rPr>
        <w:t>unfavorable</w:t>
      </w:r>
      <w:proofErr w:type="spellEnd"/>
      <w:r w:rsidR="00841435" w:rsidRPr="00F16A08">
        <w:rPr>
          <w:rFonts w:ascii="Arial" w:hAnsi="Arial" w:cs="Arial"/>
          <w:color w:val="000000" w:themeColor="text1"/>
          <w:sz w:val="20"/>
          <w:szCs w:val="20"/>
        </w:rPr>
        <w:t xml:space="preserve"> attitudes and the remaining had neutral attitudes; none displayed </w:t>
      </w:r>
      <w:proofErr w:type="spellStart"/>
      <w:r w:rsidR="00841435" w:rsidRPr="00F16A08">
        <w:rPr>
          <w:rFonts w:ascii="Arial" w:hAnsi="Arial" w:cs="Arial"/>
          <w:color w:val="000000" w:themeColor="text1"/>
          <w:sz w:val="20"/>
          <w:szCs w:val="20"/>
        </w:rPr>
        <w:t>favorable</w:t>
      </w:r>
      <w:proofErr w:type="spellEnd"/>
      <w:r w:rsidR="00841435" w:rsidRPr="00F16A08">
        <w:rPr>
          <w:rFonts w:ascii="Arial" w:hAnsi="Arial" w:cs="Arial"/>
          <w:color w:val="000000" w:themeColor="text1"/>
          <w:sz w:val="20"/>
          <w:szCs w:val="20"/>
        </w:rPr>
        <w:t xml:space="preserve"> attitudes. Preventive practices were poor among 49%, fair among 49%, and good among only 2%. Knowledge was weakly but significantly correlated with attitude (r = 0.213, p = 0.003). Significant associations were found between knowledge with age and family type; attitude with age, family type, and semester; and preventive practices with semester. </w:t>
      </w:r>
      <w:r w:rsidR="00841435" w:rsidRPr="00F16A08">
        <w:rPr>
          <w:rFonts w:ascii="Arial" w:hAnsi="Arial" w:cs="Arial"/>
          <w:b/>
          <w:bCs/>
          <w:color w:val="000000" w:themeColor="text1"/>
          <w:sz w:val="20"/>
          <w:szCs w:val="20"/>
        </w:rPr>
        <w:t xml:space="preserve">Conclusion: </w:t>
      </w:r>
      <w:r w:rsidR="00841435" w:rsidRPr="00F16A08">
        <w:rPr>
          <w:rFonts w:ascii="Arial" w:hAnsi="Arial" w:cs="Arial"/>
          <w:color w:val="000000" w:themeColor="text1"/>
          <w:sz w:val="20"/>
          <w:szCs w:val="20"/>
        </w:rPr>
        <w:t xml:space="preserve">Moderate knowledge did not translate into </w:t>
      </w:r>
      <w:proofErr w:type="spellStart"/>
      <w:r w:rsidR="00841435" w:rsidRPr="00F16A08">
        <w:rPr>
          <w:rFonts w:ascii="Arial" w:hAnsi="Arial" w:cs="Arial"/>
          <w:color w:val="000000" w:themeColor="text1"/>
          <w:sz w:val="20"/>
          <w:szCs w:val="20"/>
        </w:rPr>
        <w:t>favorable</w:t>
      </w:r>
      <w:proofErr w:type="spellEnd"/>
      <w:r w:rsidR="00841435" w:rsidRPr="00F16A08">
        <w:rPr>
          <w:rFonts w:ascii="Arial" w:hAnsi="Arial" w:cs="Arial"/>
          <w:color w:val="000000" w:themeColor="text1"/>
          <w:sz w:val="20"/>
          <w:szCs w:val="20"/>
        </w:rPr>
        <w:t xml:space="preserve"> attitudes or safe practices. There is an urgent need for comprehensive, culturally sensitive, university</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based STI education, peer</w:t>
      </w:r>
      <w:r w:rsidR="00841435" w:rsidRPr="00F16A08">
        <w:rPr>
          <w:rFonts w:ascii="Cambria Math" w:hAnsi="Cambria Math" w:cs="Cambria Math"/>
          <w:color w:val="000000" w:themeColor="text1"/>
          <w:sz w:val="20"/>
          <w:szCs w:val="20"/>
        </w:rPr>
        <w:t>‑</w:t>
      </w:r>
      <w:r w:rsidR="00841435" w:rsidRPr="00F16A08">
        <w:rPr>
          <w:rFonts w:ascii="Arial" w:hAnsi="Arial" w:cs="Arial"/>
          <w:color w:val="000000" w:themeColor="text1"/>
          <w:sz w:val="20"/>
          <w:szCs w:val="20"/>
        </w:rPr>
        <w:t xml:space="preserve">led interventions, and expanded access to preventive services. Sexually Transmitted Diseases, Sexual </w:t>
      </w:r>
      <w:proofErr w:type="spellStart"/>
      <w:r w:rsidR="00841435" w:rsidRPr="00F16A08">
        <w:rPr>
          <w:rFonts w:ascii="Arial" w:hAnsi="Arial" w:cs="Arial"/>
          <w:color w:val="000000" w:themeColor="text1"/>
          <w:sz w:val="20"/>
          <w:szCs w:val="20"/>
        </w:rPr>
        <w:t>Behavior</w:t>
      </w:r>
      <w:proofErr w:type="spellEnd"/>
      <w:r w:rsidR="00841435" w:rsidRPr="00F16A08">
        <w:rPr>
          <w:rFonts w:ascii="Arial" w:hAnsi="Arial" w:cs="Arial"/>
          <w:color w:val="000000" w:themeColor="text1"/>
          <w:sz w:val="20"/>
          <w:szCs w:val="20"/>
        </w:rPr>
        <w:t>, Students, Attitude, Preventive Health Services</w:t>
      </w:r>
      <w:r w:rsidR="00792B35" w:rsidRPr="00F16A08">
        <w:rPr>
          <w:rFonts w:ascii="Arial" w:hAnsi="Arial" w:cs="Arial"/>
          <w:color w:val="000000" w:themeColor="text1"/>
          <w:sz w:val="20"/>
          <w:szCs w:val="20"/>
        </w:rPr>
        <w:t>.</w:t>
      </w:r>
    </w:p>
    <w:p w14:paraId="235B2363" w14:textId="77777777" w:rsidR="00792B35" w:rsidRPr="00F16A08" w:rsidRDefault="00792B35" w:rsidP="00DE0D81">
      <w:pPr>
        <w:spacing w:line="240" w:lineRule="auto"/>
        <w:jc w:val="both"/>
        <w:rPr>
          <w:rFonts w:ascii="Arial" w:hAnsi="Arial" w:cs="Arial"/>
          <w:color w:val="000000" w:themeColor="text1"/>
          <w:sz w:val="20"/>
          <w:szCs w:val="20"/>
        </w:rPr>
      </w:pPr>
    </w:p>
    <w:p w14:paraId="1FE12073" w14:textId="5370D6F3" w:rsidR="00841435" w:rsidRPr="00F16A08" w:rsidRDefault="006D4A49" w:rsidP="00DE0D81">
      <w:pPr>
        <w:spacing w:line="240" w:lineRule="auto"/>
        <w:jc w:val="both"/>
        <w:rPr>
          <w:rFonts w:ascii="Arial" w:hAnsi="Arial" w:cs="Arial"/>
          <w:i/>
          <w:iCs/>
          <w:color w:val="000000" w:themeColor="text1"/>
          <w:sz w:val="20"/>
          <w:szCs w:val="20"/>
        </w:rPr>
      </w:pPr>
      <w:r w:rsidRPr="00F16A08">
        <w:rPr>
          <w:rFonts w:ascii="Arial" w:hAnsi="Arial" w:cs="Arial"/>
          <w:i/>
          <w:iCs/>
          <w:color w:val="000000" w:themeColor="text1"/>
          <w:sz w:val="20"/>
          <w:szCs w:val="20"/>
        </w:rPr>
        <w:t xml:space="preserve">Keywords: Sexually Transmitted Diseases, Health Knowledge, Sexual </w:t>
      </w:r>
      <w:proofErr w:type="spellStart"/>
      <w:r w:rsidRPr="00F16A08">
        <w:rPr>
          <w:rFonts w:ascii="Arial" w:hAnsi="Arial" w:cs="Arial"/>
          <w:i/>
          <w:iCs/>
          <w:color w:val="000000" w:themeColor="text1"/>
          <w:sz w:val="20"/>
          <w:szCs w:val="20"/>
        </w:rPr>
        <w:t>Behavior</w:t>
      </w:r>
      <w:proofErr w:type="spellEnd"/>
      <w:r w:rsidRPr="00F16A08">
        <w:rPr>
          <w:rFonts w:ascii="Arial" w:hAnsi="Arial" w:cs="Arial"/>
          <w:i/>
          <w:iCs/>
          <w:color w:val="000000" w:themeColor="text1"/>
          <w:sz w:val="20"/>
          <w:szCs w:val="20"/>
        </w:rPr>
        <w:t>, Preventive Health Services, Cross-Sectional Studies, Young Adult</w:t>
      </w:r>
    </w:p>
    <w:p w14:paraId="513CA7EE" w14:textId="77777777" w:rsidR="00A87550" w:rsidRPr="00F16A08" w:rsidRDefault="00A87550" w:rsidP="00DE0D81">
      <w:pPr>
        <w:spacing w:line="240" w:lineRule="auto"/>
        <w:jc w:val="both"/>
        <w:rPr>
          <w:rFonts w:ascii="Arial" w:hAnsi="Arial" w:cs="Arial"/>
          <w:b/>
          <w:bCs/>
          <w:color w:val="000000" w:themeColor="text1"/>
        </w:rPr>
      </w:pPr>
      <w:r w:rsidRPr="00F16A08">
        <w:rPr>
          <w:rFonts w:ascii="Arial" w:hAnsi="Arial" w:cs="Arial"/>
          <w:b/>
          <w:bCs/>
          <w:color w:val="000000" w:themeColor="text1"/>
        </w:rPr>
        <w:t xml:space="preserve">1. INTRODUCTION </w:t>
      </w:r>
    </w:p>
    <w:p w14:paraId="0E79DDC3" w14:textId="0F69D6F8"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Sexually transmitted infections (STIs) continue to be a pressing global public health concern, affecting millions annually and placing a disproportionate burden on young people aged 15–24 years. According to the World Health Organization, more than one million STIs are acquired every day worldwide, with adolescents and young adults contributing significantly to this burden</w:t>
      </w:r>
      <w:r w:rsidR="00403E5D"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[1,2]</w:t>
      </w:r>
      <w:r w:rsidRPr="00F16A08">
        <w:rPr>
          <w:rFonts w:ascii="Arial" w:hAnsi="Arial" w:cs="Arial"/>
          <w:color w:val="000000" w:themeColor="text1"/>
          <w:sz w:val="20"/>
          <w:szCs w:val="20"/>
        </w:rPr>
        <w:t xml:space="preserve"> University students fall within this vulnerable age group, and their increasing autonomy, psychosocial transition, and experimentation heighten their susceptibility to risky sexual </w:t>
      </w:r>
      <w:proofErr w:type="spellStart"/>
      <w:proofErr w:type="gramStart"/>
      <w:r w:rsidRPr="00F16A08">
        <w:rPr>
          <w:rFonts w:ascii="Arial" w:hAnsi="Arial" w:cs="Arial"/>
          <w:color w:val="000000" w:themeColor="text1"/>
          <w:sz w:val="20"/>
          <w:szCs w:val="20"/>
        </w:rPr>
        <w:t>behaviors</w:t>
      </w:r>
      <w:proofErr w:type="spellEnd"/>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vertAlign w:val="superscript"/>
        </w:rPr>
        <w:t>[</w:t>
      </w:r>
      <w:proofErr w:type="gramEnd"/>
      <w:r w:rsidRPr="00F16A08">
        <w:rPr>
          <w:rFonts w:ascii="Arial" w:hAnsi="Arial" w:cs="Arial"/>
          <w:color w:val="000000" w:themeColor="text1"/>
          <w:sz w:val="20"/>
          <w:szCs w:val="20"/>
          <w:vertAlign w:val="superscript"/>
        </w:rPr>
        <w:t>3,4]</w:t>
      </w:r>
    </w:p>
    <w:p w14:paraId="6EA5AE64" w14:textId="6DCB2FAE"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STIs pose serious consequences such as infertility, chronic pelvic pain, ectopic pregnancy, congenital infections, and increased HIV </w:t>
      </w:r>
      <w:r w:rsidR="00403E5D" w:rsidRPr="00F16A08">
        <w:rPr>
          <w:rFonts w:ascii="Arial" w:hAnsi="Arial" w:cs="Arial"/>
          <w:color w:val="000000" w:themeColor="text1"/>
          <w:sz w:val="20"/>
          <w:szCs w:val="20"/>
        </w:rPr>
        <w:t>acquisition.</w:t>
      </w:r>
      <w:r w:rsidR="00403E5D" w:rsidRPr="00F16A08">
        <w:rPr>
          <w:rFonts w:ascii="Arial" w:hAnsi="Arial" w:cs="Arial"/>
          <w:color w:val="000000" w:themeColor="text1"/>
          <w:sz w:val="20"/>
          <w:szCs w:val="20"/>
          <w:vertAlign w:val="superscript"/>
        </w:rPr>
        <w:t xml:space="preserve"> [</w:t>
      </w:r>
      <w:r w:rsidRPr="00F16A08">
        <w:rPr>
          <w:rFonts w:ascii="Arial" w:hAnsi="Arial" w:cs="Arial"/>
          <w:color w:val="000000" w:themeColor="text1"/>
          <w:sz w:val="20"/>
          <w:szCs w:val="20"/>
          <w:vertAlign w:val="superscript"/>
        </w:rPr>
        <w:t>1,2,5]</w:t>
      </w:r>
      <w:r w:rsidRPr="00F16A08">
        <w:rPr>
          <w:rFonts w:ascii="Arial" w:hAnsi="Arial" w:cs="Arial"/>
          <w:color w:val="000000" w:themeColor="text1"/>
          <w:sz w:val="20"/>
          <w:szCs w:val="20"/>
        </w:rPr>
        <w:t>. Despite global advancements in prevention and surveillance, knowledge and awareness gaps, stigma, and limited access to screening services continue to affect university-aged populations</w:t>
      </w:r>
      <w:r w:rsidR="00403E5D"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[3–7]</w:t>
      </w:r>
      <w:r w:rsidRPr="00F16A08">
        <w:rPr>
          <w:rFonts w:ascii="Arial" w:hAnsi="Arial" w:cs="Arial"/>
          <w:color w:val="000000" w:themeColor="text1"/>
          <w:sz w:val="20"/>
          <w:szCs w:val="20"/>
        </w:rPr>
        <w:t xml:space="preserve"> In many countries, including India, sexuality remains a culturally sensitive topic; social taboos often restrict meaningful discussions on sexual health, contributing to misinformation and low risk perception among youth</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[8–12]</w:t>
      </w:r>
    </w:p>
    <w:p w14:paraId="1F509C61" w14:textId="1787861F"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Findings from NFHS and regional research indicate an increase in sexual risk </w:t>
      </w:r>
      <w:proofErr w:type="spellStart"/>
      <w:r w:rsidRPr="00F16A08">
        <w:rPr>
          <w:rFonts w:ascii="Arial" w:hAnsi="Arial" w:cs="Arial"/>
          <w:color w:val="000000" w:themeColor="text1"/>
          <w:sz w:val="20"/>
          <w:szCs w:val="20"/>
        </w:rPr>
        <w:t>behaviors</w:t>
      </w:r>
      <w:proofErr w:type="spellEnd"/>
      <w:r w:rsidRPr="00F16A08">
        <w:rPr>
          <w:rFonts w:ascii="Arial" w:hAnsi="Arial" w:cs="Arial"/>
          <w:color w:val="000000" w:themeColor="text1"/>
          <w:sz w:val="20"/>
          <w:szCs w:val="20"/>
        </w:rPr>
        <w:t xml:space="preserve"> and inadequate exposure to sexual education</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[11–13]</w:t>
      </w:r>
      <w:r w:rsidRPr="00F16A08">
        <w:rPr>
          <w:rFonts w:ascii="Arial" w:hAnsi="Arial" w:cs="Arial"/>
          <w:color w:val="000000" w:themeColor="text1"/>
          <w:sz w:val="20"/>
          <w:szCs w:val="20"/>
        </w:rPr>
        <w:t xml:space="preserve"> Evidence from Indian, Bhutanese, Iranian, and African university settings </w:t>
      </w:r>
      <w:r w:rsidRPr="00F16A08">
        <w:rPr>
          <w:rFonts w:ascii="Arial" w:hAnsi="Arial" w:cs="Arial"/>
          <w:color w:val="000000" w:themeColor="text1"/>
          <w:sz w:val="20"/>
          <w:szCs w:val="20"/>
        </w:rPr>
        <w:lastRenderedPageBreak/>
        <w:t xml:space="preserve">shows that even when students possess moderate STI knowledge, it frequently does not translate into positive attitudes or safer </w:t>
      </w:r>
      <w:proofErr w:type="spellStart"/>
      <w:r w:rsidRPr="00F16A08">
        <w:rPr>
          <w:rFonts w:ascii="Arial" w:hAnsi="Arial" w:cs="Arial"/>
          <w:color w:val="000000" w:themeColor="text1"/>
          <w:sz w:val="20"/>
          <w:szCs w:val="20"/>
        </w:rPr>
        <w:t>behaviors</w:t>
      </w:r>
      <w:proofErr w:type="spellEnd"/>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[3–5,14–16]</w:t>
      </w:r>
      <w:r w:rsidRPr="00F16A08">
        <w:rPr>
          <w:rFonts w:ascii="Arial" w:hAnsi="Arial" w:cs="Arial"/>
          <w:color w:val="000000" w:themeColor="text1"/>
          <w:sz w:val="20"/>
          <w:szCs w:val="20"/>
        </w:rPr>
        <w:t xml:space="preserve"> This knowledge–practice gap has been linked to cultural constraints, fear of judgment, limited sexual health communication, and misperceptions about personal vulnerability</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[6,7,9,11,17]</w:t>
      </w:r>
    </w:p>
    <w:p w14:paraId="7F70C35C" w14:textId="748458FD"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Sikkim, with its unique socio-cultural diversity, lacks sufficient region-specific research on sexual health awareness among youth. Available findings suggest that although the state performs well on general health indicators, young people continue to exhibit misconceptions, low help-seeking </w:t>
      </w:r>
      <w:proofErr w:type="spellStart"/>
      <w:r w:rsidRPr="00F16A08">
        <w:rPr>
          <w:rFonts w:ascii="Arial" w:hAnsi="Arial" w:cs="Arial"/>
          <w:color w:val="000000" w:themeColor="text1"/>
          <w:sz w:val="20"/>
          <w:szCs w:val="20"/>
        </w:rPr>
        <w:t>behavior</w:t>
      </w:r>
      <w:proofErr w:type="spellEnd"/>
      <w:r w:rsidRPr="00F16A08">
        <w:rPr>
          <w:rFonts w:ascii="Arial" w:hAnsi="Arial" w:cs="Arial"/>
          <w:color w:val="000000" w:themeColor="text1"/>
          <w:sz w:val="20"/>
          <w:szCs w:val="20"/>
        </w:rPr>
        <w:t>, and minimal engagement in preventive practices</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[11,12,18]</w:t>
      </w:r>
      <w:r w:rsidRPr="00F16A08">
        <w:rPr>
          <w:rFonts w:ascii="Arial" w:hAnsi="Arial" w:cs="Arial"/>
          <w:color w:val="000000" w:themeColor="text1"/>
          <w:sz w:val="20"/>
          <w:szCs w:val="20"/>
        </w:rPr>
        <w:t xml:space="preserve"> Digital media</w:t>
      </w:r>
      <w:r w:rsidR="00403E5D"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rPr>
        <w:t xml:space="preserve">though </w:t>
      </w:r>
      <w:r w:rsidR="00403E5D" w:rsidRPr="00F16A08">
        <w:rPr>
          <w:rFonts w:ascii="Arial" w:hAnsi="Arial" w:cs="Arial"/>
          <w:color w:val="000000" w:themeColor="text1"/>
          <w:sz w:val="20"/>
          <w:szCs w:val="20"/>
        </w:rPr>
        <w:t>accessible, often</w:t>
      </w:r>
      <w:r w:rsidRPr="00F16A08">
        <w:rPr>
          <w:rFonts w:ascii="Arial" w:hAnsi="Arial" w:cs="Arial"/>
          <w:color w:val="000000" w:themeColor="text1"/>
          <w:sz w:val="20"/>
          <w:szCs w:val="20"/>
        </w:rPr>
        <w:t xml:space="preserve"> contributes to misinformation, further complicating students’ understanding of STIs</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[18]</w:t>
      </w:r>
    </w:p>
    <w:p w14:paraId="3ABFE5AA" w14:textId="46648F5F"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University students, particularly those from non-medical backgrounds, may lack structured sexual health education. Studies globally and regionally highlight that despite moderate awareness, knowledge is often fragmented, attitudes remain neutral or </w:t>
      </w:r>
      <w:r w:rsidR="00403E5D" w:rsidRPr="00F16A08">
        <w:rPr>
          <w:rFonts w:ascii="Arial" w:hAnsi="Arial" w:cs="Arial"/>
          <w:color w:val="000000" w:themeColor="text1"/>
          <w:sz w:val="20"/>
          <w:szCs w:val="20"/>
        </w:rPr>
        <w:t>unfavourable</w:t>
      </w:r>
      <w:r w:rsidRPr="00F16A08">
        <w:rPr>
          <w:rFonts w:ascii="Arial" w:hAnsi="Arial" w:cs="Arial"/>
          <w:color w:val="000000" w:themeColor="text1"/>
          <w:sz w:val="20"/>
          <w:szCs w:val="20"/>
        </w:rPr>
        <w:t>, and preventive practices such as condom use, STI screening, and health check-ups remain low</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[3–5,14–16,19–22]</w:t>
      </w:r>
      <w:r w:rsidRPr="00F16A08">
        <w:rPr>
          <w:rFonts w:ascii="Arial" w:hAnsi="Arial" w:cs="Arial"/>
          <w:color w:val="000000" w:themeColor="text1"/>
          <w:sz w:val="20"/>
          <w:szCs w:val="20"/>
        </w:rPr>
        <w:t xml:space="preserve"> Factors such as age, family type, socio-cultural background, peer influence, and academic level can further influence STI-related perceptions and </w:t>
      </w:r>
      <w:proofErr w:type="spellStart"/>
      <w:r w:rsidRPr="00F16A08">
        <w:rPr>
          <w:rFonts w:ascii="Arial" w:hAnsi="Arial" w:cs="Arial"/>
          <w:color w:val="000000" w:themeColor="text1"/>
          <w:sz w:val="20"/>
          <w:szCs w:val="20"/>
        </w:rPr>
        <w:t>behavior</w:t>
      </w:r>
      <w:proofErr w:type="spellEnd"/>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[11,17,21–24]</w:t>
      </w:r>
    </w:p>
    <w:p w14:paraId="5031D259" w14:textId="2CD67234"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Given the limited STI-related data from Sikkim, especially among non-medical students, there is a pressing need to understand their knowledge, attitudes, and preventive practices. These insights are crucial for designing evidence-based, culturally sensitive interventions tailored to young adults</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[3,4,11,25]</w:t>
      </w:r>
    </w:p>
    <w:p w14:paraId="577A1490" w14:textId="16A98C30" w:rsidR="00841435" w:rsidRPr="00F16A08" w:rsidRDefault="009660F4" w:rsidP="00DE0D81">
      <w:pPr>
        <w:spacing w:line="240" w:lineRule="auto"/>
        <w:jc w:val="both"/>
        <w:rPr>
          <w:rFonts w:ascii="Arial" w:hAnsi="Arial" w:cs="Arial"/>
          <w:b/>
          <w:bCs/>
          <w:color w:val="000000" w:themeColor="text1"/>
          <w:sz w:val="20"/>
          <w:szCs w:val="20"/>
        </w:rPr>
      </w:pPr>
      <w:r w:rsidRPr="00F16A08">
        <w:rPr>
          <w:rFonts w:ascii="Arial" w:hAnsi="Arial" w:cs="Arial"/>
          <w:color w:val="000000" w:themeColor="text1"/>
          <w:sz w:val="20"/>
          <w:szCs w:val="20"/>
        </w:rPr>
        <w:t>Therefore, the present study aims to assess the knowledge, attitude, and preventive practices related to STIs among undergraduate non-medical students of Sikkim Manipal University and identify socio-demographic associations that can guide future youth-</w:t>
      </w:r>
      <w:proofErr w:type="spellStart"/>
      <w:r w:rsidRPr="00F16A08">
        <w:rPr>
          <w:rFonts w:ascii="Arial" w:hAnsi="Arial" w:cs="Arial"/>
          <w:color w:val="000000" w:themeColor="text1"/>
          <w:sz w:val="20"/>
          <w:szCs w:val="20"/>
        </w:rPr>
        <w:t>centered</w:t>
      </w:r>
      <w:proofErr w:type="spellEnd"/>
      <w:r w:rsidRPr="00F16A08">
        <w:rPr>
          <w:rFonts w:ascii="Arial" w:hAnsi="Arial" w:cs="Arial"/>
          <w:color w:val="000000" w:themeColor="text1"/>
          <w:sz w:val="20"/>
          <w:szCs w:val="20"/>
        </w:rPr>
        <w:t xml:space="preserve"> sexual health strategies</w:t>
      </w:r>
      <w:r w:rsidR="00403E5D" w:rsidRP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[3–5,14–17,25]</w:t>
      </w:r>
    </w:p>
    <w:p w14:paraId="6E1F3732" w14:textId="77777777" w:rsidR="009660F4" w:rsidRPr="00F16A08" w:rsidRDefault="009660F4" w:rsidP="00DE0D81">
      <w:pPr>
        <w:spacing w:line="240" w:lineRule="auto"/>
        <w:rPr>
          <w:rFonts w:ascii="Arial" w:hAnsi="Arial" w:cs="Arial"/>
          <w:b/>
          <w:bCs/>
          <w:color w:val="000000" w:themeColor="text1"/>
          <w:sz w:val="20"/>
          <w:szCs w:val="20"/>
        </w:rPr>
      </w:pPr>
    </w:p>
    <w:p w14:paraId="67208944" w14:textId="32AD2894" w:rsidR="00A87550" w:rsidRPr="00F16A08" w:rsidRDefault="00A87550" w:rsidP="00DE0D81">
      <w:pPr>
        <w:spacing w:line="240" w:lineRule="auto"/>
        <w:jc w:val="both"/>
        <w:rPr>
          <w:rFonts w:ascii="Arial" w:hAnsi="Arial" w:cs="Arial"/>
          <w:b/>
          <w:bCs/>
          <w:color w:val="000000" w:themeColor="text1"/>
        </w:rPr>
      </w:pPr>
      <w:r w:rsidRPr="00F16A08">
        <w:rPr>
          <w:rFonts w:ascii="Arial" w:hAnsi="Arial" w:cs="Arial"/>
          <w:b/>
          <w:bCs/>
          <w:color w:val="000000" w:themeColor="text1"/>
        </w:rPr>
        <w:t>2. MATERIAL</w:t>
      </w:r>
      <w:r w:rsidR="00F34422" w:rsidRPr="00F16A08">
        <w:rPr>
          <w:rFonts w:ascii="Arial" w:hAnsi="Arial" w:cs="Arial"/>
          <w:b/>
          <w:bCs/>
          <w:color w:val="000000" w:themeColor="text1"/>
        </w:rPr>
        <w:t>S</w:t>
      </w:r>
      <w:r w:rsidRPr="00F16A08">
        <w:rPr>
          <w:rFonts w:ascii="Arial" w:hAnsi="Arial" w:cs="Arial"/>
          <w:b/>
          <w:bCs/>
          <w:color w:val="000000" w:themeColor="text1"/>
        </w:rPr>
        <w:t xml:space="preserve"> AND METHODS</w:t>
      </w:r>
    </w:p>
    <w:p w14:paraId="4BB11893" w14:textId="0F9F2379"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A quantitative research approach with a descriptive cross-sectional design was adopted to assess the knowledge, attitude, and preventive practices related to sexually transmitted infections (STIs) among undergraduate students of Sikkim Manipal University. The study was conducted in the Faculty of Humanities, Social Sciences, and Liberal Arts located at the </w:t>
      </w:r>
      <w:proofErr w:type="spellStart"/>
      <w:r w:rsidRPr="00F16A08">
        <w:rPr>
          <w:rFonts w:ascii="Arial" w:hAnsi="Arial" w:cs="Arial"/>
          <w:color w:val="000000" w:themeColor="text1"/>
          <w:sz w:val="20"/>
          <w:szCs w:val="20"/>
        </w:rPr>
        <w:t>Tadong</w:t>
      </w:r>
      <w:proofErr w:type="spellEnd"/>
      <w:r w:rsidRPr="00F16A08">
        <w:rPr>
          <w:rFonts w:ascii="Arial" w:hAnsi="Arial" w:cs="Arial"/>
          <w:color w:val="000000" w:themeColor="text1"/>
          <w:sz w:val="20"/>
          <w:szCs w:val="20"/>
        </w:rPr>
        <w:t xml:space="preserve"> campus of the university. This setting was chosen because it consists exclusively of non-medical students who represent a key demographic that may engage in risk-taking </w:t>
      </w:r>
      <w:proofErr w:type="spellStart"/>
      <w:r w:rsidRPr="00F16A08">
        <w:rPr>
          <w:rFonts w:ascii="Arial" w:hAnsi="Arial" w:cs="Arial"/>
          <w:color w:val="000000" w:themeColor="text1"/>
          <w:sz w:val="20"/>
          <w:szCs w:val="20"/>
        </w:rPr>
        <w:t>behaviors</w:t>
      </w:r>
      <w:proofErr w:type="spellEnd"/>
      <w:r w:rsidRPr="00F16A08">
        <w:rPr>
          <w:rFonts w:ascii="Arial" w:hAnsi="Arial" w:cs="Arial"/>
          <w:color w:val="000000" w:themeColor="text1"/>
          <w:sz w:val="20"/>
          <w:szCs w:val="20"/>
        </w:rPr>
        <w:t>, yet often lacks structured exposure to sexual and reproductive health education. The target population comprised all undergraduate students enrolled in various academic programs under the selected faculty. Students aged 18 years and above, present during data collection, and willing to give written informed consent were included, whereas those unwilling to participate were excluded.</w:t>
      </w:r>
    </w:p>
    <w:p w14:paraId="7065B859" w14:textId="77777777"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A sample size of 192 students was determined using the single population proportion formula, assuming 50% prevalence of knowledge, attitude, and preventive practices toward STIs, with a 95% confidence level and 5% margin of error. The initial calculated sample size of 384 was adjusted using a finite population correction formula due to the total population being less than 10,000, yielding a required sample of 175. After adding a 10% non-response rate, the final sample size was set at 192 respondents. Proportionate stratified sampling based on gender (male and female strata) was first used to maintain representativeness, followed by systematic random sampling within each stratum. The complete student attendance list, obtained from the faculty coordinator, was used as the sampling frame. The sampling interval (k-value) was calculated separately for males and females by dividing the total number of students in each stratum by the required sample from that stratum. After random selection of the first participant using a lottery method, every kth student was selected until the required sample size was achieved. This combination of stratification and systematic selection minimized sampling bias and ensured appropriate representation of both genders.</w:t>
      </w:r>
    </w:p>
    <w:p w14:paraId="32D6613C" w14:textId="77777777"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Data were collected using structured self-administered questionnaires. The instruments included three tools. Tool I consisted of two sections: Section A captured socio-demographic characteristics such as age, gender, marital status, religion, type of family, residence, semester, and socioeconomic details; Section B assessed knowledge on STIs using a structured knowledge questionnaire covering causes, symptoms, modes of transmission, risk factors, preventive measures, and complications. Tool II comprised a four-point Likert attitude scale designed to measure students’ attitudes toward premarital sex, stigma associated with STIs, willingness to seek treatment, and openness to discussing sexual health with peers, family, or professionals. Tool III was a structured questionnaire assessing preventive practices such as condom use, frequency of health check-ups, STI testing </w:t>
      </w:r>
      <w:proofErr w:type="spellStart"/>
      <w:r w:rsidRPr="00F16A08">
        <w:rPr>
          <w:rFonts w:ascii="Arial" w:hAnsi="Arial" w:cs="Arial"/>
          <w:color w:val="000000" w:themeColor="text1"/>
          <w:sz w:val="20"/>
          <w:szCs w:val="20"/>
        </w:rPr>
        <w:t>behaviors</w:t>
      </w:r>
      <w:proofErr w:type="spellEnd"/>
      <w:r w:rsidRPr="00F16A08">
        <w:rPr>
          <w:rFonts w:ascii="Arial" w:hAnsi="Arial" w:cs="Arial"/>
          <w:color w:val="000000" w:themeColor="text1"/>
          <w:sz w:val="20"/>
          <w:szCs w:val="20"/>
        </w:rPr>
        <w:t>, and participation in sexual health awareness programs. All tools were designed in English, as it is the medium of instruction at the university.</w:t>
      </w:r>
    </w:p>
    <w:p w14:paraId="393F8C48" w14:textId="77777777"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lastRenderedPageBreak/>
        <w:t>Content validity of the tools was established through expert review by a panel of three specialists in community health nursing and reproductive health. Suggestions were incorporated to improve clarity, relevance, and comprehension. The reliability of the structured knowledge questionnaire and attitude scale was tested using Cronbach’s alpha, which demonstrated acceptable internal consistency for both instruments. A pilot study was conducted among 10% of the sample (students from SMIT) to evaluate the feasibility and clarity of the tools and procedures. The results confirmed that the study design was feasible, and no major modifications were required.</w:t>
      </w:r>
    </w:p>
    <w:p w14:paraId="719DD03B" w14:textId="77777777"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Data collection took place in classroom settings after obtaining permission from the institutional administration and faculty members. Students were briefed about the purpose of the study, assured of confidentiality, and informed that participation was voluntary and refusal would not result in any academic penalty. Each respondent was allowed sufficient time to complete the questionnaire in a comfortable and distraction-free environment. Completed questionnaires were collected immediately to maintain data integrity and reduce the risk of item omission.</w:t>
      </w:r>
    </w:p>
    <w:p w14:paraId="6252C35F" w14:textId="77777777" w:rsidR="000049AB"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Ethical approval for the study was obtained from the Departmental Research Committee (DRC) of Sikkim Manipal College of Nursing (Ref. No. DRC/2024-09). All ethical standards for human research were strictly adhered to. Written informed consent was obtained from each participant, and anonymity was ensured by excluding personal identifiers from the questionnaires. The data were stored securely and used solely for research purposes. Participants were informed of their right to withdraw from the study at any stage without any consequence.</w:t>
      </w:r>
    </w:p>
    <w:p w14:paraId="3AF87BDC" w14:textId="14858BD9" w:rsidR="00841435" w:rsidRPr="00F16A08" w:rsidRDefault="00DE61A6"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Data were entered into Microsoft Excel and </w:t>
      </w:r>
      <w:proofErr w:type="spellStart"/>
      <w:r w:rsidRPr="00F16A08">
        <w:rPr>
          <w:rFonts w:ascii="Arial" w:hAnsi="Arial" w:cs="Arial"/>
          <w:color w:val="000000" w:themeColor="text1"/>
          <w:sz w:val="20"/>
          <w:szCs w:val="20"/>
        </w:rPr>
        <w:t>analyzed</w:t>
      </w:r>
      <w:proofErr w:type="spellEnd"/>
      <w:r w:rsidRPr="00F16A08">
        <w:rPr>
          <w:rFonts w:ascii="Arial" w:hAnsi="Arial" w:cs="Arial"/>
          <w:color w:val="000000" w:themeColor="text1"/>
          <w:sz w:val="20"/>
          <w:szCs w:val="20"/>
        </w:rPr>
        <w:t xml:space="preserve"> using both descriptive and inferential statistics. Descriptive statistics, including frequencies, percentages, means, and standard deviations, were used to describe socio-demographic characteristics and to classify participants’ knowledge, attitude, and preventive practice levels. The scoring was categorized into inadequate, moderate, and adequate knowledge; </w:t>
      </w:r>
      <w:proofErr w:type="spellStart"/>
      <w:r w:rsidRPr="00F16A08">
        <w:rPr>
          <w:rFonts w:ascii="Arial" w:hAnsi="Arial" w:cs="Arial"/>
          <w:color w:val="000000" w:themeColor="text1"/>
          <w:sz w:val="20"/>
          <w:szCs w:val="20"/>
        </w:rPr>
        <w:t>unfavorable</w:t>
      </w:r>
      <w:proofErr w:type="spellEnd"/>
      <w:r w:rsidRPr="00F16A08">
        <w:rPr>
          <w:rFonts w:ascii="Arial" w:hAnsi="Arial" w:cs="Arial"/>
          <w:color w:val="000000" w:themeColor="text1"/>
          <w:sz w:val="20"/>
          <w:szCs w:val="20"/>
        </w:rPr>
        <w:t xml:space="preserve">, neutral, and </w:t>
      </w:r>
      <w:proofErr w:type="spellStart"/>
      <w:r w:rsidRPr="00F16A08">
        <w:rPr>
          <w:rFonts w:ascii="Arial" w:hAnsi="Arial" w:cs="Arial"/>
          <w:color w:val="000000" w:themeColor="text1"/>
          <w:sz w:val="20"/>
          <w:szCs w:val="20"/>
        </w:rPr>
        <w:t>favorable</w:t>
      </w:r>
      <w:proofErr w:type="spellEnd"/>
      <w:r w:rsidRPr="00F16A08">
        <w:rPr>
          <w:rFonts w:ascii="Arial" w:hAnsi="Arial" w:cs="Arial"/>
          <w:color w:val="000000" w:themeColor="text1"/>
          <w:sz w:val="20"/>
          <w:szCs w:val="20"/>
        </w:rPr>
        <w:t xml:space="preserve"> attitudes; and poor, fair, or good preventive practices based on predetermined cut-off values. Karl Pearson’s correlation coefficient was applied to measure the relationship between knowledge and attitude scores. Chi-square test and Fisher’s exact test were used to examine associations between knowledge, attitude, and preventive practice levels with selected socio-demographic variables such as age, gender, type of family, semester, residence, and socioeconomic status. A p-value of less than 0.05 was considered statistically significant.</w:t>
      </w:r>
    </w:p>
    <w:p w14:paraId="041C4267" w14:textId="77777777" w:rsidR="009660F4" w:rsidRPr="00F16A08" w:rsidRDefault="009660F4" w:rsidP="00DE0D81">
      <w:pPr>
        <w:spacing w:line="240" w:lineRule="auto"/>
        <w:jc w:val="both"/>
        <w:rPr>
          <w:rFonts w:ascii="Arial" w:hAnsi="Arial" w:cs="Arial"/>
          <w:b/>
          <w:bCs/>
          <w:color w:val="000000" w:themeColor="text1"/>
          <w:sz w:val="20"/>
          <w:szCs w:val="20"/>
        </w:rPr>
      </w:pPr>
    </w:p>
    <w:p w14:paraId="11AB4884" w14:textId="0089187B" w:rsidR="00DE61A6" w:rsidRPr="00F16A08" w:rsidRDefault="00A87550" w:rsidP="00DE0D81">
      <w:pPr>
        <w:spacing w:after="0" w:line="240" w:lineRule="auto"/>
        <w:rPr>
          <w:rFonts w:ascii="Arial" w:hAnsi="Arial" w:cs="Arial"/>
          <w:b/>
          <w:bCs/>
          <w:color w:val="000000" w:themeColor="text1"/>
        </w:rPr>
      </w:pPr>
      <w:r w:rsidRPr="00F16A08">
        <w:rPr>
          <w:rFonts w:ascii="Arial" w:hAnsi="Arial" w:cs="Arial"/>
          <w:b/>
          <w:bCs/>
          <w:color w:val="000000" w:themeColor="text1"/>
        </w:rPr>
        <w:t>3. RESULTS AND DISCUSSION</w:t>
      </w:r>
    </w:p>
    <w:p w14:paraId="20459780" w14:textId="77777777" w:rsidR="00A87550" w:rsidRPr="00F16A08" w:rsidRDefault="00A87550" w:rsidP="00DE0D81">
      <w:pPr>
        <w:spacing w:after="0" w:line="240" w:lineRule="auto"/>
        <w:rPr>
          <w:rFonts w:ascii="Arial" w:hAnsi="Arial" w:cs="Arial"/>
          <w:b/>
          <w:color w:val="000000" w:themeColor="text1"/>
          <w:sz w:val="20"/>
          <w:szCs w:val="20"/>
        </w:rPr>
      </w:pPr>
    </w:p>
    <w:p w14:paraId="393674D7" w14:textId="3EC4AB9D"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N=192</w:t>
      </w:r>
    </w:p>
    <w:p w14:paraId="792D3BDC" w14:textId="77777777" w:rsidR="00DE61A6" w:rsidRPr="00F16A08" w:rsidRDefault="00DE61A6" w:rsidP="00DE0D81">
      <w:pPr>
        <w:spacing w:after="0" w:line="240" w:lineRule="auto"/>
        <w:jc w:val="center"/>
        <w:rPr>
          <w:rFonts w:ascii="Arial" w:hAnsi="Arial" w:cs="Arial"/>
          <w:b/>
          <w:color w:val="000000" w:themeColor="text1"/>
          <w:sz w:val="20"/>
          <w:szCs w:val="20"/>
        </w:rPr>
      </w:pPr>
      <w:r w:rsidRPr="00F16A08">
        <w:rPr>
          <w:rFonts w:ascii="Arial" w:hAnsi="Arial" w:cs="Arial"/>
          <w:noProof/>
          <w:color w:val="000000" w:themeColor="text1"/>
          <w:sz w:val="20"/>
          <w:szCs w:val="20"/>
        </w:rPr>
        <w:drawing>
          <wp:inline distT="0" distB="0" distL="0" distR="0" wp14:anchorId="5FEAAFE2" wp14:editId="2D1AB82D">
            <wp:extent cx="5921375" cy="2389068"/>
            <wp:effectExtent l="0" t="0" r="3175" b="11430"/>
            <wp:docPr id="939781022" name="Chart 1">
              <a:extLst xmlns:a="http://schemas.openxmlformats.org/drawingml/2006/main">
                <a:ext uri="{FF2B5EF4-FFF2-40B4-BE49-F238E27FC236}">
                  <a16:creationId xmlns:a16="http://schemas.microsoft.com/office/drawing/2014/main" id="{49DDB5C8-CF42-9C9B-2A32-3300152C3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5E6C5E" w14:textId="77777777" w:rsidR="00DE61A6" w:rsidRPr="00F16A08" w:rsidRDefault="00DE61A6" w:rsidP="00DE0D81">
      <w:pPr>
        <w:spacing w:after="0" w:line="240" w:lineRule="auto"/>
        <w:jc w:val="both"/>
        <w:rPr>
          <w:rFonts w:ascii="Arial" w:hAnsi="Arial" w:cs="Arial"/>
          <w:b/>
          <w:color w:val="000000" w:themeColor="text1"/>
          <w:sz w:val="20"/>
          <w:szCs w:val="20"/>
        </w:rPr>
      </w:pPr>
    </w:p>
    <w:p w14:paraId="5C703F51" w14:textId="77777777" w:rsidR="00DE61A6" w:rsidRPr="00F16A08" w:rsidRDefault="00DE61A6" w:rsidP="00DE0D81">
      <w:pPr>
        <w:spacing w:after="0" w:line="240" w:lineRule="auto"/>
        <w:jc w:val="center"/>
        <w:rPr>
          <w:rFonts w:ascii="Arial" w:hAnsi="Arial" w:cs="Arial"/>
          <w:bCs/>
          <w:color w:val="000000" w:themeColor="text1"/>
          <w:sz w:val="20"/>
          <w:szCs w:val="20"/>
        </w:rPr>
      </w:pPr>
      <w:r w:rsidRPr="00F16A08">
        <w:rPr>
          <w:rFonts w:ascii="Arial" w:hAnsi="Arial" w:cs="Arial"/>
          <w:bCs/>
          <w:color w:val="000000" w:themeColor="text1"/>
          <w:sz w:val="20"/>
          <w:szCs w:val="20"/>
        </w:rPr>
        <w:t>Figure 1: Distribution of age of College Students</w:t>
      </w:r>
    </w:p>
    <w:p w14:paraId="417B8250" w14:textId="77777777" w:rsidR="009660F4" w:rsidRPr="00F16A08" w:rsidRDefault="009660F4" w:rsidP="00DE0D81">
      <w:pPr>
        <w:spacing w:after="0" w:line="240" w:lineRule="auto"/>
        <w:jc w:val="both"/>
        <w:rPr>
          <w:rFonts w:ascii="Arial" w:hAnsi="Arial" w:cs="Arial"/>
          <w:color w:val="000000" w:themeColor="text1"/>
          <w:sz w:val="20"/>
          <w:szCs w:val="20"/>
        </w:rPr>
      </w:pPr>
    </w:p>
    <w:p w14:paraId="0A9CE765" w14:textId="2C979F86" w:rsidR="009660F4" w:rsidRPr="00F16A08" w:rsidRDefault="00DE61A6" w:rsidP="00DE0D81">
      <w:pPr>
        <w:spacing w:after="0"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Figure 1 illustrates the age distribution of participants, which mainly ranged from 19 to 30 years, with very few students above 30. The concentration in the 19–24 age group is typical of undergraduate cohorts.</w:t>
      </w:r>
    </w:p>
    <w:p w14:paraId="51BFFE0C" w14:textId="0957DBEE" w:rsidR="00DE61A6" w:rsidRPr="00F16A08" w:rsidRDefault="00DE61A6" w:rsidP="00DE0D81">
      <w:pPr>
        <w:pStyle w:val="NormalWeb"/>
        <w:rPr>
          <w:rFonts w:ascii="Arial" w:hAnsi="Arial" w:cs="Arial"/>
          <w:b/>
          <w:color w:val="000000" w:themeColor="text1"/>
          <w:sz w:val="20"/>
          <w:szCs w:val="20"/>
        </w:rPr>
      </w:pPr>
      <w:r w:rsidRPr="00F16A08">
        <w:rPr>
          <w:rFonts w:ascii="Arial" w:hAnsi="Arial" w:cs="Arial"/>
          <w:b/>
          <w:color w:val="000000" w:themeColor="text1"/>
          <w:sz w:val="20"/>
          <w:szCs w:val="20"/>
        </w:rPr>
        <w:t>Table 1: Frequency and Percentage Distribution of Demographic Variables</w:t>
      </w:r>
    </w:p>
    <w:p w14:paraId="4D81E7B4" w14:textId="77777777"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lastRenderedPageBreak/>
        <w:t>N=192</w:t>
      </w:r>
    </w:p>
    <w:tbl>
      <w:tblPr>
        <w:tblStyle w:val="PlainTable2"/>
        <w:tblW w:w="0" w:type="auto"/>
        <w:tblLook w:val="04A0" w:firstRow="1" w:lastRow="0" w:firstColumn="1" w:lastColumn="0" w:noHBand="0" w:noVBand="1"/>
      </w:tblPr>
      <w:tblGrid>
        <w:gridCol w:w="1060"/>
        <w:gridCol w:w="4572"/>
        <w:gridCol w:w="1791"/>
        <w:gridCol w:w="2314"/>
      </w:tblGrid>
      <w:tr w:rsidR="00F16A08" w:rsidRPr="00F16A08" w14:paraId="4F0E7FF5" w14:textId="77777777" w:rsidTr="001404FA">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60" w:type="dxa"/>
          </w:tcPr>
          <w:p w14:paraId="0BA2B9F6"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S. No</w:t>
            </w:r>
          </w:p>
        </w:tc>
        <w:tc>
          <w:tcPr>
            <w:tcW w:w="4572" w:type="dxa"/>
          </w:tcPr>
          <w:p w14:paraId="7CC4D679"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Demographic Variables</w:t>
            </w:r>
          </w:p>
        </w:tc>
        <w:tc>
          <w:tcPr>
            <w:tcW w:w="1791" w:type="dxa"/>
          </w:tcPr>
          <w:p w14:paraId="2664E46F"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Frequency</w:t>
            </w:r>
          </w:p>
        </w:tc>
        <w:tc>
          <w:tcPr>
            <w:tcW w:w="2314" w:type="dxa"/>
          </w:tcPr>
          <w:p w14:paraId="079C2F33"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Percentage</w:t>
            </w:r>
          </w:p>
          <w:p w14:paraId="0DCB65D6"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p>
        </w:tc>
      </w:tr>
      <w:tr w:rsidR="00F16A08" w:rsidRPr="00F16A08" w14:paraId="2ACC5CC4" w14:textId="77777777" w:rsidTr="001404FA">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060" w:type="dxa"/>
          </w:tcPr>
          <w:p w14:paraId="7A4FC333"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w:t>
            </w:r>
          </w:p>
        </w:tc>
        <w:tc>
          <w:tcPr>
            <w:tcW w:w="4572" w:type="dxa"/>
          </w:tcPr>
          <w:p w14:paraId="61007CA1" w14:textId="77777777" w:rsidR="00DE61A6" w:rsidRPr="00F16A08" w:rsidRDefault="00DE61A6" w:rsidP="00DE0D81">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Marital status </w:t>
            </w:r>
          </w:p>
          <w:p w14:paraId="6ABA0520" w14:textId="77777777" w:rsidR="00DE61A6" w:rsidRPr="00F16A08" w:rsidRDefault="00DE61A6" w:rsidP="00DE0D81">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Unmarried</w:t>
            </w:r>
          </w:p>
          <w:p w14:paraId="7D639841" w14:textId="77777777" w:rsidR="00DE61A6" w:rsidRPr="00F16A08" w:rsidRDefault="00DE61A6" w:rsidP="00DE0D81">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 xml:space="preserve">Married   </w:t>
            </w:r>
          </w:p>
        </w:tc>
        <w:tc>
          <w:tcPr>
            <w:tcW w:w="1791" w:type="dxa"/>
          </w:tcPr>
          <w:p w14:paraId="70D4EA9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337F81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190</w:t>
            </w:r>
          </w:p>
          <w:p w14:paraId="0534AF5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2314" w:type="dxa"/>
          </w:tcPr>
          <w:p w14:paraId="51369C0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70C9E1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99</w:t>
            </w:r>
          </w:p>
          <w:p w14:paraId="7A18F71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r>
      <w:tr w:rsidR="00F16A08" w:rsidRPr="00F16A08" w14:paraId="7BFFAC0F" w14:textId="77777777" w:rsidTr="001404FA">
        <w:trPr>
          <w:trHeight w:val="394"/>
        </w:trPr>
        <w:tc>
          <w:tcPr>
            <w:cnfStyle w:val="001000000000" w:firstRow="0" w:lastRow="0" w:firstColumn="1" w:lastColumn="0" w:oddVBand="0" w:evenVBand="0" w:oddHBand="0" w:evenHBand="0" w:firstRowFirstColumn="0" w:firstRowLastColumn="0" w:lastRowFirstColumn="0" w:lastRowLastColumn="0"/>
            <w:tcW w:w="1060" w:type="dxa"/>
          </w:tcPr>
          <w:p w14:paraId="7D0F8738"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2</w:t>
            </w:r>
          </w:p>
        </w:tc>
        <w:tc>
          <w:tcPr>
            <w:tcW w:w="4572" w:type="dxa"/>
          </w:tcPr>
          <w:p w14:paraId="57C35C23"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Sexual preference </w:t>
            </w:r>
          </w:p>
          <w:p w14:paraId="7CB2A106"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Heterosexual</w:t>
            </w:r>
          </w:p>
          <w:p w14:paraId="6BD85C1D"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Homosexual</w:t>
            </w:r>
          </w:p>
          <w:p w14:paraId="6652A4F7"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Bisexual</w:t>
            </w:r>
          </w:p>
          <w:p w14:paraId="0B8F8F3F"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Asexual</w:t>
            </w:r>
          </w:p>
          <w:p w14:paraId="1D770C80"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 xml:space="preserve">Other (Please specify): </w:t>
            </w:r>
          </w:p>
          <w:p w14:paraId="7B274F35" w14:textId="77777777" w:rsidR="00DE61A6" w:rsidRPr="00F16A08" w:rsidRDefault="00DE61A6" w:rsidP="00DE0D81">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Prefer not to say</w:t>
            </w:r>
          </w:p>
        </w:tc>
        <w:tc>
          <w:tcPr>
            <w:tcW w:w="1791" w:type="dxa"/>
          </w:tcPr>
          <w:p w14:paraId="2E1693C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32EEB0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189</w:t>
            </w:r>
          </w:p>
          <w:p w14:paraId="29FAD01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60EFCA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580009E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489D93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075DC53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2314" w:type="dxa"/>
          </w:tcPr>
          <w:p w14:paraId="3364242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3CBBD1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98.4</w:t>
            </w:r>
          </w:p>
          <w:p w14:paraId="5A21FBC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64C5457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7F06618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32D7A76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63EA2F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1.6</w:t>
            </w:r>
          </w:p>
        </w:tc>
      </w:tr>
      <w:tr w:rsidR="00F16A08" w:rsidRPr="00F16A08" w14:paraId="6569562C" w14:textId="77777777" w:rsidTr="001404F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0" w:type="dxa"/>
          </w:tcPr>
          <w:p w14:paraId="1A78A7B9"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3</w:t>
            </w:r>
          </w:p>
        </w:tc>
        <w:tc>
          <w:tcPr>
            <w:tcW w:w="4572" w:type="dxa"/>
          </w:tcPr>
          <w:p w14:paraId="21C729D1" w14:textId="77777777" w:rsidR="00DE61A6" w:rsidRPr="00F16A08" w:rsidRDefault="00DE61A6" w:rsidP="00DE0D81">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Course pursuing </w:t>
            </w:r>
          </w:p>
          <w:p w14:paraId="709C06F2" w14:textId="77777777" w:rsidR="00DE61A6" w:rsidRPr="00F16A08" w:rsidRDefault="00DE61A6" w:rsidP="00DE0D81">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Bachelors in Arts</w:t>
            </w:r>
          </w:p>
          <w:p w14:paraId="2CC371D1" w14:textId="77777777" w:rsidR="00DE61A6" w:rsidRPr="00F16A08" w:rsidRDefault="00DE61A6" w:rsidP="00DE0D81">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Bachelors in Science</w:t>
            </w:r>
          </w:p>
          <w:p w14:paraId="60F23B29" w14:textId="77777777" w:rsidR="00DE61A6" w:rsidRPr="00F16A08" w:rsidRDefault="00DE61A6" w:rsidP="00DE0D81">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Bachelors in Commerce</w:t>
            </w:r>
          </w:p>
          <w:p w14:paraId="47D484BD" w14:textId="77777777" w:rsidR="00DE61A6" w:rsidRPr="00F16A08" w:rsidRDefault="00DE61A6" w:rsidP="00DE0D81">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Others (Please specify): </w:t>
            </w:r>
          </w:p>
        </w:tc>
        <w:tc>
          <w:tcPr>
            <w:tcW w:w="1791" w:type="dxa"/>
          </w:tcPr>
          <w:p w14:paraId="3EF50F4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A577DE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60</w:t>
            </w:r>
          </w:p>
          <w:p w14:paraId="69866E8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96</w:t>
            </w:r>
          </w:p>
          <w:p w14:paraId="654ACF7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w:t>
            </w:r>
          </w:p>
          <w:p w14:paraId="0205D85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tc>
        <w:tc>
          <w:tcPr>
            <w:tcW w:w="2314" w:type="dxa"/>
          </w:tcPr>
          <w:p w14:paraId="3548EF0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A06913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31.2</w:t>
            </w:r>
          </w:p>
          <w:p w14:paraId="78FE129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50</w:t>
            </w:r>
          </w:p>
          <w:p w14:paraId="461C37B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12.5</w:t>
            </w:r>
          </w:p>
          <w:p w14:paraId="43927A4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6.2</w:t>
            </w:r>
          </w:p>
        </w:tc>
      </w:tr>
      <w:tr w:rsidR="00F16A08" w:rsidRPr="00F16A08" w14:paraId="17CB39D2" w14:textId="77777777" w:rsidTr="001404FA">
        <w:trPr>
          <w:trHeight w:val="135"/>
        </w:trPr>
        <w:tc>
          <w:tcPr>
            <w:cnfStyle w:val="001000000000" w:firstRow="0" w:lastRow="0" w:firstColumn="1" w:lastColumn="0" w:oddVBand="0" w:evenVBand="0" w:oddHBand="0" w:evenHBand="0" w:firstRowFirstColumn="0" w:firstRowLastColumn="0" w:lastRowFirstColumn="0" w:lastRowLastColumn="0"/>
            <w:tcW w:w="1060" w:type="dxa"/>
          </w:tcPr>
          <w:p w14:paraId="151BBD2A"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4</w:t>
            </w:r>
          </w:p>
        </w:tc>
        <w:tc>
          <w:tcPr>
            <w:tcW w:w="4572" w:type="dxa"/>
          </w:tcPr>
          <w:p w14:paraId="6434AC4D"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Type of family </w:t>
            </w:r>
          </w:p>
          <w:p w14:paraId="53C30114" w14:textId="77777777" w:rsidR="00DE61A6" w:rsidRPr="00F16A08" w:rsidRDefault="00DE61A6" w:rsidP="00DE0D81">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Nuclear Family</w:t>
            </w:r>
          </w:p>
          <w:p w14:paraId="7B0D46CF" w14:textId="77777777" w:rsidR="00DE61A6" w:rsidRPr="00F16A08" w:rsidRDefault="00DE61A6" w:rsidP="00DE0D81">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Joint Family</w:t>
            </w:r>
          </w:p>
          <w:p w14:paraId="47627EA4" w14:textId="77777777" w:rsidR="00DE61A6" w:rsidRPr="00F16A08" w:rsidRDefault="00DE61A6" w:rsidP="00DE0D81">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Extended Family</w:t>
            </w:r>
          </w:p>
        </w:tc>
        <w:tc>
          <w:tcPr>
            <w:tcW w:w="1791" w:type="dxa"/>
          </w:tcPr>
          <w:p w14:paraId="28A134C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B721F3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131</w:t>
            </w:r>
          </w:p>
          <w:p w14:paraId="74245CE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26</w:t>
            </w:r>
          </w:p>
          <w:p w14:paraId="320D785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35</w:t>
            </w:r>
          </w:p>
        </w:tc>
        <w:tc>
          <w:tcPr>
            <w:tcW w:w="2314" w:type="dxa"/>
          </w:tcPr>
          <w:p w14:paraId="49CE7AD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14B972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68.2</w:t>
            </w:r>
          </w:p>
          <w:p w14:paraId="1BF1544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13.5</w:t>
            </w:r>
          </w:p>
          <w:p w14:paraId="143A333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18.2</w:t>
            </w:r>
          </w:p>
        </w:tc>
      </w:tr>
      <w:tr w:rsidR="00F16A08" w:rsidRPr="00F16A08" w14:paraId="74B8E565" w14:textId="77777777" w:rsidTr="001404F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0" w:type="dxa"/>
          </w:tcPr>
          <w:p w14:paraId="6A75DE4A"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5</w:t>
            </w:r>
          </w:p>
        </w:tc>
        <w:tc>
          <w:tcPr>
            <w:tcW w:w="4572" w:type="dxa"/>
          </w:tcPr>
          <w:p w14:paraId="46DDB525"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Place of residence </w:t>
            </w:r>
          </w:p>
          <w:p w14:paraId="427B145F" w14:textId="77777777" w:rsidR="00DE61A6" w:rsidRPr="00F16A08" w:rsidRDefault="00DE61A6" w:rsidP="00DE0D81">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Urban</w:t>
            </w:r>
          </w:p>
          <w:p w14:paraId="06C968BE" w14:textId="77777777" w:rsidR="00DE61A6" w:rsidRPr="00F16A08" w:rsidRDefault="00DE61A6" w:rsidP="00DE0D81">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 xml:space="preserve">Rural </w:t>
            </w:r>
          </w:p>
        </w:tc>
        <w:tc>
          <w:tcPr>
            <w:tcW w:w="1791" w:type="dxa"/>
          </w:tcPr>
          <w:p w14:paraId="77C3E78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1965A8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145</w:t>
            </w:r>
          </w:p>
          <w:p w14:paraId="701C765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47</w:t>
            </w:r>
          </w:p>
        </w:tc>
        <w:tc>
          <w:tcPr>
            <w:tcW w:w="2314" w:type="dxa"/>
          </w:tcPr>
          <w:p w14:paraId="0EF5AEE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2434A4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75.5</w:t>
            </w:r>
          </w:p>
          <w:p w14:paraId="6A8468E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24.5</w:t>
            </w:r>
          </w:p>
        </w:tc>
      </w:tr>
      <w:tr w:rsidR="00F16A08" w:rsidRPr="00F16A08" w14:paraId="70B74A52" w14:textId="77777777" w:rsidTr="001404FA">
        <w:trPr>
          <w:trHeight w:val="135"/>
        </w:trPr>
        <w:tc>
          <w:tcPr>
            <w:cnfStyle w:val="001000000000" w:firstRow="0" w:lastRow="0" w:firstColumn="1" w:lastColumn="0" w:oddVBand="0" w:evenVBand="0" w:oddHBand="0" w:evenHBand="0" w:firstRowFirstColumn="0" w:firstRowLastColumn="0" w:lastRowFirstColumn="0" w:lastRowLastColumn="0"/>
            <w:tcW w:w="1060" w:type="dxa"/>
          </w:tcPr>
          <w:p w14:paraId="74453A1E"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6</w:t>
            </w:r>
          </w:p>
        </w:tc>
        <w:tc>
          <w:tcPr>
            <w:tcW w:w="4572" w:type="dxa"/>
          </w:tcPr>
          <w:p w14:paraId="1ED3766E"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16A08">
              <w:rPr>
                <w:rFonts w:ascii="Arial" w:hAnsi="Arial" w:cs="Arial"/>
                <w:b/>
                <w:bCs/>
                <w:color w:val="000000" w:themeColor="text1"/>
                <w:sz w:val="20"/>
                <w:szCs w:val="20"/>
              </w:rPr>
              <w:t xml:space="preserve">Current semester </w:t>
            </w:r>
          </w:p>
          <w:p w14:paraId="3173123C" w14:textId="77777777" w:rsidR="00DE61A6" w:rsidRPr="00F16A08" w:rsidRDefault="00DE61A6" w:rsidP="00DE0D81">
            <w:pPr>
              <w:pStyle w:val="ListParagraph"/>
              <w:numPr>
                <w:ilvl w:val="0"/>
                <w:numId w:val="9"/>
              </w:numPr>
              <w:tabs>
                <w:tab w:val="left" w:pos="888"/>
              </w:tabs>
              <w:ind w:left="746"/>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1-2</w:t>
            </w:r>
          </w:p>
          <w:p w14:paraId="268F4B16" w14:textId="77777777" w:rsidR="00DE61A6" w:rsidRPr="00F16A08" w:rsidRDefault="00DE61A6" w:rsidP="00DE0D81">
            <w:pPr>
              <w:pStyle w:val="ListParagraph"/>
              <w:numPr>
                <w:ilvl w:val="0"/>
                <w:numId w:val="9"/>
              </w:numPr>
              <w:tabs>
                <w:tab w:val="left" w:pos="888"/>
              </w:tabs>
              <w:ind w:left="746"/>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3-4</w:t>
            </w:r>
          </w:p>
          <w:p w14:paraId="624042D0" w14:textId="77777777" w:rsidR="00DE61A6" w:rsidRPr="00F16A08" w:rsidRDefault="00DE61A6" w:rsidP="00DE0D81">
            <w:pPr>
              <w:pStyle w:val="ListParagraph"/>
              <w:numPr>
                <w:ilvl w:val="0"/>
                <w:numId w:val="9"/>
              </w:numPr>
              <w:tabs>
                <w:tab w:val="left" w:pos="888"/>
              </w:tabs>
              <w:ind w:left="746"/>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5-6</w:t>
            </w:r>
          </w:p>
          <w:p w14:paraId="56500BC3" w14:textId="77777777" w:rsidR="00DE61A6" w:rsidRPr="00F16A08" w:rsidRDefault="00DE61A6" w:rsidP="00DE0D81">
            <w:pPr>
              <w:pStyle w:val="ListParagraph"/>
              <w:numPr>
                <w:ilvl w:val="0"/>
                <w:numId w:val="9"/>
              </w:numPr>
              <w:tabs>
                <w:tab w:val="left" w:pos="888"/>
              </w:tabs>
              <w:ind w:left="746"/>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7-8</w:t>
            </w:r>
          </w:p>
        </w:tc>
        <w:tc>
          <w:tcPr>
            <w:tcW w:w="1791" w:type="dxa"/>
          </w:tcPr>
          <w:p w14:paraId="57E02EC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E6E5FB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36</w:t>
            </w:r>
          </w:p>
          <w:p w14:paraId="7B5A621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28</w:t>
            </w:r>
          </w:p>
          <w:p w14:paraId="557112A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68</w:t>
            </w:r>
          </w:p>
          <w:p w14:paraId="6DE62AE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60</w:t>
            </w:r>
          </w:p>
        </w:tc>
        <w:tc>
          <w:tcPr>
            <w:tcW w:w="2314" w:type="dxa"/>
          </w:tcPr>
          <w:p w14:paraId="320982C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1EB5E5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18.8</w:t>
            </w:r>
          </w:p>
          <w:p w14:paraId="2D8E289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14.6</w:t>
            </w:r>
          </w:p>
          <w:p w14:paraId="41B7D03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35.4</w:t>
            </w:r>
          </w:p>
          <w:p w14:paraId="43BACF8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31.2</w:t>
            </w:r>
          </w:p>
        </w:tc>
      </w:tr>
    </w:tbl>
    <w:p w14:paraId="42AB306A" w14:textId="77777777" w:rsidR="00DE61A6" w:rsidRPr="00F16A08" w:rsidRDefault="00DE61A6" w:rsidP="00DE0D81">
      <w:pPr>
        <w:spacing w:after="0" w:line="240" w:lineRule="auto"/>
        <w:jc w:val="center"/>
        <w:rPr>
          <w:rFonts w:ascii="Arial" w:hAnsi="Arial" w:cs="Arial"/>
          <w:b/>
          <w:color w:val="000000" w:themeColor="text1"/>
          <w:sz w:val="20"/>
          <w:szCs w:val="20"/>
        </w:rPr>
      </w:pPr>
    </w:p>
    <w:p w14:paraId="00DDDA5B" w14:textId="34236F44" w:rsidR="00F51741" w:rsidRPr="00F16A08" w:rsidRDefault="00F51741" w:rsidP="00DE0D81">
      <w:pPr>
        <w:spacing w:after="0" w:line="240" w:lineRule="auto"/>
        <w:jc w:val="both"/>
        <w:rPr>
          <w:rFonts w:ascii="Arial" w:eastAsia="Times New Roman" w:hAnsi="Arial" w:cs="Arial"/>
          <w:color w:val="000000" w:themeColor="text1"/>
          <w:kern w:val="0"/>
          <w:sz w:val="20"/>
          <w:szCs w:val="20"/>
          <w:lang w:eastAsia="en-IN"/>
          <w14:ligatures w14:val="none"/>
        </w:rPr>
      </w:pPr>
      <w:r w:rsidRPr="00F16A08">
        <w:rPr>
          <w:rFonts w:ascii="Arial" w:eastAsia="Times New Roman" w:hAnsi="Arial" w:cs="Arial"/>
          <w:color w:val="000000" w:themeColor="text1"/>
          <w:kern w:val="0"/>
          <w:sz w:val="20"/>
          <w:szCs w:val="20"/>
          <w:lang w:eastAsia="en-IN"/>
          <w14:ligatures w14:val="none"/>
        </w:rPr>
        <w:t xml:space="preserve">Table </w:t>
      </w:r>
      <w:r w:rsidR="008F6B52" w:rsidRPr="00F16A08">
        <w:rPr>
          <w:rFonts w:ascii="Arial" w:eastAsia="Times New Roman" w:hAnsi="Arial" w:cs="Arial"/>
          <w:color w:val="000000" w:themeColor="text1"/>
          <w:kern w:val="0"/>
          <w:sz w:val="20"/>
          <w:szCs w:val="20"/>
          <w:lang w:eastAsia="en-IN"/>
          <w14:ligatures w14:val="none"/>
        </w:rPr>
        <w:t xml:space="preserve">1 </w:t>
      </w:r>
      <w:r w:rsidRPr="00F16A08">
        <w:rPr>
          <w:rFonts w:ascii="Arial" w:eastAsia="Times New Roman" w:hAnsi="Arial" w:cs="Arial"/>
          <w:color w:val="000000" w:themeColor="text1"/>
          <w:kern w:val="0"/>
          <w:sz w:val="20"/>
          <w:szCs w:val="20"/>
          <w:lang w:eastAsia="en-IN"/>
          <w14:ligatures w14:val="none"/>
        </w:rPr>
        <w:t>summarizes the socio-demographic profile of 192 college students from Sikkim Manipal University. Most participants were unmarried (99%) and identified as heterosexual (98.4%), with 1.6% preferring not to disclose their sexual preference. Half of the students were enrolled in Bachelor of Science programs (50%), followed by Bachelor of Arts (31.2%), Bachelor of Commerce (12.5%), and other courses (6.2%). A majority belonged to nuclear families (68.2%), while 18.2% were from extended and 13.5% from joint families. Most students resided in urban areas (75.5%), with 24.5% from rural settings. The academic distribution was fairly balanced across semesters, with 18.8% in 1st–2nd, 14.6% in 3</w:t>
      </w:r>
      <w:r w:rsidRPr="00F16A08">
        <w:rPr>
          <w:rFonts w:ascii="Arial" w:eastAsia="Times New Roman" w:hAnsi="Arial" w:cs="Arial"/>
          <w:color w:val="000000" w:themeColor="text1"/>
          <w:kern w:val="0"/>
          <w:sz w:val="20"/>
          <w:szCs w:val="20"/>
          <w:vertAlign w:val="superscript"/>
          <w:lang w:eastAsia="en-IN"/>
          <w14:ligatures w14:val="none"/>
        </w:rPr>
        <w:t>rd</w:t>
      </w:r>
      <w:r w:rsidR="00F16A08">
        <w:rPr>
          <w:rFonts w:ascii="Arial" w:eastAsia="Times New Roman" w:hAnsi="Arial" w:cs="Arial"/>
          <w:color w:val="000000" w:themeColor="text1"/>
          <w:kern w:val="0"/>
          <w:sz w:val="20"/>
          <w:szCs w:val="20"/>
          <w:lang w:eastAsia="en-IN"/>
          <w14:ligatures w14:val="none"/>
        </w:rPr>
        <w:t xml:space="preserve">- </w:t>
      </w:r>
      <w:r w:rsidRPr="00F16A08">
        <w:rPr>
          <w:rFonts w:ascii="Arial" w:eastAsia="Times New Roman" w:hAnsi="Arial" w:cs="Arial"/>
          <w:color w:val="000000" w:themeColor="text1"/>
          <w:kern w:val="0"/>
          <w:sz w:val="20"/>
          <w:szCs w:val="20"/>
          <w:lang w:eastAsia="en-IN"/>
          <w14:ligatures w14:val="none"/>
        </w:rPr>
        <w:t>4th, 35.4% in 5th–6th, and 31.2% in 7th–8th semesters.</w:t>
      </w:r>
    </w:p>
    <w:p w14:paraId="77B8E28C" w14:textId="77777777" w:rsidR="00F51741" w:rsidRPr="00F16A08" w:rsidRDefault="00F51741" w:rsidP="00DE0D81">
      <w:pPr>
        <w:spacing w:after="0" w:line="240" w:lineRule="auto"/>
        <w:jc w:val="right"/>
        <w:rPr>
          <w:rFonts w:ascii="Arial" w:hAnsi="Arial" w:cs="Arial"/>
          <w:b/>
          <w:color w:val="000000" w:themeColor="text1"/>
          <w:sz w:val="20"/>
          <w:szCs w:val="20"/>
        </w:rPr>
      </w:pPr>
    </w:p>
    <w:p w14:paraId="1454862B" w14:textId="5A0E755A"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N=192</w:t>
      </w:r>
    </w:p>
    <w:p w14:paraId="09ABCEE8" w14:textId="77777777" w:rsidR="00DE61A6" w:rsidRPr="00F16A08" w:rsidRDefault="00DE61A6" w:rsidP="00DE0D81">
      <w:pPr>
        <w:spacing w:after="0" w:line="240" w:lineRule="auto"/>
        <w:jc w:val="right"/>
        <w:rPr>
          <w:rFonts w:ascii="Arial" w:hAnsi="Arial" w:cs="Arial"/>
          <w:b/>
          <w:color w:val="000000" w:themeColor="text1"/>
          <w:sz w:val="20"/>
          <w:szCs w:val="20"/>
        </w:rPr>
      </w:pPr>
    </w:p>
    <w:p w14:paraId="1F2D3F00" w14:textId="77777777" w:rsidR="00DE61A6" w:rsidRPr="00F16A08" w:rsidRDefault="00DE61A6" w:rsidP="00DE0D81">
      <w:pPr>
        <w:spacing w:after="0" w:line="240" w:lineRule="auto"/>
        <w:jc w:val="center"/>
        <w:rPr>
          <w:rFonts w:ascii="Arial" w:hAnsi="Arial" w:cs="Arial"/>
          <w:b/>
          <w:color w:val="000000" w:themeColor="text1"/>
          <w:sz w:val="20"/>
          <w:szCs w:val="20"/>
        </w:rPr>
      </w:pPr>
      <w:r w:rsidRPr="00F16A08">
        <w:rPr>
          <w:rFonts w:ascii="Arial" w:hAnsi="Arial" w:cs="Arial"/>
          <w:noProof/>
          <w:color w:val="000000" w:themeColor="text1"/>
          <w:sz w:val="20"/>
          <w:szCs w:val="20"/>
        </w:rPr>
        <w:lastRenderedPageBreak/>
        <w:drawing>
          <wp:inline distT="0" distB="0" distL="0" distR="0" wp14:anchorId="5AF8F4E1" wp14:editId="14AC3BBF">
            <wp:extent cx="6057900" cy="2895600"/>
            <wp:effectExtent l="0" t="0" r="0" b="0"/>
            <wp:docPr id="1272612597" name="Chart 1">
              <a:extLst xmlns:a="http://schemas.openxmlformats.org/drawingml/2006/main">
                <a:ext uri="{FF2B5EF4-FFF2-40B4-BE49-F238E27FC236}">
                  <a16:creationId xmlns:a16="http://schemas.microsoft.com/office/drawing/2014/main" id="{741D7D3A-358C-7AE7-7F1B-0C9089EEE9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D696A1" w14:textId="77777777" w:rsidR="00DE61A6" w:rsidRPr="00F16A08" w:rsidRDefault="00DE61A6" w:rsidP="00DE0D81">
      <w:pPr>
        <w:spacing w:after="0" w:line="240" w:lineRule="auto"/>
        <w:jc w:val="center"/>
        <w:rPr>
          <w:rFonts w:ascii="Arial" w:hAnsi="Arial" w:cs="Arial"/>
          <w:b/>
          <w:color w:val="000000" w:themeColor="text1"/>
          <w:sz w:val="20"/>
          <w:szCs w:val="20"/>
        </w:rPr>
      </w:pPr>
    </w:p>
    <w:p w14:paraId="345D57BC" w14:textId="1537B117" w:rsidR="00DE61A6" w:rsidRPr="00F16A08" w:rsidRDefault="00DE61A6" w:rsidP="00DE0D81">
      <w:pPr>
        <w:spacing w:after="0" w:line="240" w:lineRule="auto"/>
        <w:jc w:val="center"/>
        <w:rPr>
          <w:rFonts w:ascii="Arial" w:hAnsi="Arial" w:cs="Arial"/>
          <w:bCs/>
          <w:color w:val="000000" w:themeColor="text1"/>
          <w:sz w:val="20"/>
          <w:szCs w:val="20"/>
        </w:rPr>
      </w:pPr>
      <w:r w:rsidRPr="00F16A08">
        <w:rPr>
          <w:rFonts w:ascii="Arial" w:hAnsi="Arial" w:cs="Arial"/>
          <w:bCs/>
          <w:color w:val="000000" w:themeColor="text1"/>
          <w:sz w:val="20"/>
          <w:szCs w:val="20"/>
        </w:rPr>
        <w:t xml:space="preserve">Figure </w:t>
      </w:r>
      <w:r w:rsidR="008F6B52" w:rsidRPr="00F16A08">
        <w:rPr>
          <w:rFonts w:ascii="Arial" w:hAnsi="Arial" w:cs="Arial"/>
          <w:bCs/>
          <w:color w:val="000000" w:themeColor="text1"/>
          <w:sz w:val="20"/>
          <w:szCs w:val="20"/>
        </w:rPr>
        <w:t>2</w:t>
      </w:r>
      <w:r w:rsidRPr="00F16A08">
        <w:rPr>
          <w:rFonts w:ascii="Arial" w:hAnsi="Arial" w:cs="Arial"/>
          <w:bCs/>
          <w:color w:val="000000" w:themeColor="text1"/>
          <w:sz w:val="20"/>
          <w:szCs w:val="20"/>
        </w:rPr>
        <w:t>: Distribution of family monthly income of College Student</w:t>
      </w:r>
    </w:p>
    <w:p w14:paraId="7BFB9871" w14:textId="77777777" w:rsidR="00DE61A6" w:rsidRPr="00F16A08" w:rsidRDefault="00DE61A6" w:rsidP="00DE0D81">
      <w:pPr>
        <w:spacing w:after="0" w:line="240" w:lineRule="auto"/>
        <w:jc w:val="both"/>
        <w:rPr>
          <w:rFonts w:ascii="Arial" w:eastAsia="Times New Roman" w:hAnsi="Arial" w:cs="Arial"/>
          <w:color w:val="000000" w:themeColor="text1"/>
          <w:sz w:val="20"/>
          <w:szCs w:val="20"/>
          <w:lang w:eastAsia="en-IN"/>
        </w:rPr>
      </w:pPr>
    </w:p>
    <w:p w14:paraId="7E141C63" w14:textId="06A0E078" w:rsidR="00DE61A6" w:rsidRPr="00F16A08" w:rsidRDefault="00DE61A6" w:rsidP="00DE0D81">
      <w:pPr>
        <w:spacing w:after="0" w:line="240" w:lineRule="auto"/>
        <w:jc w:val="both"/>
        <w:rPr>
          <w:rFonts w:ascii="Arial" w:hAnsi="Arial" w:cs="Arial"/>
          <w:bCs/>
          <w:color w:val="000000" w:themeColor="text1"/>
          <w:sz w:val="20"/>
          <w:szCs w:val="20"/>
        </w:rPr>
      </w:pPr>
      <w:r w:rsidRPr="00F16A08">
        <w:rPr>
          <w:rFonts w:ascii="Arial" w:eastAsia="Times New Roman" w:hAnsi="Arial" w:cs="Arial"/>
          <w:color w:val="000000" w:themeColor="text1"/>
          <w:sz w:val="20"/>
          <w:szCs w:val="20"/>
          <w:lang w:eastAsia="en-IN"/>
        </w:rPr>
        <w:t>The majority belonged to the Rs. 25,000 to Rs. 75,000 monthly income group.</w:t>
      </w:r>
      <w:r w:rsidRPr="00F16A08">
        <w:rPr>
          <w:rFonts w:ascii="Arial" w:hAnsi="Arial" w:cs="Arial"/>
          <w:bCs/>
          <w:color w:val="000000" w:themeColor="text1"/>
          <w:sz w:val="20"/>
          <w:szCs w:val="20"/>
        </w:rPr>
        <w:t xml:space="preserve"> </w:t>
      </w:r>
      <w:r w:rsidRPr="00F16A08">
        <w:rPr>
          <w:rFonts w:ascii="Arial" w:eastAsia="Times New Roman" w:hAnsi="Arial" w:cs="Arial"/>
          <w:color w:val="000000" w:themeColor="text1"/>
          <w:sz w:val="20"/>
          <w:szCs w:val="20"/>
          <w:lang w:eastAsia="en-IN"/>
        </w:rPr>
        <w:t>A smaller number had family incomes above Rs. 1,00,000 or below Rs. 25,000, indicating socioeconomic diversity among students</w:t>
      </w:r>
      <w:r w:rsidR="008F6B52" w:rsidRPr="00F16A08">
        <w:rPr>
          <w:rFonts w:ascii="Arial" w:eastAsia="Times New Roman" w:hAnsi="Arial" w:cs="Arial"/>
          <w:color w:val="000000" w:themeColor="text1"/>
          <w:sz w:val="20"/>
          <w:szCs w:val="20"/>
          <w:lang w:eastAsia="en-IN"/>
        </w:rPr>
        <w:t xml:space="preserve"> [Figure 2]</w:t>
      </w:r>
    </w:p>
    <w:p w14:paraId="1A46F516" w14:textId="77777777" w:rsidR="008F6B52" w:rsidRPr="00F16A08" w:rsidRDefault="008F6B52" w:rsidP="00DE0D81">
      <w:pPr>
        <w:spacing w:after="0" w:line="240" w:lineRule="auto"/>
        <w:jc w:val="right"/>
        <w:rPr>
          <w:rFonts w:ascii="Arial" w:hAnsi="Arial" w:cs="Arial"/>
          <w:b/>
          <w:color w:val="000000" w:themeColor="text1"/>
          <w:sz w:val="20"/>
          <w:szCs w:val="20"/>
        </w:rPr>
      </w:pPr>
    </w:p>
    <w:p w14:paraId="6491ED2F" w14:textId="64CFFDC2"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N=192</w:t>
      </w:r>
    </w:p>
    <w:p w14:paraId="4D452194" w14:textId="77777777" w:rsidR="00DE61A6" w:rsidRPr="00F16A08" w:rsidRDefault="00DE61A6" w:rsidP="00DE0D81">
      <w:pPr>
        <w:spacing w:after="0" w:line="240" w:lineRule="auto"/>
        <w:jc w:val="center"/>
        <w:rPr>
          <w:rFonts w:ascii="Arial" w:hAnsi="Arial" w:cs="Arial"/>
          <w:b/>
          <w:color w:val="000000" w:themeColor="text1"/>
          <w:sz w:val="20"/>
          <w:szCs w:val="20"/>
        </w:rPr>
      </w:pPr>
      <w:r w:rsidRPr="00F16A08">
        <w:rPr>
          <w:rFonts w:ascii="Arial" w:hAnsi="Arial" w:cs="Arial"/>
          <w:noProof/>
          <w:color w:val="000000" w:themeColor="text1"/>
          <w:sz w:val="20"/>
          <w:szCs w:val="20"/>
        </w:rPr>
        <w:drawing>
          <wp:inline distT="0" distB="0" distL="0" distR="0" wp14:anchorId="29B685DF" wp14:editId="5A3A82AB">
            <wp:extent cx="5398383" cy="2400300"/>
            <wp:effectExtent l="0" t="0" r="0" b="0"/>
            <wp:docPr id="1291172660" name="Chart 1">
              <a:extLst xmlns:a="http://schemas.openxmlformats.org/drawingml/2006/main">
                <a:ext uri="{FF2B5EF4-FFF2-40B4-BE49-F238E27FC236}">
                  <a16:creationId xmlns:a16="http://schemas.microsoft.com/office/drawing/2014/main" id="{39234A3C-50E9-375E-E219-D0B20CF23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260E1E" w14:textId="77777777" w:rsidR="00DE61A6" w:rsidRPr="00F16A08" w:rsidRDefault="00DE61A6" w:rsidP="00DE0D81">
      <w:pPr>
        <w:spacing w:after="0" w:line="240" w:lineRule="auto"/>
        <w:jc w:val="center"/>
        <w:rPr>
          <w:rFonts w:ascii="Arial" w:hAnsi="Arial" w:cs="Arial"/>
          <w:bCs/>
          <w:color w:val="000000" w:themeColor="text1"/>
          <w:sz w:val="20"/>
          <w:szCs w:val="20"/>
        </w:rPr>
      </w:pPr>
    </w:p>
    <w:p w14:paraId="7EF88F8D" w14:textId="23FD381D" w:rsidR="00DE61A6" w:rsidRPr="00F16A08" w:rsidRDefault="00DE61A6" w:rsidP="00DE0D81">
      <w:pPr>
        <w:spacing w:after="0" w:line="240" w:lineRule="auto"/>
        <w:jc w:val="center"/>
        <w:rPr>
          <w:rFonts w:ascii="Arial" w:hAnsi="Arial" w:cs="Arial"/>
          <w:bCs/>
          <w:color w:val="000000" w:themeColor="text1"/>
          <w:sz w:val="20"/>
          <w:szCs w:val="20"/>
        </w:rPr>
      </w:pPr>
      <w:r w:rsidRPr="00F16A08">
        <w:rPr>
          <w:rFonts w:ascii="Arial" w:hAnsi="Arial" w:cs="Arial"/>
          <w:bCs/>
          <w:color w:val="000000" w:themeColor="text1"/>
          <w:sz w:val="20"/>
          <w:szCs w:val="20"/>
        </w:rPr>
        <w:t xml:space="preserve">Figure </w:t>
      </w:r>
      <w:r w:rsidR="008F6B52" w:rsidRPr="00F16A08">
        <w:rPr>
          <w:rFonts w:ascii="Arial" w:hAnsi="Arial" w:cs="Arial"/>
          <w:bCs/>
          <w:color w:val="000000" w:themeColor="text1"/>
          <w:sz w:val="20"/>
          <w:szCs w:val="20"/>
        </w:rPr>
        <w:t>3</w:t>
      </w:r>
      <w:r w:rsidRPr="00F16A08">
        <w:rPr>
          <w:rFonts w:ascii="Arial" w:hAnsi="Arial" w:cs="Arial"/>
          <w:bCs/>
          <w:color w:val="000000" w:themeColor="text1"/>
          <w:sz w:val="20"/>
          <w:szCs w:val="20"/>
        </w:rPr>
        <w:t>: Distribution of sexual relationship of College Students</w:t>
      </w:r>
    </w:p>
    <w:p w14:paraId="77F65005" w14:textId="77777777" w:rsidR="00331BFC" w:rsidRPr="00F16A08" w:rsidRDefault="00331BFC" w:rsidP="00DE0D81">
      <w:pPr>
        <w:autoSpaceDE w:val="0"/>
        <w:autoSpaceDN w:val="0"/>
        <w:adjustRightInd w:val="0"/>
        <w:spacing w:after="0" w:line="240" w:lineRule="auto"/>
        <w:jc w:val="both"/>
        <w:rPr>
          <w:rFonts w:ascii="Arial" w:hAnsi="Arial" w:cs="Arial"/>
          <w:bCs/>
          <w:color w:val="000000" w:themeColor="text1"/>
          <w:sz w:val="20"/>
          <w:szCs w:val="20"/>
        </w:rPr>
      </w:pPr>
    </w:p>
    <w:p w14:paraId="20A821C4" w14:textId="4E3CAA8C" w:rsidR="00DE61A6" w:rsidRPr="00F16A08" w:rsidRDefault="00DE61A6" w:rsidP="00DE0D81">
      <w:pPr>
        <w:autoSpaceDE w:val="0"/>
        <w:autoSpaceDN w:val="0"/>
        <w:adjustRightInd w:val="0"/>
        <w:spacing w:after="0" w:line="240" w:lineRule="auto"/>
        <w:jc w:val="both"/>
        <w:rPr>
          <w:rFonts w:ascii="Arial" w:hAnsi="Arial" w:cs="Arial"/>
          <w:bCs/>
          <w:color w:val="000000" w:themeColor="text1"/>
          <w:sz w:val="20"/>
          <w:szCs w:val="20"/>
        </w:rPr>
      </w:pPr>
      <w:r w:rsidRPr="00F16A08">
        <w:rPr>
          <w:rFonts w:ascii="Arial" w:hAnsi="Arial" w:cs="Arial"/>
          <w:bCs/>
          <w:color w:val="000000" w:themeColor="text1"/>
          <w:sz w:val="20"/>
          <w:szCs w:val="20"/>
        </w:rPr>
        <w:t>The majority of students reported abstinence, while a minority reported being sexually active. This may be influenced by age, relationship status, and socio-cultural norms around sexuality among Indian youth</w:t>
      </w:r>
      <w:r w:rsidR="008F6B52" w:rsidRPr="00F16A08">
        <w:rPr>
          <w:rFonts w:ascii="Arial" w:hAnsi="Arial" w:cs="Arial"/>
          <w:bCs/>
          <w:color w:val="000000" w:themeColor="text1"/>
          <w:sz w:val="20"/>
          <w:szCs w:val="20"/>
        </w:rPr>
        <w:t xml:space="preserve"> [Figure 3]</w:t>
      </w:r>
      <w:r w:rsidRPr="00F16A08">
        <w:rPr>
          <w:rFonts w:ascii="Arial" w:hAnsi="Arial" w:cs="Arial"/>
          <w:bCs/>
          <w:color w:val="000000" w:themeColor="text1"/>
          <w:sz w:val="20"/>
          <w:szCs w:val="20"/>
        </w:rPr>
        <w:t>.</w:t>
      </w:r>
    </w:p>
    <w:p w14:paraId="6928830B" w14:textId="77777777" w:rsidR="00F34422" w:rsidRPr="00F16A08" w:rsidRDefault="00F34422" w:rsidP="00DE0D81">
      <w:pPr>
        <w:spacing w:after="0" w:line="240" w:lineRule="auto"/>
        <w:jc w:val="both"/>
        <w:rPr>
          <w:rFonts w:ascii="Arial" w:hAnsi="Arial" w:cs="Arial"/>
          <w:bCs/>
          <w:color w:val="000000" w:themeColor="text1"/>
          <w:sz w:val="20"/>
          <w:szCs w:val="20"/>
        </w:rPr>
      </w:pPr>
    </w:p>
    <w:p w14:paraId="42503508" w14:textId="4FCF9233" w:rsidR="00DE61A6" w:rsidRPr="00F16A08" w:rsidRDefault="00DE61A6" w:rsidP="00DE0D81">
      <w:pPr>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2: Distribution of </w:t>
      </w:r>
      <w:r w:rsidRPr="00F16A08">
        <w:rPr>
          <w:rFonts w:ascii="Arial" w:hAnsi="Arial" w:cs="Arial"/>
          <w:b/>
          <w:color w:val="000000" w:themeColor="text1"/>
          <w:sz w:val="20"/>
          <w:szCs w:val="20"/>
          <w:shd w:val="clear" w:color="auto" w:fill="FFFFFF"/>
        </w:rPr>
        <w:t xml:space="preserve">level of </w:t>
      </w:r>
      <w:r w:rsidRPr="00F16A08">
        <w:rPr>
          <w:rFonts w:ascii="Arial" w:hAnsi="Arial" w:cs="Arial"/>
          <w:b/>
          <w:color w:val="000000" w:themeColor="text1"/>
          <w:sz w:val="20"/>
          <w:szCs w:val="20"/>
        </w:rPr>
        <w:t>knowledge regarding Sexually Transmitted Infections (STIs) among College Students in Sikkim Manipal University</w:t>
      </w:r>
    </w:p>
    <w:p w14:paraId="1A0F4DBF" w14:textId="77777777" w:rsidR="00DE61A6" w:rsidRPr="00F16A08" w:rsidRDefault="00DE61A6" w:rsidP="00DE0D81">
      <w:pPr>
        <w:pStyle w:val="Default"/>
        <w:jc w:val="right"/>
        <w:rPr>
          <w:rFonts w:ascii="Arial" w:hAnsi="Arial" w:cs="Arial"/>
          <w:color w:val="000000" w:themeColor="text1"/>
          <w:sz w:val="20"/>
          <w:szCs w:val="20"/>
        </w:rPr>
      </w:pP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t xml:space="preserve">       </w:t>
      </w:r>
      <w:r w:rsidRPr="00F16A08">
        <w:rPr>
          <w:rFonts w:ascii="Arial" w:hAnsi="Arial" w:cs="Arial"/>
          <w:color w:val="000000" w:themeColor="text1"/>
          <w:sz w:val="20"/>
          <w:szCs w:val="20"/>
        </w:rPr>
        <w:t>N=192</w:t>
      </w:r>
    </w:p>
    <w:p w14:paraId="58266A0F" w14:textId="77777777" w:rsidR="00DE61A6" w:rsidRPr="00F16A08" w:rsidRDefault="00DE61A6" w:rsidP="00DE0D81">
      <w:pPr>
        <w:pStyle w:val="Default"/>
        <w:rPr>
          <w:rFonts w:ascii="Arial" w:hAnsi="Arial" w:cs="Arial"/>
          <w:color w:val="000000" w:themeColor="text1"/>
          <w:sz w:val="20"/>
          <w:szCs w:val="20"/>
        </w:rPr>
      </w:pPr>
    </w:p>
    <w:tbl>
      <w:tblPr>
        <w:tblStyle w:val="ListTable6Colorful"/>
        <w:tblW w:w="0" w:type="auto"/>
        <w:jc w:val="center"/>
        <w:tblLook w:val="00A0" w:firstRow="1" w:lastRow="0" w:firstColumn="1" w:lastColumn="0" w:noHBand="0" w:noVBand="0"/>
      </w:tblPr>
      <w:tblGrid>
        <w:gridCol w:w="3054"/>
        <w:gridCol w:w="859"/>
        <w:gridCol w:w="1078"/>
        <w:gridCol w:w="1139"/>
        <w:gridCol w:w="1014"/>
        <w:gridCol w:w="1082"/>
        <w:gridCol w:w="1290"/>
      </w:tblGrid>
      <w:tr w:rsidR="00F16A08" w:rsidRPr="00F16A08" w14:paraId="2B35B2F0" w14:textId="77777777" w:rsidTr="001404FA">
        <w:trPr>
          <w:cnfStyle w:val="100000000000" w:firstRow="1" w:lastRow="0" w:firstColumn="0" w:lastColumn="0" w:oddVBand="0" w:evenVBand="0" w:oddHBand="0" w:evenHBand="0" w:firstRowFirstColumn="0" w:firstRowLastColumn="0" w:lastRowFirstColumn="0" w:lastRowLastColumn="0"/>
          <w:trHeight w:val="762"/>
          <w:jc w:val="center"/>
        </w:trPr>
        <w:tc>
          <w:tcPr>
            <w:cnfStyle w:val="001000000000" w:firstRow="0" w:lastRow="0" w:firstColumn="1" w:lastColumn="0" w:oddVBand="0" w:evenVBand="0" w:oddHBand="0" w:evenHBand="0" w:firstRowFirstColumn="0" w:firstRowLastColumn="0" w:lastRowFirstColumn="0" w:lastRowLastColumn="0"/>
            <w:tcW w:w="3054" w:type="dxa"/>
          </w:tcPr>
          <w:p w14:paraId="54BF9AD6" w14:textId="77777777" w:rsidR="00DE61A6" w:rsidRPr="00F16A08" w:rsidRDefault="00DE61A6" w:rsidP="00DE0D81">
            <w:pPr>
              <w:jc w:val="center"/>
              <w:rPr>
                <w:rFonts w:ascii="Arial" w:hAnsi="Arial" w:cs="Arial"/>
                <w:b w:val="0"/>
                <w:sz w:val="20"/>
                <w:szCs w:val="20"/>
              </w:rPr>
            </w:pPr>
            <w:r w:rsidRPr="00F16A08">
              <w:rPr>
                <w:rFonts w:ascii="Arial" w:hAnsi="Arial" w:cs="Arial"/>
                <w:sz w:val="20"/>
                <w:szCs w:val="20"/>
              </w:rPr>
              <w:t xml:space="preserve">Level of </w:t>
            </w:r>
            <w:r w:rsidRPr="00F16A08">
              <w:rPr>
                <w:rFonts w:ascii="Arial" w:hAnsi="Arial" w:cs="Arial"/>
                <w:sz w:val="20"/>
                <w:szCs w:val="20"/>
                <w:lang w:val="en-IN"/>
              </w:rPr>
              <w:t xml:space="preserve">knowledge  </w:t>
            </w:r>
          </w:p>
        </w:tc>
        <w:tc>
          <w:tcPr>
            <w:cnfStyle w:val="000010000000" w:firstRow="0" w:lastRow="0" w:firstColumn="0" w:lastColumn="0" w:oddVBand="1" w:evenVBand="0" w:oddHBand="0" w:evenHBand="0" w:firstRowFirstColumn="0" w:firstRowLastColumn="0" w:lastRowFirstColumn="0" w:lastRowLastColumn="0"/>
            <w:tcW w:w="859" w:type="dxa"/>
          </w:tcPr>
          <w:p w14:paraId="55A3F854" w14:textId="77777777" w:rsidR="00DE61A6" w:rsidRPr="00F16A08" w:rsidRDefault="00DE61A6" w:rsidP="00DE0D81">
            <w:pPr>
              <w:jc w:val="center"/>
              <w:rPr>
                <w:rFonts w:ascii="Arial" w:hAnsi="Arial" w:cs="Arial"/>
                <w:b w:val="0"/>
                <w:i/>
                <w:iCs/>
                <w:sz w:val="20"/>
                <w:szCs w:val="20"/>
              </w:rPr>
            </w:pPr>
            <w:r w:rsidRPr="00F16A08">
              <w:rPr>
                <w:rFonts w:ascii="Arial" w:hAnsi="Arial" w:cs="Arial"/>
                <w:i/>
                <w:iCs/>
                <w:sz w:val="20"/>
                <w:szCs w:val="20"/>
              </w:rPr>
              <w:t>f</w:t>
            </w:r>
          </w:p>
        </w:tc>
        <w:tc>
          <w:tcPr>
            <w:tcW w:w="1078" w:type="dxa"/>
          </w:tcPr>
          <w:p w14:paraId="0E7AA0A2"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sz w:val="20"/>
                <w:szCs w:val="20"/>
              </w:rPr>
            </w:pPr>
            <w:r w:rsidRPr="00F16A08">
              <w:rPr>
                <w:rFonts w:ascii="Arial" w:hAnsi="Arial" w:cs="Arial"/>
                <w:i/>
                <w:iCs/>
                <w:sz w:val="20"/>
                <w:szCs w:val="20"/>
              </w:rPr>
              <w:t>%</w:t>
            </w:r>
          </w:p>
        </w:tc>
        <w:tc>
          <w:tcPr>
            <w:cnfStyle w:val="000010000000" w:firstRow="0" w:lastRow="0" w:firstColumn="0" w:lastColumn="0" w:oddVBand="1" w:evenVBand="0" w:oddHBand="0" w:evenHBand="0" w:firstRowFirstColumn="0" w:firstRowLastColumn="0" w:lastRowFirstColumn="0" w:lastRowLastColumn="0"/>
            <w:tcW w:w="1139" w:type="dxa"/>
          </w:tcPr>
          <w:p w14:paraId="117132D5" w14:textId="77777777" w:rsidR="00DE61A6" w:rsidRPr="00F16A08" w:rsidRDefault="00DE61A6" w:rsidP="00DE0D81">
            <w:pPr>
              <w:jc w:val="center"/>
              <w:rPr>
                <w:rFonts w:ascii="Arial" w:hAnsi="Arial" w:cs="Arial"/>
                <w:b w:val="0"/>
                <w:sz w:val="20"/>
                <w:szCs w:val="20"/>
              </w:rPr>
            </w:pPr>
            <w:r w:rsidRPr="00F16A08">
              <w:rPr>
                <w:rFonts w:ascii="Arial" w:hAnsi="Arial" w:cs="Arial"/>
                <w:sz w:val="20"/>
                <w:szCs w:val="20"/>
              </w:rPr>
              <w:t>Score range</w:t>
            </w:r>
          </w:p>
        </w:tc>
        <w:tc>
          <w:tcPr>
            <w:tcW w:w="1014" w:type="dxa"/>
          </w:tcPr>
          <w:p w14:paraId="3EB7CFE6"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16A08">
              <w:rPr>
                <w:rFonts w:ascii="Arial" w:hAnsi="Arial" w:cs="Arial"/>
                <w:sz w:val="20"/>
                <w:szCs w:val="20"/>
              </w:rPr>
              <w:t>Median</w:t>
            </w:r>
          </w:p>
        </w:tc>
        <w:tc>
          <w:tcPr>
            <w:cnfStyle w:val="000010000000" w:firstRow="0" w:lastRow="0" w:firstColumn="0" w:lastColumn="0" w:oddVBand="1" w:evenVBand="0" w:oddHBand="0" w:evenHBand="0" w:firstRowFirstColumn="0" w:firstRowLastColumn="0" w:lastRowFirstColumn="0" w:lastRowLastColumn="0"/>
            <w:tcW w:w="1082" w:type="dxa"/>
          </w:tcPr>
          <w:p w14:paraId="2CAF7F13" w14:textId="77777777" w:rsidR="00DE61A6" w:rsidRPr="00F16A08" w:rsidRDefault="00DE61A6" w:rsidP="00DE0D81">
            <w:pPr>
              <w:jc w:val="center"/>
              <w:rPr>
                <w:rFonts w:ascii="Arial" w:hAnsi="Arial" w:cs="Arial"/>
                <w:b w:val="0"/>
                <w:sz w:val="20"/>
                <w:szCs w:val="20"/>
              </w:rPr>
            </w:pPr>
            <w:r w:rsidRPr="00F16A08">
              <w:rPr>
                <w:rFonts w:ascii="Arial" w:hAnsi="Arial" w:cs="Arial"/>
                <w:sz w:val="20"/>
                <w:szCs w:val="20"/>
              </w:rPr>
              <w:t>Mean</w:t>
            </w:r>
          </w:p>
        </w:tc>
        <w:tc>
          <w:tcPr>
            <w:tcW w:w="1290" w:type="dxa"/>
          </w:tcPr>
          <w:p w14:paraId="63AAD18B"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16A08">
              <w:rPr>
                <w:rFonts w:ascii="Arial" w:hAnsi="Arial" w:cs="Arial"/>
                <w:sz w:val="20"/>
                <w:szCs w:val="20"/>
              </w:rPr>
              <w:t>SD</w:t>
            </w:r>
          </w:p>
        </w:tc>
      </w:tr>
      <w:tr w:rsidR="00F16A08" w:rsidRPr="00F16A08" w14:paraId="0BECD300" w14:textId="77777777" w:rsidTr="001404FA">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3054" w:type="dxa"/>
          </w:tcPr>
          <w:p w14:paraId="461E7B2D" w14:textId="77777777" w:rsidR="00DE61A6" w:rsidRPr="00F16A08" w:rsidRDefault="00DE61A6" w:rsidP="00DE0D81">
            <w:pPr>
              <w:rPr>
                <w:rFonts w:ascii="Arial" w:hAnsi="Arial" w:cs="Arial"/>
                <w:b w:val="0"/>
                <w:bCs w:val="0"/>
                <w:sz w:val="20"/>
                <w:szCs w:val="20"/>
              </w:rPr>
            </w:pPr>
            <w:r w:rsidRPr="00F16A08">
              <w:rPr>
                <w:rFonts w:ascii="Arial" w:hAnsi="Arial" w:cs="Arial"/>
                <w:sz w:val="20"/>
                <w:szCs w:val="20"/>
              </w:rPr>
              <w:t xml:space="preserve">Inadequate </w:t>
            </w:r>
          </w:p>
        </w:tc>
        <w:tc>
          <w:tcPr>
            <w:cnfStyle w:val="000010000000" w:firstRow="0" w:lastRow="0" w:firstColumn="0" w:lastColumn="0" w:oddVBand="1" w:evenVBand="0" w:oddHBand="0" w:evenHBand="0" w:firstRowFirstColumn="0" w:firstRowLastColumn="0" w:lastRowFirstColumn="0" w:lastRowLastColumn="0"/>
            <w:tcW w:w="859" w:type="dxa"/>
          </w:tcPr>
          <w:p w14:paraId="1A684CF5"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t>41</w:t>
            </w:r>
          </w:p>
        </w:tc>
        <w:tc>
          <w:tcPr>
            <w:tcW w:w="1078" w:type="dxa"/>
          </w:tcPr>
          <w:p w14:paraId="2E5D242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16A08">
              <w:rPr>
                <w:rFonts w:ascii="Arial" w:hAnsi="Arial" w:cs="Arial"/>
                <w:sz w:val="20"/>
                <w:szCs w:val="20"/>
              </w:rPr>
              <w:t>21.4</w:t>
            </w:r>
          </w:p>
        </w:tc>
        <w:tc>
          <w:tcPr>
            <w:cnfStyle w:val="000010000000" w:firstRow="0" w:lastRow="0" w:firstColumn="0" w:lastColumn="0" w:oddVBand="1" w:evenVBand="0" w:oddHBand="0" w:evenHBand="0" w:firstRowFirstColumn="0" w:firstRowLastColumn="0" w:lastRowFirstColumn="0" w:lastRowLastColumn="0"/>
            <w:tcW w:w="1139" w:type="dxa"/>
            <w:vMerge w:val="restart"/>
          </w:tcPr>
          <w:p w14:paraId="4640BB24"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t>2-15</w:t>
            </w:r>
          </w:p>
          <w:p w14:paraId="3C583F27"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lastRenderedPageBreak/>
              <w:t>10</w:t>
            </w:r>
          </w:p>
        </w:tc>
        <w:tc>
          <w:tcPr>
            <w:tcW w:w="1014" w:type="dxa"/>
            <w:vMerge w:val="restart"/>
          </w:tcPr>
          <w:p w14:paraId="207B844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8F3C3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16A08">
              <w:rPr>
                <w:rFonts w:ascii="Arial" w:hAnsi="Arial" w:cs="Arial"/>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1082" w:type="dxa"/>
            <w:vMerge w:val="restart"/>
          </w:tcPr>
          <w:p w14:paraId="3B06C7D4" w14:textId="77777777" w:rsidR="00DE61A6" w:rsidRPr="00F16A08" w:rsidRDefault="00DE61A6" w:rsidP="00DE0D81">
            <w:pPr>
              <w:jc w:val="center"/>
              <w:rPr>
                <w:rFonts w:ascii="Arial" w:hAnsi="Arial" w:cs="Arial"/>
                <w:sz w:val="20"/>
                <w:szCs w:val="20"/>
              </w:rPr>
            </w:pPr>
          </w:p>
          <w:p w14:paraId="0E2CD76D"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lastRenderedPageBreak/>
              <w:t>7.14</w:t>
            </w:r>
          </w:p>
        </w:tc>
        <w:tc>
          <w:tcPr>
            <w:tcW w:w="1290" w:type="dxa"/>
            <w:vMerge w:val="restart"/>
          </w:tcPr>
          <w:p w14:paraId="6951280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7A17B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16A08">
              <w:rPr>
                <w:rFonts w:ascii="Arial" w:hAnsi="Arial" w:cs="Arial"/>
                <w:sz w:val="20"/>
                <w:szCs w:val="20"/>
              </w:rPr>
              <w:lastRenderedPageBreak/>
              <w:t>1.94</w:t>
            </w:r>
          </w:p>
        </w:tc>
      </w:tr>
      <w:tr w:rsidR="00F16A08" w:rsidRPr="00F16A08" w14:paraId="38B36453" w14:textId="77777777" w:rsidTr="001404FA">
        <w:trPr>
          <w:trHeight w:val="220"/>
          <w:jc w:val="center"/>
        </w:trPr>
        <w:tc>
          <w:tcPr>
            <w:cnfStyle w:val="001000000000" w:firstRow="0" w:lastRow="0" w:firstColumn="1" w:lastColumn="0" w:oddVBand="0" w:evenVBand="0" w:oddHBand="0" w:evenHBand="0" w:firstRowFirstColumn="0" w:firstRowLastColumn="0" w:lastRowFirstColumn="0" w:lastRowLastColumn="0"/>
            <w:tcW w:w="3054" w:type="dxa"/>
          </w:tcPr>
          <w:p w14:paraId="176762B8" w14:textId="77777777" w:rsidR="00DE61A6" w:rsidRPr="00F16A08" w:rsidRDefault="00DE61A6" w:rsidP="00DE0D81">
            <w:pPr>
              <w:rPr>
                <w:rFonts w:ascii="Arial" w:hAnsi="Arial" w:cs="Arial"/>
                <w:b w:val="0"/>
                <w:bCs w:val="0"/>
                <w:sz w:val="20"/>
                <w:szCs w:val="20"/>
              </w:rPr>
            </w:pPr>
            <w:r w:rsidRPr="00F16A08">
              <w:rPr>
                <w:rFonts w:ascii="Arial" w:hAnsi="Arial" w:cs="Arial"/>
                <w:sz w:val="20"/>
                <w:szCs w:val="20"/>
              </w:rPr>
              <w:lastRenderedPageBreak/>
              <w:t xml:space="preserve">Moderate </w:t>
            </w:r>
          </w:p>
        </w:tc>
        <w:tc>
          <w:tcPr>
            <w:cnfStyle w:val="000010000000" w:firstRow="0" w:lastRow="0" w:firstColumn="0" w:lastColumn="0" w:oddVBand="1" w:evenVBand="0" w:oddHBand="0" w:evenHBand="0" w:firstRowFirstColumn="0" w:firstRowLastColumn="0" w:lastRowFirstColumn="0" w:lastRowLastColumn="0"/>
            <w:tcW w:w="859" w:type="dxa"/>
          </w:tcPr>
          <w:p w14:paraId="7442FDC3"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t>146</w:t>
            </w:r>
          </w:p>
        </w:tc>
        <w:tc>
          <w:tcPr>
            <w:tcW w:w="1078" w:type="dxa"/>
          </w:tcPr>
          <w:p w14:paraId="490E28A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6A08">
              <w:rPr>
                <w:rFonts w:ascii="Arial" w:hAnsi="Arial" w:cs="Arial"/>
                <w:sz w:val="20"/>
                <w:szCs w:val="20"/>
              </w:rPr>
              <w:t>76</w:t>
            </w:r>
          </w:p>
        </w:tc>
        <w:tc>
          <w:tcPr>
            <w:cnfStyle w:val="000010000000" w:firstRow="0" w:lastRow="0" w:firstColumn="0" w:lastColumn="0" w:oddVBand="1" w:evenVBand="0" w:oddHBand="0" w:evenHBand="0" w:firstRowFirstColumn="0" w:firstRowLastColumn="0" w:lastRowFirstColumn="0" w:lastRowLastColumn="0"/>
            <w:tcW w:w="1139" w:type="dxa"/>
            <w:vMerge/>
          </w:tcPr>
          <w:p w14:paraId="3F39C65D" w14:textId="77777777" w:rsidR="00DE61A6" w:rsidRPr="00F16A08" w:rsidRDefault="00DE61A6" w:rsidP="00DE0D81">
            <w:pPr>
              <w:jc w:val="center"/>
              <w:rPr>
                <w:rFonts w:ascii="Arial" w:hAnsi="Arial" w:cs="Arial"/>
                <w:sz w:val="20"/>
                <w:szCs w:val="20"/>
              </w:rPr>
            </w:pPr>
          </w:p>
        </w:tc>
        <w:tc>
          <w:tcPr>
            <w:tcW w:w="1014" w:type="dxa"/>
            <w:vMerge/>
          </w:tcPr>
          <w:p w14:paraId="267BACC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082" w:type="dxa"/>
            <w:vMerge/>
          </w:tcPr>
          <w:p w14:paraId="719F798C" w14:textId="77777777" w:rsidR="00DE61A6" w:rsidRPr="00F16A08" w:rsidRDefault="00DE61A6" w:rsidP="00DE0D81">
            <w:pPr>
              <w:jc w:val="center"/>
              <w:rPr>
                <w:rFonts w:ascii="Arial" w:hAnsi="Arial" w:cs="Arial"/>
                <w:sz w:val="20"/>
                <w:szCs w:val="20"/>
              </w:rPr>
            </w:pPr>
          </w:p>
        </w:tc>
        <w:tc>
          <w:tcPr>
            <w:tcW w:w="1290" w:type="dxa"/>
            <w:vMerge/>
          </w:tcPr>
          <w:p w14:paraId="0E06DF5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16A08" w:rsidRPr="00F16A08" w14:paraId="5646CE57" w14:textId="77777777" w:rsidTr="001404F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054" w:type="dxa"/>
          </w:tcPr>
          <w:p w14:paraId="551C9BD1" w14:textId="77777777" w:rsidR="00DE61A6" w:rsidRPr="00F16A08" w:rsidRDefault="00DE61A6" w:rsidP="00DE0D81">
            <w:pPr>
              <w:rPr>
                <w:rFonts w:ascii="Arial" w:hAnsi="Arial" w:cs="Arial"/>
                <w:b w:val="0"/>
                <w:bCs w:val="0"/>
                <w:sz w:val="20"/>
                <w:szCs w:val="20"/>
              </w:rPr>
            </w:pPr>
            <w:r w:rsidRPr="00F16A08">
              <w:rPr>
                <w:rFonts w:ascii="Arial" w:hAnsi="Arial" w:cs="Arial"/>
                <w:sz w:val="20"/>
                <w:szCs w:val="20"/>
              </w:rPr>
              <w:t xml:space="preserve">Adequate </w:t>
            </w:r>
          </w:p>
        </w:tc>
        <w:tc>
          <w:tcPr>
            <w:cnfStyle w:val="000010000000" w:firstRow="0" w:lastRow="0" w:firstColumn="0" w:lastColumn="0" w:oddVBand="1" w:evenVBand="0" w:oddHBand="0" w:evenHBand="0" w:firstRowFirstColumn="0" w:firstRowLastColumn="0" w:lastRowFirstColumn="0" w:lastRowLastColumn="0"/>
            <w:tcW w:w="859" w:type="dxa"/>
          </w:tcPr>
          <w:p w14:paraId="45928EB2" w14:textId="77777777" w:rsidR="00DE61A6" w:rsidRPr="00F16A08" w:rsidRDefault="00DE61A6" w:rsidP="00DE0D81">
            <w:pPr>
              <w:jc w:val="center"/>
              <w:rPr>
                <w:rFonts w:ascii="Arial" w:hAnsi="Arial" w:cs="Arial"/>
                <w:sz w:val="20"/>
                <w:szCs w:val="20"/>
              </w:rPr>
            </w:pPr>
            <w:r w:rsidRPr="00F16A08">
              <w:rPr>
                <w:rFonts w:ascii="Arial" w:hAnsi="Arial" w:cs="Arial"/>
                <w:sz w:val="20"/>
                <w:szCs w:val="20"/>
              </w:rPr>
              <w:t>5</w:t>
            </w:r>
          </w:p>
        </w:tc>
        <w:tc>
          <w:tcPr>
            <w:tcW w:w="1078" w:type="dxa"/>
          </w:tcPr>
          <w:p w14:paraId="2279207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16A08">
              <w:rPr>
                <w:rFonts w:ascii="Arial" w:hAnsi="Arial" w:cs="Arial"/>
                <w:sz w:val="20"/>
                <w:szCs w:val="20"/>
              </w:rPr>
              <w:t>2.6</w:t>
            </w:r>
          </w:p>
        </w:tc>
        <w:tc>
          <w:tcPr>
            <w:cnfStyle w:val="000010000000" w:firstRow="0" w:lastRow="0" w:firstColumn="0" w:lastColumn="0" w:oddVBand="1" w:evenVBand="0" w:oddHBand="0" w:evenHBand="0" w:firstRowFirstColumn="0" w:firstRowLastColumn="0" w:lastRowFirstColumn="0" w:lastRowLastColumn="0"/>
            <w:tcW w:w="1139" w:type="dxa"/>
            <w:vMerge/>
          </w:tcPr>
          <w:p w14:paraId="1BDFABAF" w14:textId="77777777" w:rsidR="00DE61A6" w:rsidRPr="00F16A08" w:rsidRDefault="00DE61A6" w:rsidP="00DE0D81">
            <w:pPr>
              <w:jc w:val="center"/>
              <w:rPr>
                <w:rFonts w:ascii="Arial" w:hAnsi="Arial" w:cs="Arial"/>
                <w:sz w:val="20"/>
                <w:szCs w:val="20"/>
              </w:rPr>
            </w:pPr>
          </w:p>
        </w:tc>
        <w:tc>
          <w:tcPr>
            <w:tcW w:w="1014" w:type="dxa"/>
            <w:vMerge/>
          </w:tcPr>
          <w:p w14:paraId="6ECA175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082" w:type="dxa"/>
            <w:vMerge/>
          </w:tcPr>
          <w:p w14:paraId="59EF2CDD" w14:textId="77777777" w:rsidR="00DE61A6" w:rsidRPr="00F16A08" w:rsidRDefault="00DE61A6" w:rsidP="00DE0D81">
            <w:pPr>
              <w:jc w:val="center"/>
              <w:rPr>
                <w:rFonts w:ascii="Arial" w:hAnsi="Arial" w:cs="Arial"/>
                <w:sz w:val="20"/>
                <w:szCs w:val="20"/>
              </w:rPr>
            </w:pPr>
          </w:p>
        </w:tc>
        <w:tc>
          <w:tcPr>
            <w:tcW w:w="1290" w:type="dxa"/>
            <w:vMerge/>
          </w:tcPr>
          <w:p w14:paraId="479911A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566D2EB" w14:textId="77777777" w:rsidR="00DE61A6" w:rsidRPr="00F16A08" w:rsidRDefault="00DE61A6" w:rsidP="00DE0D81">
      <w:pPr>
        <w:pStyle w:val="NoSpacing"/>
        <w:jc w:val="both"/>
        <w:rPr>
          <w:rFonts w:ascii="Arial" w:hAnsi="Arial" w:cs="Arial"/>
          <w:noProof/>
          <w:color w:val="000000" w:themeColor="text1"/>
          <w:sz w:val="20"/>
          <w:szCs w:val="20"/>
        </w:rPr>
      </w:pPr>
    </w:p>
    <w:p w14:paraId="2B745432" w14:textId="444F71E9" w:rsidR="00DE61A6" w:rsidRPr="00F16A08" w:rsidRDefault="00F51741" w:rsidP="00DE0D81">
      <w:pPr>
        <w:autoSpaceDE w:val="0"/>
        <w:autoSpaceDN w:val="0"/>
        <w:adjustRightInd w:val="0"/>
        <w:spacing w:after="0" w:line="240" w:lineRule="auto"/>
        <w:jc w:val="both"/>
        <w:rPr>
          <w:rFonts w:ascii="Arial" w:hAnsi="Arial" w:cs="Arial"/>
          <w:b/>
          <w:color w:val="000000" w:themeColor="text1"/>
          <w:sz w:val="20"/>
          <w:szCs w:val="20"/>
        </w:rPr>
      </w:pPr>
      <w:r w:rsidRPr="00F16A08">
        <w:rPr>
          <w:rFonts w:ascii="Arial" w:hAnsi="Arial" w:cs="Arial"/>
          <w:noProof/>
          <w:color w:val="000000" w:themeColor="text1"/>
          <w:kern w:val="0"/>
          <w:sz w:val="20"/>
          <w:szCs w:val="20"/>
          <w:lang w:val="en-US"/>
          <w14:ligatures w14:val="none"/>
        </w:rPr>
        <w:t>The majority of participants (76%) had moderate knowledge about STIs, indicating only a basic understanding of transmission, symptoms, and prevention. About 21.4% showed inadequate knowledge, revealing notable gaps that may increase vulnerability to infections. Only 2.6% demonstrated adequate knowledge, highlighting the urgent need for strengthened sexual health education. The mean knowledge score was 7.14 (SD = 1.94) with a median of 7, showing that most students scored below half of the total achievable score, reflecting overall suboptimal knowledge levels</w:t>
      </w:r>
      <w:r w:rsidR="008F6B52" w:rsidRPr="00F16A08">
        <w:rPr>
          <w:rFonts w:ascii="Arial" w:hAnsi="Arial" w:cs="Arial"/>
          <w:noProof/>
          <w:color w:val="000000" w:themeColor="text1"/>
          <w:kern w:val="0"/>
          <w:sz w:val="20"/>
          <w:szCs w:val="20"/>
          <w:lang w:val="en-US"/>
          <w14:ligatures w14:val="none"/>
        </w:rPr>
        <w:t xml:space="preserve"> [Table 2]</w:t>
      </w:r>
      <w:r w:rsidRPr="00F16A08">
        <w:rPr>
          <w:rFonts w:ascii="Arial" w:hAnsi="Arial" w:cs="Arial"/>
          <w:noProof/>
          <w:color w:val="000000" w:themeColor="text1"/>
          <w:kern w:val="0"/>
          <w:sz w:val="20"/>
          <w:szCs w:val="20"/>
          <w:lang w:val="en-US"/>
          <w14:ligatures w14:val="none"/>
        </w:rPr>
        <w:t>.</w:t>
      </w:r>
    </w:p>
    <w:p w14:paraId="636D5562" w14:textId="77777777" w:rsidR="000A3A79" w:rsidRPr="00F16A08" w:rsidRDefault="000A3A79" w:rsidP="00DE0D81">
      <w:pPr>
        <w:spacing w:after="0" w:line="240" w:lineRule="auto"/>
        <w:jc w:val="both"/>
        <w:rPr>
          <w:rFonts w:ascii="Arial" w:hAnsi="Arial" w:cs="Arial"/>
          <w:bCs/>
          <w:color w:val="000000" w:themeColor="text1"/>
          <w:sz w:val="20"/>
          <w:szCs w:val="20"/>
        </w:rPr>
      </w:pPr>
    </w:p>
    <w:p w14:paraId="28CED530" w14:textId="022BBFE5" w:rsidR="00DE61A6" w:rsidRPr="00F16A08" w:rsidRDefault="00DE61A6" w:rsidP="00DE0D81">
      <w:pPr>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3: Distribution of </w:t>
      </w:r>
      <w:r w:rsidRPr="00F16A08">
        <w:rPr>
          <w:rFonts w:ascii="Arial" w:hAnsi="Arial" w:cs="Arial"/>
          <w:b/>
          <w:color w:val="000000" w:themeColor="text1"/>
          <w:sz w:val="20"/>
          <w:szCs w:val="20"/>
          <w:shd w:val="clear" w:color="auto" w:fill="FFFFFF"/>
        </w:rPr>
        <w:t xml:space="preserve">level of </w:t>
      </w:r>
      <w:r w:rsidRPr="00F16A08">
        <w:rPr>
          <w:rFonts w:ascii="Arial" w:hAnsi="Arial" w:cs="Arial"/>
          <w:b/>
          <w:color w:val="000000" w:themeColor="text1"/>
          <w:sz w:val="20"/>
          <w:szCs w:val="20"/>
        </w:rPr>
        <w:t>attitude towards Sexually Transmitted Infections (STIs) among College Students in Sikkim Manipal University</w:t>
      </w:r>
    </w:p>
    <w:p w14:paraId="21D54FCE" w14:textId="77777777" w:rsidR="00DE61A6" w:rsidRPr="00F16A08" w:rsidRDefault="00DE61A6" w:rsidP="00DE0D81">
      <w:pPr>
        <w:pStyle w:val="Default"/>
        <w:jc w:val="right"/>
        <w:rPr>
          <w:rFonts w:ascii="Arial" w:hAnsi="Arial" w:cs="Arial"/>
          <w:color w:val="000000" w:themeColor="text1"/>
          <w:sz w:val="20"/>
          <w:szCs w:val="20"/>
        </w:rPr>
      </w:pP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t>N=192</w:t>
      </w:r>
    </w:p>
    <w:tbl>
      <w:tblPr>
        <w:tblStyle w:val="PlainTable2"/>
        <w:tblW w:w="0" w:type="auto"/>
        <w:jc w:val="center"/>
        <w:tblLook w:val="04A0" w:firstRow="1" w:lastRow="0" w:firstColumn="1" w:lastColumn="0" w:noHBand="0" w:noVBand="1"/>
      </w:tblPr>
      <w:tblGrid>
        <w:gridCol w:w="2701"/>
        <w:gridCol w:w="863"/>
        <w:gridCol w:w="1082"/>
        <w:gridCol w:w="1144"/>
        <w:gridCol w:w="1018"/>
        <w:gridCol w:w="1086"/>
        <w:gridCol w:w="1683"/>
      </w:tblGrid>
      <w:tr w:rsidR="00F16A08" w:rsidRPr="00F16A08" w14:paraId="5C69A9E6" w14:textId="77777777" w:rsidTr="001404FA">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2701" w:type="dxa"/>
          </w:tcPr>
          <w:p w14:paraId="0F63629D" w14:textId="77777777" w:rsidR="00DE61A6" w:rsidRPr="00F16A08" w:rsidRDefault="00DE61A6" w:rsidP="00DE0D81">
            <w:pPr>
              <w:jc w:val="center"/>
              <w:rPr>
                <w:rFonts w:ascii="Arial" w:hAnsi="Arial" w:cs="Arial"/>
                <w:color w:val="000000" w:themeColor="text1"/>
                <w:sz w:val="20"/>
                <w:szCs w:val="20"/>
                <w:lang w:val="en-IN"/>
              </w:rPr>
            </w:pPr>
            <w:r w:rsidRPr="00F16A08">
              <w:rPr>
                <w:rFonts w:ascii="Arial" w:hAnsi="Arial" w:cs="Arial"/>
                <w:color w:val="000000" w:themeColor="text1"/>
                <w:sz w:val="20"/>
                <w:szCs w:val="20"/>
              </w:rPr>
              <w:t xml:space="preserve">Level of </w:t>
            </w:r>
            <w:r w:rsidRPr="00F16A08">
              <w:rPr>
                <w:rFonts w:ascii="Arial" w:hAnsi="Arial" w:cs="Arial"/>
                <w:color w:val="000000" w:themeColor="text1"/>
                <w:sz w:val="20"/>
                <w:szCs w:val="20"/>
                <w:lang w:val="en-IN"/>
              </w:rPr>
              <w:t xml:space="preserve">attitude  </w:t>
            </w:r>
          </w:p>
        </w:tc>
        <w:tc>
          <w:tcPr>
            <w:tcW w:w="863" w:type="dxa"/>
          </w:tcPr>
          <w:p w14:paraId="72CACD2A"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f</w:t>
            </w:r>
          </w:p>
        </w:tc>
        <w:tc>
          <w:tcPr>
            <w:tcW w:w="1082" w:type="dxa"/>
          </w:tcPr>
          <w:p w14:paraId="692DC3EF"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w:t>
            </w:r>
          </w:p>
        </w:tc>
        <w:tc>
          <w:tcPr>
            <w:tcW w:w="1144" w:type="dxa"/>
          </w:tcPr>
          <w:p w14:paraId="1BC29572"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Score range</w:t>
            </w:r>
          </w:p>
        </w:tc>
        <w:tc>
          <w:tcPr>
            <w:tcW w:w="1018" w:type="dxa"/>
          </w:tcPr>
          <w:p w14:paraId="12EC064A"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Median</w:t>
            </w:r>
          </w:p>
        </w:tc>
        <w:tc>
          <w:tcPr>
            <w:tcW w:w="1086" w:type="dxa"/>
          </w:tcPr>
          <w:p w14:paraId="03BA107D"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Mean</w:t>
            </w:r>
          </w:p>
        </w:tc>
        <w:tc>
          <w:tcPr>
            <w:tcW w:w="1683" w:type="dxa"/>
          </w:tcPr>
          <w:p w14:paraId="14174974"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SD</w:t>
            </w:r>
          </w:p>
        </w:tc>
      </w:tr>
      <w:tr w:rsidR="00F16A08" w:rsidRPr="00F16A08" w14:paraId="35AFC0EF" w14:textId="77777777" w:rsidTr="001404F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01" w:type="dxa"/>
          </w:tcPr>
          <w:p w14:paraId="5CA7D6B0"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Unfavorable </w:t>
            </w:r>
          </w:p>
        </w:tc>
        <w:tc>
          <w:tcPr>
            <w:tcW w:w="863" w:type="dxa"/>
          </w:tcPr>
          <w:p w14:paraId="2DE3FAA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96</w:t>
            </w:r>
          </w:p>
        </w:tc>
        <w:tc>
          <w:tcPr>
            <w:tcW w:w="1082" w:type="dxa"/>
          </w:tcPr>
          <w:p w14:paraId="1E129A0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50</w:t>
            </w:r>
          </w:p>
        </w:tc>
        <w:tc>
          <w:tcPr>
            <w:tcW w:w="1144" w:type="dxa"/>
            <w:vMerge w:val="restart"/>
          </w:tcPr>
          <w:p w14:paraId="4AACBAF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20-57</w:t>
            </w:r>
          </w:p>
          <w:p w14:paraId="5F8D723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37</w:t>
            </w:r>
          </w:p>
        </w:tc>
        <w:tc>
          <w:tcPr>
            <w:tcW w:w="1018" w:type="dxa"/>
            <w:vMerge w:val="restart"/>
          </w:tcPr>
          <w:p w14:paraId="5062A12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2CE6AA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44</w:t>
            </w:r>
          </w:p>
        </w:tc>
        <w:tc>
          <w:tcPr>
            <w:tcW w:w="1086" w:type="dxa"/>
            <w:vMerge w:val="restart"/>
          </w:tcPr>
          <w:p w14:paraId="73DF708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DED94E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44.26</w:t>
            </w:r>
          </w:p>
        </w:tc>
        <w:tc>
          <w:tcPr>
            <w:tcW w:w="1683" w:type="dxa"/>
            <w:vMerge w:val="restart"/>
          </w:tcPr>
          <w:p w14:paraId="7E757CD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C431CA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7.06</w:t>
            </w:r>
          </w:p>
        </w:tc>
      </w:tr>
      <w:tr w:rsidR="00F16A08" w:rsidRPr="00F16A08" w14:paraId="6FC28846" w14:textId="77777777" w:rsidTr="001404FA">
        <w:trPr>
          <w:trHeight w:val="159"/>
          <w:jc w:val="center"/>
        </w:trPr>
        <w:tc>
          <w:tcPr>
            <w:cnfStyle w:val="001000000000" w:firstRow="0" w:lastRow="0" w:firstColumn="1" w:lastColumn="0" w:oddVBand="0" w:evenVBand="0" w:oddHBand="0" w:evenHBand="0" w:firstRowFirstColumn="0" w:firstRowLastColumn="0" w:lastRowFirstColumn="0" w:lastRowLastColumn="0"/>
            <w:tcW w:w="2701" w:type="dxa"/>
          </w:tcPr>
          <w:p w14:paraId="3289718F"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Neutral  </w:t>
            </w:r>
          </w:p>
        </w:tc>
        <w:tc>
          <w:tcPr>
            <w:tcW w:w="863" w:type="dxa"/>
          </w:tcPr>
          <w:p w14:paraId="5DD6418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96</w:t>
            </w:r>
          </w:p>
        </w:tc>
        <w:tc>
          <w:tcPr>
            <w:tcW w:w="1082" w:type="dxa"/>
          </w:tcPr>
          <w:p w14:paraId="7F9CDC4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50</w:t>
            </w:r>
          </w:p>
        </w:tc>
        <w:tc>
          <w:tcPr>
            <w:tcW w:w="1144" w:type="dxa"/>
            <w:vMerge/>
          </w:tcPr>
          <w:p w14:paraId="3FBBF39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18" w:type="dxa"/>
            <w:vMerge/>
          </w:tcPr>
          <w:p w14:paraId="287C2F7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86" w:type="dxa"/>
            <w:vMerge/>
          </w:tcPr>
          <w:p w14:paraId="3F3497C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83" w:type="dxa"/>
            <w:vMerge/>
          </w:tcPr>
          <w:p w14:paraId="5FAFA10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F16A08" w:rsidRPr="00F16A08" w14:paraId="4E78ED20" w14:textId="77777777" w:rsidTr="001404F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701" w:type="dxa"/>
          </w:tcPr>
          <w:p w14:paraId="14F2DEBE"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Favorable </w:t>
            </w:r>
          </w:p>
        </w:tc>
        <w:tc>
          <w:tcPr>
            <w:tcW w:w="863" w:type="dxa"/>
          </w:tcPr>
          <w:p w14:paraId="4457D57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82" w:type="dxa"/>
          </w:tcPr>
          <w:p w14:paraId="78A644F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144" w:type="dxa"/>
            <w:vMerge/>
          </w:tcPr>
          <w:p w14:paraId="1DB1DF0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18" w:type="dxa"/>
            <w:vMerge/>
          </w:tcPr>
          <w:p w14:paraId="4BC4E04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86" w:type="dxa"/>
            <w:vMerge/>
          </w:tcPr>
          <w:p w14:paraId="5ADD2FD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683" w:type="dxa"/>
            <w:vMerge/>
          </w:tcPr>
          <w:p w14:paraId="7280B3A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102DCE5A" w14:textId="77777777" w:rsidR="00DE61A6" w:rsidRPr="00F16A08" w:rsidRDefault="00DE61A6" w:rsidP="00DE0D81">
      <w:pPr>
        <w:spacing w:after="0" w:line="240" w:lineRule="auto"/>
        <w:jc w:val="center"/>
        <w:rPr>
          <w:rFonts w:ascii="Arial" w:hAnsi="Arial" w:cs="Arial"/>
          <w:b/>
          <w:bCs/>
          <w:color w:val="000000" w:themeColor="text1"/>
          <w:sz w:val="20"/>
          <w:szCs w:val="20"/>
        </w:rPr>
      </w:pPr>
    </w:p>
    <w:p w14:paraId="3EF8799B" w14:textId="571DC23C" w:rsidR="00DE61A6" w:rsidRPr="00F16A08" w:rsidRDefault="00F51741" w:rsidP="00DE0D81">
      <w:pPr>
        <w:pStyle w:val="NoSpacing"/>
        <w:jc w:val="both"/>
        <w:rPr>
          <w:rFonts w:ascii="Arial" w:hAnsi="Arial" w:cs="Arial"/>
          <w:color w:val="000000" w:themeColor="text1"/>
          <w:sz w:val="20"/>
          <w:szCs w:val="20"/>
        </w:rPr>
      </w:pPr>
      <w:r w:rsidRPr="00F16A08">
        <w:rPr>
          <w:rFonts w:ascii="Arial" w:hAnsi="Arial" w:cs="Arial"/>
          <w:color w:val="000000" w:themeColor="text1"/>
          <w:sz w:val="20"/>
          <w:szCs w:val="20"/>
        </w:rPr>
        <w:t>Half of the participants (50%) had unfavorable attitudes toward STIs, while the remaining 50% showed neutral attitudes. None demonstrated a favorable attitude, indicating the presence of stigma, discomfort, or misinformation surrounding STI-related issues. The mean attitude score was 44.26 (SD = 7.06), with a median of 44, reflecting that most students fell near the neutral-to-unfavorable range. This absence of positive attitudes may be attributed to socio-cultural taboos, limited discussion about sexual health, and inadequate exposure to comprehensive sexuality education</w:t>
      </w:r>
      <w:r w:rsidR="008F6B52" w:rsidRPr="00F16A08">
        <w:rPr>
          <w:rFonts w:ascii="Arial" w:hAnsi="Arial" w:cs="Arial"/>
          <w:color w:val="000000" w:themeColor="text1"/>
          <w:sz w:val="20"/>
          <w:szCs w:val="20"/>
        </w:rPr>
        <w:t xml:space="preserve"> [Table 3]</w:t>
      </w:r>
      <w:r w:rsidR="00DE61A6" w:rsidRPr="00F16A08">
        <w:rPr>
          <w:rFonts w:ascii="Arial" w:hAnsi="Arial" w:cs="Arial"/>
          <w:color w:val="000000" w:themeColor="text1"/>
          <w:sz w:val="20"/>
          <w:szCs w:val="20"/>
        </w:rPr>
        <w:t>.</w:t>
      </w:r>
    </w:p>
    <w:p w14:paraId="5D5E162F" w14:textId="77777777" w:rsidR="00DE61A6" w:rsidRPr="00F16A08" w:rsidRDefault="00DE61A6" w:rsidP="00DE0D81">
      <w:pPr>
        <w:tabs>
          <w:tab w:val="left" w:pos="424"/>
        </w:tabs>
        <w:spacing w:after="0" w:line="240" w:lineRule="auto"/>
        <w:rPr>
          <w:rFonts w:ascii="Arial" w:hAnsi="Arial" w:cs="Arial"/>
          <w:b/>
          <w:bCs/>
          <w:color w:val="000000" w:themeColor="text1"/>
          <w:sz w:val="20"/>
          <w:szCs w:val="20"/>
        </w:rPr>
      </w:pPr>
    </w:p>
    <w:p w14:paraId="6595B81C" w14:textId="07A6ED21" w:rsidR="00DE61A6" w:rsidRPr="00F16A08" w:rsidRDefault="00DE61A6" w:rsidP="00DE0D81">
      <w:pPr>
        <w:spacing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4: Distribution of </w:t>
      </w:r>
      <w:r w:rsidRPr="00F16A08">
        <w:rPr>
          <w:rFonts w:ascii="Arial" w:hAnsi="Arial" w:cs="Arial"/>
          <w:b/>
          <w:color w:val="000000" w:themeColor="text1"/>
          <w:sz w:val="20"/>
          <w:szCs w:val="20"/>
          <w:shd w:val="clear" w:color="auto" w:fill="FFFFFF"/>
        </w:rPr>
        <w:t xml:space="preserve">level of </w:t>
      </w:r>
      <w:r w:rsidRPr="00F16A08">
        <w:rPr>
          <w:rFonts w:ascii="Arial" w:hAnsi="Arial" w:cs="Arial"/>
          <w:b/>
          <w:color w:val="000000" w:themeColor="text1"/>
          <w:sz w:val="20"/>
          <w:szCs w:val="20"/>
        </w:rPr>
        <w:t>preventive practices towards Sexually Transmitted Infections (STIs) among College Students in Sikkim Manipal University</w:t>
      </w:r>
    </w:p>
    <w:p w14:paraId="3BC4E762" w14:textId="19D7D22E" w:rsidR="00DE61A6" w:rsidRPr="00F16A08" w:rsidRDefault="00DE61A6" w:rsidP="00DE0D81">
      <w:pPr>
        <w:pStyle w:val="Default"/>
        <w:jc w:val="right"/>
        <w:rPr>
          <w:rFonts w:ascii="Arial" w:hAnsi="Arial" w:cs="Arial"/>
          <w:color w:val="000000" w:themeColor="text1"/>
          <w:sz w:val="20"/>
          <w:szCs w:val="20"/>
        </w:rPr>
      </w:pP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t xml:space="preserve">                            N=192</w:t>
      </w:r>
    </w:p>
    <w:tbl>
      <w:tblPr>
        <w:tblStyle w:val="PlainTable2"/>
        <w:tblW w:w="0" w:type="auto"/>
        <w:tblLook w:val="04E0" w:firstRow="1" w:lastRow="1" w:firstColumn="1" w:lastColumn="0" w:noHBand="0" w:noVBand="1"/>
      </w:tblPr>
      <w:tblGrid>
        <w:gridCol w:w="3007"/>
        <w:gridCol w:w="850"/>
        <w:gridCol w:w="1066"/>
        <w:gridCol w:w="1127"/>
        <w:gridCol w:w="1003"/>
        <w:gridCol w:w="1070"/>
        <w:gridCol w:w="1484"/>
      </w:tblGrid>
      <w:tr w:rsidR="00F16A08" w:rsidRPr="00F16A08" w14:paraId="0FA0174B" w14:textId="77777777" w:rsidTr="00140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BED72F2"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 xml:space="preserve">Level of preventive practices </w:t>
            </w:r>
          </w:p>
        </w:tc>
        <w:tc>
          <w:tcPr>
            <w:tcW w:w="850" w:type="dxa"/>
          </w:tcPr>
          <w:p w14:paraId="2F5F674F"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f</w:t>
            </w:r>
          </w:p>
        </w:tc>
        <w:tc>
          <w:tcPr>
            <w:tcW w:w="1066" w:type="dxa"/>
          </w:tcPr>
          <w:p w14:paraId="7A0B20C8"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w:t>
            </w:r>
          </w:p>
        </w:tc>
        <w:tc>
          <w:tcPr>
            <w:tcW w:w="1127" w:type="dxa"/>
          </w:tcPr>
          <w:p w14:paraId="17F585C1"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Score range</w:t>
            </w:r>
          </w:p>
        </w:tc>
        <w:tc>
          <w:tcPr>
            <w:tcW w:w="1003" w:type="dxa"/>
          </w:tcPr>
          <w:p w14:paraId="41190292"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Median</w:t>
            </w:r>
          </w:p>
        </w:tc>
        <w:tc>
          <w:tcPr>
            <w:tcW w:w="1070" w:type="dxa"/>
          </w:tcPr>
          <w:p w14:paraId="7784837C"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Mean</w:t>
            </w:r>
          </w:p>
        </w:tc>
        <w:tc>
          <w:tcPr>
            <w:tcW w:w="1484" w:type="dxa"/>
          </w:tcPr>
          <w:p w14:paraId="31B53431"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SD</w:t>
            </w:r>
          </w:p>
        </w:tc>
      </w:tr>
      <w:tr w:rsidR="00F16A08" w:rsidRPr="00F16A08" w14:paraId="0EF130C8" w14:textId="77777777" w:rsidTr="00D5090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07" w:type="dxa"/>
          </w:tcPr>
          <w:p w14:paraId="0BAA4369"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Poor practice</w:t>
            </w:r>
          </w:p>
        </w:tc>
        <w:tc>
          <w:tcPr>
            <w:tcW w:w="850" w:type="dxa"/>
          </w:tcPr>
          <w:p w14:paraId="1DE8B83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94</w:t>
            </w:r>
          </w:p>
        </w:tc>
        <w:tc>
          <w:tcPr>
            <w:tcW w:w="1066" w:type="dxa"/>
          </w:tcPr>
          <w:p w14:paraId="03F0AC4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49</w:t>
            </w:r>
          </w:p>
        </w:tc>
        <w:tc>
          <w:tcPr>
            <w:tcW w:w="1127" w:type="dxa"/>
            <w:vMerge w:val="restart"/>
          </w:tcPr>
          <w:p w14:paraId="430D77B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0-12</w:t>
            </w:r>
          </w:p>
          <w:p w14:paraId="76B62DC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tc>
        <w:tc>
          <w:tcPr>
            <w:tcW w:w="1003" w:type="dxa"/>
            <w:vMerge w:val="restart"/>
          </w:tcPr>
          <w:p w14:paraId="4606E8A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2186C3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1070" w:type="dxa"/>
            <w:vMerge w:val="restart"/>
          </w:tcPr>
          <w:p w14:paraId="4DFD5FF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C58421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5.20</w:t>
            </w:r>
          </w:p>
        </w:tc>
        <w:tc>
          <w:tcPr>
            <w:tcW w:w="1484" w:type="dxa"/>
            <w:vMerge w:val="restart"/>
          </w:tcPr>
          <w:p w14:paraId="30ECCD7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792346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2.78</w:t>
            </w:r>
          </w:p>
        </w:tc>
      </w:tr>
      <w:tr w:rsidR="00F16A08" w:rsidRPr="00F16A08" w14:paraId="0B88F2CD" w14:textId="77777777" w:rsidTr="001404FA">
        <w:trPr>
          <w:trHeight w:val="175"/>
        </w:trPr>
        <w:tc>
          <w:tcPr>
            <w:cnfStyle w:val="001000000000" w:firstRow="0" w:lastRow="0" w:firstColumn="1" w:lastColumn="0" w:oddVBand="0" w:evenVBand="0" w:oddHBand="0" w:evenHBand="0" w:firstRowFirstColumn="0" w:firstRowLastColumn="0" w:lastRowFirstColumn="0" w:lastRowLastColumn="0"/>
            <w:tcW w:w="3007" w:type="dxa"/>
          </w:tcPr>
          <w:p w14:paraId="55E92892"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Fair practice</w:t>
            </w:r>
          </w:p>
        </w:tc>
        <w:tc>
          <w:tcPr>
            <w:tcW w:w="850" w:type="dxa"/>
          </w:tcPr>
          <w:p w14:paraId="6CC6408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94</w:t>
            </w:r>
          </w:p>
        </w:tc>
        <w:tc>
          <w:tcPr>
            <w:tcW w:w="1066" w:type="dxa"/>
          </w:tcPr>
          <w:p w14:paraId="0CA7676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49</w:t>
            </w:r>
          </w:p>
        </w:tc>
        <w:tc>
          <w:tcPr>
            <w:tcW w:w="1127" w:type="dxa"/>
            <w:vMerge/>
          </w:tcPr>
          <w:p w14:paraId="0D375A0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03" w:type="dxa"/>
            <w:vMerge/>
          </w:tcPr>
          <w:p w14:paraId="1F847B9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70" w:type="dxa"/>
            <w:vMerge/>
          </w:tcPr>
          <w:p w14:paraId="3885C4D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484" w:type="dxa"/>
            <w:vMerge/>
          </w:tcPr>
          <w:p w14:paraId="7EDD516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F16A08" w:rsidRPr="00F16A08" w14:paraId="14040D81" w14:textId="77777777" w:rsidTr="001404FA">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7" w:type="dxa"/>
          </w:tcPr>
          <w:p w14:paraId="1FD76B3B" w14:textId="77777777" w:rsidR="00DE61A6" w:rsidRPr="00F16A08" w:rsidRDefault="00DE61A6" w:rsidP="00DE0D81">
            <w:pPr>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Good practice</w:t>
            </w:r>
          </w:p>
        </w:tc>
        <w:tc>
          <w:tcPr>
            <w:tcW w:w="850" w:type="dxa"/>
          </w:tcPr>
          <w:p w14:paraId="2639783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4</w:t>
            </w:r>
          </w:p>
        </w:tc>
        <w:tc>
          <w:tcPr>
            <w:tcW w:w="1066" w:type="dxa"/>
          </w:tcPr>
          <w:p w14:paraId="05C5E89E"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2</w:t>
            </w:r>
          </w:p>
        </w:tc>
        <w:tc>
          <w:tcPr>
            <w:tcW w:w="1127" w:type="dxa"/>
            <w:vMerge/>
          </w:tcPr>
          <w:p w14:paraId="1479BAEF"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03" w:type="dxa"/>
            <w:vMerge/>
          </w:tcPr>
          <w:p w14:paraId="1D052BE2"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70" w:type="dxa"/>
            <w:vMerge/>
          </w:tcPr>
          <w:p w14:paraId="6A713465"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484" w:type="dxa"/>
            <w:vMerge/>
          </w:tcPr>
          <w:p w14:paraId="13F408D8"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bl>
    <w:p w14:paraId="7A86C8D4" w14:textId="77777777" w:rsidR="00DE61A6" w:rsidRPr="00F16A08" w:rsidRDefault="00DE61A6" w:rsidP="00DE0D81">
      <w:pPr>
        <w:spacing w:after="0" w:line="240" w:lineRule="auto"/>
        <w:jc w:val="center"/>
        <w:rPr>
          <w:rFonts w:ascii="Arial" w:hAnsi="Arial" w:cs="Arial"/>
          <w:b/>
          <w:bCs/>
          <w:color w:val="000000" w:themeColor="text1"/>
          <w:sz w:val="20"/>
          <w:szCs w:val="20"/>
        </w:rPr>
      </w:pPr>
    </w:p>
    <w:p w14:paraId="1DAAA423" w14:textId="3D2CF25F" w:rsidR="00F51741" w:rsidRPr="00F16A08" w:rsidRDefault="00F51741" w:rsidP="00DE0D81">
      <w:pPr>
        <w:tabs>
          <w:tab w:val="left" w:pos="1985"/>
        </w:tabs>
        <w:spacing w:after="0" w:line="240" w:lineRule="auto"/>
        <w:jc w:val="both"/>
        <w:rPr>
          <w:rFonts w:ascii="Arial" w:eastAsia="Times New Roman" w:hAnsi="Arial" w:cs="Arial"/>
          <w:color w:val="000000" w:themeColor="text1"/>
          <w:kern w:val="0"/>
          <w:sz w:val="20"/>
          <w:szCs w:val="20"/>
          <w:lang w:eastAsia="en-IN"/>
          <w14:ligatures w14:val="none"/>
        </w:rPr>
      </w:pPr>
      <w:r w:rsidRPr="00F16A08">
        <w:rPr>
          <w:rFonts w:ascii="Arial" w:eastAsia="Times New Roman" w:hAnsi="Arial" w:cs="Arial"/>
          <w:color w:val="000000" w:themeColor="text1"/>
          <w:kern w:val="0"/>
          <w:sz w:val="20"/>
          <w:szCs w:val="20"/>
          <w:lang w:eastAsia="en-IN"/>
          <w14:ligatures w14:val="none"/>
        </w:rPr>
        <w:t xml:space="preserve">Most participants exhibited either poor (49%) or fair (49%) preventive practices, indicating inconsistent adherence to recommended STI preventive </w:t>
      </w:r>
      <w:proofErr w:type="spellStart"/>
      <w:r w:rsidRPr="00F16A08">
        <w:rPr>
          <w:rFonts w:ascii="Arial" w:eastAsia="Times New Roman" w:hAnsi="Arial" w:cs="Arial"/>
          <w:color w:val="000000" w:themeColor="text1"/>
          <w:kern w:val="0"/>
          <w:sz w:val="20"/>
          <w:szCs w:val="20"/>
          <w:lang w:eastAsia="en-IN"/>
          <w14:ligatures w14:val="none"/>
        </w:rPr>
        <w:t>behaviors</w:t>
      </w:r>
      <w:proofErr w:type="spellEnd"/>
      <w:r w:rsidRPr="00F16A08">
        <w:rPr>
          <w:rFonts w:ascii="Arial" w:eastAsia="Times New Roman" w:hAnsi="Arial" w:cs="Arial"/>
          <w:color w:val="000000" w:themeColor="text1"/>
          <w:kern w:val="0"/>
          <w:sz w:val="20"/>
          <w:szCs w:val="20"/>
          <w:lang w:eastAsia="en-IN"/>
          <w14:ligatures w14:val="none"/>
        </w:rPr>
        <w:t xml:space="preserve">. Only 2% demonstrated good preventive practices, highlighting a critical need for targeted educational interventions. The mean preventive practice score was 5.20 (SD = 2.78), with a median of 6, reflecting generally inadequate </w:t>
      </w:r>
      <w:proofErr w:type="spellStart"/>
      <w:r w:rsidRPr="00F16A08">
        <w:rPr>
          <w:rFonts w:ascii="Arial" w:eastAsia="Times New Roman" w:hAnsi="Arial" w:cs="Arial"/>
          <w:color w:val="000000" w:themeColor="text1"/>
          <w:kern w:val="0"/>
          <w:sz w:val="20"/>
          <w:szCs w:val="20"/>
          <w:lang w:eastAsia="en-IN"/>
          <w14:ligatures w14:val="none"/>
        </w:rPr>
        <w:t>behaviors</w:t>
      </w:r>
      <w:proofErr w:type="spellEnd"/>
      <w:r w:rsidRPr="00F16A08">
        <w:rPr>
          <w:rFonts w:ascii="Arial" w:eastAsia="Times New Roman" w:hAnsi="Arial" w:cs="Arial"/>
          <w:color w:val="000000" w:themeColor="text1"/>
          <w:kern w:val="0"/>
          <w:sz w:val="20"/>
          <w:szCs w:val="20"/>
          <w:lang w:eastAsia="en-IN"/>
          <w14:ligatures w14:val="none"/>
        </w:rPr>
        <w:t xml:space="preserve"> for effective STI prevention. These poor practice levels may be linked to limited practical knowledge on prevention methods, cultural barriers, prevailing myths, or a perceived sense of low personal risk</w:t>
      </w:r>
      <w:r w:rsidR="008F6B52" w:rsidRPr="00F16A08">
        <w:rPr>
          <w:rFonts w:ascii="Arial" w:eastAsia="Times New Roman" w:hAnsi="Arial" w:cs="Arial"/>
          <w:color w:val="000000" w:themeColor="text1"/>
          <w:kern w:val="0"/>
          <w:sz w:val="20"/>
          <w:szCs w:val="20"/>
          <w:lang w:eastAsia="en-IN"/>
          <w14:ligatures w14:val="none"/>
        </w:rPr>
        <w:t xml:space="preserve"> [Table 4]</w:t>
      </w:r>
      <w:r w:rsidRPr="00F16A08">
        <w:rPr>
          <w:rFonts w:ascii="Arial" w:eastAsia="Times New Roman" w:hAnsi="Arial" w:cs="Arial"/>
          <w:color w:val="000000" w:themeColor="text1"/>
          <w:kern w:val="0"/>
          <w:sz w:val="20"/>
          <w:szCs w:val="20"/>
          <w:lang w:eastAsia="en-IN"/>
          <w14:ligatures w14:val="none"/>
        </w:rPr>
        <w:t>.</w:t>
      </w:r>
    </w:p>
    <w:p w14:paraId="3D76ED42" w14:textId="77777777" w:rsidR="00F51741" w:rsidRPr="00F16A08" w:rsidRDefault="00F51741" w:rsidP="00DE0D81">
      <w:pPr>
        <w:tabs>
          <w:tab w:val="left" w:pos="1985"/>
        </w:tabs>
        <w:spacing w:after="0" w:line="240" w:lineRule="auto"/>
        <w:jc w:val="both"/>
        <w:rPr>
          <w:rFonts w:ascii="Arial" w:eastAsia="Times New Roman" w:hAnsi="Arial" w:cs="Arial"/>
          <w:color w:val="000000" w:themeColor="text1"/>
          <w:kern w:val="0"/>
          <w:sz w:val="20"/>
          <w:szCs w:val="20"/>
          <w:lang w:eastAsia="en-IN"/>
          <w14:ligatures w14:val="none"/>
        </w:rPr>
      </w:pPr>
    </w:p>
    <w:p w14:paraId="04E19C9B" w14:textId="36678C1C" w:rsidR="00DE61A6" w:rsidRPr="00F16A08" w:rsidRDefault="00DE61A6" w:rsidP="00DE0D81">
      <w:pPr>
        <w:tabs>
          <w:tab w:val="left" w:pos="1985"/>
        </w:tabs>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Table 5: Correlation between knowledge and attitude towards Sexually Transmitted Infections (STIs) among College Students</w:t>
      </w:r>
    </w:p>
    <w:p w14:paraId="5E41907E" w14:textId="77777777" w:rsidR="00DE61A6" w:rsidRPr="00F16A08" w:rsidRDefault="00DE61A6" w:rsidP="00DE0D81">
      <w:pPr>
        <w:pStyle w:val="Default"/>
        <w:jc w:val="right"/>
        <w:rPr>
          <w:rFonts w:ascii="Arial" w:hAnsi="Arial" w:cs="Arial"/>
          <w:color w:val="000000" w:themeColor="text1"/>
          <w:sz w:val="20"/>
          <w:szCs w:val="20"/>
        </w:rPr>
      </w:pP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r>
      <w:r w:rsidRPr="00F16A08">
        <w:rPr>
          <w:rFonts w:ascii="Arial" w:hAnsi="Arial" w:cs="Arial"/>
          <w:b/>
          <w:bCs/>
          <w:color w:val="000000" w:themeColor="text1"/>
          <w:sz w:val="20"/>
          <w:szCs w:val="20"/>
        </w:rPr>
        <w:tab/>
        <w:t xml:space="preserve">                                                       N=192</w:t>
      </w:r>
    </w:p>
    <w:tbl>
      <w:tblPr>
        <w:tblStyle w:val="PlainTable2"/>
        <w:tblW w:w="9178" w:type="dxa"/>
        <w:jc w:val="center"/>
        <w:tblLook w:val="04A0" w:firstRow="1" w:lastRow="0" w:firstColumn="1" w:lastColumn="0" w:noHBand="0" w:noVBand="1"/>
      </w:tblPr>
      <w:tblGrid>
        <w:gridCol w:w="1874"/>
        <w:gridCol w:w="1315"/>
        <w:gridCol w:w="1315"/>
        <w:gridCol w:w="1415"/>
        <w:gridCol w:w="3259"/>
      </w:tblGrid>
      <w:tr w:rsidR="00F16A08" w:rsidRPr="00F16A08" w14:paraId="208E5530" w14:textId="77777777" w:rsidTr="00AB6D4D">
        <w:trPr>
          <w:cnfStyle w:val="100000000000" w:firstRow="1" w:lastRow="0" w:firstColumn="0" w:lastColumn="0" w:oddVBand="0" w:evenVBand="0" w:oddHBand="0"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1874" w:type="dxa"/>
          </w:tcPr>
          <w:p w14:paraId="145115BB"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shd w:val="clear" w:color="auto" w:fill="FFFFFF"/>
                <w:lang w:val="en-IN"/>
              </w:rPr>
              <w:t>Variables</w:t>
            </w:r>
          </w:p>
        </w:tc>
        <w:tc>
          <w:tcPr>
            <w:tcW w:w="1315" w:type="dxa"/>
          </w:tcPr>
          <w:p w14:paraId="05BB6640"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Mean</w:t>
            </w:r>
          </w:p>
        </w:tc>
        <w:tc>
          <w:tcPr>
            <w:tcW w:w="1315" w:type="dxa"/>
          </w:tcPr>
          <w:p w14:paraId="014E6B63"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SD</w:t>
            </w:r>
          </w:p>
        </w:tc>
        <w:tc>
          <w:tcPr>
            <w:tcW w:w="1415" w:type="dxa"/>
          </w:tcPr>
          <w:p w14:paraId="387A690A"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r value</w:t>
            </w:r>
          </w:p>
        </w:tc>
        <w:tc>
          <w:tcPr>
            <w:tcW w:w="3259" w:type="dxa"/>
          </w:tcPr>
          <w:p w14:paraId="4B1C87B0"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 xml:space="preserve">P value </w:t>
            </w:r>
          </w:p>
        </w:tc>
      </w:tr>
      <w:tr w:rsidR="00F16A08" w:rsidRPr="00F16A08" w14:paraId="7A061B43" w14:textId="77777777" w:rsidTr="00AB6D4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4" w:type="dxa"/>
          </w:tcPr>
          <w:p w14:paraId="0F66DBA5" w14:textId="77777777" w:rsidR="00DE61A6" w:rsidRPr="00F16A08" w:rsidRDefault="00DE61A6" w:rsidP="00DE0D81">
            <w:pPr>
              <w:rPr>
                <w:rFonts w:ascii="Arial" w:hAnsi="Arial" w:cs="Arial"/>
                <w:b w:val="0"/>
                <w:bCs w:val="0"/>
                <w:color w:val="000000" w:themeColor="text1"/>
                <w:sz w:val="20"/>
                <w:szCs w:val="20"/>
                <w:lang w:val="en-IN"/>
              </w:rPr>
            </w:pPr>
            <w:r w:rsidRPr="00F16A08">
              <w:rPr>
                <w:rFonts w:ascii="Arial" w:hAnsi="Arial" w:cs="Arial"/>
                <w:color w:val="000000" w:themeColor="text1"/>
                <w:sz w:val="20"/>
                <w:szCs w:val="20"/>
                <w:lang w:val="en-IN"/>
              </w:rPr>
              <w:t xml:space="preserve">Knowledge </w:t>
            </w:r>
          </w:p>
        </w:tc>
        <w:tc>
          <w:tcPr>
            <w:tcW w:w="1315" w:type="dxa"/>
          </w:tcPr>
          <w:p w14:paraId="78050E2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7.14</w:t>
            </w:r>
          </w:p>
        </w:tc>
        <w:tc>
          <w:tcPr>
            <w:tcW w:w="1315" w:type="dxa"/>
          </w:tcPr>
          <w:p w14:paraId="74FDA7E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1.94</w:t>
            </w:r>
          </w:p>
        </w:tc>
        <w:tc>
          <w:tcPr>
            <w:tcW w:w="1415" w:type="dxa"/>
          </w:tcPr>
          <w:p w14:paraId="421EC40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 0.213</w:t>
            </w:r>
          </w:p>
        </w:tc>
        <w:tc>
          <w:tcPr>
            <w:tcW w:w="3259" w:type="dxa"/>
          </w:tcPr>
          <w:p w14:paraId="3153E1B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0.003*</w:t>
            </w:r>
          </w:p>
        </w:tc>
      </w:tr>
      <w:tr w:rsidR="00F16A08" w:rsidRPr="00F16A08" w14:paraId="63673444" w14:textId="77777777" w:rsidTr="00AB6D4D">
        <w:trPr>
          <w:trHeight w:val="288"/>
          <w:jc w:val="center"/>
        </w:trPr>
        <w:tc>
          <w:tcPr>
            <w:cnfStyle w:val="001000000000" w:firstRow="0" w:lastRow="0" w:firstColumn="1" w:lastColumn="0" w:oddVBand="0" w:evenVBand="0" w:oddHBand="0" w:evenHBand="0" w:firstRowFirstColumn="0" w:firstRowLastColumn="0" w:lastRowFirstColumn="0" w:lastRowLastColumn="0"/>
            <w:tcW w:w="1874" w:type="dxa"/>
          </w:tcPr>
          <w:p w14:paraId="5750E2FB" w14:textId="77777777" w:rsidR="00DE61A6" w:rsidRPr="00F16A08" w:rsidRDefault="00DE61A6" w:rsidP="00DE0D81">
            <w:pPr>
              <w:rPr>
                <w:rFonts w:ascii="Arial" w:hAnsi="Arial" w:cs="Arial"/>
                <w:b w:val="0"/>
                <w:bCs w:val="0"/>
                <w:color w:val="000000" w:themeColor="text1"/>
                <w:sz w:val="20"/>
                <w:szCs w:val="20"/>
                <w:lang w:val="en-IN"/>
              </w:rPr>
            </w:pPr>
            <w:r w:rsidRPr="00F16A08">
              <w:rPr>
                <w:rFonts w:ascii="Arial" w:hAnsi="Arial" w:cs="Arial"/>
                <w:b w:val="0"/>
                <w:bCs w:val="0"/>
                <w:color w:val="000000" w:themeColor="text1"/>
                <w:sz w:val="20"/>
                <w:szCs w:val="20"/>
                <w:lang w:val="en-IN"/>
              </w:rPr>
              <w:t>A</w:t>
            </w:r>
            <w:r w:rsidRPr="00F16A08">
              <w:rPr>
                <w:rFonts w:ascii="Arial" w:hAnsi="Arial" w:cs="Arial"/>
                <w:color w:val="000000" w:themeColor="text1"/>
                <w:sz w:val="20"/>
                <w:szCs w:val="20"/>
                <w:lang w:val="en-IN"/>
              </w:rPr>
              <w:t xml:space="preserve">ttitude  </w:t>
            </w:r>
          </w:p>
        </w:tc>
        <w:tc>
          <w:tcPr>
            <w:tcW w:w="1315" w:type="dxa"/>
          </w:tcPr>
          <w:p w14:paraId="5520AAF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44.26</w:t>
            </w:r>
          </w:p>
        </w:tc>
        <w:tc>
          <w:tcPr>
            <w:tcW w:w="1315" w:type="dxa"/>
          </w:tcPr>
          <w:p w14:paraId="614AF81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7.06</w:t>
            </w:r>
          </w:p>
        </w:tc>
        <w:tc>
          <w:tcPr>
            <w:tcW w:w="1415" w:type="dxa"/>
          </w:tcPr>
          <w:p w14:paraId="141CF6C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259" w:type="dxa"/>
          </w:tcPr>
          <w:p w14:paraId="363326E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bl>
    <w:p w14:paraId="094D0D31" w14:textId="77777777" w:rsidR="00DE61A6" w:rsidRPr="00F16A08" w:rsidRDefault="00DE61A6" w:rsidP="00DE0D81">
      <w:pPr>
        <w:spacing w:after="0" w:line="240" w:lineRule="auto"/>
        <w:rPr>
          <w:rFonts w:ascii="Arial" w:hAnsi="Arial" w:cs="Arial"/>
          <w:bCs/>
          <w:color w:val="000000" w:themeColor="text1"/>
          <w:sz w:val="20"/>
          <w:szCs w:val="20"/>
        </w:rPr>
      </w:pPr>
      <w:r w:rsidRPr="00F16A08">
        <w:rPr>
          <w:rFonts w:ascii="Arial" w:hAnsi="Arial" w:cs="Arial"/>
          <w:bCs/>
          <w:color w:val="000000" w:themeColor="text1"/>
          <w:sz w:val="20"/>
          <w:szCs w:val="20"/>
        </w:rPr>
        <w:t xml:space="preserve">    Ns – Non significant. </w:t>
      </w:r>
    </w:p>
    <w:p w14:paraId="6BFFC745" w14:textId="77777777" w:rsidR="00DE61A6" w:rsidRPr="00F16A08" w:rsidRDefault="00DE61A6" w:rsidP="00DE0D81">
      <w:pPr>
        <w:spacing w:after="0" w:line="240" w:lineRule="auto"/>
        <w:jc w:val="both"/>
        <w:rPr>
          <w:rFonts w:ascii="Arial" w:hAnsi="Arial" w:cs="Arial"/>
          <w:bCs/>
          <w:color w:val="000000" w:themeColor="text1"/>
          <w:sz w:val="20"/>
          <w:szCs w:val="20"/>
        </w:rPr>
      </w:pPr>
    </w:p>
    <w:p w14:paraId="04879F66" w14:textId="5C12A8ED" w:rsidR="00DE61A6" w:rsidRPr="00F16A08" w:rsidRDefault="00F51741" w:rsidP="00DE0D81">
      <w:pPr>
        <w:spacing w:after="0" w:line="240" w:lineRule="auto"/>
        <w:jc w:val="both"/>
        <w:rPr>
          <w:rFonts w:ascii="Arial" w:hAnsi="Arial" w:cs="Arial"/>
          <w:color w:val="000000" w:themeColor="text1"/>
          <w:sz w:val="20"/>
          <w:szCs w:val="20"/>
        </w:rPr>
      </w:pPr>
      <w:r w:rsidRPr="00F16A08">
        <w:rPr>
          <w:rFonts w:ascii="Arial" w:hAnsi="Arial" w:cs="Arial"/>
          <w:bCs/>
          <w:color w:val="000000" w:themeColor="text1"/>
          <w:sz w:val="20"/>
          <w:szCs w:val="20"/>
        </w:rPr>
        <w:t>Table 5 shows that the correlation between knowledge and attitude toward STIs, tested using Karl Pearson’s correlation, revealed a weak but statistically significant positive relationship (r = 0.213, p = 0.003). This indicates that higher knowledge levels are only mildly associated with more positive attitudes</w:t>
      </w:r>
      <w:r w:rsidR="00DE61A6" w:rsidRPr="00F16A08">
        <w:rPr>
          <w:rFonts w:ascii="Arial" w:hAnsi="Arial" w:cs="Arial"/>
          <w:color w:val="000000" w:themeColor="text1"/>
          <w:sz w:val="20"/>
          <w:szCs w:val="20"/>
        </w:rPr>
        <w:t>.</w:t>
      </w:r>
    </w:p>
    <w:p w14:paraId="1557D62B" w14:textId="77777777" w:rsidR="00F51741" w:rsidRPr="00F16A08" w:rsidRDefault="00F51741" w:rsidP="00DE0D81">
      <w:pPr>
        <w:spacing w:after="0" w:line="240" w:lineRule="auto"/>
        <w:jc w:val="both"/>
        <w:rPr>
          <w:rFonts w:ascii="Arial" w:hAnsi="Arial" w:cs="Arial"/>
          <w:bCs/>
          <w:color w:val="000000" w:themeColor="text1"/>
          <w:sz w:val="20"/>
          <w:szCs w:val="20"/>
          <w:shd w:val="clear" w:color="auto" w:fill="FFFFFF"/>
        </w:rPr>
      </w:pPr>
    </w:p>
    <w:p w14:paraId="61FAD0D6" w14:textId="77777777" w:rsidR="00DE61A6" w:rsidRPr="00F16A08" w:rsidRDefault="00DE61A6" w:rsidP="00DE0D81">
      <w:pPr>
        <w:spacing w:after="0" w:line="240" w:lineRule="auto"/>
        <w:jc w:val="center"/>
        <w:rPr>
          <w:rFonts w:ascii="Arial" w:hAnsi="Arial" w:cs="Arial"/>
          <w:b/>
          <w:color w:val="000000" w:themeColor="text1"/>
          <w:sz w:val="20"/>
          <w:szCs w:val="20"/>
        </w:rPr>
      </w:pPr>
      <w:r w:rsidRPr="00F16A08">
        <w:rPr>
          <w:rFonts w:ascii="Arial" w:hAnsi="Arial" w:cs="Arial"/>
          <w:b/>
          <w:noProof/>
          <w:color w:val="000000" w:themeColor="text1"/>
          <w:sz w:val="20"/>
          <w:szCs w:val="20"/>
        </w:rPr>
        <w:lastRenderedPageBreak/>
        <w:drawing>
          <wp:inline distT="0" distB="0" distL="0" distR="0" wp14:anchorId="1C4FD1FA" wp14:editId="649ED1C7">
            <wp:extent cx="4997838" cy="3018048"/>
            <wp:effectExtent l="0" t="0" r="0" b="0"/>
            <wp:docPr id="2046409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4472" cy="3028093"/>
                    </a:xfrm>
                    <a:prstGeom prst="rect">
                      <a:avLst/>
                    </a:prstGeom>
                    <a:noFill/>
                    <a:ln>
                      <a:noFill/>
                    </a:ln>
                  </pic:spPr>
                </pic:pic>
              </a:graphicData>
            </a:graphic>
          </wp:inline>
        </w:drawing>
      </w:r>
    </w:p>
    <w:p w14:paraId="6E2A9834" w14:textId="77777777" w:rsidR="00DE61A6" w:rsidRPr="00F16A08" w:rsidRDefault="00DE61A6" w:rsidP="00DE0D81">
      <w:pPr>
        <w:spacing w:after="0" w:line="240" w:lineRule="auto"/>
        <w:rPr>
          <w:rFonts w:ascii="Arial" w:hAnsi="Arial" w:cs="Arial"/>
          <w:bCs/>
          <w:color w:val="000000" w:themeColor="text1"/>
          <w:sz w:val="20"/>
          <w:szCs w:val="20"/>
        </w:rPr>
      </w:pPr>
    </w:p>
    <w:p w14:paraId="731DE365" w14:textId="3BB98A6E" w:rsidR="00DE61A6" w:rsidRPr="00F16A08" w:rsidRDefault="00DE61A6" w:rsidP="00DE0D81">
      <w:pPr>
        <w:spacing w:after="0" w:line="240" w:lineRule="auto"/>
        <w:rPr>
          <w:rFonts w:ascii="Arial" w:hAnsi="Arial" w:cs="Arial"/>
          <w:bCs/>
          <w:color w:val="000000" w:themeColor="text1"/>
          <w:sz w:val="20"/>
          <w:szCs w:val="20"/>
        </w:rPr>
      </w:pPr>
      <w:r w:rsidRPr="00F16A08">
        <w:rPr>
          <w:rFonts w:ascii="Arial" w:hAnsi="Arial" w:cs="Arial"/>
          <w:bCs/>
          <w:color w:val="000000" w:themeColor="text1"/>
          <w:sz w:val="20"/>
          <w:szCs w:val="20"/>
        </w:rPr>
        <w:t xml:space="preserve">Figure </w:t>
      </w:r>
      <w:r w:rsidR="008F6B52" w:rsidRPr="00F16A08">
        <w:rPr>
          <w:rFonts w:ascii="Arial" w:hAnsi="Arial" w:cs="Arial"/>
          <w:bCs/>
          <w:color w:val="000000" w:themeColor="text1"/>
          <w:sz w:val="20"/>
          <w:szCs w:val="20"/>
        </w:rPr>
        <w:t>4</w:t>
      </w:r>
      <w:r w:rsidRPr="00F16A08">
        <w:rPr>
          <w:rFonts w:ascii="Arial" w:hAnsi="Arial" w:cs="Arial"/>
          <w:bCs/>
          <w:color w:val="000000" w:themeColor="text1"/>
          <w:sz w:val="20"/>
          <w:szCs w:val="20"/>
        </w:rPr>
        <w:t>: Correlation between knowledge and attitude towards Sexually Transmitted Infections (STIs) among College Students</w:t>
      </w:r>
    </w:p>
    <w:p w14:paraId="5CA99818" w14:textId="77777777" w:rsidR="00DE61A6" w:rsidRPr="00F16A08" w:rsidRDefault="00DE61A6" w:rsidP="00DE0D81">
      <w:pPr>
        <w:spacing w:after="0" w:line="240" w:lineRule="auto"/>
        <w:jc w:val="center"/>
        <w:rPr>
          <w:rFonts w:ascii="Arial" w:hAnsi="Arial" w:cs="Arial"/>
          <w:bCs/>
          <w:color w:val="000000" w:themeColor="text1"/>
          <w:sz w:val="20"/>
          <w:szCs w:val="20"/>
        </w:rPr>
      </w:pPr>
    </w:p>
    <w:p w14:paraId="0BA0FF68" w14:textId="58008344" w:rsidR="00DE61A6" w:rsidRPr="00F16A08" w:rsidRDefault="00DE61A6" w:rsidP="00DE0D81">
      <w:pPr>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6:  Association between knowledge regarding Sexually Transmitted Infections (STIs) among College Students with socio demographic variables </w:t>
      </w:r>
    </w:p>
    <w:p w14:paraId="3A72FF37" w14:textId="77777777"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t>N=192</w:t>
      </w:r>
    </w:p>
    <w:tbl>
      <w:tblPr>
        <w:tblStyle w:val="PlainTable2"/>
        <w:tblW w:w="9196" w:type="dxa"/>
        <w:tblLook w:val="04E0" w:firstRow="1" w:lastRow="1" w:firstColumn="1" w:lastColumn="0" w:noHBand="0" w:noVBand="1"/>
      </w:tblPr>
      <w:tblGrid>
        <w:gridCol w:w="598"/>
        <w:gridCol w:w="2371"/>
        <w:gridCol w:w="1314"/>
        <w:gridCol w:w="1160"/>
        <w:gridCol w:w="1148"/>
        <w:gridCol w:w="1261"/>
        <w:gridCol w:w="410"/>
        <w:gridCol w:w="934"/>
      </w:tblGrid>
      <w:tr w:rsidR="00F16A08" w:rsidRPr="00F16A08" w14:paraId="4AB08EAC" w14:textId="77777777" w:rsidTr="00F51741">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98" w:type="dxa"/>
            <w:vMerge w:val="restart"/>
          </w:tcPr>
          <w:p w14:paraId="68B5B0ED"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 xml:space="preserve">S. </w:t>
            </w:r>
          </w:p>
          <w:p w14:paraId="1D516D09"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No</w:t>
            </w:r>
          </w:p>
        </w:tc>
        <w:tc>
          <w:tcPr>
            <w:tcW w:w="2371" w:type="dxa"/>
            <w:vMerge w:val="restart"/>
          </w:tcPr>
          <w:p w14:paraId="57D0AC30"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Demographic Variables</w:t>
            </w:r>
          </w:p>
        </w:tc>
        <w:tc>
          <w:tcPr>
            <w:tcW w:w="3622" w:type="dxa"/>
            <w:gridSpan w:val="3"/>
          </w:tcPr>
          <w:p w14:paraId="7B6A96EF"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Knowledge </w:t>
            </w:r>
          </w:p>
        </w:tc>
        <w:tc>
          <w:tcPr>
            <w:tcW w:w="1261" w:type="dxa"/>
            <w:vMerge w:val="restart"/>
          </w:tcPr>
          <w:p w14:paraId="432D4570"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IN" w:eastAsia="en-IN"/>
              </w:rPr>
            </w:pPr>
            <w:r w:rsidRPr="00F16A08">
              <w:rPr>
                <w:rFonts w:ascii="Arial" w:hAnsi="Arial" w:cs="Arial"/>
                <w:color w:val="000000" w:themeColor="text1"/>
                <w:sz w:val="20"/>
                <w:szCs w:val="20"/>
              </w:rPr>
              <w:t>Fishers</w:t>
            </w:r>
            <w:r w:rsidRPr="00F16A08">
              <w:rPr>
                <w:rFonts w:ascii="Arial" w:hAnsi="Arial" w:cs="Arial"/>
                <w:b w:val="0"/>
                <w:color w:val="000000" w:themeColor="text1"/>
                <w:sz w:val="20"/>
                <w:szCs w:val="20"/>
              </w:rPr>
              <w:t xml:space="preserve">/ </w:t>
            </w:r>
            <w:r w:rsidRPr="00F16A08">
              <w:rPr>
                <w:rFonts w:ascii="Arial" w:hAnsi="Arial" w:cs="Arial"/>
                <w:color w:val="000000" w:themeColor="text1"/>
                <w:sz w:val="20"/>
                <w:szCs w:val="20"/>
              </w:rPr>
              <w:t xml:space="preserve">χ2 </w:t>
            </w:r>
            <w:r w:rsidRPr="00F16A08">
              <w:rPr>
                <w:rFonts w:ascii="Arial" w:hAnsi="Arial" w:cs="Arial"/>
                <w:color w:val="000000" w:themeColor="text1"/>
                <w:sz w:val="20"/>
                <w:szCs w:val="20"/>
                <w:lang w:val="en-IN" w:eastAsia="en-IN"/>
              </w:rPr>
              <w:t>value</w:t>
            </w:r>
          </w:p>
        </w:tc>
        <w:tc>
          <w:tcPr>
            <w:tcW w:w="410" w:type="dxa"/>
            <w:vMerge w:val="restart"/>
          </w:tcPr>
          <w:p w14:paraId="3ACDA1D8"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df</w:t>
            </w:r>
          </w:p>
        </w:tc>
        <w:tc>
          <w:tcPr>
            <w:tcW w:w="934" w:type="dxa"/>
            <w:vMerge w:val="restart"/>
          </w:tcPr>
          <w:p w14:paraId="7DC6B23B"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p value</w:t>
            </w:r>
          </w:p>
        </w:tc>
      </w:tr>
      <w:tr w:rsidR="00F16A08" w:rsidRPr="00F16A08" w14:paraId="059599FE" w14:textId="77777777" w:rsidTr="00F51741">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98" w:type="dxa"/>
            <w:vMerge/>
          </w:tcPr>
          <w:p w14:paraId="725E4575" w14:textId="77777777" w:rsidR="00DE61A6" w:rsidRPr="00F16A08" w:rsidRDefault="00DE61A6" w:rsidP="00DE0D81">
            <w:pPr>
              <w:jc w:val="center"/>
              <w:rPr>
                <w:rFonts w:ascii="Arial" w:hAnsi="Arial" w:cs="Arial"/>
                <w:b w:val="0"/>
                <w:color w:val="000000" w:themeColor="text1"/>
                <w:sz w:val="20"/>
                <w:szCs w:val="20"/>
              </w:rPr>
            </w:pPr>
          </w:p>
        </w:tc>
        <w:tc>
          <w:tcPr>
            <w:tcW w:w="2371" w:type="dxa"/>
            <w:vMerge/>
          </w:tcPr>
          <w:p w14:paraId="259B85B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314" w:type="dxa"/>
          </w:tcPr>
          <w:p w14:paraId="5A6508F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Inadequate </w:t>
            </w:r>
          </w:p>
        </w:tc>
        <w:tc>
          <w:tcPr>
            <w:tcW w:w="1160" w:type="dxa"/>
          </w:tcPr>
          <w:p w14:paraId="71156C2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Moderate </w:t>
            </w:r>
          </w:p>
        </w:tc>
        <w:tc>
          <w:tcPr>
            <w:tcW w:w="1148" w:type="dxa"/>
          </w:tcPr>
          <w:p w14:paraId="5DE3FDF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Adequate </w:t>
            </w:r>
          </w:p>
        </w:tc>
        <w:tc>
          <w:tcPr>
            <w:tcW w:w="1261" w:type="dxa"/>
            <w:vMerge/>
          </w:tcPr>
          <w:p w14:paraId="0E93FF0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410" w:type="dxa"/>
            <w:vMerge/>
          </w:tcPr>
          <w:p w14:paraId="5EAB456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934" w:type="dxa"/>
            <w:vMerge/>
          </w:tcPr>
          <w:p w14:paraId="6B931B9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F16A08" w:rsidRPr="00F16A08" w14:paraId="2CE1D5A4" w14:textId="77777777" w:rsidTr="00D5090D">
        <w:trPr>
          <w:trHeight w:val="1042"/>
        </w:trPr>
        <w:tc>
          <w:tcPr>
            <w:cnfStyle w:val="001000000000" w:firstRow="0" w:lastRow="0" w:firstColumn="1" w:lastColumn="0" w:oddVBand="0" w:evenVBand="0" w:oddHBand="0" w:evenHBand="0" w:firstRowFirstColumn="0" w:firstRowLastColumn="0" w:lastRowFirstColumn="0" w:lastRowLastColumn="0"/>
            <w:tcW w:w="598" w:type="dxa"/>
          </w:tcPr>
          <w:p w14:paraId="574152C1"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w:t>
            </w:r>
          </w:p>
        </w:tc>
        <w:tc>
          <w:tcPr>
            <w:tcW w:w="2371" w:type="dxa"/>
          </w:tcPr>
          <w:p w14:paraId="001099C6"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Age in years </w:t>
            </w:r>
          </w:p>
          <w:p w14:paraId="17E7E460" w14:textId="77777777" w:rsidR="00DE61A6" w:rsidRPr="00F16A08" w:rsidRDefault="00DE61A6" w:rsidP="00DE0D81">
            <w:pPr>
              <w:pStyle w:val="ListParagraph"/>
              <w:numPr>
                <w:ilvl w:val="0"/>
                <w:numId w:val="1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19-30</w:t>
            </w:r>
          </w:p>
          <w:p w14:paraId="3630E722" w14:textId="77777777" w:rsidR="00DE61A6" w:rsidRPr="00F16A08" w:rsidRDefault="00DE61A6" w:rsidP="00DE0D81">
            <w:pPr>
              <w:pStyle w:val="ListParagraph"/>
              <w:numPr>
                <w:ilvl w:val="0"/>
                <w:numId w:val="1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31-4</w:t>
            </w:r>
          </w:p>
          <w:p w14:paraId="0D1FC396" w14:textId="77777777" w:rsidR="00DE61A6" w:rsidRPr="00F16A08" w:rsidRDefault="00DE61A6" w:rsidP="00DE0D81">
            <w:pPr>
              <w:pStyle w:val="ListParagraph"/>
              <w:numPr>
                <w:ilvl w:val="0"/>
                <w:numId w:val="1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41-50 </w:t>
            </w:r>
          </w:p>
        </w:tc>
        <w:tc>
          <w:tcPr>
            <w:tcW w:w="1314" w:type="dxa"/>
          </w:tcPr>
          <w:p w14:paraId="169F16A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034D13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p w14:paraId="354C29C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w:t>
            </w:r>
          </w:p>
          <w:p w14:paraId="45EC045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60" w:type="dxa"/>
          </w:tcPr>
          <w:p w14:paraId="0A70902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B55C66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58</w:t>
            </w:r>
          </w:p>
          <w:p w14:paraId="44A9791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50</w:t>
            </w:r>
          </w:p>
          <w:p w14:paraId="34985EF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38</w:t>
            </w:r>
          </w:p>
        </w:tc>
        <w:tc>
          <w:tcPr>
            <w:tcW w:w="1148" w:type="dxa"/>
          </w:tcPr>
          <w:p w14:paraId="54803F9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714421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3F3976E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A944FD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261" w:type="dxa"/>
          </w:tcPr>
          <w:p w14:paraId="46C8D57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1B1D33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29.03</w:t>
            </w:r>
          </w:p>
        </w:tc>
        <w:tc>
          <w:tcPr>
            <w:tcW w:w="410" w:type="dxa"/>
          </w:tcPr>
          <w:p w14:paraId="3E013D3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09695C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tc>
        <w:tc>
          <w:tcPr>
            <w:tcW w:w="934" w:type="dxa"/>
          </w:tcPr>
          <w:p w14:paraId="3BFD374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C3F8BC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0.001*</w:t>
            </w:r>
          </w:p>
        </w:tc>
      </w:tr>
      <w:tr w:rsidR="00F16A08" w:rsidRPr="00F16A08" w14:paraId="3A00CEDC" w14:textId="77777777" w:rsidTr="00D5090D">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98" w:type="dxa"/>
          </w:tcPr>
          <w:p w14:paraId="6ECDBCBB"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2</w:t>
            </w:r>
          </w:p>
        </w:tc>
        <w:tc>
          <w:tcPr>
            <w:tcW w:w="2371" w:type="dxa"/>
          </w:tcPr>
          <w:p w14:paraId="65CE4F10" w14:textId="77777777" w:rsidR="00DE61A6" w:rsidRPr="00F16A08" w:rsidRDefault="00DE61A6" w:rsidP="00DE0D81">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Marital status </w:t>
            </w:r>
          </w:p>
          <w:p w14:paraId="36BBFFD7" w14:textId="77777777" w:rsidR="00DE61A6" w:rsidRPr="00F16A08" w:rsidRDefault="00DE61A6" w:rsidP="00DE0D81">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Unmarried</w:t>
            </w:r>
          </w:p>
          <w:p w14:paraId="6552AB94" w14:textId="77777777" w:rsidR="00DE61A6" w:rsidRPr="00F16A08" w:rsidRDefault="00DE61A6" w:rsidP="00DE0D81">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 xml:space="preserve">Married   </w:t>
            </w:r>
          </w:p>
        </w:tc>
        <w:tc>
          <w:tcPr>
            <w:tcW w:w="1314" w:type="dxa"/>
          </w:tcPr>
          <w:p w14:paraId="2F8D29C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587948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40</w:t>
            </w:r>
          </w:p>
          <w:p w14:paraId="4D5AAAF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60" w:type="dxa"/>
          </w:tcPr>
          <w:p w14:paraId="2A5E3D2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C5C85B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145</w:t>
            </w:r>
          </w:p>
          <w:p w14:paraId="0483809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48" w:type="dxa"/>
          </w:tcPr>
          <w:p w14:paraId="43E843D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0808BE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p w14:paraId="1E83876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261" w:type="dxa"/>
          </w:tcPr>
          <w:p w14:paraId="36EEC25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0A1DBA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1.010</w:t>
            </w:r>
          </w:p>
        </w:tc>
        <w:tc>
          <w:tcPr>
            <w:tcW w:w="410" w:type="dxa"/>
          </w:tcPr>
          <w:p w14:paraId="5C75101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1F6AAC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4" w:type="dxa"/>
          </w:tcPr>
          <w:p w14:paraId="3F018B1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94227E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0.604</w:t>
            </w:r>
            <w:r w:rsidRPr="00F16A08">
              <w:rPr>
                <w:rFonts w:ascii="Arial" w:hAnsi="Arial" w:cs="Arial"/>
                <w:color w:val="000000" w:themeColor="text1"/>
                <w:sz w:val="20"/>
                <w:szCs w:val="20"/>
                <w:vertAlign w:val="superscript"/>
              </w:rPr>
              <w:t>NS</w:t>
            </w:r>
          </w:p>
        </w:tc>
      </w:tr>
      <w:tr w:rsidR="00F16A08" w:rsidRPr="00F16A08" w14:paraId="5E4A3CD2" w14:textId="77777777" w:rsidTr="00F51741">
        <w:trPr>
          <w:trHeight w:val="1906"/>
        </w:trPr>
        <w:tc>
          <w:tcPr>
            <w:cnfStyle w:val="001000000000" w:firstRow="0" w:lastRow="0" w:firstColumn="1" w:lastColumn="0" w:oddVBand="0" w:evenVBand="0" w:oddHBand="0" w:evenHBand="0" w:firstRowFirstColumn="0" w:firstRowLastColumn="0" w:lastRowFirstColumn="0" w:lastRowLastColumn="0"/>
            <w:tcW w:w="598" w:type="dxa"/>
          </w:tcPr>
          <w:p w14:paraId="4C0CABE2"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3</w:t>
            </w:r>
          </w:p>
        </w:tc>
        <w:tc>
          <w:tcPr>
            <w:tcW w:w="2371" w:type="dxa"/>
          </w:tcPr>
          <w:p w14:paraId="1D2ACE67"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 Religion</w:t>
            </w:r>
          </w:p>
          <w:p w14:paraId="0E3CFBF8" w14:textId="77777777" w:rsidR="00DE61A6" w:rsidRPr="00F16A08" w:rsidRDefault="00DE61A6" w:rsidP="00DE0D81">
            <w:pPr>
              <w:pStyle w:val="ListParagraph"/>
              <w:numPr>
                <w:ilvl w:val="0"/>
                <w:numId w:val="11"/>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Hindu</w:t>
            </w:r>
          </w:p>
          <w:p w14:paraId="549B158F" w14:textId="77777777" w:rsidR="00DE61A6" w:rsidRPr="00F16A08" w:rsidRDefault="00DE61A6" w:rsidP="00DE0D81">
            <w:pPr>
              <w:pStyle w:val="ListParagraph"/>
              <w:numPr>
                <w:ilvl w:val="0"/>
                <w:numId w:val="11"/>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Christian</w:t>
            </w:r>
          </w:p>
          <w:p w14:paraId="5C96FF31" w14:textId="77777777" w:rsidR="00DE61A6" w:rsidRPr="00F16A08" w:rsidRDefault="00DE61A6" w:rsidP="00DE0D81">
            <w:pPr>
              <w:pStyle w:val="ListParagraph"/>
              <w:numPr>
                <w:ilvl w:val="0"/>
                <w:numId w:val="11"/>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Muslim</w:t>
            </w:r>
          </w:p>
          <w:p w14:paraId="27C8D863" w14:textId="77777777" w:rsidR="00DE61A6" w:rsidRPr="00F16A08" w:rsidRDefault="00DE61A6" w:rsidP="00DE0D81">
            <w:pPr>
              <w:pStyle w:val="ListParagraph"/>
              <w:numPr>
                <w:ilvl w:val="0"/>
                <w:numId w:val="11"/>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Buddhist </w:t>
            </w:r>
          </w:p>
          <w:p w14:paraId="5F2222C8" w14:textId="77777777" w:rsidR="00DE61A6" w:rsidRPr="00F16A08" w:rsidRDefault="00DE61A6" w:rsidP="00DE0D81">
            <w:pPr>
              <w:pStyle w:val="ListParagraph"/>
              <w:numPr>
                <w:ilvl w:val="0"/>
                <w:numId w:val="11"/>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Others </w:t>
            </w:r>
          </w:p>
        </w:tc>
        <w:tc>
          <w:tcPr>
            <w:tcW w:w="1314" w:type="dxa"/>
          </w:tcPr>
          <w:p w14:paraId="3B9D442C"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B4D2CF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13</w:t>
            </w:r>
          </w:p>
          <w:p w14:paraId="7AC1F50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p w14:paraId="7DE2522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p w14:paraId="6E7693F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p w14:paraId="5618011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60" w:type="dxa"/>
          </w:tcPr>
          <w:p w14:paraId="71EEA16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AB2C24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35</w:t>
            </w:r>
          </w:p>
          <w:p w14:paraId="66D44AA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w:t>
            </w:r>
          </w:p>
          <w:p w14:paraId="7940C43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p w14:paraId="44B4E3E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51</w:t>
            </w:r>
          </w:p>
          <w:p w14:paraId="6A98C28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17</w:t>
            </w:r>
          </w:p>
        </w:tc>
        <w:tc>
          <w:tcPr>
            <w:tcW w:w="1148" w:type="dxa"/>
          </w:tcPr>
          <w:p w14:paraId="016AACA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46F2C3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67FFD26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5C37CD6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63CFB84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32DDE0D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261" w:type="dxa"/>
          </w:tcPr>
          <w:p w14:paraId="0507C93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6BFEBE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6.420</w:t>
            </w:r>
          </w:p>
        </w:tc>
        <w:tc>
          <w:tcPr>
            <w:tcW w:w="410" w:type="dxa"/>
          </w:tcPr>
          <w:p w14:paraId="5BCA908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516818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934" w:type="dxa"/>
          </w:tcPr>
          <w:p w14:paraId="4B74CC26"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AC8A40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0.601</w:t>
            </w:r>
            <w:r w:rsidRPr="00F16A08">
              <w:rPr>
                <w:rFonts w:ascii="Arial" w:hAnsi="Arial" w:cs="Arial"/>
                <w:color w:val="000000" w:themeColor="text1"/>
                <w:sz w:val="20"/>
                <w:szCs w:val="20"/>
                <w:vertAlign w:val="superscript"/>
              </w:rPr>
              <w:t>NS</w:t>
            </w:r>
          </w:p>
        </w:tc>
      </w:tr>
      <w:tr w:rsidR="00F16A08" w:rsidRPr="00F16A08" w14:paraId="513BC7F8" w14:textId="77777777" w:rsidTr="00F51741">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598" w:type="dxa"/>
          </w:tcPr>
          <w:p w14:paraId="610C23AC"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4</w:t>
            </w:r>
          </w:p>
        </w:tc>
        <w:tc>
          <w:tcPr>
            <w:tcW w:w="2371" w:type="dxa"/>
          </w:tcPr>
          <w:p w14:paraId="29C16017" w14:textId="77777777" w:rsidR="00DE61A6" w:rsidRPr="00F16A08" w:rsidRDefault="00DE61A6" w:rsidP="00DE0D81">
            <w:pPr>
              <w:jc w:val="lowKashida"/>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Sexual preference </w:t>
            </w:r>
          </w:p>
          <w:p w14:paraId="7A902DB1"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Heterosexual</w:t>
            </w:r>
          </w:p>
          <w:p w14:paraId="0835C941"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Homosexual</w:t>
            </w:r>
          </w:p>
          <w:p w14:paraId="12767019"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Bisexual</w:t>
            </w:r>
          </w:p>
          <w:p w14:paraId="64B72C5F"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Asexual</w:t>
            </w:r>
          </w:p>
          <w:p w14:paraId="622E28AD"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 xml:space="preserve">Other (Please specify): </w:t>
            </w:r>
          </w:p>
          <w:p w14:paraId="1FDB71D5" w14:textId="77777777" w:rsidR="00DE61A6" w:rsidRPr="00F16A08" w:rsidRDefault="00DE61A6" w:rsidP="00DE0D81">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Prefer not to say</w:t>
            </w:r>
          </w:p>
        </w:tc>
        <w:tc>
          <w:tcPr>
            <w:tcW w:w="1314" w:type="dxa"/>
          </w:tcPr>
          <w:p w14:paraId="40AAAAF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E6D43C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40</w:t>
            </w:r>
          </w:p>
          <w:p w14:paraId="70CE342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31B2EC8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3828810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04EA09A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18078E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8A9E7D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60" w:type="dxa"/>
          </w:tcPr>
          <w:p w14:paraId="0930F5D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654B3F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144</w:t>
            </w:r>
          </w:p>
          <w:p w14:paraId="6A88E9A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178FDE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39B1EE1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7A07103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7C06DCF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E588DE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1148" w:type="dxa"/>
          </w:tcPr>
          <w:p w14:paraId="1647E4F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F2733E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p w14:paraId="7DFF789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4CC217D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4D1A5F6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07CB2F1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18DA471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8E53C7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261" w:type="dxa"/>
          </w:tcPr>
          <w:p w14:paraId="5D4E045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509464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0.948</w:t>
            </w:r>
          </w:p>
        </w:tc>
        <w:tc>
          <w:tcPr>
            <w:tcW w:w="410" w:type="dxa"/>
          </w:tcPr>
          <w:p w14:paraId="1FDA3FB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2CAA66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4" w:type="dxa"/>
          </w:tcPr>
          <w:p w14:paraId="035F4266"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882E94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0.918</w:t>
            </w:r>
            <w:r w:rsidRPr="00F16A08">
              <w:rPr>
                <w:rFonts w:ascii="Arial" w:hAnsi="Arial" w:cs="Arial"/>
                <w:color w:val="000000" w:themeColor="text1"/>
                <w:sz w:val="20"/>
                <w:szCs w:val="20"/>
                <w:vertAlign w:val="superscript"/>
              </w:rPr>
              <w:t>NS</w:t>
            </w:r>
          </w:p>
        </w:tc>
      </w:tr>
      <w:tr w:rsidR="00F16A08" w:rsidRPr="00F16A08" w14:paraId="38577BB9"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7D734F14"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5</w:t>
            </w:r>
          </w:p>
        </w:tc>
        <w:tc>
          <w:tcPr>
            <w:tcW w:w="2371" w:type="dxa"/>
          </w:tcPr>
          <w:p w14:paraId="4BADB83D" w14:textId="77777777" w:rsidR="00DE61A6" w:rsidRPr="00F16A08" w:rsidRDefault="00DE61A6" w:rsidP="00DE0D81">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Course pursuing </w:t>
            </w:r>
          </w:p>
          <w:p w14:paraId="6281CD4E" w14:textId="77777777" w:rsidR="00DE61A6" w:rsidRPr="00F16A08" w:rsidRDefault="00DE61A6" w:rsidP="00DE0D81">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Bachelors in Arts</w:t>
            </w:r>
          </w:p>
          <w:p w14:paraId="28AE1EAD" w14:textId="77777777" w:rsidR="00DE61A6" w:rsidRPr="00F16A08" w:rsidRDefault="00DE61A6" w:rsidP="00DE0D81">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lastRenderedPageBreak/>
              <w:t>Bachelors in Science</w:t>
            </w:r>
          </w:p>
          <w:p w14:paraId="3ADB978F" w14:textId="77777777" w:rsidR="00DE61A6" w:rsidRPr="00F16A08" w:rsidRDefault="00DE61A6" w:rsidP="00DE0D81">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Bachelors in Commerce</w:t>
            </w:r>
          </w:p>
          <w:p w14:paraId="15521215" w14:textId="77777777" w:rsidR="00DE61A6" w:rsidRPr="00F16A08" w:rsidRDefault="00DE61A6" w:rsidP="00DE0D81">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Others (Please specify): </w:t>
            </w:r>
          </w:p>
        </w:tc>
        <w:tc>
          <w:tcPr>
            <w:tcW w:w="1314" w:type="dxa"/>
          </w:tcPr>
          <w:p w14:paraId="088C6DE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E60C1D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16</w:t>
            </w:r>
          </w:p>
          <w:p w14:paraId="30F9DC5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C86605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21</w:t>
            </w:r>
          </w:p>
          <w:p w14:paraId="4A2A39E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0FB2B9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4EC49BF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7A1527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1160" w:type="dxa"/>
          </w:tcPr>
          <w:p w14:paraId="32E4737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12F9CB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43</w:t>
            </w:r>
          </w:p>
          <w:p w14:paraId="1A9AE5B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36AF51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73</w:t>
            </w:r>
          </w:p>
          <w:p w14:paraId="794982B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4291C6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22</w:t>
            </w:r>
          </w:p>
          <w:p w14:paraId="08332E3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E81314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1148" w:type="dxa"/>
          </w:tcPr>
          <w:p w14:paraId="2D4B375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99715A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74270DC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94837C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0291896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4518E7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67D30E5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6DB4AA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261" w:type="dxa"/>
          </w:tcPr>
          <w:p w14:paraId="45CA961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7EDED5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7.300</w:t>
            </w:r>
          </w:p>
        </w:tc>
        <w:tc>
          <w:tcPr>
            <w:tcW w:w="410" w:type="dxa"/>
          </w:tcPr>
          <w:p w14:paraId="4DB7FB4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62F9B4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934" w:type="dxa"/>
          </w:tcPr>
          <w:p w14:paraId="0B63B28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AC4BB7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0.294</w:t>
            </w:r>
            <w:r w:rsidRPr="00F16A08">
              <w:rPr>
                <w:rFonts w:ascii="Arial" w:hAnsi="Arial" w:cs="Arial"/>
                <w:color w:val="000000" w:themeColor="text1"/>
                <w:sz w:val="20"/>
                <w:szCs w:val="20"/>
                <w:vertAlign w:val="superscript"/>
              </w:rPr>
              <w:t>NS</w:t>
            </w:r>
          </w:p>
        </w:tc>
      </w:tr>
      <w:tr w:rsidR="00F16A08" w:rsidRPr="00F16A08" w14:paraId="4E043446" w14:textId="77777777" w:rsidTr="00F5174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8" w:type="dxa"/>
          </w:tcPr>
          <w:p w14:paraId="0F323F5A"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6</w:t>
            </w:r>
          </w:p>
        </w:tc>
        <w:tc>
          <w:tcPr>
            <w:tcW w:w="2371" w:type="dxa"/>
          </w:tcPr>
          <w:p w14:paraId="15B51CB1"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Type of family </w:t>
            </w:r>
          </w:p>
          <w:p w14:paraId="601A603B" w14:textId="77777777" w:rsidR="00DE61A6" w:rsidRPr="00F16A08" w:rsidRDefault="00DE61A6" w:rsidP="00DE0D8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Nuclear Family</w:t>
            </w:r>
          </w:p>
          <w:p w14:paraId="6EEA9E88" w14:textId="77777777" w:rsidR="00DE61A6" w:rsidRPr="00F16A08" w:rsidRDefault="00DE61A6" w:rsidP="00DE0D8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Joint Family</w:t>
            </w:r>
          </w:p>
          <w:p w14:paraId="39D0C536" w14:textId="77777777" w:rsidR="00DE61A6" w:rsidRPr="00F16A08" w:rsidRDefault="00DE61A6" w:rsidP="00DE0D8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Extended Family</w:t>
            </w:r>
          </w:p>
        </w:tc>
        <w:tc>
          <w:tcPr>
            <w:tcW w:w="1314" w:type="dxa"/>
          </w:tcPr>
          <w:p w14:paraId="192A818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BC042E8" w14:textId="559BE307" w:rsidR="00FD0FC9"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25</w:t>
            </w:r>
          </w:p>
          <w:p w14:paraId="6D83650C" w14:textId="675AA6DC"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p w14:paraId="64C86D7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1160" w:type="dxa"/>
          </w:tcPr>
          <w:p w14:paraId="781BCAC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F9D72B2" w14:textId="58615BF5" w:rsidR="00FD0FC9"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104</w:t>
            </w:r>
          </w:p>
          <w:p w14:paraId="68C8D3F7" w14:textId="39D370DC"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17</w:t>
            </w:r>
          </w:p>
          <w:p w14:paraId="7B78A0A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25</w:t>
            </w:r>
          </w:p>
        </w:tc>
        <w:tc>
          <w:tcPr>
            <w:tcW w:w="1148" w:type="dxa"/>
          </w:tcPr>
          <w:p w14:paraId="5DB8963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B804208" w14:textId="2A11ACBB" w:rsidR="00FD0FC9"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583C3E5C" w14:textId="56462181"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1A312D2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261" w:type="dxa"/>
          </w:tcPr>
          <w:p w14:paraId="6B9E3A4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02EEBC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11.35</w:t>
            </w:r>
          </w:p>
        </w:tc>
        <w:tc>
          <w:tcPr>
            <w:tcW w:w="410" w:type="dxa"/>
          </w:tcPr>
          <w:p w14:paraId="1318AC8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49F927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tc>
        <w:tc>
          <w:tcPr>
            <w:tcW w:w="934" w:type="dxa"/>
          </w:tcPr>
          <w:p w14:paraId="68C25D0E"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378D80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0.023*</w:t>
            </w:r>
          </w:p>
        </w:tc>
      </w:tr>
      <w:tr w:rsidR="00F16A08" w:rsidRPr="00F16A08" w14:paraId="47F56423"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12562FF5"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7</w:t>
            </w:r>
          </w:p>
        </w:tc>
        <w:tc>
          <w:tcPr>
            <w:tcW w:w="2371" w:type="dxa"/>
          </w:tcPr>
          <w:p w14:paraId="0F7A8B45"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Place of residence </w:t>
            </w:r>
          </w:p>
          <w:p w14:paraId="6B3D918F" w14:textId="77777777" w:rsidR="00DE61A6" w:rsidRPr="00F16A08" w:rsidRDefault="00DE61A6" w:rsidP="00DE0D81">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Urban</w:t>
            </w:r>
          </w:p>
          <w:p w14:paraId="3405FD55" w14:textId="77777777" w:rsidR="00DE61A6" w:rsidRPr="00F16A08" w:rsidRDefault="00DE61A6" w:rsidP="00DE0D81">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 xml:space="preserve">Rural </w:t>
            </w:r>
          </w:p>
        </w:tc>
        <w:tc>
          <w:tcPr>
            <w:tcW w:w="1314" w:type="dxa"/>
          </w:tcPr>
          <w:p w14:paraId="64D46C6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44EE8E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33</w:t>
            </w:r>
          </w:p>
          <w:p w14:paraId="2248F48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1160" w:type="dxa"/>
          </w:tcPr>
          <w:p w14:paraId="63DAA5E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61A8EB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108</w:t>
            </w:r>
          </w:p>
          <w:p w14:paraId="53E1E47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38</w:t>
            </w:r>
          </w:p>
        </w:tc>
        <w:tc>
          <w:tcPr>
            <w:tcW w:w="1148" w:type="dxa"/>
          </w:tcPr>
          <w:p w14:paraId="1C07595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0FC295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44CABF4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261" w:type="dxa"/>
          </w:tcPr>
          <w:p w14:paraId="3119DED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887A1B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0.791</w:t>
            </w:r>
          </w:p>
        </w:tc>
        <w:tc>
          <w:tcPr>
            <w:tcW w:w="410" w:type="dxa"/>
          </w:tcPr>
          <w:p w14:paraId="1653FD1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F212EC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4" w:type="dxa"/>
          </w:tcPr>
          <w:p w14:paraId="270B5BF6"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9D3A888"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0.673</w:t>
            </w:r>
            <w:r w:rsidRPr="00F16A08">
              <w:rPr>
                <w:rFonts w:ascii="Arial" w:hAnsi="Arial" w:cs="Arial"/>
                <w:color w:val="000000" w:themeColor="text1"/>
                <w:sz w:val="20"/>
                <w:szCs w:val="20"/>
                <w:vertAlign w:val="superscript"/>
              </w:rPr>
              <w:t>NS</w:t>
            </w:r>
          </w:p>
        </w:tc>
      </w:tr>
      <w:tr w:rsidR="00F16A08" w:rsidRPr="00F16A08" w14:paraId="1D6B1440" w14:textId="77777777" w:rsidTr="00F5174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8" w:type="dxa"/>
          </w:tcPr>
          <w:p w14:paraId="2C0F80F0"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8</w:t>
            </w:r>
          </w:p>
        </w:tc>
        <w:tc>
          <w:tcPr>
            <w:tcW w:w="2371" w:type="dxa"/>
          </w:tcPr>
          <w:p w14:paraId="69D23214"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Family monthly income</w:t>
            </w:r>
          </w:p>
          <w:p w14:paraId="3FD820A0" w14:textId="77777777" w:rsidR="00DE61A6" w:rsidRPr="00F16A08" w:rsidRDefault="00DE61A6" w:rsidP="00DE0D81">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Less than Rs. 25,000</w:t>
            </w:r>
          </w:p>
          <w:p w14:paraId="61688186" w14:textId="77777777" w:rsidR="00DE61A6" w:rsidRPr="00F16A08" w:rsidRDefault="00DE61A6" w:rsidP="00DE0D81">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25,000 to Rs. 50,000</w:t>
            </w:r>
          </w:p>
          <w:p w14:paraId="013DE500" w14:textId="77777777" w:rsidR="00DE61A6" w:rsidRPr="00F16A08" w:rsidRDefault="00DE61A6" w:rsidP="00DE0D81">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50,000 to Rs. 75,000</w:t>
            </w:r>
          </w:p>
          <w:p w14:paraId="3E86D305" w14:textId="77777777" w:rsidR="00DE61A6" w:rsidRPr="00F16A08" w:rsidRDefault="00DE61A6" w:rsidP="00DE0D81">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75,000 - Rs. 1,00,000</w:t>
            </w:r>
          </w:p>
          <w:p w14:paraId="555A2C20" w14:textId="77777777" w:rsidR="00DE61A6" w:rsidRPr="00F16A08" w:rsidRDefault="00DE61A6" w:rsidP="00DE0D81">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Above Rs. 1,00,000</w:t>
            </w:r>
          </w:p>
        </w:tc>
        <w:tc>
          <w:tcPr>
            <w:tcW w:w="1314" w:type="dxa"/>
          </w:tcPr>
          <w:p w14:paraId="7F5BAD9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C61D6C1" w14:textId="77777777" w:rsidR="00FD0FC9" w:rsidRPr="00F16A08" w:rsidRDefault="00FD0FC9"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B1FCEF3" w14:textId="60508742"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0E53309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87C1BD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p w14:paraId="3C452B8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4A294E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23</w:t>
            </w:r>
          </w:p>
          <w:p w14:paraId="2C37661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4546A1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1576666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A43F8F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tc>
        <w:tc>
          <w:tcPr>
            <w:tcW w:w="1160" w:type="dxa"/>
          </w:tcPr>
          <w:p w14:paraId="1CB2799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A37E76C" w14:textId="77777777" w:rsidR="00FD0FC9" w:rsidRPr="00F16A08" w:rsidRDefault="00FD0FC9"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5EE69C0" w14:textId="23DAC15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p w14:paraId="265B957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28197E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48</w:t>
            </w:r>
          </w:p>
          <w:p w14:paraId="60AC353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981FB0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62</w:t>
            </w:r>
          </w:p>
          <w:p w14:paraId="1A8763E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70F74A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p w14:paraId="06FAC9D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E1E062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16</w:t>
            </w:r>
          </w:p>
        </w:tc>
        <w:tc>
          <w:tcPr>
            <w:tcW w:w="1148" w:type="dxa"/>
          </w:tcPr>
          <w:p w14:paraId="40DF308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350E8E6" w14:textId="77777777" w:rsidR="00FD0FC9" w:rsidRPr="00F16A08" w:rsidRDefault="00FD0FC9"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D56935F" w14:textId="6DB5D24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0D6090E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CA3F59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4912600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0F9C34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68C56E7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92C4FE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34024E5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78488D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261" w:type="dxa"/>
          </w:tcPr>
          <w:p w14:paraId="1283930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1A46C78" w14:textId="77777777" w:rsidR="00FD0FC9" w:rsidRPr="00F16A08" w:rsidRDefault="00FD0FC9"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CAB457C" w14:textId="0203AA2F"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10.76</w:t>
            </w:r>
          </w:p>
        </w:tc>
        <w:tc>
          <w:tcPr>
            <w:tcW w:w="410" w:type="dxa"/>
          </w:tcPr>
          <w:p w14:paraId="319581C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B61D0E3" w14:textId="77777777" w:rsidR="00FD0FC9" w:rsidRPr="00F16A08" w:rsidRDefault="00FD0FC9"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F9FD5E7" w14:textId="7BE2158E"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934" w:type="dxa"/>
          </w:tcPr>
          <w:p w14:paraId="41DDE45F"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589825A" w14:textId="77777777" w:rsidR="00FD0FC9" w:rsidRPr="00F16A08" w:rsidRDefault="00FD0FC9"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88EE81A" w14:textId="6297684F"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0.376</w:t>
            </w:r>
            <w:r w:rsidRPr="00F16A08">
              <w:rPr>
                <w:rFonts w:ascii="Arial" w:hAnsi="Arial" w:cs="Arial"/>
                <w:color w:val="000000" w:themeColor="text1"/>
                <w:sz w:val="20"/>
                <w:szCs w:val="20"/>
                <w:vertAlign w:val="superscript"/>
              </w:rPr>
              <w:t>NS</w:t>
            </w:r>
          </w:p>
        </w:tc>
      </w:tr>
      <w:tr w:rsidR="00F16A08" w:rsidRPr="00F16A08" w14:paraId="42EE793B"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2FF496D2"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9</w:t>
            </w:r>
          </w:p>
        </w:tc>
        <w:tc>
          <w:tcPr>
            <w:tcW w:w="2371" w:type="dxa"/>
          </w:tcPr>
          <w:p w14:paraId="554AB946"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Current semester </w:t>
            </w:r>
          </w:p>
          <w:p w14:paraId="2EB29B1B" w14:textId="77777777" w:rsidR="00DE61A6" w:rsidRPr="00F16A08" w:rsidRDefault="00DE61A6" w:rsidP="00DE0D81">
            <w:pPr>
              <w:pStyle w:val="ListParagraph"/>
              <w:numPr>
                <w:ilvl w:val="0"/>
                <w:numId w:val="1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1-2</w:t>
            </w:r>
          </w:p>
          <w:p w14:paraId="14F52B22" w14:textId="77777777" w:rsidR="00DE61A6" w:rsidRPr="00F16A08" w:rsidRDefault="00DE61A6" w:rsidP="00DE0D81">
            <w:pPr>
              <w:pStyle w:val="ListParagraph"/>
              <w:numPr>
                <w:ilvl w:val="0"/>
                <w:numId w:val="1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3-4</w:t>
            </w:r>
          </w:p>
          <w:p w14:paraId="1C848667" w14:textId="77777777" w:rsidR="00DE61A6" w:rsidRPr="00F16A08" w:rsidRDefault="00DE61A6" w:rsidP="00DE0D81">
            <w:pPr>
              <w:pStyle w:val="ListParagraph"/>
              <w:numPr>
                <w:ilvl w:val="0"/>
                <w:numId w:val="1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5-6</w:t>
            </w:r>
          </w:p>
          <w:p w14:paraId="2324E919" w14:textId="77777777" w:rsidR="00DE61A6" w:rsidRPr="00F16A08" w:rsidRDefault="00DE61A6" w:rsidP="00DE0D81">
            <w:pPr>
              <w:pStyle w:val="ListParagraph"/>
              <w:numPr>
                <w:ilvl w:val="0"/>
                <w:numId w:val="1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7-8</w:t>
            </w:r>
          </w:p>
        </w:tc>
        <w:tc>
          <w:tcPr>
            <w:tcW w:w="1314" w:type="dxa"/>
          </w:tcPr>
          <w:p w14:paraId="5A0F291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2A83C5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p w14:paraId="5B20699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p w14:paraId="057EB8D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w:t>
            </w:r>
          </w:p>
          <w:p w14:paraId="6985EFC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1160" w:type="dxa"/>
          </w:tcPr>
          <w:p w14:paraId="524CF07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CB3295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26</w:t>
            </w:r>
          </w:p>
          <w:p w14:paraId="30464D2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21</w:t>
            </w:r>
          </w:p>
          <w:p w14:paraId="140A4A3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48</w:t>
            </w:r>
          </w:p>
          <w:p w14:paraId="69CD647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51</w:t>
            </w:r>
          </w:p>
        </w:tc>
        <w:tc>
          <w:tcPr>
            <w:tcW w:w="1148" w:type="dxa"/>
          </w:tcPr>
          <w:p w14:paraId="0794E0B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57D5CA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6558C89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A1412D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0F2273C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1261" w:type="dxa"/>
          </w:tcPr>
          <w:p w14:paraId="37BF83D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9308E1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9.317</w:t>
            </w:r>
          </w:p>
        </w:tc>
        <w:tc>
          <w:tcPr>
            <w:tcW w:w="410" w:type="dxa"/>
          </w:tcPr>
          <w:p w14:paraId="66C7E5C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DC763A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934" w:type="dxa"/>
          </w:tcPr>
          <w:p w14:paraId="0545EAE3"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650C04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0.157</w:t>
            </w:r>
            <w:r w:rsidRPr="00F16A08">
              <w:rPr>
                <w:rFonts w:ascii="Arial" w:hAnsi="Arial" w:cs="Arial"/>
                <w:color w:val="000000" w:themeColor="text1"/>
                <w:sz w:val="20"/>
                <w:szCs w:val="20"/>
                <w:vertAlign w:val="superscript"/>
              </w:rPr>
              <w:t>NS</w:t>
            </w:r>
          </w:p>
        </w:tc>
      </w:tr>
      <w:tr w:rsidR="00F16A08" w:rsidRPr="00F16A08" w14:paraId="03679449" w14:textId="77777777" w:rsidTr="00F51741">
        <w:trPr>
          <w:cnfStyle w:val="010000000000" w:firstRow="0" w:lastRow="1"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598" w:type="dxa"/>
          </w:tcPr>
          <w:p w14:paraId="51ADA0CD"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2371" w:type="dxa"/>
          </w:tcPr>
          <w:p w14:paraId="0CFEC68C"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iCs/>
                <w:color w:val="000000" w:themeColor="text1"/>
                <w:sz w:val="20"/>
                <w:szCs w:val="20"/>
              </w:rPr>
            </w:pPr>
            <w:r w:rsidRPr="00F16A08">
              <w:rPr>
                <w:rFonts w:ascii="Arial" w:hAnsi="Arial" w:cs="Arial"/>
                <w:b w:val="0"/>
                <w:bCs w:val="0"/>
                <w:iCs/>
                <w:color w:val="000000" w:themeColor="text1"/>
                <w:sz w:val="20"/>
                <w:szCs w:val="20"/>
              </w:rPr>
              <w:t xml:space="preserve">Sexual relationship </w:t>
            </w:r>
          </w:p>
          <w:p w14:paraId="251395D1" w14:textId="77777777" w:rsidR="00DE61A6" w:rsidRPr="00F16A08" w:rsidRDefault="00DE61A6" w:rsidP="00DE0D81">
            <w:pPr>
              <w:pStyle w:val="ListParagraph"/>
              <w:numPr>
                <w:ilvl w:val="0"/>
                <w:numId w:val="6"/>
              </w:num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Abstinence</w:t>
            </w:r>
          </w:p>
          <w:p w14:paraId="7B674C29" w14:textId="77777777" w:rsidR="00DE61A6" w:rsidRPr="00F16A08" w:rsidRDefault="00DE61A6" w:rsidP="00DE0D81">
            <w:pPr>
              <w:pStyle w:val="ListParagraph"/>
              <w:numPr>
                <w:ilvl w:val="0"/>
                <w:numId w:val="6"/>
              </w:num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 xml:space="preserve">Active </w:t>
            </w:r>
          </w:p>
        </w:tc>
        <w:tc>
          <w:tcPr>
            <w:tcW w:w="1314" w:type="dxa"/>
          </w:tcPr>
          <w:p w14:paraId="44E1CDE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25A537CA"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40</w:t>
            </w:r>
          </w:p>
          <w:p w14:paraId="4E5A198C"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1</w:t>
            </w:r>
          </w:p>
        </w:tc>
        <w:tc>
          <w:tcPr>
            <w:tcW w:w="1160" w:type="dxa"/>
          </w:tcPr>
          <w:p w14:paraId="7192EF8A"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2CFC7F9D"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138</w:t>
            </w:r>
          </w:p>
          <w:p w14:paraId="6DB874E3"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8</w:t>
            </w:r>
          </w:p>
        </w:tc>
        <w:tc>
          <w:tcPr>
            <w:tcW w:w="1148" w:type="dxa"/>
          </w:tcPr>
          <w:p w14:paraId="586913E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522DBDC4"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5</w:t>
            </w:r>
          </w:p>
          <w:p w14:paraId="3FD5E62A"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0</w:t>
            </w:r>
          </w:p>
        </w:tc>
        <w:tc>
          <w:tcPr>
            <w:tcW w:w="1261" w:type="dxa"/>
          </w:tcPr>
          <w:p w14:paraId="0BEBAA8F"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6AFAE67F"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0.915</w:t>
            </w:r>
          </w:p>
        </w:tc>
        <w:tc>
          <w:tcPr>
            <w:tcW w:w="410" w:type="dxa"/>
          </w:tcPr>
          <w:p w14:paraId="366978F8"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07528C0D"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2</w:t>
            </w:r>
          </w:p>
        </w:tc>
        <w:tc>
          <w:tcPr>
            <w:tcW w:w="934" w:type="dxa"/>
          </w:tcPr>
          <w:p w14:paraId="04D38CEB"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42D1BDB5"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vertAlign w:val="superscript"/>
              </w:rPr>
            </w:pPr>
            <w:r w:rsidRPr="00F16A08">
              <w:rPr>
                <w:rFonts w:ascii="Arial" w:hAnsi="Arial" w:cs="Arial"/>
                <w:b w:val="0"/>
                <w:bCs w:val="0"/>
                <w:color w:val="000000" w:themeColor="text1"/>
                <w:sz w:val="20"/>
                <w:szCs w:val="20"/>
              </w:rPr>
              <w:t>0.633</w:t>
            </w:r>
            <w:r w:rsidRPr="00F16A08">
              <w:rPr>
                <w:rFonts w:ascii="Arial" w:hAnsi="Arial" w:cs="Arial"/>
                <w:b w:val="0"/>
                <w:bCs w:val="0"/>
                <w:color w:val="000000" w:themeColor="text1"/>
                <w:sz w:val="20"/>
                <w:szCs w:val="20"/>
                <w:vertAlign w:val="superscript"/>
              </w:rPr>
              <w:t>NS</w:t>
            </w:r>
          </w:p>
        </w:tc>
      </w:tr>
    </w:tbl>
    <w:p w14:paraId="37B06B98" w14:textId="77777777" w:rsidR="00DE61A6" w:rsidRPr="00F16A08" w:rsidRDefault="00DE61A6" w:rsidP="00DE0D81">
      <w:pPr>
        <w:spacing w:after="0" w:line="240" w:lineRule="auto"/>
        <w:rPr>
          <w:rFonts w:ascii="Arial" w:hAnsi="Arial" w:cs="Arial"/>
          <w:color w:val="000000" w:themeColor="text1"/>
          <w:sz w:val="20"/>
          <w:szCs w:val="20"/>
        </w:rPr>
      </w:pPr>
      <w:r w:rsidRPr="00F16A08">
        <w:rPr>
          <w:rFonts w:ascii="Arial" w:hAnsi="Arial" w:cs="Arial"/>
          <w:b/>
          <w:color w:val="000000" w:themeColor="text1"/>
          <w:sz w:val="20"/>
          <w:szCs w:val="20"/>
        </w:rPr>
        <w:t>*p value &lt; 0.05 level of significance       NS-Non-Significant</w:t>
      </w:r>
    </w:p>
    <w:p w14:paraId="0F6C3141" w14:textId="77777777" w:rsidR="00F51741" w:rsidRPr="00F16A08" w:rsidRDefault="00F51741" w:rsidP="00DE0D81">
      <w:pPr>
        <w:spacing w:line="240" w:lineRule="auto"/>
        <w:jc w:val="both"/>
        <w:rPr>
          <w:rFonts w:ascii="Arial" w:hAnsi="Arial" w:cs="Arial"/>
          <w:bCs/>
          <w:color w:val="000000" w:themeColor="text1"/>
          <w:sz w:val="20"/>
          <w:szCs w:val="20"/>
        </w:rPr>
      </w:pPr>
    </w:p>
    <w:p w14:paraId="075A8551" w14:textId="14056D6B" w:rsidR="00DE61A6" w:rsidRPr="00F16A08" w:rsidRDefault="00F51741" w:rsidP="00DE0D81">
      <w:pPr>
        <w:spacing w:after="0" w:line="240" w:lineRule="auto"/>
        <w:jc w:val="both"/>
        <w:rPr>
          <w:rFonts w:ascii="Arial" w:hAnsi="Arial" w:cs="Arial"/>
          <w:bCs/>
          <w:color w:val="000000" w:themeColor="text1"/>
          <w:sz w:val="20"/>
          <w:szCs w:val="20"/>
        </w:rPr>
      </w:pPr>
      <w:r w:rsidRPr="00F16A08">
        <w:rPr>
          <w:rFonts w:ascii="Arial" w:hAnsi="Arial" w:cs="Arial"/>
          <w:bCs/>
          <w:color w:val="000000" w:themeColor="text1"/>
          <w:sz w:val="20"/>
          <w:szCs w:val="20"/>
        </w:rPr>
        <w:t>Table 6 shows the association between knowledge of STIs and socio-demographic variables using Chi-square or Fisher’s exact test. A significant association was found with age and type of family (p &lt; 0.05), while marital status, religion, sexual preference, course pursued, place of residence, family income, semester, and sexual relationship showed no significant association with STI knowledge.</w:t>
      </w:r>
    </w:p>
    <w:p w14:paraId="484A452E" w14:textId="77777777" w:rsidR="00F51741" w:rsidRPr="00F16A08" w:rsidRDefault="00F51741" w:rsidP="00DE0D81">
      <w:pPr>
        <w:spacing w:after="0" w:line="240" w:lineRule="auto"/>
        <w:jc w:val="both"/>
        <w:rPr>
          <w:rFonts w:ascii="Arial" w:hAnsi="Arial" w:cs="Arial"/>
          <w:b/>
          <w:color w:val="000000" w:themeColor="text1"/>
          <w:sz w:val="20"/>
          <w:szCs w:val="20"/>
        </w:rPr>
      </w:pPr>
    </w:p>
    <w:p w14:paraId="36B93098" w14:textId="77777777" w:rsidR="00DE61A6" w:rsidRPr="00F16A08" w:rsidRDefault="00DE61A6" w:rsidP="00DE0D81">
      <w:pPr>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7:  Association between attitude towards Sexually Transmitted Infections (STIs) among College Students with socio demographic variables </w:t>
      </w:r>
    </w:p>
    <w:p w14:paraId="798A0B96" w14:textId="77777777"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t>N=192</w:t>
      </w:r>
    </w:p>
    <w:tbl>
      <w:tblPr>
        <w:tblStyle w:val="PlainTable2"/>
        <w:tblW w:w="8994" w:type="dxa"/>
        <w:tblLook w:val="04E0" w:firstRow="1" w:lastRow="1" w:firstColumn="1" w:lastColumn="0" w:noHBand="0" w:noVBand="1"/>
      </w:tblPr>
      <w:tblGrid>
        <w:gridCol w:w="506"/>
        <w:gridCol w:w="3345"/>
        <w:gridCol w:w="1122"/>
        <w:gridCol w:w="1390"/>
        <w:gridCol w:w="1145"/>
        <w:gridCol w:w="588"/>
        <w:gridCol w:w="898"/>
      </w:tblGrid>
      <w:tr w:rsidR="00F16A08" w:rsidRPr="00F16A08" w14:paraId="27847C22" w14:textId="77777777" w:rsidTr="00F51741">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05" w:type="dxa"/>
            <w:vMerge w:val="restart"/>
          </w:tcPr>
          <w:p w14:paraId="3FEB6790"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 xml:space="preserve">S. </w:t>
            </w:r>
          </w:p>
          <w:p w14:paraId="44F0D2B5"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No</w:t>
            </w:r>
          </w:p>
        </w:tc>
        <w:tc>
          <w:tcPr>
            <w:tcW w:w="3349" w:type="dxa"/>
            <w:vMerge w:val="restart"/>
          </w:tcPr>
          <w:p w14:paraId="65D049F6"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Demographic Variables</w:t>
            </w:r>
          </w:p>
        </w:tc>
        <w:tc>
          <w:tcPr>
            <w:tcW w:w="2513" w:type="dxa"/>
            <w:gridSpan w:val="2"/>
          </w:tcPr>
          <w:p w14:paraId="02B244E7"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Attitude </w:t>
            </w:r>
          </w:p>
        </w:tc>
        <w:tc>
          <w:tcPr>
            <w:tcW w:w="1146" w:type="dxa"/>
            <w:vMerge w:val="restart"/>
          </w:tcPr>
          <w:p w14:paraId="0C09FFED"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IN" w:eastAsia="en-IN"/>
              </w:rPr>
            </w:pPr>
            <w:r w:rsidRPr="00F16A08">
              <w:rPr>
                <w:rFonts w:ascii="Arial" w:hAnsi="Arial" w:cs="Arial"/>
                <w:color w:val="000000" w:themeColor="text1"/>
                <w:sz w:val="20"/>
                <w:szCs w:val="20"/>
              </w:rPr>
              <w:t>Fishers</w:t>
            </w:r>
            <w:r w:rsidRPr="00F16A08">
              <w:rPr>
                <w:rFonts w:ascii="Arial" w:hAnsi="Arial" w:cs="Arial"/>
                <w:b w:val="0"/>
                <w:color w:val="000000" w:themeColor="text1"/>
                <w:sz w:val="20"/>
                <w:szCs w:val="20"/>
              </w:rPr>
              <w:t>/</w:t>
            </w:r>
            <w:r w:rsidRPr="00F16A08">
              <w:rPr>
                <w:rFonts w:ascii="Arial" w:hAnsi="Arial" w:cs="Arial"/>
                <w:color w:val="000000" w:themeColor="text1"/>
                <w:sz w:val="20"/>
                <w:szCs w:val="20"/>
              </w:rPr>
              <w:t xml:space="preserve"> χ2 </w:t>
            </w:r>
            <w:r w:rsidRPr="00F16A08">
              <w:rPr>
                <w:rFonts w:ascii="Arial" w:hAnsi="Arial" w:cs="Arial"/>
                <w:color w:val="000000" w:themeColor="text1"/>
                <w:sz w:val="20"/>
                <w:szCs w:val="20"/>
                <w:lang w:val="en-IN" w:eastAsia="en-IN"/>
              </w:rPr>
              <w:t>value</w:t>
            </w:r>
          </w:p>
        </w:tc>
        <w:tc>
          <w:tcPr>
            <w:tcW w:w="589" w:type="dxa"/>
            <w:vMerge w:val="restart"/>
          </w:tcPr>
          <w:p w14:paraId="76ABEECE"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df</w:t>
            </w:r>
          </w:p>
        </w:tc>
        <w:tc>
          <w:tcPr>
            <w:tcW w:w="892" w:type="dxa"/>
            <w:vMerge w:val="restart"/>
          </w:tcPr>
          <w:p w14:paraId="3CF53F26"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p value</w:t>
            </w:r>
          </w:p>
        </w:tc>
      </w:tr>
      <w:tr w:rsidR="00F16A08" w:rsidRPr="00F16A08" w14:paraId="75EAF995" w14:textId="77777777" w:rsidTr="00F5174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5" w:type="dxa"/>
            <w:vMerge/>
          </w:tcPr>
          <w:p w14:paraId="209AEA56" w14:textId="77777777" w:rsidR="00DE61A6" w:rsidRPr="00F16A08" w:rsidRDefault="00DE61A6" w:rsidP="00DE0D81">
            <w:pPr>
              <w:jc w:val="center"/>
              <w:rPr>
                <w:rFonts w:ascii="Arial" w:hAnsi="Arial" w:cs="Arial"/>
                <w:b w:val="0"/>
                <w:color w:val="000000" w:themeColor="text1"/>
                <w:sz w:val="20"/>
                <w:szCs w:val="20"/>
              </w:rPr>
            </w:pPr>
          </w:p>
        </w:tc>
        <w:tc>
          <w:tcPr>
            <w:tcW w:w="3349" w:type="dxa"/>
            <w:vMerge/>
          </w:tcPr>
          <w:p w14:paraId="721CB1B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123" w:type="dxa"/>
          </w:tcPr>
          <w:p w14:paraId="51DBB15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Neutral </w:t>
            </w:r>
          </w:p>
        </w:tc>
        <w:tc>
          <w:tcPr>
            <w:tcW w:w="1389" w:type="dxa"/>
          </w:tcPr>
          <w:p w14:paraId="742E74D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Unfavorable </w:t>
            </w:r>
          </w:p>
        </w:tc>
        <w:tc>
          <w:tcPr>
            <w:tcW w:w="1146" w:type="dxa"/>
            <w:vMerge/>
          </w:tcPr>
          <w:p w14:paraId="35449AE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89" w:type="dxa"/>
            <w:vMerge/>
          </w:tcPr>
          <w:p w14:paraId="23F8025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892" w:type="dxa"/>
            <w:vMerge/>
          </w:tcPr>
          <w:p w14:paraId="7C7D81D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F16A08" w:rsidRPr="00F16A08" w14:paraId="0AEE95CB" w14:textId="77777777" w:rsidTr="00F51741">
        <w:trPr>
          <w:trHeight w:val="1282"/>
        </w:trPr>
        <w:tc>
          <w:tcPr>
            <w:cnfStyle w:val="001000000000" w:firstRow="0" w:lastRow="0" w:firstColumn="1" w:lastColumn="0" w:oddVBand="0" w:evenVBand="0" w:oddHBand="0" w:evenHBand="0" w:firstRowFirstColumn="0" w:firstRowLastColumn="0" w:lastRowFirstColumn="0" w:lastRowLastColumn="0"/>
            <w:tcW w:w="505" w:type="dxa"/>
          </w:tcPr>
          <w:p w14:paraId="5275B94C"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w:t>
            </w:r>
          </w:p>
        </w:tc>
        <w:tc>
          <w:tcPr>
            <w:tcW w:w="3349" w:type="dxa"/>
          </w:tcPr>
          <w:p w14:paraId="09526F4E"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Age in years </w:t>
            </w:r>
          </w:p>
          <w:p w14:paraId="3A84BCE2" w14:textId="77777777" w:rsidR="00DE61A6" w:rsidRPr="00F16A08" w:rsidRDefault="00DE61A6" w:rsidP="00DE0D81">
            <w:pPr>
              <w:pStyle w:val="ListParagraph"/>
              <w:numPr>
                <w:ilvl w:val="0"/>
                <w:numId w:val="18"/>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19-30</w:t>
            </w:r>
          </w:p>
          <w:p w14:paraId="114EF0C3" w14:textId="77777777" w:rsidR="00DE61A6" w:rsidRPr="00F16A08" w:rsidRDefault="00DE61A6" w:rsidP="00DE0D81">
            <w:pPr>
              <w:pStyle w:val="ListParagraph"/>
              <w:numPr>
                <w:ilvl w:val="0"/>
                <w:numId w:val="18"/>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31-4</w:t>
            </w:r>
          </w:p>
          <w:p w14:paraId="1C772755" w14:textId="77777777" w:rsidR="00DE61A6" w:rsidRPr="00F16A08" w:rsidRDefault="00DE61A6" w:rsidP="00DE0D81">
            <w:pPr>
              <w:pStyle w:val="ListParagraph"/>
              <w:numPr>
                <w:ilvl w:val="0"/>
                <w:numId w:val="18"/>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41-50 </w:t>
            </w:r>
          </w:p>
        </w:tc>
        <w:tc>
          <w:tcPr>
            <w:tcW w:w="1123" w:type="dxa"/>
          </w:tcPr>
          <w:p w14:paraId="222CAE1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71F636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49</w:t>
            </w:r>
          </w:p>
          <w:p w14:paraId="7A351EF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w:t>
            </w:r>
          </w:p>
          <w:p w14:paraId="62F2AF1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23</w:t>
            </w:r>
          </w:p>
        </w:tc>
        <w:tc>
          <w:tcPr>
            <w:tcW w:w="1389" w:type="dxa"/>
          </w:tcPr>
          <w:p w14:paraId="1333136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97BB29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22</w:t>
            </w:r>
          </w:p>
          <w:p w14:paraId="097F9E8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57</w:t>
            </w:r>
          </w:p>
          <w:p w14:paraId="7FF1800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17</w:t>
            </w:r>
          </w:p>
        </w:tc>
        <w:tc>
          <w:tcPr>
            <w:tcW w:w="1146" w:type="dxa"/>
          </w:tcPr>
          <w:p w14:paraId="6ECA58D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3BF6CD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24.61</w:t>
            </w:r>
          </w:p>
        </w:tc>
        <w:tc>
          <w:tcPr>
            <w:tcW w:w="589" w:type="dxa"/>
          </w:tcPr>
          <w:p w14:paraId="41BFAFF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1CDE56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892" w:type="dxa"/>
          </w:tcPr>
          <w:p w14:paraId="02E772E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42E9AA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0.001*</w:t>
            </w:r>
          </w:p>
        </w:tc>
      </w:tr>
      <w:tr w:rsidR="00F16A08" w:rsidRPr="00F16A08" w14:paraId="416C8792" w14:textId="77777777" w:rsidTr="00F51741">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505" w:type="dxa"/>
          </w:tcPr>
          <w:p w14:paraId="7DF5308D"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2</w:t>
            </w:r>
          </w:p>
        </w:tc>
        <w:tc>
          <w:tcPr>
            <w:tcW w:w="3349" w:type="dxa"/>
          </w:tcPr>
          <w:p w14:paraId="42547B6D" w14:textId="77777777" w:rsidR="00DE61A6" w:rsidRPr="00F16A08" w:rsidRDefault="00DE61A6" w:rsidP="00DE0D81">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Marital status </w:t>
            </w:r>
          </w:p>
          <w:p w14:paraId="3E0FCE41" w14:textId="77777777" w:rsidR="00DE61A6" w:rsidRPr="00F16A08" w:rsidRDefault="00DE61A6" w:rsidP="00DE0D81">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Unmarried</w:t>
            </w:r>
          </w:p>
          <w:p w14:paraId="7F685C4A" w14:textId="77777777" w:rsidR="00DE61A6" w:rsidRPr="00F16A08" w:rsidRDefault="00DE61A6" w:rsidP="00DE0D81">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 xml:space="preserve">Married   </w:t>
            </w:r>
          </w:p>
        </w:tc>
        <w:tc>
          <w:tcPr>
            <w:tcW w:w="1123" w:type="dxa"/>
          </w:tcPr>
          <w:p w14:paraId="61A98A6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030681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95</w:t>
            </w:r>
          </w:p>
          <w:p w14:paraId="1C15204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389" w:type="dxa"/>
          </w:tcPr>
          <w:p w14:paraId="718518C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A14F00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95</w:t>
            </w:r>
          </w:p>
          <w:p w14:paraId="3048ECB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46" w:type="dxa"/>
          </w:tcPr>
          <w:p w14:paraId="78AE472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0ED7E9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0.0</w:t>
            </w:r>
          </w:p>
        </w:tc>
        <w:tc>
          <w:tcPr>
            <w:tcW w:w="589" w:type="dxa"/>
          </w:tcPr>
          <w:p w14:paraId="421F0AD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BF0216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892" w:type="dxa"/>
          </w:tcPr>
          <w:p w14:paraId="063EBFA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04AD22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1.000</w:t>
            </w:r>
            <w:r w:rsidRPr="00F16A08">
              <w:rPr>
                <w:rFonts w:ascii="Arial" w:hAnsi="Arial" w:cs="Arial"/>
                <w:color w:val="000000" w:themeColor="text1"/>
                <w:sz w:val="20"/>
                <w:szCs w:val="20"/>
                <w:vertAlign w:val="superscript"/>
              </w:rPr>
              <w:t>NS</w:t>
            </w:r>
          </w:p>
        </w:tc>
      </w:tr>
      <w:tr w:rsidR="00F16A08" w:rsidRPr="00F16A08" w14:paraId="7FC30E15" w14:textId="77777777" w:rsidTr="00EC4D91">
        <w:trPr>
          <w:trHeight w:val="1553"/>
        </w:trPr>
        <w:tc>
          <w:tcPr>
            <w:cnfStyle w:val="001000000000" w:firstRow="0" w:lastRow="0" w:firstColumn="1" w:lastColumn="0" w:oddVBand="0" w:evenVBand="0" w:oddHBand="0" w:evenHBand="0" w:firstRowFirstColumn="0" w:firstRowLastColumn="0" w:lastRowFirstColumn="0" w:lastRowLastColumn="0"/>
            <w:tcW w:w="505" w:type="dxa"/>
          </w:tcPr>
          <w:p w14:paraId="7B99B35E"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lastRenderedPageBreak/>
              <w:t>3</w:t>
            </w:r>
          </w:p>
        </w:tc>
        <w:tc>
          <w:tcPr>
            <w:tcW w:w="3349" w:type="dxa"/>
          </w:tcPr>
          <w:p w14:paraId="52831A5A"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 Religion</w:t>
            </w:r>
          </w:p>
          <w:p w14:paraId="0A96DC9E" w14:textId="77777777" w:rsidR="00DE61A6" w:rsidRPr="00F16A08" w:rsidRDefault="00DE61A6" w:rsidP="00DE0D81">
            <w:pPr>
              <w:pStyle w:val="ListParagraph"/>
              <w:numPr>
                <w:ilvl w:val="0"/>
                <w:numId w:val="2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Hindu</w:t>
            </w:r>
          </w:p>
          <w:p w14:paraId="589A5EC8" w14:textId="77777777" w:rsidR="00DE61A6" w:rsidRPr="00F16A08" w:rsidRDefault="00DE61A6" w:rsidP="00DE0D81">
            <w:pPr>
              <w:pStyle w:val="ListParagraph"/>
              <w:numPr>
                <w:ilvl w:val="0"/>
                <w:numId w:val="2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Christian</w:t>
            </w:r>
          </w:p>
          <w:p w14:paraId="35330024" w14:textId="77777777" w:rsidR="00DE61A6" w:rsidRPr="00F16A08" w:rsidRDefault="00DE61A6" w:rsidP="00DE0D81">
            <w:pPr>
              <w:pStyle w:val="ListParagraph"/>
              <w:numPr>
                <w:ilvl w:val="0"/>
                <w:numId w:val="2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Muslim</w:t>
            </w:r>
          </w:p>
          <w:p w14:paraId="0099249F" w14:textId="77777777" w:rsidR="00DE61A6" w:rsidRPr="00F16A08" w:rsidRDefault="00DE61A6" w:rsidP="00DE0D81">
            <w:pPr>
              <w:pStyle w:val="ListParagraph"/>
              <w:numPr>
                <w:ilvl w:val="0"/>
                <w:numId w:val="2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Buddhist </w:t>
            </w:r>
          </w:p>
          <w:p w14:paraId="0E1E9C71" w14:textId="77777777" w:rsidR="00DE61A6" w:rsidRPr="00F16A08" w:rsidRDefault="00DE61A6" w:rsidP="00DE0D81">
            <w:pPr>
              <w:pStyle w:val="ListParagraph"/>
              <w:numPr>
                <w:ilvl w:val="0"/>
                <w:numId w:val="20"/>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Others </w:t>
            </w:r>
          </w:p>
        </w:tc>
        <w:tc>
          <w:tcPr>
            <w:tcW w:w="1123" w:type="dxa"/>
          </w:tcPr>
          <w:p w14:paraId="476442C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C62228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w:t>
            </w:r>
          </w:p>
          <w:p w14:paraId="0BD32B3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w:t>
            </w:r>
          </w:p>
          <w:p w14:paraId="3F2DFA8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p w14:paraId="61F1F30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40</w:t>
            </w:r>
          </w:p>
          <w:p w14:paraId="1A060EE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1389" w:type="dxa"/>
          </w:tcPr>
          <w:p w14:paraId="7577150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46D93B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30</w:t>
            </w:r>
          </w:p>
          <w:p w14:paraId="2AC8B0E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23</w:t>
            </w:r>
          </w:p>
          <w:p w14:paraId="7037EE5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p w14:paraId="2CBEE6E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25</w:t>
            </w:r>
          </w:p>
          <w:p w14:paraId="32AC21F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1146" w:type="dxa"/>
          </w:tcPr>
          <w:p w14:paraId="10A03E4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E82D89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6.816</w:t>
            </w:r>
          </w:p>
        </w:tc>
        <w:tc>
          <w:tcPr>
            <w:tcW w:w="589" w:type="dxa"/>
          </w:tcPr>
          <w:p w14:paraId="2CBB7FF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0298E5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tc>
        <w:tc>
          <w:tcPr>
            <w:tcW w:w="892" w:type="dxa"/>
          </w:tcPr>
          <w:p w14:paraId="45463E07"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2C662A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0.146</w:t>
            </w:r>
            <w:r w:rsidRPr="00F16A08">
              <w:rPr>
                <w:rFonts w:ascii="Arial" w:hAnsi="Arial" w:cs="Arial"/>
                <w:color w:val="000000" w:themeColor="text1"/>
                <w:sz w:val="20"/>
                <w:szCs w:val="20"/>
                <w:vertAlign w:val="superscript"/>
              </w:rPr>
              <w:t>NS</w:t>
            </w:r>
          </w:p>
        </w:tc>
      </w:tr>
      <w:tr w:rsidR="00F16A08" w:rsidRPr="00F16A08" w14:paraId="3BE111D3" w14:textId="77777777" w:rsidTr="00EC4D91">
        <w:trPr>
          <w:cnfStyle w:val="000000100000" w:firstRow="0" w:lastRow="0" w:firstColumn="0" w:lastColumn="0" w:oddVBand="0" w:evenVBand="0" w:oddHBand="1" w:evenHBand="0" w:firstRowFirstColumn="0" w:firstRowLastColumn="0" w:lastRowFirstColumn="0" w:lastRowLastColumn="0"/>
          <w:trHeight w:val="1844"/>
        </w:trPr>
        <w:tc>
          <w:tcPr>
            <w:cnfStyle w:val="001000000000" w:firstRow="0" w:lastRow="0" w:firstColumn="1" w:lastColumn="0" w:oddVBand="0" w:evenVBand="0" w:oddHBand="0" w:evenHBand="0" w:firstRowFirstColumn="0" w:firstRowLastColumn="0" w:lastRowFirstColumn="0" w:lastRowLastColumn="0"/>
            <w:tcW w:w="505" w:type="dxa"/>
          </w:tcPr>
          <w:p w14:paraId="79003A08"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4</w:t>
            </w:r>
          </w:p>
        </w:tc>
        <w:tc>
          <w:tcPr>
            <w:tcW w:w="3349" w:type="dxa"/>
          </w:tcPr>
          <w:p w14:paraId="18BF2F3B" w14:textId="77777777" w:rsidR="00DE61A6" w:rsidRPr="00F16A08" w:rsidRDefault="00DE61A6" w:rsidP="00DE0D81">
            <w:pPr>
              <w:jc w:val="lowKashida"/>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Sexual preference </w:t>
            </w:r>
          </w:p>
          <w:p w14:paraId="7983BAAE"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Heterosexual</w:t>
            </w:r>
          </w:p>
          <w:p w14:paraId="4D9D93A8"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Homosexual</w:t>
            </w:r>
          </w:p>
          <w:p w14:paraId="313663FB"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Bisexual</w:t>
            </w:r>
          </w:p>
          <w:p w14:paraId="0EA666C2"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Asexual</w:t>
            </w:r>
          </w:p>
          <w:p w14:paraId="20C0DA66"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 xml:space="preserve">Other (Please specify): </w:t>
            </w:r>
          </w:p>
          <w:p w14:paraId="21873E31" w14:textId="77777777" w:rsidR="00DE61A6" w:rsidRPr="00F16A08" w:rsidRDefault="00DE61A6" w:rsidP="00DE0D81">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Prefer not to say</w:t>
            </w:r>
          </w:p>
        </w:tc>
        <w:tc>
          <w:tcPr>
            <w:tcW w:w="1123" w:type="dxa"/>
          </w:tcPr>
          <w:p w14:paraId="5C69AE0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D46F0C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95</w:t>
            </w:r>
          </w:p>
          <w:p w14:paraId="0590DEA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1B9D7D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719A885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506DF3C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52F23A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389" w:type="dxa"/>
          </w:tcPr>
          <w:p w14:paraId="1C77237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197903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94</w:t>
            </w:r>
          </w:p>
          <w:p w14:paraId="4E84C34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5645770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41F5274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74EFDA4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3095C4B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146" w:type="dxa"/>
          </w:tcPr>
          <w:p w14:paraId="7CA7672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D2E485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2.339</w:t>
            </w:r>
          </w:p>
        </w:tc>
        <w:tc>
          <w:tcPr>
            <w:tcW w:w="589" w:type="dxa"/>
          </w:tcPr>
          <w:p w14:paraId="339A42E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005066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892" w:type="dxa"/>
          </w:tcPr>
          <w:p w14:paraId="1BD2CA7A"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0AE5AE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0.311</w:t>
            </w:r>
            <w:r w:rsidRPr="00F16A08">
              <w:rPr>
                <w:rFonts w:ascii="Arial" w:hAnsi="Arial" w:cs="Arial"/>
                <w:color w:val="000000" w:themeColor="text1"/>
                <w:sz w:val="20"/>
                <w:szCs w:val="20"/>
                <w:vertAlign w:val="superscript"/>
              </w:rPr>
              <w:t>NS</w:t>
            </w:r>
          </w:p>
        </w:tc>
      </w:tr>
      <w:tr w:rsidR="00F16A08" w:rsidRPr="00F16A08" w14:paraId="266F4B41" w14:textId="77777777" w:rsidTr="00EC4D91">
        <w:trPr>
          <w:trHeight w:val="1261"/>
        </w:trPr>
        <w:tc>
          <w:tcPr>
            <w:cnfStyle w:val="001000000000" w:firstRow="0" w:lastRow="0" w:firstColumn="1" w:lastColumn="0" w:oddVBand="0" w:evenVBand="0" w:oddHBand="0" w:evenHBand="0" w:firstRowFirstColumn="0" w:firstRowLastColumn="0" w:lastRowFirstColumn="0" w:lastRowLastColumn="0"/>
            <w:tcW w:w="505" w:type="dxa"/>
          </w:tcPr>
          <w:p w14:paraId="4475AC50"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5</w:t>
            </w:r>
          </w:p>
        </w:tc>
        <w:tc>
          <w:tcPr>
            <w:tcW w:w="3349" w:type="dxa"/>
          </w:tcPr>
          <w:p w14:paraId="71604423" w14:textId="77777777" w:rsidR="00DE61A6" w:rsidRPr="00F16A08" w:rsidRDefault="00DE61A6" w:rsidP="00DE0D81">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Course pursuing</w:t>
            </w:r>
          </w:p>
          <w:p w14:paraId="1522F312" w14:textId="77777777" w:rsidR="00DE61A6" w:rsidRPr="00F16A08" w:rsidRDefault="00DE61A6" w:rsidP="00DE0D81">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Arts</w:t>
            </w:r>
          </w:p>
          <w:p w14:paraId="78D3B2DB" w14:textId="77777777" w:rsidR="00DE61A6" w:rsidRPr="00F16A08" w:rsidRDefault="00DE61A6" w:rsidP="00DE0D81">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Science</w:t>
            </w:r>
          </w:p>
          <w:p w14:paraId="6C817A09" w14:textId="77777777" w:rsidR="00DE61A6" w:rsidRPr="00F16A08" w:rsidRDefault="00DE61A6" w:rsidP="00DE0D81">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Commerce</w:t>
            </w:r>
          </w:p>
          <w:p w14:paraId="3E339C7D" w14:textId="77777777" w:rsidR="00DE61A6" w:rsidRPr="00F16A08" w:rsidRDefault="00DE61A6" w:rsidP="00DE0D81">
            <w:pPr>
              <w:pStyle w:val="Default"/>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Others (Please specify): </w:t>
            </w:r>
          </w:p>
        </w:tc>
        <w:tc>
          <w:tcPr>
            <w:tcW w:w="1123" w:type="dxa"/>
          </w:tcPr>
          <w:p w14:paraId="5D072C9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745A99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29</w:t>
            </w:r>
          </w:p>
          <w:p w14:paraId="4688DE4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51</w:t>
            </w:r>
          </w:p>
          <w:p w14:paraId="3B59367E" w14:textId="2E7CD33F" w:rsidR="00F51741"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w:t>
            </w:r>
          </w:p>
          <w:p w14:paraId="211C01FA" w14:textId="79793E55"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tc>
        <w:tc>
          <w:tcPr>
            <w:tcW w:w="1389" w:type="dxa"/>
          </w:tcPr>
          <w:p w14:paraId="4A84A4F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DB98D1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w:t>
            </w:r>
          </w:p>
          <w:p w14:paraId="3265B04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45</w:t>
            </w:r>
          </w:p>
          <w:p w14:paraId="6CE91B99" w14:textId="05C0EEF5" w:rsidR="00F51741"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13</w:t>
            </w:r>
          </w:p>
          <w:p w14:paraId="39437DDE" w14:textId="688C641A"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tc>
        <w:tc>
          <w:tcPr>
            <w:tcW w:w="1146" w:type="dxa"/>
          </w:tcPr>
          <w:p w14:paraId="6D40855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F4752D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0.942</w:t>
            </w:r>
          </w:p>
        </w:tc>
        <w:tc>
          <w:tcPr>
            <w:tcW w:w="589" w:type="dxa"/>
          </w:tcPr>
          <w:p w14:paraId="4E41B07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91C6F9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892" w:type="dxa"/>
          </w:tcPr>
          <w:p w14:paraId="62F1FF4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8DBE1B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0.815</w:t>
            </w:r>
            <w:r w:rsidRPr="00F16A08">
              <w:rPr>
                <w:rFonts w:ascii="Arial" w:hAnsi="Arial" w:cs="Arial"/>
                <w:color w:val="000000" w:themeColor="text1"/>
                <w:sz w:val="20"/>
                <w:szCs w:val="20"/>
                <w:vertAlign w:val="superscript"/>
              </w:rPr>
              <w:t>NS</w:t>
            </w:r>
          </w:p>
        </w:tc>
      </w:tr>
      <w:tr w:rsidR="00F16A08" w:rsidRPr="00F16A08" w14:paraId="2536B3F5" w14:textId="77777777" w:rsidTr="00F51741">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505" w:type="dxa"/>
          </w:tcPr>
          <w:p w14:paraId="16A6B663"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6</w:t>
            </w:r>
          </w:p>
        </w:tc>
        <w:tc>
          <w:tcPr>
            <w:tcW w:w="3349" w:type="dxa"/>
          </w:tcPr>
          <w:p w14:paraId="14AFA92B"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Type of family </w:t>
            </w:r>
          </w:p>
          <w:p w14:paraId="31F988C0" w14:textId="77777777" w:rsidR="00DE61A6" w:rsidRPr="00F16A08" w:rsidRDefault="00DE61A6" w:rsidP="00DE0D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Nuclear Family</w:t>
            </w:r>
          </w:p>
          <w:p w14:paraId="4CFFF515" w14:textId="77777777" w:rsidR="00DE61A6" w:rsidRPr="00F16A08" w:rsidRDefault="00DE61A6" w:rsidP="00DE0D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Joint Family</w:t>
            </w:r>
          </w:p>
          <w:p w14:paraId="1269FD79" w14:textId="77777777" w:rsidR="00DE61A6" w:rsidRPr="00F16A08" w:rsidRDefault="00DE61A6" w:rsidP="00DE0D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Extended Family</w:t>
            </w:r>
          </w:p>
        </w:tc>
        <w:tc>
          <w:tcPr>
            <w:tcW w:w="1123" w:type="dxa"/>
          </w:tcPr>
          <w:p w14:paraId="072DD27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3EEF77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69</w:t>
            </w:r>
          </w:p>
          <w:p w14:paraId="019875D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p w14:paraId="50ED51E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tc>
        <w:tc>
          <w:tcPr>
            <w:tcW w:w="1389" w:type="dxa"/>
          </w:tcPr>
          <w:p w14:paraId="3B6C0FD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BA8994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62</w:t>
            </w:r>
          </w:p>
          <w:p w14:paraId="4E0C068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w:t>
            </w:r>
          </w:p>
          <w:p w14:paraId="3E63B14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15</w:t>
            </w:r>
          </w:p>
        </w:tc>
        <w:tc>
          <w:tcPr>
            <w:tcW w:w="1146" w:type="dxa"/>
          </w:tcPr>
          <w:p w14:paraId="1193CB4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DEA334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6.627</w:t>
            </w:r>
          </w:p>
        </w:tc>
        <w:tc>
          <w:tcPr>
            <w:tcW w:w="589" w:type="dxa"/>
          </w:tcPr>
          <w:p w14:paraId="4CBD94B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FFE0DD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892" w:type="dxa"/>
          </w:tcPr>
          <w:p w14:paraId="7064B149"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1F23DB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0.036*</w:t>
            </w:r>
          </w:p>
        </w:tc>
      </w:tr>
      <w:tr w:rsidR="00F16A08" w:rsidRPr="00F16A08" w14:paraId="257A5F75" w14:textId="77777777" w:rsidTr="00F51741">
        <w:trPr>
          <w:trHeight w:val="959"/>
        </w:trPr>
        <w:tc>
          <w:tcPr>
            <w:cnfStyle w:val="001000000000" w:firstRow="0" w:lastRow="0" w:firstColumn="1" w:lastColumn="0" w:oddVBand="0" w:evenVBand="0" w:oddHBand="0" w:evenHBand="0" w:firstRowFirstColumn="0" w:firstRowLastColumn="0" w:lastRowFirstColumn="0" w:lastRowLastColumn="0"/>
            <w:tcW w:w="505" w:type="dxa"/>
          </w:tcPr>
          <w:p w14:paraId="3EA27800"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7</w:t>
            </w:r>
          </w:p>
        </w:tc>
        <w:tc>
          <w:tcPr>
            <w:tcW w:w="3349" w:type="dxa"/>
          </w:tcPr>
          <w:p w14:paraId="79E2621A"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Place of residence </w:t>
            </w:r>
          </w:p>
          <w:p w14:paraId="7CDA71EF" w14:textId="77777777" w:rsidR="00DE61A6" w:rsidRPr="00F16A08" w:rsidRDefault="00DE61A6" w:rsidP="00DE0D8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Urban</w:t>
            </w:r>
          </w:p>
          <w:p w14:paraId="6351CCA4" w14:textId="77777777" w:rsidR="00DE61A6" w:rsidRPr="00F16A08" w:rsidRDefault="00DE61A6" w:rsidP="00DE0D81">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 xml:space="preserve">Rural </w:t>
            </w:r>
          </w:p>
        </w:tc>
        <w:tc>
          <w:tcPr>
            <w:tcW w:w="1123" w:type="dxa"/>
          </w:tcPr>
          <w:p w14:paraId="5424A24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C72F49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68</w:t>
            </w:r>
          </w:p>
          <w:p w14:paraId="011EC49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28</w:t>
            </w:r>
          </w:p>
        </w:tc>
        <w:tc>
          <w:tcPr>
            <w:tcW w:w="1389" w:type="dxa"/>
          </w:tcPr>
          <w:p w14:paraId="1468860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8E9DA9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77</w:t>
            </w:r>
          </w:p>
          <w:p w14:paraId="0E72918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w:t>
            </w:r>
          </w:p>
        </w:tc>
        <w:tc>
          <w:tcPr>
            <w:tcW w:w="1146" w:type="dxa"/>
          </w:tcPr>
          <w:p w14:paraId="5C44D31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76438D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2.282</w:t>
            </w:r>
          </w:p>
        </w:tc>
        <w:tc>
          <w:tcPr>
            <w:tcW w:w="589" w:type="dxa"/>
          </w:tcPr>
          <w:p w14:paraId="3AE694A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AE2D6F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892" w:type="dxa"/>
          </w:tcPr>
          <w:p w14:paraId="2B5D8FF5"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F6875C2"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0.131</w:t>
            </w:r>
            <w:r w:rsidRPr="00F16A08">
              <w:rPr>
                <w:rFonts w:ascii="Arial" w:hAnsi="Arial" w:cs="Arial"/>
                <w:color w:val="000000" w:themeColor="text1"/>
                <w:sz w:val="20"/>
                <w:szCs w:val="20"/>
                <w:vertAlign w:val="superscript"/>
              </w:rPr>
              <w:t>NS</w:t>
            </w:r>
          </w:p>
        </w:tc>
      </w:tr>
      <w:tr w:rsidR="00F16A08" w:rsidRPr="00F16A08" w14:paraId="4A2F18CF" w14:textId="77777777" w:rsidTr="00F51741">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505" w:type="dxa"/>
          </w:tcPr>
          <w:p w14:paraId="62ACC605"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8</w:t>
            </w:r>
          </w:p>
        </w:tc>
        <w:tc>
          <w:tcPr>
            <w:tcW w:w="3349" w:type="dxa"/>
          </w:tcPr>
          <w:p w14:paraId="1935A8B4"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Family monthly income</w:t>
            </w:r>
          </w:p>
          <w:p w14:paraId="3A95B0AC" w14:textId="77777777" w:rsidR="00DE61A6" w:rsidRPr="00F16A08" w:rsidRDefault="00DE61A6" w:rsidP="00DE0D8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Less than Rs. 25,000</w:t>
            </w:r>
          </w:p>
          <w:p w14:paraId="1BA78191" w14:textId="77777777" w:rsidR="00DE61A6" w:rsidRPr="00F16A08" w:rsidRDefault="00DE61A6" w:rsidP="00DE0D8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25,000 to Rs. 50,000</w:t>
            </w:r>
          </w:p>
          <w:p w14:paraId="04224B4E" w14:textId="77777777" w:rsidR="00DE61A6" w:rsidRPr="00F16A08" w:rsidRDefault="00DE61A6" w:rsidP="00DE0D8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50,000 to Rs. 75,000</w:t>
            </w:r>
          </w:p>
          <w:p w14:paraId="32AFA895" w14:textId="77777777" w:rsidR="00DE61A6" w:rsidRPr="00F16A08" w:rsidRDefault="00DE61A6" w:rsidP="00DE0D8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75,000 - Rs. 1,00,000</w:t>
            </w:r>
          </w:p>
          <w:p w14:paraId="17E32D47" w14:textId="77777777" w:rsidR="00DE61A6" w:rsidRPr="00F16A08" w:rsidRDefault="00DE61A6" w:rsidP="00DE0D8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Above Rs. 1,00,000</w:t>
            </w:r>
          </w:p>
        </w:tc>
        <w:tc>
          <w:tcPr>
            <w:tcW w:w="1123" w:type="dxa"/>
          </w:tcPr>
          <w:p w14:paraId="014CCBC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A32094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p w14:paraId="73193680" w14:textId="08D962E5"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28</w:t>
            </w:r>
          </w:p>
          <w:p w14:paraId="0383B97D" w14:textId="16B39202"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45</w:t>
            </w:r>
          </w:p>
          <w:p w14:paraId="2742C068" w14:textId="01F50DA7"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57AC4E94" w14:textId="6F6F98B8"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w:t>
            </w:r>
          </w:p>
        </w:tc>
        <w:tc>
          <w:tcPr>
            <w:tcW w:w="1389" w:type="dxa"/>
          </w:tcPr>
          <w:p w14:paraId="084F70C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AA6B3D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p w14:paraId="0815F8B2" w14:textId="3119789D"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w:t>
            </w:r>
          </w:p>
          <w:p w14:paraId="6B22C14C" w14:textId="3934FAAD"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41</w:t>
            </w:r>
          </w:p>
          <w:p w14:paraId="56724977" w14:textId="40818EF2" w:rsidR="00F51741"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p w14:paraId="3830598D" w14:textId="2F5E79C5"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1146" w:type="dxa"/>
          </w:tcPr>
          <w:p w14:paraId="31E843E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682A7E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3.351</w:t>
            </w:r>
          </w:p>
          <w:p w14:paraId="4D70035D"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589" w:type="dxa"/>
          </w:tcPr>
          <w:p w14:paraId="5D3DD45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807C10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892" w:type="dxa"/>
          </w:tcPr>
          <w:p w14:paraId="4C84346E"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6DC3D7A"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0.646</w:t>
            </w:r>
            <w:r w:rsidRPr="00F16A08">
              <w:rPr>
                <w:rFonts w:ascii="Arial" w:hAnsi="Arial" w:cs="Arial"/>
                <w:color w:val="000000" w:themeColor="text1"/>
                <w:sz w:val="20"/>
                <w:szCs w:val="20"/>
                <w:vertAlign w:val="superscript"/>
              </w:rPr>
              <w:t>NS</w:t>
            </w:r>
          </w:p>
        </w:tc>
      </w:tr>
      <w:tr w:rsidR="00F16A08" w:rsidRPr="00F16A08" w14:paraId="16590D06" w14:textId="77777777" w:rsidTr="00F51741">
        <w:trPr>
          <w:trHeight w:val="1595"/>
        </w:trPr>
        <w:tc>
          <w:tcPr>
            <w:cnfStyle w:val="001000000000" w:firstRow="0" w:lastRow="0" w:firstColumn="1" w:lastColumn="0" w:oddVBand="0" w:evenVBand="0" w:oddHBand="0" w:evenHBand="0" w:firstRowFirstColumn="0" w:firstRowLastColumn="0" w:lastRowFirstColumn="0" w:lastRowLastColumn="0"/>
            <w:tcW w:w="505" w:type="dxa"/>
          </w:tcPr>
          <w:p w14:paraId="0BD78C7A"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9</w:t>
            </w:r>
          </w:p>
        </w:tc>
        <w:tc>
          <w:tcPr>
            <w:tcW w:w="3349" w:type="dxa"/>
          </w:tcPr>
          <w:p w14:paraId="6734DE8A"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Current semester </w:t>
            </w:r>
          </w:p>
          <w:p w14:paraId="724A3324" w14:textId="77777777" w:rsidR="00DE61A6" w:rsidRPr="00F16A08" w:rsidRDefault="00DE61A6" w:rsidP="00DE0D81">
            <w:pPr>
              <w:pStyle w:val="ListParagraph"/>
              <w:numPr>
                <w:ilvl w:val="0"/>
                <w:numId w:val="2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1-2</w:t>
            </w:r>
          </w:p>
          <w:p w14:paraId="2398D235" w14:textId="77777777" w:rsidR="00DE61A6" w:rsidRPr="00F16A08" w:rsidRDefault="00DE61A6" w:rsidP="00DE0D81">
            <w:pPr>
              <w:pStyle w:val="ListParagraph"/>
              <w:numPr>
                <w:ilvl w:val="0"/>
                <w:numId w:val="2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3-4</w:t>
            </w:r>
          </w:p>
          <w:p w14:paraId="38C504E9" w14:textId="77777777" w:rsidR="00DE61A6" w:rsidRPr="00F16A08" w:rsidRDefault="00DE61A6" w:rsidP="00DE0D81">
            <w:pPr>
              <w:pStyle w:val="ListParagraph"/>
              <w:numPr>
                <w:ilvl w:val="0"/>
                <w:numId w:val="2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5-6</w:t>
            </w:r>
          </w:p>
          <w:p w14:paraId="795A2752" w14:textId="77777777" w:rsidR="00DE61A6" w:rsidRPr="00F16A08" w:rsidRDefault="00DE61A6" w:rsidP="00DE0D81">
            <w:pPr>
              <w:pStyle w:val="ListParagraph"/>
              <w:numPr>
                <w:ilvl w:val="0"/>
                <w:numId w:val="26"/>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7-8</w:t>
            </w:r>
          </w:p>
        </w:tc>
        <w:tc>
          <w:tcPr>
            <w:tcW w:w="1123" w:type="dxa"/>
          </w:tcPr>
          <w:p w14:paraId="12A37C5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4E5B95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w:t>
            </w:r>
          </w:p>
          <w:p w14:paraId="1C04577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p w14:paraId="6D9C125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39</w:t>
            </w:r>
          </w:p>
          <w:p w14:paraId="1777C66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38</w:t>
            </w:r>
          </w:p>
        </w:tc>
        <w:tc>
          <w:tcPr>
            <w:tcW w:w="1389" w:type="dxa"/>
          </w:tcPr>
          <w:p w14:paraId="6904408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32B66D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25</w:t>
            </w:r>
          </w:p>
          <w:p w14:paraId="1314EEA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p w14:paraId="2513EDA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29</w:t>
            </w:r>
          </w:p>
          <w:p w14:paraId="08921FD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22</w:t>
            </w:r>
          </w:p>
        </w:tc>
        <w:tc>
          <w:tcPr>
            <w:tcW w:w="1146" w:type="dxa"/>
          </w:tcPr>
          <w:p w14:paraId="68DBC5E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244307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16.32</w:t>
            </w:r>
          </w:p>
        </w:tc>
        <w:tc>
          <w:tcPr>
            <w:tcW w:w="589" w:type="dxa"/>
          </w:tcPr>
          <w:p w14:paraId="1D04479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83BE13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892" w:type="dxa"/>
          </w:tcPr>
          <w:p w14:paraId="3C3D02DB"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BA364A7"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0.001*</w:t>
            </w:r>
          </w:p>
        </w:tc>
      </w:tr>
      <w:tr w:rsidR="00F16A08" w:rsidRPr="00F16A08" w14:paraId="73AB9DBF" w14:textId="77777777" w:rsidTr="00F51741">
        <w:trPr>
          <w:cnfStyle w:val="010000000000" w:firstRow="0" w:lastRow="1"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05" w:type="dxa"/>
          </w:tcPr>
          <w:p w14:paraId="7155550D"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3349" w:type="dxa"/>
          </w:tcPr>
          <w:p w14:paraId="71ACC490"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iCs/>
                <w:color w:val="000000" w:themeColor="text1"/>
                <w:sz w:val="20"/>
                <w:szCs w:val="20"/>
              </w:rPr>
            </w:pPr>
            <w:r w:rsidRPr="00F16A08">
              <w:rPr>
                <w:rFonts w:ascii="Arial" w:hAnsi="Arial" w:cs="Arial"/>
                <w:b w:val="0"/>
                <w:bCs w:val="0"/>
                <w:iCs/>
                <w:color w:val="000000" w:themeColor="text1"/>
                <w:sz w:val="20"/>
                <w:szCs w:val="20"/>
              </w:rPr>
              <w:t xml:space="preserve">Sexual relationship </w:t>
            </w:r>
          </w:p>
          <w:p w14:paraId="0BFDB76F" w14:textId="77777777" w:rsidR="00DE61A6" w:rsidRPr="00F16A08" w:rsidRDefault="00DE61A6" w:rsidP="00DE0D81">
            <w:pPr>
              <w:pStyle w:val="ListParagraph"/>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Abstinence</w:t>
            </w:r>
          </w:p>
          <w:p w14:paraId="1F72DF30" w14:textId="77777777" w:rsidR="00DE61A6" w:rsidRPr="00F16A08" w:rsidRDefault="00DE61A6" w:rsidP="00DE0D81">
            <w:pPr>
              <w:pStyle w:val="ListParagraph"/>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 xml:space="preserve">Active </w:t>
            </w:r>
          </w:p>
        </w:tc>
        <w:tc>
          <w:tcPr>
            <w:tcW w:w="1123" w:type="dxa"/>
          </w:tcPr>
          <w:p w14:paraId="14E90151"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49E441D7"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92</w:t>
            </w:r>
          </w:p>
          <w:p w14:paraId="54BE9E8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4</w:t>
            </w:r>
          </w:p>
        </w:tc>
        <w:tc>
          <w:tcPr>
            <w:tcW w:w="1389" w:type="dxa"/>
          </w:tcPr>
          <w:p w14:paraId="2FD4C7E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1105FCD4"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91</w:t>
            </w:r>
          </w:p>
          <w:p w14:paraId="2DC119EC"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5</w:t>
            </w:r>
          </w:p>
        </w:tc>
        <w:tc>
          <w:tcPr>
            <w:tcW w:w="1146" w:type="dxa"/>
          </w:tcPr>
          <w:p w14:paraId="640C4275"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455E6688"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0.117</w:t>
            </w:r>
          </w:p>
        </w:tc>
        <w:tc>
          <w:tcPr>
            <w:tcW w:w="589" w:type="dxa"/>
          </w:tcPr>
          <w:p w14:paraId="51905C0D"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2A284719" w14:textId="77777777" w:rsidR="00DE61A6" w:rsidRPr="00F16A08" w:rsidRDefault="00DE61A6" w:rsidP="00DE0D81">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b w:val="0"/>
                <w:bCs w:val="0"/>
                <w:color w:val="000000" w:themeColor="text1"/>
                <w:sz w:val="20"/>
                <w:szCs w:val="20"/>
              </w:rPr>
              <w:t>1</w:t>
            </w:r>
          </w:p>
        </w:tc>
        <w:tc>
          <w:tcPr>
            <w:tcW w:w="892" w:type="dxa"/>
          </w:tcPr>
          <w:p w14:paraId="663C64E5"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35F784BA" w14:textId="77777777" w:rsidR="00DE61A6" w:rsidRPr="00F16A08" w:rsidRDefault="00DE61A6" w:rsidP="00DE0D81">
            <w:pPr>
              <w:cnfStyle w:val="010000000000" w:firstRow="0" w:lastRow="1"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vertAlign w:val="superscript"/>
              </w:rPr>
            </w:pPr>
            <w:r w:rsidRPr="00F16A08">
              <w:rPr>
                <w:rFonts w:ascii="Arial" w:hAnsi="Arial" w:cs="Arial"/>
                <w:b w:val="0"/>
                <w:bCs w:val="0"/>
                <w:color w:val="000000" w:themeColor="text1"/>
                <w:sz w:val="20"/>
                <w:szCs w:val="20"/>
              </w:rPr>
              <w:t>0.733</w:t>
            </w:r>
            <w:r w:rsidRPr="00F16A08">
              <w:rPr>
                <w:rFonts w:ascii="Arial" w:hAnsi="Arial" w:cs="Arial"/>
                <w:b w:val="0"/>
                <w:bCs w:val="0"/>
                <w:color w:val="000000" w:themeColor="text1"/>
                <w:sz w:val="20"/>
                <w:szCs w:val="20"/>
                <w:vertAlign w:val="superscript"/>
              </w:rPr>
              <w:t>NS</w:t>
            </w:r>
          </w:p>
        </w:tc>
      </w:tr>
    </w:tbl>
    <w:p w14:paraId="19CFA1D9" w14:textId="77777777" w:rsidR="00DE61A6" w:rsidRPr="00F16A08" w:rsidRDefault="00DE61A6" w:rsidP="00DE0D81">
      <w:pPr>
        <w:spacing w:after="0" w:line="240" w:lineRule="auto"/>
        <w:rPr>
          <w:rFonts w:ascii="Arial" w:hAnsi="Arial" w:cs="Arial"/>
          <w:b/>
          <w:color w:val="000000" w:themeColor="text1"/>
          <w:sz w:val="20"/>
          <w:szCs w:val="20"/>
        </w:rPr>
      </w:pPr>
      <w:r w:rsidRPr="00F16A08">
        <w:rPr>
          <w:rFonts w:ascii="Arial" w:hAnsi="Arial" w:cs="Arial"/>
          <w:b/>
          <w:color w:val="000000" w:themeColor="text1"/>
          <w:sz w:val="20"/>
          <w:szCs w:val="20"/>
        </w:rPr>
        <w:t>*p value &lt; 0.05 level of significance       NS-Non-Significant</w:t>
      </w:r>
    </w:p>
    <w:p w14:paraId="4D80C63E" w14:textId="77777777" w:rsidR="00DE61A6" w:rsidRPr="00F16A08" w:rsidRDefault="00DE61A6" w:rsidP="00DE0D81">
      <w:pPr>
        <w:spacing w:after="0" w:line="240" w:lineRule="auto"/>
        <w:rPr>
          <w:rFonts w:ascii="Arial" w:hAnsi="Arial" w:cs="Arial"/>
          <w:color w:val="000000" w:themeColor="text1"/>
          <w:sz w:val="20"/>
          <w:szCs w:val="20"/>
        </w:rPr>
      </w:pPr>
    </w:p>
    <w:p w14:paraId="60420C24" w14:textId="1EEC7FBD" w:rsidR="00DE61A6" w:rsidRPr="00F16A08" w:rsidRDefault="000256D4" w:rsidP="00DE0D81">
      <w:pPr>
        <w:spacing w:line="240" w:lineRule="auto"/>
        <w:jc w:val="both"/>
        <w:rPr>
          <w:rFonts w:ascii="Arial" w:hAnsi="Arial" w:cs="Arial"/>
          <w:color w:val="000000" w:themeColor="text1"/>
          <w:sz w:val="20"/>
          <w:szCs w:val="20"/>
        </w:rPr>
      </w:pPr>
      <w:r w:rsidRPr="00F16A08">
        <w:rPr>
          <w:rFonts w:ascii="Arial" w:hAnsi="Arial" w:cs="Arial"/>
          <w:bCs/>
          <w:color w:val="000000" w:themeColor="text1"/>
          <w:sz w:val="20"/>
          <w:szCs w:val="20"/>
        </w:rPr>
        <w:t>Table 7 shows the association between attitudes toward STIs and socio-demographic variables using Chi-square or Fisher’s exact test. A significant association was found with age, type of family, and current semester (p &lt; 0.05). Other variables</w:t>
      </w:r>
      <w:r w:rsidR="008F6E87" w:rsidRPr="00F16A08">
        <w:rPr>
          <w:rFonts w:ascii="Arial" w:hAnsi="Arial" w:cs="Arial"/>
          <w:bCs/>
          <w:color w:val="000000" w:themeColor="text1"/>
          <w:sz w:val="20"/>
          <w:szCs w:val="20"/>
        </w:rPr>
        <w:t xml:space="preserve"> </w:t>
      </w:r>
      <w:r w:rsidRPr="00F16A08">
        <w:rPr>
          <w:rFonts w:ascii="Arial" w:hAnsi="Arial" w:cs="Arial"/>
          <w:bCs/>
          <w:color w:val="000000" w:themeColor="text1"/>
          <w:sz w:val="20"/>
          <w:szCs w:val="20"/>
        </w:rPr>
        <w:t>marital status, religion, sexual preference, course pursued, place of residence, family income, and sexual relationship</w:t>
      </w:r>
      <w:r w:rsidR="00F16A08">
        <w:rPr>
          <w:rFonts w:ascii="Arial" w:hAnsi="Arial" w:cs="Arial"/>
          <w:bCs/>
          <w:color w:val="000000" w:themeColor="text1"/>
          <w:sz w:val="20"/>
          <w:szCs w:val="20"/>
        </w:rPr>
        <w:t xml:space="preserve"> </w:t>
      </w:r>
      <w:r w:rsidRPr="00F16A08">
        <w:rPr>
          <w:rFonts w:ascii="Arial" w:hAnsi="Arial" w:cs="Arial"/>
          <w:bCs/>
          <w:color w:val="000000" w:themeColor="text1"/>
          <w:sz w:val="20"/>
          <w:szCs w:val="20"/>
        </w:rPr>
        <w:t>showed no significant association with attitude toward STIs</w:t>
      </w:r>
      <w:r w:rsidR="00DE61A6" w:rsidRPr="00F16A08">
        <w:rPr>
          <w:rFonts w:ascii="Arial" w:hAnsi="Arial" w:cs="Arial"/>
          <w:color w:val="000000" w:themeColor="text1"/>
          <w:sz w:val="20"/>
          <w:szCs w:val="20"/>
        </w:rPr>
        <w:t xml:space="preserve">. </w:t>
      </w:r>
    </w:p>
    <w:p w14:paraId="04DD9947" w14:textId="77777777" w:rsidR="00EC4D91" w:rsidRPr="00F16A08" w:rsidRDefault="00EC4D91" w:rsidP="00DE0D81">
      <w:pPr>
        <w:spacing w:after="0" w:line="240" w:lineRule="auto"/>
        <w:jc w:val="both"/>
        <w:rPr>
          <w:rFonts w:ascii="Arial" w:hAnsi="Arial" w:cs="Arial"/>
          <w:b/>
          <w:color w:val="000000" w:themeColor="text1"/>
          <w:sz w:val="20"/>
          <w:szCs w:val="20"/>
        </w:rPr>
      </w:pPr>
    </w:p>
    <w:p w14:paraId="60D8B630" w14:textId="4555BA6C" w:rsidR="00DE61A6" w:rsidRPr="00F16A08" w:rsidRDefault="00DE61A6" w:rsidP="00DE0D81">
      <w:pPr>
        <w:spacing w:after="0" w:line="240" w:lineRule="auto"/>
        <w:jc w:val="both"/>
        <w:rPr>
          <w:rFonts w:ascii="Arial" w:hAnsi="Arial" w:cs="Arial"/>
          <w:b/>
          <w:color w:val="000000" w:themeColor="text1"/>
          <w:sz w:val="20"/>
          <w:szCs w:val="20"/>
        </w:rPr>
      </w:pPr>
      <w:r w:rsidRPr="00F16A08">
        <w:rPr>
          <w:rFonts w:ascii="Arial" w:hAnsi="Arial" w:cs="Arial"/>
          <w:b/>
          <w:color w:val="000000" w:themeColor="text1"/>
          <w:sz w:val="20"/>
          <w:szCs w:val="20"/>
        </w:rPr>
        <w:t xml:space="preserve">Table 8:  Association between Preventive practices towards Sexually Transmitted Infections (STIs) among College Students with socio demographic variables </w:t>
      </w:r>
    </w:p>
    <w:p w14:paraId="74D24BF7" w14:textId="77777777" w:rsidR="00DE61A6" w:rsidRPr="00F16A08" w:rsidRDefault="00DE61A6" w:rsidP="00DE0D81">
      <w:pPr>
        <w:spacing w:after="0" w:line="240" w:lineRule="auto"/>
        <w:jc w:val="right"/>
        <w:rPr>
          <w:rFonts w:ascii="Arial" w:hAnsi="Arial" w:cs="Arial"/>
          <w:b/>
          <w:color w:val="000000" w:themeColor="text1"/>
          <w:sz w:val="20"/>
          <w:szCs w:val="20"/>
        </w:rPr>
      </w:pP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r>
      <w:r w:rsidRPr="00F16A08">
        <w:rPr>
          <w:rFonts w:ascii="Arial" w:hAnsi="Arial" w:cs="Arial"/>
          <w:b/>
          <w:color w:val="000000" w:themeColor="text1"/>
          <w:sz w:val="20"/>
          <w:szCs w:val="20"/>
        </w:rPr>
        <w:tab/>
        <w:t xml:space="preserve">                                           N=192</w:t>
      </w:r>
    </w:p>
    <w:tbl>
      <w:tblPr>
        <w:tblStyle w:val="PlainTable2"/>
        <w:tblW w:w="8991" w:type="dxa"/>
        <w:tblLook w:val="04A0" w:firstRow="1" w:lastRow="0" w:firstColumn="1" w:lastColumn="0" w:noHBand="0" w:noVBand="1"/>
      </w:tblPr>
      <w:tblGrid>
        <w:gridCol w:w="638"/>
        <w:gridCol w:w="3588"/>
        <w:gridCol w:w="774"/>
        <w:gridCol w:w="754"/>
        <w:gridCol w:w="755"/>
        <w:gridCol w:w="1036"/>
        <w:gridCol w:w="513"/>
        <w:gridCol w:w="933"/>
      </w:tblGrid>
      <w:tr w:rsidR="00F16A08" w:rsidRPr="00F16A08" w14:paraId="135ED28F" w14:textId="77777777" w:rsidTr="00F51741">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38" w:type="dxa"/>
            <w:vMerge w:val="restart"/>
          </w:tcPr>
          <w:p w14:paraId="42B93E96"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lastRenderedPageBreak/>
              <w:t xml:space="preserve">S. </w:t>
            </w:r>
          </w:p>
          <w:p w14:paraId="57A2E412" w14:textId="77777777" w:rsidR="00DE61A6" w:rsidRPr="00F16A08" w:rsidRDefault="00DE61A6" w:rsidP="00DE0D81">
            <w:pPr>
              <w:jc w:val="center"/>
              <w:rPr>
                <w:rFonts w:ascii="Arial" w:hAnsi="Arial" w:cs="Arial"/>
                <w:b w:val="0"/>
                <w:color w:val="000000" w:themeColor="text1"/>
                <w:sz w:val="20"/>
                <w:szCs w:val="20"/>
              </w:rPr>
            </w:pPr>
            <w:r w:rsidRPr="00F16A08">
              <w:rPr>
                <w:rFonts w:ascii="Arial" w:hAnsi="Arial" w:cs="Arial"/>
                <w:color w:val="000000" w:themeColor="text1"/>
                <w:sz w:val="20"/>
                <w:szCs w:val="20"/>
              </w:rPr>
              <w:t>No</w:t>
            </w:r>
          </w:p>
        </w:tc>
        <w:tc>
          <w:tcPr>
            <w:tcW w:w="3588" w:type="dxa"/>
            <w:vMerge w:val="restart"/>
          </w:tcPr>
          <w:p w14:paraId="1F146FBE"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Demographic Variables</w:t>
            </w:r>
          </w:p>
        </w:tc>
        <w:tc>
          <w:tcPr>
            <w:tcW w:w="2283" w:type="dxa"/>
            <w:gridSpan w:val="3"/>
          </w:tcPr>
          <w:p w14:paraId="6E0F8065"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16A08">
              <w:rPr>
                <w:rFonts w:ascii="Arial" w:hAnsi="Arial" w:cs="Arial"/>
                <w:color w:val="000000" w:themeColor="text1"/>
                <w:sz w:val="20"/>
                <w:szCs w:val="20"/>
              </w:rPr>
              <w:t xml:space="preserve">Preventive practices </w:t>
            </w:r>
          </w:p>
        </w:tc>
        <w:tc>
          <w:tcPr>
            <w:tcW w:w="1036" w:type="dxa"/>
            <w:vMerge w:val="restart"/>
          </w:tcPr>
          <w:p w14:paraId="63BDA19E"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IN" w:eastAsia="en-IN"/>
              </w:rPr>
            </w:pPr>
            <w:r w:rsidRPr="00F16A08">
              <w:rPr>
                <w:rFonts w:ascii="Arial" w:hAnsi="Arial" w:cs="Arial"/>
                <w:color w:val="000000" w:themeColor="text1"/>
                <w:sz w:val="20"/>
                <w:szCs w:val="20"/>
              </w:rPr>
              <w:t>Fishers</w:t>
            </w:r>
            <w:r w:rsidRPr="00F16A08">
              <w:rPr>
                <w:rFonts w:ascii="Arial" w:hAnsi="Arial" w:cs="Arial"/>
                <w:b w:val="0"/>
                <w:color w:val="000000" w:themeColor="text1"/>
                <w:sz w:val="20"/>
                <w:szCs w:val="20"/>
              </w:rPr>
              <w:t>/</w:t>
            </w:r>
            <w:r w:rsidRPr="00F16A08">
              <w:rPr>
                <w:rFonts w:ascii="Arial" w:hAnsi="Arial" w:cs="Arial"/>
                <w:color w:val="000000" w:themeColor="text1"/>
                <w:sz w:val="20"/>
                <w:szCs w:val="20"/>
              </w:rPr>
              <w:t xml:space="preserve"> χ2 </w:t>
            </w:r>
            <w:r w:rsidRPr="00F16A08">
              <w:rPr>
                <w:rFonts w:ascii="Arial" w:hAnsi="Arial" w:cs="Arial"/>
                <w:color w:val="000000" w:themeColor="text1"/>
                <w:sz w:val="20"/>
                <w:szCs w:val="20"/>
                <w:lang w:val="en-IN" w:eastAsia="en-IN"/>
              </w:rPr>
              <w:t>value</w:t>
            </w:r>
          </w:p>
        </w:tc>
        <w:tc>
          <w:tcPr>
            <w:tcW w:w="513" w:type="dxa"/>
            <w:vMerge w:val="restart"/>
          </w:tcPr>
          <w:p w14:paraId="7CEE1F35"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df</w:t>
            </w:r>
          </w:p>
        </w:tc>
        <w:tc>
          <w:tcPr>
            <w:tcW w:w="933" w:type="dxa"/>
            <w:vMerge w:val="restart"/>
          </w:tcPr>
          <w:p w14:paraId="56303B46" w14:textId="77777777" w:rsidR="00DE61A6" w:rsidRPr="00F16A08" w:rsidRDefault="00DE61A6" w:rsidP="00DE0D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F16A08">
              <w:rPr>
                <w:rFonts w:ascii="Arial" w:hAnsi="Arial" w:cs="Arial"/>
                <w:color w:val="000000" w:themeColor="text1"/>
                <w:sz w:val="20"/>
                <w:szCs w:val="20"/>
              </w:rPr>
              <w:t>p value</w:t>
            </w:r>
          </w:p>
        </w:tc>
      </w:tr>
      <w:tr w:rsidR="00F16A08" w:rsidRPr="00F16A08" w14:paraId="77A41A68" w14:textId="77777777" w:rsidTr="00F5174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38" w:type="dxa"/>
            <w:vMerge/>
          </w:tcPr>
          <w:p w14:paraId="37C08188" w14:textId="77777777" w:rsidR="00DE61A6" w:rsidRPr="00F16A08" w:rsidRDefault="00DE61A6" w:rsidP="00DE0D81">
            <w:pPr>
              <w:jc w:val="center"/>
              <w:rPr>
                <w:rFonts w:ascii="Arial" w:hAnsi="Arial" w:cs="Arial"/>
                <w:b w:val="0"/>
                <w:color w:val="000000" w:themeColor="text1"/>
                <w:sz w:val="20"/>
                <w:szCs w:val="20"/>
              </w:rPr>
            </w:pPr>
          </w:p>
        </w:tc>
        <w:tc>
          <w:tcPr>
            <w:tcW w:w="3588" w:type="dxa"/>
            <w:vMerge/>
          </w:tcPr>
          <w:p w14:paraId="6F36001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774" w:type="dxa"/>
          </w:tcPr>
          <w:p w14:paraId="05AF643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Poor </w:t>
            </w:r>
          </w:p>
        </w:tc>
        <w:tc>
          <w:tcPr>
            <w:tcW w:w="754" w:type="dxa"/>
          </w:tcPr>
          <w:p w14:paraId="34A3E88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Fair </w:t>
            </w:r>
          </w:p>
        </w:tc>
        <w:tc>
          <w:tcPr>
            <w:tcW w:w="755" w:type="dxa"/>
          </w:tcPr>
          <w:p w14:paraId="0F1D0B8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F16A08">
              <w:rPr>
                <w:rFonts w:ascii="Arial" w:hAnsi="Arial" w:cs="Arial"/>
                <w:b/>
                <w:color w:val="000000" w:themeColor="text1"/>
                <w:sz w:val="20"/>
                <w:szCs w:val="20"/>
              </w:rPr>
              <w:t xml:space="preserve">Good </w:t>
            </w:r>
          </w:p>
        </w:tc>
        <w:tc>
          <w:tcPr>
            <w:tcW w:w="1036" w:type="dxa"/>
            <w:vMerge/>
          </w:tcPr>
          <w:p w14:paraId="68508E5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13" w:type="dxa"/>
            <w:vMerge/>
          </w:tcPr>
          <w:p w14:paraId="7570837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933" w:type="dxa"/>
            <w:vMerge/>
          </w:tcPr>
          <w:p w14:paraId="786FE4A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F16A08" w:rsidRPr="00F16A08" w14:paraId="368E0FFA" w14:textId="77777777" w:rsidTr="00EC4D91">
        <w:trPr>
          <w:trHeight w:val="1048"/>
        </w:trPr>
        <w:tc>
          <w:tcPr>
            <w:cnfStyle w:val="001000000000" w:firstRow="0" w:lastRow="0" w:firstColumn="1" w:lastColumn="0" w:oddVBand="0" w:evenVBand="0" w:oddHBand="0" w:evenHBand="0" w:firstRowFirstColumn="0" w:firstRowLastColumn="0" w:lastRowFirstColumn="0" w:lastRowLastColumn="0"/>
            <w:tcW w:w="638" w:type="dxa"/>
          </w:tcPr>
          <w:p w14:paraId="6D960116"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w:t>
            </w:r>
          </w:p>
        </w:tc>
        <w:tc>
          <w:tcPr>
            <w:tcW w:w="3588" w:type="dxa"/>
          </w:tcPr>
          <w:p w14:paraId="2EB4AC31"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Age in years </w:t>
            </w:r>
          </w:p>
          <w:p w14:paraId="643EAFBC" w14:textId="77777777" w:rsidR="00DE61A6" w:rsidRPr="00F16A08" w:rsidRDefault="00DE61A6" w:rsidP="00DE0D81">
            <w:pPr>
              <w:pStyle w:val="ListParagraph"/>
              <w:numPr>
                <w:ilvl w:val="0"/>
                <w:numId w:val="27"/>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19-30</w:t>
            </w:r>
          </w:p>
          <w:p w14:paraId="53E8BAA1" w14:textId="77777777" w:rsidR="00DE61A6" w:rsidRPr="00F16A08" w:rsidRDefault="00DE61A6" w:rsidP="00DE0D81">
            <w:pPr>
              <w:pStyle w:val="ListParagraph"/>
              <w:numPr>
                <w:ilvl w:val="0"/>
                <w:numId w:val="27"/>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31-4</w:t>
            </w:r>
          </w:p>
          <w:p w14:paraId="224C8B95" w14:textId="77777777" w:rsidR="00DE61A6" w:rsidRPr="00F16A08" w:rsidRDefault="00DE61A6" w:rsidP="00DE0D81">
            <w:pPr>
              <w:pStyle w:val="ListParagraph"/>
              <w:numPr>
                <w:ilvl w:val="0"/>
                <w:numId w:val="27"/>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41-50 </w:t>
            </w:r>
          </w:p>
        </w:tc>
        <w:tc>
          <w:tcPr>
            <w:tcW w:w="774" w:type="dxa"/>
          </w:tcPr>
          <w:p w14:paraId="6D93857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F749BE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30</w:t>
            </w:r>
          </w:p>
          <w:p w14:paraId="478E774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44</w:t>
            </w:r>
          </w:p>
          <w:p w14:paraId="3F83217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tc>
        <w:tc>
          <w:tcPr>
            <w:tcW w:w="754" w:type="dxa"/>
          </w:tcPr>
          <w:p w14:paraId="24A75B9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371CB1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38</w:t>
            </w:r>
          </w:p>
          <w:p w14:paraId="7F89B26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36</w:t>
            </w:r>
          </w:p>
          <w:p w14:paraId="608F2E2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tc>
        <w:tc>
          <w:tcPr>
            <w:tcW w:w="755" w:type="dxa"/>
          </w:tcPr>
          <w:p w14:paraId="6FEB7D3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83087E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38DA240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23A5C19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29019B6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DB3591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4.462</w:t>
            </w:r>
          </w:p>
        </w:tc>
        <w:tc>
          <w:tcPr>
            <w:tcW w:w="513" w:type="dxa"/>
          </w:tcPr>
          <w:p w14:paraId="246DBAA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09F20D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tc>
        <w:tc>
          <w:tcPr>
            <w:tcW w:w="933" w:type="dxa"/>
          </w:tcPr>
          <w:p w14:paraId="13BCA9F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7D0F68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0.347</w:t>
            </w:r>
            <w:r w:rsidRPr="00F16A08">
              <w:rPr>
                <w:rFonts w:ascii="Arial" w:hAnsi="Arial" w:cs="Arial"/>
                <w:color w:val="000000" w:themeColor="text1"/>
                <w:sz w:val="20"/>
                <w:szCs w:val="20"/>
                <w:vertAlign w:val="superscript"/>
              </w:rPr>
              <w:t>NS</w:t>
            </w:r>
          </w:p>
        </w:tc>
      </w:tr>
      <w:tr w:rsidR="00F16A08" w:rsidRPr="00F16A08" w14:paraId="124426F2" w14:textId="77777777" w:rsidTr="00EC4D9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8" w:type="dxa"/>
          </w:tcPr>
          <w:p w14:paraId="0307C47D"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2</w:t>
            </w:r>
          </w:p>
        </w:tc>
        <w:tc>
          <w:tcPr>
            <w:tcW w:w="3588" w:type="dxa"/>
          </w:tcPr>
          <w:p w14:paraId="5C099AA4" w14:textId="77777777" w:rsidR="00DE61A6" w:rsidRPr="00F16A08" w:rsidRDefault="00DE61A6" w:rsidP="00DE0D81">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Marital status </w:t>
            </w:r>
          </w:p>
          <w:p w14:paraId="777E7E5D" w14:textId="77777777" w:rsidR="00DE61A6" w:rsidRPr="00F16A08" w:rsidRDefault="00DE61A6" w:rsidP="00DE0D81">
            <w:pPr>
              <w:pStyle w:val="ListParagraph"/>
              <w:numPr>
                <w:ilvl w:val="0"/>
                <w:numId w:val="2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Unmarried</w:t>
            </w:r>
          </w:p>
          <w:p w14:paraId="4AC29F22" w14:textId="77777777" w:rsidR="00DE61A6" w:rsidRPr="00F16A08" w:rsidRDefault="00DE61A6" w:rsidP="00DE0D81">
            <w:pPr>
              <w:pStyle w:val="ListParagraph"/>
              <w:numPr>
                <w:ilvl w:val="0"/>
                <w:numId w:val="28"/>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color w:val="000000" w:themeColor="text1"/>
                <w:sz w:val="20"/>
                <w:szCs w:val="20"/>
              </w:rPr>
              <w:t xml:space="preserve">Married   </w:t>
            </w:r>
          </w:p>
        </w:tc>
        <w:tc>
          <w:tcPr>
            <w:tcW w:w="774" w:type="dxa"/>
          </w:tcPr>
          <w:p w14:paraId="275FC42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FF5D09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94</w:t>
            </w:r>
          </w:p>
          <w:p w14:paraId="3450B77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754" w:type="dxa"/>
          </w:tcPr>
          <w:p w14:paraId="179BB61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BA6348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92</w:t>
            </w:r>
          </w:p>
          <w:p w14:paraId="4238F4A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755" w:type="dxa"/>
          </w:tcPr>
          <w:p w14:paraId="1E0EA8E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373420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67B997C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5601A4A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817A82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2.107</w:t>
            </w:r>
          </w:p>
        </w:tc>
        <w:tc>
          <w:tcPr>
            <w:tcW w:w="513" w:type="dxa"/>
          </w:tcPr>
          <w:p w14:paraId="5E9B1DE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FD6640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3" w:type="dxa"/>
          </w:tcPr>
          <w:p w14:paraId="5EC772B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4880C1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0.349</w:t>
            </w:r>
            <w:r w:rsidRPr="00F16A08">
              <w:rPr>
                <w:rFonts w:ascii="Arial" w:hAnsi="Arial" w:cs="Arial"/>
                <w:color w:val="000000" w:themeColor="text1"/>
                <w:sz w:val="20"/>
                <w:szCs w:val="20"/>
                <w:vertAlign w:val="superscript"/>
              </w:rPr>
              <w:t>NS</w:t>
            </w:r>
          </w:p>
        </w:tc>
      </w:tr>
      <w:tr w:rsidR="00F16A08" w:rsidRPr="00F16A08" w14:paraId="00CF71B2" w14:textId="77777777" w:rsidTr="00EC4D91">
        <w:trPr>
          <w:trHeight w:val="1415"/>
        </w:trPr>
        <w:tc>
          <w:tcPr>
            <w:cnfStyle w:val="001000000000" w:firstRow="0" w:lastRow="0" w:firstColumn="1" w:lastColumn="0" w:oddVBand="0" w:evenVBand="0" w:oddHBand="0" w:evenHBand="0" w:firstRowFirstColumn="0" w:firstRowLastColumn="0" w:lastRowFirstColumn="0" w:lastRowLastColumn="0"/>
            <w:tcW w:w="638" w:type="dxa"/>
          </w:tcPr>
          <w:p w14:paraId="5B96D6EC"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3</w:t>
            </w:r>
          </w:p>
        </w:tc>
        <w:tc>
          <w:tcPr>
            <w:tcW w:w="3588" w:type="dxa"/>
          </w:tcPr>
          <w:p w14:paraId="44C000BD" w14:textId="77777777" w:rsidR="00DE61A6" w:rsidRPr="00F16A08" w:rsidRDefault="00DE61A6" w:rsidP="00DE0D8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 Religion</w:t>
            </w:r>
          </w:p>
          <w:p w14:paraId="14E926CF" w14:textId="77777777" w:rsidR="00DE61A6" w:rsidRPr="00F16A08" w:rsidRDefault="00DE61A6" w:rsidP="00DE0D81">
            <w:pPr>
              <w:pStyle w:val="ListParagraph"/>
              <w:numPr>
                <w:ilvl w:val="0"/>
                <w:numId w:val="29"/>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Hindu</w:t>
            </w:r>
          </w:p>
          <w:p w14:paraId="4F828600" w14:textId="77777777" w:rsidR="00DE61A6" w:rsidRPr="00F16A08" w:rsidRDefault="00DE61A6" w:rsidP="00DE0D81">
            <w:pPr>
              <w:pStyle w:val="ListParagraph"/>
              <w:numPr>
                <w:ilvl w:val="0"/>
                <w:numId w:val="29"/>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Christian</w:t>
            </w:r>
          </w:p>
          <w:p w14:paraId="5D5B8DAF" w14:textId="77777777" w:rsidR="00DE61A6" w:rsidRPr="00F16A08" w:rsidRDefault="00DE61A6" w:rsidP="00DE0D81">
            <w:pPr>
              <w:pStyle w:val="ListParagraph"/>
              <w:numPr>
                <w:ilvl w:val="0"/>
                <w:numId w:val="29"/>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Muslim</w:t>
            </w:r>
          </w:p>
          <w:p w14:paraId="1C574AB1" w14:textId="77777777" w:rsidR="00DE61A6" w:rsidRPr="00F16A08" w:rsidRDefault="00DE61A6" w:rsidP="00DE0D81">
            <w:pPr>
              <w:pStyle w:val="ListParagraph"/>
              <w:numPr>
                <w:ilvl w:val="0"/>
                <w:numId w:val="29"/>
              </w:num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Buddhist </w:t>
            </w:r>
          </w:p>
        </w:tc>
        <w:tc>
          <w:tcPr>
            <w:tcW w:w="774" w:type="dxa"/>
          </w:tcPr>
          <w:p w14:paraId="5BD9332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68C4A9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30</w:t>
            </w:r>
          </w:p>
          <w:p w14:paraId="3F17550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p w14:paraId="7D24FDB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w:t>
            </w:r>
          </w:p>
          <w:p w14:paraId="0F27884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w:t>
            </w:r>
          </w:p>
          <w:p w14:paraId="7AA45B1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tc>
        <w:tc>
          <w:tcPr>
            <w:tcW w:w="754" w:type="dxa"/>
          </w:tcPr>
          <w:p w14:paraId="0E487EB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E3307C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w:t>
            </w:r>
          </w:p>
          <w:p w14:paraId="56BE457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20</w:t>
            </w:r>
          </w:p>
          <w:p w14:paraId="5C7AEC5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p w14:paraId="72C8F1A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40</w:t>
            </w:r>
          </w:p>
          <w:p w14:paraId="21ECB5F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tc>
        <w:tc>
          <w:tcPr>
            <w:tcW w:w="755" w:type="dxa"/>
          </w:tcPr>
          <w:p w14:paraId="110EAF0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7B5CC27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309DD1F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318C85C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76F54B6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3B5BABE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46DDA66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045010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9.329</w:t>
            </w:r>
          </w:p>
        </w:tc>
        <w:tc>
          <w:tcPr>
            <w:tcW w:w="513" w:type="dxa"/>
          </w:tcPr>
          <w:p w14:paraId="324533F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3E6B2E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933" w:type="dxa"/>
          </w:tcPr>
          <w:p w14:paraId="646A9957"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88992B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0.315</w:t>
            </w:r>
            <w:r w:rsidRPr="00F16A08">
              <w:rPr>
                <w:rFonts w:ascii="Arial" w:hAnsi="Arial" w:cs="Arial"/>
                <w:color w:val="000000" w:themeColor="text1"/>
                <w:sz w:val="20"/>
                <w:szCs w:val="20"/>
                <w:vertAlign w:val="superscript"/>
              </w:rPr>
              <w:t>NS</w:t>
            </w:r>
          </w:p>
        </w:tc>
      </w:tr>
      <w:tr w:rsidR="00F16A08" w:rsidRPr="00F16A08" w14:paraId="76C7449B" w14:textId="77777777" w:rsidTr="00EC4D91">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638" w:type="dxa"/>
          </w:tcPr>
          <w:p w14:paraId="31497801"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4</w:t>
            </w:r>
          </w:p>
        </w:tc>
        <w:tc>
          <w:tcPr>
            <w:tcW w:w="3588" w:type="dxa"/>
          </w:tcPr>
          <w:p w14:paraId="6A8D9CFF" w14:textId="77777777" w:rsidR="00DE61A6" w:rsidRPr="00F16A08" w:rsidRDefault="00DE61A6" w:rsidP="00DE0D81">
            <w:pPr>
              <w:jc w:val="lowKashida"/>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Sexual preference </w:t>
            </w:r>
          </w:p>
          <w:p w14:paraId="55CCD7C9"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Heterosexual</w:t>
            </w:r>
          </w:p>
          <w:p w14:paraId="2E7F26D1"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Homosexual</w:t>
            </w:r>
          </w:p>
          <w:p w14:paraId="5F00EFDF"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Bisexual</w:t>
            </w:r>
          </w:p>
          <w:p w14:paraId="41FF36F2"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Asexual</w:t>
            </w:r>
          </w:p>
          <w:p w14:paraId="76EBC232"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 xml:space="preserve">Other (Please specify): </w:t>
            </w:r>
          </w:p>
          <w:p w14:paraId="4D85E1AA" w14:textId="77777777" w:rsidR="00DE61A6" w:rsidRPr="00F16A08" w:rsidRDefault="00DE61A6" w:rsidP="00DE0D81">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Prefer not to say</w:t>
            </w:r>
          </w:p>
        </w:tc>
        <w:tc>
          <w:tcPr>
            <w:tcW w:w="774" w:type="dxa"/>
          </w:tcPr>
          <w:p w14:paraId="242F070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B2C9FC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91</w:t>
            </w:r>
          </w:p>
          <w:p w14:paraId="39FB980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0402FCA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01A2BB6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5AFB3AA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7304E36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754" w:type="dxa"/>
          </w:tcPr>
          <w:p w14:paraId="1D95564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51B32D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94</w:t>
            </w:r>
          </w:p>
          <w:p w14:paraId="7F7933A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67C02CB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5280639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2795C0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4CCD0B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755" w:type="dxa"/>
          </w:tcPr>
          <w:p w14:paraId="606FB13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7EEF97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65E59D6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34D366D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D1CD5F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464A383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w:t>
            </w:r>
          </w:p>
          <w:p w14:paraId="285C09C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6DF0B33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617681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3.222</w:t>
            </w:r>
          </w:p>
        </w:tc>
        <w:tc>
          <w:tcPr>
            <w:tcW w:w="513" w:type="dxa"/>
          </w:tcPr>
          <w:p w14:paraId="0B004B6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558EE6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933" w:type="dxa"/>
          </w:tcPr>
          <w:p w14:paraId="5FBFC727"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B48112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0.521</w:t>
            </w:r>
            <w:r w:rsidRPr="00F16A08">
              <w:rPr>
                <w:rFonts w:ascii="Arial" w:hAnsi="Arial" w:cs="Arial"/>
                <w:color w:val="000000" w:themeColor="text1"/>
                <w:sz w:val="20"/>
                <w:szCs w:val="20"/>
                <w:vertAlign w:val="superscript"/>
              </w:rPr>
              <w:t>NS</w:t>
            </w:r>
          </w:p>
        </w:tc>
      </w:tr>
      <w:tr w:rsidR="00F16A08" w:rsidRPr="00F16A08" w14:paraId="3587CED4" w14:textId="77777777" w:rsidTr="00EC4D91">
        <w:trPr>
          <w:trHeight w:val="1357"/>
        </w:trPr>
        <w:tc>
          <w:tcPr>
            <w:cnfStyle w:val="001000000000" w:firstRow="0" w:lastRow="0" w:firstColumn="1" w:lastColumn="0" w:oddVBand="0" w:evenVBand="0" w:oddHBand="0" w:evenHBand="0" w:firstRowFirstColumn="0" w:firstRowLastColumn="0" w:lastRowFirstColumn="0" w:lastRowLastColumn="0"/>
            <w:tcW w:w="638" w:type="dxa"/>
          </w:tcPr>
          <w:p w14:paraId="559FF208"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5</w:t>
            </w:r>
          </w:p>
        </w:tc>
        <w:tc>
          <w:tcPr>
            <w:tcW w:w="3588" w:type="dxa"/>
          </w:tcPr>
          <w:p w14:paraId="74150355" w14:textId="77777777" w:rsidR="00DE61A6" w:rsidRPr="00F16A08" w:rsidRDefault="00DE61A6" w:rsidP="00DE0D81">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Course pursuing</w:t>
            </w:r>
          </w:p>
          <w:p w14:paraId="652DB954" w14:textId="77777777" w:rsidR="00DE61A6" w:rsidRPr="00F16A08" w:rsidRDefault="00DE61A6" w:rsidP="00DE0D81">
            <w:pPr>
              <w:pStyle w:val="Default"/>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Arts</w:t>
            </w:r>
          </w:p>
          <w:p w14:paraId="262BC99F" w14:textId="77777777" w:rsidR="00DE61A6" w:rsidRPr="00F16A08" w:rsidRDefault="00DE61A6" w:rsidP="00DE0D81">
            <w:pPr>
              <w:pStyle w:val="Default"/>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Science</w:t>
            </w:r>
          </w:p>
          <w:p w14:paraId="78E2A722" w14:textId="77777777" w:rsidR="00DE61A6" w:rsidRPr="00F16A08" w:rsidRDefault="00DE61A6" w:rsidP="00DE0D81">
            <w:pPr>
              <w:pStyle w:val="Default"/>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Bachelors in Commerce</w:t>
            </w:r>
          </w:p>
          <w:p w14:paraId="2A32C368" w14:textId="77777777" w:rsidR="00DE61A6" w:rsidRPr="00F16A08" w:rsidRDefault="00DE61A6" w:rsidP="00DE0D81">
            <w:pPr>
              <w:pStyle w:val="Default"/>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Others (Please specify): </w:t>
            </w:r>
          </w:p>
        </w:tc>
        <w:tc>
          <w:tcPr>
            <w:tcW w:w="774" w:type="dxa"/>
          </w:tcPr>
          <w:p w14:paraId="787F309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277F97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26</w:t>
            </w:r>
          </w:p>
          <w:p w14:paraId="0FA9C6D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47</w:t>
            </w:r>
          </w:p>
          <w:p w14:paraId="7F3EB91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14</w:t>
            </w:r>
          </w:p>
          <w:p w14:paraId="244F990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w:t>
            </w:r>
          </w:p>
        </w:tc>
        <w:tc>
          <w:tcPr>
            <w:tcW w:w="754" w:type="dxa"/>
          </w:tcPr>
          <w:p w14:paraId="1CAE43C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46B503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32</w:t>
            </w:r>
          </w:p>
          <w:p w14:paraId="03F1DBF3"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47</w:t>
            </w:r>
          </w:p>
          <w:p w14:paraId="708FBE0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p w14:paraId="557B3BE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tc>
        <w:tc>
          <w:tcPr>
            <w:tcW w:w="755" w:type="dxa"/>
          </w:tcPr>
          <w:p w14:paraId="73B63A3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0E4A21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4E2ABF6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58FD4F4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08D6F22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3914346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72A5D4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2.860</w:t>
            </w:r>
          </w:p>
        </w:tc>
        <w:tc>
          <w:tcPr>
            <w:tcW w:w="513" w:type="dxa"/>
          </w:tcPr>
          <w:p w14:paraId="0F4875A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9D68F3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933" w:type="dxa"/>
          </w:tcPr>
          <w:p w14:paraId="6740FB0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2EA674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0.826</w:t>
            </w:r>
            <w:r w:rsidRPr="00F16A08">
              <w:rPr>
                <w:rFonts w:ascii="Arial" w:hAnsi="Arial" w:cs="Arial"/>
                <w:color w:val="000000" w:themeColor="text1"/>
                <w:sz w:val="20"/>
                <w:szCs w:val="20"/>
                <w:vertAlign w:val="superscript"/>
              </w:rPr>
              <w:t>NS</w:t>
            </w:r>
          </w:p>
        </w:tc>
      </w:tr>
      <w:tr w:rsidR="00F16A08" w:rsidRPr="00F16A08" w14:paraId="5E19D286" w14:textId="77777777" w:rsidTr="00EC4D91">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638" w:type="dxa"/>
          </w:tcPr>
          <w:p w14:paraId="361666EB"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6</w:t>
            </w:r>
          </w:p>
        </w:tc>
        <w:tc>
          <w:tcPr>
            <w:tcW w:w="3588" w:type="dxa"/>
          </w:tcPr>
          <w:p w14:paraId="14771F4A"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Type of family </w:t>
            </w:r>
          </w:p>
          <w:p w14:paraId="38F80C29" w14:textId="77777777" w:rsidR="00DE61A6" w:rsidRPr="00F16A08" w:rsidRDefault="00DE61A6" w:rsidP="00DE0D81">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Nuclear Family</w:t>
            </w:r>
          </w:p>
          <w:p w14:paraId="1EF7562A" w14:textId="77777777" w:rsidR="00DE61A6" w:rsidRPr="00F16A08" w:rsidRDefault="00DE61A6" w:rsidP="00DE0D81">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Joint Family</w:t>
            </w:r>
          </w:p>
          <w:p w14:paraId="11B157DC" w14:textId="77777777" w:rsidR="00DE61A6" w:rsidRPr="00F16A08" w:rsidRDefault="00DE61A6" w:rsidP="00DE0D81">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bCs/>
                <w:iCs/>
                <w:color w:val="000000" w:themeColor="text1"/>
                <w:sz w:val="20"/>
                <w:szCs w:val="20"/>
                <w:lang w:val="en-IN"/>
              </w:rPr>
              <w:t>Extended Family</w:t>
            </w:r>
          </w:p>
        </w:tc>
        <w:tc>
          <w:tcPr>
            <w:tcW w:w="774" w:type="dxa"/>
          </w:tcPr>
          <w:p w14:paraId="5B845B2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FA9C4E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61</w:t>
            </w:r>
          </w:p>
          <w:p w14:paraId="2EF3B4A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15</w:t>
            </w:r>
          </w:p>
          <w:p w14:paraId="566713E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18</w:t>
            </w:r>
          </w:p>
        </w:tc>
        <w:tc>
          <w:tcPr>
            <w:tcW w:w="754" w:type="dxa"/>
          </w:tcPr>
          <w:p w14:paraId="4B739AE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D0B424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67</w:t>
            </w:r>
          </w:p>
          <w:p w14:paraId="23FB536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p w14:paraId="7BBB383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17</w:t>
            </w:r>
          </w:p>
        </w:tc>
        <w:tc>
          <w:tcPr>
            <w:tcW w:w="755" w:type="dxa"/>
          </w:tcPr>
          <w:p w14:paraId="5868466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36104A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2BFB64F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665D0E5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1AFC7C7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340D9E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2.460</w:t>
            </w:r>
          </w:p>
        </w:tc>
        <w:tc>
          <w:tcPr>
            <w:tcW w:w="513" w:type="dxa"/>
          </w:tcPr>
          <w:p w14:paraId="49F4042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1501D7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tc>
        <w:tc>
          <w:tcPr>
            <w:tcW w:w="933" w:type="dxa"/>
          </w:tcPr>
          <w:p w14:paraId="69873B24"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3F4B6E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0.652</w:t>
            </w:r>
            <w:r w:rsidRPr="00F16A08">
              <w:rPr>
                <w:rFonts w:ascii="Arial" w:hAnsi="Arial" w:cs="Arial"/>
                <w:color w:val="000000" w:themeColor="text1"/>
                <w:sz w:val="20"/>
                <w:szCs w:val="20"/>
                <w:vertAlign w:val="superscript"/>
              </w:rPr>
              <w:t>NS</w:t>
            </w:r>
          </w:p>
        </w:tc>
      </w:tr>
      <w:tr w:rsidR="00F16A08" w:rsidRPr="00F16A08" w14:paraId="48781797" w14:textId="77777777" w:rsidTr="00EC4D91">
        <w:trPr>
          <w:trHeight w:val="983"/>
        </w:trPr>
        <w:tc>
          <w:tcPr>
            <w:cnfStyle w:val="001000000000" w:firstRow="0" w:lastRow="0" w:firstColumn="1" w:lastColumn="0" w:oddVBand="0" w:evenVBand="0" w:oddHBand="0" w:evenHBand="0" w:firstRowFirstColumn="0" w:firstRowLastColumn="0" w:lastRowFirstColumn="0" w:lastRowLastColumn="0"/>
            <w:tcW w:w="638" w:type="dxa"/>
          </w:tcPr>
          <w:p w14:paraId="1FAE3C44"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7</w:t>
            </w:r>
          </w:p>
        </w:tc>
        <w:tc>
          <w:tcPr>
            <w:tcW w:w="3588" w:type="dxa"/>
          </w:tcPr>
          <w:p w14:paraId="7A4AD185"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Place of residence </w:t>
            </w:r>
          </w:p>
          <w:p w14:paraId="2354CCD6" w14:textId="77777777" w:rsidR="00DE61A6" w:rsidRPr="00F16A08" w:rsidRDefault="00DE61A6" w:rsidP="00DE0D81">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Urban</w:t>
            </w:r>
          </w:p>
          <w:p w14:paraId="0742E86A" w14:textId="77777777" w:rsidR="00DE61A6" w:rsidRPr="00F16A08" w:rsidRDefault="00DE61A6" w:rsidP="00DE0D81">
            <w:pPr>
              <w:pStyle w:val="ListParagraph"/>
              <w:numPr>
                <w:ilvl w:val="0"/>
                <w:numId w:val="33"/>
              </w:numPr>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 xml:space="preserve">Rural </w:t>
            </w:r>
          </w:p>
        </w:tc>
        <w:tc>
          <w:tcPr>
            <w:tcW w:w="774" w:type="dxa"/>
          </w:tcPr>
          <w:p w14:paraId="2CDAE69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4CD6F5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71</w:t>
            </w:r>
          </w:p>
          <w:p w14:paraId="3835752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23</w:t>
            </w:r>
          </w:p>
        </w:tc>
        <w:tc>
          <w:tcPr>
            <w:tcW w:w="754" w:type="dxa"/>
          </w:tcPr>
          <w:p w14:paraId="75DC78D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614ACD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70</w:t>
            </w:r>
          </w:p>
          <w:p w14:paraId="023895B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w:t>
            </w:r>
          </w:p>
        </w:tc>
        <w:tc>
          <w:tcPr>
            <w:tcW w:w="755" w:type="dxa"/>
          </w:tcPr>
          <w:p w14:paraId="4FD3875C"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0FCA90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77ECF21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580F5A6E"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600D14B0"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1.353</w:t>
            </w:r>
          </w:p>
        </w:tc>
        <w:tc>
          <w:tcPr>
            <w:tcW w:w="513" w:type="dxa"/>
          </w:tcPr>
          <w:p w14:paraId="70DF7EE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9142B0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3" w:type="dxa"/>
          </w:tcPr>
          <w:p w14:paraId="25C36D8F"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54EBB66"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0.508</w:t>
            </w:r>
            <w:r w:rsidRPr="00F16A08">
              <w:rPr>
                <w:rFonts w:ascii="Arial" w:hAnsi="Arial" w:cs="Arial"/>
                <w:color w:val="000000" w:themeColor="text1"/>
                <w:sz w:val="20"/>
                <w:szCs w:val="20"/>
                <w:vertAlign w:val="superscript"/>
              </w:rPr>
              <w:t>NS</w:t>
            </w:r>
          </w:p>
        </w:tc>
      </w:tr>
      <w:tr w:rsidR="00F16A08" w:rsidRPr="00F16A08" w14:paraId="7B18D68C" w14:textId="77777777" w:rsidTr="00EC4D91">
        <w:trPr>
          <w:cnfStyle w:val="000000100000" w:firstRow="0" w:lastRow="0" w:firstColumn="0" w:lastColumn="0" w:oddVBand="0" w:evenVBand="0" w:oddHBand="1" w:evenHBand="0" w:firstRowFirstColumn="0" w:firstRowLastColumn="0" w:lastRowFirstColumn="0" w:lastRowLastColumn="0"/>
          <w:trHeight w:val="1596"/>
        </w:trPr>
        <w:tc>
          <w:tcPr>
            <w:cnfStyle w:val="001000000000" w:firstRow="0" w:lastRow="0" w:firstColumn="1" w:lastColumn="0" w:oddVBand="0" w:evenVBand="0" w:oddHBand="0" w:evenHBand="0" w:firstRowFirstColumn="0" w:firstRowLastColumn="0" w:lastRowFirstColumn="0" w:lastRowLastColumn="0"/>
            <w:tcW w:w="638" w:type="dxa"/>
          </w:tcPr>
          <w:p w14:paraId="422DC609"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8</w:t>
            </w:r>
          </w:p>
        </w:tc>
        <w:tc>
          <w:tcPr>
            <w:tcW w:w="3588" w:type="dxa"/>
          </w:tcPr>
          <w:p w14:paraId="71131A5D"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Family monthly income</w:t>
            </w:r>
          </w:p>
          <w:p w14:paraId="04E74C7D" w14:textId="77777777" w:rsidR="00DE61A6" w:rsidRPr="00F16A08" w:rsidRDefault="00DE61A6" w:rsidP="00DE0D81">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Less than Rs. 25,000</w:t>
            </w:r>
          </w:p>
          <w:p w14:paraId="386DFDB3" w14:textId="77777777" w:rsidR="00DE61A6" w:rsidRPr="00F16A08" w:rsidRDefault="00DE61A6" w:rsidP="00DE0D81">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25,000 to Rs. 50,000</w:t>
            </w:r>
          </w:p>
          <w:p w14:paraId="6EAA8EE5" w14:textId="77777777" w:rsidR="00DE61A6" w:rsidRPr="00F16A08" w:rsidRDefault="00DE61A6" w:rsidP="00DE0D81">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50,000 to Rs. 75,000</w:t>
            </w:r>
          </w:p>
          <w:p w14:paraId="2038E35A" w14:textId="77777777" w:rsidR="00DE61A6" w:rsidRPr="00F16A08" w:rsidRDefault="00DE61A6" w:rsidP="00DE0D81">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Rs. 75,000 - Rs. 1,00,000</w:t>
            </w:r>
          </w:p>
          <w:p w14:paraId="4176A66C" w14:textId="77777777" w:rsidR="00DE61A6" w:rsidRPr="00F16A08" w:rsidRDefault="00DE61A6" w:rsidP="00DE0D81">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lang w:val="en-IN"/>
              </w:rPr>
            </w:pPr>
            <w:r w:rsidRPr="00F16A08">
              <w:rPr>
                <w:rFonts w:ascii="Arial" w:hAnsi="Arial" w:cs="Arial"/>
                <w:bCs/>
                <w:iCs/>
                <w:color w:val="000000" w:themeColor="text1"/>
                <w:sz w:val="20"/>
                <w:szCs w:val="20"/>
                <w:lang w:val="en-IN"/>
              </w:rPr>
              <w:t>Above Rs. 1,00,000</w:t>
            </w:r>
          </w:p>
        </w:tc>
        <w:tc>
          <w:tcPr>
            <w:tcW w:w="774" w:type="dxa"/>
          </w:tcPr>
          <w:p w14:paraId="7FDB55F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C7D278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p w14:paraId="0861BD8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25</w:t>
            </w:r>
          </w:p>
          <w:p w14:paraId="28AFF3CD"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43</w:t>
            </w:r>
          </w:p>
          <w:p w14:paraId="0128D59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p w14:paraId="1695EA3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11</w:t>
            </w:r>
          </w:p>
        </w:tc>
        <w:tc>
          <w:tcPr>
            <w:tcW w:w="754" w:type="dxa"/>
          </w:tcPr>
          <w:p w14:paraId="10468E2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DC85B8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p w14:paraId="0A6C14B6"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32</w:t>
            </w:r>
          </w:p>
          <w:p w14:paraId="6F63511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43</w:t>
            </w:r>
          </w:p>
          <w:p w14:paraId="502A2044"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7B24ACF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w:t>
            </w:r>
          </w:p>
        </w:tc>
        <w:tc>
          <w:tcPr>
            <w:tcW w:w="755" w:type="dxa"/>
          </w:tcPr>
          <w:p w14:paraId="490B6407"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5094FA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6141EE8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p w14:paraId="396936C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1466E91A"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p w14:paraId="4B09538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036" w:type="dxa"/>
          </w:tcPr>
          <w:p w14:paraId="3FD5332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11887A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51A0B9B"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8.150</w:t>
            </w:r>
          </w:p>
        </w:tc>
        <w:tc>
          <w:tcPr>
            <w:tcW w:w="513" w:type="dxa"/>
          </w:tcPr>
          <w:p w14:paraId="633C1AA3"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3D6DD8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4FE00C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w:t>
            </w:r>
          </w:p>
        </w:tc>
        <w:tc>
          <w:tcPr>
            <w:tcW w:w="933" w:type="dxa"/>
          </w:tcPr>
          <w:p w14:paraId="0F709F9F"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EA85B9E"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BCFB9D4"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0.614</w:t>
            </w:r>
            <w:r w:rsidRPr="00F16A08">
              <w:rPr>
                <w:rFonts w:ascii="Arial" w:hAnsi="Arial" w:cs="Arial"/>
                <w:color w:val="000000" w:themeColor="text1"/>
                <w:sz w:val="20"/>
                <w:szCs w:val="20"/>
                <w:vertAlign w:val="superscript"/>
              </w:rPr>
              <w:t>NS</w:t>
            </w:r>
          </w:p>
        </w:tc>
      </w:tr>
      <w:tr w:rsidR="00F16A08" w:rsidRPr="00F16A08" w14:paraId="7EB335DE" w14:textId="77777777" w:rsidTr="00EC4D91">
        <w:trPr>
          <w:trHeight w:val="1277"/>
        </w:trPr>
        <w:tc>
          <w:tcPr>
            <w:cnfStyle w:val="001000000000" w:firstRow="0" w:lastRow="0" w:firstColumn="1" w:lastColumn="0" w:oddVBand="0" w:evenVBand="0" w:oddHBand="0" w:evenHBand="0" w:firstRowFirstColumn="0" w:firstRowLastColumn="0" w:lastRowFirstColumn="0" w:lastRowLastColumn="0"/>
            <w:tcW w:w="638" w:type="dxa"/>
          </w:tcPr>
          <w:p w14:paraId="02EBC594"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9</w:t>
            </w:r>
          </w:p>
        </w:tc>
        <w:tc>
          <w:tcPr>
            <w:tcW w:w="3588" w:type="dxa"/>
          </w:tcPr>
          <w:p w14:paraId="2A07770A"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Current semester </w:t>
            </w:r>
          </w:p>
          <w:p w14:paraId="7B6E7DEB" w14:textId="77777777" w:rsidR="00DE61A6" w:rsidRPr="00F16A08" w:rsidRDefault="00DE61A6" w:rsidP="00DE0D81">
            <w:pPr>
              <w:pStyle w:val="ListParagraph"/>
              <w:numPr>
                <w:ilvl w:val="0"/>
                <w:numId w:val="35"/>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1-2</w:t>
            </w:r>
          </w:p>
          <w:p w14:paraId="58E1958F" w14:textId="77777777" w:rsidR="00DE61A6" w:rsidRPr="00F16A08" w:rsidRDefault="00DE61A6" w:rsidP="00DE0D81">
            <w:pPr>
              <w:pStyle w:val="ListParagraph"/>
              <w:numPr>
                <w:ilvl w:val="0"/>
                <w:numId w:val="35"/>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3-4</w:t>
            </w:r>
          </w:p>
          <w:p w14:paraId="61336C15" w14:textId="77777777" w:rsidR="00DE61A6" w:rsidRPr="00F16A08" w:rsidRDefault="00DE61A6" w:rsidP="00DE0D81">
            <w:pPr>
              <w:pStyle w:val="ListParagraph"/>
              <w:numPr>
                <w:ilvl w:val="0"/>
                <w:numId w:val="35"/>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5-6</w:t>
            </w:r>
          </w:p>
          <w:p w14:paraId="0CC6595E" w14:textId="77777777" w:rsidR="00DE61A6" w:rsidRPr="00F16A08" w:rsidRDefault="00DE61A6" w:rsidP="00DE0D81">
            <w:pPr>
              <w:pStyle w:val="ListParagraph"/>
              <w:numPr>
                <w:ilvl w:val="0"/>
                <w:numId w:val="35"/>
              </w:numPr>
              <w:tabs>
                <w:tab w:val="left" w:pos="888"/>
              </w:tabs>
              <w:jc w:val="both"/>
              <w:cnfStyle w:val="000000000000" w:firstRow="0" w:lastRow="0" w:firstColumn="0" w:lastColumn="0" w:oddVBand="0" w:evenVBand="0" w:oddHBand="0"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7-8</w:t>
            </w:r>
          </w:p>
        </w:tc>
        <w:tc>
          <w:tcPr>
            <w:tcW w:w="774" w:type="dxa"/>
          </w:tcPr>
          <w:p w14:paraId="305F28A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DA7E07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26</w:t>
            </w:r>
          </w:p>
          <w:p w14:paraId="3C5B25D9"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16</w:t>
            </w:r>
          </w:p>
          <w:p w14:paraId="0FC7CFE6"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24</w:t>
            </w:r>
          </w:p>
          <w:p w14:paraId="7F7F6AC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28</w:t>
            </w:r>
          </w:p>
        </w:tc>
        <w:tc>
          <w:tcPr>
            <w:tcW w:w="754" w:type="dxa"/>
          </w:tcPr>
          <w:p w14:paraId="562FD497"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3FB9A92"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10</w:t>
            </w:r>
          </w:p>
          <w:p w14:paraId="6665943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12</w:t>
            </w:r>
          </w:p>
          <w:p w14:paraId="61F44FF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40</w:t>
            </w:r>
          </w:p>
          <w:p w14:paraId="74AC508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32</w:t>
            </w:r>
          </w:p>
        </w:tc>
        <w:tc>
          <w:tcPr>
            <w:tcW w:w="755" w:type="dxa"/>
          </w:tcPr>
          <w:p w14:paraId="1199514A"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41D0311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6AF720F4"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p w14:paraId="25B8314B"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w:t>
            </w:r>
          </w:p>
          <w:p w14:paraId="2647DF71"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w:t>
            </w:r>
          </w:p>
        </w:tc>
        <w:tc>
          <w:tcPr>
            <w:tcW w:w="1036" w:type="dxa"/>
          </w:tcPr>
          <w:p w14:paraId="2E53B9AF"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D073AED"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19.41</w:t>
            </w:r>
          </w:p>
        </w:tc>
        <w:tc>
          <w:tcPr>
            <w:tcW w:w="513" w:type="dxa"/>
          </w:tcPr>
          <w:p w14:paraId="796C7375"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09635C8" w14:textId="77777777" w:rsidR="00DE61A6" w:rsidRPr="00F16A08" w:rsidRDefault="00DE61A6" w:rsidP="00DE0D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6</w:t>
            </w:r>
          </w:p>
        </w:tc>
        <w:tc>
          <w:tcPr>
            <w:tcW w:w="933" w:type="dxa"/>
          </w:tcPr>
          <w:p w14:paraId="2D9A1140"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A9484B1" w14:textId="77777777" w:rsidR="00DE61A6" w:rsidRPr="00F16A08" w:rsidRDefault="00DE61A6" w:rsidP="00DE0D8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0.004*</w:t>
            </w:r>
          </w:p>
        </w:tc>
      </w:tr>
      <w:tr w:rsidR="00F16A08" w:rsidRPr="00F16A08" w14:paraId="380F88B7" w14:textId="77777777" w:rsidTr="00EC4D9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38" w:type="dxa"/>
          </w:tcPr>
          <w:p w14:paraId="3C266F00" w14:textId="77777777" w:rsidR="00DE61A6" w:rsidRPr="00F16A08" w:rsidRDefault="00DE61A6" w:rsidP="00DE0D81">
            <w:pPr>
              <w:jc w:val="center"/>
              <w:rPr>
                <w:rFonts w:ascii="Arial" w:hAnsi="Arial" w:cs="Arial"/>
                <w:color w:val="000000" w:themeColor="text1"/>
                <w:sz w:val="20"/>
                <w:szCs w:val="20"/>
              </w:rPr>
            </w:pPr>
            <w:r w:rsidRPr="00F16A08">
              <w:rPr>
                <w:rFonts w:ascii="Arial" w:hAnsi="Arial" w:cs="Arial"/>
                <w:color w:val="000000" w:themeColor="text1"/>
                <w:sz w:val="20"/>
                <w:szCs w:val="20"/>
              </w:rPr>
              <w:t>10</w:t>
            </w:r>
          </w:p>
        </w:tc>
        <w:tc>
          <w:tcPr>
            <w:tcW w:w="3588" w:type="dxa"/>
          </w:tcPr>
          <w:p w14:paraId="297D1577"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bCs/>
                <w:iCs/>
                <w:color w:val="000000" w:themeColor="text1"/>
                <w:sz w:val="20"/>
                <w:szCs w:val="20"/>
              </w:rPr>
            </w:pPr>
            <w:r w:rsidRPr="00F16A08">
              <w:rPr>
                <w:rFonts w:ascii="Arial" w:hAnsi="Arial" w:cs="Arial"/>
                <w:bCs/>
                <w:iCs/>
                <w:color w:val="000000" w:themeColor="text1"/>
                <w:sz w:val="20"/>
                <w:szCs w:val="20"/>
              </w:rPr>
              <w:t xml:space="preserve">Sexual relationship </w:t>
            </w:r>
          </w:p>
          <w:p w14:paraId="3EAD2E21" w14:textId="77777777" w:rsidR="00DE61A6" w:rsidRPr="00F16A08" w:rsidRDefault="00DE61A6" w:rsidP="00DE0D81">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Abstinence</w:t>
            </w:r>
          </w:p>
          <w:p w14:paraId="14CF6ECC" w14:textId="77777777" w:rsidR="00DE61A6" w:rsidRPr="00F16A08" w:rsidRDefault="00DE61A6" w:rsidP="00DE0D81">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 xml:space="preserve">Active </w:t>
            </w:r>
          </w:p>
        </w:tc>
        <w:tc>
          <w:tcPr>
            <w:tcW w:w="774" w:type="dxa"/>
          </w:tcPr>
          <w:p w14:paraId="74DA5489"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6E9F018"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91</w:t>
            </w:r>
          </w:p>
          <w:p w14:paraId="07ACD151"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tc>
        <w:tc>
          <w:tcPr>
            <w:tcW w:w="754" w:type="dxa"/>
          </w:tcPr>
          <w:p w14:paraId="0BE6C90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FB9BDCC"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89</w:t>
            </w:r>
          </w:p>
          <w:p w14:paraId="03B308D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5</w:t>
            </w:r>
          </w:p>
        </w:tc>
        <w:tc>
          <w:tcPr>
            <w:tcW w:w="755" w:type="dxa"/>
          </w:tcPr>
          <w:p w14:paraId="0665D4E7"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BA56462"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3</w:t>
            </w:r>
          </w:p>
          <w:p w14:paraId="6308BB7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1</w:t>
            </w:r>
          </w:p>
        </w:tc>
        <w:tc>
          <w:tcPr>
            <w:tcW w:w="1036" w:type="dxa"/>
          </w:tcPr>
          <w:p w14:paraId="610DE44E"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6CFC7720"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4.249</w:t>
            </w:r>
          </w:p>
        </w:tc>
        <w:tc>
          <w:tcPr>
            <w:tcW w:w="513" w:type="dxa"/>
          </w:tcPr>
          <w:p w14:paraId="2C72EAF5"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FAC74DF" w14:textId="77777777" w:rsidR="00DE61A6" w:rsidRPr="00F16A08" w:rsidRDefault="00DE61A6" w:rsidP="00DE0D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16A08">
              <w:rPr>
                <w:rFonts w:ascii="Arial" w:hAnsi="Arial" w:cs="Arial"/>
                <w:color w:val="000000" w:themeColor="text1"/>
                <w:sz w:val="20"/>
                <w:szCs w:val="20"/>
              </w:rPr>
              <w:t>2</w:t>
            </w:r>
          </w:p>
        </w:tc>
        <w:tc>
          <w:tcPr>
            <w:tcW w:w="933" w:type="dxa"/>
          </w:tcPr>
          <w:p w14:paraId="260C6DDF"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5DFDC34" w14:textId="77777777" w:rsidR="00DE61A6" w:rsidRPr="00F16A08" w:rsidRDefault="00DE61A6" w:rsidP="00DE0D8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vertAlign w:val="superscript"/>
              </w:rPr>
            </w:pPr>
            <w:r w:rsidRPr="00F16A08">
              <w:rPr>
                <w:rFonts w:ascii="Arial" w:hAnsi="Arial" w:cs="Arial"/>
                <w:color w:val="000000" w:themeColor="text1"/>
                <w:sz w:val="20"/>
                <w:szCs w:val="20"/>
              </w:rPr>
              <w:t>0.120</w:t>
            </w:r>
            <w:r w:rsidRPr="00F16A08">
              <w:rPr>
                <w:rFonts w:ascii="Arial" w:hAnsi="Arial" w:cs="Arial"/>
                <w:color w:val="000000" w:themeColor="text1"/>
                <w:sz w:val="20"/>
                <w:szCs w:val="20"/>
                <w:vertAlign w:val="superscript"/>
              </w:rPr>
              <w:t>NS</w:t>
            </w:r>
          </w:p>
        </w:tc>
      </w:tr>
    </w:tbl>
    <w:p w14:paraId="46FC9571" w14:textId="77777777" w:rsidR="00DE61A6" w:rsidRPr="00F16A08" w:rsidRDefault="00DE61A6" w:rsidP="00DE0D81">
      <w:pPr>
        <w:spacing w:after="0" w:line="240" w:lineRule="auto"/>
        <w:rPr>
          <w:rFonts w:ascii="Arial" w:hAnsi="Arial" w:cs="Arial"/>
          <w:color w:val="000000" w:themeColor="text1"/>
          <w:sz w:val="20"/>
          <w:szCs w:val="20"/>
        </w:rPr>
      </w:pPr>
      <w:r w:rsidRPr="00F16A08">
        <w:rPr>
          <w:rFonts w:ascii="Arial" w:hAnsi="Arial" w:cs="Arial"/>
          <w:b/>
          <w:color w:val="000000" w:themeColor="text1"/>
          <w:sz w:val="20"/>
          <w:szCs w:val="20"/>
        </w:rPr>
        <w:t>*p value &lt; 0.05 level of significance       NS-Non-Significant</w:t>
      </w:r>
    </w:p>
    <w:p w14:paraId="4E6EBF6E" w14:textId="77777777" w:rsidR="008F6E87" w:rsidRPr="00F16A08" w:rsidRDefault="008F6E87" w:rsidP="00DE0D81">
      <w:pPr>
        <w:spacing w:line="240" w:lineRule="auto"/>
        <w:jc w:val="both"/>
        <w:rPr>
          <w:rFonts w:ascii="Arial" w:hAnsi="Arial" w:cs="Arial"/>
          <w:bCs/>
          <w:color w:val="000000" w:themeColor="text1"/>
          <w:sz w:val="20"/>
          <w:szCs w:val="20"/>
        </w:rPr>
      </w:pPr>
    </w:p>
    <w:p w14:paraId="0D1FEEE3" w14:textId="3FC6F340" w:rsidR="00DE61A6" w:rsidRPr="00F16A08" w:rsidRDefault="00F51741" w:rsidP="00DE0D81">
      <w:pPr>
        <w:spacing w:line="240" w:lineRule="auto"/>
        <w:jc w:val="both"/>
        <w:rPr>
          <w:rFonts w:ascii="Arial" w:hAnsi="Arial" w:cs="Arial"/>
          <w:bCs/>
          <w:color w:val="000000" w:themeColor="text1"/>
          <w:sz w:val="20"/>
          <w:szCs w:val="20"/>
        </w:rPr>
      </w:pPr>
      <w:r w:rsidRPr="00F16A08">
        <w:rPr>
          <w:rFonts w:ascii="Arial" w:hAnsi="Arial" w:cs="Arial"/>
          <w:bCs/>
          <w:color w:val="000000" w:themeColor="text1"/>
          <w:sz w:val="20"/>
          <w:szCs w:val="20"/>
        </w:rPr>
        <w:lastRenderedPageBreak/>
        <w:t>Table 8 presents the association between preventive practices toward STIs and socio-demographic variables using Chi-square or Fisher’s exact test. The results indicate that only the current semester showed a significant association with preventive practices (p&lt; 0.05). Other variables</w:t>
      </w:r>
      <w:r w:rsidR="00AB6D4D" w:rsidRPr="00F16A08">
        <w:rPr>
          <w:rFonts w:ascii="Arial" w:hAnsi="Arial" w:cs="Arial"/>
          <w:bCs/>
          <w:color w:val="000000" w:themeColor="text1"/>
          <w:sz w:val="20"/>
          <w:szCs w:val="20"/>
        </w:rPr>
        <w:t xml:space="preserve"> </w:t>
      </w:r>
      <w:r w:rsidRPr="00F16A08">
        <w:rPr>
          <w:rFonts w:ascii="Arial" w:hAnsi="Arial" w:cs="Arial"/>
          <w:bCs/>
          <w:color w:val="000000" w:themeColor="text1"/>
          <w:sz w:val="20"/>
          <w:szCs w:val="20"/>
        </w:rPr>
        <w:t>age, marital status, religion, sexual preference, course pursued, place of residence, type of family, family income, and sexual relationship</w:t>
      </w:r>
      <w:r w:rsidR="00AB6D4D" w:rsidRPr="00F16A08">
        <w:rPr>
          <w:rFonts w:ascii="Arial" w:hAnsi="Arial" w:cs="Arial"/>
          <w:bCs/>
          <w:color w:val="000000" w:themeColor="text1"/>
          <w:sz w:val="20"/>
          <w:szCs w:val="20"/>
        </w:rPr>
        <w:t xml:space="preserve"> </w:t>
      </w:r>
      <w:r w:rsidRPr="00F16A08">
        <w:rPr>
          <w:rFonts w:ascii="Arial" w:hAnsi="Arial" w:cs="Arial"/>
          <w:bCs/>
          <w:color w:val="000000" w:themeColor="text1"/>
          <w:sz w:val="20"/>
          <w:szCs w:val="20"/>
        </w:rPr>
        <w:t>showed no significant association.</w:t>
      </w:r>
    </w:p>
    <w:p w14:paraId="189DB034" w14:textId="47EC8D3A"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This study assessed STI-related knowledge, attitudes, and preventive practices among non-medical undergraduate students of Sikkim Manipal University, and the findings closely align with prior research from India and other countries. The demographic distribution of young, unmarried students is consistent with patterns reported in earlier studies conducted across India, Bhutan, Iran, and Africa</w:t>
      </w:r>
      <w:r w:rsidR="00F16A08">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F16A08">
        <w:rPr>
          <w:rFonts w:ascii="Arial" w:hAnsi="Arial" w:cs="Arial"/>
          <w:color w:val="000000" w:themeColor="text1"/>
          <w:sz w:val="20"/>
          <w:szCs w:val="20"/>
          <w:vertAlign w:val="superscript"/>
        </w:rPr>
        <w:t>[3–5,14–16]</w:t>
      </w:r>
    </w:p>
    <w:p w14:paraId="0DD43D3C" w14:textId="2A6C8C98" w:rsidR="009660F4" w:rsidRPr="00F16A08" w:rsidRDefault="009660F4" w:rsidP="00DE0D81">
      <w:pPr>
        <w:spacing w:line="240" w:lineRule="auto"/>
        <w:jc w:val="both"/>
        <w:rPr>
          <w:rFonts w:ascii="Arial" w:hAnsi="Arial" w:cs="Arial"/>
          <w:color w:val="000000" w:themeColor="text1"/>
          <w:sz w:val="20"/>
          <w:szCs w:val="20"/>
          <w:vertAlign w:val="superscript"/>
        </w:rPr>
      </w:pPr>
      <w:r w:rsidRPr="00F16A08">
        <w:rPr>
          <w:rFonts w:ascii="Arial" w:hAnsi="Arial" w:cs="Arial"/>
          <w:color w:val="000000" w:themeColor="text1"/>
          <w:sz w:val="20"/>
          <w:szCs w:val="20"/>
        </w:rPr>
        <w:t xml:space="preserve">The finding that most students possessed only moderate knowledge, with very few having adequate knowledge, mirrors </w:t>
      </w:r>
      <w:r w:rsidR="00EC4D91" w:rsidRPr="00F16A08">
        <w:rPr>
          <w:rFonts w:ascii="Arial" w:hAnsi="Arial" w:cs="Arial"/>
          <w:color w:val="000000" w:themeColor="text1"/>
          <w:sz w:val="20"/>
          <w:szCs w:val="20"/>
        </w:rPr>
        <w:t>result</w:t>
      </w:r>
      <w:r w:rsidRPr="00F16A08">
        <w:rPr>
          <w:rFonts w:ascii="Arial" w:hAnsi="Arial" w:cs="Arial"/>
          <w:color w:val="000000" w:themeColor="text1"/>
          <w:sz w:val="20"/>
          <w:szCs w:val="20"/>
        </w:rPr>
        <w:t xml:space="preserve"> from studies in India, Bhutan, and Iran, all of which highlight the persistence of critical misconceptions regarding STI transmission, symptoms, and prevention</w:t>
      </w:r>
      <w:r w:rsidR="00F16A08">
        <w:rPr>
          <w:rFonts w:ascii="Arial" w:hAnsi="Arial" w:cs="Arial"/>
          <w:color w:val="000000" w:themeColor="text1"/>
          <w:sz w:val="20"/>
          <w:szCs w:val="20"/>
        </w:rPr>
        <w:t>.</w:t>
      </w:r>
      <w:r w:rsidRPr="00F16A08">
        <w:rPr>
          <w:rFonts w:ascii="Arial" w:hAnsi="Arial" w:cs="Arial"/>
          <w:color w:val="000000" w:themeColor="text1"/>
          <w:sz w:val="20"/>
          <w:szCs w:val="20"/>
          <w:vertAlign w:val="superscript"/>
        </w:rPr>
        <w:t>[3–5]</w:t>
      </w:r>
      <w:r w:rsidRPr="00F16A08">
        <w:rPr>
          <w:rFonts w:ascii="Arial" w:hAnsi="Arial" w:cs="Arial"/>
          <w:color w:val="000000" w:themeColor="text1"/>
          <w:sz w:val="20"/>
          <w:szCs w:val="20"/>
        </w:rPr>
        <w:t xml:space="preserve"> Limited awareness among university students has been widely reported and attributed to inadequate sex education, cultural stigma, and the absence of formal sexual health programs</w:t>
      </w:r>
      <w:r w:rsidR="00F16A08">
        <w:rPr>
          <w:rFonts w:ascii="Arial" w:hAnsi="Arial" w:cs="Arial"/>
          <w:color w:val="000000" w:themeColor="text1"/>
          <w:sz w:val="20"/>
          <w:szCs w:val="20"/>
        </w:rPr>
        <w:t>.</w:t>
      </w:r>
      <w:r w:rsidRPr="00F16A08">
        <w:rPr>
          <w:rFonts w:ascii="Arial" w:hAnsi="Arial" w:cs="Arial"/>
          <w:color w:val="000000" w:themeColor="text1"/>
          <w:sz w:val="20"/>
          <w:szCs w:val="20"/>
          <w:vertAlign w:val="superscript"/>
        </w:rPr>
        <w:t>[8–13]</w:t>
      </w:r>
    </w:p>
    <w:p w14:paraId="39788646" w14:textId="39643082"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Attitudes were predominantly neutral or </w:t>
      </w:r>
      <w:r w:rsidR="00EC4D91" w:rsidRPr="00F16A08">
        <w:rPr>
          <w:rFonts w:ascii="Arial" w:hAnsi="Arial" w:cs="Arial"/>
          <w:color w:val="000000" w:themeColor="text1"/>
          <w:sz w:val="20"/>
          <w:szCs w:val="20"/>
        </w:rPr>
        <w:t>unfavourable</w:t>
      </w:r>
      <w:r w:rsidRPr="00F16A08">
        <w:rPr>
          <w:rFonts w:ascii="Arial" w:hAnsi="Arial" w:cs="Arial"/>
          <w:color w:val="000000" w:themeColor="text1"/>
          <w:sz w:val="20"/>
          <w:szCs w:val="20"/>
        </w:rPr>
        <w:t xml:space="preserve">, with no participant demonstrating a </w:t>
      </w:r>
      <w:r w:rsidR="00A05616" w:rsidRPr="00F16A08">
        <w:rPr>
          <w:rFonts w:ascii="Arial" w:hAnsi="Arial" w:cs="Arial"/>
          <w:color w:val="000000" w:themeColor="text1"/>
          <w:sz w:val="20"/>
          <w:szCs w:val="20"/>
        </w:rPr>
        <w:t>favourable attitude</w:t>
      </w:r>
      <w:r w:rsidR="00A05616">
        <w:rPr>
          <w:rFonts w:ascii="Arial" w:hAnsi="Arial" w:cs="Arial"/>
          <w:color w:val="000000" w:themeColor="text1"/>
          <w:sz w:val="20"/>
          <w:szCs w:val="20"/>
        </w:rPr>
        <w:t xml:space="preserve"> </w:t>
      </w:r>
      <w:r w:rsidR="00A05616" w:rsidRPr="00F16A08">
        <w:rPr>
          <w:rFonts w:ascii="Arial" w:hAnsi="Arial" w:cs="Arial"/>
          <w:color w:val="000000" w:themeColor="text1"/>
          <w:sz w:val="20"/>
          <w:szCs w:val="20"/>
        </w:rPr>
        <w:t>finding</w:t>
      </w:r>
      <w:r w:rsidRPr="00F16A08">
        <w:rPr>
          <w:rFonts w:ascii="Arial" w:hAnsi="Arial" w:cs="Arial"/>
          <w:color w:val="000000" w:themeColor="text1"/>
          <w:sz w:val="20"/>
          <w:szCs w:val="20"/>
        </w:rPr>
        <w:t xml:space="preserve"> that concur with evidence from Ghana, China, Indonesia, and India showing widespread stigma, fear of social judgment, and taboos surrounding sexual health topics</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[9,10,21,24]</w:t>
      </w:r>
      <w:r w:rsidRPr="00F16A08">
        <w:rPr>
          <w:rFonts w:ascii="Arial" w:hAnsi="Arial" w:cs="Arial"/>
          <w:color w:val="000000" w:themeColor="text1"/>
          <w:sz w:val="20"/>
          <w:szCs w:val="20"/>
        </w:rPr>
        <w:t xml:space="preserve"> The associations observed between attitude and variables such as age, family type, and semester support previously documented links between socio-cultural influences and sexual health perceptions</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[11,17,21,23,24]</w:t>
      </w:r>
      <w:r w:rsidRPr="00F16A08">
        <w:rPr>
          <w:rFonts w:ascii="Arial" w:hAnsi="Arial" w:cs="Arial"/>
          <w:color w:val="000000" w:themeColor="text1"/>
          <w:sz w:val="20"/>
          <w:szCs w:val="20"/>
        </w:rPr>
        <w:t>.</w:t>
      </w:r>
    </w:p>
    <w:p w14:paraId="7FAEA6DA" w14:textId="4FB19E0D"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Preventive practices were also unsatisfactory, aligning with studies from Ethiopia, Nigeria, and South Africa indicating that awareness alone does not lead to consistent </w:t>
      </w:r>
      <w:r w:rsidR="00EC4D91" w:rsidRPr="00F16A08">
        <w:rPr>
          <w:rFonts w:ascii="Arial" w:hAnsi="Arial" w:cs="Arial"/>
          <w:color w:val="000000" w:themeColor="text1"/>
          <w:sz w:val="20"/>
          <w:szCs w:val="20"/>
        </w:rPr>
        <w:t>behaviour</w:t>
      </w:r>
      <w:r w:rsidRPr="00F16A08">
        <w:rPr>
          <w:rFonts w:ascii="Arial" w:hAnsi="Arial" w:cs="Arial"/>
          <w:color w:val="000000" w:themeColor="text1"/>
          <w:sz w:val="20"/>
          <w:szCs w:val="20"/>
        </w:rPr>
        <w:t xml:space="preserve"> </w:t>
      </w:r>
      <w:r w:rsidR="00A05616" w:rsidRPr="00F16A08">
        <w:rPr>
          <w:rFonts w:ascii="Arial" w:hAnsi="Arial" w:cs="Arial"/>
          <w:color w:val="000000" w:themeColor="text1"/>
          <w:sz w:val="20"/>
          <w:szCs w:val="20"/>
        </w:rPr>
        <w:t>change</w:t>
      </w:r>
      <w:r w:rsidR="00A05616">
        <w:rPr>
          <w:rFonts w:ascii="Arial" w:hAnsi="Arial" w:cs="Arial"/>
          <w:color w:val="000000" w:themeColor="text1"/>
          <w:sz w:val="20"/>
          <w:szCs w:val="20"/>
        </w:rPr>
        <w:t>.</w:t>
      </w:r>
      <w:r w:rsidR="00A05616" w:rsidRPr="00A05616">
        <w:rPr>
          <w:rFonts w:ascii="Arial" w:hAnsi="Arial" w:cs="Arial"/>
          <w:color w:val="000000" w:themeColor="text1"/>
          <w:sz w:val="20"/>
          <w:szCs w:val="20"/>
          <w:vertAlign w:val="superscript"/>
        </w:rPr>
        <w:t xml:space="preserve"> [</w:t>
      </w:r>
      <w:r w:rsidRPr="00A05616">
        <w:rPr>
          <w:rFonts w:ascii="Arial" w:hAnsi="Arial" w:cs="Arial"/>
          <w:color w:val="000000" w:themeColor="text1"/>
          <w:sz w:val="20"/>
          <w:szCs w:val="20"/>
          <w:vertAlign w:val="superscript"/>
        </w:rPr>
        <w:t>14–16,19,20]</w:t>
      </w:r>
      <w:r w:rsidRPr="00F16A08">
        <w:rPr>
          <w:rFonts w:ascii="Arial" w:hAnsi="Arial" w:cs="Arial"/>
          <w:color w:val="000000" w:themeColor="text1"/>
          <w:sz w:val="20"/>
          <w:szCs w:val="20"/>
        </w:rPr>
        <w:t xml:space="preserve"> This gap between knowledge and safe sexual practices is well-recognized in </w:t>
      </w:r>
      <w:r w:rsidR="00EC4D91" w:rsidRPr="00F16A08">
        <w:rPr>
          <w:rFonts w:ascii="Arial" w:hAnsi="Arial" w:cs="Arial"/>
          <w:color w:val="000000" w:themeColor="text1"/>
          <w:sz w:val="20"/>
          <w:szCs w:val="20"/>
        </w:rPr>
        <w:t>behavioural</w:t>
      </w:r>
      <w:r w:rsidRPr="00F16A08">
        <w:rPr>
          <w:rFonts w:ascii="Arial" w:hAnsi="Arial" w:cs="Arial"/>
          <w:color w:val="000000" w:themeColor="text1"/>
          <w:sz w:val="20"/>
          <w:szCs w:val="20"/>
        </w:rPr>
        <w:t xml:space="preserve"> research and is influenced by perceived invulnerability, limited access to youth-friendly services, and socio-cultural constraints</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 xml:space="preserve">[6–8,18] </w:t>
      </w:r>
      <w:r w:rsidRPr="00F16A08">
        <w:rPr>
          <w:rFonts w:ascii="Arial" w:hAnsi="Arial" w:cs="Arial"/>
          <w:color w:val="000000" w:themeColor="text1"/>
          <w:sz w:val="20"/>
          <w:szCs w:val="20"/>
        </w:rPr>
        <w:t xml:space="preserve">The significant association between preventive practices and academic semester suggests that maturity and exposure to diverse peer groups may gradually influence health-seeking </w:t>
      </w:r>
      <w:r w:rsidR="00EC4D91" w:rsidRPr="00F16A08">
        <w:rPr>
          <w:rFonts w:ascii="Arial" w:hAnsi="Arial" w:cs="Arial"/>
          <w:color w:val="000000" w:themeColor="text1"/>
          <w:sz w:val="20"/>
          <w:szCs w:val="20"/>
        </w:rPr>
        <w:t>behaviour</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[20–22]</w:t>
      </w:r>
    </w:p>
    <w:p w14:paraId="4E83FBA0" w14:textId="53A5BB79" w:rsidR="009660F4" w:rsidRPr="00F16A08" w:rsidRDefault="009660F4"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The weak but significant correlation between knowledge and attitude similarly reflects findings from earlier studies which emphasize that improving knowledge alone is insufficient to induce meaningful </w:t>
      </w:r>
      <w:r w:rsidR="00EC4D91" w:rsidRPr="00F16A08">
        <w:rPr>
          <w:rFonts w:ascii="Arial" w:hAnsi="Arial" w:cs="Arial"/>
          <w:color w:val="000000" w:themeColor="text1"/>
          <w:sz w:val="20"/>
          <w:szCs w:val="20"/>
        </w:rPr>
        <w:t>behavioural</w:t>
      </w:r>
      <w:r w:rsidRPr="00F16A08">
        <w:rPr>
          <w:rFonts w:ascii="Arial" w:hAnsi="Arial" w:cs="Arial"/>
          <w:color w:val="000000" w:themeColor="text1"/>
          <w:sz w:val="20"/>
          <w:szCs w:val="20"/>
        </w:rPr>
        <w:t xml:space="preserve"> change</w:t>
      </w:r>
      <w:r w:rsidR="00A05616">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[6–8,18]</w:t>
      </w:r>
      <w:r w:rsidRPr="00F16A08">
        <w:rPr>
          <w:rFonts w:ascii="Arial" w:hAnsi="Arial" w:cs="Arial"/>
          <w:color w:val="000000" w:themeColor="text1"/>
          <w:sz w:val="20"/>
          <w:szCs w:val="20"/>
        </w:rPr>
        <w:t xml:space="preserve"> Models such as the Health Belief Model reinforce that attitudes, perceived severity, perceived susceptibility, and social norms must also be addressed for effective risk reduction</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[6,17]</w:t>
      </w:r>
    </w:p>
    <w:p w14:paraId="4AFE049F" w14:textId="1EF3E238" w:rsidR="00FD0FC9" w:rsidRPr="00F16A08" w:rsidRDefault="009660F4" w:rsidP="00DE0D81">
      <w:pPr>
        <w:spacing w:line="240" w:lineRule="auto"/>
        <w:jc w:val="both"/>
        <w:rPr>
          <w:rFonts w:ascii="Arial" w:hAnsi="Arial" w:cs="Arial"/>
          <w:b/>
          <w:bCs/>
          <w:color w:val="000000" w:themeColor="text1"/>
          <w:sz w:val="20"/>
          <w:szCs w:val="20"/>
        </w:rPr>
      </w:pPr>
      <w:r w:rsidRPr="00F16A08">
        <w:rPr>
          <w:rFonts w:ascii="Arial" w:hAnsi="Arial" w:cs="Arial"/>
          <w:color w:val="000000" w:themeColor="text1"/>
          <w:sz w:val="20"/>
          <w:szCs w:val="20"/>
        </w:rPr>
        <w:t>Overall, the findings underscore the need for comprehensive sexual health education tailored to university students, integrating evidence-based, culturally sensitive, interactive, and peer-led strategies. Strengthening awareness, reducing stigma, enhancing access to youth-friendly STI services, and incorporating digital health resources responsibly could significantly improve STI-related outcomes</w:t>
      </w:r>
      <w:r w:rsidR="00A05616">
        <w:rPr>
          <w:rFonts w:ascii="Arial" w:hAnsi="Arial" w:cs="Arial"/>
          <w:color w:val="000000" w:themeColor="text1"/>
          <w:sz w:val="20"/>
          <w:szCs w:val="20"/>
        </w:rPr>
        <w:t>.</w:t>
      </w:r>
      <w:r w:rsidRPr="00F16A08">
        <w:rPr>
          <w:rFonts w:ascii="Arial" w:hAnsi="Arial" w:cs="Arial"/>
          <w:color w:val="000000" w:themeColor="text1"/>
          <w:sz w:val="20"/>
          <w:szCs w:val="20"/>
        </w:rPr>
        <w:t xml:space="preserve"> </w:t>
      </w:r>
      <w:r w:rsidRPr="00A05616">
        <w:rPr>
          <w:rFonts w:ascii="Arial" w:hAnsi="Arial" w:cs="Arial"/>
          <w:color w:val="000000" w:themeColor="text1"/>
          <w:sz w:val="20"/>
          <w:szCs w:val="20"/>
          <w:vertAlign w:val="superscript"/>
        </w:rPr>
        <w:t>[3–5,14–21,2</w:t>
      </w:r>
      <w:r w:rsidR="00A05616">
        <w:rPr>
          <w:rFonts w:ascii="Arial" w:hAnsi="Arial" w:cs="Arial"/>
          <w:color w:val="000000" w:themeColor="text1"/>
          <w:sz w:val="20"/>
          <w:szCs w:val="20"/>
          <w:vertAlign w:val="superscript"/>
        </w:rPr>
        <w:t>6</w:t>
      </w:r>
      <w:r w:rsidRPr="00A05616">
        <w:rPr>
          <w:rFonts w:ascii="Arial" w:hAnsi="Arial" w:cs="Arial"/>
          <w:color w:val="000000" w:themeColor="text1"/>
          <w:sz w:val="20"/>
          <w:szCs w:val="20"/>
          <w:vertAlign w:val="superscript"/>
        </w:rPr>
        <w:t>]</w:t>
      </w:r>
    </w:p>
    <w:p w14:paraId="37B65D35" w14:textId="77777777" w:rsidR="009660F4" w:rsidRPr="00F16A08" w:rsidRDefault="009660F4" w:rsidP="00DE0D81">
      <w:pPr>
        <w:spacing w:line="240" w:lineRule="auto"/>
        <w:rPr>
          <w:rFonts w:ascii="Arial" w:hAnsi="Arial" w:cs="Arial"/>
          <w:b/>
          <w:bCs/>
          <w:color w:val="000000" w:themeColor="text1"/>
          <w:sz w:val="20"/>
          <w:szCs w:val="20"/>
        </w:rPr>
      </w:pPr>
    </w:p>
    <w:p w14:paraId="6819FCDF" w14:textId="115F74B5" w:rsidR="00E33122" w:rsidRPr="00F16A08" w:rsidRDefault="000A3A79" w:rsidP="00DE0D81">
      <w:pPr>
        <w:spacing w:line="240" w:lineRule="auto"/>
        <w:rPr>
          <w:rFonts w:ascii="Arial" w:hAnsi="Arial" w:cs="Arial"/>
          <w:b/>
          <w:bCs/>
          <w:color w:val="000000" w:themeColor="text1"/>
        </w:rPr>
      </w:pPr>
      <w:r w:rsidRPr="00F16A08">
        <w:rPr>
          <w:rFonts w:ascii="Arial" w:hAnsi="Arial" w:cs="Arial"/>
          <w:b/>
          <w:bCs/>
          <w:color w:val="000000" w:themeColor="text1"/>
        </w:rPr>
        <w:t xml:space="preserve">4. </w:t>
      </w:r>
      <w:r w:rsidR="00A87550" w:rsidRPr="00F16A08">
        <w:rPr>
          <w:rFonts w:ascii="Arial" w:hAnsi="Arial" w:cs="Arial"/>
          <w:b/>
          <w:bCs/>
          <w:color w:val="000000" w:themeColor="text1"/>
        </w:rPr>
        <w:t>CONCLUSION</w:t>
      </w:r>
    </w:p>
    <w:p w14:paraId="2381C587" w14:textId="4806E78E" w:rsidR="00E33122" w:rsidRPr="00F16A08" w:rsidRDefault="00E33122" w:rsidP="00DE0D81">
      <w:pPr>
        <w:spacing w:line="240" w:lineRule="auto"/>
        <w:jc w:val="both"/>
        <w:rPr>
          <w:rFonts w:ascii="Arial" w:hAnsi="Arial" w:cs="Arial"/>
          <w:color w:val="000000" w:themeColor="text1"/>
          <w:sz w:val="20"/>
          <w:szCs w:val="20"/>
        </w:rPr>
      </w:pPr>
      <w:r w:rsidRPr="00F16A08">
        <w:rPr>
          <w:rFonts w:ascii="Arial" w:hAnsi="Arial" w:cs="Arial"/>
          <w:color w:val="000000" w:themeColor="text1"/>
          <w:sz w:val="20"/>
          <w:szCs w:val="20"/>
        </w:rPr>
        <w:t xml:space="preserve">This study revealed that college students had moderate but insufficient knowledge of STIs, predominantly neutral or </w:t>
      </w:r>
      <w:proofErr w:type="spellStart"/>
      <w:r w:rsidRPr="00F16A08">
        <w:rPr>
          <w:rFonts w:ascii="Arial" w:hAnsi="Arial" w:cs="Arial"/>
          <w:color w:val="000000" w:themeColor="text1"/>
          <w:sz w:val="20"/>
          <w:szCs w:val="20"/>
        </w:rPr>
        <w:t>unfavorable</w:t>
      </w:r>
      <w:proofErr w:type="spellEnd"/>
      <w:r w:rsidRPr="00F16A08">
        <w:rPr>
          <w:rFonts w:ascii="Arial" w:hAnsi="Arial" w:cs="Arial"/>
          <w:color w:val="000000" w:themeColor="text1"/>
          <w:sz w:val="20"/>
          <w:szCs w:val="20"/>
        </w:rPr>
        <w:t xml:space="preserve"> attitudes, and poor preventive practices. These findings highlight persistent stigma, limited awareness, and inadequate risk-reduction </w:t>
      </w:r>
      <w:proofErr w:type="spellStart"/>
      <w:r w:rsidRPr="00F16A08">
        <w:rPr>
          <w:rFonts w:ascii="Arial" w:hAnsi="Arial" w:cs="Arial"/>
          <w:color w:val="000000" w:themeColor="text1"/>
          <w:sz w:val="20"/>
          <w:szCs w:val="20"/>
        </w:rPr>
        <w:t>behaviors</w:t>
      </w:r>
      <w:proofErr w:type="spellEnd"/>
      <w:r w:rsidRPr="00F16A08">
        <w:rPr>
          <w:rFonts w:ascii="Arial" w:hAnsi="Arial" w:cs="Arial"/>
          <w:color w:val="000000" w:themeColor="text1"/>
          <w:sz w:val="20"/>
          <w:szCs w:val="20"/>
        </w:rPr>
        <w:t xml:space="preserve">. The study was limited by its single-institution setting, self-reported data, and cross-sectional design, which restrict generalizability and may introduce reporting bias. Strengthening comprehensive sexual health education, reducing stigma through open discussions, improving access to youth-friendly services, and using peer-led and digital interventions are recommended. Broader multi-institutional and qualitative studies are needed to better understand factors influencing STI-related </w:t>
      </w:r>
      <w:proofErr w:type="spellStart"/>
      <w:r w:rsidRPr="00F16A08">
        <w:rPr>
          <w:rFonts w:ascii="Arial" w:hAnsi="Arial" w:cs="Arial"/>
          <w:color w:val="000000" w:themeColor="text1"/>
          <w:sz w:val="20"/>
          <w:szCs w:val="20"/>
        </w:rPr>
        <w:t>behaviors</w:t>
      </w:r>
      <w:proofErr w:type="spellEnd"/>
      <w:r w:rsidRPr="00F16A08">
        <w:rPr>
          <w:rFonts w:ascii="Arial" w:hAnsi="Arial" w:cs="Arial"/>
          <w:color w:val="000000" w:themeColor="text1"/>
          <w:sz w:val="20"/>
          <w:szCs w:val="20"/>
        </w:rPr>
        <w:t xml:space="preserve"> among young adults.</w:t>
      </w:r>
    </w:p>
    <w:p w14:paraId="37E4630C" w14:textId="77777777" w:rsidR="00A87550" w:rsidRPr="00F16A08" w:rsidRDefault="00A87550" w:rsidP="00DE0D81">
      <w:pPr>
        <w:spacing w:line="240" w:lineRule="auto"/>
        <w:rPr>
          <w:rFonts w:ascii="Arial" w:hAnsi="Arial" w:cs="Arial"/>
          <w:b/>
          <w:bCs/>
          <w:color w:val="000000" w:themeColor="text1"/>
          <w:sz w:val="20"/>
          <w:szCs w:val="20"/>
        </w:rPr>
      </w:pPr>
    </w:p>
    <w:p w14:paraId="521AFBAF" w14:textId="73A8208E" w:rsidR="000A2FC1" w:rsidRPr="00F16A08" w:rsidRDefault="000A2FC1" w:rsidP="00DE0D81">
      <w:pPr>
        <w:spacing w:line="240" w:lineRule="auto"/>
        <w:rPr>
          <w:rFonts w:ascii="Arial" w:hAnsi="Arial" w:cs="Arial"/>
          <w:b/>
          <w:bCs/>
          <w:color w:val="000000" w:themeColor="text1"/>
        </w:rPr>
      </w:pPr>
      <w:bookmarkStart w:id="0" w:name="_GoBack"/>
      <w:bookmarkEnd w:id="0"/>
      <w:r w:rsidRPr="00F16A08">
        <w:rPr>
          <w:rFonts w:ascii="Arial" w:hAnsi="Arial" w:cs="Arial"/>
          <w:b/>
          <w:bCs/>
          <w:color w:val="000000" w:themeColor="text1"/>
        </w:rPr>
        <w:t>References</w:t>
      </w:r>
    </w:p>
    <w:p w14:paraId="55290DCB" w14:textId="312A0752"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World Health Organization. Sexually transmitted infections (STIs): Key facts. Geneva: WHO; 2024.</w:t>
      </w:r>
    </w:p>
    <w:p w14:paraId="23031AE9" w14:textId="53D57F6E"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World Health Organization. Sexually transmitted infections (STIs): Key facts. Available from: </w:t>
      </w:r>
      <w:hyperlink r:id="rId12" w:tgtFrame="_new" w:history="1">
        <w:r w:rsidRPr="00F16A08">
          <w:rPr>
            <w:rFonts w:ascii="Arial" w:hAnsi="Arial" w:cs="Arial"/>
            <w:color w:val="000000" w:themeColor="text1"/>
            <w:sz w:val="20"/>
            <w:szCs w:val="20"/>
            <w:u w:val="single"/>
            <w:lang w:eastAsia="en-IN"/>
          </w:rPr>
          <w:t>https://www.who.int/news-room/fact-sheets/detail/sexually-transmitted-infections-(stis)</w:t>
        </w:r>
      </w:hyperlink>
    </w:p>
    <w:p w14:paraId="492C2147" w14:textId="408693ED"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Newman L, Rowley J, Vander Hoorn S, </w:t>
      </w:r>
      <w:proofErr w:type="spellStart"/>
      <w:r w:rsidRPr="00F16A08">
        <w:rPr>
          <w:rFonts w:ascii="Arial" w:hAnsi="Arial" w:cs="Arial"/>
          <w:color w:val="000000" w:themeColor="text1"/>
          <w:sz w:val="20"/>
          <w:szCs w:val="20"/>
          <w:lang w:eastAsia="en-IN"/>
        </w:rPr>
        <w:t>Wijesooriya</w:t>
      </w:r>
      <w:proofErr w:type="spellEnd"/>
      <w:r w:rsidRPr="00F16A08">
        <w:rPr>
          <w:rFonts w:ascii="Arial" w:hAnsi="Arial" w:cs="Arial"/>
          <w:color w:val="000000" w:themeColor="text1"/>
          <w:sz w:val="20"/>
          <w:szCs w:val="20"/>
          <w:lang w:eastAsia="en-IN"/>
        </w:rPr>
        <w:t xml:space="preserve"> NS, </w:t>
      </w:r>
      <w:proofErr w:type="spellStart"/>
      <w:r w:rsidRPr="00F16A08">
        <w:rPr>
          <w:rFonts w:ascii="Arial" w:hAnsi="Arial" w:cs="Arial"/>
          <w:color w:val="000000" w:themeColor="text1"/>
          <w:sz w:val="20"/>
          <w:szCs w:val="20"/>
          <w:lang w:eastAsia="en-IN"/>
        </w:rPr>
        <w:t>Unemo</w:t>
      </w:r>
      <w:proofErr w:type="spellEnd"/>
      <w:r w:rsidRPr="00F16A08">
        <w:rPr>
          <w:rFonts w:ascii="Arial" w:hAnsi="Arial" w:cs="Arial"/>
          <w:color w:val="000000" w:themeColor="text1"/>
          <w:sz w:val="20"/>
          <w:szCs w:val="20"/>
          <w:lang w:eastAsia="en-IN"/>
        </w:rPr>
        <w:t xml:space="preserve"> M, Low N, et al. Global estimates of the prevalence and incidence of four curable STIs in 2012. </w:t>
      </w:r>
      <w:proofErr w:type="spellStart"/>
      <w:r w:rsidRPr="00F16A08">
        <w:rPr>
          <w:rFonts w:ascii="Arial" w:hAnsi="Arial" w:cs="Arial"/>
          <w:color w:val="000000" w:themeColor="text1"/>
          <w:sz w:val="20"/>
          <w:szCs w:val="20"/>
          <w:lang w:eastAsia="en-IN"/>
        </w:rPr>
        <w:t>PLoS</w:t>
      </w:r>
      <w:proofErr w:type="spellEnd"/>
      <w:r w:rsidRPr="00F16A08">
        <w:rPr>
          <w:rFonts w:ascii="Arial" w:hAnsi="Arial" w:cs="Arial"/>
          <w:color w:val="000000" w:themeColor="text1"/>
          <w:sz w:val="20"/>
          <w:szCs w:val="20"/>
          <w:lang w:eastAsia="en-IN"/>
        </w:rPr>
        <w:t xml:space="preserve"> One. 2015;10(12</w:t>
      </w:r>
      <w:proofErr w:type="gramStart"/>
      <w:r w:rsidRPr="00F16A08">
        <w:rPr>
          <w:rFonts w:ascii="Arial" w:hAnsi="Arial" w:cs="Arial"/>
          <w:color w:val="000000" w:themeColor="text1"/>
          <w:sz w:val="20"/>
          <w:szCs w:val="20"/>
          <w:lang w:eastAsia="en-IN"/>
        </w:rPr>
        <w:t>):e</w:t>
      </w:r>
      <w:proofErr w:type="gramEnd"/>
      <w:r w:rsidRPr="00F16A08">
        <w:rPr>
          <w:rFonts w:ascii="Arial" w:hAnsi="Arial" w:cs="Arial"/>
          <w:color w:val="000000" w:themeColor="text1"/>
          <w:sz w:val="20"/>
          <w:szCs w:val="20"/>
          <w:lang w:eastAsia="en-IN"/>
        </w:rPr>
        <w:t xml:space="preserve">0143304. </w:t>
      </w:r>
      <w:proofErr w:type="gramStart"/>
      <w:r w:rsidRPr="00F16A08">
        <w:rPr>
          <w:rFonts w:ascii="Arial" w:hAnsi="Arial" w:cs="Arial"/>
          <w:color w:val="000000" w:themeColor="text1"/>
          <w:sz w:val="20"/>
          <w:szCs w:val="20"/>
          <w:lang w:eastAsia="en-IN"/>
        </w:rPr>
        <w:t>doi:10.1371/journal.pone</w:t>
      </w:r>
      <w:proofErr w:type="gramEnd"/>
      <w:r w:rsidRPr="00F16A08">
        <w:rPr>
          <w:rFonts w:ascii="Arial" w:hAnsi="Arial" w:cs="Arial"/>
          <w:color w:val="000000" w:themeColor="text1"/>
          <w:sz w:val="20"/>
          <w:szCs w:val="20"/>
          <w:lang w:eastAsia="en-IN"/>
        </w:rPr>
        <w:t>.0143304</w:t>
      </w:r>
    </w:p>
    <w:p w14:paraId="3D058952" w14:textId="59AB28EC"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lastRenderedPageBreak/>
        <w:t xml:space="preserve">Subbarao NT, Akhilesh A. Knowledge and attitude about sexually transmitted infections other than HIV among college students. Indian Journal of Sexually Transmitted Diseases and AIDS.2017;38:10–14. </w:t>
      </w:r>
      <w:proofErr w:type="spellStart"/>
      <w:r w:rsidRPr="00F16A08">
        <w:rPr>
          <w:rFonts w:ascii="Arial" w:hAnsi="Arial" w:cs="Arial"/>
          <w:color w:val="000000" w:themeColor="text1"/>
          <w:sz w:val="20"/>
          <w:szCs w:val="20"/>
          <w:lang w:eastAsia="en-IN"/>
        </w:rPr>
        <w:t>doi</w:t>
      </w:r>
      <w:proofErr w:type="spellEnd"/>
      <w:r w:rsidRPr="00F16A08">
        <w:rPr>
          <w:rFonts w:ascii="Arial" w:hAnsi="Arial" w:cs="Arial"/>
          <w:color w:val="000000" w:themeColor="text1"/>
          <w:sz w:val="20"/>
          <w:szCs w:val="20"/>
          <w:lang w:eastAsia="en-IN"/>
        </w:rPr>
        <w:t>:</w:t>
      </w:r>
      <w:r w:rsidR="001404FA" w:rsidRPr="001404FA">
        <w:t xml:space="preserve"> </w:t>
      </w:r>
      <w:r w:rsidR="001404FA" w:rsidRPr="001404FA">
        <w:rPr>
          <w:rFonts w:ascii="Arial" w:hAnsi="Arial" w:cs="Arial"/>
          <w:color w:val="000000" w:themeColor="text1"/>
          <w:sz w:val="20"/>
          <w:szCs w:val="20"/>
          <w:lang w:eastAsia="en-IN"/>
        </w:rPr>
        <w:t>10.4103/0253-7184.196888</w:t>
      </w:r>
    </w:p>
    <w:p w14:paraId="1871D12E" w14:textId="38564425"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Dorji</w:t>
      </w:r>
      <w:proofErr w:type="spellEnd"/>
      <w:r w:rsidRPr="00F16A08">
        <w:rPr>
          <w:rFonts w:ascii="Arial" w:hAnsi="Arial" w:cs="Arial"/>
          <w:color w:val="000000" w:themeColor="text1"/>
          <w:sz w:val="20"/>
          <w:szCs w:val="20"/>
          <w:lang w:eastAsia="en-IN"/>
        </w:rPr>
        <w:t xml:space="preserve"> T, </w:t>
      </w:r>
      <w:proofErr w:type="spellStart"/>
      <w:r w:rsidRPr="00F16A08">
        <w:rPr>
          <w:rFonts w:ascii="Arial" w:hAnsi="Arial" w:cs="Arial"/>
          <w:color w:val="000000" w:themeColor="text1"/>
          <w:sz w:val="20"/>
          <w:szCs w:val="20"/>
          <w:lang w:eastAsia="en-IN"/>
        </w:rPr>
        <w:t>Wangmo</w:t>
      </w:r>
      <w:proofErr w:type="spellEnd"/>
      <w:r w:rsidRPr="00F16A08">
        <w:rPr>
          <w:rFonts w:ascii="Arial" w:hAnsi="Arial" w:cs="Arial"/>
          <w:color w:val="000000" w:themeColor="text1"/>
          <w:sz w:val="20"/>
          <w:szCs w:val="20"/>
          <w:lang w:eastAsia="en-IN"/>
        </w:rPr>
        <w:t xml:space="preserve"> K, </w:t>
      </w:r>
      <w:proofErr w:type="spellStart"/>
      <w:r w:rsidRPr="00F16A08">
        <w:rPr>
          <w:rFonts w:ascii="Arial" w:hAnsi="Arial" w:cs="Arial"/>
          <w:color w:val="000000" w:themeColor="text1"/>
          <w:sz w:val="20"/>
          <w:szCs w:val="20"/>
          <w:lang w:eastAsia="en-IN"/>
        </w:rPr>
        <w:t>Lhazeen</w:t>
      </w:r>
      <w:proofErr w:type="spellEnd"/>
      <w:r w:rsidRPr="00F16A08">
        <w:rPr>
          <w:rFonts w:ascii="Arial" w:hAnsi="Arial" w:cs="Arial"/>
          <w:color w:val="000000" w:themeColor="text1"/>
          <w:sz w:val="20"/>
          <w:szCs w:val="20"/>
          <w:lang w:eastAsia="en-IN"/>
        </w:rPr>
        <w:t xml:space="preserve"> K, </w:t>
      </w:r>
      <w:proofErr w:type="spellStart"/>
      <w:r w:rsidRPr="00F16A08">
        <w:rPr>
          <w:rFonts w:ascii="Arial" w:hAnsi="Arial" w:cs="Arial"/>
          <w:color w:val="000000" w:themeColor="text1"/>
          <w:sz w:val="20"/>
          <w:szCs w:val="20"/>
          <w:lang w:eastAsia="en-IN"/>
        </w:rPr>
        <w:t>Gyeltshen</w:t>
      </w:r>
      <w:proofErr w:type="spellEnd"/>
      <w:r w:rsidRPr="00F16A08">
        <w:rPr>
          <w:rFonts w:ascii="Arial" w:hAnsi="Arial" w:cs="Arial"/>
          <w:color w:val="000000" w:themeColor="text1"/>
          <w:sz w:val="20"/>
          <w:szCs w:val="20"/>
          <w:lang w:eastAsia="en-IN"/>
        </w:rPr>
        <w:t xml:space="preserve"> T, </w:t>
      </w:r>
      <w:proofErr w:type="spellStart"/>
      <w:r w:rsidRPr="00F16A08">
        <w:rPr>
          <w:rFonts w:ascii="Arial" w:hAnsi="Arial" w:cs="Arial"/>
          <w:color w:val="000000" w:themeColor="text1"/>
          <w:sz w:val="20"/>
          <w:szCs w:val="20"/>
          <w:lang w:eastAsia="en-IN"/>
        </w:rPr>
        <w:t>Wangdi</w:t>
      </w:r>
      <w:proofErr w:type="spellEnd"/>
      <w:r w:rsidRPr="00F16A08">
        <w:rPr>
          <w:rFonts w:ascii="Arial" w:hAnsi="Arial" w:cs="Arial"/>
          <w:color w:val="000000" w:themeColor="text1"/>
          <w:sz w:val="20"/>
          <w:szCs w:val="20"/>
          <w:lang w:eastAsia="en-IN"/>
        </w:rPr>
        <w:t xml:space="preserve"> K, Gyeltshen T. Knowledge, attitude and practices on STIs among college students in Bhutan. Bhutan Health Journal. 2019;5(1):44–49. doi:10.47811/bhj.71</w:t>
      </w:r>
    </w:p>
    <w:p w14:paraId="617282A3" w14:textId="66A8433F"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Ramezani</w:t>
      </w:r>
      <w:proofErr w:type="spellEnd"/>
      <w:r w:rsidRPr="00F16A08">
        <w:rPr>
          <w:rFonts w:ascii="Arial" w:hAnsi="Arial" w:cs="Arial"/>
          <w:color w:val="000000" w:themeColor="text1"/>
          <w:sz w:val="20"/>
          <w:szCs w:val="20"/>
          <w:lang w:eastAsia="en-IN"/>
        </w:rPr>
        <w:t xml:space="preserve"> Tehrani F, </w:t>
      </w:r>
      <w:proofErr w:type="spellStart"/>
      <w:r w:rsidRPr="00F16A08">
        <w:rPr>
          <w:rFonts w:ascii="Arial" w:hAnsi="Arial" w:cs="Arial"/>
          <w:color w:val="000000" w:themeColor="text1"/>
          <w:sz w:val="20"/>
          <w:szCs w:val="20"/>
          <w:lang w:eastAsia="en-IN"/>
        </w:rPr>
        <w:t>Shirvani</w:t>
      </w:r>
      <w:proofErr w:type="spellEnd"/>
      <w:r w:rsidRPr="00F16A08">
        <w:rPr>
          <w:rFonts w:ascii="Arial" w:hAnsi="Arial" w:cs="Arial"/>
          <w:color w:val="000000" w:themeColor="text1"/>
          <w:sz w:val="20"/>
          <w:szCs w:val="20"/>
          <w:lang w:eastAsia="en-IN"/>
        </w:rPr>
        <w:t xml:space="preserve"> MA, </w:t>
      </w:r>
      <w:proofErr w:type="spellStart"/>
      <w:r w:rsidRPr="00F16A08">
        <w:rPr>
          <w:rFonts w:ascii="Arial" w:hAnsi="Arial" w:cs="Arial"/>
          <w:color w:val="000000" w:themeColor="text1"/>
          <w:sz w:val="20"/>
          <w:szCs w:val="20"/>
          <w:lang w:eastAsia="en-IN"/>
        </w:rPr>
        <w:t>Vaezi</w:t>
      </w:r>
      <w:proofErr w:type="spellEnd"/>
      <w:r w:rsidRPr="00F16A08">
        <w:rPr>
          <w:rFonts w:ascii="Arial" w:hAnsi="Arial" w:cs="Arial"/>
          <w:color w:val="000000" w:themeColor="text1"/>
          <w:sz w:val="20"/>
          <w:szCs w:val="20"/>
          <w:lang w:eastAsia="en-IN"/>
        </w:rPr>
        <w:t xml:space="preserve"> A, </w:t>
      </w:r>
      <w:proofErr w:type="spellStart"/>
      <w:r w:rsidRPr="00F16A08">
        <w:rPr>
          <w:rFonts w:ascii="Arial" w:hAnsi="Arial" w:cs="Arial"/>
          <w:color w:val="000000" w:themeColor="text1"/>
          <w:sz w:val="20"/>
          <w:szCs w:val="20"/>
          <w:lang w:eastAsia="en-IN"/>
        </w:rPr>
        <w:t>Hosseinpanah</w:t>
      </w:r>
      <w:proofErr w:type="spellEnd"/>
      <w:r w:rsidRPr="00F16A08">
        <w:rPr>
          <w:rFonts w:ascii="Arial" w:hAnsi="Arial" w:cs="Arial"/>
          <w:color w:val="000000" w:themeColor="text1"/>
          <w:sz w:val="20"/>
          <w:szCs w:val="20"/>
          <w:lang w:eastAsia="en-IN"/>
        </w:rPr>
        <w:t xml:space="preserve"> F. Awareness and attitude toward sexually transmitted infections among Iranian university students. International Journal of Reproductive </w:t>
      </w:r>
      <w:proofErr w:type="spellStart"/>
      <w:r w:rsidRPr="00F16A08">
        <w:rPr>
          <w:rFonts w:ascii="Arial" w:hAnsi="Arial" w:cs="Arial"/>
          <w:color w:val="000000" w:themeColor="text1"/>
          <w:sz w:val="20"/>
          <w:szCs w:val="20"/>
          <w:lang w:eastAsia="en-IN"/>
        </w:rPr>
        <w:t>BioMedicine</w:t>
      </w:r>
      <w:proofErr w:type="spellEnd"/>
      <w:r w:rsidRPr="00F16A08">
        <w:rPr>
          <w:rFonts w:ascii="Arial" w:hAnsi="Arial" w:cs="Arial"/>
          <w:color w:val="000000" w:themeColor="text1"/>
          <w:sz w:val="20"/>
          <w:szCs w:val="20"/>
          <w:lang w:eastAsia="en-IN"/>
        </w:rPr>
        <w:t>. 2020;18(6):449–458. doi:10.18502/</w:t>
      </w:r>
      <w:proofErr w:type="gramStart"/>
      <w:r w:rsidRPr="00F16A08">
        <w:rPr>
          <w:rFonts w:ascii="Arial" w:hAnsi="Arial" w:cs="Arial"/>
          <w:color w:val="000000" w:themeColor="text1"/>
          <w:sz w:val="20"/>
          <w:szCs w:val="20"/>
          <w:lang w:eastAsia="en-IN"/>
        </w:rPr>
        <w:t>ijrm.v</w:t>
      </w:r>
      <w:proofErr w:type="gramEnd"/>
      <w:r w:rsidRPr="00F16A08">
        <w:rPr>
          <w:rFonts w:ascii="Arial" w:hAnsi="Arial" w:cs="Arial"/>
          <w:color w:val="000000" w:themeColor="text1"/>
          <w:sz w:val="20"/>
          <w:szCs w:val="20"/>
          <w:lang w:eastAsia="en-IN"/>
        </w:rPr>
        <w:t>18i6.9301</w:t>
      </w:r>
    </w:p>
    <w:p w14:paraId="010A9883" w14:textId="06D1C02D"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Tilson EC, Sanchez V, Ford CL, King J, Montgomery K, Blumenthal C, et al. Barriers to asymptomatic STI screening in young adults. </w:t>
      </w:r>
      <w:r w:rsidR="004E6A1B" w:rsidRPr="00F16A08">
        <w:rPr>
          <w:rFonts w:ascii="Arial" w:hAnsi="Arial" w:cs="Arial"/>
          <w:color w:val="000000" w:themeColor="text1"/>
          <w:sz w:val="20"/>
          <w:szCs w:val="20"/>
          <w:lang w:eastAsia="en-IN"/>
        </w:rPr>
        <w:t>Sexually Transmitted Diseases</w:t>
      </w:r>
      <w:r w:rsidRPr="00F16A08">
        <w:rPr>
          <w:rFonts w:ascii="Arial" w:hAnsi="Arial" w:cs="Arial"/>
          <w:color w:val="000000" w:themeColor="text1"/>
          <w:sz w:val="20"/>
          <w:szCs w:val="20"/>
          <w:lang w:eastAsia="en-IN"/>
        </w:rPr>
        <w:t xml:space="preserve">. 2004;31(11):700–708. </w:t>
      </w:r>
      <w:proofErr w:type="gramStart"/>
      <w:r w:rsidRPr="00F16A08">
        <w:rPr>
          <w:rFonts w:ascii="Arial" w:hAnsi="Arial" w:cs="Arial"/>
          <w:color w:val="000000" w:themeColor="text1"/>
          <w:sz w:val="20"/>
          <w:szCs w:val="20"/>
          <w:lang w:eastAsia="en-IN"/>
        </w:rPr>
        <w:t>doi:10.1097/01.olq</w:t>
      </w:r>
      <w:proofErr w:type="gramEnd"/>
      <w:r w:rsidRPr="00F16A08">
        <w:rPr>
          <w:rFonts w:ascii="Arial" w:hAnsi="Arial" w:cs="Arial"/>
          <w:color w:val="000000" w:themeColor="text1"/>
          <w:sz w:val="20"/>
          <w:szCs w:val="20"/>
          <w:lang w:eastAsia="en-IN"/>
        </w:rPr>
        <w:t>.0000143104.69454.72</w:t>
      </w:r>
    </w:p>
    <w:p w14:paraId="0E897F48" w14:textId="08EFD3D3"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Keller SN, LaBelle H. STI and HIV knowledge, communication and risk behavior among adolescents. </w:t>
      </w:r>
      <w:r w:rsidR="004E6A1B" w:rsidRPr="00F16A08">
        <w:rPr>
          <w:rFonts w:ascii="Arial" w:hAnsi="Arial" w:cs="Arial"/>
          <w:color w:val="000000" w:themeColor="text1"/>
          <w:sz w:val="20"/>
          <w:szCs w:val="20"/>
          <w:lang w:eastAsia="en-IN"/>
        </w:rPr>
        <w:t>International Journal of Adolescent Medicine and Health</w:t>
      </w:r>
      <w:r w:rsidRPr="00F16A08">
        <w:rPr>
          <w:rFonts w:ascii="Arial" w:hAnsi="Arial" w:cs="Arial"/>
          <w:color w:val="000000" w:themeColor="text1"/>
          <w:sz w:val="20"/>
          <w:szCs w:val="20"/>
          <w:lang w:eastAsia="en-IN"/>
        </w:rPr>
        <w:t>. 2017;29(1):20150049. doi:10.1515/ijamh-2015-0049</w:t>
      </w:r>
    </w:p>
    <w:p w14:paraId="4BE4AEA5" w14:textId="33DDD310"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Rajapure</w:t>
      </w:r>
      <w:proofErr w:type="spellEnd"/>
      <w:r w:rsidRPr="00F16A08">
        <w:rPr>
          <w:rFonts w:ascii="Arial" w:hAnsi="Arial" w:cs="Arial"/>
          <w:color w:val="000000" w:themeColor="text1"/>
          <w:sz w:val="20"/>
          <w:szCs w:val="20"/>
          <w:lang w:eastAsia="en-IN"/>
        </w:rPr>
        <w:t xml:space="preserve"> V, </w:t>
      </w:r>
      <w:proofErr w:type="spellStart"/>
      <w:r w:rsidRPr="00F16A08">
        <w:rPr>
          <w:rFonts w:ascii="Arial" w:hAnsi="Arial" w:cs="Arial"/>
          <w:color w:val="000000" w:themeColor="text1"/>
          <w:sz w:val="20"/>
          <w:szCs w:val="20"/>
          <w:lang w:eastAsia="en-IN"/>
        </w:rPr>
        <w:t>Joge</w:t>
      </w:r>
      <w:proofErr w:type="spellEnd"/>
      <w:r w:rsidRPr="00F16A08">
        <w:rPr>
          <w:rFonts w:ascii="Arial" w:hAnsi="Arial" w:cs="Arial"/>
          <w:color w:val="000000" w:themeColor="text1"/>
          <w:sz w:val="20"/>
          <w:szCs w:val="20"/>
          <w:lang w:eastAsia="en-IN"/>
        </w:rPr>
        <w:t xml:space="preserve"> US, </w:t>
      </w:r>
      <w:proofErr w:type="spellStart"/>
      <w:r w:rsidRPr="00F16A08">
        <w:rPr>
          <w:rFonts w:ascii="Arial" w:hAnsi="Arial" w:cs="Arial"/>
          <w:color w:val="000000" w:themeColor="text1"/>
          <w:sz w:val="20"/>
          <w:szCs w:val="20"/>
          <w:lang w:eastAsia="en-IN"/>
        </w:rPr>
        <w:t>Deoke</w:t>
      </w:r>
      <w:proofErr w:type="spellEnd"/>
      <w:r w:rsidRPr="00F16A08">
        <w:rPr>
          <w:rFonts w:ascii="Arial" w:hAnsi="Arial" w:cs="Arial"/>
          <w:color w:val="000000" w:themeColor="text1"/>
          <w:sz w:val="20"/>
          <w:szCs w:val="20"/>
          <w:lang w:eastAsia="en-IN"/>
        </w:rPr>
        <w:t xml:space="preserve"> AR, </w:t>
      </w:r>
      <w:proofErr w:type="spellStart"/>
      <w:r w:rsidRPr="00F16A08">
        <w:rPr>
          <w:rFonts w:ascii="Arial" w:hAnsi="Arial" w:cs="Arial"/>
          <w:color w:val="000000" w:themeColor="text1"/>
          <w:sz w:val="20"/>
          <w:szCs w:val="20"/>
          <w:lang w:eastAsia="en-IN"/>
        </w:rPr>
        <w:t>Choudhari</w:t>
      </w:r>
      <w:proofErr w:type="spellEnd"/>
      <w:r w:rsidRPr="00F16A08">
        <w:rPr>
          <w:rFonts w:ascii="Arial" w:hAnsi="Arial" w:cs="Arial"/>
          <w:color w:val="000000" w:themeColor="text1"/>
          <w:sz w:val="20"/>
          <w:szCs w:val="20"/>
          <w:lang w:eastAsia="en-IN"/>
        </w:rPr>
        <w:t xml:space="preserve"> SG. Awareness about STIs and sexual behavior among college students in Maharashtra. </w:t>
      </w:r>
      <w:r w:rsidR="004E6A1B" w:rsidRPr="00F16A08">
        <w:rPr>
          <w:rFonts w:ascii="Arial" w:hAnsi="Arial" w:cs="Arial"/>
          <w:color w:val="000000" w:themeColor="text1"/>
          <w:sz w:val="20"/>
          <w:szCs w:val="20"/>
          <w:lang w:eastAsia="en-IN"/>
        </w:rPr>
        <w:t xml:space="preserve">International Journal of Community Medicine and Public </w:t>
      </w:r>
      <w:r w:rsidR="00EC4D91" w:rsidRPr="00F16A08">
        <w:rPr>
          <w:rFonts w:ascii="Arial" w:hAnsi="Arial" w:cs="Arial"/>
          <w:color w:val="000000" w:themeColor="text1"/>
          <w:sz w:val="20"/>
          <w:szCs w:val="20"/>
          <w:lang w:eastAsia="en-IN"/>
        </w:rPr>
        <w:t>Health.</w:t>
      </w:r>
      <w:r w:rsidRPr="00F16A08">
        <w:rPr>
          <w:rFonts w:ascii="Arial" w:hAnsi="Arial" w:cs="Arial"/>
          <w:color w:val="000000" w:themeColor="text1"/>
          <w:sz w:val="20"/>
          <w:szCs w:val="20"/>
          <w:lang w:eastAsia="en-IN"/>
        </w:rPr>
        <w:t xml:space="preserve"> 2017;4(12):4604–4609. doi:10.18203/2394-6040.ijcmph20175325</w:t>
      </w:r>
    </w:p>
    <w:p w14:paraId="1F0CCBD8" w14:textId="4CBA1303"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Agyemang S, </w:t>
      </w:r>
      <w:proofErr w:type="spellStart"/>
      <w:r w:rsidRPr="00F16A08">
        <w:rPr>
          <w:rFonts w:ascii="Arial" w:hAnsi="Arial" w:cs="Arial"/>
          <w:color w:val="000000" w:themeColor="text1"/>
          <w:sz w:val="20"/>
          <w:szCs w:val="20"/>
          <w:lang w:eastAsia="en-IN"/>
        </w:rPr>
        <w:t>Buor</w:t>
      </w:r>
      <w:proofErr w:type="spellEnd"/>
      <w:r w:rsidRPr="00F16A08">
        <w:rPr>
          <w:rFonts w:ascii="Arial" w:hAnsi="Arial" w:cs="Arial"/>
          <w:color w:val="000000" w:themeColor="text1"/>
          <w:sz w:val="20"/>
          <w:szCs w:val="20"/>
          <w:lang w:eastAsia="en-IN"/>
        </w:rPr>
        <w:t xml:space="preserve"> D, </w:t>
      </w:r>
      <w:proofErr w:type="spellStart"/>
      <w:r w:rsidRPr="00F16A08">
        <w:rPr>
          <w:rFonts w:ascii="Arial" w:hAnsi="Arial" w:cs="Arial"/>
          <w:color w:val="000000" w:themeColor="text1"/>
          <w:sz w:val="20"/>
          <w:szCs w:val="20"/>
          <w:lang w:eastAsia="en-IN"/>
        </w:rPr>
        <w:t>Afari</w:t>
      </w:r>
      <w:proofErr w:type="spellEnd"/>
      <w:r w:rsidRPr="00F16A08">
        <w:rPr>
          <w:rFonts w:ascii="Arial" w:hAnsi="Arial" w:cs="Arial"/>
          <w:color w:val="000000" w:themeColor="text1"/>
          <w:sz w:val="20"/>
          <w:szCs w:val="20"/>
          <w:lang w:eastAsia="en-IN"/>
        </w:rPr>
        <w:t xml:space="preserve"> E. Stigma and attitudes toward STIs among Ghanaian youth. </w:t>
      </w:r>
      <w:r w:rsidR="004E6A1B" w:rsidRPr="00F16A08">
        <w:rPr>
          <w:rFonts w:ascii="Arial" w:hAnsi="Arial" w:cs="Arial"/>
          <w:color w:val="000000" w:themeColor="text1"/>
          <w:sz w:val="20"/>
          <w:szCs w:val="20"/>
          <w:lang w:eastAsia="en-IN"/>
        </w:rPr>
        <w:t>Journal of Infection in Developing Countries.</w:t>
      </w:r>
      <w:r w:rsidRPr="00F16A08">
        <w:rPr>
          <w:rFonts w:ascii="Arial" w:hAnsi="Arial" w:cs="Arial"/>
          <w:color w:val="000000" w:themeColor="text1"/>
          <w:sz w:val="20"/>
          <w:szCs w:val="20"/>
          <w:lang w:eastAsia="en-IN"/>
        </w:rPr>
        <w:t xml:space="preserve"> 2019;13(1):51–59. doi:10.3855/jidc.10832</w:t>
      </w:r>
    </w:p>
    <w:p w14:paraId="48F4DBCF" w14:textId="0B009956"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Wang B, Li X, Stanton B, Fang X, Lin D, Naar-King S. STI knowledge and sexual risk behaviors among Chinese university students. </w:t>
      </w:r>
      <w:r w:rsidR="004E6A1B" w:rsidRPr="00F16A08">
        <w:rPr>
          <w:rFonts w:ascii="Arial" w:hAnsi="Arial" w:cs="Arial"/>
          <w:color w:val="000000" w:themeColor="text1"/>
          <w:sz w:val="20"/>
          <w:szCs w:val="20"/>
          <w:lang w:eastAsia="en-IN"/>
        </w:rPr>
        <w:t>Journal of the Association of Nurses in AIDS Care</w:t>
      </w:r>
      <w:r w:rsidRPr="00F16A08">
        <w:rPr>
          <w:rFonts w:ascii="Arial" w:hAnsi="Arial" w:cs="Arial"/>
          <w:color w:val="000000" w:themeColor="text1"/>
          <w:sz w:val="20"/>
          <w:szCs w:val="20"/>
          <w:lang w:eastAsia="en-IN"/>
        </w:rPr>
        <w:t xml:space="preserve">. 2010;21(4):306–316. </w:t>
      </w:r>
      <w:proofErr w:type="gramStart"/>
      <w:r w:rsidRPr="00F16A08">
        <w:rPr>
          <w:rFonts w:ascii="Arial" w:hAnsi="Arial" w:cs="Arial"/>
          <w:color w:val="000000" w:themeColor="text1"/>
          <w:sz w:val="20"/>
          <w:szCs w:val="20"/>
          <w:lang w:eastAsia="en-IN"/>
        </w:rPr>
        <w:t>doi:10.1016/j.jana</w:t>
      </w:r>
      <w:proofErr w:type="gramEnd"/>
      <w:r w:rsidRPr="00F16A08">
        <w:rPr>
          <w:rFonts w:ascii="Arial" w:hAnsi="Arial" w:cs="Arial"/>
          <w:color w:val="000000" w:themeColor="text1"/>
          <w:sz w:val="20"/>
          <w:szCs w:val="20"/>
          <w:lang w:eastAsia="en-IN"/>
        </w:rPr>
        <w:t>.2009.12.004</w:t>
      </w:r>
    </w:p>
    <w:p w14:paraId="74A172D5" w14:textId="69FF60AD"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Sharma R, Sharma KL. Sexual behaviour patterns and STI awareness among North Indian youth. Indian J</w:t>
      </w:r>
      <w:r w:rsidR="004E6A1B" w:rsidRPr="00F16A08">
        <w:rPr>
          <w:rFonts w:ascii="Arial" w:hAnsi="Arial" w:cs="Arial"/>
          <w:color w:val="000000" w:themeColor="text1"/>
          <w:sz w:val="20"/>
          <w:szCs w:val="20"/>
          <w:lang w:eastAsia="en-IN"/>
        </w:rPr>
        <w:t>ournal of</w:t>
      </w:r>
      <w:r w:rsidRPr="00F16A08">
        <w:rPr>
          <w:rFonts w:ascii="Arial" w:hAnsi="Arial" w:cs="Arial"/>
          <w:color w:val="000000" w:themeColor="text1"/>
          <w:sz w:val="20"/>
          <w:szCs w:val="20"/>
          <w:lang w:eastAsia="en-IN"/>
        </w:rPr>
        <w:t xml:space="preserve"> Community Med</w:t>
      </w:r>
      <w:r w:rsidR="004E6A1B" w:rsidRPr="00F16A08">
        <w:rPr>
          <w:rFonts w:ascii="Arial" w:hAnsi="Arial" w:cs="Arial"/>
          <w:color w:val="000000" w:themeColor="text1"/>
          <w:sz w:val="20"/>
          <w:szCs w:val="20"/>
          <w:lang w:eastAsia="en-IN"/>
        </w:rPr>
        <w:t>icine</w:t>
      </w:r>
      <w:r w:rsidRPr="00F16A08">
        <w:rPr>
          <w:rFonts w:ascii="Arial" w:hAnsi="Arial" w:cs="Arial"/>
          <w:color w:val="000000" w:themeColor="text1"/>
          <w:sz w:val="20"/>
          <w:szCs w:val="20"/>
          <w:lang w:eastAsia="en-IN"/>
        </w:rPr>
        <w:t xml:space="preserve">. 2018;43(3):180–184. </w:t>
      </w:r>
      <w:proofErr w:type="gramStart"/>
      <w:r w:rsidRPr="00F16A08">
        <w:rPr>
          <w:rFonts w:ascii="Arial" w:hAnsi="Arial" w:cs="Arial"/>
          <w:color w:val="000000" w:themeColor="text1"/>
          <w:sz w:val="20"/>
          <w:szCs w:val="20"/>
          <w:lang w:eastAsia="en-IN"/>
        </w:rPr>
        <w:t>doi:10.4103/ijcm.IJCM</w:t>
      </w:r>
      <w:proofErr w:type="gramEnd"/>
      <w:r w:rsidRPr="00F16A08">
        <w:rPr>
          <w:rFonts w:ascii="Arial" w:hAnsi="Arial" w:cs="Arial"/>
          <w:color w:val="000000" w:themeColor="text1"/>
          <w:sz w:val="20"/>
          <w:szCs w:val="20"/>
          <w:lang w:eastAsia="en-IN"/>
        </w:rPr>
        <w:t>_302_17</w:t>
      </w:r>
    </w:p>
    <w:p w14:paraId="70BF3F06" w14:textId="362D2309"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Choudhary N, Mishra A. Sexual health knowledge and contraceptive use among Indian adolescents. </w:t>
      </w:r>
      <w:r w:rsidR="004E6A1B" w:rsidRPr="00F16A08">
        <w:rPr>
          <w:rFonts w:ascii="Arial" w:hAnsi="Arial" w:cs="Arial"/>
          <w:color w:val="000000" w:themeColor="text1"/>
          <w:sz w:val="20"/>
          <w:szCs w:val="20"/>
          <w:lang w:eastAsia="en-IN"/>
        </w:rPr>
        <w:t>Journal of Family Medicine and Primary Care</w:t>
      </w:r>
      <w:r w:rsidRPr="00F16A08">
        <w:rPr>
          <w:rFonts w:ascii="Arial" w:hAnsi="Arial" w:cs="Arial"/>
          <w:color w:val="000000" w:themeColor="text1"/>
          <w:sz w:val="20"/>
          <w:szCs w:val="20"/>
          <w:lang w:eastAsia="en-IN"/>
        </w:rPr>
        <w:t xml:space="preserve">. 2021;10(2):888–894. </w:t>
      </w:r>
      <w:proofErr w:type="gramStart"/>
      <w:r w:rsidRPr="00F16A08">
        <w:rPr>
          <w:rFonts w:ascii="Arial" w:hAnsi="Arial" w:cs="Arial"/>
          <w:color w:val="000000" w:themeColor="text1"/>
          <w:sz w:val="20"/>
          <w:szCs w:val="20"/>
          <w:lang w:eastAsia="en-IN"/>
        </w:rPr>
        <w:t>doi:10.4103/jfmpc.jfmpc</w:t>
      </w:r>
      <w:proofErr w:type="gramEnd"/>
      <w:r w:rsidRPr="00F16A08">
        <w:rPr>
          <w:rFonts w:ascii="Arial" w:hAnsi="Arial" w:cs="Arial"/>
          <w:color w:val="000000" w:themeColor="text1"/>
          <w:sz w:val="20"/>
          <w:szCs w:val="20"/>
          <w:lang w:eastAsia="en-IN"/>
        </w:rPr>
        <w:t>_1680_20</w:t>
      </w:r>
    </w:p>
    <w:p w14:paraId="73E1CDE0" w14:textId="3471479D"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Prusty</w:t>
      </w:r>
      <w:proofErr w:type="spellEnd"/>
      <w:r w:rsidRPr="00F16A08">
        <w:rPr>
          <w:rFonts w:ascii="Arial" w:hAnsi="Arial" w:cs="Arial"/>
          <w:color w:val="000000" w:themeColor="text1"/>
          <w:sz w:val="20"/>
          <w:szCs w:val="20"/>
          <w:lang w:eastAsia="en-IN"/>
        </w:rPr>
        <w:t xml:space="preserve"> RK, Unisa S. Reproductive health awareness among adolescents in India. BMC Public Health. </w:t>
      </w:r>
      <w:proofErr w:type="gramStart"/>
      <w:r w:rsidRPr="00F16A08">
        <w:rPr>
          <w:rFonts w:ascii="Arial" w:hAnsi="Arial" w:cs="Arial"/>
          <w:color w:val="000000" w:themeColor="text1"/>
          <w:sz w:val="20"/>
          <w:szCs w:val="20"/>
          <w:lang w:eastAsia="en-IN"/>
        </w:rPr>
        <w:t>2019;19:1030</w:t>
      </w:r>
      <w:proofErr w:type="gramEnd"/>
      <w:r w:rsidRPr="00F16A08">
        <w:rPr>
          <w:rFonts w:ascii="Arial" w:hAnsi="Arial" w:cs="Arial"/>
          <w:color w:val="000000" w:themeColor="text1"/>
          <w:sz w:val="20"/>
          <w:szCs w:val="20"/>
          <w:lang w:eastAsia="en-IN"/>
        </w:rPr>
        <w:t>. doi:10.1186/s12889-019-7263-4</w:t>
      </w:r>
    </w:p>
    <w:p w14:paraId="38A3FE97" w14:textId="5C3E1B3A"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Fentahun</w:t>
      </w:r>
      <w:proofErr w:type="spellEnd"/>
      <w:r w:rsidRPr="00F16A08">
        <w:rPr>
          <w:rFonts w:ascii="Arial" w:hAnsi="Arial" w:cs="Arial"/>
          <w:color w:val="000000" w:themeColor="text1"/>
          <w:sz w:val="20"/>
          <w:szCs w:val="20"/>
          <w:lang w:eastAsia="en-IN"/>
        </w:rPr>
        <w:t xml:space="preserve"> N, Mamo A, Assefa T. Knowledge, attitude, and practice toward STIs among university students in Ethiopia. </w:t>
      </w:r>
      <w:r w:rsidR="004E6A1B" w:rsidRPr="00F16A08">
        <w:rPr>
          <w:color w:val="000000" w:themeColor="text1"/>
        </w:rPr>
        <w:t>Pan African Medical Journal</w:t>
      </w:r>
      <w:r w:rsidRPr="00F16A08">
        <w:rPr>
          <w:rFonts w:ascii="Arial" w:hAnsi="Arial" w:cs="Arial"/>
          <w:color w:val="000000" w:themeColor="text1"/>
          <w:sz w:val="20"/>
          <w:szCs w:val="20"/>
          <w:lang w:eastAsia="en-IN"/>
        </w:rPr>
        <w:t xml:space="preserve">. </w:t>
      </w:r>
      <w:proofErr w:type="gramStart"/>
      <w:r w:rsidRPr="00F16A08">
        <w:rPr>
          <w:rFonts w:ascii="Arial" w:hAnsi="Arial" w:cs="Arial"/>
          <w:color w:val="000000" w:themeColor="text1"/>
          <w:sz w:val="20"/>
          <w:szCs w:val="20"/>
          <w:lang w:eastAsia="en-IN"/>
        </w:rPr>
        <w:t>2019;33:180</w:t>
      </w:r>
      <w:proofErr w:type="gramEnd"/>
      <w:r w:rsidRPr="00F16A08">
        <w:rPr>
          <w:rFonts w:ascii="Arial" w:hAnsi="Arial" w:cs="Arial"/>
          <w:color w:val="000000" w:themeColor="text1"/>
          <w:sz w:val="20"/>
          <w:szCs w:val="20"/>
          <w:lang w:eastAsia="en-IN"/>
        </w:rPr>
        <w:t>.</w:t>
      </w:r>
      <w:r w:rsidR="004E6A1B" w:rsidRPr="00F16A08">
        <w:rPr>
          <w:rFonts w:ascii="Arial" w:hAnsi="Arial" w:cs="Arial"/>
          <w:color w:val="000000" w:themeColor="text1"/>
          <w:sz w:val="20"/>
          <w:szCs w:val="20"/>
          <w:lang w:eastAsia="en-IN"/>
        </w:rPr>
        <w:t xml:space="preserve"> </w:t>
      </w:r>
      <w:r w:rsidRPr="00F16A08">
        <w:rPr>
          <w:rFonts w:ascii="Arial" w:hAnsi="Arial" w:cs="Arial"/>
          <w:color w:val="000000" w:themeColor="text1"/>
          <w:sz w:val="20"/>
          <w:szCs w:val="20"/>
          <w:lang w:eastAsia="en-IN"/>
        </w:rPr>
        <w:t>doi:10.11604/pamj.2019.33.180.16770</w:t>
      </w:r>
    </w:p>
    <w:p w14:paraId="066AB635" w14:textId="0A219B06"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Amu EO, </w:t>
      </w:r>
      <w:proofErr w:type="spellStart"/>
      <w:r w:rsidRPr="00F16A08">
        <w:rPr>
          <w:rFonts w:ascii="Arial" w:hAnsi="Arial" w:cs="Arial"/>
          <w:color w:val="000000" w:themeColor="text1"/>
          <w:sz w:val="20"/>
          <w:szCs w:val="20"/>
          <w:lang w:eastAsia="en-IN"/>
        </w:rPr>
        <w:t>Adegun</w:t>
      </w:r>
      <w:proofErr w:type="spellEnd"/>
      <w:r w:rsidRPr="00F16A08">
        <w:rPr>
          <w:rFonts w:ascii="Arial" w:hAnsi="Arial" w:cs="Arial"/>
          <w:color w:val="000000" w:themeColor="text1"/>
          <w:sz w:val="20"/>
          <w:szCs w:val="20"/>
          <w:lang w:eastAsia="en-IN"/>
        </w:rPr>
        <w:t xml:space="preserve"> PT. Awareness of STIs and sexual behavior among Nigerian students. </w:t>
      </w:r>
      <w:r w:rsidR="004E6A1B" w:rsidRPr="00F16A08">
        <w:rPr>
          <w:rFonts w:ascii="Arial" w:hAnsi="Arial" w:cs="Arial"/>
          <w:color w:val="000000" w:themeColor="text1"/>
          <w:sz w:val="20"/>
          <w:szCs w:val="20"/>
          <w:lang w:eastAsia="en-IN"/>
        </w:rPr>
        <w:t>Journal of Public Health and Epidemiology</w:t>
      </w:r>
      <w:r w:rsidRPr="00F16A08">
        <w:rPr>
          <w:rFonts w:ascii="Arial" w:hAnsi="Arial" w:cs="Arial"/>
          <w:color w:val="000000" w:themeColor="text1"/>
          <w:sz w:val="20"/>
          <w:szCs w:val="20"/>
          <w:lang w:eastAsia="en-IN"/>
        </w:rPr>
        <w:t>. 2015;7(9):262–269. doi:10.5897/JPHE2015.0739</w:t>
      </w:r>
    </w:p>
    <w:p w14:paraId="46DCD071" w14:textId="7592B5D7"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Centers for Disease Control and Prevention (CDC). Sexually Transmitted Disease Surveillance, 2023. Atlanta: CDC; 2024.</w:t>
      </w:r>
    </w:p>
    <w:p w14:paraId="203559F1" w14:textId="7FB1396E"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Boonmongkon</w:t>
      </w:r>
      <w:proofErr w:type="spellEnd"/>
      <w:r w:rsidRPr="00F16A08">
        <w:rPr>
          <w:rFonts w:ascii="Arial" w:hAnsi="Arial" w:cs="Arial"/>
          <w:color w:val="000000" w:themeColor="text1"/>
          <w:sz w:val="20"/>
          <w:szCs w:val="20"/>
          <w:lang w:eastAsia="en-IN"/>
        </w:rPr>
        <w:t xml:space="preserve"> P, </w:t>
      </w:r>
      <w:proofErr w:type="spellStart"/>
      <w:r w:rsidRPr="00F16A08">
        <w:rPr>
          <w:rFonts w:ascii="Arial" w:hAnsi="Arial" w:cs="Arial"/>
          <w:color w:val="000000" w:themeColor="text1"/>
          <w:sz w:val="20"/>
          <w:szCs w:val="20"/>
          <w:lang w:eastAsia="en-IN"/>
        </w:rPr>
        <w:t>Ojanen</w:t>
      </w:r>
      <w:proofErr w:type="spellEnd"/>
      <w:r w:rsidRPr="00F16A08">
        <w:rPr>
          <w:rFonts w:ascii="Arial" w:hAnsi="Arial" w:cs="Arial"/>
          <w:color w:val="000000" w:themeColor="text1"/>
          <w:sz w:val="20"/>
          <w:szCs w:val="20"/>
          <w:lang w:eastAsia="en-IN"/>
        </w:rPr>
        <w:t xml:space="preserve"> TT, </w:t>
      </w:r>
      <w:proofErr w:type="spellStart"/>
      <w:r w:rsidRPr="00F16A08">
        <w:rPr>
          <w:rFonts w:ascii="Arial" w:hAnsi="Arial" w:cs="Arial"/>
          <w:color w:val="000000" w:themeColor="text1"/>
          <w:sz w:val="20"/>
          <w:szCs w:val="20"/>
          <w:lang w:eastAsia="en-IN"/>
        </w:rPr>
        <w:t>Samakkeekarom</w:t>
      </w:r>
      <w:proofErr w:type="spellEnd"/>
      <w:r w:rsidRPr="00F16A08">
        <w:rPr>
          <w:rFonts w:ascii="Arial" w:hAnsi="Arial" w:cs="Arial"/>
          <w:color w:val="000000" w:themeColor="text1"/>
          <w:sz w:val="20"/>
          <w:szCs w:val="20"/>
          <w:lang w:eastAsia="en-IN"/>
        </w:rPr>
        <w:t xml:space="preserve"> R. Cultural influences on sexual behavior of university youth in Thailand. </w:t>
      </w:r>
      <w:r w:rsidR="004E6A1B" w:rsidRPr="00F16A08">
        <w:rPr>
          <w:color w:val="000000" w:themeColor="text1"/>
        </w:rPr>
        <w:t>Sexual Health</w:t>
      </w:r>
      <w:r w:rsidRPr="00F16A08">
        <w:rPr>
          <w:rFonts w:ascii="Arial" w:hAnsi="Arial" w:cs="Arial"/>
          <w:color w:val="000000" w:themeColor="text1"/>
          <w:sz w:val="20"/>
          <w:szCs w:val="20"/>
          <w:lang w:eastAsia="en-IN"/>
        </w:rPr>
        <w:t>. 2019;16(5):432–440. doi:10.1071/SH18197</w:t>
      </w:r>
    </w:p>
    <w:p w14:paraId="39C832B1" w14:textId="4E7E9C42"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Rabinowitz J, Chen C, Choi K. Digital media influence on STI knowledge among youth. J</w:t>
      </w:r>
      <w:r w:rsidR="004E6A1B" w:rsidRPr="00F16A08">
        <w:rPr>
          <w:rFonts w:ascii="Arial" w:hAnsi="Arial" w:cs="Arial"/>
          <w:color w:val="000000" w:themeColor="text1"/>
          <w:sz w:val="20"/>
          <w:szCs w:val="20"/>
          <w:lang w:eastAsia="en-IN"/>
        </w:rPr>
        <w:t xml:space="preserve">ournal </w:t>
      </w:r>
      <w:proofErr w:type="gramStart"/>
      <w:r w:rsidR="004E6A1B" w:rsidRPr="00F16A08">
        <w:rPr>
          <w:rFonts w:ascii="Arial" w:hAnsi="Arial" w:cs="Arial"/>
          <w:color w:val="000000" w:themeColor="text1"/>
          <w:sz w:val="20"/>
          <w:szCs w:val="20"/>
          <w:lang w:eastAsia="en-IN"/>
        </w:rPr>
        <w:t xml:space="preserve">of </w:t>
      </w:r>
      <w:r w:rsidRPr="00F16A08">
        <w:rPr>
          <w:rFonts w:ascii="Arial" w:hAnsi="Arial" w:cs="Arial"/>
          <w:color w:val="000000" w:themeColor="text1"/>
          <w:sz w:val="20"/>
          <w:szCs w:val="20"/>
          <w:lang w:eastAsia="en-IN"/>
        </w:rPr>
        <w:t xml:space="preserve"> Adolesc</w:t>
      </w:r>
      <w:r w:rsidR="004E6A1B" w:rsidRPr="00F16A08">
        <w:rPr>
          <w:rFonts w:ascii="Arial" w:hAnsi="Arial" w:cs="Arial"/>
          <w:color w:val="000000" w:themeColor="text1"/>
          <w:sz w:val="20"/>
          <w:szCs w:val="20"/>
          <w:lang w:eastAsia="en-IN"/>
        </w:rPr>
        <w:t>ent</w:t>
      </w:r>
      <w:proofErr w:type="gramEnd"/>
      <w:r w:rsidRPr="00F16A08">
        <w:rPr>
          <w:rFonts w:ascii="Arial" w:hAnsi="Arial" w:cs="Arial"/>
          <w:color w:val="000000" w:themeColor="text1"/>
          <w:sz w:val="20"/>
          <w:szCs w:val="20"/>
          <w:lang w:eastAsia="en-IN"/>
        </w:rPr>
        <w:t xml:space="preserve"> Health. 2020;66(2</w:t>
      </w:r>
      <w:proofErr w:type="gramStart"/>
      <w:r w:rsidRPr="00F16A08">
        <w:rPr>
          <w:rFonts w:ascii="Arial" w:hAnsi="Arial" w:cs="Arial"/>
          <w:color w:val="000000" w:themeColor="text1"/>
          <w:sz w:val="20"/>
          <w:szCs w:val="20"/>
          <w:lang w:eastAsia="en-IN"/>
        </w:rPr>
        <w:t>):S</w:t>
      </w:r>
      <w:proofErr w:type="gramEnd"/>
      <w:r w:rsidRPr="00F16A08">
        <w:rPr>
          <w:rFonts w:ascii="Arial" w:hAnsi="Arial" w:cs="Arial"/>
          <w:color w:val="000000" w:themeColor="text1"/>
          <w:sz w:val="20"/>
          <w:szCs w:val="20"/>
          <w:lang w:eastAsia="en-IN"/>
        </w:rPr>
        <w:t xml:space="preserve">45–S52. </w:t>
      </w:r>
      <w:proofErr w:type="gramStart"/>
      <w:r w:rsidRPr="00F16A08">
        <w:rPr>
          <w:rFonts w:ascii="Arial" w:hAnsi="Arial" w:cs="Arial"/>
          <w:color w:val="000000" w:themeColor="text1"/>
          <w:sz w:val="20"/>
          <w:szCs w:val="20"/>
          <w:lang w:eastAsia="en-IN"/>
        </w:rPr>
        <w:t>doi:10.1016/j.jadohealth</w:t>
      </w:r>
      <w:proofErr w:type="gramEnd"/>
      <w:r w:rsidRPr="00F16A08">
        <w:rPr>
          <w:rFonts w:ascii="Arial" w:hAnsi="Arial" w:cs="Arial"/>
          <w:color w:val="000000" w:themeColor="text1"/>
          <w:sz w:val="20"/>
          <w:szCs w:val="20"/>
          <w:lang w:eastAsia="en-IN"/>
        </w:rPr>
        <w:t>.2019.11.297</w:t>
      </w:r>
    </w:p>
    <w:p w14:paraId="504D765C" w14:textId="0DDA900B"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Muyonga</w:t>
      </w:r>
      <w:proofErr w:type="spellEnd"/>
      <w:r w:rsidRPr="00F16A08">
        <w:rPr>
          <w:rFonts w:ascii="Arial" w:hAnsi="Arial" w:cs="Arial"/>
          <w:color w:val="000000" w:themeColor="text1"/>
          <w:sz w:val="20"/>
          <w:szCs w:val="20"/>
          <w:lang w:eastAsia="en-IN"/>
        </w:rPr>
        <w:t xml:space="preserve"> M, </w:t>
      </w:r>
      <w:proofErr w:type="spellStart"/>
      <w:r w:rsidRPr="00F16A08">
        <w:rPr>
          <w:rFonts w:ascii="Arial" w:hAnsi="Arial" w:cs="Arial"/>
          <w:color w:val="000000" w:themeColor="text1"/>
          <w:sz w:val="20"/>
          <w:szCs w:val="20"/>
          <w:lang w:eastAsia="en-IN"/>
        </w:rPr>
        <w:t>Iwuji</w:t>
      </w:r>
      <w:proofErr w:type="spellEnd"/>
      <w:r w:rsidRPr="00F16A08">
        <w:rPr>
          <w:rFonts w:ascii="Arial" w:hAnsi="Arial" w:cs="Arial"/>
          <w:color w:val="000000" w:themeColor="text1"/>
          <w:sz w:val="20"/>
          <w:szCs w:val="20"/>
          <w:lang w:eastAsia="en-IN"/>
        </w:rPr>
        <w:t xml:space="preserve"> C. Perceived risk and sexual behaviour among university students. </w:t>
      </w:r>
      <w:r w:rsidR="004E6A1B" w:rsidRPr="00F16A08">
        <w:rPr>
          <w:rFonts w:ascii="Arial" w:hAnsi="Arial" w:cs="Arial"/>
          <w:color w:val="000000" w:themeColor="text1"/>
          <w:sz w:val="20"/>
          <w:szCs w:val="20"/>
          <w:lang w:eastAsia="en-IN"/>
        </w:rPr>
        <w:t>African Health Sciences</w:t>
      </w:r>
      <w:r w:rsidRPr="00F16A08">
        <w:rPr>
          <w:rFonts w:ascii="Arial" w:hAnsi="Arial" w:cs="Arial"/>
          <w:color w:val="000000" w:themeColor="text1"/>
          <w:sz w:val="20"/>
          <w:szCs w:val="20"/>
          <w:lang w:eastAsia="en-IN"/>
        </w:rPr>
        <w:t>. 2018;18(4):1049–1057. doi:10.4314/</w:t>
      </w:r>
      <w:proofErr w:type="spellStart"/>
      <w:proofErr w:type="gramStart"/>
      <w:r w:rsidRPr="00F16A08">
        <w:rPr>
          <w:rFonts w:ascii="Arial" w:hAnsi="Arial" w:cs="Arial"/>
          <w:color w:val="000000" w:themeColor="text1"/>
          <w:sz w:val="20"/>
          <w:szCs w:val="20"/>
          <w:lang w:eastAsia="en-IN"/>
        </w:rPr>
        <w:t>ahs</w:t>
      </w:r>
      <w:proofErr w:type="spellEnd"/>
      <w:r w:rsidRPr="00F16A08">
        <w:rPr>
          <w:rFonts w:ascii="Arial" w:hAnsi="Arial" w:cs="Arial"/>
          <w:color w:val="000000" w:themeColor="text1"/>
          <w:sz w:val="20"/>
          <w:szCs w:val="20"/>
          <w:lang w:eastAsia="en-IN"/>
        </w:rPr>
        <w:t>.v</w:t>
      </w:r>
      <w:proofErr w:type="gramEnd"/>
      <w:r w:rsidRPr="00F16A08">
        <w:rPr>
          <w:rFonts w:ascii="Arial" w:hAnsi="Arial" w:cs="Arial"/>
          <w:color w:val="000000" w:themeColor="text1"/>
          <w:sz w:val="20"/>
          <w:szCs w:val="20"/>
          <w:lang w:eastAsia="en-IN"/>
        </w:rPr>
        <w:t>18i4.41</w:t>
      </w:r>
    </w:p>
    <w:p w14:paraId="46C27AE4" w14:textId="53113EB2"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Ajayi AI, Ismail KO. Condom use and STI preventive practices among African students. BMC Res</w:t>
      </w:r>
      <w:r w:rsidR="004E6A1B" w:rsidRPr="00F16A08">
        <w:rPr>
          <w:rFonts w:ascii="Arial" w:hAnsi="Arial" w:cs="Arial"/>
          <w:color w:val="000000" w:themeColor="text1"/>
          <w:sz w:val="20"/>
          <w:szCs w:val="20"/>
          <w:lang w:eastAsia="en-IN"/>
        </w:rPr>
        <w:t>earch</w:t>
      </w:r>
      <w:r w:rsidRPr="00F16A08">
        <w:rPr>
          <w:rFonts w:ascii="Arial" w:hAnsi="Arial" w:cs="Arial"/>
          <w:color w:val="000000" w:themeColor="text1"/>
          <w:sz w:val="20"/>
          <w:szCs w:val="20"/>
          <w:lang w:eastAsia="en-IN"/>
        </w:rPr>
        <w:t xml:space="preserve"> Notes. </w:t>
      </w:r>
      <w:proofErr w:type="gramStart"/>
      <w:r w:rsidRPr="00F16A08">
        <w:rPr>
          <w:rFonts w:ascii="Arial" w:hAnsi="Arial" w:cs="Arial"/>
          <w:color w:val="000000" w:themeColor="text1"/>
          <w:sz w:val="20"/>
          <w:szCs w:val="20"/>
          <w:lang w:eastAsia="en-IN"/>
        </w:rPr>
        <w:t>2020;13:536</w:t>
      </w:r>
      <w:proofErr w:type="gramEnd"/>
      <w:r w:rsidRPr="00F16A08">
        <w:rPr>
          <w:rFonts w:ascii="Arial" w:hAnsi="Arial" w:cs="Arial"/>
          <w:color w:val="000000" w:themeColor="text1"/>
          <w:sz w:val="20"/>
          <w:szCs w:val="20"/>
          <w:lang w:eastAsia="en-IN"/>
        </w:rPr>
        <w:t>. doi:10.1186/s13104-020-05286-y</w:t>
      </w:r>
    </w:p>
    <w:p w14:paraId="2DF16401" w14:textId="458E3190"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Fajar</w:t>
      </w:r>
      <w:proofErr w:type="spellEnd"/>
      <w:r w:rsidRPr="00F16A08">
        <w:rPr>
          <w:rFonts w:ascii="Arial" w:hAnsi="Arial" w:cs="Arial"/>
          <w:color w:val="000000" w:themeColor="text1"/>
          <w:sz w:val="20"/>
          <w:szCs w:val="20"/>
          <w:lang w:eastAsia="en-IN"/>
        </w:rPr>
        <w:t xml:space="preserve"> NA, </w:t>
      </w:r>
      <w:proofErr w:type="spellStart"/>
      <w:r w:rsidRPr="00F16A08">
        <w:rPr>
          <w:rFonts w:ascii="Arial" w:hAnsi="Arial" w:cs="Arial"/>
          <w:color w:val="000000" w:themeColor="text1"/>
          <w:sz w:val="20"/>
          <w:szCs w:val="20"/>
          <w:lang w:eastAsia="en-IN"/>
        </w:rPr>
        <w:t>Juniarti</w:t>
      </w:r>
      <w:proofErr w:type="spellEnd"/>
      <w:r w:rsidRPr="00F16A08">
        <w:rPr>
          <w:rFonts w:ascii="Arial" w:hAnsi="Arial" w:cs="Arial"/>
          <w:color w:val="000000" w:themeColor="text1"/>
          <w:sz w:val="20"/>
          <w:szCs w:val="20"/>
          <w:lang w:eastAsia="en-IN"/>
        </w:rPr>
        <w:t xml:space="preserve"> N. Attitude toward STIs and stigma among Indonesian adolescents. </w:t>
      </w:r>
      <w:r w:rsidR="004E6A1B" w:rsidRPr="00F16A08">
        <w:rPr>
          <w:rFonts w:ascii="Arial" w:hAnsi="Arial" w:cs="Arial"/>
          <w:color w:val="000000" w:themeColor="text1"/>
          <w:sz w:val="20"/>
          <w:szCs w:val="20"/>
          <w:lang w:eastAsia="en-IN"/>
        </w:rPr>
        <w:t>International Journal of Adolescent Medicine and Health</w:t>
      </w:r>
      <w:r w:rsidRPr="00F16A08">
        <w:rPr>
          <w:rFonts w:ascii="Arial" w:hAnsi="Arial" w:cs="Arial"/>
          <w:color w:val="000000" w:themeColor="text1"/>
          <w:sz w:val="20"/>
          <w:szCs w:val="20"/>
          <w:lang w:eastAsia="en-IN"/>
        </w:rPr>
        <w:t>. 2021;33(5):455–462. doi:10.1515/ijamh-2019-0180</w:t>
      </w:r>
    </w:p>
    <w:p w14:paraId="209658C6" w14:textId="6DC79810"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 xml:space="preserve">Simanjuntak BY, Siregar FA. Knowledge and risk perceptions of STIs among Indonesian university students. </w:t>
      </w:r>
      <w:r w:rsidR="004E6A1B" w:rsidRPr="00F16A08">
        <w:rPr>
          <w:rFonts w:ascii="Arial" w:hAnsi="Arial" w:cs="Arial"/>
          <w:color w:val="000000" w:themeColor="text1"/>
          <w:sz w:val="20"/>
          <w:szCs w:val="20"/>
          <w:lang w:eastAsia="en-IN"/>
        </w:rPr>
        <w:t>Open Access Macedonian Journal of Medical Sciences</w:t>
      </w:r>
      <w:r w:rsidRPr="00F16A08">
        <w:rPr>
          <w:rFonts w:ascii="Arial" w:hAnsi="Arial" w:cs="Arial"/>
          <w:color w:val="000000" w:themeColor="text1"/>
          <w:sz w:val="20"/>
          <w:szCs w:val="20"/>
          <w:lang w:eastAsia="en-IN"/>
        </w:rPr>
        <w:t>. 2020;8(E):447–453. doi:10.3889/oamjms.2020.3770</w:t>
      </w:r>
    </w:p>
    <w:p w14:paraId="42D878AC" w14:textId="755331A0"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Kassa</w:t>
      </w:r>
      <w:proofErr w:type="spellEnd"/>
      <w:r w:rsidRPr="00F16A08">
        <w:rPr>
          <w:rFonts w:ascii="Arial" w:hAnsi="Arial" w:cs="Arial"/>
          <w:color w:val="000000" w:themeColor="text1"/>
          <w:sz w:val="20"/>
          <w:szCs w:val="20"/>
          <w:lang w:eastAsia="en-IN"/>
        </w:rPr>
        <w:t xml:space="preserve"> GM, </w:t>
      </w:r>
      <w:proofErr w:type="spellStart"/>
      <w:r w:rsidRPr="00F16A08">
        <w:rPr>
          <w:rFonts w:ascii="Arial" w:hAnsi="Arial" w:cs="Arial"/>
          <w:color w:val="000000" w:themeColor="text1"/>
          <w:sz w:val="20"/>
          <w:szCs w:val="20"/>
          <w:lang w:eastAsia="en-IN"/>
        </w:rPr>
        <w:t>Arowojolu</w:t>
      </w:r>
      <w:proofErr w:type="spellEnd"/>
      <w:r w:rsidRPr="00F16A08">
        <w:rPr>
          <w:rFonts w:ascii="Arial" w:hAnsi="Arial" w:cs="Arial"/>
          <w:color w:val="000000" w:themeColor="text1"/>
          <w:sz w:val="20"/>
          <w:szCs w:val="20"/>
          <w:lang w:eastAsia="en-IN"/>
        </w:rPr>
        <w:t xml:space="preserve"> AO, </w:t>
      </w:r>
      <w:proofErr w:type="spellStart"/>
      <w:r w:rsidRPr="00F16A08">
        <w:rPr>
          <w:rFonts w:ascii="Arial" w:hAnsi="Arial" w:cs="Arial"/>
          <w:color w:val="000000" w:themeColor="text1"/>
          <w:sz w:val="20"/>
          <w:szCs w:val="20"/>
          <w:lang w:eastAsia="en-IN"/>
        </w:rPr>
        <w:t>Odukogbe</w:t>
      </w:r>
      <w:proofErr w:type="spellEnd"/>
      <w:r w:rsidRPr="00F16A08">
        <w:rPr>
          <w:rFonts w:ascii="Arial" w:hAnsi="Arial" w:cs="Arial"/>
          <w:color w:val="000000" w:themeColor="text1"/>
          <w:sz w:val="20"/>
          <w:szCs w:val="20"/>
          <w:lang w:eastAsia="en-IN"/>
        </w:rPr>
        <w:t xml:space="preserve"> AA. Risk factors and knowledge of STIs among Ethiopian youth. Reproductive Health. </w:t>
      </w:r>
      <w:proofErr w:type="gramStart"/>
      <w:r w:rsidRPr="00F16A08">
        <w:rPr>
          <w:rFonts w:ascii="Arial" w:hAnsi="Arial" w:cs="Arial"/>
          <w:color w:val="000000" w:themeColor="text1"/>
          <w:sz w:val="20"/>
          <w:szCs w:val="20"/>
          <w:lang w:eastAsia="en-IN"/>
        </w:rPr>
        <w:t>2020;17:18</w:t>
      </w:r>
      <w:proofErr w:type="gramEnd"/>
      <w:r w:rsidRPr="00F16A08">
        <w:rPr>
          <w:rFonts w:ascii="Arial" w:hAnsi="Arial" w:cs="Arial"/>
          <w:color w:val="000000" w:themeColor="text1"/>
          <w:sz w:val="20"/>
          <w:szCs w:val="20"/>
          <w:lang w:eastAsia="en-IN"/>
        </w:rPr>
        <w:t>. doi:10.1186/s12978-020-0880-7</w:t>
      </w:r>
    </w:p>
    <w:p w14:paraId="059A4909" w14:textId="2CB6305B"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proofErr w:type="spellStart"/>
      <w:r w:rsidRPr="00F16A08">
        <w:rPr>
          <w:rFonts w:ascii="Arial" w:hAnsi="Arial" w:cs="Arial"/>
          <w:color w:val="000000" w:themeColor="text1"/>
          <w:sz w:val="20"/>
          <w:szCs w:val="20"/>
          <w:lang w:eastAsia="en-IN"/>
        </w:rPr>
        <w:t>Khaleghizadeh</w:t>
      </w:r>
      <w:proofErr w:type="spellEnd"/>
      <w:r w:rsidRPr="00F16A08">
        <w:rPr>
          <w:rFonts w:ascii="Arial" w:hAnsi="Arial" w:cs="Arial"/>
          <w:color w:val="000000" w:themeColor="text1"/>
          <w:sz w:val="20"/>
          <w:szCs w:val="20"/>
          <w:lang w:eastAsia="en-IN"/>
        </w:rPr>
        <w:t xml:space="preserve"> S, </w:t>
      </w:r>
      <w:proofErr w:type="spellStart"/>
      <w:r w:rsidRPr="00F16A08">
        <w:rPr>
          <w:rFonts w:ascii="Arial" w:hAnsi="Arial" w:cs="Arial"/>
          <w:color w:val="000000" w:themeColor="text1"/>
          <w:sz w:val="20"/>
          <w:szCs w:val="20"/>
          <w:lang w:eastAsia="en-IN"/>
        </w:rPr>
        <w:t>Nematollahi</w:t>
      </w:r>
      <w:proofErr w:type="spellEnd"/>
      <w:r w:rsidRPr="00F16A08">
        <w:rPr>
          <w:rFonts w:ascii="Arial" w:hAnsi="Arial" w:cs="Arial"/>
          <w:color w:val="000000" w:themeColor="text1"/>
          <w:sz w:val="20"/>
          <w:szCs w:val="20"/>
          <w:lang w:eastAsia="en-IN"/>
        </w:rPr>
        <w:t xml:space="preserve"> M, </w:t>
      </w:r>
      <w:proofErr w:type="spellStart"/>
      <w:r w:rsidRPr="00F16A08">
        <w:rPr>
          <w:rFonts w:ascii="Arial" w:hAnsi="Arial" w:cs="Arial"/>
          <w:color w:val="000000" w:themeColor="text1"/>
          <w:sz w:val="20"/>
          <w:szCs w:val="20"/>
          <w:lang w:eastAsia="en-IN"/>
        </w:rPr>
        <w:t>Torshizi</w:t>
      </w:r>
      <w:proofErr w:type="spellEnd"/>
      <w:r w:rsidRPr="00F16A08">
        <w:rPr>
          <w:rFonts w:ascii="Arial" w:hAnsi="Arial" w:cs="Arial"/>
          <w:color w:val="000000" w:themeColor="text1"/>
          <w:sz w:val="20"/>
          <w:szCs w:val="20"/>
          <w:lang w:eastAsia="en-IN"/>
        </w:rPr>
        <w:t xml:space="preserve"> L. Attitudes toward premarital sex and STI awareness among Iranian students. BMC Public Health. </w:t>
      </w:r>
      <w:proofErr w:type="gramStart"/>
      <w:r w:rsidRPr="00F16A08">
        <w:rPr>
          <w:rFonts w:ascii="Arial" w:hAnsi="Arial" w:cs="Arial"/>
          <w:color w:val="000000" w:themeColor="text1"/>
          <w:sz w:val="20"/>
          <w:szCs w:val="20"/>
          <w:lang w:eastAsia="en-IN"/>
        </w:rPr>
        <w:t>2021;21:2071</w:t>
      </w:r>
      <w:proofErr w:type="gramEnd"/>
      <w:r w:rsidRPr="00F16A08">
        <w:rPr>
          <w:rFonts w:ascii="Arial" w:hAnsi="Arial" w:cs="Arial"/>
          <w:color w:val="000000" w:themeColor="text1"/>
          <w:sz w:val="20"/>
          <w:szCs w:val="20"/>
          <w:lang w:eastAsia="en-IN"/>
        </w:rPr>
        <w:t>. doi:10.1186/s12889-021-12076-1</w:t>
      </w:r>
    </w:p>
    <w:p w14:paraId="0AF09CFD" w14:textId="13592B02" w:rsidR="00792B35" w:rsidRPr="00F16A08" w:rsidRDefault="00792B35" w:rsidP="00EB412A">
      <w:pPr>
        <w:pStyle w:val="NoSpacing"/>
        <w:numPr>
          <w:ilvl w:val="0"/>
          <w:numId w:val="37"/>
        </w:numPr>
        <w:jc w:val="both"/>
        <w:rPr>
          <w:rFonts w:ascii="Arial" w:hAnsi="Arial" w:cs="Arial"/>
          <w:color w:val="000000" w:themeColor="text1"/>
          <w:sz w:val="20"/>
          <w:szCs w:val="20"/>
          <w:lang w:eastAsia="en-IN"/>
        </w:rPr>
      </w:pPr>
      <w:r w:rsidRPr="00F16A08">
        <w:rPr>
          <w:rFonts w:ascii="Arial" w:hAnsi="Arial" w:cs="Arial"/>
          <w:color w:val="000000" w:themeColor="text1"/>
          <w:sz w:val="20"/>
          <w:szCs w:val="20"/>
          <w:lang w:eastAsia="en-IN"/>
        </w:rPr>
        <w:t>Singh PK, Sinha S. STI awareness and preventive behaviour among young adults in Eastern India. International Journal of Adolescent Medicine and Health. 2021;33(1):20200018. doi:10.1515/ijamh-2020-0018</w:t>
      </w:r>
    </w:p>
    <w:p w14:paraId="40A341AA" w14:textId="2014B323" w:rsidR="000A2FC1" w:rsidRPr="00F16A08" w:rsidRDefault="000A2FC1" w:rsidP="00792B35">
      <w:pPr>
        <w:pStyle w:val="ListParagraph"/>
        <w:spacing w:line="240" w:lineRule="auto"/>
        <w:ind w:left="360"/>
        <w:jc w:val="both"/>
        <w:rPr>
          <w:rFonts w:ascii="Arial" w:hAnsi="Arial" w:cs="Arial"/>
          <w:color w:val="000000" w:themeColor="text1"/>
          <w:sz w:val="20"/>
          <w:szCs w:val="20"/>
        </w:rPr>
      </w:pPr>
    </w:p>
    <w:sectPr w:rsidR="000A2FC1" w:rsidRPr="00F16A08" w:rsidSect="00DE0D8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95F6" w14:textId="77777777" w:rsidR="00830FF7" w:rsidRDefault="00830FF7" w:rsidP="00780932">
      <w:pPr>
        <w:spacing w:after="0" w:line="240" w:lineRule="auto"/>
      </w:pPr>
      <w:r>
        <w:separator/>
      </w:r>
    </w:p>
  </w:endnote>
  <w:endnote w:type="continuationSeparator" w:id="0">
    <w:p w14:paraId="7665F9A1" w14:textId="77777777" w:rsidR="00830FF7" w:rsidRDefault="00830FF7" w:rsidP="0078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BD9C" w14:textId="77777777" w:rsidR="00780932" w:rsidRDefault="0078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DEC5" w14:textId="77777777" w:rsidR="00780932" w:rsidRDefault="0078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AD44" w14:textId="77777777" w:rsidR="00780932" w:rsidRDefault="0078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E9A3F" w14:textId="77777777" w:rsidR="00830FF7" w:rsidRDefault="00830FF7" w:rsidP="00780932">
      <w:pPr>
        <w:spacing w:after="0" w:line="240" w:lineRule="auto"/>
      </w:pPr>
      <w:r>
        <w:separator/>
      </w:r>
    </w:p>
  </w:footnote>
  <w:footnote w:type="continuationSeparator" w:id="0">
    <w:p w14:paraId="430BC09B" w14:textId="77777777" w:rsidR="00830FF7" w:rsidRDefault="00830FF7" w:rsidP="0078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050D" w14:textId="49C93B56" w:rsidR="00780932" w:rsidRDefault="00780932">
    <w:pPr>
      <w:pStyle w:val="Header"/>
    </w:pPr>
    <w:r>
      <w:rPr>
        <w:noProof/>
      </w:rPr>
      <w:pict w14:anchorId="6C245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7"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A5EE" w14:textId="6C271C47" w:rsidR="00780932" w:rsidRDefault="00780932">
    <w:pPr>
      <w:pStyle w:val="Header"/>
    </w:pPr>
    <w:r>
      <w:rPr>
        <w:noProof/>
      </w:rPr>
      <w:pict w14:anchorId="62E45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8"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D2D5" w14:textId="5ABB8C8C" w:rsidR="00780932" w:rsidRDefault="00780932">
    <w:pPr>
      <w:pStyle w:val="Header"/>
    </w:pPr>
    <w:r>
      <w:rPr>
        <w:noProof/>
      </w:rPr>
      <w:pict w14:anchorId="0ADCF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6"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072"/>
    <w:multiLevelType w:val="hybridMultilevel"/>
    <w:tmpl w:val="D9C629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01FAC"/>
    <w:multiLevelType w:val="hybridMultilevel"/>
    <w:tmpl w:val="6A4A12C0"/>
    <w:lvl w:ilvl="0" w:tplc="C980B87E">
      <w:start w:val="1"/>
      <w:numFmt w:val="lowerLetter"/>
      <w:lvlText w:val="%1."/>
      <w:lvlJc w:val="left"/>
      <w:pPr>
        <w:ind w:left="397" w:hanging="360"/>
      </w:pPr>
      <w:rPr>
        <w:rFonts w:hint="default"/>
      </w:rPr>
    </w:lvl>
    <w:lvl w:ilvl="1" w:tplc="40090019" w:tentative="1">
      <w:start w:val="1"/>
      <w:numFmt w:val="lowerLetter"/>
      <w:lvlText w:val="%2."/>
      <w:lvlJc w:val="left"/>
      <w:pPr>
        <w:ind w:left="1117" w:hanging="360"/>
      </w:pPr>
    </w:lvl>
    <w:lvl w:ilvl="2" w:tplc="4009001B" w:tentative="1">
      <w:start w:val="1"/>
      <w:numFmt w:val="lowerRoman"/>
      <w:lvlText w:val="%3."/>
      <w:lvlJc w:val="right"/>
      <w:pPr>
        <w:ind w:left="1837" w:hanging="180"/>
      </w:pPr>
    </w:lvl>
    <w:lvl w:ilvl="3" w:tplc="4009000F" w:tentative="1">
      <w:start w:val="1"/>
      <w:numFmt w:val="decimal"/>
      <w:lvlText w:val="%4."/>
      <w:lvlJc w:val="left"/>
      <w:pPr>
        <w:ind w:left="2557" w:hanging="360"/>
      </w:pPr>
    </w:lvl>
    <w:lvl w:ilvl="4" w:tplc="40090019" w:tentative="1">
      <w:start w:val="1"/>
      <w:numFmt w:val="lowerLetter"/>
      <w:lvlText w:val="%5."/>
      <w:lvlJc w:val="left"/>
      <w:pPr>
        <w:ind w:left="3277" w:hanging="360"/>
      </w:pPr>
    </w:lvl>
    <w:lvl w:ilvl="5" w:tplc="4009001B" w:tentative="1">
      <w:start w:val="1"/>
      <w:numFmt w:val="lowerRoman"/>
      <w:lvlText w:val="%6."/>
      <w:lvlJc w:val="right"/>
      <w:pPr>
        <w:ind w:left="3997" w:hanging="180"/>
      </w:pPr>
    </w:lvl>
    <w:lvl w:ilvl="6" w:tplc="4009000F" w:tentative="1">
      <w:start w:val="1"/>
      <w:numFmt w:val="decimal"/>
      <w:lvlText w:val="%7."/>
      <w:lvlJc w:val="left"/>
      <w:pPr>
        <w:ind w:left="4717" w:hanging="360"/>
      </w:pPr>
    </w:lvl>
    <w:lvl w:ilvl="7" w:tplc="40090019" w:tentative="1">
      <w:start w:val="1"/>
      <w:numFmt w:val="lowerLetter"/>
      <w:lvlText w:val="%8."/>
      <w:lvlJc w:val="left"/>
      <w:pPr>
        <w:ind w:left="5437" w:hanging="360"/>
      </w:pPr>
    </w:lvl>
    <w:lvl w:ilvl="8" w:tplc="4009001B" w:tentative="1">
      <w:start w:val="1"/>
      <w:numFmt w:val="lowerRoman"/>
      <w:lvlText w:val="%9."/>
      <w:lvlJc w:val="right"/>
      <w:pPr>
        <w:ind w:left="6157" w:hanging="180"/>
      </w:pPr>
    </w:lvl>
  </w:abstractNum>
  <w:abstractNum w:abstractNumId="2" w15:restartNumberingAfterBreak="0">
    <w:nsid w:val="03102146"/>
    <w:multiLevelType w:val="hybridMultilevel"/>
    <w:tmpl w:val="D0FE25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261DB8"/>
    <w:multiLevelType w:val="hybridMultilevel"/>
    <w:tmpl w:val="81BA2582"/>
    <w:lvl w:ilvl="0" w:tplc="5846EDA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524B7C"/>
    <w:multiLevelType w:val="hybridMultilevel"/>
    <w:tmpl w:val="295043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4F3C70"/>
    <w:multiLevelType w:val="hybridMultilevel"/>
    <w:tmpl w:val="E796F8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DF5191"/>
    <w:multiLevelType w:val="hybridMultilevel"/>
    <w:tmpl w:val="91D28C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F61612"/>
    <w:multiLevelType w:val="hybridMultilevel"/>
    <w:tmpl w:val="422E3FD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FB3B98"/>
    <w:multiLevelType w:val="hybridMultilevel"/>
    <w:tmpl w:val="0032C8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E6106A"/>
    <w:multiLevelType w:val="hybridMultilevel"/>
    <w:tmpl w:val="379A72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B23AEC"/>
    <w:multiLevelType w:val="hybridMultilevel"/>
    <w:tmpl w:val="3F3AFAC2"/>
    <w:lvl w:ilvl="0" w:tplc="297E1CCC">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6D240F"/>
    <w:multiLevelType w:val="hybridMultilevel"/>
    <w:tmpl w:val="C0C262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5E40DB"/>
    <w:multiLevelType w:val="hybridMultilevel"/>
    <w:tmpl w:val="B588C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E17708"/>
    <w:multiLevelType w:val="hybridMultilevel"/>
    <w:tmpl w:val="072214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7B0F1D"/>
    <w:multiLevelType w:val="hybridMultilevel"/>
    <w:tmpl w:val="9CCE1E96"/>
    <w:lvl w:ilvl="0" w:tplc="9DE4C3A2">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B25445"/>
    <w:multiLevelType w:val="hybridMultilevel"/>
    <w:tmpl w:val="A0183C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427CEA"/>
    <w:multiLevelType w:val="hybridMultilevel"/>
    <w:tmpl w:val="C83A14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4072360"/>
    <w:multiLevelType w:val="hybridMultilevel"/>
    <w:tmpl w:val="E818A7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416EE3"/>
    <w:multiLevelType w:val="hybridMultilevel"/>
    <w:tmpl w:val="B232D0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49876BE"/>
    <w:multiLevelType w:val="hybridMultilevel"/>
    <w:tmpl w:val="FBFA59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5EF4A7D"/>
    <w:multiLevelType w:val="hybridMultilevel"/>
    <w:tmpl w:val="9C7CD8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DBC185D"/>
    <w:multiLevelType w:val="hybridMultilevel"/>
    <w:tmpl w:val="A986FE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1932E6"/>
    <w:multiLevelType w:val="hybridMultilevel"/>
    <w:tmpl w:val="9F12E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6B1821"/>
    <w:multiLevelType w:val="hybridMultilevel"/>
    <w:tmpl w:val="9A4830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9F2F42"/>
    <w:multiLevelType w:val="hybridMultilevel"/>
    <w:tmpl w:val="1234CE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6D2E57"/>
    <w:multiLevelType w:val="hybridMultilevel"/>
    <w:tmpl w:val="CADA84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C60825"/>
    <w:multiLevelType w:val="hybridMultilevel"/>
    <w:tmpl w:val="42FE95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57E03BC"/>
    <w:multiLevelType w:val="hybridMultilevel"/>
    <w:tmpl w:val="A16419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6E3A2E"/>
    <w:multiLevelType w:val="hybridMultilevel"/>
    <w:tmpl w:val="78FE08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CE5AA7"/>
    <w:multiLevelType w:val="hybridMultilevel"/>
    <w:tmpl w:val="240EAE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31567A1"/>
    <w:multiLevelType w:val="hybridMultilevel"/>
    <w:tmpl w:val="BE00BE7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2E80C60"/>
    <w:multiLevelType w:val="hybridMultilevel"/>
    <w:tmpl w:val="BDA602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3746E4B"/>
    <w:multiLevelType w:val="hybridMultilevel"/>
    <w:tmpl w:val="E51040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3D0E45"/>
    <w:multiLevelType w:val="hybridMultilevel"/>
    <w:tmpl w:val="4DCE36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5A80EBF"/>
    <w:multiLevelType w:val="hybridMultilevel"/>
    <w:tmpl w:val="29C255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726436C"/>
    <w:multiLevelType w:val="hybridMultilevel"/>
    <w:tmpl w:val="CBFAC0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CEA7740"/>
    <w:multiLevelType w:val="hybridMultilevel"/>
    <w:tmpl w:val="0F7A3D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2"/>
  </w:num>
  <w:num w:numId="3">
    <w:abstractNumId w:val="24"/>
  </w:num>
  <w:num w:numId="4">
    <w:abstractNumId w:val="11"/>
  </w:num>
  <w:num w:numId="5">
    <w:abstractNumId w:val="5"/>
  </w:num>
  <w:num w:numId="6">
    <w:abstractNumId w:val="8"/>
  </w:num>
  <w:num w:numId="7">
    <w:abstractNumId w:val="3"/>
  </w:num>
  <w:num w:numId="8">
    <w:abstractNumId w:val="28"/>
  </w:num>
  <w:num w:numId="9">
    <w:abstractNumId w:val="1"/>
  </w:num>
  <w:num w:numId="10">
    <w:abstractNumId w:val="29"/>
  </w:num>
  <w:num w:numId="11">
    <w:abstractNumId w:val="36"/>
  </w:num>
  <w:num w:numId="12">
    <w:abstractNumId w:val="23"/>
  </w:num>
  <w:num w:numId="13">
    <w:abstractNumId w:val="33"/>
  </w:num>
  <w:num w:numId="14">
    <w:abstractNumId w:val="21"/>
  </w:num>
  <w:num w:numId="15">
    <w:abstractNumId w:val="13"/>
  </w:num>
  <w:num w:numId="16">
    <w:abstractNumId w:val="22"/>
  </w:num>
  <w:num w:numId="17">
    <w:abstractNumId w:val="4"/>
  </w:num>
  <w:num w:numId="18">
    <w:abstractNumId w:val="17"/>
  </w:num>
  <w:num w:numId="19">
    <w:abstractNumId w:val="14"/>
  </w:num>
  <w:num w:numId="20">
    <w:abstractNumId w:val="35"/>
  </w:num>
  <w:num w:numId="21">
    <w:abstractNumId w:val="15"/>
  </w:num>
  <w:num w:numId="22">
    <w:abstractNumId w:val="25"/>
  </w:num>
  <w:num w:numId="23">
    <w:abstractNumId w:val="16"/>
  </w:num>
  <w:num w:numId="24">
    <w:abstractNumId w:val="27"/>
  </w:num>
  <w:num w:numId="25">
    <w:abstractNumId w:val="7"/>
  </w:num>
  <w:num w:numId="26">
    <w:abstractNumId w:val="30"/>
  </w:num>
  <w:num w:numId="27">
    <w:abstractNumId w:val="0"/>
  </w:num>
  <w:num w:numId="28">
    <w:abstractNumId w:val="10"/>
  </w:num>
  <w:num w:numId="29">
    <w:abstractNumId w:val="6"/>
  </w:num>
  <w:num w:numId="30">
    <w:abstractNumId w:val="32"/>
  </w:num>
  <w:num w:numId="31">
    <w:abstractNumId w:val="18"/>
  </w:num>
  <w:num w:numId="32">
    <w:abstractNumId w:val="19"/>
  </w:num>
  <w:num w:numId="33">
    <w:abstractNumId w:val="9"/>
  </w:num>
  <w:num w:numId="34">
    <w:abstractNumId w:val="31"/>
  </w:num>
  <w:num w:numId="35">
    <w:abstractNumId w:val="26"/>
  </w:num>
  <w:num w:numId="36">
    <w:abstractNumId w:val="34"/>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5D"/>
    <w:rsid w:val="000049AB"/>
    <w:rsid w:val="000256D4"/>
    <w:rsid w:val="000A2FC1"/>
    <w:rsid w:val="000A3A79"/>
    <w:rsid w:val="001404FA"/>
    <w:rsid w:val="001E715D"/>
    <w:rsid w:val="00331BFC"/>
    <w:rsid w:val="00400549"/>
    <w:rsid w:val="00403E5D"/>
    <w:rsid w:val="004700DB"/>
    <w:rsid w:val="00482D4A"/>
    <w:rsid w:val="004A0315"/>
    <w:rsid w:val="004E0B9E"/>
    <w:rsid w:val="004E6A1B"/>
    <w:rsid w:val="00503A5D"/>
    <w:rsid w:val="00507574"/>
    <w:rsid w:val="006A338F"/>
    <w:rsid w:val="006D4A49"/>
    <w:rsid w:val="00780932"/>
    <w:rsid w:val="00792B35"/>
    <w:rsid w:val="007C0728"/>
    <w:rsid w:val="00830FF7"/>
    <w:rsid w:val="00841435"/>
    <w:rsid w:val="008F6B52"/>
    <w:rsid w:val="008F6E87"/>
    <w:rsid w:val="009660F4"/>
    <w:rsid w:val="00A05616"/>
    <w:rsid w:val="00A87550"/>
    <w:rsid w:val="00AB6D4D"/>
    <w:rsid w:val="00B61D91"/>
    <w:rsid w:val="00C1450A"/>
    <w:rsid w:val="00C2695D"/>
    <w:rsid w:val="00D5090D"/>
    <w:rsid w:val="00DE0D81"/>
    <w:rsid w:val="00DE61A6"/>
    <w:rsid w:val="00E33122"/>
    <w:rsid w:val="00E77530"/>
    <w:rsid w:val="00E93DB9"/>
    <w:rsid w:val="00EB412A"/>
    <w:rsid w:val="00EC4D91"/>
    <w:rsid w:val="00F16A08"/>
    <w:rsid w:val="00F34422"/>
    <w:rsid w:val="00F51741"/>
    <w:rsid w:val="00FD0F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97C7B"/>
  <w15:chartTrackingRefBased/>
  <w15:docId w15:val="{6DFB16D9-0118-4E2E-BBDD-172819FB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3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A5D"/>
    <w:rPr>
      <w:rFonts w:eastAsiaTheme="majorEastAsia" w:cstheme="majorBidi"/>
      <w:color w:val="272727" w:themeColor="text1" w:themeTint="D8"/>
    </w:rPr>
  </w:style>
  <w:style w:type="paragraph" w:styleId="Title">
    <w:name w:val="Title"/>
    <w:basedOn w:val="Normal"/>
    <w:next w:val="Normal"/>
    <w:link w:val="TitleChar"/>
    <w:uiPriority w:val="10"/>
    <w:qFormat/>
    <w:rsid w:val="00503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A5D"/>
    <w:pPr>
      <w:spacing w:before="160"/>
      <w:jc w:val="center"/>
    </w:pPr>
    <w:rPr>
      <w:i/>
      <w:iCs/>
      <w:color w:val="404040" w:themeColor="text1" w:themeTint="BF"/>
    </w:rPr>
  </w:style>
  <w:style w:type="character" w:customStyle="1" w:styleId="QuoteChar">
    <w:name w:val="Quote Char"/>
    <w:basedOn w:val="DefaultParagraphFont"/>
    <w:link w:val="Quote"/>
    <w:uiPriority w:val="29"/>
    <w:rsid w:val="00503A5D"/>
    <w:rPr>
      <w:i/>
      <w:iCs/>
      <w:color w:val="404040" w:themeColor="text1" w:themeTint="BF"/>
    </w:rPr>
  </w:style>
  <w:style w:type="paragraph" w:styleId="ListParagraph">
    <w:name w:val="List Paragraph"/>
    <w:basedOn w:val="Normal"/>
    <w:link w:val="ListParagraphChar"/>
    <w:uiPriority w:val="34"/>
    <w:qFormat/>
    <w:rsid w:val="00503A5D"/>
    <w:pPr>
      <w:ind w:left="720"/>
      <w:contextualSpacing/>
    </w:pPr>
  </w:style>
  <w:style w:type="character" w:styleId="IntenseEmphasis">
    <w:name w:val="Intense Emphasis"/>
    <w:basedOn w:val="DefaultParagraphFont"/>
    <w:uiPriority w:val="21"/>
    <w:qFormat/>
    <w:rsid w:val="00503A5D"/>
    <w:rPr>
      <w:i/>
      <w:iCs/>
      <w:color w:val="2F5496" w:themeColor="accent1" w:themeShade="BF"/>
    </w:rPr>
  </w:style>
  <w:style w:type="paragraph" w:styleId="IntenseQuote">
    <w:name w:val="Intense Quote"/>
    <w:basedOn w:val="Normal"/>
    <w:next w:val="Normal"/>
    <w:link w:val="IntenseQuoteChar"/>
    <w:uiPriority w:val="30"/>
    <w:qFormat/>
    <w:rsid w:val="00503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A5D"/>
    <w:rPr>
      <w:i/>
      <w:iCs/>
      <w:color w:val="2F5496" w:themeColor="accent1" w:themeShade="BF"/>
    </w:rPr>
  </w:style>
  <w:style w:type="character" w:styleId="IntenseReference">
    <w:name w:val="Intense Reference"/>
    <w:basedOn w:val="DefaultParagraphFont"/>
    <w:uiPriority w:val="32"/>
    <w:qFormat/>
    <w:rsid w:val="00503A5D"/>
    <w:rPr>
      <w:b/>
      <w:bCs/>
      <w:smallCaps/>
      <w:color w:val="2F5496" w:themeColor="accent1" w:themeShade="BF"/>
      <w:spacing w:val="5"/>
    </w:rPr>
  </w:style>
  <w:style w:type="paragraph" w:styleId="NoSpacing">
    <w:name w:val="No Spacing"/>
    <w:link w:val="NoSpacingChar"/>
    <w:uiPriority w:val="1"/>
    <w:qFormat/>
    <w:rsid w:val="00C1450A"/>
    <w:pPr>
      <w:spacing w:after="0" w:line="240" w:lineRule="auto"/>
    </w:pPr>
    <w:rPr>
      <w:kern w:val="0"/>
      <w:lang w:val="en-US"/>
      <w14:ligatures w14:val="none"/>
    </w:rPr>
  </w:style>
  <w:style w:type="character" w:customStyle="1" w:styleId="NoSpacingChar">
    <w:name w:val="No Spacing Char"/>
    <w:link w:val="NoSpacing"/>
    <w:uiPriority w:val="1"/>
    <w:rsid w:val="00C1450A"/>
    <w:rPr>
      <w:kern w:val="0"/>
      <w:lang w:val="en-US"/>
      <w14:ligatures w14:val="none"/>
    </w:rPr>
  </w:style>
  <w:style w:type="table" w:styleId="TableGrid">
    <w:name w:val="Table Grid"/>
    <w:basedOn w:val="TableNormal"/>
    <w:uiPriority w:val="39"/>
    <w:rsid w:val="00DE61A6"/>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E61A6"/>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E61A6"/>
    <w:rPr>
      <w:rFonts w:ascii="Tahoma" w:eastAsiaTheme="minorEastAsia" w:hAnsi="Tahoma" w:cs="Tahoma"/>
      <w:kern w:val="0"/>
      <w:sz w:val="16"/>
      <w:szCs w:val="16"/>
      <w:lang w:val="en-US"/>
      <w14:ligatures w14:val="none"/>
    </w:rPr>
  </w:style>
  <w:style w:type="character" w:customStyle="1" w:styleId="ListParagraphChar">
    <w:name w:val="List Paragraph Char"/>
    <w:link w:val="ListParagraph"/>
    <w:uiPriority w:val="34"/>
    <w:locked/>
    <w:rsid w:val="00DE61A6"/>
  </w:style>
  <w:style w:type="paragraph" w:styleId="BodyText">
    <w:name w:val="Body Text"/>
    <w:basedOn w:val="Normal"/>
    <w:link w:val="BodyTextChar"/>
    <w:uiPriority w:val="1"/>
    <w:qFormat/>
    <w:rsid w:val="00DE61A6"/>
    <w:pPr>
      <w:widowControl w:val="0"/>
      <w:autoSpaceDE w:val="0"/>
      <w:autoSpaceDN w:val="0"/>
      <w:spacing w:after="0" w:line="240" w:lineRule="auto"/>
    </w:pPr>
    <w:rPr>
      <w:rFonts w:ascii="Times New Roman" w:eastAsia="Times New Roman" w:hAnsi="Times New Roman" w:cs="Times New Roman"/>
      <w:kern w:val="0"/>
      <w:sz w:val="24"/>
      <w:szCs w:val="24"/>
      <w:lang w:val="en-US" w:bidi="en-US"/>
      <w14:ligatures w14:val="none"/>
    </w:rPr>
  </w:style>
  <w:style w:type="character" w:customStyle="1" w:styleId="BodyTextChar">
    <w:name w:val="Body Text Char"/>
    <w:basedOn w:val="DefaultParagraphFont"/>
    <w:link w:val="BodyText"/>
    <w:uiPriority w:val="1"/>
    <w:rsid w:val="00DE61A6"/>
    <w:rPr>
      <w:rFonts w:ascii="Times New Roman" w:eastAsia="Times New Roman" w:hAnsi="Times New Roman" w:cs="Times New Roman"/>
      <w:kern w:val="0"/>
      <w:sz w:val="24"/>
      <w:szCs w:val="24"/>
      <w:lang w:val="en-US" w:bidi="en-US"/>
      <w14:ligatures w14:val="none"/>
    </w:rPr>
  </w:style>
  <w:style w:type="paragraph" w:customStyle="1" w:styleId="Default">
    <w:name w:val="Default"/>
    <w:rsid w:val="00DE61A6"/>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E61A6"/>
    <w:pPr>
      <w:tabs>
        <w:tab w:val="center" w:pos="4513"/>
        <w:tab w:val="right" w:pos="9026"/>
      </w:tabs>
      <w:spacing w:after="0" w:line="240" w:lineRule="auto"/>
    </w:pPr>
    <w:rPr>
      <w:rFonts w:eastAsiaTheme="minorEastAsia"/>
      <w:kern w:val="0"/>
      <w:lang w:val="en-US"/>
      <w14:ligatures w14:val="none"/>
    </w:rPr>
  </w:style>
  <w:style w:type="character" w:customStyle="1" w:styleId="HeaderChar">
    <w:name w:val="Header Char"/>
    <w:basedOn w:val="DefaultParagraphFont"/>
    <w:link w:val="Header"/>
    <w:uiPriority w:val="99"/>
    <w:rsid w:val="00DE61A6"/>
    <w:rPr>
      <w:rFonts w:eastAsiaTheme="minorEastAsia"/>
      <w:kern w:val="0"/>
      <w:lang w:val="en-US"/>
      <w14:ligatures w14:val="none"/>
    </w:rPr>
  </w:style>
  <w:style w:type="paragraph" w:styleId="Footer">
    <w:name w:val="footer"/>
    <w:basedOn w:val="Normal"/>
    <w:link w:val="FooterChar"/>
    <w:uiPriority w:val="99"/>
    <w:unhideWhenUsed/>
    <w:rsid w:val="00DE61A6"/>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rsid w:val="00DE61A6"/>
    <w:rPr>
      <w:rFonts w:eastAsiaTheme="minorEastAsia"/>
      <w:kern w:val="0"/>
      <w:lang w:val="en-US"/>
      <w14:ligatures w14:val="none"/>
    </w:rPr>
  </w:style>
  <w:style w:type="table" w:styleId="PlainTable2">
    <w:name w:val="Plain Table 2"/>
    <w:basedOn w:val="TableNormal"/>
    <w:uiPriority w:val="42"/>
    <w:rsid w:val="00DE61A6"/>
    <w:pPr>
      <w:spacing w:after="0" w:line="240" w:lineRule="auto"/>
    </w:pPr>
    <w:rPr>
      <w:rFonts w:eastAsiaTheme="minorEastAsia"/>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DE61A6"/>
    <w:pPr>
      <w:spacing w:after="0" w:line="240" w:lineRule="auto"/>
    </w:pPr>
    <w:rPr>
      <w:rFonts w:eastAsiaTheme="minorEastAsia"/>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E61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E61A6"/>
    <w:rPr>
      <w:b/>
      <w:bCs/>
    </w:rPr>
  </w:style>
  <w:style w:type="table" w:customStyle="1" w:styleId="TableGrid1">
    <w:name w:val="Table Grid1"/>
    <w:basedOn w:val="TableNormal"/>
    <w:next w:val="TableGrid"/>
    <w:uiPriority w:val="59"/>
    <w:qFormat/>
    <w:rsid w:val="00DE61A6"/>
    <w:pPr>
      <w:spacing w:after="0" w:line="240" w:lineRule="auto"/>
    </w:pPr>
    <w:rPr>
      <w:rFonts w:eastAsia="Calibri"/>
      <w:sz w:val="24"/>
      <w:szCs w:val="24"/>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61A6"/>
    <w:rPr>
      <w:i/>
      <w:iCs/>
    </w:rPr>
  </w:style>
  <w:style w:type="character" w:styleId="Hyperlink">
    <w:name w:val="Hyperlink"/>
    <w:basedOn w:val="DefaultParagraphFont"/>
    <w:uiPriority w:val="99"/>
    <w:unhideWhenUsed/>
    <w:rsid w:val="00DE61A6"/>
    <w:rPr>
      <w:color w:val="0563C1" w:themeColor="hyperlink"/>
      <w:u w:val="single"/>
    </w:rPr>
  </w:style>
  <w:style w:type="character" w:styleId="UnresolvedMention">
    <w:name w:val="Unresolved Mention"/>
    <w:basedOn w:val="DefaultParagraphFont"/>
    <w:uiPriority w:val="99"/>
    <w:semiHidden/>
    <w:unhideWhenUsed/>
    <w:rsid w:val="00DE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sexually-transmitted-infections-(sti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BARKHA%20DEVI\FIG%20-%20ma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BARKHA%20DEVI\FIG%20-%20ma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699195710455767"/>
          <c:y val="4.7117294639201862E-2"/>
          <c:w val="0.76941554959785519"/>
          <c:h val="0.76548622803901489"/>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extLst>
              <c:ext xmlns:c16="http://schemas.microsoft.com/office/drawing/2014/chart" uri="{C3380CC4-5D6E-409C-BE32-E72D297353CC}">
                <c16:uniqueId val="{00000001-F2DA-4B54-99A7-5A8EF1BF3779}"/>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F2DA-4B54-99A7-5A8EF1BF3779}"/>
              </c:ext>
            </c:extLst>
          </c:dPt>
          <c:dLbls>
            <c:dLbl>
              <c:idx val="0"/>
              <c:layout>
                <c:manualLayout>
                  <c:x val="5.0935948045332524E-3"/>
                  <c:y val="-3.7192003719200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DA-4B54-99A7-5A8EF1BF3779}"/>
                </c:ext>
              </c:extLst>
            </c:dLbl>
            <c:dLbl>
              <c:idx val="1"/>
              <c:layout>
                <c:manualLayout>
                  <c:x val="1.0187189609066599E-2"/>
                  <c:y val="-2.7894002789400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DA-4B54-99A7-5A8EF1BF3779}"/>
                </c:ext>
              </c:extLst>
            </c:dLbl>
            <c:dLbl>
              <c:idx val="2"/>
              <c:layout>
                <c:manualLayout>
                  <c:x val="2.5467974022665564E-3"/>
                  <c:y val="-2.4794669146133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DA-4B54-99A7-5A8EF1BF3779}"/>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Sheet2!$D$9:$D$11</c:f>
              <c:strCache>
                <c:ptCount val="3"/>
                <c:pt idx="0">
                  <c:v>19-20 YEARS</c:v>
                </c:pt>
                <c:pt idx="1">
                  <c:v>31-40 YEARS</c:v>
                </c:pt>
                <c:pt idx="2">
                  <c:v>41-50 YEARS</c:v>
                </c:pt>
              </c:strCache>
            </c:strRef>
          </c:cat>
          <c:val>
            <c:numRef>
              <c:f>Sheet2!$E$9:$E$11</c:f>
              <c:numCache>
                <c:formatCode>General</c:formatCode>
                <c:ptCount val="3"/>
                <c:pt idx="0">
                  <c:v>37</c:v>
                </c:pt>
                <c:pt idx="1">
                  <c:v>42.2</c:v>
                </c:pt>
                <c:pt idx="2">
                  <c:v>20.8</c:v>
                </c:pt>
              </c:numCache>
            </c:numRef>
          </c:val>
          <c:extLst>
            <c:ext xmlns:c16="http://schemas.microsoft.com/office/drawing/2014/chart" uri="{C3380CC4-5D6E-409C-BE32-E72D297353CC}">
              <c16:uniqueId val="{00000005-F2DA-4B54-99A7-5A8EF1BF3779}"/>
            </c:ext>
          </c:extLst>
        </c:ser>
        <c:dLbls>
          <c:showLegendKey val="0"/>
          <c:showVal val="1"/>
          <c:showCatName val="0"/>
          <c:showSerName val="0"/>
          <c:showPercent val="0"/>
          <c:showBubbleSize val="0"/>
        </c:dLbls>
        <c:gapWidth val="150"/>
        <c:shape val="box"/>
        <c:axId val="934686815"/>
        <c:axId val="935561567"/>
        <c:axId val="0"/>
      </c:bar3DChart>
      <c:catAx>
        <c:axId val="934686815"/>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Age in years</a:t>
                </a:r>
              </a:p>
            </c:rich>
          </c:tx>
          <c:layout>
            <c:manualLayout>
              <c:xMode val="edge"/>
              <c:yMode val="edge"/>
              <c:x val="0.46842843549433438"/>
              <c:y val="0.9384757867609644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5561567"/>
        <c:crosses val="autoZero"/>
        <c:auto val="1"/>
        <c:lblAlgn val="ctr"/>
        <c:lblOffset val="100"/>
        <c:noMultiLvlLbl val="0"/>
      </c:catAx>
      <c:valAx>
        <c:axId val="93556156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6.9846446137932491E-2"/>
              <c:y val="0.2720436599279025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4686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C00000"/>
            </a:solidFill>
            <a:ln>
              <a:noFill/>
            </a:ln>
            <a:effectLst/>
            <a:sp3d/>
          </c:spPr>
          <c:invertIfNegative val="0"/>
          <c:dPt>
            <c:idx val="0"/>
            <c:invertIfNegative val="0"/>
            <c:bubble3D val="0"/>
            <c:spPr>
              <a:solidFill>
                <a:srgbClr val="FFC000"/>
              </a:solidFill>
              <a:ln>
                <a:noFill/>
              </a:ln>
              <a:effectLst/>
              <a:sp3d/>
            </c:spPr>
            <c:extLst>
              <c:ext xmlns:c16="http://schemas.microsoft.com/office/drawing/2014/chart" uri="{C3380CC4-5D6E-409C-BE32-E72D297353CC}">
                <c16:uniqueId val="{00000001-4315-482C-B31C-C61158C3CDA2}"/>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3-4315-482C-B31C-C61158C3CDA2}"/>
              </c:ext>
            </c:extLst>
          </c:dPt>
          <c:dPt>
            <c:idx val="3"/>
            <c:invertIfNegative val="0"/>
            <c:bubble3D val="0"/>
            <c:spPr>
              <a:solidFill>
                <a:srgbClr val="00B050"/>
              </a:solidFill>
              <a:ln>
                <a:noFill/>
              </a:ln>
              <a:effectLst/>
              <a:sp3d/>
            </c:spPr>
            <c:extLst>
              <c:ext xmlns:c16="http://schemas.microsoft.com/office/drawing/2014/chart" uri="{C3380CC4-5D6E-409C-BE32-E72D297353CC}">
                <c16:uniqueId val="{00000005-4315-482C-B31C-C61158C3CDA2}"/>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4315-482C-B31C-C61158C3CDA2}"/>
              </c:ext>
            </c:extLst>
          </c:dPt>
          <c:dLbls>
            <c:dLbl>
              <c:idx val="0"/>
              <c:layout>
                <c:manualLayout>
                  <c:x val="9.9502487562189053E-3"/>
                  <c:y val="-6.14817091915155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15-482C-B31C-C61158C3CDA2}"/>
                </c:ext>
              </c:extLst>
            </c:dLbl>
            <c:dLbl>
              <c:idx val="1"/>
              <c:layout>
                <c:manualLayout>
                  <c:x val="1.2437810945273632E-2"/>
                  <c:y val="-1.537042729787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15-482C-B31C-C61158C3CDA2}"/>
                </c:ext>
              </c:extLst>
            </c:dLbl>
            <c:dLbl>
              <c:idx val="2"/>
              <c:layout>
                <c:manualLayout>
                  <c:x val="9.9502487562188151E-3"/>
                  <c:y val="-1.5370427297878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15-482C-B31C-C61158C3CDA2}"/>
                </c:ext>
              </c:extLst>
            </c:dLbl>
            <c:dLbl>
              <c:idx val="3"/>
              <c:layout>
                <c:manualLayout>
                  <c:x val="1.2437810945273632E-2"/>
                  <c:y val="-1.8444512757454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15-482C-B31C-C61158C3CDA2}"/>
                </c:ext>
              </c:extLst>
            </c:dLbl>
            <c:dLbl>
              <c:idx val="4"/>
              <c:layout>
                <c:manualLayout>
                  <c:x val="9.9502487562189053E-3"/>
                  <c:y val="-1.8444512757454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15-482C-B31C-C61158C3CDA2}"/>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Sheet2!$D$89:$D$93</c:f>
              <c:strCache>
                <c:ptCount val="5"/>
                <c:pt idx="0">
                  <c:v>LESS THAN RS 25,000</c:v>
                </c:pt>
                <c:pt idx="1">
                  <c:v>RS 25,000 - 50,000</c:v>
                </c:pt>
                <c:pt idx="2">
                  <c:v>RS 50,000 - 75,000</c:v>
                </c:pt>
                <c:pt idx="3">
                  <c:v>RS 75,000 - 1,00,000</c:v>
                </c:pt>
                <c:pt idx="4">
                  <c:v>ABOVE RS 1,00,000</c:v>
                </c:pt>
              </c:strCache>
            </c:strRef>
          </c:cat>
          <c:val>
            <c:numRef>
              <c:f>Sheet2!$E$89:$E$93</c:f>
              <c:numCache>
                <c:formatCode>General</c:formatCode>
                <c:ptCount val="5"/>
                <c:pt idx="0">
                  <c:v>7.8</c:v>
                </c:pt>
                <c:pt idx="1">
                  <c:v>30.7</c:v>
                </c:pt>
                <c:pt idx="2">
                  <c:v>44.8</c:v>
                </c:pt>
                <c:pt idx="3">
                  <c:v>5.7</c:v>
                </c:pt>
                <c:pt idx="4">
                  <c:v>10.9</c:v>
                </c:pt>
              </c:numCache>
            </c:numRef>
          </c:val>
          <c:shape val="cylinder"/>
          <c:extLst>
            <c:ext xmlns:c16="http://schemas.microsoft.com/office/drawing/2014/chart" uri="{C3380CC4-5D6E-409C-BE32-E72D297353CC}">
              <c16:uniqueId val="{00000009-4315-482C-B31C-C61158C3CDA2}"/>
            </c:ext>
          </c:extLst>
        </c:ser>
        <c:dLbls>
          <c:showLegendKey val="0"/>
          <c:showVal val="1"/>
          <c:showCatName val="0"/>
          <c:showSerName val="0"/>
          <c:showPercent val="0"/>
          <c:showBubbleSize val="0"/>
        </c:dLbls>
        <c:gapWidth val="150"/>
        <c:shape val="box"/>
        <c:axId val="1761406159"/>
        <c:axId val="1761412399"/>
        <c:axId val="0"/>
      </c:bar3DChart>
      <c:catAx>
        <c:axId val="1761406159"/>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Family monthly income </a:t>
                </a:r>
                <a:endParaRPr lang="en-IN" sz="1100" b="1"/>
              </a:p>
            </c:rich>
          </c:tx>
          <c:layout>
            <c:manualLayout>
              <c:xMode val="edge"/>
              <c:yMode val="edge"/>
              <c:x val="0.41823323849605704"/>
              <c:y val="0.95426293354892278"/>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412399"/>
        <c:crosses val="autoZero"/>
        <c:auto val="1"/>
        <c:lblAlgn val="ctr"/>
        <c:lblOffset val="100"/>
        <c:noMultiLvlLbl val="0"/>
      </c:catAx>
      <c:valAx>
        <c:axId val="176141239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Percentage</a:t>
                </a:r>
              </a:p>
            </c:rich>
          </c:tx>
          <c:layout>
            <c:manualLayout>
              <c:xMode val="edge"/>
              <c:yMode val="edge"/>
              <c:x val="1.673983469345617E-3"/>
              <c:y val="0.3178795587840175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406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6895046589123"/>
          <c:y val="0.11458167729033869"/>
          <c:w val="0.62211455808461091"/>
          <c:h val="0.82101176054916203"/>
        </c:manualLayout>
      </c:layout>
      <c:pieChart>
        <c:varyColors val="1"/>
        <c:ser>
          <c:idx val="0"/>
          <c:order val="0"/>
          <c:spPr>
            <a:ln>
              <a:noFill/>
            </a:ln>
          </c:spPr>
          <c:dPt>
            <c:idx val="0"/>
            <c:bubble3D val="0"/>
            <c:spPr>
              <a:solidFill>
                <a:srgbClr val="00B0F0"/>
              </a:solidFill>
              <a:ln w="19050">
                <a:noFill/>
              </a:ln>
              <a:effectLst/>
            </c:spPr>
            <c:extLst>
              <c:ext xmlns:c16="http://schemas.microsoft.com/office/drawing/2014/chart" uri="{C3380CC4-5D6E-409C-BE32-E72D297353CC}">
                <c16:uniqueId val="{00000001-9712-4BB3-80DD-CAA6A918B529}"/>
              </c:ext>
            </c:extLst>
          </c:dPt>
          <c:dPt>
            <c:idx val="1"/>
            <c:bubble3D val="0"/>
            <c:spPr>
              <a:solidFill>
                <a:srgbClr val="FFC000"/>
              </a:solidFill>
              <a:ln w="19050">
                <a:noFill/>
              </a:ln>
              <a:effectLst/>
            </c:spPr>
            <c:extLst>
              <c:ext xmlns:c16="http://schemas.microsoft.com/office/drawing/2014/chart" uri="{C3380CC4-5D6E-409C-BE32-E72D297353CC}">
                <c16:uniqueId val="{00000003-9712-4BB3-80DD-CAA6A918B52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Sheet2!$D$115:$D$116</c:f>
              <c:strCache>
                <c:ptCount val="2"/>
                <c:pt idx="0">
                  <c:v>ABSTINENCE</c:v>
                </c:pt>
                <c:pt idx="1">
                  <c:v>ACTIVE</c:v>
                </c:pt>
              </c:strCache>
            </c:strRef>
          </c:cat>
          <c:val>
            <c:numRef>
              <c:f>Sheet2!$E$115:$E$116</c:f>
              <c:numCache>
                <c:formatCode>General</c:formatCode>
                <c:ptCount val="2"/>
                <c:pt idx="0">
                  <c:v>95.3</c:v>
                </c:pt>
                <c:pt idx="1">
                  <c:v>4.7</c:v>
                </c:pt>
              </c:numCache>
            </c:numRef>
          </c:val>
          <c:extLst>
            <c:ext xmlns:c16="http://schemas.microsoft.com/office/drawing/2014/chart" uri="{C3380CC4-5D6E-409C-BE32-E72D297353CC}">
              <c16:uniqueId val="{00000004-9712-4BB3-80DD-CAA6A918B52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5435016015489531"/>
          <c:y val="4.2523064445270662E-3"/>
          <c:w val="0.24168173517559452"/>
          <c:h val="0.125879152445000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15AD-FB2C-45BA-A3D6-1266063F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4771</Words>
  <Characters>27196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SDI 1084</cp:lastModifiedBy>
  <cp:revision>23</cp:revision>
  <dcterms:created xsi:type="dcterms:W3CDTF">2025-11-21T07:27:00Z</dcterms:created>
  <dcterms:modified xsi:type="dcterms:W3CDTF">2025-11-28T10:03:00Z</dcterms:modified>
</cp:coreProperties>
</file>