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0D8F1" w14:textId="77777777" w:rsidR="00453439" w:rsidRDefault="00453439" w:rsidP="00D17B70">
      <w:pPr>
        <w:spacing w:before="100" w:beforeAutospacing="1" w:after="100" w:afterAutospacing="1" w:line="240" w:lineRule="auto"/>
        <w:jc w:val="both"/>
        <w:outlineLvl w:val="2"/>
        <w:rPr>
          <w:rFonts w:ascii="Times New Roman" w:hAnsi="Times New Roman" w:cs="Times New Roman"/>
          <w:b/>
          <w:bCs/>
          <w:sz w:val="24"/>
          <w:szCs w:val="24"/>
        </w:rPr>
      </w:pPr>
      <w:r w:rsidRPr="003F140D">
        <w:rPr>
          <w:rFonts w:ascii="Times New Roman" w:hAnsi="Times New Roman" w:cs="Times New Roman"/>
          <w:b/>
          <w:bCs/>
          <w:sz w:val="24"/>
          <w:szCs w:val="24"/>
        </w:rPr>
        <w:t xml:space="preserve">Biomarker Responses in Fish and Crustaceans Exposed to Heavy Metals and Petroleum Hydrocarbons in the Qua </w:t>
      </w:r>
      <w:proofErr w:type="spellStart"/>
      <w:r w:rsidRPr="003F140D">
        <w:rPr>
          <w:rFonts w:ascii="Times New Roman" w:hAnsi="Times New Roman" w:cs="Times New Roman"/>
          <w:b/>
          <w:bCs/>
          <w:sz w:val="24"/>
          <w:szCs w:val="24"/>
        </w:rPr>
        <w:t>Iboe</w:t>
      </w:r>
      <w:proofErr w:type="spellEnd"/>
      <w:r w:rsidRPr="003F140D">
        <w:rPr>
          <w:rFonts w:ascii="Times New Roman" w:hAnsi="Times New Roman" w:cs="Times New Roman"/>
          <w:b/>
          <w:bCs/>
          <w:sz w:val="24"/>
          <w:szCs w:val="24"/>
        </w:rPr>
        <w:t xml:space="preserve"> Estuary, Niger Delta</w:t>
      </w:r>
    </w:p>
    <w:p w14:paraId="5792A626" w14:textId="77777777" w:rsidR="005F0682" w:rsidRDefault="005F0682" w:rsidP="00D17B70">
      <w:pPr>
        <w:spacing w:before="100" w:beforeAutospacing="1" w:after="100" w:afterAutospacing="1" w:line="240" w:lineRule="auto"/>
        <w:jc w:val="both"/>
        <w:outlineLvl w:val="2"/>
        <w:rPr>
          <w:rFonts w:ascii="Times New Roman" w:hAnsi="Times New Roman" w:cs="Times New Roman"/>
          <w:b/>
          <w:bCs/>
          <w:sz w:val="24"/>
          <w:szCs w:val="24"/>
        </w:rPr>
      </w:pPr>
    </w:p>
    <w:p w14:paraId="1624735A" w14:textId="77777777" w:rsidR="005F0682" w:rsidRDefault="005F0682"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val="fr-FR" w:eastAsia="en-GB"/>
        </w:rPr>
      </w:pPr>
    </w:p>
    <w:p w14:paraId="3B423CD8" w14:textId="2FFCF3DF" w:rsidR="00453439" w:rsidRPr="00023D27"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val="fr-FR" w:eastAsia="en-GB"/>
        </w:rPr>
      </w:pPr>
      <w:r w:rsidRPr="00023D27">
        <w:rPr>
          <w:rFonts w:ascii="Times New Roman" w:eastAsia="Times New Roman" w:hAnsi="Times New Roman" w:cs="Times New Roman"/>
          <w:b/>
          <w:bCs/>
          <w:sz w:val="24"/>
          <w:szCs w:val="24"/>
          <w:lang w:val="fr-FR" w:eastAsia="en-GB"/>
        </w:rPr>
        <w:t>Abstract</w:t>
      </w:r>
    </w:p>
    <w:p w14:paraId="79052317" w14:textId="485FAD56" w:rsidR="00D17B70" w:rsidRPr="003F140D" w:rsidRDefault="00D17B70" w:rsidP="00D17B70">
      <w:pPr>
        <w:pStyle w:val="NormalWeb"/>
        <w:jc w:val="both"/>
      </w:pPr>
      <w:r w:rsidRPr="003F140D">
        <w:t xml:space="preserve">Aquatic organisms inhabiting petroleum-impacted estuaries of the Niger Delta are frequently exposed to complex mixtures of heavy metals and hydrocarbons capable of inducing biochemical and physiological stress. This study evaluated the concentrations of Pb, Cd, Hg, As, Cr, and total petroleum hydrocarbons (TPH) in Tilapia sp., </w:t>
      </w:r>
      <w:proofErr w:type="spellStart"/>
      <w:r w:rsidRPr="003F140D">
        <w:t>Clarias</w:t>
      </w:r>
      <w:proofErr w:type="spellEnd"/>
      <w:r w:rsidRPr="003F140D">
        <w:t xml:space="preserve"> </w:t>
      </w:r>
      <w:proofErr w:type="spellStart"/>
      <w:r w:rsidRPr="003F140D">
        <w:t>gariepinus</w:t>
      </w:r>
      <w:proofErr w:type="spellEnd"/>
      <w:r w:rsidRPr="003F140D">
        <w:t xml:space="preserve">, and </w:t>
      </w:r>
      <w:proofErr w:type="spellStart"/>
      <w:r w:rsidRPr="003F140D">
        <w:t>Macrobrachium</w:t>
      </w:r>
      <w:proofErr w:type="spellEnd"/>
      <w:r w:rsidRPr="003F140D">
        <w:t xml:space="preserve"> </w:t>
      </w:r>
      <w:proofErr w:type="spellStart"/>
      <w:r w:rsidRPr="003F140D">
        <w:t>vollenhovenii</w:t>
      </w:r>
      <w:proofErr w:type="spellEnd"/>
      <w:r w:rsidRPr="003F140D">
        <w:t xml:space="preserve"> collected from the Qua </w:t>
      </w:r>
      <w:proofErr w:type="spellStart"/>
      <w:r w:rsidRPr="003F140D">
        <w:t>Iboe</w:t>
      </w:r>
      <w:proofErr w:type="spellEnd"/>
      <w:r w:rsidRPr="003F140D">
        <w:t xml:space="preserve"> Estuary, </w:t>
      </w:r>
      <w:proofErr w:type="spellStart"/>
      <w:r w:rsidRPr="003F140D">
        <w:t>Akwa</w:t>
      </w:r>
      <w:proofErr w:type="spellEnd"/>
      <w:r w:rsidRPr="003F140D">
        <w:t xml:space="preserve"> Ibom State, Nigeria, and assessed corresponding biomarker responses as indicators of pollutant-induced oxidative stress. Heavy metals were quantified using atomic absorption spectrophotometry, while TPH was determined through Soxhlet extraction. Catalase (CAT), glutathione S-transferase (GST), and malondialdehyde (MDA) were analysed as enzymatic and oxidative stress markers. Metal concentrations ranged from 0.40–0.55 µg/g (Pb), 0.02–0.03 µg/g (Cd), 0.08–0.13 µg/g (Hg), 0.11–0.16 µg/g (As), and 0.29–0.36 µg/g (Cr), while TPH values were between 3.5 and 4.5 mg/kg. </w:t>
      </w:r>
      <w:proofErr w:type="spellStart"/>
      <w:r w:rsidRPr="003F140D">
        <w:t>Clarias</w:t>
      </w:r>
      <w:proofErr w:type="spellEnd"/>
      <w:r w:rsidRPr="003F140D">
        <w:t xml:space="preserve"> </w:t>
      </w:r>
      <w:proofErr w:type="spellStart"/>
      <w:r w:rsidRPr="003F140D">
        <w:t>gariepinus</w:t>
      </w:r>
      <w:proofErr w:type="spellEnd"/>
      <w:r w:rsidRPr="003F140D">
        <w:t xml:space="preserve"> accumulated the highest pollutant levels, corresponding with the strongest biomarker responses (CAT: 52 U/mg protein; GST: 38 U/mg protein; MDA: 3.2 nmol/mg). Seasonal comparisons showed higher wet-season TPH (3.8–4.5 mg/kg), Pb (0.42–0.57 µg/g), and MDA (2.6–3.4 nmol/mg), indicating increased contaminant influx during periods of runoff. Findings show that fish and crustaceans in the Qua </w:t>
      </w:r>
      <w:proofErr w:type="spellStart"/>
      <w:r w:rsidRPr="003F140D">
        <w:t>Iboe</w:t>
      </w:r>
      <w:proofErr w:type="spellEnd"/>
      <w:r w:rsidRPr="003F140D">
        <w:t xml:space="preserve"> Estuary experience significant oxidative stress linked to chronic exposure to petroleum-derived and metal contaminants. These biomarker alterations provide early warning evidence of ecological degradation and highlight potential human health concerns for communities dependent on these species for food. Strengthened environmental monitoring and targeted pollution-control measures are urgently required to mitigate further ecological and public health risks.</w:t>
      </w:r>
    </w:p>
    <w:p w14:paraId="7A0D3500" w14:textId="77777777" w:rsidR="00453439" w:rsidRPr="003F140D"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b/>
          <w:bCs/>
          <w:i/>
          <w:iCs/>
          <w:sz w:val="24"/>
          <w:szCs w:val="24"/>
          <w:lang w:eastAsia="en-GB"/>
        </w:rPr>
        <w:t>Keywords</w:t>
      </w:r>
      <w:r w:rsidRPr="003F140D">
        <w:rPr>
          <w:rFonts w:ascii="Times New Roman" w:eastAsia="Times New Roman" w:hAnsi="Times New Roman" w:cs="Times New Roman"/>
          <w:b/>
          <w:bCs/>
          <w:i/>
          <w:iCs/>
          <w:sz w:val="24"/>
          <w:szCs w:val="24"/>
          <w:lang w:eastAsia="en-GB"/>
        </w:rPr>
        <w:t>:</w:t>
      </w:r>
      <w:r w:rsidRPr="003F140D">
        <w:rPr>
          <w:rFonts w:ascii="Times New Roman" w:eastAsia="Times New Roman" w:hAnsi="Times New Roman" w:cs="Times New Roman"/>
          <w:b/>
          <w:bCs/>
          <w:sz w:val="24"/>
          <w:szCs w:val="24"/>
          <w:lang w:eastAsia="en-GB"/>
        </w:rPr>
        <w:t xml:space="preserve"> </w:t>
      </w:r>
      <w:r w:rsidRPr="00453439">
        <w:rPr>
          <w:rFonts w:ascii="Times New Roman" w:eastAsia="Times New Roman" w:hAnsi="Times New Roman" w:cs="Times New Roman"/>
          <w:sz w:val="24"/>
          <w:szCs w:val="24"/>
          <w:lang w:eastAsia="en-GB"/>
        </w:rPr>
        <w:t xml:space="preserve">Biomarkers; heavy metals; petroleum hydrocarbons; Qua </w:t>
      </w:r>
      <w:proofErr w:type="spellStart"/>
      <w:r w:rsidRPr="00453439">
        <w:rPr>
          <w:rFonts w:ascii="Times New Roman" w:eastAsia="Times New Roman" w:hAnsi="Times New Roman" w:cs="Times New Roman"/>
          <w:sz w:val="24"/>
          <w:szCs w:val="24"/>
          <w:lang w:eastAsia="en-GB"/>
        </w:rPr>
        <w:t>Iboe</w:t>
      </w:r>
      <w:proofErr w:type="spellEnd"/>
      <w:r w:rsidRPr="00453439">
        <w:rPr>
          <w:rFonts w:ascii="Times New Roman" w:eastAsia="Times New Roman" w:hAnsi="Times New Roman" w:cs="Times New Roman"/>
          <w:sz w:val="24"/>
          <w:szCs w:val="24"/>
          <w:lang w:eastAsia="en-GB"/>
        </w:rPr>
        <w:t xml:space="preserve"> Estuary; Niger Delta</w:t>
      </w:r>
    </w:p>
    <w:p w14:paraId="51BC57AB" w14:textId="4AF026CC" w:rsidR="00453439" w:rsidRPr="003F140D"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3F140D">
        <w:rPr>
          <w:rFonts w:ascii="Times New Roman" w:hAnsi="Times New Roman" w:cs="Times New Roman"/>
          <w:b/>
          <w:bCs/>
          <w:sz w:val="24"/>
          <w:szCs w:val="24"/>
        </w:rPr>
        <w:t>1.0 Introduction</w:t>
      </w:r>
    </w:p>
    <w:p w14:paraId="4CF4349C" w14:textId="77777777" w:rsidR="00D17B70" w:rsidRPr="003F140D" w:rsidRDefault="00D17B70" w:rsidP="00D17B70">
      <w:pPr>
        <w:pStyle w:val="NormalWeb"/>
        <w:jc w:val="both"/>
      </w:pPr>
      <w:r w:rsidRPr="003F140D">
        <w:t>Estuarine ecosystems in the Niger Delta are exposed to increasing levels of anthropogenic contamination resulting from petroleum exploration, gas flaring, artisanal refining, pipeline leakages, industrial effluents, and poorly managed domestic waste disposal. These activities introduce persistent pollutants into the aquatic environment, including heavy metals and petroleum-derived hydrocarbons, which readily accumulate in sediments and biota. Numerous studies across the Niger Delta have documented elevated pollutant loads in surface water, sediment, fish, and crustaceans, reflecting decades of environmental degradation associated with oil and gas activities (</w:t>
      </w:r>
      <w:proofErr w:type="spellStart"/>
      <w:r w:rsidRPr="003F140D">
        <w:t>Aghanwa</w:t>
      </w:r>
      <w:proofErr w:type="spellEnd"/>
      <w:r w:rsidRPr="003F140D">
        <w:t xml:space="preserve"> et al., 2025; </w:t>
      </w:r>
      <w:proofErr w:type="spellStart"/>
      <w:r w:rsidRPr="003F140D">
        <w:t>Okpoji</w:t>
      </w:r>
      <w:proofErr w:type="spellEnd"/>
      <w:r w:rsidRPr="003F140D">
        <w:t xml:space="preserve"> et al., 2025; </w:t>
      </w:r>
      <w:proofErr w:type="spellStart"/>
      <w:r w:rsidRPr="003F140D">
        <w:t>Umueni</w:t>
      </w:r>
      <w:proofErr w:type="spellEnd"/>
      <w:r w:rsidRPr="003F140D">
        <w:t xml:space="preserve"> et al., 2025). The ecological sensitivity of estuarine environments, coupled with their socio-economic importance, makes them particularly vulnerable to pollutant inputs transported through atmospheric fallout, river discharge, stormwater runoff, and tidal exchange.</w:t>
      </w:r>
    </w:p>
    <w:p w14:paraId="4F931811" w14:textId="77777777" w:rsidR="00D17B70" w:rsidRPr="003F140D" w:rsidRDefault="00D17B70" w:rsidP="00D17B70">
      <w:pPr>
        <w:pStyle w:val="NormalWeb"/>
        <w:jc w:val="both"/>
      </w:pPr>
      <w:r w:rsidRPr="003F140D">
        <w:t xml:space="preserve">Heavy metals such as lead (Pb), cadmium (Cd), mercury (Hg), arsenic (As), and chromium (Cr) are of particular concern due to their ability to persist in aquatic ecosystems and bioaccumulate through the food chain. They originate from drilling fluids, corroded pipelines, </w:t>
      </w:r>
      <w:r w:rsidRPr="003F140D">
        <w:lastRenderedPageBreak/>
        <w:t>industrial combustion, and effluent discharge (</w:t>
      </w:r>
      <w:proofErr w:type="spellStart"/>
      <w:r w:rsidRPr="003F140D">
        <w:t>Aghanwa</w:t>
      </w:r>
      <w:proofErr w:type="spellEnd"/>
      <w:r w:rsidRPr="003F140D">
        <w:t xml:space="preserve"> et al., 2025; Ekpe et al., 2025). Unlike organic contaminants, heavy metals cannot be degraded and therefore accumulate in fish and crustaceans, often reaching concentrations capable of eliciting toxicological effects (ATSDR, 1997). Elevated levels of these metals have been reported in aquatic organisms across Nigeria and other developing regions, with documented risks to both ecological and human health (</w:t>
      </w:r>
      <w:proofErr w:type="spellStart"/>
      <w:r w:rsidRPr="003F140D">
        <w:t>Eyenubo</w:t>
      </w:r>
      <w:proofErr w:type="spellEnd"/>
      <w:r w:rsidRPr="003F140D">
        <w:t xml:space="preserve"> et al., 2024; </w:t>
      </w:r>
      <w:proofErr w:type="spellStart"/>
      <w:r w:rsidRPr="003F140D">
        <w:t>Oghenekohwiroro</w:t>
      </w:r>
      <w:proofErr w:type="spellEnd"/>
      <w:r w:rsidRPr="003F140D">
        <w:t xml:space="preserve"> &amp; </w:t>
      </w:r>
      <w:proofErr w:type="spellStart"/>
      <w:r w:rsidRPr="003F140D">
        <w:t>Osaro</w:t>
      </w:r>
      <w:proofErr w:type="spellEnd"/>
      <w:r w:rsidRPr="003F140D">
        <w:t>, 2017; Ernesto et al., 2021).</w:t>
      </w:r>
    </w:p>
    <w:p w14:paraId="590F2462" w14:textId="77777777" w:rsidR="00D17B70" w:rsidRPr="003F140D" w:rsidRDefault="00D17B70" w:rsidP="00D17B70">
      <w:pPr>
        <w:pStyle w:val="NormalWeb"/>
        <w:jc w:val="both"/>
      </w:pPr>
      <w:r w:rsidRPr="003F140D">
        <w:t>Petroleum hydrocarbons, including total petroleum hydrocarbons (TPH) and polycyclic aromatic hydrocarbons (PAHs), constitute another major contaminant class in the Niger Delta. Chronic gas flaring releases soot and semi-volatile organic compounds into the atmosphere, which are later deposited into water bodies through rainfall and dry deposition. These processes have been confirmed as significant pathways for hydrocarbon dissemination in coastal zones (</w:t>
      </w:r>
      <w:proofErr w:type="spellStart"/>
      <w:r w:rsidRPr="003F140D">
        <w:t>Kallenborn</w:t>
      </w:r>
      <w:proofErr w:type="spellEnd"/>
      <w:r w:rsidRPr="003F140D">
        <w:t xml:space="preserve"> et al., 2015; </w:t>
      </w:r>
      <w:proofErr w:type="spellStart"/>
      <w:r w:rsidRPr="003F140D">
        <w:t>Wania</w:t>
      </w:r>
      <w:proofErr w:type="spellEnd"/>
      <w:r w:rsidRPr="003F140D">
        <w:t xml:space="preserve"> et al., 2006). PAHs such as benzo[a]pyrene are classified as Group 1 carcinogens (IARC, 2015), and their presence in estuarine species has been repeatedly reported in smoked fish, raw fish, sediments, and surface waters from petroleum-impacted environments (</w:t>
      </w:r>
      <w:proofErr w:type="spellStart"/>
      <w:r w:rsidRPr="003F140D">
        <w:t>Ekwere</w:t>
      </w:r>
      <w:proofErr w:type="spellEnd"/>
      <w:r w:rsidRPr="003F140D">
        <w:t xml:space="preserve"> et al., 2025; John et al., 2025; </w:t>
      </w:r>
      <w:proofErr w:type="spellStart"/>
      <w:r w:rsidRPr="003F140D">
        <w:t>Okpoji</w:t>
      </w:r>
      <w:proofErr w:type="spellEnd"/>
      <w:r w:rsidRPr="003F140D">
        <w:t xml:space="preserve"> et al., 2025). TPH contamination in particular is a hallmark of regions with active petroleum production and serves as a proxy for petrogenic hydrocarbon exposure.</w:t>
      </w:r>
    </w:p>
    <w:p w14:paraId="34F3A622" w14:textId="77777777" w:rsidR="00D17B70" w:rsidRPr="003F140D" w:rsidRDefault="00D17B70" w:rsidP="00D17B70">
      <w:pPr>
        <w:pStyle w:val="NormalWeb"/>
        <w:jc w:val="both"/>
      </w:pPr>
      <w:r w:rsidRPr="003F140D">
        <w:t xml:space="preserve">In recent years, biochemical biomarkers have emerged as powerful tools for assessing sub-lethal toxic effects in aquatic organisms. Antioxidant enzymes such as catalase (CAT) and glutathione S-transferase (GST) respond rapidly to xenobiotic exposure by neutralising reactive oxygen species generated during contaminant metabolism. Malondialdehyde (MDA), a lipid peroxidation product, serves as a sensitive indicator of oxidative damage to cell membranes. Biomarker responses have been used globally to evaluate contaminant-induced stress in fish and crustaceans and are particularly valuable for early detection of pollutant effects before overt clinical or population-level changes occur (Ernesto et al., 2021; </w:t>
      </w:r>
      <w:proofErr w:type="spellStart"/>
      <w:r w:rsidRPr="003F140D">
        <w:t>Oghenekohwiroro</w:t>
      </w:r>
      <w:proofErr w:type="spellEnd"/>
      <w:r w:rsidRPr="003F140D">
        <w:t xml:space="preserve"> &amp; </w:t>
      </w:r>
      <w:proofErr w:type="spellStart"/>
      <w:r w:rsidRPr="003F140D">
        <w:t>Osaro</w:t>
      </w:r>
      <w:proofErr w:type="spellEnd"/>
      <w:r w:rsidRPr="003F140D">
        <w:t xml:space="preserve">, 2017; </w:t>
      </w:r>
      <w:proofErr w:type="spellStart"/>
      <w:r w:rsidRPr="003F140D">
        <w:t>Ekwere</w:t>
      </w:r>
      <w:proofErr w:type="spellEnd"/>
      <w:r w:rsidRPr="003F140D">
        <w:t xml:space="preserve"> et al., 2025).</w:t>
      </w:r>
    </w:p>
    <w:p w14:paraId="02393ABA" w14:textId="77777777" w:rsidR="00D17B70" w:rsidRPr="003F140D" w:rsidRDefault="00D17B70" w:rsidP="00D17B70">
      <w:pPr>
        <w:pStyle w:val="NormalWeb"/>
        <w:jc w:val="both"/>
      </w:pPr>
      <w:r w:rsidRPr="003F140D">
        <w:t>Despite extensive research on environmental contamination in the Niger Delta, integrated assessments linking chemical pollutant loads with enzymatic and oxidative stress biomarkers across multiple aquatic species remain limited. Additionally, seasonal variations, which influence contaminant transport through rainfall-driven runoff and hydrodynamic shifts, are often overlooked. Understanding these dynamics is essential for accurate ecological risk assessment and the protection of communities that rely heavily on estuarine resources for food and income.</w:t>
      </w:r>
    </w:p>
    <w:p w14:paraId="688E92E9" w14:textId="6EF93D80" w:rsidR="00D17B70" w:rsidRPr="003F140D" w:rsidRDefault="00D17B70" w:rsidP="00D17B70">
      <w:pPr>
        <w:pStyle w:val="NormalWeb"/>
        <w:jc w:val="both"/>
      </w:pPr>
      <w:r w:rsidRPr="003F140D">
        <w:t>This study</w:t>
      </w:r>
      <w:r w:rsidR="003F140D">
        <w:t>,</w:t>
      </w:r>
      <w:r w:rsidRPr="003F140D">
        <w:t xml:space="preserve"> therefore</w:t>
      </w:r>
      <w:r w:rsidR="003F140D">
        <w:t>,</w:t>
      </w:r>
      <w:r w:rsidRPr="003F140D">
        <w:t xml:space="preserve"> investigates the concentrations of heavy metals and petroleum hydrocarbons in Tilapia sp., </w:t>
      </w:r>
      <w:proofErr w:type="spellStart"/>
      <w:r w:rsidRPr="003F140D">
        <w:t>Clarias</w:t>
      </w:r>
      <w:proofErr w:type="spellEnd"/>
      <w:r w:rsidRPr="003F140D">
        <w:t xml:space="preserve"> </w:t>
      </w:r>
      <w:proofErr w:type="spellStart"/>
      <w:r w:rsidRPr="003F140D">
        <w:t>gariepinus</w:t>
      </w:r>
      <w:proofErr w:type="spellEnd"/>
      <w:r w:rsidRPr="003F140D">
        <w:t xml:space="preserve">, and </w:t>
      </w:r>
      <w:proofErr w:type="spellStart"/>
      <w:r w:rsidRPr="003F140D">
        <w:t>Macrobrachium</w:t>
      </w:r>
      <w:proofErr w:type="spellEnd"/>
      <w:r w:rsidRPr="003F140D">
        <w:t xml:space="preserve"> </w:t>
      </w:r>
      <w:proofErr w:type="spellStart"/>
      <w:r w:rsidRPr="003F140D">
        <w:t>vollenhovenii</w:t>
      </w:r>
      <w:proofErr w:type="spellEnd"/>
      <w:r w:rsidRPr="003F140D">
        <w:t xml:space="preserve"> collected from the Qua </w:t>
      </w:r>
      <w:proofErr w:type="spellStart"/>
      <w:r w:rsidRPr="003F140D">
        <w:t>Iboe</w:t>
      </w:r>
      <w:proofErr w:type="spellEnd"/>
      <w:r w:rsidRPr="003F140D">
        <w:t xml:space="preserve"> Estuary in </w:t>
      </w:r>
      <w:proofErr w:type="spellStart"/>
      <w:r w:rsidRPr="003F140D">
        <w:t>Akwa</w:t>
      </w:r>
      <w:proofErr w:type="spellEnd"/>
      <w:r w:rsidRPr="003F140D">
        <w:t xml:space="preserve"> Ibom State. It further evaluates biomarker responses—catalase, glutathione S-transferase, and malondialdehyde—as indicators of contaminant-induced oxidative stress and examines seasonal differences in pollutant loads.</w:t>
      </w:r>
    </w:p>
    <w:p w14:paraId="624EA582" w14:textId="16D6CBF5" w:rsidR="00453439" w:rsidRPr="00453439" w:rsidRDefault="00453439" w:rsidP="00D17B70">
      <w:pPr>
        <w:pStyle w:val="NormalWeb"/>
        <w:jc w:val="both"/>
      </w:pPr>
      <w:r w:rsidRPr="00453439">
        <w:rPr>
          <w:b/>
          <w:bCs/>
        </w:rPr>
        <w:t xml:space="preserve">2.0 Materials and Methods </w:t>
      </w:r>
    </w:p>
    <w:p w14:paraId="51E576E4" w14:textId="77777777" w:rsidR="00D17B70" w:rsidRPr="003F140D" w:rsidRDefault="00D17B70" w:rsidP="00D17B70">
      <w:pPr>
        <w:pStyle w:val="Heading4"/>
        <w:jc w:val="both"/>
      </w:pPr>
      <w:r w:rsidRPr="003F140D">
        <w:t>2.1 Study Area</w:t>
      </w:r>
    </w:p>
    <w:p w14:paraId="6B0EE7C3" w14:textId="77777777" w:rsidR="00D17B70" w:rsidRPr="003F140D" w:rsidRDefault="00D17B70" w:rsidP="00D17B70">
      <w:pPr>
        <w:pStyle w:val="NormalWeb"/>
        <w:jc w:val="both"/>
      </w:pPr>
      <w:r w:rsidRPr="003F140D">
        <w:t xml:space="preserve">The study was conducted in the Qua </w:t>
      </w:r>
      <w:proofErr w:type="spellStart"/>
      <w:r w:rsidRPr="003F140D">
        <w:t>Iboe</w:t>
      </w:r>
      <w:proofErr w:type="spellEnd"/>
      <w:r w:rsidRPr="003F140D">
        <w:t xml:space="preserve"> Estuary located in </w:t>
      </w:r>
      <w:proofErr w:type="spellStart"/>
      <w:r w:rsidRPr="003F140D">
        <w:t>Akwa</w:t>
      </w:r>
      <w:proofErr w:type="spellEnd"/>
      <w:r w:rsidRPr="003F140D">
        <w:t xml:space="preserve"> Ibom State, </w:t>
      </w:r>
      <w:proofErr w:type="spellStart"/>
      <w:r w:rsidRPr="003F140D">
        <w:t>southeastern</w:t>
      </w:r>
      <w:proofErr w:type="spellEnd"/>
      <w:r w:rsidRPr="003F140D">
        <w:t xml:space="preserve"> Niger Delta, Nigeria. The estuary lies between Latitude 4°32′N–4°38′N and Longitude 7°50′E–8°02′E and is characterised by a network of tidal creeks, mangrove wetlands, and brackish </w:t>
      </w:r>
      <w:r w:rsidRPr="003F140D">
        <w:lastRenderedPageBreak/>
        <w:t>channels that drain into the Atlantic Ocean. The region experiences a humid tropical climate with a distinct wet season (April–October) marked by high rainfall and runoff, and a dry season (November–March) dominated by tidal flushing and reduced freshwater inflow. The area is strongly influenced by petroleum-related activities, including crude oil transport, coastal loading operations, and artisanal refining, which contribute to the continuous input of hydrocarbons and associated heavy metals. The estuary also supports extensive artisanal fishing, making it an important biological and socio-economic resource.</w:t>
      </w:r>
    </w:p>
    <w:p w14:paraId="35DE0300" w14:textId="77777777" w:rsidR="00D17B70" w:rsidRPr="003F140D" w:rsidRDefault="00D17B70" w:rsidP="00D17B70">
      <w:pPr>
        <w:pStyle w:val="Heading4"/>
        <w:jc w:val="both"/>
      </w:pPr>
      <w:r w:rsidRPr="003F140D">
        <w:t>2.2 Sample Collection</w:t>
      </w:r>
    </w:p>
    <w:p w14:paraId="2125E4DA" w14:textId="77777777" w:rsidR="00D17B70" w:rsidRPr="003F140D" w:rsidRDefault="00D17B70" w:rsidP="00D17B70">
      <w:pPr>
        <w:pStyle w:val="NormalWeb"/>
        <w:jc w:val="both"/>
      </w:pPr>
      <w:r w:rsidRPr="003F140D">
        <w:t xml:space="preserve">Three aquatic organisms commonly consumed in the region were selected: Tilapia sp., </w:t>
      </w:r>
      <w:proofErr w:type="spellStart"/>
      <w:r w:rsidRPr="003F140D">
        <w:t>Clarias</w:t>
      </w:r>
      <w:proofErr w:type="spellEnd"/>
      <w:r w:rsidRPr="003F140D">
        <w:t xml:space="preserve"> </w:t>
      </w:r>
      <w:proofErr w:type="spellStart"/>
      <w:r w:rsidRPr="003F140D">
        <w:t>gariepinus</w:t>
      </w:r>
      <w:proofErr w:type="spellEnd"/>
      <w:r w:rsidRPr="003F140D">
        <w:t xml:space="preserve">, and </w:t>
      </w:r>
      <w:proofErr w:type="spellStart"/>
      <w:r w:rsidRPr="003F140D">
        <w:t>Macrobrachium</w:t>
      </w:r>
      <w:proofErr w:type="spellEnd"/>
      <w:r w:rsidRPr="003F140D">
        <w:t xml:space="preserve"> </w:t>
      </w:r>
      <w:proofErr w:type="spellStart"/>
      <w:r w:rsidRPr="003F140D">
        <w:t>vollenhovenii</w:t>
      </w:r>
      <w:proofErr w:type="spellEnd"/>
      <w:r w:rsidRPr="003F140D">
        <w:t>. Samples were collected during both wet and dry seasons to evaluate seasonal variations in contaminant exposure and biomarker responses. Fish and prawn samples were obtained using artisanal fishing nets and baited traps at three established landing points along the estuary. Immediately after capture, organisms were placed in labelled ice-cooled containers and transported to the laboratory within 3–4 hours to preserve biochemical integrity.</w:t>
      </w:r>
    </w:p>
    <w:p w14:paraId="45C94E78" w14:textId="77777777" w:rsidR="00D17B70" w:rsidRPr="003F140D" w:rsidRDefault="00D17B70" w:rsidP="00D17B70">
      <w:pPr>
        <w:pStyle w:val="Heading4"/>
        <w:jc w:val="both"/>
      </w:pPr>
      <w:r w:rsidRPr="003F140D">
        <w:t>2.3 Tissue Dissection and Preparation</w:t>
      </w:r>
    </w:p>
    <w:p w14:paraId="56D4322D" w14:textId="77777777" w:rsidR="00D17B70" w:rsidRPr="003F140D" w:rsidRDefault="00D17B70" w:rsidP="00D17B70">
      <w:pPr>
        <w:pStyle w:val="NormalWeb"/>
        <w:jc w:val="both"/>
      </w:pPr>
      <w:r w:rsidRPr="003F140D">
        <w:t>In the laboratory, samples were rinsed with distilled water to remove debris. Muscle tissues were excised using acid-washed stainless-steel scalpels to prevent trace metal contamination. Approximately 5 g of each tissue was homogenised using a glass homogeniser. Aliquots for heavy metal and TPH analysis were stored at −20°C, while those for biomarker analysis were processed immediately to prevent enzymatic degradation.</w:t>
      </w:r>
    </w:p>
    <w:p w14:paraId="2595C75C" w14:textId="77777777" w:rsidR="00D17B70" w:rsidRPr="003F140D" w:rsidRDefault="00D17B70" w:rsidP="00D17B70">
      <w:pPr>
        <w:pStyle w:val="Heading4"/>
        <w:jc w:val="both"/>
      </w:pPr>
      <w:r w:rsidRPr="003F140D">
        <w:t>2.4 Heavy Metal Analysis</w:t>
      </w:r>
    </w:p>
    <w:p w14:paraId="7E0DD42F" w14:textId="77777777" w:rsidR="00D17B70" w:rsidRPr="003F140D" w:rsidRDefault="00D17B70" w:rsidP="00D17B70">
      <w:pPr>
        <w:pStyle w:val="NormalWeb"/>
        <w:jc w:val="both"/>
      </w:pPr>
      <w:r w:rsidRPr="003F140D">
        <w:t>Heavy metals (Pb, Cd, Hg, As, Cr) were quantified following standard wet digestion procedures. One gram of homogenised muscle tissue was placed in a digestion flask and treated with 10 ml of a 3:1 mixture of concentrated nitric acid (HNO₃) and perchloric acid (</w:t>
      </w:r>
      <w:proofErr w:type="spellStart"/>
      <w:r w:rsidRPr="003F140D">
        <w:t>HClO</w:t>
      </w:r>
      <w:proofErr w:type="spellEnd"/>
      <w:r w:rsidRPr="003F140D">
        <w:t>₄). Digestion was carried out on a temperature-controlled hot plate until a clear digest was obtained. After cooling, samples were filtered, diluted to 25 ml with deionised water, and analysed using Atomic Absorption Spectrophotometry (AAS). Calibration curves were prepared using certified standard solutions, and reagent blanks were included to ensure analytical accuracy.</w:t>
      </w:r>
    </w:p>
    <w:p w14:paraId="7391FF04" w14:textId="77777777" w:rsidR="00D17B70" w:rsidRPr="003F140D" w:rsidRDefault="00D17B70" w:rsidP="00D17B70">
      <w:pPr>
        <w:pStyle w:val="Heading4"/>
        <w:jc w:val="both"/>
      </w:pPr>
      <w:r w:rsidRPr="003F140D">
        <w:t>2.5 Total Petroleum Hydrocarbon (TPH) Determination</w:t>
      </w:r>
    </w:p>
    <w:p w14:paraId="42F124AE" w14:textId="77777777" w:rsidR="00D17B70" w:rsidRPr="003F140D" w:rsidRDefault="00D17B70" w:rsidP="00D17B70">
      <w:pPr>
        <w:pStyle w:val="NormalWeb"/>
        <w:jc w:val="both"/>
      </w:pPr>
      <w:r w:rsidRPr="003F140D">
        <w:t>TPH in muscle tissues was measured using Soxhlet extraction. Approximately 2 g of homogenised tissue was placed in a cellulose extraction thimble and extracted with n-hexane for 6 hours. The extract was concentrated using a rotary evaporator at 40°C, and residual hydrocarbons were quantified spectrophotometrically at 420 nm. Results were expressed as mg/kg wet weight.</w:t>
      </w:r>
    </w:p>
    <w:p w14:paraId="3818F42A" w14:textId="77777777" w:rsidR="00D17B70" w:rsidRPr="003F140D" w:rsidRDefault="00D17B70" w:rsidP="00D17B70">
      <w:pPr>
        <w:pStyle w:val="Heading4"/>
        <w:jc w:val="both"/>
      </w:pPr>
      <w:r w:rsidRPr="003F140D">
        <w:t>2.6 Biomarker Assays</w:t>
      </w:r>
    </w:p>
    <w:p w14:paraId="305BB7A4" w14:textId="77777777" w:rsidR="00D17B70" w:rsidRPr="003F140D" w:rsidRDefault="00D17B70" w:rsidP="00D17B70">
      <w:pPr>
        <w:pStyle w:val="NormalWeb"/>
        <w:jc w:val="both"/>
      </w:pPr>
      <w:r w:rsidRPr="003F140D">
        <w:t>Biomarker analysis was performed to evaluate enzymatic and oxidative stress responses associated with contaminant exposure.</w:t>
      </w:r>
    </w:p>
    <w:p w14:paraId="49A0D3E3" w14:textId="77777777" w:rsidR="00D17B70" w:rsidRPr="003F140D" w:rsidRDefault="00D17B70" w:rsidP="00D17B70">
      <w:pPr>
        <w:pStyle w:val="NormalWeb"/>
        <w:jc w:val="both"/>
      </w:pPr>
      <w:r w:rsidRPr="003F140D">
        <w:lastRenderedPageBreak/>
        <w:t>• Catalase (CAT) activity was determined based on the decomposition rate of hydrogen peroxide and expressed as units per milligram of protein (U/mg).</w:t>
      </w:r>
      <w:r w:rsidRPr="003F140D">
        <w:br/>
        <w:t>• Glutathione S-transferase (GST) activity was measured using 1-chloro-2,4-dinitrobenzene (CDNB) as the substrate, with activity expressed in U/mg protein.</w:t>
      </w:r>
      <w:r w:rsidRPr="003F140D">
        <w:br/>
        <w:t xml:space="preserve">• Malondialdehyde (MDA), an indicator of lipid peroxidation, was quantified using the </w:t>
      </w:r>
      <w:proofErr w:type="spellStart"/>
      <w:r w:rsidRPr="003F140D">
        <w:t>thiobarbituric</w:t>
      </w:r>
      <w:proofErr w:type="spellEnd"/>
      <w:r w:rsidRPr="003F140D">
        <w:t xml:space="preserve"> acid reactive substances (TBARS) method and expressed in nmol/mg protein.</w:t>
      </w:r>
    </w:p>
    <w:p w14:paraId="39ED85FB" w14:textId="77777777" w:rsidR="00D17B70" w:rsidRPr="003F140D" w:rsidRDefault="00D17B70" w:rsidP="00D17B70">
      <w:pPr>
        <w:pStyle w:val="NormalWeb"/>
        <w:jc w:val="both"/>
      </w:pPr>
      <w:r w:rsidRPr="003F140D">
        <w:t>Protein concentration was determined using the Lowry method to normalise biomarker data.</w:t>
      </w:r>
    </w:p>
    <w:p w14:paraId="6839B1D7" w14:textId="77777777" w:rsidR="00D17B70" w:rsidRPr="003F140D" w:rsidRDefault="00D17B70" w:rsidP="00D17B70">
      <w:pPr>
        <w:pStyle w:val="Heading4"/>
        <w:jc w:val="both"/>
      </w:pPr>
      <w:r w:rsidRPr="003F140D">
        <w:t>2.7 Seasonal Assessment</w:t>
      </w:r>
    </w:p>
    <w:p w14:paraId="08688623" w14:textId="77777777" w:rsidR="00D17B70" w:rsidRPr="003F140D" w:rsidRDefault="00D17B70" w:rsidP="00D17B70">
      <w:pPr>
        <w:pStyle w:val="NormalWeb"/>
        <w:jc w:val="both"/>
      </w:pPr>
      <w:r w:rsidRPr="003F140D">
        <w:t xml:space="preserve">To evaluate seasonal influences, Tilapia sp. and </w:t>
      </w:r>
      <w:proofErr w:type="spellStart"/>
      <w:r w:rsidRPr="003F140D">
        <w:t>Clarias</w:t>
      </w:r>
      <w:proofErr w:type="spellEnd"/>
      <w:r w:rsidRPr="003F140D">
        <w:t xml:space="preserve"> </w:t>
      </w:r>
      <w:proofErr w:type="spellStart"/>
      <w:r w:rsidRPr="003F140D">
        <w:t>gariepinus</w:t>
      </w:r>
      <w:proofErr w:type="spellEnd"/>
      <w:r w:rsidRPr="003F140D">
        <w:t xml:space="preserve"> were sampled in both wet and dry seasons. Differences in TPH, Pb, and MDA values were compared descriptively to determine the impact of rainfall-driven runoff and tidal flushing on contaminant distribution and physiological responses.</w:t>
      </w:r>
    </w:p>
    <w:p w14:paraId="2CEE97F3" w14:textId="77777777" w:rsidR="00D17B70" w:rsidRPr="003F140D" w:rsidRDefault="00D17B70" w:rsidP="00D17B70">
      <w:pPr>
        <w:pStyle w:val="Heading4"/>
        <w:jc w:val="both"/>
      </w:pPr>
      <w:r w:rsidRPr="003F140D">
        <w:t>2.8 Quality Assurance and Quality Control</w:t>
      </w:r>
    </w:p>
    <w:p w14:paraId="584817B3" w14:textId="77777777" w:rsidR="00D17B70" w:rsidRPr="003F140D" w:rsidRDefault="00D17B70" w:rsidP="00D17B70">
      <w:pPr>
        <w:pStyle w:val="NormalWeb"/>
        <w:jc w:val="both"/>
      </w:pPr>
      <w:r w:rsidRPr="003F140D">
        <w:t>All analytical reagents were of analytical grade. Glassware was soaked in 10% nitric acid and rinsed thoroughly with deionised water before use. Instrument calibration achieved correlation coefficients (R² &gt; 0.995). Digestion and extraction recoveries ranged from 85–105%, confirming acceptable analytical accuracy. Biomarker assays were performed in triplicate to ensure reproducibility.</w:t>
      </w:r>
    </w:p>
    <w:p w14:paraId="32AD8C95" w14:textId="77777777" w:rsidR="00453439" w:rsidRPr="00453439"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3.0 Results</w:t>
      </w:r>
    </w:p>
    <w:p w14:paraId="46F6FD28" w14:textId="77777777" w:rsidR="00453439" w:rsidRPr="00453439"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 xml:space="preserve">This study examined hydrocarbon and heavy metal concentrations in selected fish and crustacean species, alongside biomarker responses indicative of oxidative stress resulting from pollutant exposure. In addition, seasonal variations in total petroleum hydrocarbons (TPH), heavy metals, and oxidative stress markers were assessed for Tilapia sp. and </w:t>
      </w:r>
      <w:proofErr w:type="spellStart"/>
      <w:r w:rsidRPr="00453439">
        <w:rPr>
          <w:rFonts w:ascii="Times New Roman" w:eastAsia="Times New Roman" w:hAnsi="Times New Roman" w:cs="Times New Roman"/>
          <w:sz w:val="24"/>
          <w:szCs w:val="24"/>
          <w:lang w:eastAsia="en-GB"/>
        </w:rPr>
        <w:t>Clarias</w:t>
      </w:r>
      <w:proofErr w:type="spellEnd"/>
      <w:r w:rsidRPr="00453439">
        <w:rPr>
          <w:rFonts w:ascii="Times New Roman" w:eastAsia="Times New Roman" w:hAnsi="Times New Roman" w:cs="Times New Roman"/>
          <w:sz w:val="24"/>
          <w:szCs w:val="24"/>
          <w:lang w:eastAsia="en-GB"/>
        </w:rPr>
        <w:t xml:space="preserve"> </w:t>
      </w:r>
      <w:proofErr w:type="spellStart"/>
      <w:r w:rsidRPr="00453439">
        <w:rPr>
          <w:rFonts w:ascii="Times New Roman" w:eastAsia="Times New Roman" w:hAnsi="Times New Roman" w:cs="Times New Roman"/>
          <w:sz w:val="24"/>
          <w:szCs w:val="24"/>
          <w:lang w:eastAsia="en-GB"/>
        </w:rPr>
        <w:t>gariepinus</w:t>
      </w:r>
      <w:proofErr w:type="spellEnd"/>
      <w:r w:rsidRPr="00453439">
        <w:rPr>
          <w:rFonts w:ascii="Times New Roman" w:eastAsia="Times New Roman" w:hAnsi="Times New Roman" w:cs="Times New Roman"/>
          <w:sz w:val="24"/>
          <w:szCs w:val="24"/>
          <w:lang w:eastAsia="en-GB"/>
        </w:rPr>
        <w:t>. The results are presented in Tables 1–3.</w:t>
      </w:r>
    </w:p>
    <w:p w14:paraId="0C5AB6E2" w14:textId="77777777" w:rsidR="00453439" w:rsidRPr="00453439"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3.1 Hydrocarbon and Heavy Metal Levels in Tissues</w:t>
      </w:r>
    </w:p>
    <w:p w14:paraId="0F26BD4B" w14:textId="77777777" w:rsidR="00453439" w:rsidRPr="00453439"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 xml:space="preserve">The concentrations of Pb, Cd, Hg, As, Cr, and total petroleum hydrocarbons (TPH) varied across species (Table 1). Lead (Pb) levels ranged from 0.40–0.55 µg/g, with </w:t>
      </w:r>
      <w:proofErr w:type="spellStart"/>
      <w:r w:rsidRPr="00453439">
        <w:rPr>
          <w:rFonts w:ascii="Times New Roman" w:eastAsia="Times New Roman" w:hAnsi="Times New Roman" w:cs="Times New Roman"/>
          <w:sz w:val="24"/>
          <w:szCs w:val="24"/>
          <w:lang w:eastAsia="en-GB"/>
        </w:rPr>
        <w:t>Clarias</w:t>
      </w:r>
      <w:proofErr w:type="spellEnd"/>
      <w:r w:rsidRPr="00453439">
        <w:rPr>
          <w:rFonts w:ascii="Times New Roman" w:eastAsia="Times New Roman" w:hAnsi="Times New Roman" w:cs="Times New Roman"/>
          <w:sz w:val="24"/>
          <w:szCs w:val="24"/>
          <w:lang w:eastAsia="en-GB"/>
        </w:rPr>
        <w:t xml:space="preserve"> </w:t>
      </w:r>
      <w:proofErr w:type="spellStart"/>
      <w:r w:rsidRPr="00453439">
        <w:rPr>
          <w:rFonts w:ascii="Times New Roman" w:eastAsia="Times New Roman" w:hAnsi="Times New Roman" w:cs="Times New Roman"/>
          <w:sz w:val="24"/>
          <w:szCs w:val="24"/>
          <w:lang w:eastAsia="en-GB"/>
        </w:rPr>
        <w:t>gariepinus</w:t>
      </w:r>
      <w:proofErr w:type="spellEnd"/>
      <w:r w:rsidRPr="00453439">
        <w:rPr>
          <w:rFonts w:ascii="Times New Roman" w:eastAsia="Times New Roman" w:hAnsi="Times New Roman" w:cs="Times New Roman"/>
          <w:sz w:val="24"/>
          <w:szCs w:val="24"/>
          <w:lang w:eastAsia="en-GB"/>
        </w:rPr>
        <w:t xml:space="preserve"> recording the highest concentration (0.55 µg/g). Cadmium (Cd) remained low across species (0.02–0.03 µg/g), while mercury (Hg) ranged from 0.08–0.13 µg/g, again with </w:t>
      </w:r>
      <w:proofErr w:type="spellStart"/>
      <w:r w:rsidRPr="00453439">
        <w:rPr>
          <w:rFonts w:ascii="Times New Roman" w:eastAsia="Times New Roman" w:hAnsi="Times New Roman" w:cs="Times New Roman"/>
          <w:sz w:val="24"/>
          <w:szCs w:val="24"/>
          <w:lang w:eastAsia="en-GB"/>
        </w:rPr>
        <w:t>Clarias</w:t>
      </w:r>
      <w:proofErr w:type="spellEnd"/>
      <w:r w:rsidRPr="00453439">
        <w:rPr>
          <w:rFonts w:ascii="Times New Roman" w:eastAsia="Times New Roman" w:hAnsi="Times New Roman" w:cs="Times New Roman"/>
          <w:sz w:val="24"/>
          <w:szCs w:val="24"/>
          <w:lang w:eastAsia="en-GB"/>
        </w:rPr>
        <w:t xml:space="preserve"> </w:t>
      </w:r>
      <w:proofErr w:type="spellStart"/>
      <w:r w:rsidRPr="00453439">
        <w:rPr>
          <w:rFonts w:ascii="Times New Roman" w:eastAsia="Times New Roman" w:hAnsi="Times New Roman" w:cs="Times New Roman"/>
          <w:sz w:val="24"/>
          <w:szCs w:val="24"/>
          <w:lang w:eastAsia="en-GB"/>
        </w:rPr>
        <w:t>gariepinus</w:t>
      </w:r>
      <w:proofErr w:type="spellEnd"/>
      <w:r w:rsidRPr="00453439">
        <w:rPr>
          <w:rFonts w:ascii="Times New Roman" w:eastAsia="Times New Roman" w:hAnsi="Times New Roman" w:cs="Times New Roman"/>
          <w:sz w:val="24"/>
          <w:szCs w:val="24"/>
          <w:lang w:eastAsia="en-GB"/>
        </w:rPr>
        <w:t xml:space="preserve"> showing the highest value. Arsenic (As) concentrations were between 0.11 and 0.16 µg/g, and chromium (Cr) ranged from 0.29 to 0.36 µg/g. TPH values ranged from 3.5–4.2 mg/kg, showing measurable hydrocarbon exposure in all species.</w:t>
      </w:r>
    </w:p>
    <w:p w14:paraId="5C389AC5" w14:textId="77777777" w:rsidR="00453439" w:rsidRPr="00453439"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453439">
        <w:rPr>
          <w:rFonts w:ascii="Times New Roman" w:eastAsia="Times New Roman" w:hAnsi="Times New Roman" w:cs="Times New Roman"/>
          <w:sz w:val="24"/>
          <w:szCs w:val="24"/>
          <w:lang w:eastAsia="en-GB"/>
        </w:rPr>
        <w:t>Clarias</w:t>
      </w:r>
      <w:proofErr w:type="spellEnd"/>
      <w:r w:rsidRPr="00453439">
        <w:rPr>
          <w:rFonts w:ascii="Times New Roman" w:eastAsia="Times New Roman" w:hAnsi="Times New Roman" w:cs="Times New Roman"/>
          <w:sz w:val="24"/>
          <w:szCs w:val="24"/>
          <w:lang w:eastAsia="en-GB"/>
        </w:rPr>
        <w:t xml:space="preserve"> </w:t>
      </w:r>
      <w:proofErr w:type="spellStart"/>
      <w:r w:rsidRPr="00453439">
        <w:rPr>
          <w:rFonts w:ascii="Times New Roman" w:eastAsia="Times New Roman" w:hAnsi="Times New Roman" w:cs="Times New Roman"/>
          <w:sz w:val="24"/>
          <w:szCs w:val="24"/>
          <w:lang w:eastAsia="en-GB"/>
        </w:rPr>
        <w:t>gariepinus</w:t>
      </w:r>
      <w:proofErr w:type="spellEnd"/>
      <w:r w:rsidRPr="00453439">
        <w:rPr>
          <w:rFonts w:ascii="Times New Roman" w:eastAsia="Times New Roman" w:hAnsi="Times New Roman" w:cs="Times New Roman"/>
          <w:sz w:val="24"/>
          <w:szCs w:val="24"/>
          <w:lang w:eastAsia="en-GB"/>
        </w:rPr>
        <w:t xml:space="preserve"> consistently exhibited the highest concentrations of all measured contaminants, indicating its strong susceptibility to bioaccumulation, possibly due to benthic feeding habits and increased contact with sediment-associated pollutants.</w:t>
      </w:r>
    </w:p>
    <w:p w14:paraId="02965E13" w14:textId="77777777" w:rsidR="00453439" w:rsidRPr="00453439"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Table 1: Hydrocarbon &amp; Heavy Metal Levels in Tissues (µg/g; TPH in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8"/>
        <w:gridCol w:w="981"/>
        <w:gridCol w:w="964"/>
        <w:gridCol w:w="480"/>
        <w:gridCol w:w="850"/>
        <w:gridCol w:w="967"/>
        <w:gridCol w:w="1585"/>
      </w:tblGrid>
      <w:tr w:rsidR="00453439" w:rsidRPr="003F140D" w14:paraId="33B3B6F6" w14:textId="77777777" w:rsidTr="00453439">
        <w:trPr>
          <w:tblHeader/>
          <w:tblCellSpacing w:w="15" w:type="dxa"/>
        </w:trPr>
        <w:tc>
          <w:tcPr>
            <w:tcW w:w="0" w:type="auto"/>
            <w:vAlign w:val="center"/>
            <w:hideMark/>
          </w:tcPr>
          <w:p w14:paraId="5DA39E98"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lastRenderedPageBreak/>
              <w:t>Species</w:t>
            </w:r>
          </w:p>
        </w:tc>
        <w:tc>
          <w:tcPr>
            <w:tcW w:w="951" w:type="dxa"/>
            <w:vAlign w:val="center"/>
            <w:hideMark/>
          </w:tcPr>
          <w:p w14:paraId="6908270D"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Pb</w:t>
            </w:r>
          </w:p>
        </w:tc>
        <w:tc>
          <w:tcPr>
            <w:tcW w:w="934" w:type="dxa"/>
            <w:vAlign w:val="center"/>
            <w:hideMark/>
          </w:tcPr>
          <w:p w14:paraId="78CF1BE6"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Cd</w:t>
            </w:r>
          </w:p>
        </w:tc>
        <w:tc>
          <w:tcPr>
            <w:tcW w:w="450" w:type="dxa"/>
            <w:vAlign w:val="center"/>
            <w:hideMark/>
          </w:tcPr>
          <w:p w14:paraId="3C6E4243"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Hg</w:t>
            </w:r>
          </w:p>
        </w:tc>
        <w:tc>
          <w:tcPr>
            <w:tcW w:w="820" w:type="dxa"/>
            <w:vAlign w:val="center"/>
            <w:hideMark/>
          </w:tcPr>
          <w:p w14:paraId="6CF0D9FB"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As</w:t>
            </w:r>
          </w:p>
        </w:tc>
        <w:tc>
          <w:tcPr>
            <w:tcW w:w="937" w:type="dxa"/>
            <w:vAlign w:val="center"/>
            <w:hideMark/>
          </w:tcPr>
          <w:p w14:paraId="6EE7639F"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Cr</w:t>
            </w:r>
          </w:p>
        </w:tc>
        <w:tc>
          <w:tcPr>
            <w:tcW w:w="1540" w:type="dxa"/>
            <w:vAlign w:val="center"/>
            <w:hideMark/>
          </w:tcPr>
          <w:p w14:paraId="3DE5CB44"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TPH (mg/kg)</w:t>
            </w:r>
          </w:p>
        </w:tc>
      </w:tr>
      <w:tr w:rsidR="00453439" w:rsidRPr="003F140D" w14:paraId="707E2EFA" w14:textId="77777777" w:rsidTr="00453439">
        <w:trPr>
          <w:tblCellSpacing w:w="15" w:type="dxa"/>
        </w:trPr>
        <w:tc>
          <w:tcPr>
            <w:tcW w:w="0" w:type="auto"/>
            <w:vAlign w:val="center"/>
            <w:hideMark/>
          </w:tcPr>
          <w:p w14:paraId="107ECB3E"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Tilapia sp.</w:t>
            </w:r>
          </w:p>
        </w:tc>
        <w:tc>
          <w:tcPr>
            <w:tcW w:w="951" w:type="dxa"/>
            <w:vAlign w:val="center"/>
            <w:hideMark/>
          </w:tcPr>
          <w:p w14:paraId="6B47D520"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0.40</w:t>
            </w:r>
          </w:p>
        </w:tc>
        <w:tc>
          <w:tcPr>
            <w:tcW w:w="934" w:type="dxa"/>
            <w:vAlign w:val="center"/>
            <w:hideMark/>
          </w:tcPr>
          <w:p w14:paraId="3DC81108"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0.02</w:t>
            </w:r>
          </w:p>
        </w:tc>
        <w:tc>
          <w:tcPr>
            <w:tcW w:w="450" w:type="dxa"/>
            <w:vAlign w:val="center"/>
            <w:hideMark/>
          </w:tcPr>
          <w:p w14:paraId="3F4222AB"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0.09</w:t>
            </w:r>
          </w:p>
        </w:tc>
        <w:tc>
          <w:tcPr>
            <w:tcW w:w="820" w:type="dxa"/>
            <w:vAlign w:val="center"/>
            <w:hideMark/>
          </w:tcPr>
          <w:p w14:paraId="6738CDE4"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0.11</w:t>
            </w:r>
          </w:p>
        </w:tc>
        <w:tc>
          <w:tcPr>
            <w:tcW w:w="937" w:type="dxa"/>
            <w:vAlign w:val="center"/>
            <w:hideMark/>
          </w:tcPr>
          <w:p w14:paraId="093F8085"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0.29</w:t>
            </w:r>
          </w:p>
        </w:tc>
        <w:tc>
          <w:tcPr>
            <w:tcW w:w="1540" w:type="dxa"/>
            <w:vAlign w:val="center"/>
            <w:hideMark/>
          </w:tcPr>
          <w:p w14:paraId="643215E0"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3.5</w:t>
            </w:r>
          </w:p>
        </w:tc>
      </w:tr>
      <w:tr w:rsidR="00453439" w:rsidRPr="003F140D" w14:paraId="0E47DD85" w14:textId="77777777" w:rsidTr="00453439">
        <w:trPr>
          <w:tblCellSpacing w:w="15" w:type="dxa"/>
        </w:trPr>
        <w:tc>
          <w:tcPr>
            <w:tcW w:w="0" w:type="auto"/>
            <w:vAlign w:val="center"/>
            <w:hideMark/>
          </w:tcPr>
          <w:p w14:paraId="33DD2FA5"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proofErr w:type="spellStart"/>
            <w:r w:rsidRPr="00453439">
              <w:rPr>
                <w:rFonts w:ascii="Times New Roman" w:eastAsia="Times New Roman" w:hAnsi="Times New Roman" w:cs="Times New Roman"/>
                <w:sz w:val="24"/>
                <w:szCs w:val="24"/>
                <w:lang w:eastAsia="en-GB"/>
              </w:rPr>
              <w:t>Clarias</w:t>
            </w:r>
            <w:proofErr w:type="spellEnd"/>
            <w:r w:rsidRPr="00453439">
              <w:rPr>
                <w:rFonts w:ascii="Times New Roman" w:eastAsia="Times New Roman" w:hAnsi="Times New Roman" w:cs="Times New Roman"/>
                <w:sz w:val="24"/>
                <w:szCs w:val="24"/>
                <w:lang w:eastAsia="en-GB"/>
              </w:rPr>
              <w:t xml:space="preserve"> </w:t>
            </w:r>
            <w:proofErr w:type="spellStart"/>
            <w:r w:rsidRPr="00453439">
              <w:rPr>
                <w:rFonts w:ascii="Times New Roman" w:eastAsia="Times New Roman" w:hAnsi="Times New Roman" w:cs="Times New Roman"/>
                <w:sz w:val="24"/>
                <w:szCs w:val="24"/>
                <w:lang w:eastAsia="en-GB"/>
              </w:rPr>
              <w:t>gariepinus</w:t>
            </w:r>
            <w:proofErr w:type="spellEnd"/>
          </w:p>
        </w:tc>
        <w:tc>
          <w:tcPr>
            <w:tcW w:w="951" w:type="dxa"/>
            <w:vAlign w:val="center"/>
            <w:hideMark/>
          </w:tcPr>
          <w:p w14:paraId="4779AC7A"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0.55</w:t>
            </w:r>
          </w:p>
        </w:tc>
        <w:tc>
          <w:tcPr>
            <w:tcW w:w="934" w:type="dxa"/>
            <w:vAlign w:val="center"/>
            <w:hideMark/>
          </w:tcPr>
          <w:p w14:paraId="21DA8E80"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0.03</w:t>
            </w:r>
          </w:p>
        </w:tc>
        <w:tc>
          <w:tcPr>
            <w:tcW w:w="450" w:type="dxa"/>
            <w:vAlign w:val="center"/>
            <w:hideMark/>
          </w:tcPr>
          <w:p w14:paraId="58999798"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0.13</w:t>
            </w:r>
          </w:p>
        </w:tc>
        <w:tc>
          <w:tcPr>
            <w:tcW w:w="820" w:type="dxa"/>
            <w:vAlign w:val="center"/>
            <w:hideMark/>
          </w:tcPr>
          <w:p w14:paraId="17598CEB"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0.16</w:t>
            </w:r>
          </w:p>
        </w:tc>
        <w:tc>
          <w:tcPr>
            <w:tcW w:w="937" w:type="dxa"/>
            <w:vAlign w:val="center"/>
            <w:hideMark/>
          </w:tcPr>
          <w:p w14:paraId="617FE005"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0.36</w:t>
            </w:r>
          </w:p>
        </w:tc>
        <w:tc>
          <w:tcPr>
            <w:tcW w:w="1540" w:type="dxa"/>
            <w:vAlign w:val="center"/>
            <w:hideMark/>
          </w:tcPr>
          <w:p w14:paraId="01C2190E"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4.2</w:t>
            </w:r>
          </w:p>
        </w:tc>
      </w:tr>
      <w:tr w:rsidR="00453439" w:rsidRPr="003F140D" w14:paraId="78587380" w14:textId="77777777" w:rsidTr="00453439">
        <w:trPr>
          <w:tblCellSpacing w:w="15" w:type="dxa"/>
        </w:trPr>
        <w:tc>
          <w:tcPr>
            <w:tcW w:w="0" w:type="auto"/>
            <w:vAlign w:val="center"/>
            <w:hideMark/>
          </w:tcPr>
          <w:p w14:paraId="7609E9F8"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proofErr w:type="spellStart"/>
            <w:r w:rsidRPr="00453439">
              <w:rPr>
                <w:rFonts w:ascii="Times New Roman" w:eastAsia="Times New Roman" w:hAnsi="Times New Roman" w:cs="Times New Roman"/>
                <w:sz w:val="24"/>
                <w:szCs w:val="24"/>
                <w:lang w:eastAsia="en-GB"/>
              </w:rPr>
              <w:t>Macrobrachium</w:t>
            </w:r>
            <w:proofErr w:type="spellEnd"/>
            <w:r w:rsidRPr="00453439">
              <w:rPr>
                <w:rFonts w:ascii="Times New Roman" w:eastAsia="Times New Roman" w:hAnsi="Times New Roman" w:cs="Times New Roman"/>
                <w:sz w:val="24"/>
                <w:szCs w:val="24"/>
                <w:lang w:eastAsia="en-GB"/>
              </w:rPr>
              <w:t xml:space="preserve"> </w:t>
            </w:r>
            <w:proofErr w:type="spellStart"/>
            <w:r w:rsidRPr="00453439">
              <w:rPr>
                <w:rFonts w:ascii="Times New Roman" w:eastAsia="Times New Roman" w:hAnsi="Times New Roman" w:cs="Times New Roman"/>
                <w:sz w:val="24"/>
                <w:szCs w:val="24"/>
                <w:lang w:eastAsia="en-GB"/>
              </w:rPr>
              <w:t>vollenhovenii</w:t>
            </w:r>
            <w:proofErr w:type="spellEnd"/>
          </w:p>
        </w:tc>
        <w:tc>
          <w:tcPr>
            <w:tcW w:w="951" w:type="dxa"/>
            <w:vAlign w:val="center"/>
            <w:hideMark/>
          </w:tcPr>
          <w:p w14:paraId="7561B7D7"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0.42</w:t>
            </w:r>
          </w:p>
        </w:tc>
        <w:tc>
          <w:tcPr>
            <w:tcW w:w="934" w:type="dxa"/>
            <w:vAlign w:val="center"/>
            <w:hideMark/>
          </w:tcPr>
          <w:p w14:paraId="40D6B0E9"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0.02</w:t>
            </w:r>
          </w:p>
        </w:tc>
        <w:tc>
          <w:tcPr>
            <w:tcW w:w="450" w:type="dxa"/>
            <w:vAlign w:val="center"/>
            <w:hideMark/>
          </w:tcPr>
          <w:p w14:paraId="074DB397"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0.08</w:t>
            </w:r>
          </w:p>
        </w:tc>
        <w:tc>
          <w:tcPr>
            <w:tcW w:w="820" w:type="dxa"/>
            <w:vAlign w:val="center"/>
            <w:hideMark/>
          </w:tcPr>
          <w:p w14:paraId="4AEF4C45"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0.12</w:t>
            </w:r>
          </w:p>
        </w:tc>
        <w:tc>
          <w:tcPr>
            <w:tcW w:w="937" w:type="dxa"/>
            <w:vAlign w:val="center"/>
            <w:hideMark/>
          </w:tcPr>
          <w:p w14:paraId="594DD78B"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0.31</w:t>
            </w:r>
          </w:p>
        </w:tc>
        <w:tc>
          <w:tcPr>
            <w:tcW w:w="1540" w:type="dxa"/>
            <w:vAlign w:val="center"/>
            <w:hideMark/>
          </w:tcPr>
          <w:p w14:paraId="1A52DF97"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3.8</w:t>
            </w:r>
          </w:p>
        </w:tc>
      </w:tr>
    </w:tbl>
    <w:p w14:paraId="4E4AB43C" w14:textId="77777777" w:rsidR="0070676B" w:rsidRPr="003F140D" w:rsidRDefault="0070676B"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3F140D">
        <w:rPr>
          <w:rFonts w:ascii="Times New Roman" w:hAnsi="Times New Roman" w:cs="Times New Roman"/>
          <w:noProof/>
          <w:sz w:val="24"/>
          <w:szCs w:val="24"/>
        </w:rPr>
        <w:drawing>
          <wp:inline distT="0" distB="0" distL="0" distR="0" wp14:anchorId="715A3FE8" wp14:editId="4C5A3212">
            <wp:extent cx="5098642" cy="3300723"/>
            <wp:effectExtent l="0" t="0" r="6985" b="0"/>
            <wp:docPr id="1" name="Picture 1" descr="file:///C:/Users/user/Downloads/49114542-e316-403f-bd53-83f72614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e:///C:/Users/user/Downloads/49114542-e316-403f-bd53-83f72614067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841"/>
                    <a:stretch/>
                  </pic:blipFill>
                  <pic:spPr bwMode="auto">
                    <a:xfrm>
                      <a:off x="0" y="0"/>
                      <a:ext cx="5107529" cy="3306476"/>
                    </a:xfrm>
                    <a:prstGeom prst="rect">
                      <a:avLst/>
                    </a:prstGeom>
                    <a:noFill/>
                    <a:ln>
                      <a:noFill/>
                    </a:ln>
                    <a:extLst>
                      <a:ext uri="{53640926-AAD7-44D8-BBD7-CCE9431645EC}">
                        <a14:shadowObscured xmlns:a14="http://schemas.microsoft.com/office/drawing/2010/main"/>
                      </a:ext>
                    </a:extLst>
                  </pic:spPr>
                </pic:pic>
              </a:graphicData>
            </a:graphic>
          </wp:inline>
        </w:drawing>
      </w:r>
    </w:p>
    <w:p w14:paraId="3A3253DC" w14:textId="0E5FB9DA" w:rsidR="0070676B" w:rsidRPr="003F140D" w:rsidRDefault="0070676B" w:rsidP="00D17B70">
      <w:pPr>
        <w:spacing w:before="100" w:beforeAutospacing="1" w:after="100" w:afterAutospacing="1" w:line="240" w:lineRule="auto"/>
        <w:jc w:val="both"/>
        <w:outlineLvl w:val="2"/>
        <w:rPr>
          <w:rFonts w:ascii="Times New Roman" w:hAnsi="Times New Roman" w:cs="Times New Roman"/>
          <w:b/>
          <w:bCs/>
          <w:sz w:val="24"/>
          <w:szCs w:val="24"/>
        </w:rPr>
      </w:pPr>
      <w:r w:rsidRPr="003F140D">
        <w:rPr>
          <w:rFonts w:ascii="Times New Roman" w:hAnsi="Times New Roman" w:cs="Times New Roman"/>
          <w:b/>
          <w:bCs/>
          <w:sz w:val="24"/>
          <w:szCs w:val="24"/>
        </w:rPr>
        <w:t>Figure 1: Total Petroleum Hydrocarbons (TPH) in Species)</w:t>
      </w:r>
    </w:p>
    <w:p w14:paraId="034BE452" w14:textId="336EBC16" w:rsidR="00453439" w:rsidRPr="00453439"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3.2 Biomarker Responses (Enzymatic and Oxidative Stress Indicators)</w:t>
      </w:r>
    </w:p>
    <w:p w14:paraId="32E65D2F" w14:textId="5D038432" w:rsidR="003F140D" w:rsidRPr="003F140D"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 xml:space="preserve">Biomarker responses measured through catalase (CAT), glutathione S-transferase (GST), and malondialdehyde (MDA) showed species-specific variations (Table 2). CAT activity ranged from 45–52 U/mg protein, with </w:t>
      </w:r>
      <w:proofErr w:type="spellStart"/>
      <w:r w:rsidRPr="00453439">
        <w:rPr>
          <w:rFonts w:ascii="Times New Roman" w:eastAsia="Times New Roman" w:hAnsi="Times New Roman" w:cs="Times New Roman"/>
          <w:sz w:val="24"/>
          <w:szCs w:val="24"/>
          <w:lang w:eastAsia="en-GB"/>
        </w:rPr>
        <w:t>Clarias</w:t>
      </w:r>
      <w:proofErr w:type="spellEnd"/>
      <w:r w:rsidRPr="00453439">
        <w:rPr>
          <w:rFonts w:ascii="Times New Roman" w:eastAsia="Times New Roman" w:hAnsi="Times New Roman" w:cs="Times New Roman"/>
          <w:sz w:val="24"/>
          <w:szCs w:val="24"/>
          <w:lang w:eastAsia="en-GB"/>
        </w:rPr>
        <w:t xml:space="preserve"> </w:t>
      </w:r>
      <w:proofErr w:type="spellStart"/>
      <w:r w:rsidRPr="00453439">
        <w:rPr>
          <w:rFonts w:ascii="Times New Roman" w:eastAsia="Times New Roman" w:hAnsi="Times New Roman" w:cs="Times New Roman"/>
          <w:sz w:val="24"/>
          <w:szCs w:val="24"/>
          <w:lang w:eastAsia="en-GB"/>
        </w:rPr>
        <w:t>gariepinus</w:t>
      </w:r>
      <w:proofErr w:type="spellEnd"/>
      <w:r w:rsidRPr="00453439">
        <w:rPr>
          <w:rFonts w:ascii="Times New Roman" w:eastAsia="Times New Roman" w:hAnsi="Times New Roman" w:cs="Times New Roman"/>
          <w:sz w:val="24"/>
          <w:szCs w:val="24"/>
          <w:lang w:eastAsia="en-GB"/>
        </w:rPr>
        <w:t xml:space="preserve"> displaying the highest value (52 U/mg protein)</w:t>
      </w:r>
      <w:r w:rsidR="003F140D" w:rsidRPr="003F140D">
        <w:rPr>
          <w:rFonts w:ascii="Times New Roman" w:eastAsia="Times New Roman" w:hAnsi="Times New Roman" w:cs="Times New Roman"/>
          <w:sz w:val="24"/>
          <w:szCs w:val="24"/>
          <w:lang w:eastAsia="en-GB"/>
        </w:rPr>
        <w:t xml:space="preserve"> as shown in Figure 2</w:t>
      </w:r>
    </w:p>
    <w:p w14:paraId="6AF3695F" w14:textId="1F1C465B" w:rsidR="003F140D" w:rsidRPr="003F140D" w:rsidRDefault="003F140D"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F140D">
        <w:rPr>
          <w:rFonts w:ascii="Times New Roman" w:hAnsi="Times New Roman" w:cs="Times New Roman"/>
          <w:noProof/>
          <w:sz w:val="24"/>
          <w:szCs w:val="24"/>
        </w:rPr>
        <w:lastRenderedPageBreak/>
        <w:drawing>
          <wp:inline distT="0" distB="0" distL="0" distR="0" wp14:anchorId="48F0CA1C" wp14:editId="756204AC">
            <wp:extent cx="4946106" cy="3278125"/>
            <wp:effectExtent l="0" t="0" r="6985" b="0"/>
            <wp:docPr id="4" name="Picture 4" descr="file:///C:/Users/user/Downloads/a4f61ae5-d3ad-4bd4-b2a0-28b196fcbae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le:///C:/Users/user/Downloads/a4f61ae5-d3ad-4bd4-b2a0-28b196fcbae0%20(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80" t="8430" r="-1"/>
                    <a:stretch/>
                  </pic:blipFill>
                  <pic:spPr bwMode="auto">
                    <a:xfrm>
                      <a:off x="0" y="0"/>
                      <a:ext cx="4952457" cy="3282334"/>
                    </a:xfrm>
                    <a:prstGeom prst="rect">
                      <a:avLst/>
                    </a:prstGeom>
                    <a:noFill/>
                    <a:ln>
                      <a:noFill/>
                    </a:ln>
                    <a:extLst>
                      <a:ext uri="{53640926-AAD7-44D8-BBD7-CCE9431645EC}">
                        <a14:shadowObscured xmlns:a14="http://schemas.microsoft.com/office/drawing/2010/main"/>
                      </a:ext>
                    </a:extLst>
                  </pic:spPr>
                </pic:pic>
              </a:graphicData>
            </a:graphic>
          </wp:inline>
        </w:drawing>
      </w:r>
    </w:p>
    <w:p w14:paraId="1AC3CB48" w14:textId="58DE5E07" w:rsidR="003F140D" w:rsidRPr="003F140D" w:rsidRDefault="003F140D"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3F140D">
        <w:rPr>
          <w:rFonts w:ascii="Times New Roman" w:hAnsi="Times New Roman" w:cs="Times New Roman"/>
          <w:b/>
          <w:bCs/>
          <w:sz w:val="24"/>
          <w:szCs w:val="24"/>
        </w:rPr>
        <w:t>Figure 2: Catalase (CAT) Activity in Species</w:t>
      </w:r>
    </w:p>
    <w:p w14:paraId="2C458B7B" w14:textId="5DCD121D" w:rsidR="0070676B" w:rsidRPr="003F140D"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 xml:space="preserve">GST activity followed a similar pattern, with </w:t>
      </w:r>
      <w:proofErr w:type="spellStart"/>
      <w:r w:rsidRPr="00453439">
        <w:rPr>
          <w:rFonts w:ascii="Times New Roman" w:eastAsia="Times New Roman" w:hAnsi="Times New Roman" w:cs="Times New Roman"/>
          <w:sz w:val="24"/>
          <w:szCs w:val="24"/>
          <w:lang w:eastAsia="en-GB"/>
        </w:rPr>
        <w:t>Clarias</w:t>
      </w:r>
      <w:proofErr w:type="spellEnd"/>
      <w:r w:rsidRPr="00453439">
        <w:rPr>
          <w:rFonts w:ascii="Times New Roman" w:eastAsia="Times New Roman" w:hAnsi="Times New Roman" w:cs="Times New Roman"/>
          <w:sz w:val="24"/>
          <w:szCs w:val="24"/>
          <w:lang w:eastAsia="en-GB"/>
        </w:rPr>
        <w:t xml:space="preserve"> </w:t>
      </w:r>
      <w:proofErr w:type="spellStart"/>
      <w:r w:rsidRPr="00453439">
        <w:rPr>
          <w:rFonts w:ascii="Times New Roman" w:eastAsia="Times New Roman" w:hAnsi="Times New Roman" w:cs="Times New Roman"/>
          <w:sz w:val="24"/>
          <w:szCs w:val="24"/>
          <w:lang w:eastAsia="en-GB"/>
        </w:rPr>
        <w:t>gariepinus</w:t>
      </w:r>
      <w:proofErr w:type="spellEnd"/>
      <w:r w:rsidRPr="00453439">
        <w:rPr>
          <w:rFonts w:ascii="Times New Roman" w:eastAsia="Times New Roman" w:hAnsi="Times New Roman" w:cs="Times New Roman"/>
          <w:sz w:val="24"/>
          <w:szCs w:val="24"/>
          <w:lang w:eastAsia="en-GB"/>
        </w:rPr>
        <w:t xml:space="preserve"> recording the highest value (38 U/mg protein) and Tilapia sp. the lowest (30 U/mg protein)</w:t>
      </w:r>
      <w:r w:rsidR="003F140D">
        <w:rPr>
          <w:rFonts w:ascii="Times New Roman" w:eastAsia="Times New Roman" w:hAnsi="Times New Roman" w:cs="Times New Roman"/>
          <w:sz w:val="24"/>
          <w:szCs w:val="24"/>
          <w:lang w:eastAsia="en-GB"/>
        </w:rPr>
        <w:t>,</w:t>
      </w:r>
      <w:r w:rsidR="0070676B" w:rsidRPr="003F140D">
        <w:rPr>
          <w:rFonts w:ascii="Times New Roman" w:eastAsia="Times New Roman" w:hAnsi="Times New Roman" w:cs="Times New Roman"/>
          <w:sz w:val="24"/>
          <w:szCs w:val="24"/>
          <w:lang w:eastAsia="en-GB"/>
        </w:rPr>
        <w:t xml:space="preserve"> as shown in Figure 3</w:t>
      </w:r>
      <w:r w:rsidRPr="00453439">
        <w:rPr>
          <w:rFonts w:ascii="Times New Roman" w:eastAsia="Times New Roman" w:hAnsi="Times New Roman" w:cs="Times New Roman"/>
          <w:sz w:val="24"/>
          <w:szCs w:val="24"/>
          <w:lang w:eastAsia="en-GB"/>
        </w:rPr>
        <w:t xml:space="preserve">. </w:t>
      </w:r>
    </w:p>
    <w:p w14:paraId="2E48E13A" w14:textId="77777777" w:rsidR="003F140D" w:rsidRPr="003F140D" w:rsidRDefault="003F140D" w:rsidP="00D17B70">
      <w:pPr>
        <w:spacing w:before="100" w:beforeAutospacing="1" w:after="100" w:afterAutospacing="1" w:line="240" w:lineRule="auto"/>
        <w:jc w:val="both"/>
        <w:rPr>
          <w:rFonts w:ascii="Times New Roman" w:hAnsi="Times New Roman" w:cs="Times New Roman"/>
          <w:noProof/>
          <w:sz w:val="24"/>
          <w:szCs w:val="24"/>
        </w:rPr>
      </w:pPr>
    </w:p>
    <w:p w14:paraId="05593E01" w14:textId="049935C0" w:rsidR="0070676B" w:rsidRPr="003F140D" w:rsidRDefault="0070676B" w:rsidP="00D17B70">
      <w:pPr>
        <w:spacing w:before="100" w:beforeAutospacing="1" w:after="100" w:afterAutospacing="1" w:line="240" w:lineRule="auto"/>
        <w:jc w:val="both"/>
        <w:rPr>
          <w:rFonts w:ascii="Times New Roman" w:hAnsi="Times New Roman" w:cs="Times New Roman"/>
          <w:sz w:val="24"/>
          <w:szCs w:val="24"/>
        </w:rPr>
      </w:pPr>
      <w:r w:rsidRPr="003F140D">
        <w:rPr>
          <w:rFonts w:ascii="Times New Roman" w:hAnsi="Times New Roman" w:cs="Times New Roman"/>
          <w:noProof/>
          <w:sz w:val="24"/>
          <w:szCs w:val="24"/>
        </w:rPr>
        <w:drawing>
          <wp:inline distT="0" distB="0" distL="0" distR="0" wp14:anchorId="3EF25098" wp14:editId="2E971734">
            <wp:extent cx="5306101" cy="3335026"/>
            <wp:effectExtent l="0" t="0" r="8890" b="0"/>
            <wp:docPr id="3" name="Picture 3" descr="file:///C:/Users/user/Downloads/f1bf5293-f8f3-4624-83b9-5eac8169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le:///C:/Users/user/Downloads/f1bf5293-f8f3-4624-83b9-5eac8169767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0" t="9795"/>
                    <a:stretch/>
                  </pic:blipFill>
                  <pic:spPr bwMode="auto">
                    <a:xfrm>
                      <a:off x="0" y="0"/>
                      <a:ext cx="5311940" cy="3338696"/>
                    </a:xfrm>
                    <a:prstGeom prst="rect">
                      <a:avLst/>
                    </a:prstGeom>
                    <a:noFill/>
                    <a:ln>
                      <a:noFill/>
                    </a:ln>
                    <a:extLst>
                      <a:ext uri="{53640926-AAD7-44D8-BBD7-CCE9431645EC}">
                        <a14:shadowObscured xmlns:a14="http://schemas.microsoft.com/office/drawing/2010/main"/>
                      </a:ext>
                    </a:extLst>
                  </pic:spPr>
                </pic:pic>
              </a:graphicData>
            </a:graphic>
          </wp:inline>
        </w:drawing>
      </w:r>
      <w:r w:rsidRPr="003F140D">
        <w:rPr>
          <w:rFonts w:ascii="Times New Roman" w:hAnsi="Times New Roman" w:cs="Times New Roman"/>
          <w:b/>
          <w:bCs/>
          <w:sz w:val="24"/>
          <w:szCs w:val="24"/>
        </w:rPr>
        <w:t xml:space="preserve">Figure </w:t>
      </w:r>
      <w:r w:rsidR="003F140D" w:rsidRPr="003F140D">
        <w:rPr>
          <w:rFonts w:ascii="Times New Roman" w:hAnsi="Times New Roman" w:cs="Times New Roman"/>
          <w:b/>
          <w:bCs/>
          <w:sz w:val="24"/>
          <w:szCs w:val="24"/>
        </w:rPr>
        <w:t>3</w:t>
      </w:r>
      <w:r w:rsidRPr="003F140D">
        <w:rPr>
          <w:rFonts w:ascii="Times New Roman" w:hAnsi="Times New Roman" w:cs="Times New Roman"/>
          <w:b/>
          <w:bCs/>
          <w:sz w:val="24"/>
          <w:szCs w:val="24"/>
        </w:rPr>
        <w:t>: Glutathione S-Transferase (GST) Activity in Species)</w:t>
      </w:r>
    </w:p>
    <w:p w14:paraId="1182D47D" w14:textId="65944CF5" w:rsidR="00453439" w:rsidRPr="003F140D"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 xml:space="preserve">MDA, an indicator of lipid peroxidation and oxidative damage, ranged from 2.5–3.2 nmol/mg protein, again highest in </w:t>
      </w:r>
      <w:proofErr w:type="spellStart"/>
      <w:r w:rsidRPr="00453439">
        <w:rPr>
          <w:rFonts w:ascii="Times New Roman" w:eastAsia="Times New Roman" w:hAnsi="Times New Roman" w:cs="Times New Roman"/>
          <w:sz w:val="24"/>
          <w:szCs w:val="24"/>
          <w:lang w:eastAsia="en-GB"/>
        </w:rPr>
        <w:t>Clarias</w:t>
      </w:r>
      <w:proofErr w:type="spellEnd"/>
      <w:r w:rsidRPr="00453439">
        <w:rPr>
          <w:rFonts w:ascii="Times New Roman" w:eastAsia="Times New Roman" w:hAnsi="Times New Roman" w:cs="Times New Roman"/>
          <w:sz w:val="24"/>
          <w:szCs w:val="24"/>
          <w:lang w:eastAsia="en-GB"/>
        </w:rPr>
        <w:t xml:space="preserve"> </w:t>
      </w:r>
      <w:proofErr w:type="spellStart"/>
      <w:r w:rsidRPr="00453439">
        <w:rPr>
          <w:rFonts w:ascii="Times New Roman" w:eastAsia="Times New Roman" w:hAnsi="Times New Roman" w:cs="Times New Roman"/>
          <w:sz w:val="24"/>
          <w:szCs w:val="24"/>
          <w:lang w:eastAsia="en-GB"/>
        </w:rPr>
        <w:t>gariepinus</w:t>
      </w:r>
      <w:proofErr w:type="spellEnd"/>
      <w:r w:rsidRPr="00453439">
        <w:rPr>
          <w:rFonts w:ascii="Times New Roman" w:eastAsia="Times New Roman" w:hAnsi="Times New Roman" w:cs="Times New Roman"/>
          <w:sz w:val="24"/>
          <w:szCs w:val="24"/>
          <w:lang w:eastAsia="en-GB"/>
        </w:rPr>
        <w:t xml:space="preserve"> (3.2 nmol/mg)</w:t>
      </w:r>
      <w:r w:rsidR="0070676B" w:rsidRPr="003F140D">
        <w:rPr>
          <w:rFonts w:ascii="Times New Roman" w:eastAsia="Times New Roman" w:hAnsi="Times New Roman" w:cs="Times New Roman"/>
          <w:sz w:val="24"/>
          <w:szCs w:val="24"/>
          <w:lang w:eastAsia="en-GB"/>
        </w:rPr>
        <w:t xml:space="preserve"> as shown in Figure 4</w:t>
      </w:r>
      <w:r w:rsidRPr="00453439">
        <w:rPr>
          <w:rFonts w:ascii="Times New Roman" w:eastAsia="Times New Roman" w:hAnsi="Times New Roman" w:cs="Times New Roman"/>
          <w:sz w:val="24"/>
          <w:szCs w:val="24"/>
          <w:lang w:eastAsia="en-GB"/>
        </w:rPr>
        <w:t>.</w:t>
      </w:r>
    </w:p>
    <w:p w14:paraId="13C61F71" w14:textId="7D033AE9" w:rsidR="0070676B" w:rsidRPr="003F140D" w:rsidRDefault="0070676B"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F140D">
        <w:rPr>
          <w:rFonts w:ascii="Times New Roman" w:hAnsi="Times New Roman" w:cs="Times New Roman"/>
          <w:noProof/>
          <w:sz w:val="24"/>
          <w:szCs w:val="24"/>
        </w:rPr>
        <w:lastRenderedPageBreak/>
        <w:drawing>
          <wp:inline distT="0" distB="0" distL="0" distR="0" wp14:anchorId="5C20DDA7" wp14:editId="29AEB65F">
            <wp:extent cx="5087583" cy="3331962"/>
            <wp:effectExtent l="0" t="0" r="0" b="1905"/>
            <wp:docPr id="2" name="Picture 2" descr="file:///C:/Users/user/Downloads/4c62664d-9d03-448e-9d2c-7852df04ff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e:///C:/Users/user/Downloads/4c62664d-9d03-448e-9d2c-7852df04ffc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80" t="9486" r="-1"/>
                    <a:stretch/>
                  </pic:blipFill>
                  <pic:spPr bwMode="auto">
                    <a:xfrm>
                      <a:off x="0" y="0"/>
                      <a:ext cx="5097684" cy="3338577"/>
                    </a:xfrm>
                    <a:prstGeom prst="rect">
                      <a:avLst/>
                    </a:prstGeom>
                    <a:noFill/>
                    <a:ln>
                      <a:noFill/>
                    </a:ln>
                    <a:extLst>
                      <a:ext uri="{53640926-AAD7-44D8-BBD7-CCE9431645EC}">
                        <a14:shadowObscured xmlns:a14="http://schemas.microsoft.com/office/drawing/2010/main"/>
                      </a:ext>
                    </a:extLst>
                  </pic:spPr>
                </pic:pic>
              </a:graphicData>
            </a:graphic>
          </wp:inline>
        </w:drawing>
      </w:r>
    </w:p>
    <w:p w14:paraId="7FF7F5E0" w14:textId="6381933F" w:rsidR="0070676B" w:rsidRPr="00453439" w:rsidRDefault="0070676B"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3F140D">
        <w:rPr>
          <w:rFonts w:ascii="Times New Roman" w:hAnsi="Times New Roman" w:cs="Times New Roman"/>
          <w:b/>
          <w:bCs/>
          <w:sz w:val="24"/>
          <w:szCs w:val="24"/>
        </w:rPr>
        <w:t>Figure 4: Malondialdehyde (MDA) Levels in Species</w:t>
      </w:r>
    </w:p>
    <w:p w14:paraId="631E89D1" w14:textId="77777777" w:rsidR="00453439" w:rsidRPr="00453439"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These trends indicate that species with higher contaminant burdens exhibited stronger oxidative stress responses, supporting the relationship between toxicant exposure and biomarker activation.</w:t>
      </w:r>
    </w:p>
    <w:p w14:paraId="2599EF91" w14:textId="77777777" w:rsidR="00453439" w:rsidRPr="00453439"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Table 2: Biomarkers (Enzymatic &amp; Oxidative Stress)</w:t>
      </w: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2127"/>
        <w:gridCol w:w="2611"/>
        <w:gridCol w:w="2350"/>
        <w:gridCol w:w="2693"/>
      </w:tblGrid>
      <w:tr w:rsidR="00453439" w:rsidRPr="00453439" w14:paraId="1C839BF5" w14:textId="77777777" w:rsidTr="00453439">
        <w:trPr>
          <w:tblHeader/>
          <w:tblCellSpacing w:w="15" w:type="dxa"/>
        </w:trPr>
        <w:tc>
          <w:tcPr>
            <w:tcW w:w="2082" w:type="dxa"/>
            <w:vAlign w:val="center"/>
            <w:hideMark/>
          </w:tcPr>
          <w:p w14:paraId="1D8862F2"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Species</w:t>
            </w:r>
          </w:p>
        </w:tc>
        <w:tc>
          <w:tcPr>
            <w:tcW w:w="2581" w:type="dxa"/>
            <w:vAlign w:val="center"/>
            <w:hideMark/>
          </w:tcPr>
          <w:p w14:paraId="1448AC84"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CAT (U/mg protein)</w:t>
            </w:r>
          </w:p>
        </w:tc>
        <w:tc>
          <w:tcPr>
            <w:tcW w:w="2320" w:type="dxa"/>
            <w:vAlign w:val="center"/>
            <w:hideMark/>
          </w:tcPr>
          <w:p w14:paraId="430F0C2F"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GST (U/mg protein)</w:t>
            </w:r>
          </w:p>
        </w:tc>
        <w:tc>
          <w:tcPr>
            <w:tcW w:w="2648" w:type="dxa"/>
            <w:vAlign w:val="center"/>
            <w:hideMark/>
          </w:tcPr>
          <w:p w14:paraId="335344D0"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MDA (nmol/mg protein)</w:t>
            </w:r>
          </w:p>
        </w:tc>
      </w:tr>
      <w:tr w:rsidR="00453439" w:rsidRPr="00453439" w14:paraId="078E3B3F" w14:textId="77777777" w:rsidTr="00453439">
        <w:trPr>
          <w:tblCellSpacing w:w="15" w:type="dxa"/>
        </w:trPr>
        <w:tc>
          <w:tcPr>
            <w:tcW w:w="2082" w:type="dxa"/>
            <w:vAlign w:val="center"/>
            <w:hideMark/>
          </w:tcPr>
          <w:p w14:paraId="0002C8EB"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Tilapia sp.</w:t>
            </w:r>
          </w:p>
        </w:tc>
        <w:tc>
          <w:tcPr>
            <w:tcW w:w="2581" w:type="dxa"/>
            <w:vAlign w:val="center"/>
            <w:hideMark/>
          </w:tcPr>
          <w:p w14:paraId="05E29AB8"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45</w:t>
            </w:r>
          </w:p>
        </w:tc>
        <w:tc>
          <w:tcPr>
            <w:tcW w:w="2320" w:type="dxa"/>
            <w:vAlign w:val="center"/>
            <w:hideMark/>
          </w:tcPr>
          <w:p w14:paraId="615632ED"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30</w:t>
            </w:r>
          </w:p>
        </w:tc>
        <w:tc>
          <w:tcPr>
            <w:tcW w:w="2648" w:type="dxa"/>
            <w:vAlign w:val="center"/>
            <w:hideMark/>
          </w:tcPr>
          <w:p w14:paraId="42EC8A9B"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2.5</w:t>
            </w:r>
          </w:p>
        </w:tc>
      </w:tr>
      <w:tr w:rsidR="00453439" w:rsidRPr="00453439" w14:paraId="690C2DB6" w14:textId="77777777" w:rsidTr="00453439">
        <w:trPr>
          <w:tblCellSpacing w:w="15" w:type="dxa"/>
        </w:trPr>
        <w:tc>
          <w:tcPr>
            <w:tcW w:w="2082" w:type="dxa"/>
            <w:vAlign w:val="center"/>
            <w:hideMark/>
          </w:tcPr>
          <w:p w14:paraId="768398AE"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proofErr w:type="spellStart"/>
            <w:r w:rsidRPr="00453439">
              <w:rPr>
                <w:rFonts w:ascii="Times New Roman" w:eastAsia="Times New Roman" w:hAnsi="Times New Roman" w:cs="Times New Roman"/>
                <w:sz w:val="24"/>
                <w:szCs w:val="24"/>
                <w:lang w:eastAsia="en-GB"/>
              </w:rPr>
              <w:t>Clarias</w:t>
            </w:r>
            <w:proofErr w:type="spellEnd"/>
            <w:r w:rsidRPr="00453439">
              <w:rPr>
                <w:rFonts w:ascii="Times New Roman" w:eastAsia="Times New Roman" w:hAnsi="Times New Roman" w:cs="Times New Roman"/>
                <w:sz w:val="24"/>
                <w:szCs w:val="24"/>
                <w:lang w:eastAsia="en-GB"/>
              </w:rPr>
              <w:t xml:space="preserve"> </w:t>
            </w:r>
            <w:proofErr w:type="spellStart"/>
            <w:r w:rsidRPr="00453439">
              <w:rPr>
                <w:rFonts w:ascii="Times New Roman" w:eastAsia="Times New Roman" w:hAnsi="Times New Roman" w:cs="Times New Roman"/>
                <w:sz w:val="24"/>
                <w:szCs w:val="24"/>
                <w:lang w:eastAsia="en-GB"/>
              </w:rPr>
              <w:t>gariepinus</w:t>
            </w:r>
            <w:proofErr w:type="spellEnd"/>
          </w:p>
        </w:tc>
        <w:tc>
          <w:tcPr>
            <w:tcW w:w="2581" w:type="dxa"/>
            <w:vAlign w:val="center"/>
            <w:hideMark/>
          </w:tcPr>
          <w:p w14:paraId="31853F47"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52</w:t>
            </w:r>
          </w:p>
        </w:tc>
        <w:tc>
          <w:tcPr>
            <w:tcW w:w="2320" w:type="dxa"/>
            <w:vAlign w:val="center"/>
            <w:hideMark/>
          </w:tcPr>
          <w:p w14:paraId="5FD94834"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38</w:t>
            </w:r>
          </w:p>
        </w:tc>
        <w:tc>
          <w:tcPr>
            <w:tcW w:w="2648" w:type="dxa"/>
            <w:vAlign w:val="center"/>
            <w:hideMark/>
          </w:tcPr>
          <w:p w14:paraId="2DB3E2AF"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3.2</w:t>
            </w:r>
          </w:p>
        </w:tc>
      </w:tr>
      <w:tr w:rsidR="00453439" w:rsidRPr="00453439" w14:paraId="78A0E3C3" w14:textId="77777777" w:rsidTr="00453439">
        <w:trPr>
          <w:tblCellSpacing w:w="15" w:type="dxa"/>
        </w:trPr>
        <w:tc>
          <w:tcPr>
            <w:tcW w:w="2082" w:type="dxa"/>
            <w:vAlign w:val="center"/>
            <w:hideMark/>
          </w:tcPr>
          <w:p w14:paraId="13428CAA"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proofErr w:type="spellStart"/>
            <w:r w:rsidRPr="00453439">
              <w:rPr>
                <w:rFonts w:ascii="Times New Roman" w:eastAsia="Times New Roman" w:hAnsi="Times New Roman" w:cs="Times New Roman"/>
                <w:sz w:val="24"/>
                <w:szCs w:val="24"/>
                <w:lang w:eastAsia="en-GB"/>
              </w:rPr>
              <w:t>Macrobrachium</w:t>
            </w:r>
            <w:proofErr w:type="spellEnd"/>
            <w:r w:rsidRPr="00453439">
              <w:rPr>
                <w:rFonts w:ascii="Times New Roman" w:eastAsia="Times New Roman" w:hAnsi="Times New Roman" w:cs="Times New Roman"/>
                <w:sz w:val="24"/>
                <w:szCs w:val="24"/>
                <w:lang w:eastAsia="en-GB"/>
              </w:rPr>
              <w:t xml:space="preserve"> </w:t>
            </w:r>
            <w:proofErr w:type="spellStart"/>
            <w:r w:rsidRPr="00453439">
              <w:rPr>
                <w:rFonts w:ascii="Times New Roman" w:eastAsia="Times New Roman" w:hAnsi="Times New Roman" w:cs="Times New Roman"/>
                <w:sz w:val="24"/>
                <w:szCs w:val="24"/>
                <w:lang w:eastAsia="en-GB"/>
              </w:rPr>
              <w:t>vollenhovenii</w:t>
            </w:r>
            <w:proofErr w:type="spellEnd"/>
          </w:p>
        </w:tc>
        <w:tc>
          <w:tcPr>
            <w:tcW w:w="2581" w:type="dxa"/>
            <w:vAlign w:val="center"/>
            <w:hideMark/>
          </w:tcPr>
          <w:p w14:paraId="7B1B1EA9"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48</w:t>
            </w:r>
          </w:p>
        </w:tc>
        <w:tc>
          <w:tcPr>
            <w:tcW w:w="2320" w:type="dxa"/>
            <w:vAlign w:val="center"/>
            <w:hideMark/>
          </w:tcPr>
          <w:p w14:paraId="5A742F7B"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32</w:t>
            </w:r>
          </w:p>
        </w:tc>
        <w:tc>
          <w:tcPr>
            <w:tcW w:w="2648" w:type="dxa"/>
            <w:vAlign w:val="center"/>
            <w:hideMark/>
          </w:tcPr>
          <w:p w14:paraId="364E65B7"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2.8</w:t>
            </w:r>
          </w:p>
        </w:tc>
      </w:tr>
    </w:tbl>
    <w:p w14:paraId="153250DF" w14:textId="2DC07DF8"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p>
    <w:p w14:paraId="46553B26" w14:textId="1DA5389F" w:rsidR="00453439" w:rsidRPr="00453439"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3.3 Seasonal Comparison (Wet vs Dry Season)</w:t>
      </w:r>
    </w:p>
    <w:p w14:paraId="4ECB0D3A" w14:textId="77777777" w:rsidR="00453439" w:rsidRPr="00453439"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 xml:space="preserve">Seasonal differences in TPH, Pb, and MDA were observed for Tilapia sp. and </w:t>
      </w:r>
      <w:proofErr w:type="spellStart"/>
      <w:r w:rsidRPr="00453439">
        <w:rPr>
          <w:rFonts w:ascii="Times New Roman" w:eastAsia="Times New Roman" w:hAnsi="Times New Roman" w:cs="Times New Roman"/>
          <w:sz w:val="24"/>
          <w:szCs w:val="24"/>
          <w:lang w:eastAsia="en-GB"/>
        </w:rPr>
        <w:t>Clarias</w:t>
      </w:r>
      <w:proofErr w:type="spellEnd"/>
      <w:r w:rsidRPr="00453439">
        <w:rPr>
          <w:rFonts w:ascii="Times New Roman" w:eastAsia="Times New Roman" w:hAnsi="Times New Roman" w:cs="Times New Roman"/>
          <w:sz w:val="24"/>
          <w:szCs w:val="24"/>
          <w:lang w:eastAsia="en-GB"/>
        </w:rPr>
        <w:t xml:space="preserve"> </w:t>
      </w:r>
      <w:proofErr w:type="spellStart"/>
      <w:r w:rsidRPr="00453439">
        <w:rPr>
          <w:rFonts w:ascii="Times New Roman" w:eastAsia="Times New Roman" w:hAnsi="Times New Roman" w:cs="Times New Roman"/>
          <w:sz w:val="24"/>
          <w:szCs w:val="24"/>
          <w:lang w:eastAsia="en-GB"/>
        </w:rPr>
        <w:t>gariepinus</w:t>
      </w:r>
      <w:proofErr w:type="spellEnd"/>
      <w:r w:rsidRPr="00453439">
        <w:rPr>
          <w:rFonts w:ascii="Times New Roman" w:eastAsia="Times New Roman" w:hAnsi="Times New Roman" w:cs="Times New Roman"/>
          <w:sz w:val="24"/>
          <w:szCs w:val="24"/>
          <w:lang w:eastAsia="en-GB"/>
        </w:rPr>
        <w:t xml:space="preserve"> (Table 3). TPH concentrations were higher during the wet season (Tilapia sp.: 3.8 mg/kg; </w:t>
      </w:r>
      <w:proofErr w:type="spellStart"/>
      <w:r w:rsidRPr="00453439">
        <w:rPr>
          <w:rFonts w:ascii="Times New Roman" w:eastAsia="Times New Roman" w:hAnsi="Times New Roman" w:cs="Times New Roman"/>
          <w:sz w:val="24"/>
          <w:szCs w:val="24"/>
          <w:lang w:eastAsia="en-GB"/>
        </w:rPr>
        <w:t>Clarias</w:t>
      </w:r>
      <w:proofErr w:type="spellEnd"/>
      <w:r w:rsidRPr="00453439">
        <w:rPr>
          <w:rFonts w:ascii="Times New Roman" w:eastAsia="Times New Roman" w:hAnsi="Times New Roman" w:cs="Times New Roman"/>
          <w:sz w:val="24"/>
          <w:szCs w:val="24"/>
          <w:lang w:eastAsia="en-GB"/>
        </w:rPr>
        <w:t xml:space="preserve"> </w:t>
      </w:r>
      <w:proofErr w:type="spellStart"/>
      <w:r w:rsidRPr="00453439">
        <w:rPr>
          <w:rFonts w:ascii="Times New Roman" w:eastAsia="Times New Roman" w:hAnsi="Times New Roman" w:cs="Times New Roman"/>
          <w:sz w:val="24"/>
          <w:szCs w:val="24"/>
          <w:lang w:eastAsia="en-GB"/>
        </w:rPr>
        <w:t>gariepinus</w:t>
      </w:r>
      <w:proofErr w:type="spellEnd"/>
      <w:r w:rsidRPr="00453439">
        <w:rPr>
          <w:rFonts w:ascii="Times New Roman" w:eastAsia="Times New Roman" w:hAnsi="Times New Roman" w:cs="Times New Roman"/>
          <w:sz w:val="24"/>
          <w:szCs w:val="24"/>
          <w:lang w:eastAsia="en-GB"/>
        </w:rPr>
        <w:t>: 4.5 mg/kg) than the dry season (3.2 and 3.9 mg/kg, respectively). Wet-season Pb values were also slightly elevated relative to the dry season.</w:t>
      </w:r>
    </w:p>
    <w:p w14:paraId="5EC73D8A" w14:textId="77777777" w:rsidR="00453439" w:rsidRPr="00453439"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sz w:val="24"/>
          <w:szCs w:val="24"/>
          <w:lang w:eastAsia="en-GB"/>
        </w:rPr>
        <w:t>MDA levels followed the same pattern, indicating greater oxidative stress during the wet season, likely due to increased runoff transporting hydrocarbons and metals into the aquatic environment.</w:t>
      </w:r>
    </w:p>
    <w:p w14:paraId="1C90BE50" w14:textId="77777777" w:rsidR="00453439" w:rsidRPr="00453439"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Table 3: Seasonal Comparison (Wet vs Dry)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1040"/>
        <w:gridCol w:w="1014"/>
        <w:gridCol w:w="827"/>
        <w:gridCol w:w="800"/>
        <w:gridCol w:w="1120"/>
        <w:gridCol w:w="1109"/>
      </w:tblGrid>
      <w:tr w:rsidR="00453439" w:rsidRPr="00453439" w14:paraId="60EB3404" w14:textId="77777777" w:rsidTr="00453439">
        <w:trPr>
          <w:tblHeader/>
          <w:tblCellSpacing w:w="15" w:type="dxa"/>
        </w:trPr>
        <w:tc>
          <w:tcPr>
            <w:tcW w:w="0" w:type="auto"/>
            <w:vAlign w:val="center"/>
            <w:hideMark/>
          </w:tcPr>
          <w:p w14:paraId="77E1BB1B"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lastRenderedPageBreak/>
              <w:t>Species</w:t>
            </w:r>
          </w:p>
        </w:tc>
        <w:tc>
          <w:tcPr>
            <w:tcW w:w="0" w:type="auto"/>
            <w:vAlign w:val="center"/>
            <w:hideMark/>
          </w:tcPr>
          <w:p w14:paraId="29D3F5EB"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TPH Wet</w:t>
            </w:r>
          </w:p>
        </w:tc>
        <w:tc>
          <w:tcPr>
            <w:tcW w:w="0" w:type="auto"/>
            <w:vAlign w:val="center"/>
            <w:hideMark/>
          </w:tcPr>
          <w:p w14:paraId="438DFCA2"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TPH Dry</w:t>
            </w:r>
          </w:p>
        </w:tc>
        <w:tc>
          <w:tcPr>
            <w:tcW w:w="0" w:type="auto"/>
            <w:vAlign w:val="center"/>
            <w:hideMark/>
          </w:tcPr>
          <w:p w14:paraId="39219889"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Pb Wet</w:t>
            </w:r>
          </w:p>
        </w:tc>
        <w:tc>
          <w:tcPr>
            <w:tcW w:w="0" w:type="auto"/>
            <w:vAlign w:val="center"/>
            <w:hideMark/>
          </w:tcPr>
          <w:p w14:paraId="58E596C3"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Pb Dry</w:t>
            </w:r>
          </w:p>
        </w:tc>
        <w:tc>
          <w:tcPr>
            <w:tcW w:w="0" w:type="auto"/>
            <w:vAlign w:val="center"/>
            <w:hideMark/>
          </w:tcPr>
          <w:p w14:paraId="7AD58C41"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MDA Wet</w:t>
            </w:r>
          </w:p>
        </w:tc>
        <w:tc>
          <w:tcPr>
            <w:tcW w:w="0" w:type="auto"/>
            <w:vAlign w:val="center"/>
            <w:hideMark/>
          </w:tcPr>
          <w:p w14:paraId="6D729C83" w14:textId="77777777" w:rsidR="00453439" w:rsidRPr="00453439" w:rsidRDefault="00453439" w:rsidP="00D17B70">
            <w:pPr>
              <w:spacing w:after="0" w:line="240" w:lineRule="auto"/>
              <w:jc w:val="both"/>
              <w:rPr>
                <w:rFonts w:ascii="Times New Roman" w:eastAsia="Times New Roman" w:hAnsi="Times New Roman" w:cs="Times New Roman"/>
                <w:b/>
                <w:bCs/>
                <w:sz w:val="24"/>
                <w:szCs w:val="24"/>
                <w:lang w:eastAsia="en-GB"/>
              </w:rPr>
            </w:pPr>
            <w:r w:rsidRPr="00453439">
              <w:rPr>
                <w:rFonts w:ascii="Times New Roman" w:eastAsia="Times New Roman" w:hAnsi="Times New Roman" w:cs="Times New Roman"/>
                <w:b/>
                <w:bCs/>
                <w:sz w:val="24"/>
                <w:szCs w:val="24"/>
                <w:lang w:eastAsia="en-GB"/>
              </w:rPr>
              <w:t>MDA Dry</w:t>
            </w:r>
          </w:p>
        </w:tc>
      </w:tr>
      <w:tr w:rsidR="00453439" w:rsidRPr="00453439" w14:paraId="2118B2EF" w14:textId="77777777" w:rsidTr="00453439">
        <w:trPr>
          <w:tblCellSpacing w:w="15" w:type="dxa"/>
        </w:trPr>
        <w:tc>
          <w:tcPr>
            <w:tcW w:w="0" w:type="auto"/>
            <w:vAlign w:val="center"/>
            <w:hideMark/>
          </w:tcPr>
          <w:p w14:paraId="3A3762FB"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Tilapia sp.</w:t>
            </w:r>
          </w:p>
        </w:tc>
        <w:tc>
          <w:tcPr>
            <w:tcW w:w="0" w:type="auto"/>
            <w:vAlign w:val="center"/>
            <w:hideMark/>
          </w:tcPr>
          <w:p w14:paraId="79DD15BD"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3.8</w:t>
            </w:r>
          </w:p>
        </w:tc>
        <w:tc>
          <w:tcPr>
            <w:tcW w:w="0" w:type="auto"/>
            <w:vAlign w:val="center"/>
            <w:hideMark/>
          </w:tcPr>
          <w:p w14:paraId="3197FCB5"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3.2</w:t>
            </w:r>
          </w:p>
        </w:tc>
        <w:tc>
          <w:tcPr>
            <w:tcW w:w="0" w:type="auto"/>
            <w:vAlign w:val="center"/>
            <w:hideMark/>
          </w:tcPr>
          <w:p w14:paraId="2EC667C6"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0.42</w:t>
            </w:r>
          </w:p>
        </w:tc>
        <w:tc>
          <w:tcPr>
            <w:tcW w:w="0" w:type="auto"/>
            <w:vAlign w:val="center"/>
            <w:hideMark/>
          </w:tcPr>
          <w:p w14:paraId="0C87DD5E"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0.38</w:t>
            </w:r>
          </w:p>
        </w:tc>
        <w:tc>
          <w:tcPr>
            <w:tcW w:w="0" w:type="auto"/>
            <w:vAlign w:val="center"/>
            <w:hideMark/>
          </w:tcPr>
          <w:p w14:paraId="534408BC"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2.6</w:t>
            </w:r>
          </w:p>
        </w:tc>
        <w:tc>
          <w:tcPr>
            <w:tcW w:w="0" w:type="auto"/>
            <w:vAlign w:val="center"/>
            <w:hideMark/>
          </w:tcPr>
          <w:p w14:paraId="740FE6DD"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2.4</w:t>
            </w:r>
          </w:p>
        </w:tc>
      </w:tr>
      <w:tr w:rsidR="00453439" w:rsidRPr="00453439" w14:paraId="24D29693" w14:textId="77777777" w:rsidTr="00453439">
        <w:trPr>
          <w:tblCellSpacing w:w="15" w:type="dxa"/>
        </w:trPr>
        <w:tc>
          <w:tcPr>
            <w:tcW w:w="0" w:type="auto"/>
            <w:vAlign w:val="center"/>
            <w:hideMark/>
          </w:tcPr>
          <w:p w14:paraId="4B953E09"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proofErr w:type="spellStart"/>
            <w:r w:rsidRPr="00453439">
              <w:rPr>
                <w:rFonts w:ascii="Times New Roman" w:eastAsia="Times New Roman" w:hAnsi="Times New Roman" w:cs="Times New Roman"/>
                <w:sz w:val="24"/>
                <w:szCs w:val="24"/>
                <w:lang w:eastAsia="en-GB"/>
              </w:rPr>
              <w:t>Clarias</w:t>
            </w:r>
            <w:proofErr w:type="spellEnd"/>
            <w:r w:rsidRPr="00453439">
              <w:rPr>
                <w:rFonts w:ascii="Times New Roman" w:eastAsia="Times New Roman" w:hAnsi="Times New Roman" w:cs="Times New Roman"/>
                <w:sz w:val="24"/>
                <w:szCs w:val="24"/>
                <w:lang w:eastAsia="en-GB"/>
              </w:rPr>
              <w:t xml:space="preserve"> </w:t>
            </w:r>
            <w:proofErr w:type="spellStart"/>
            <w:r w:rsidRPr="00453439">
              <w:rPr>
                <w:rFonts w:ascii="Times New Roman" w:eastAsia="Times New Roman" w:hAnsi="Times New Roman" w:cs="Times New Roman"/>
                <w:sz w:val="24"/>
                <w:szCs w:val="24"/>
                <w:lang w:eastAsia="en-GB"/>
              </w:rPr>
              <w:t>gariepinus</w:t>
            </w:r>
            <w:proofErr w:type="spellEnd"/>
          </w:p>
        </w:tc>
        <w:tc>
          <w:tcPr>
            <w:tcW w:w="0" w:type="auto"/>
            <w:vAlign w:val="center"/>
            <w:hideMark/>
          </w:tcPr>
          <w:p w14:paraId="3779B67D"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4.5</w:t>
            </w:r>
          </w:p>
        </w:tc>
        <w:tc>
          <w:tcPr>
            <w:tcW w:w="0" w:type="auto"/>
            <w:vAlign w:val="center"/>
            <w:hideMark/>
          </w:tcPr>
          <w:p w14:paraId="535A9D5F"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3.9</w:t>
            </w:r>
          </w:p>
        </w:tc>
        <w:tc>
          <w:tcPr>
            <w:tcW w:w="0" w:type="auto"/>
            <w:vAlign w:val="center"/>
            <w:hideMark/>
          </w:tcPr>
          <w:p w14:paraId="565415AF"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0.57</w:t>
            </w:r>
          </w:p>
        </w:tc>
        <w:tc>
          <w:tcPr>
            <w:tcW w:w="0" w:type="auto"/>
            <w:vAlign w:val="center"/>
            <w:hideMark/>
          </w:tcPr>
          <w:p w14:paraId="72D0C20C"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0.53</w:t>
            </w:r>
          </w:p>
        </w:tc>
        <w:tc>
          <w:tcPr>
            <w:tcW w:w="0" w:type="auto"/>
            <w:vAlign w:val="center"/>
            <w:hideMark/>
          </w:tcPr>
          <w:p w14:paraId="4DB140A4"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3.4</w:t>
            </w:r>
          </w:p>
        </w:tc>
        <w:tc>
          <w:tcPr>
            <w:tcW w:w="0" w:type="auto"/>
            <w:vAlign w:val="center"/>
            <w:hideMark/>
          </w:tcPr>
          <w:p w14:paraId="2409BE34" w14:textId="77777777" w:rsidR="00453439" w:rsidRPr="00453439" w:rsidRDefault="00453439" w:rsidP="00D17B70">
            <w:pPr>
              <w:spacing w:after="0" w:line="240" w:lineRule="auto"/>
              <w:jc w:val="both"/>
              <w:rPr>
                <w:rFonts w:ascii="Times New Roman" w:eastAsia="Times New Roman" w:hAnsi="Times New Roman" w:cs="Times New Roman"/>
                <w:sz w:val="24"/>
                <w:szCs w:val="24"/>
                <w:lang w:eastAsia="en-GB"/>
              </w:rPr>
            </w:pPr>
            <w:r w:rsidRPr="00453439">
              <w:rPr>
                <w:rFonts w:ascii="Times New Roman" w:eastAsia="Times New Roman" w:hAnsi="Times New Roman" w:cs="Times New Roman"/>
                <w:sz w:val="24"/>
                <w:szCs w:val="24"/>
                <w:lang w:eastAsia="en-GB"/>
              </w:rPr>
              <w:t>3.0</w:t>
            </w:r>
          </w:p>
        </w:tc>
      </w:tr>
    </w:tbl>
    <w:p w14:paraId="2EE4C8DF" w14:textId="16A85F6E" w:rsidR="00F26C03" w:rsidRPr="003F140D" w:rsidRDefault="00F26C03" w:rsidP="00D17B70">
      <w:pPr>
        <w:jc w:val="both"/>
        <w:rPr>
          <w:rFonts w:ascii="Times New Roman" w:hAnsi="Times New Roman" w:cs="Times New Roman"/>
          <w:sz w:val="24"/>
          <w:szCs w:val="24"/>
        </w:rPr>
      </w:pPr>
    </w:p>
    <w:p w14:paraId="5461AFF7" w14:textId="368BE9E1" w:rsidR="00453439" w:rsidRPr="003F140D" w:rsidRDefault="00453439" w:rsidP="00D17B70">
      <w:pPr>
        <w:jc w:val="both"/>
        <w:rPr>
          <w:rFonts w:ascii="Times New Roman" w:hAnsi="Times New Roman" w:cs="Times New Roman"/>
          <w:sz w:val="24"/>
          <w:szCs w:val="24"/>
        </w:rPr>
      </w:pPr>
    </w:p>
    <w:p w14:paraId="42F1DB79" w14:textId="77777777" w:rsidR="00453439" w:rsidRPr="003F140D" w:rsidRDefault="00453439" w:rsidP="00D17B70">
      <w:pPr>
        <w:pStyle w:val="Heading3"/>
        <w:jc w:val="both"/>
        <w:rPr>
          <w:sz w:val="24"/>
          <w:szCs w:val="24"/>
        </w:rPr>
      </w:pPr>
      <w:r w:rsidRPr="003F140D">
        <w:rPr>
          <w:sz w:val="24"/>
          <w:szCs w:val="24"/>
        </w:rPr>
        <w:t>4.0 Discussion</w:t>
      </w:r>
    </w:p>
    <w:p w14:paraId="537D8D31" w14:textId="03D74E77" w:rsidR="00453439" w:rsidRPr="003F140D" w:rsidRDefault="00453439" w:rsidP="00D17B70">
      <w:pPr>
        <w:pStyle w:val="NormalWeb"/>
        <w:jc w:val="both"/>
      </w:pPr>
      <w:r w:rsidRPr="003F140D">
        <w:t xml:space="preserve">The results of this study demonstrate clear evidence that fish and crustaceans inhabiting the Qua </w:t>
      </w:r>
      <w:proofErr w:type="spellStart"/>
      <w:r w:rsidRPr="003F140D">
        <w:t>Iboe</w:t>
      </w:r>
      <w:proofErr w:type="spellEnd"/>
      <w:r w:rsidRPr="003F140D">
        <w:t xml:space="preserve"> Estuary are continuously exposed to petroleum hydrocarbons and heavy metals, resulting in measurable biochemical stress responses. The elevated concentrations of lead, mercury, arsenic, chromium, and total petroleum hydrocarbons (TPH) observed in Tilapia sp., </w:t>
      </w:r>
      <w:proofErr w:type="spellStart"/>
      <w:r w:rsidRPr="003F140D">
        <w:t>Clarias</w:t>
      </w:r>
      <w:proofErr w:type="spellEnd"/>
      <w:r w:rsidRPr="003F140D">
        <w:t xml:space="preserve"> </w:t>
      </w:r>
      <w:proofErr w:type="spellStart"/>
      <w:r w:rsidRPr="003F140D">
        <w:t>gariepinus</w:t>
      </w:r>
      <w:proofErr w:type="spellEnd"/>
      <w:r w:rsidRPr="003F140D">
        <w:t xml:space="preserve">, and </w:t>
      </w:r>
      <w:proofErr w:type="spellStart"/>
      <w:r w:rsidRPr="003F140D">
        <w:t>Macrobrachium</w:t>
      </w:r>
      <w:proofErr w:type="spellEnd"/>
      <w:r w:rsidRPr="003F140D">
        <w:t xml:space="preserve"> </w:t>
      </w:r>
      <w:proofErr w:type="spellStart"/>
      <w:r w:rsidRPr="003F140D">
        <w:t>vollenhovenii</w:t>
      </w:r>
      <w:proofErr w:type="spellEnd"/>
      <w:r w:rsidRPr="003F140D">
        <w:t xml:space="preserve"> indicate chronic pollution from multiple anthropogenic sources typical of the Niger Delta. Similar pollution signatures have been documented in aquatic ecosystems subjected to gas flaring, pipeline leakages, petroleum handling activities, and domestic effluent discharge (</w:t>
      </w:r>
      <w:proofErr w:type="spellStart"/>
      <w:r w:rsidRPr="003F140D">
        <w:t>Aghanwa</w:t>
      </w:r>
      <w:proofErr w:type="spellEnd"/>
      <w:r w:rsidRPr="003F140D">
        <w:t xml:space="preserve"> et al., 2025; Ekpe et al., 2025). The contaminant levels recorded in </w:t>
      </w:r>
      <w:proofErr w:type="spellStart"/>
      <w:r w:rsidRPr="003F140D">
        <w:t>Clarias</w:t>
      </w:r>
      <w:proofErr w:type="spellEnd"/>
      <w:r w:rsidRPr="003F140D">
        <w:t xml:space="preserve"> </w:t>
      </w:r>
      <w:proofErr w:type="spellStart"/>
      <w:r w:rsidRPr="003F140D">
        <w:t>gariepinus</w:t>
      </w:r>
      <w:proofErr w:type="spellEnd"/>
      <w:r w:rsidRPr="003F140D">
        <w:t xml:space="preserve"> were consistently higher across all parameters, suggesting greater susceptibility due to its benthic feeding behaviour and frequent interaction with sediment-bound pollutants.</w:t>
      </w:r>
    </w:p>
    <w:p w14:paraId="129E81A5" w14:textId="17AE8DEC" w:rsidR="00453439" w:rsidRPr="003F140D" w:rsidRDefault="00453439" w:rsidP="00D17B70">
      <w:pPr>
        <w:pStyle w:val="NormalWeb"/>
        <w:jc w:val="both"/>
      </w:pPr>
      <w:r w:rsidRPr="003F140D">
        <w:t xml:space="preserve">The heavy metal concentrations observed in this study align with patterns previously reported in various aquatic organisms within the Niger Delta. Studies by </w:t>
      </w:r>
      <w:proofErr w:type="spellStart"/>
      <w:r w:rsidRPr="003F140D">
        <w:t>Okpoji</w:t>
      </w:r>
      <w:proofErr w:type="spellEnd"/>
      <w:r w:rsidRPr="003F140D">
        <w:t xml:space="preserve"> et al. (2025) and </w:t>
      </w:r>
      <w:proofErr w:type="spellStart"/>
      <w:r w:rsidRPr="003F140D">
        <w:t>Eyenubo</w:t>
      </w:r>
      <w:proofErr w:type="spellEnd"/>
      <w:r w:rsidRPr="003F140D">
        <w:t xml:space="preserve"> et al. (2024) similarly showed elevated Pb, As, and Cr levels in fish and sediments from petroleum-impacted rivers and creeks, emphasising the persistence of metal contaminants in estuarine environments. Metals such as Pb, Cd, and Hg are of particular concern due to their non-biodegradable nature, strong affinity for tissues, and potential for biomagnification (ATSDR, 1997). Their presence at measurable concentrations across species reflects long-term ecological stress, as seen in other contaminated tropical ecosystems (Ernesto et al., 2021; </w:t>
      </w:r>
      <w:proofErr w:type="spellStart"/>
      <w:r w:rsidRPr="003F140D">
        <w:t>Oghenekohwiroro</w:t>
      </w:r>
      <w:proofErr w:type="spellEnd"/>
      <w:r w:rsidRPr="003F140D">
        <w:t xml:space="preserve"> &amp; </w:t>
      </w:r>
      <w:proofErr w:type="spellStart"/>
      <w:r w:rsidRPr="003F140D">
        <w:t>Osaro</w:t>
      </w:r>
      <w:proofErr w:type="spellEnd"/>
      <w:r w:rsidRPr="003F140D">
        <w:t>, 2017).</w:t>
      </w:r>
    </w:p>
    <w:p w14:paraId="65E05F8C" w14:textId="77777777" w:rsidR="00453439" w:rsidRPr="003F140D" w:rsidRDefault="00453439" w:rsidP="00D17B70">
      <w:pPr>
        <w:pStyle w:val="NormalWeb"/>
        <w:jc w:val="both"/>
      </w:pPr>
      <w:r w:rsidRPr="003F140D">
        <w:t>The TPH concentrations recorded (3.2–4.5 mg/kg) further confirm hydrocarbon exposure in the study organisms. Petroleum hydrocarbons enter estuaries through direct spills, gas flaring emissions, atmospheric fallout, and urban runoff (</w:t>
      </w:r>
      <w:proofErr w:type="spellStart"/>
      <w:r w:rsidRPr="003F140D">
        <w:t>Okpoji</w:t>
      </w:r>
      <w:proofErr w:type="spellEnd"/>
      <w:r w:rsidRPr="003F140D">
        <w:t xml:space="preserve"> et al., 2025). Atmospheric deposition of soot-associated hydrocarbons, as described by </w:t>
      </w:r>
      <w:proofErr w:type="spellStart"/>
      <w:r w:rsidRPr="003F140D">
        <w:t>Aghanwa</w:t>
      </w:r>
      <w:proofErr w:type="spellEnd"/>
      <w:r w:rsidRPr="003F140D">
        <w:t xml:space="preserve"> et al. (2025), remains an important pathway for hydrocarbon contamination in coastal ecosystems of the Niger Delta. Global studies also indicate that volatile and semi-volatile hydrocarbons can undergo long-range atmospheric transport before deposition (</w:t>
      </w:r>
      <w:proofErr w:type="spellStart"/>
      <w:r w:rsidRPr="003F140D">
        <w:t>Kallenborn</w:t>
      </w:r>
      <w:proofErr w:type="spellEnd"/>
      <w:r w:rsidRPr="003F140D">
        <w:t xml:space="preserve"> et al., 2015; </w:t>
      </w:r>
      <w:proofErr w:type="spellStart"/>
      <w:r w:rsidRPr="003F140D">
        <w:t>Wania</w:t>
      </w:r>
      <w:proofErr w:type="spellEnd"/>
      <w:r w:rsidRPr="003F140D">
        <w:t xml:space="preserve"> et al., 2006), supporting the likelihood of both local and regional input pathways into the Qua </w:t>
      </w:r>
      <w:proofErr w:type="spellStart"/>
      <w:r w:rsidRPr="003F140D">
        <w:t>Iboe</w:t>
      </w:r>
      <w:proofErr w:type="spellEnd"/>
      <w:r w:rsidRPr="003F140D">
        <w:t xml:space="preserve"> Estuary.</w:t>
      </w:r>
    </w:p>
    <w:p w14:paraId="6BBE5812" w14:textId="79840D66" w:rsidR="00453439" w:rsidRPr="003F140D" w:rsidRDefault="00453439" w:rsidP="00D17B70">
      <w:pPr>
        <w:pStyle w:val="NormalWeb"/>
        <w:jc w:val="both"/>
      </w:pPr>
      <w:r w:rsidRPr="003F140D">
        <w:t xml:space="preserve">The biomarker responses (CAT, GST, and MDA) observed in this study provide strong biochemical evidence that the organisms are undergoing oxidative stress as a result of contaminant exposure. Higher CAT and GST activities in </w:t>
      </w:r>
      <w:proofErr w:type="spellStart"/>
      <w:r w:rsidRPr="003F140D">
        <w:t>Clarias</w:t>
      </w:r>
      <w:proofErr w:type="spellEnd"/>
      <w:r w:rsidRPr="003F140D">
        <w:t xml:space="preserve"> </w:t>
      </w:r>
      <w:proofErr w:type="spellStart"/>
      <w:r w:rsidRPr="003F140D">
        <w:t>gariepinus</w:t>
      </w:r>
      <w:proofErr w:type="spellEnd"/>
      <w:r w:rsidRPr="003F140D">
        <w:t xml:space="preserve"> and </w:t>
      </w:r>
      <w:proofErr w:type="spellStart"/>
      <w:r w:rsidRPr="003F140D">
        <w:t>Macrobrachium</w:t>
      </w:r>
      <w:proofErr w:type="spellEnd"/>
      <w:r w:rsidRPr="003F140D">
        <w:t xml:space="preserve"> </w:t>
      </w:r>
      <w:proofErr w:type="spellStart"/>
      <w:r w:rsidRPr="003F140D">
        <w:t>vollenhovenii</w:t>
      </w:r>
      <w:proofErr w:type="spellEnd"/>
      <w:r w:rsidRPr="003F140D">
        <w:t xml:space="preserve"> correspond with their elevated metal and hydrocarbon levels, reinforcing the relationship between contaminant dose and antioxidant enzyme activation. These biomarkers are sensitive indicators of exposure to xenobiotics, including PAHs, petroleum hydrocarbons, and heavy metals, as reported in previous studies across the Niger Delta and other polluted aquatic systems (</w:t>
      </w:r>
      <w:proofErr w:type="spellStart"/>
      <w:r w:rsidRPr="003F140D">
        <w:t>Ekwere</w:t>
      </w:r>
      <w:proofErr w:type="spellEnd"/>
      <w:r w:rsidRPr="003F140D">
        <w:t xml:space="preserve"> et al., 2025; John et al., 2025). Elevated MDA levels indicate lipid peroxidation, suggesting cellular membrane damage induced by reactive oxygen species generated during the biotransformation of toxicants.</w:t>
      </w:r>
    </w:p>
    <w:p w14:paraId="00459F0F" w14:textId="1A5D1999" w:rsidR="00453439" w:rsidRPr="003F140D" w:rsidRDefault="00453439" w:rsidP="00D17B70">
      <w:pPr>
        <w:pStyle w:val="NormalWeb"/>
        <w:jc w:val="both"/>
      </w:pPr>
      <w:r w:rsidRPr="003F140D">
        <w:lastRenderedPageBreak/>
        <w:t xml:space="preserve">Seasonal differences in TPH, Pb, and MDA show a consistent pattern of higher values during the wet season. This aligns with earlier studies demonstrating that heavy rainfall mobilises contaminants from surrounding land, increasing pollutant influx into estuaries (Ekpe et al., 2025; </w:t>
      </w:r>
      <w:proofErr w:type="spellStart"/>
      <w:r w:rsidRPr="003F140D">
        <w:t>Umueni</w:t>
      </w:r>
      <w:proofErr w:type="spellEnd"/>
      <w:r w:rsidRPr="003F140D">
        <w:t xml:space="preserve"> et al., 2025). Wet-season runoff can transport petroleum residues, metals, and organic pollutants from industrial zones, farmlands, and urban settlements directly into aquatic systems. Conversely, slightly lower dry-season values likely reflect reduced surface runoff and dilution but do not indicate the absence of pollution, given the persistent nature of the contaminants.</w:t>
      </w:r>
    </w:p>
    <w:p w14:paraId="09F3A0F3" w14:textId="7DAB5FDC" w:rsidR="00453439" w:rsidRPr="003F140D" w:rsidRDefault="00453439" w:rsidP="00D17B70">
      <w:pPr>
        <w:pStyle w:val="NormalWeb"/>
        <w:jc w:val="both"/>
      </w:pPr>
      <w:r w:rsidRPr="003F140D">
        <w:t xml:space="preserve">The oxidative stress responses observed in this study are biologically significant. Elevated MDA levels in </w:t>
      </w:r>
      <w:proofErr w:type="spellStart"/>
      <w:r w:rsidRPr="003F140D">
        <w:t>Clarias</w:t>
      </w:r>
      <w:proofErr w:type="spellEnd"/>
      <w:r w:rsidRPr="003F140D">
        <w:t xml:space="preserve"> </w:t>
      </w:r>
      <w:proofErr w:type="spellStart"/>
      <w:r w:rsidRPr="003F140D">
        <w:t>gariepinus</w:t>
      </w:r>
      <w:proofErr w:type="spellEnd"/>
      <w:r w:rsidRPr="003F140D">
        <w:t xml:space="preserve"> (3.2 nmol/mg protein) suggest that hydrocarbon and metal exposure is inducing measurable cellular damage. This is consistent with findings from contaminated aquatic environments where chronic exposure to PAHs and metals results in increased lipid peroxidation, enzyme inhibition, and biochemical disruption (ATSDR, 1997; IARC, 2015). Hydrocarbon metabolites—such as reactive quinones—are known to induce oxidative stress, and heavy metals like Pb and Cr disrupt antioxidant defence mechanisms, further increasing cellular damage.</w:t>
      </w:r>
    </w:p>
    <w:p w14:paraId="62723AFB" w14:textId="35585A89" w:rsidR="00453439" w:rsidRPr="003F140D" w:rsidRDefault="00453439" w:rsidP="00D17B70">
      <w:pPr>
        <w:pStyle w:val="NormalWeb"/>
        <w:jc w:val="both"/>
      </w:pPr>
      <w:r w:rsidRPr="003F140D">
        <w:t>The results underscore broader ecological and human health implications. Fish and prawns form a major protein source for surrounding communities, and their contamination poses potential risks of dietary exposure to carcinogens and neurotoxic metals. Studies have reported human health risks associated with the consumption of contaminated aquatic organisms from petroleum-impacted Niger Delta waterways (</w:t>
      </w:r>
      <w:proofErr w:type="spellStart"/>
      <w:r w:rsidRPr="003F140D">
        <w:t>Okpoji</w:t>
      </w:r>
      <w:proofErr w:type="spellEnd"/>
      <w:r w:rsidRPr="003F140D">
        <w:t xml:space="preserve"> et al., 2025; </w:t>
      </w:r>
      <w:proofErr w:type="spellStart"/>
      <w:r w:rsidRPr="003F140D">
        <w:t>Ekwere</w:t>
      </w:r>
      <w:proofErr w:type="spellEnd"/>
      <w:r w:rsidRPr="003F140D">
        <w:t xml:space="preserve"> et al., 2025). Given that benzo[a]pyrene—an IARC Group 1 carcinogen—is commonly associated with petroleum residues, the biochemical stress observed in this study may serve as an early warning indicator for both ecological health and food safety concerns.</w:t>
      </w:r>
    </w:p>
    <w:p w14:paraId="309828F1" w14:textId="3A4147B2" w:rsidR="00453439" w:rsidRPr="003F140D" w:rsidRDefault="00453439" w:rsidP="00D17B70">
      <w:pPr>
        <w:jc w:val="both"/>
        <w:rPr>
          <w:rFonts w:ascii="Times New Roman" w:hAnsi="Times New Roman" w:cs="Times New Roman"/>
          <w:sz w:val="24"/>
          <w:szCs w:val="24"/>
        </w:rPr>
      </w:pPr>
    </w:p>
    <w:p w14:paraId="44D767AE" w14:textId="77777777" w:rsidR="00453439" w:rsidRPr="003F140D" w:rsidRDefault="00453439" w:rsidP="00D17B70">
      <w:pPr>
        <w:pStyle w:val="Heading3"/>
        <w:jc w:val="both"/>
        <w:rPr>
          <w:sz w:val="24"/>
          <w:szCs w:val="24"/>
        </w:rPr>
      </w:pPr>
      <w:r w:rsidRPr="003F140D">
        <w:rPr>
          <w:sz w:val="24"/>
          <w:szCs w:val="24"/>
        </w:rPr>
        <w:t>Conclusion</w:t>
      </w:r>
    </w:p>
    <w:p w14:paraId="16B15E59" w14:textId="77777777" w:rsidR="00453439" w:rsidRPr="003F140D" w:rsidRDefault="00453439" w:rsidP="00D17B70">
      <w:pPr>
        <w:pStyle w:val="NormalWeb"/>
        <w:jc w:val="both"/>
      </w:pPr>
      <w:r w:rsidRPr="003F140D">
        <w:t xml:space="preserve">This study demonstrates that aquatic organisms inhabiting the Qua </w:t>
      </w:r>
      <w:proofErr w:type="spellStart"/>
      <w:r w:rsidRPr="003F140D">
        <w:t>Iboe</w:t>
      </w:r>
      <w:proofErr w:type="spellEnd"/>
      <w:r w:rsidRPr="003F140D">
        <w:t xml:space="preserve"> Estuary are consistently exposed to mixtures of heavy metals and petroleum hydrocarbons, resulting in measurable biochemical stress. The elevated concentrations of Pb, Hg, As, and TPH across species, particularly in </w:t>
      </w:r>
      <w:proofErr w:type="spellStart"/>
      <w:r w:rsidRPr="003F140D">
        <w:t>Clarias</w:t>
      </w:r>
      <w:proofErr w:type="spellEnd"/>
      <w:r w:rsidRPr="003F140D">
        <w:t xml:space="preserve"> </w:t>
      </w:r>
      <w:proofErr w:type="spellStart"/>
      <w:r w:rsidRPr="003F140D">
        <w:t>gariepinus</w:t>
      </w:r>
      <w:proofErr w:type="spellEnd"/>
      <w:r w:rsidRPr="003F140D">
        <w:t>, indicate chronic contamination typical of petroleum-impacted systems in the Niger Delta. The strong activation of antioxidant enzymes (CAT and GST) and increased levels of MDA provide clear evidence of oxidative stress and cellular membrane damage induced by these pollutants.</w:t>
      </w:r>
    </w:p>
    <w:p w14:paraId="2D7D3188" w14:textId="44AF4707" w:rsidR="00453439" w:rsidRDefault="00453439" w:rsidP="00D17B70">
      <w:pPr>
        <w:pStyle w:val="NormalWeb"/>
        <w:jc w:val="both"/>
      </w:pPr>
      <w:r w:rsidRPr="003F140D">
        <w:t>Seasonal variations further revealed that wet-season runoff significantly increases contaminant inflow, intensifying physiological stress in exposed organisms. These findings emphasise the ecological risks posed by ongoing petroleum-related activities and highlight the urgent need for enhanced environmental regulation, continuous biomarker-based monitoring, and pollution mitigation strategies. Protecting estuarine biodiversity and safeguarding human health require targeted interventions to reduce pollutant sources and ensure sustainable management of aquatic resources in the region.</w:t>
      </w:r>
    </w:p>
    <w:p w14:paraId="1344B881" w14:textId="77777777" w:rsidR="00011D50" w:rsidRPr="003F140D" w:rsidRDefault="00011D50" w:rsidP="00D17B70">
      <w:pPr>
        <w:pStyle w:val="NormalWeb"/>
        <w:jc w:val="both"/>
      </w:pPr>
      <w:bookmarkStart w:id="0" w:name="_GoBack"/>
      <w:bookmarkEnd w:id="0"/>
    </w:p>
    <w:p w14:paraId="75684F8D" w14:textId="7687EC47" w:rsidR="00453439" w:rsidRPr="003F140D" w:rsidRDefault="00453439" w:rsidP="00D17B70">
      <w:pPr>
        <w:jc w:val="both"/>
        <w:rPr>
          <w:rFonts w:ascii="Times New Roman" w:hAnsi="Times New Roman" w:cs="Times New Roman"/>
          <w:sz w:val="24"/>
          <w:szCs w:val="24"/>
        </w:rPr>
      </w:pPr>
    </w:p>
    <w:p w14:paraId="578048C4" w14:textId="3D799FBF" w:rsidR="00453439" w:rsidRPr="003F140D" w:rsidRDefault="00453439" w:rsidP="00D17B70">
      <w:pPr>
        <w:jc w:val="both"/>
        <w:rPr>
          <w:rFonts w:ascii="Times New Roman" w:hAnsi="Times New Roman" w:cs="Times New Roman"/>
          <w:b/>
          <w:bCs/>
          <w:sz w:val="24"/>
          <w:szCs w:val="24"/>
        </w:rPr>
      </w:pPr>
      <w:r w:rsidRPr="003F140D">
        <w:rPr>
          <w:rFonts w:ascii="Times New Roman" w:hAnsi="Times New Roman" w:cs="Times New Roman"/>
          <w:b/>
          <w:bCs/>
          <w:sz w:val="24"/>
          <w:szCs w:val="24"/>
        </w:rPr>
        <w:lastRenderedPageBreak/>
        <w:t xml:space="preserve">Reference </w:t>
      </w:r>
    </w:p>
    <w:p w14:paraId="4E374EAF" w14:textId="77777777" w:rsidR="00453439" w:rsidRPr="003F140D" w:rsidRDefault="00453439" w:rsidP="00894307">
      <w:pPr>
        <w:pStyle w:val="NormalWeb"/>
        <w:ind w:left="360"/>
        <w:jc w:val="both"/>
      </w:pPr>
      <w:r w:rsidRPr="003F140D">
        <w:t xml:space="preserve">Agency for Toxic Substances and Disease Registry (ATSDR). (1997). </w:t>
      </w:r>
      <w:r w:rsidRPr="003F140D">
        <w:rPr>
          <w:rStyle w:val="Emphasis"/>
        </w:rPr>
        <w:t>Toxicological Profile for Polychlorinated Biphenyls (PCBs).</w:t>
      </w:r>
      <w:r w:rsidRPr="003F140D">
        <w:t xml:space="preserve"> Public Health Service, U.S. Department of Health and Human Services, Atlanta, GA.</w:t>
      </w:r>
    </w:p>
    <w:p w14:paraId="3AD27D7F" w14:textId="6AE5D1B9" w:rsidR="00453439" w:rsidRPr="003F140D" w:rsidRDefault="00453439" w:rsidP="00894307">
      <w:pPr>
        <w:pStyle w:val="NormalWeb"/>
        <w:ind w:left="360"/>
        <w:jc w:val="both"/>
      </w:pPr>
      <w:proofErr w:type="spellStart"/>
      <w:r w:rsidRPr="003F140D">
        <w:t>Aghanwa</w:t>
      </w:r>
      <w:proofErr w:type="spellEnd"/>
      <w:r w:rsidRPr="003F140D">
        <w:t xml:space="preserve">, C. I., </w:t>
      </w:r>
      <w:proofErr w:type="spellStart"/>
      <w:r w:rsidRPr="003F140D">
        <w:t>Umueni</w:t>
      </w:r>
      <w:proofErr w:type="spellEnd"/>
      <w:r w:rsidRPr="003F140D">
        <w:t xml:space="preserve">, U. E., </w:t>
      </w:r>
      <w:proofErr w:type="spellStart"/>
      <w:r w:rsidRPr="003F140D">
        <w:t>Etukudo</w:t>
      </w:r>
      <w:proofErr w:type="spellEnd"/>
      <w:r w:rsidRPr="003F140D">
        <w:t xml:space="preserve">, N. J., </w:t>
      </w:r>
      <w:proofErr w:type="spellStart"/>
      <w:r w:rsidRPr="003F140D">
        <w:t>Amachree</w:t>
      </w:r>
      <w:proofErr w:type="spellEnd"/>
      <w:r w:rsidRPr="003F140D">
        <w:t xml:space="preserve">, J. B., </w:t>
      </w:r>
      <w:proofErr w:type="spellStart"/>
      <w:r w:rsidRPr="003F140D">
        <w:t>Okpoji</w:t>
      </w:r>
      <w:proofErr w:type="spellEnd"/>
      <w:r w:rsidRPr="003F140D">
        <w:t xml:space="preserve">, A. U., </w:t>
      </w:r>
      <w:proofErr w:type="spellStart"/>
      <w:r w:rsidRPr="003F140D">
        <w:t>Ejeka</w:t>
      </w:r>
      <w:proofErr w:type="spellEnd"/>
      <w:r w:rsidRPr="003F140D">
        <w:t xml:space="preserve">, C. J., &amp; </w:t>
      </w:r>
      <w:proofErr w:type="spellStart"/>
      <w:r w:rsidRPr="003F140D">
        <w:t>Ekwere</w:t>
      </w:r>
      <w:proofErr w:type="spellEnd"/>
      <w:r w:rsidRPr="003F140D">
        <w:t xml:space="preserve">, I. O. (2025). Atmospheric deposition of soot and heavy metals from gas flaring into surface waters of </w:t>
      </w:r>
      <w:proofErr w:type="spellStart"/>
      <w:r w:rsidRPr="003F140D">
        <w:t>Ebocha</w:t>
      </w:r>
      <w:proofErr w:type="spellEnd"/>
      <w:r w:rsidRPr="003F140D">
        <w:t xml:space="preserve">, Rivers State, Nigeria. </w:t>
      </w:r>
      <w:r w:rsidRPr="003F140D">
        <w:rPr>
          <w:rStyle w:val="Emphasis"/>
        </w:rPr>
        <w:t>Asian Journal of Environment &amp; Ecology, 24</w:t>
      </w:r>
      <w:r w:rsidRPr="003F140D">
        <w:t>(11), 137–147.</w:t>
      </w:r>
      <w:r w:rsidR="00023D27" w:rsidRPr="00023D27">
        <w:t xml:space="preserve"> </w:t>
      </w:r>
      <w:hyperlink r:id="rId11" w:history="1">
        <w:r w:rsidR="00023D27" w:rsidRPr="00A41183">
          <w:rPr>
            <w:rStyle w:val="Hyperlink"/>
          </w:rPr>
          <w:t>https://doi.org/10.9734/ajee/2025/v24i11822</w:t>
        </w:r>
      </w:hyperlink>
      <w:r w:rsidR="00023D27">
        <w:t xml:space="preserve"> </w:t>
      </w:r>
    </w:p>
    <w:p w14:paraId="38253685" w14:textId="77777777" w:rsidR="00453439" w:rsidRPr="003F140D" w:rsidRDefault="00453439" w:rsidP="00894307">
      <w:pPr>
        <w:pStyle w:val="NormalWeb"/>
        <w:ind w:left="360"/>
        <w:jc w:val="both"/>
      </w:pPr>
      <w:r w:rsidRPr="003F140D">
        <w:t xml:space="preserve">Ekpe, J. E., </w:t>
      </w:r>
      <w:proofErr w:type="spellStart"/>
      <w:r w:rsidRPr="003F140D">
        <w:t>Okpoji</w:t>
      </w:r>
      <w:proofErr w:type="spellEnd"/>
      <w:r w:rsidRPr="003F140D">
        <w:t xml:space="preserve">, A. U., </w:t>
      </w:r>
      <w:proofErr w:type="spellStart"/>
      <w:r w:rsidRPr="003F140D">
        <w:t>Ekwere</w:t>
      </w:r>
      <w:proofErr w:type="spellEnd"/>
      <w:r w:rsidRPr="003F140D">
        <w:t xml:space="preserve">, I. O., </w:t>
      </w:r>
      <w:proofErr w:type="spellStart"/>
      <w:r w:rsidRPr="003F140D">
        <w:t>Anarada</w:t>
      </w:r>
      <w:proofErr w:type="spellEnd"/>
      <w:r w:rsidRPr="003F140D">
        <w:t xml:space="preserve">, C. J., </w:t>
      </w:r>
      <w:proofErr w:type="spellStart"/>
      <w:r w:rsidRPr="003F140D">
        <w:t>Ewuola</w:t>
      </w:r>
      <w:proofErr w:type="spellEnd"/>
      <w:r w:rsidRPr="003F140D">
        <w:t xml:space="preserve">, A. A., </w:t>
      </w:r>
      <w:proofErr w:type="spellStart"/>
      <w:r w:rsidRPr="003F140D">
        <w:t>Ufuoma</w:t>
      </w:r>
      <w:proofErr w:type="spellEnd"/>
      <w:r w:rsidRPr="003F140D">
        <w:t xml:space="preserve">, V. O., </w:t>
      </w:r>
      <w:proofErr w:type="spellStart"/>
      <w:r w:rsidRPr="003F140D">
        <w:t>Okpanachi</w:t>
      </w:r>
      <w:proofErr w:type="spellEnd"/>
      <w:r w:rsidRPr="003F140D">
        <w:t xml:space="preserve">, C. B., Okonkwo, C. O., &amp; </w:t>
      </w:r>
      <w:proofErr w:type="spellStart"/>
      <w:r w:rsidRPr="003F140D">
        <w:t>Obunezi</w:t>
      </w:r>
      <w:proofErr w:type="spellEnd"/>
      <w:r w:rsidRPr="003F140D">
        <w:t xml:space="preserve">, O. A. (2025). </w:t>
      </w:r>
      <w:proofErr w:type="spellStart"/>
      <w:r w:rsidRPr="003F140D">
        <w:t>Physico</w:t>
      </w:r>
      <w:proofErr w:type="spellEnd"/>
      <w:r w:rsidRPr="003F140D">
        <w:t xml:space="preserve">-chemical transport of pesticides and nutrients in irrigation water and their fate in </w:t>
      </w:r>
      <w:proofErr w:type="spellStart"/>
      <w:r w:rsidRPr="003F140D">
        <w:t>agro</w:t>
      </w:r>
      <w:proofErr w:type="spellEnd"/>
      <w:r w:rsidRPr="003F140D">
        <w:t xml:space="preserve">-ecosystems of Rivers State, Nigeria. </w:t>
      </w:r>
      <w:proofErr w:type="spellStart"/>
      <w:r w:rsidRPr="003F140D">
        <w:rPr>
          <w:rStyle w:val="Emphasis"/>
        </w:rPr>
        <w:t>Palgo</w:t>
      </w:r>
      <w:proofErr w:type="spellEnd"/>
      <w:r w:rsidRPr="003F140D">
        <w:rPr>
          <w:rStyle w:val="Emphasis"/>
        </w:rPr>
        <w:t xml:space="preserve"> Journal of Agriculture, 9</w:t>
      </w:r>
      <w:r w:rsidRPr="003F140D">
        <w:t xml:space="preserve">(2), 30–37. </w:t>
      </w:r>
      <w:hyperlink r:id="rId12" w:tgtFrame="_new" w:history="1">
        <w:r w:rsidRPr="003F140D">
          <w:rPr>
            <w:rStyle w:val="Hyperlink"/>
            <w:rFonts w:eastAsiaTheme="majorEastAsia"/>
          </w:rPr>
          <w:t>https://doi.org/10.5281/zenodo.17148360</w:t>
        </w:r>
      </w:hyperlink>
    </w:p>
    <w:p w14:paraId="06A96DCD" w14:textId="77777777" w:rsidR="00453439" w:rsidRPr="003F140D" w:rsidRDefault="00453439" w:rsidP="00894307">
      <w:pPr>
        <w:pStyle w:val="NormalWeb"/>
        <w:ind w:left="360"/>
        <w:jc w:val="both"/>
      </w:pPr>
      <w:proofErr w:type="spellStart"/>
      <w:r w:rsidRPr="003F140D">
        <w:t>Ekwere</w:t>
      </w:r>
      <w:proofErr w:type="spellEnd"/>
      <w:r w:rsidRPr="003F140D">
        <w:t xml:space="preserve">, I. O., </w:t>
      </w:r>
      <w:proofErr w:type="spellStart"/>
      <w:r w:rsidRPr="003F140D">
        <w:t>Okpoji</w:t>
      </w:r>
      <w:proofErr w:type="spellEnd"/>
      <w:r w:rsidRPr="003F140D">
        <w:t xml:space="preserve">, A. U., </w:t>
      </w:r>
      <w:proofErr w:type="spellStart"/>
      <w:r w:rsidRPr="003F140D">
        <w:t>Igwegbe</w:t>
      </w:r>
      <w:proofErr w:type="spellEnd"/>
      <w:r w:rsidRPr="003F140D">
        <w:t xml:space="preserve">, K. C., Okonkwo, C. O., </w:t>
      </w:r>
      <w:proofErr w:type="spellStart"/>
      <w:r w:rsidRPr="003F140D">
        <w:t>Yekeen</w:t>
      </w:r>
      <w:proofErr w:type="spellEnd"/>
      <w:r w:rsidRPr="003F140D">
        <w:t xml:space="preserve">, A. A., </w:t>
      </w:r>
      <w:proofErr w:type="spellStart"/>
      <w:r w:rsidRPr="003F140D">
        <w:t>Obunezi</w:t>
      </w:r>
      <w:proofErr w:type="spellEnd"/>
      <w:r w:rsidRPr="003F140D">
        <w:t xml:space="preserve">, O. C., </w:t>
      </w:r>
      <w:proofErr w:type="spellStart"/>
      <w:r w:rsidRPr="003F140D">
        <w:t>Okpanachi</w:t>
      </w:r>
      <w:proofErr w:type="spellEnd"/>
      <w:r w:rsidRPr="003F140D">
        <w:t xml:space="preserve">, C. B., </w:t>
      </w:r>
      <w:proofErr w:type="spellStart"/>
      <w:r w:rsidRPr="003F140D">
        <w:t>Garuba</w:t>
      </w:r>
      <w:proofErr w:type="spellEnd"/>
      <w:r w:rsidRPr="003F140D">
        <w:t xml:space="preserve">, M. H., </w:t>
      </w:r>
      <w:proofErr w:type="spellStart"/>
      <w:r w:rsidRPr="003F140D">
        <w:t>Ogini</w:t>
      </w:r>
      <w:proofErr w:type="spellEnd"/>
      <w:r w:rsidRPr="003F140D">
        <w:t xml:space="preserve">, O. R., &amp; </w:t>
      </w:r>
      <w:proofErr w:type="spellStart"/>
      <w:r w:rsidRPr="003F140D">
        <w:t>Odibo</w:t>
      </w:r>
      <w:proofErr w:type="spellEnd"/>
      <w:r w:rsidRPr="003F140D">
        <w:t>, U. E. (2025). Nutritional–Toxicological Trade-Off: Comparative study of polycyclic aromatic hydrocarbons in smoked and oven-dried Nile tilapia (</w:t>
      </w:r>
      <w:r w:rsidRPr="003F140D">
        <w:rPr>
          <w:rStyle w:val="Emphasis"/>
        </w:rPr>
        <w:t xml:space="preserve">Oreochromis </w:t>
      </w:r>
      <w:proofErr w:type="spellStart"/>
      <w:r w:rsidRPr="003F140D">
        <w:rPr>
          <w:rStyle w:val="Emphasis"/>
        </w:rPr>
        <w:t>niloticus</w:t>
      </w:r>
      <w:proofErr w:type="spellEnd"/>
      <w:r w:rsidRPr="003F140D">
        <w:t xml:space="preserve">). </w:t>
      </w:r>
      <w:r w:rsidRPr="003F140D">
        <w:rPr>
          <w:rStyle w:val="Emphasis"/>
        </w:rPr>
        <w:t>Journal of Environment, Climate, and Ecology, 2</w:t>
      </w:r>
      <w:r w:rsidRPr="003F140D">
        <w:t xml:space="preserve">(2), 90–97. </w:t>
      </w:r>
      <w:hyperlink r:id="rId13" w:tgtFrame="_new" w:history="1">
        <w:r w:rsidRPr="003F140D">
          <w:rPr>
            <w:rStyle w:val="Hyperlink"/>
            <w:rFonts w:eastAsiaTheme="majorEastAsia"/>
          </w:rPr>
          <w:t>https://doi.org/10.69739/jece.v2i2.952</w:t>
        </w:r>
      </w:hyperlink>
    </w:p>
    <w:p w14:paraId="2CE61103" w14:textId="77777777" w:rsidR="00453439" w:rsidRPr="003F140D" w:rsidRDefault="00453439" w:rsidP="00894307">
      <w:pPr>
        <w:pStyle w:val="NormalWeb"/>
        <w:ind w:left="360"/>
        <w:jc w:val="both"/>
      </w:pPr>
      <w:proofErr w:type="spellStart"/>
      <w:r w:rsidRPr="003F140D">
        <w:t>Ekwere</w:t>
      </w:r>
      <w:proofErr w:type="spellEnd"/>
      <w:r w:rsidRPr="003F140D">
        <w:t xml:space="preserve">, I. O., </w:t>
      </w:r>
      <w:proofErr w:type="spellStart"/>
      <w:r w:rsidRPr="003F140D">
        <w:t>Okpoji</w:t>
      </w:r>
      <w:proofErr w:type="spellEnd"/>
      <w:r w:rsidRPr="003F140D">
        <w:t xml:space="preserve">, A. U., </w:t>
      </w:r>
      <w:proofErr w:type="spellStart"/>
      <w:r w:rsidRPr="003F140D">
        <w:t>Ufuoma</w:t>
      </w:r>
      <w:proofErr w:type="spellEnd"/>
      <w:r w:rsidRPr="003F140D">
        <w:t xml:space="preserve">, V. O., Akinola, A. E., Raymond, C. A., Clement, R. O., </w:t>
      </w:r>
      <w:proofErr w:type="spellStart"/>
      <w:r w:rsidRPr="003F140D">
        <w:t>Alaekwe</w:t>
      </w:r>
      <w:proofErr w:type="spellEnd"/>
      <w:r w:rsidRPr="003F140D">
        <w:t xml:space="preserve">, I. O., </w:t>
      </w:r>
      <w:proofErr w:type="spellStart"/>
      <w:r w:rsidRPr="003F140D">
        <w:t>Etesin</w:t>
      </w:r>
      <w:proofErr w:type="spellEnd"/>
      <w:r w:rsidRPr="003F140D">
        <w:t xml:space="preserve">, M. O., &amp; </w:t>
      </w:r>
      <w:proofErr w:type="spellStart"/>
      <w:r w:rsidRPr="003F140D">
        <w:t>Edodi</w:t>
      </w:r>
      <w:proofErr w:type="spellEnd"/>
      <w:r w:rsidRPr="003F140D">
        <w:t>, I. O. (2025). Nutritional evaluation of Nile tilapia (</w:t>
      </w:r>
      <w:r w:rsidRPr="003F140D">
        <w:rPr>
          <w:rStyle w:val="Emphasis"/>
        </w:rPr>
        <w:t xml:space="preserve">Oreochromis </w:t>
      </w:r>
      <w:proofErr w:type="spellStart"/>
      <w:r w:rsidRPr="003F140D">
        <w:rPr>
          <w:rStyle w:val="Emphasis"/>
        </w:rPr>
        <w:t>niloticus</w:t>
      </w:r>
      <w:proofErr w:type="spellEnd"/>
      <w:r w:rsidRPr="003F140D">
        <w:t xml:space="preserve">) processed by different drying methods in </w:t>
      </w:r>
      <w:proofErr w:type="spellStart"/>
      <w:r w:rsidRPr="003F140D">
        <w:t>Akwa</w:t>
      </w:r>
      <w:proofErr w:type="spellEnd"/>
      <w:r w:rsidRPr="003F140D">
        <w:t xml:space="preserve"> Ibom State, Nigeria. </w:t>
      </w:r>
      <w:r w:rsidRPr="003F140D">
        <w:rPr>
          <w:rStyle w:val="Emphasis"/>
        </w:rPr>
        <w:t>Journal of Sustainable Research and Development, 1</w:t>
      </w:r>
      <w:r w:rsidRPr="003F140D">
        <w:t xml:space="preserve">(2), 11–17. </w:t>
      </w:r>
      <w:hyperlink r:id="rId14" w:tgtFrame="_new" w:history="1">
        <w:r w:rsidRPr="003F140D">
          <w:rPr>
            <w:rStyle w:val="Hyperlink"/>
            <w:rFonts w:eastAsiaTheme="majorEastAsia"/>
          </w:rPr>
          <w:t>https://doi.org/10.69739/jsrd.v1i2.1033</w:t>
        </w:r>
      </w:hyperlink>
    </w:p>
    <w:p w14:paraId="11277B22" w14:textId="36590B61" w:rsidR="00453439" w:rsidRPr="00023D27" w:rsidRDefault="00453439" w:rsidP="00894307">
      <w:pPr>
        <w:pStyle w:val="NormalWeb"/>
        <w:ind w:left="360"/>
        <w:jc w:val="both"/>
        <w:rPr>
          <w:lang w:val="pt-BR"/>
        </w:rPr>
      </w:pPr>
      <w:r w:rsidRPr="00023D27">
        <w:rPr>
          <w:lang w:val="pt-BR"/>
        </w:rPr>
        <w:t xml:space="preserve">Ernesto, O. Z. A. B., Dioselina, O. F. H., Marina, R. R. O., Hector, M., &amp; Miguel. </w:t>
      </w:r>
      <w:r w:rsidRPr="003F140D">
        <w:t xml:space="preserve">(2021). Bioaccumulation of PCBs and PBDEs in fish from a tropical Lake Chapala, Mexico. </w:t>
      </w:r>
      <w:r w:rsidRPr="00023D27">
        <w:rPr>
          <w:rStyle w:val="Emphasis"/>
          <w:lang w:val="pt-BR"/>
        </w:rPr>
        <w:t>Toxics</w:t>
      </w:r>
      <w:r w:rsidRPr="00023D27">
        <w:rPr>
          <w:lang w:val="pt-BR"/>
        </w:rPr>
        <w:t xml:space="preserve">, 9(1). </w:t>
      </w:r>
      <w:r w:rsidR="00023D27">
        <w:rPr>
          <w:lang w:val="pt-BR"/>
        </w:rPr>
        <w:fldChar w:fldCharType="begin"/>
      </w:r>
      <w:r w:rsidR="00023D27">
        <w:rPr>
          <w:lang w:val="pt-BR"/>
        </w:rPr>
        <w:instrText xml:space="preserve"> HYPERLINK "</w:instrText>
      </w:r>
      <w:r w:rsidR="00023D27" w:rsidRPr="00023D27">
        <w:rPr>
          <w:lang w:val="pt-BR"/>
        </w:rPr>
        <w:instrText>https://doi.org/10.3390/toxics9100241</w:instrText>
      </w:r>
      <w:r w:rsidR="00023D27">
        <w:rPr>
          <w:lang w:val="pt-BR"/>
        </w:rPr>
        <w:instrText xml:space="preserve">" </w:instrText>
      </w:r>
      <w:r w:rsidR="00023D27">
        <w:rPr>
          <w:lang w:val="pt-BR"/>
        </w:rPr>
        <w:fldChar w:fldCharType="separate"/>
      </w:r>
      <w:r w:rsidR="00023D27" w:rsidRPr="00A41183">
        <w:rPr>
          <w:rStyle w:val="Hyperlink"/>
          <w:lang w:val="pt-BR"/>
        </w:rPr>
        <w:t>https://doi.org/10.3390/toxics9100241</w:t>
      </w:r>
      <w:r w:rsidR="00023D27">
        <w:rPr>
          <w:lang w:val="pt-BR"/>
        </w:rPr>
        <w:fldChar w:fldCharType="end"/>
      </w:r>
      <w:r w:rsidR="00023D27">
        <w:rPr>
          <w:lang w:val="pt-BR"/>
        </w:rPr>
        <w:t xml:space="preserve"> </w:t>
      </w:r>
    </w:p>
    <w:p w14:paraId="10BBFADD" w14:textId="77777777" w:rsidR="00023D27" w:rsidRDefault="00453439" w:rsidP="00894307">
      <w:pPr>
        <w:pStyle w:val="NormalWeb"/>
        <w:ind w:left="360"/>
        <w:jc w:val="both"/>
      </w:pPr>
      <w:r w:rsidRPr="00023D27">
        <w:rPr>
          <w:lang w:val="pt-BR"/>
        </w:rPr>
        <w:t xml:space="preserve">Eyenubo, O. B., Peretomode, V. O., Egharevba, F., Osakwe, S. A., &amp; Avwioro, O. G. (2024). </w:t>
      </w:r>
      <w:r w:rsidRPr="003F140D">
        <w:t xml:space="preserve">Polychlorinated biphenyls (PCBs) in sediments and fish from dredged tributaries and creeks of River </w:t>
      </w:r>
      <w:proofErr w:type="spellStart"/>
      <w:r w:rsidRPr="003F140D">
        <w:t>Ethiope</w:t>
      </w:r>
      <w:proofErr w:type="spellEnd"/>
      <w:r w:rsidRPr="003F140D">
        <w:t xml:space="preserve">, South-South Nigeria: Sources, risk assessment and bioaccumulation. </w:t>
      </w:r>
      <w:r w:rsidRPr="003F140D">
        <w:rPr>
          <w:rStyle w:val="Emphasis"/>
        </w:rPr>
        <w:t>Journal of the Nigerian Society of Physical Science</w:t>
      </w:r>
      <w:r w:rsidRPr="003F140D">
        <w:t>, 6, 1951.</w:t>
      </w:r>
      <w:r w:rsidR="00023D27" w:rsidRPr="00023D27">
        <w:t xml:space="preserve"> </w:t>
      </w:r>
      <w:hyperlink r:id="rId15" w:history="1">
        <w:r w:rsidR="00023D27" w:rsidRPr="00A41183">
          <w:rPr>
            <w:rStyle w:val="Hyperlink"/>
          </w:rPr>
          <w:t>https://doi.org/10.46481/jnsps.2024.1951</w:t>
        </w:r>
      </w:hyperlink>
      <w:r w:rsidR="00023D27">
        <w:t xml:space="preserve"> </w:t>
      </w:r>
    </w:p>
    <w:p w14:paraId="75D09CFD" w14:textId="3B8A31CD" w:rsidR="00453439" w:rsidRPr="003F140D" w:rsidRDefault="00453439" w:rsidP="00894307">
      <w:pPr>
        <w:pStyle w:val="NormalWeb"/>
        <w:ind w:left="360"/>
        <w:jc w:val="both"/>
      </w:pPr>
      <w:r w:rsidRPr="003F140D">
        <w:t xml:space="preserve">IARC (International Agency for Research on Cancer). (2015). </w:t>
      </w:r>
      <w:r w:rsidRPr="003F140D">
        <w:rPr>
          <w:rStyle w:val="Emphasis"/>
        </w:rPr>
        <w:t>Agents Classified by the IARC Monographs, Volumes 1–112.</w:t>
      </w:r>
      <w:r w:rsidRPr="003F140D">
        <w:t xml:space="preserve"> </w:t>
      </w:r>
      <w:hyperlink r:id="rId16" w:history="1">
        <w:r w:rsidR="00023D27" w:rsidRPr="00A41183">
          <w:rPr>
            <w:rStyle w:val="Hyperlink"/>
          </w:rPr>
          <w:t>http://monographs.iarc.fr/ENG/Classification/ClassificationsAlphaOrder.pdf</w:t>
        </w:r>
      </w:hyperlink>
      <w:r w:rsidR="00023D27">
        <w:t xml:space="preserve"> </w:t>
      </w:r>
    </w:p>
    <w:p w14:paraId="5F23907E" w14:textId="77777777" w:rsidR="00453439" w:rsidRPr="003F140D" w:rsidRDefault="00453439" w:rsidP="00894307">
      <w:pPr>
        <w:pStyle w:val="NormalWeb"/>
        <w:ind w:left="360"/>
        <w:jc w:val="both"/>
      </w:pPr>
      <w:proofErr w:type="spellStart"/>
      <w:r w:rsidRPr="003F140D">
        <w:t>Ibe</w:t>
      </w:r>
      <w:proofErr w:type="spellEnd"/>
      <w:r w:rsidRPr="003F140D">
        <w:t xml:space="preserve">, U. (2023). Challenges in environmental remediation in complex regions: Case study of the Niger Delta. </w:t>
      </w:r>
      <w:r w:rsidRPr="003F140D">
        <w:rPr>
          <w:rStyle w:val="Emphasis"/>
        </w:rPr>
        <w:t>Journal of Toxic Substance Management</w:t>
      </w:r>
      <w:r w:rsidRPr="003F140D">
        <w:t>, 12(3), 204–219.</w:t>
      </w:r>
    </w:p>
    <w:p w14:paraId="726B11E7" w14:textId="77777777" w:rsidR="00453439" w:rsidRPr="003F140D" w:rsidRDefault="00453439" w:rsidP="00894307">
      <w:pPr>
        <w:pStyle w:val="NormalWeb"/>
        <w:ind w:left="360"/>
        <w:jc w:val="both"/>
      </w:pPr>
      <w:r w:rsidRPr="003F140D">
        <w:t xml:space="preserve">John, E. E., </w:t>
      </w:r>
      <w:proofErr w:type="spellStart"/>
      <w:r w:rsidRPr="003F140D">
        <w:t>Emah</w:t>
      </w:r>
      <w:proofErr w:type="spellEnd"/>
      <w:r w:rsidRPr="003F140D">
        <w:t xml:space="preserve">, O. A., </w:t>
      </w:r>
      <w:proofErr w:type="spellStart"/>
      <w:r w:rsidRPr="003F140D">
        <w:t>Ifiok</w:t>
      </w:r>
      <w:proofErr w:type="spellEnd"/>
      <w:r w:rsidRPr="003F140D">
        <w:t xml:space="preserve">, O. E., </w:t>
      </w:r>
      <w:proofErr w:type="spellStart"/>
      <w:r w:rsidRPr="003F140D">
        <w:t>Okpoji</w:t>
      </w:r>
      <w:proofErr w:type="spellEnd"/>
      <w:r w:rsidRPr="003F140D">
        <w:t xml:space="preserve">, A. U., </w:t>
      </w:r>
      <w:proofErr w:type="spellStart"/>
      <w:r w:rsidRPr="003F140D">
        <w:t>Iyam</w:t>
      </w:r>
      <w:proofErr w:type="spellEnd"/>
      <w:r w:rsidRPr="003F140D">
        <w:t xml:space="preserve">, O. E., Henderson, O. O., Akinola, A. E., Gloria, N. A., &amp; Charles, N. O. (2025). Health risk implications of polycyclic aromatic hydrocarbons in smoked and dried fish consumed in Nigeria. </w:t>
      </w:r>
      <w:r w:rsidRPr="003F140D">
        <w:rPr>
          <w:rStyle w:val="Emphasis"/>
        </w:rPr>
        <w:t xml:space="preserve">Journal </w:t>
      </w:r>
      <w:r w:rsidRPr="003F140D">
        <w:rPr>
          <w:rStyle w:val="Emphasis"/>
        </w:rPr>
        <w:lastRenderedPageBreak/>
        <w:t>of Medical Science, Biology, and Chemistry, 2</w:t>
      </w:r>
      <w:r w:rsidRPr="003F140D">
        <w:t xml:space="preserve">(2), 192–199. </w:t>
      </w:r>
      <w:hyperlink r:id="rId17" w:tgtFrame="_new" w:history="1">
        <w:r w:rsidRPr="003F140D">
          <w:rPr>
            <w:rStyle w:val="Hyperlink"/>
            <w:rFonts w:eastAsiaTheme="majorEastAsia"/>
          </w:rPr>
          <w:t>https://doi.org/10.69739/jmsbc.v2i2.1045</w:t>
        </w:r>
      </w:hyperlink>
    </w:p>
    <w:p w14:paraId="109ACCD9" w14:textId="5CA1220C" w:rsidR="00453439" w:rsidRPr="003F140D" w:rsidRDefault="00453439" w:rsidP="00894307">
      <w:pPr>
        <w:pStyle w:val="NormalWeb"/>
        <w:ind w:left="360"/>
        <w:jc w:val="both"/>
      </w:pPr>
      <w:proofErr w:type="spellStart"/>
      <w:r w:rsidRPr="003F140D">
        <w:t>Kallenborn</w:t>
      </w:r>
      <w:proofErr w:type="spellEnd"/>
      <w:r w:rsidRPr="003F140D">
        <w:t xml:space="preserve">, R., Hung, H., &amp; </w:t>
      </w:r>
      <w:proofErr w:type="spellStart"/>
      <w:r w:rsidRPr="003F140D">
        <w:t>Brorström-Lundén</w:t>
      </w:r>
      <w:proofErr w:type="spellEnd"/>
      <w:r w:rsidRPr="003F140D">
        <w:t xml:space="preserve">, E. (2015). Atmospheric long-range transport of persistent organic pollutants (POPs) into polar regions. In </w:t>
      </w:r>
      <w:r w:rsidRPr="003F140D">
        <w:rPr>
          <w:rStyle w:val="Emphasis"/>
        </w:rPr>
        <w:t>Comprehensive Analytical Chemistry</w:t>
      </w:r>
      <w:r w:rsidRPr="003F140D">
        <w:t xml:space="preserve"> (Vol. 67, p. 411). Elsevier.</w:t>
      </w:r>
      <w:r w:rsidR="00023D27" w:rsidRPr="00023D27">
        <w:t xml:space="preserve"> </w:t>
      </w:r>
      <w:hyperlink r:id="rId18" w:history="1">
        <w:r w:rsidR="00023D27" w:rsidRPr="00A41183">
          <w:rPr>
            <w:rStyle w:val="Hyperlink"/>
          </w:rPr>
          <w:t>https://doi.org/10.1016/B978-0-444-63299-9.00013-2</w:t>
        </w:r>
      </w:hyperlink>
      <w:r w:rsidR="00023D27">
        <w:t xml:space="preserve"> </w:t>
      </w:r>
    </w:p>
    <w:p w14:paraId="1DB1531D" w14:textId="77777777" w:rsidR="00453439" w:rsidRPr="003F140D" w:rsidRDefault="00453439" w:rsidP="00894307">
      <w:pPr>
        <w:pStyle w:val="NormalWeb"/>
        <w:ind w:left="360"/>
        <w:jc w:val="both"/>
      </w:pPr>
      <w:r w:rsidRPr="003F140D">
        <w:t xml:space="preserve">Kwok, F. (2023). Enhancing global cooperation in environmental governance. </w:t>
      </w:r>
      <w:r w:rsidRPr="003F140D">
        <w:rPr>
          <w:rStyle w:val="Emphasis"/>
        </w:rPr>
        <w:t>Global Environmental Politics</w:t>
      </w:r>
      <w:r w:rsidRPr="003F140D">
        <w:t>, 21(1), 77–92.</w:t>
      </w:r>
    </w:p>
    <w:p w14:paraId="36CE2E71" w14:textId="77777777" w:rsidR="00453439" w:rsidRPr="003F140D" w:rsidRDefault="00453439" w:rsidP="00894307">
      <w:pPr>
        <w:pStyle w:val="NormalWeb"/>
        <w:ind w:left="360"/>
        <w:jc w:val="both"/>
      </w:pPr>
      <w:r w:rsidRPr="003F140D">
        <w:t xml:space="preserve">Lawal, A. (2023). Management strategies for PCBs in the Niger Delta: Achievements and challenges. </w:t>
      </w:r>
      <w:r w:rsidRPr="003F140D">
        <w:rPr>
          <w:rStyle w:val="Emphasis"/>
        </w:rPr>
        <w:t>Environmental Management Review</w:t>
      </w:r>
      <w:r w:rsidRPr="003F140D">
        <w:t>, 29(1), 45–59.</w:t>
      </w:r>
    </w:p>
    <w:p w14:paraId="1ED873A7" w14:textId="55842F70" w:rsidR="00453439" w:rsidRPr="003F140D" w:rsidRDefault="00453439" w:rsidP="00894307">
      <w:pPr>
        <w:pStyle w:val="NormalWeb"/>
        <w:ind w:left="360"/>
        <w:jc w:val="both"/>
      </w:pPr>
      <w:proofErr w:type="spellStart"/>
      <w:r w:rsidRPr="003F140D">
        <w:t>Oghenekohwiroro</w:t>
      </w:r>
      <w:proofErr w:type="spellEnd"/>
      <w:r w:rsidRPr="003F140D">
        <w:t xml:space="preserve">, E., &amp; </w:t>
      </w:r>
      <w:proofErr w:type="spellStart"/>
      <w:r w:rsidRPr="003F140D">
        <w:t>Osaro</w:t>
      </w:r>
      <w:proofErr w:type="spellEnd"/>
      <w:r w:rsidRPr="003F140D">
        <w:t xml:space="preserve">, I. (2017). Assessment of the levels of polychlorinated biphenyls (PCBs) in </w:t>
      </w:r>
      <w:proofErr w:type="spellStart"/>
      <w:r w:rsidRPr="003F140D">
        <w:t>Oroodo</w:t>
      </w:r>
      <w:proofErr w:type="spellEnd"/>
      <w:r w:rsidRPr="003F140D">
        <w:t xml:space="preserve"> River sediment, </w:t>
      </w:r>
      <w:proofErr w:type="spellStart"/>
      <w:r w:rsidRPr="003F140D">
        <w:t>Agbor</w:t>
      </w:r>
      <w:proofErr w:type="spellEnd"/>
      <w:r w:rsidRPr="003F140D">
        <w:t xml:space="preserve">, Delta State, Nigeria. </w:t>
      </w:r>
      <w:r w:rsidRPr="003F140D">
        <w:rPr>
          <w:rStyle w:val="Emphasis"/>
        </w:rPr>
        <w:t>Annals of Chemistry</w:t>
      </w:r>
      <w:r w:rsidRPr="003F140D">
        <w:t xml:space="preserve">, 28, 25. </w:t>
      </w:r>
      <w:hyperlink r:id="rId19" w:history="1">
        <w:r w:rsidR="00023D27" w:rsidRPr="00A41183">
          <w:rPr>
            <w:rStyle w:val="Hyperlink"/>
          </w:rPr>
          <w:t>https://intapi.sciendo.com/pdf/10.1515/auoc-2017-0005</w:t>
        </w:r>
      </w:hyperlink>
      <w:r w:rsidR="00023D27">
        <w:t xml:space="preserve"> </w:t>
      </w:r>
    </w:p>
    <w:p w14:paraId="70D995E5" w14:textId="77777777" w:rsidR="00453439" w:rsidRPr="003F140D" w:rsidRDefault="00453439" w:rsidP="00894307">
      <w:pPr>
        <w:pStyle w:val="NormalWeb"/>
        <w:ind w:left="360"/>
        <w:jc w:val="both"/>
      </w:pPr>
      <w:r w:rsidRPr="003F140D">
        <w:t xml:space="preserve">Okagbare, U. V., </w:t>
      </w:r>
      <w:proofErr w:type="spellStart"/>
      <w:r w:rsidRPr="003F140D">
        <w:t>Umueni</w:t>
      </w:r>
      <w:proofErr w:type="spellEnd"/>
      <w:r w:rsidRPr="003F140D">
        <w:t xml:space="preserve">, U. E., Ekpe, J. E., </w:t>
      </w:r>
      <w:proofErr w:type="spellStart"/>
      <w:r w:rsidRPr="003F140D">
        <w:t>Etukudo</w:t>
      </w:r>
      <w:proofErr w:type="spellEnd"/>
      <w:r w:rsidRPr="003F140D">
        <w:t xml:space="preserve">, N. J., </w:t>
      </w:r>
      <w:proofErr w:type="spellStart"/>
      <w:r w:rsidRPr="003F140D">
        <w:t>Okpoji</w:t>
      </w:r>
      <w:proofErr w:type="spellEnd"/>
      <w:r w:rsidRPr="003F140D">
        <w:t xml:space="preserve">, A. U., Okoye, P. I., </w:t>
      </w:r>
      <w:proofErr w:type="spellStart"/>
      <w:r w:rsidRPr="003F140D">
        <w:t>Ekwere</w:t>
      </w:r>
      <w:proofErr w:type="spellEnd"/>
      <w:r w:rsidRPr="003F140D">
        <w:t xml:space="preserve">, I. O., </w:t>
      </w:r>
      <w:proofErr w:type="spellStart"/>
      <w:r w:rsidRPr="003F140D">
        <w:t>Etesin</w:t>
      </w:r>
      <w:proofErr w:type="spellEnd"/>
      <w:r w:rsidRPr="003F140D">
        <w:t xml:space="preserve">, M. U., </w:t>
      </w:r>
      <w:proofErr w:type="spellStart"/>
      <w:r w:rsidRPr="003F140D">
        <w:t>Okpanachi</w:t>
      </w:r>
      <w:proofErr w:type="spellEnd"/>
      <w:r w:rsidRPr="003F140D">
        <w:t xml:space="preserve">, C. B., &amp; Okafor, C. A. (2025). Geophysical and </w:t>
      </w:r>
      <w:proofErr w:type="spellStart"/>
      <w:r w:rsidRPr="003F140D">
        <w:t>hydrochemical</w:t>
      </w:r>
      <w:proofErr w:type="spellEnd"/>
      <w:r w:rsidRPr="003F140D">
        <w:t xml:space="preserve"> assessment of groundwater vulnerability to oil pollution in </w:t>
      </w:r>
      <w:proofErr w:type="spellStart"/>
      <w:r w:rsidRPr="003F140D">
        <w:t>Yenagoa</w:t>
      </w:r>
      <w:proofErr w:type="spellEnd"/>
      <w:r w:rsidRPr="003F140D">
        <w:t xml:space="preserve">, Bayelsa State, Nigeria. </w:t>
      </w:r>
      <w:r w:rsidRPr="003F140D">
        <w:rPr>
          <w:rStyle w:val="Emphasis"/>
        </w:rPr>
        <w:t>Journal of Environment, Climate, and Ecology, 2</w:t>
      </w:r>
      <w:r w:rsidRPr="003F140D">
        <w:t xml:space="preserve">(2), 138–146. </w:t>
      </w:r>
      <w:hyperlink r:id="rId20" w:tgtFrame="_new" w:history="1">
        <w:r w:rsidRPr="003F140D">
          <w:rPr>
            <w:rStyle w:val="Hyperlink"/>
            <w:rFonts w:eastAsiaTheme="majorEastAsia"/>
          </w:rPr>
          <w:t>https://doi.org/10.69739/jece.v2i2.1078</w:t>
        </w:r>
      </w:hyperlink>
    </w:p>
    <w:p w14:paraId="6658764A" w14:textId="77777777" w:rsidR="00453439" w:rsidRPr="003F140D" w:rsidRDefault="00453439" w:rsidP="00894307">
      <w:pPr>
        <w:pStyle w:val="NormalWeb"/>
        <w:ind w:left="360"/>
        <w:jc w:val="both"/>
      </w:pPr>
      <w:proofErr w:type="spellStart"/>
      <w:r w:rsidRPr="003F140D">
        <w:t>Okpoji</w:t>
      </w:r>
      <w:proofErr w:type="spellEnd"/>
      <w:r w:rsidRPr="003F140D">
        <w:t xml:space="preserve">, A. U., </w:t>
      </w:r>
      <w:proofErr w:type="spellStart"/>
      <w:r w:rsidRPr="003F140D">
        <w:t>Anarado</w:t>
      </w:r>
      <w:proofErr w:type="spellEnd"/>
      <w:r w:rsidRPr="003F140D">
        <w:t xml:space="preserve">, C. O., </w:t>
      </w:r>
      <w:proofErr w:type="spellStart"/>
      <w:r w:rsidRPr="003F140D">
        <w:t>Mmuta</w:t>
      </w:r>
      <w:proofErr w:type="spellEnd"/>
      <w:r w:rsidRPr="003F140D">
        <w:t xml:space="preserve">, E. C., </w:t>
      </w:r>
      <w:proofErr w:type="spellStart"/>
      <w:r w:rsidRPr="003F140D">
        <w:t>Ekwere</w:t>
      </w:r>
      <w:proofErr w:type="spellEnd"/>
      <w:r w:rsidRPr="003F140D">
        <w:t xml:space="preserve">, I. O., </w:t>
      </w:r>
      <w:proofErr w:type="spellStart"/>
      <w:r w:rsidRPr="003F140D">
        <w:t>Alaekwe</w:t>
      </w:r>
      <w:proofErr w:type="spellEnd"/>
      <w:r w:rsidRPr="003F140D">
        <w:t xml:space="preserve">, I. O., </w:t>
      </w:r>
      <w:proofErr w:type="spellStart"/>
      <w:r w:rsidRPr="003F140D">
        <w:t>Odibo</w:t>
      </w:r>
      <w:proofErr w:type="spellEnd"/>
      <w:r w:rsidRPr="003F140D">
        <w:t xml:space="preserve">, U. E., </w:t>
      </w:r>
      <w:proofErr w:type="spellStart"/>
      <w:r w:rsidRPr="003F140D">
        <w:t>Igwegbe</w:t>
      </w:r>
      <w:proofErr w:type="spellEnd"/>
      <w:r w:rsidRPr="003F140D">
        <w:t xml:space="preserve">, K. C., </w:t>
      </w:r>
      <w:proofErr w:type="spellStart"/>
      <w:r w:rsidRPr="003F140D">
        <w:t>Eboj-Ajoku</w:t>
      </w:r>
      <w:proofErr w:type="spellEnd"/>
      <w:r w:rsidRPr="003F140D">
        <w:t xml:space="preserve">, I. O., &amp; </w:t>
      </w:r>
      <w:proofErr w:type="spellStart"/>
      <w:r w:rsidRPr="003F140D">
        <w:t>Obunezi</w:t>
      </w:r>
      <w:proofErr w:type="spellEnd"/>
      <w:r w:rsidRPr="003F140D">
        <w:t xml:space="preserve">, O. C. (2025). Toxicological evaluation of Pb, Cd, As, and Hg in blue crab from oil-polluted creeks in the Niger Delta. </w:t>
      </w:r>
      <w:r w:rsidRPr="003F140D">
        <w:rPr>
          <w:rStyle w:val="Emphasis"/>
        </w:rPr>
        <w:t>Journal of Life Science and Public Health, 1</w:t>
      </w:r>
      <w:r w:rsidRPr="003F140D">
        <w:t xml:space="preserve">(1), 24–31. </w:t>
      </w:r>
      <w:hyperlink r:id="rId21" w:tgtFrame="_new" w:history="1">
        <w:r w:rsidRPr="003F140D">
          <w:rPr>
            <w:rStyle w:val="Hyperlink"/>
            <w:rFonts w:eastAsiaTheme="majorEastAsia"/>
          </w:rPr>
          <w:t>https://doi.org/10.69739/jlsph.v1i1.879</w:t>
        </w:r>
      </w:hyperlink>
    </w:p>
    <w:p w14:paraId="6ABED7B6" w14:textId="77777777" w:rsidR="00453439" w:rsidRPr="003F140D" w:rsidRDefault="00453439" w:rsidP="00894307">
      <w:pPr>
        <w:pStyle w:val="NormalWeb"/>
        <w:ind w:left="360"/>
        <w:jc w:val="both"/>
      </w:pPr>
      <w:proofErr w:type="spellStart"/>
      <w:r w:rsidRPr="003F140D">
        <w:t>Okpoji</w:t>
      </w:r>
      <w:proofErr w:type="spellEnd"/>
      <w:r w:rsidRPr="003F140D">
        <w:t xml:space="preserve">, A. U., Chinyere, U. E., </w:t>
      </w:r>
      <w:proofErr w:type="spellStart"/>
      <w:r w:rsidRPr="003F140D">
        <w:t>Nwokoye</w:t>
      </w:r>
      <w:proofErr w:type="spellEnd"/>
      <w:r w:rsidRPr="003F140D">
        <w:t xml:space="preserve">, J. N., </w:t>
      </w:r>
      <w:proofErr w:type="spellStart"/>
      <w:r w:rsidRPr="003F140D">
        <w:t>Ezekwuemen</w:t>
      </w:r>
      <w:proofErr w:type="spellEnd"/>
      <w:r w:rsidRPr="003F140D">
        <w:t xml:space="preserve">, O. I., </w:t>
      </w:r>
      <w:proofErr w:type="spellStart"/>
      <w:r w:rsidRPr="003F140D">
        <w:t>Alaekwe</w:t>
      </w:r>
      <w:proofErr w:type="spellEnd"/>
      <w:r w:rsidRPr="003F140D">
        <w:t xml:space="preserve">, I. O., </w:t>
      </w:r>
      <w:proofErr w:type="spellStart"/>
      <w:r w:rsidRPr="003F140D">
        <w:t>Odidika</w:t>
      </w:r>
      <w:proofErr w:type="spellEnd"/>
      <w:r w:rsidRPr="003F140D">
        <w:t xml:space="preserve">, C. C., </w:t>
      </w:r>
      <w:proofErr w:type="spellStart"/>
      <w:r w:rsidRPr="003F140D">
        <w:t>Owughara</w:t>
      </w:r>
      <w:proofErr w:type="spellEnd"/>
      <w:r w:rsidRPr="003F140D">
        <w:t xml:space="preserve">, C. N., </w:t>
      </w:r>
      <w:proofErr w:type="spellStart"/>
      <w:r w:rsidRPr="003F140D">
        <w:t>Enyi</w:t>
      </w:r>
      <w:proofErr w:type="spellEnd"/>
      <w:r w:rsidRPr="003F140D">
        <w:t xml:space="preserve">, C. M., &amp; Kolawole, O. O. (2025). Environmental assessment of heavy metals and hydrocarbon pollution in surface waters of oil-bearing communities in </w:t>
      </w:r>
      <w:proofErr w:type="spellStart"/>
      <w:r w:rsidRPr="003F140D">
        <w:t>Andoni</w:t>
      </w:r>
      <w:proofErr w:type="spellEnd"/>
      <w:r w:rsidRPr="003F140D">
        <w:t xml:space="preserve">, Rivers State, Nigeria. </w:t>
      </w:r>
      <w:r w:rsidRPr="003F140D">
        <w:rPr>
          <w:rStyle w:val="Emphasis"/>
        </w:rPr>
        <w:t>International Journal of Modern Science and Research Technology, 3</w:t>
      </w:r>
      <w:r w:rsidRPr="003F140D">
        <w:t>(8), 22–30.</w:t>
      </w:r>
    </w:p>
    <w:p w14:paraId="3666515C" w14:textId="0A139E99" w:rsidR="00453439" w:rsidRPr="003F140D" w:rsidRDefault="00453439" w:rsidP="00894307">
      <w:pPr>
        <w:pStyle w:val="NormalWeb"/>
        <w:ind w:left="360"/>
        <w:jc w:val="both"/>
      </w:pPr>
      <w:proofErr w:type="spellStart"/>
      <w:r w:rsidRPr="003F140D">
        <w:t>Okpoji</w:t>
      </w:r>
      <w:proofErr w:type="spellEnd"/>
      <w:r w:rsidRPr="003F140D">
        <w:t xml:space="preserve">, A. U., </w:t>
      </w:r>
      <w:proofErr w:type="spellStart"/>
      <w:r w:rsidRPr="003F140D">
        <w:t>Eboh-Ajoku</w:t>
      </w:r>
      <w:proofErr w:type="spellEnd"/>
      <w:r w:rsidRPr="003F140D">
        <w:t xml:space="preserve">, I. O., </w:t>
      </w:r>
      <w:proofErr w:type="spellStart"/>
      <w:r w:rsidRPr="003F140D">
        <w:t>Mmuta</w:t>
      </w:r>
      <w:proofErr w:type="spellEnd"/>
      <w:r w:rsidRPr="003F140D">
        <w:t xml:space="preserve">, E. C., </w:t>
      </w:r>
      <w:proofErr w:type="spellStart"/>
      <w:r w:rsidRPr="003F140D">
        <w:t>Ndubuisi</w:t>
      </w:r>
      <w:proofErr w:type="spellEnd"/>
      <w:r w:rsidRPr="003F140D">
        <w:t xml:space="preserve">, J. O., </w:t>
      </w:r>
      <w:proofErr w:type="spellStart"/>
      <w:r w:rsidRPr="003F140D">
        <w:t>Alaekwe</w:t>
      </w:r>
      <w:proofErr w:type="spellEnd"/>
      <w:r w:rsidRPr="003F140D">
        <w:t xml:space="preserve">, I. O., </w:t>
      </w:r>
      <w:proofErr w:type="spellStart"/>
      <w:r w:rsidRPr="003F140D">
        <w:t>Odibo</w:t>
      </w:r>
      <w:proofErr w:type="spellEnd"/>
      <w:r w:rsidRPr="003F140D">
        <w:t xml:space="preserve">, U. E., </w:t>
      </w:r>
      <w:proofErr w:type="spellStart"/>
      <w:r w:rsidRPr="003F140D">
        <w:t>Nwoka</w:t>
      </w:r>
      <w:proofErr w:type="spellEnd"/>
      <w:r w:rsidRPr="003F140D">
        <w:t xml:space="preserve">, N. G., Okafor, C. A., &amp; </w:t>
      </w:r>
      <w:proofErr w:type="spellStart"/>
      <w:r w:rsidRPr="003F140D">
        <w:t>Obunezi</w:t>
      </w:r>
      <w:proofErr w:type="spellEnd"/>
      <w:r w:rsidRPr="003F140D">
        <w:t xml:space="preserve">, O. C. (2025). Integrated environmental risk assessment of BTEX and PAHs in water and sediment samples from the Bonny River, Nigeria. </w:t>
      </w:r>
      <w:r w:rsidRPr="003F140D">
        <w:rPr>
          <w:rStyle w:val="Emphasis"/>
        </w:rPr>
        <w:t>ISA Journal of Multidisciplinary (ISAJM), 2</w:t>
      </w:r>
      <w:r w:rsidRPr="003F140D">
        <w:t>(4), 14–21.</w:t>
      </w:r>
      <w:r w:rsidR="00023D27" w:rsidRPr="00023D27">
        <w:t xml:space="preserve"> </w:t>
      </w:r>
      <w:hyperlink r:id="rId22" w:history="1">
        <w:r w:rsidR="00023D27" w:rsidRPr="00A41183">
          <w:rPr>
            <w:rStyle w:val="Hyperlink"/>
          </w:rPr>
          <w:t>https://doi.org/10.5281/zenodo.16921896</w:t>
        </w:r>
      </w:hyperlink>
      <w:r w:rsidR="00023D27">
        <w:t xml:space="preserve"> </w:t>
      </w:r>
    </w:p>
    <w:p w14:paraId="0E4C1403" w14:textId="77777777" w:rsidR="00453439" w:rsidRPr="003F140D" w:rsidRDefault="00453439" w:rsidP="00894307">
      <w:pPr>
        <w:pStyle w:val="NormalWeb"/>
        <w:ind w:left="360"/>
        <w:jc w:val="both"/>
      </w:pPr>
      <w:proofErr w:type="spellStart"/>
      <w:r w:rsidRPr="003F140D">
        <w:t>Okpoji</w:t>
      </w:r>
      <w:proofErr w:type="spellEnd"/>
      <w:r w:rsidRPr="003F140D">
        <w:t xml:space="preserve">, A. U., </w:t>
      </w:r>
      <w:proofErr w:type="spellStart"/>
      <w:r w:rsidRPr="003F140D">
        <w:t>Ekwere</w:t>
      </w:r>
      <w:proofErr w:type="spellEnd"/>
      <w:r w:rsidRPr="003F140D">
        <w:t xml:space="preserve">, I. O., </w:t>
      </w:r>
      <w:proofErr w:type="spellStart"/>
      <w:r w:rsidRPr="003F140D">
        <w:t>Igwegbe</w:t>
      </w:r>
      <w:proofErr w:type="spellEnd"/>
      <w:r w:rsidRPr="003F140D">
        <w:t xml:space="preserve">, K. C., </w:t>
      </w:r>
      <w:proofErr w:type="spellStart"/>
      <w:r w:rsidRPr="003F140D">
        <w:t>Anarado</w:t>
      </w:r>
      <w:proofErr w:type="spellEnd"/>
      <w:r w:rsidRPr="003F140D">
        <w:t xml:space="preserve">, C. J. O., Ogbonna, C., </w:t>
      </w:r>
      <w:proofErr w:type="spellStart"/>
      <w:r w:rsidRPr="003F140D">
        <w:t>Ewuola</w:t>
      </w:r>
      <w:proofErr w:type="spellEnd"/>
      <w:r w:rsidRPr="003F140D">
        <w:t xml:space="preserve">, A. A., </w:t>
      </w:r>
      <w:proofErr w:type="spellStart"/>
      <w:r w:rsidRPr="003F140D">
        <w:t>Odibo</w:t>
      </w:r>
      <w:proofErr w:type="spellEnd"/>
      <w:r w:rsidRPr="003F140D">
        <w:t xml:space="preserve">, U. E., &amp; </w:t>
      </w:r>
      <w:proofErr w:type="spellStart"/>
      <w:r w:rsidRPr="003F140D">
        <w:t>Garuba</w:t>
      </w:r>
      <w:proofErr w:type="spellEnd"/>
      <w:r w:rsidRPr="003F140D">
        <w:t xml:space="preserve">, M. H. (2025). Volatile organic compounds from gas flaring and their atmospheric implications in the Niger Delta. </w:t>
      </w:r>
      <w:r w:rsidRPr="003F140D">
        <w:rPr>
          <w:rStyle w:val="Emphasis"/>
        </w:rPr>
        <w:t>Journal of Life Science and Public Health, 1</w:t>
      </w:r>
      <w:r w:rsidRPr="003F140D">
        <w:t xml:space="preserve">(1), 32–39. </w:t>
      </w:r>
      <w:hyperlink r:id="rId23" w:tgtFrame="_new" w:history="1">
        <w:r w:rsidRPr="003F140D">
          <w:rPr>
            <w:rStyle w:val="Hyperlink"/>
            <w:rFonts w:eastAsiaTheme="majorEastAsia"/>
          </w:rPr>
          <w:t>https://doi.org/10.69739/jlsph.v1i1.962</w:t>
        </w:r>
      </w:hyperlink>
    </w:p>
    <w:p w14:paraId="17A8658C" w14:textId="77777777" w:rsidR="00453439" w:rsidRPr="003F140D" w:rsidRDefault="00453439" w:rsidP="00894307">
      <w:pPr>
        <w:pStyle w:val="NormalWeb"/>
        <w:ind w:left="360"/>
        <w:jc w:val="both"/>
      </w:pPr>
      <w:proofErr w:type="spellStart"/>
      <w:r w:rsidRPr="003F140D">
        <w:t>Okpoji</w:t>
      </w:r>
      <w:proofErr w:type="spellEnd"/>
      <w:r w:rsidRPr="003F140D">
        <w:t xml:space="preserve">, A. U., </w:t>
      </w:r>
      <w:proofErr w:type="spellStart"/>
      <w:r w:rsidRPr="003F140D">
        <w:t>Etesin</w:t>
      </w:r>
      <w:proofErr w:type="spellEnd"/>
      <w:r w:rsidRPr="003F140D">
        <w:t xml:space="preserve">, M. U., </w:t>
      </w:r>
      <w:proofErr w:type="spellStart"/>
      <w:r w:rsidRPr="003F140D">
        <w:t>Ekwere</w:t>
      </w:r>
      <w:proofErr w:type="spellEnd"/>
      <w:r w:rsidRPr="003F140D">
        <w:t xml:space="preserve">, I. O., Martins, N. P., </w:t>
      </w:r>
      <w:proofErr w:type="spellStart"/>
      <w:r w:rsidRPr="003F140D">
        <w:t>Okpanachi</w:t>
      </w:r>
      <w:proofErr w:type="spellEnd"/>
      <w:r w:rsidRPr="003F140D">
        <w:t xml:space="preserve">, C. B., </w:t>
      </w:r>
      <w:proofErr w:type="spellStart"/>
      <w:r w:rsidRPr="003F140D">
        <w:t>Adisa</w:t>
      </w:r>
      <w:proofErr w:type="spellEnd"/>
      <w:r w:rsidRPr="003F140D">
        <w:t xml:space="preserve">, O. J., &amp; Okonkwo, C. C. (2025). Geochemical speciation and ecological risk of heavy metals in estuarine sediments of the Qua </w:t>
      </w:r>
      <w:proofErr w:type="spellStart"/>
      <w:r w:rsidRPr="003F140D">
        <w:t>Iboe</w:t>
      </w:r>
      <w:proofErr w:type="spellEnd"/>
      <w:r w:rsidRPr="003F140D">
        <w:t xml:space="preserve"> River, Nigeria. </w:t>
      </w:r>
      <w:r w:rsidRPr="003F140D">
        <w:rPr>
          <w:rStyle w:val="Emphasis"/>
        </w:rPr>
        <w:t>Asian Journal of Chemical Sciences, 15</w:t>
      </w:r>
      <w:r w:rsidRPr="003F140D">
        <w:t xml:space="preserve">(6), 20–31. </w:t>
      </w:r>
      <w:hyperlink r:id="rId24" w:tgtFrame="_new" w:history="1">
        <w:r w:rsidRPr="003F140D">
          <w:rPr>
            <w:rStyle w:val="Hyperlink"/>
            <w:rFonts w:eastAsiaTheme="majorEastAsia"/>
          </w:rPr>
          <w:t>https://doi.org/10.9734/ajocs/2025/v15i6402</w:t>
        </w:r>
      </w:hyperlink>
    </w:p>
    <w:p w14:paraId="324C7703" w14:textId="77777777" w:rsidR="00453439" w:rsidRPr="003F140D" w:rsidRDefault="00453439" w:rsidP="00894307">
      <w:pPr>
        <w:pStyle w:val="NormalWeb"/>
        <w:ind w:left="360"/>
        <w:jc w:val="both"/>
      </w:pPr>
      <w:proofErr w:type="spellStart"/>
      <w:r w:rsidRPr="003F140D">
        <w:lastRenderedPageBreak/>
        <w:t>Okpoji</w:t>
      </w:r>
      <w:proofErr w:type="spellEnd"/>
      <w:r w:rsidRPr="003F140D">
        <w:t xml:space="preserve">, A. U., </w:t>
      </w:r>
      <w:proofErr w:type="spellStart"/>
      <w:r w:rsidRPr="003F140D">
        <w:t>Ndubuisi</w:t>
      </w:r>
      <w:proofErr w:type="spellEnd"/>
      <w:r w:rsidRPr="003F140D">
        <w:t xml:space="preserve">, J. O., </w:t>
      </w:r>
      <w:proofErr w:type="spellStart"/>
      <w:r w:rsidRPr="003F140D">
        <w:t>Eboh-Ajoku</w:t>
      </w:r>
      <w:proofErr w:type="spellEnd"/>
      <w:r w:rsidRPr="003F140D">
        <w:t xml:space="preserve">, I. O., </w:t>
      </w:r>
      <w:proofErr w:type="spellStart"/>
      <w:r w:rsidRPr="003F140D">
        <w:t>Emem</w:t>
      </w:r>
      <w:proofErr w:type="spellEnd"/>
      <w:r w:rsidRPr="003F140D">
        <w:t xml:space="preserve">, J. A., </w:t>
      </w:r>
      <w:proofErr w:type="spellStart"/>
      <w:r w:rsidRPr="003F140D">
        <w:t>Ekwere</w:t>
      </w:r>
      <w:proofErr w:type="spellEnd"/>
      <w:r w:rsidRPr="003F140D">
        <w:t xml:space="preserve">, I. O., </w:t>
      </w:r>
      <w:proofErr w:type="spellStart"/>
      <w:r w:rsidRPr="003F140D">
        <w:t>Alaekwe</w:t>
      </w:r>
      <w:proofErr w:type="spellEnd"/>
      <w:r w:rsidRPr="003F140D">
        <w:t xml:space="preserve">, I. O., </w:t>
      </w:r>
      <w:proofErr w:type="spellStart"/>
      <w:r w:rsidRPr="003F140D">
        <w:t>Odibo</w:t>
      </w:r>
      <w:proofErr w:type="spellEnd"/>
      <w:r w:rsidRPr="003F140D">
        <w:t xml:space="preserve">, U. E., </w:t>
      </w:r>
      <w:proofErr w:type="spellStart"/>
      <w:r w:rsidRPr="003F140D">
        <w:t>Igwegbe</w:t>
      </w:r>
      <w:proofErr w:type="spellEnd"/>
      <w:r w:rsidRPr="003F140D">
        <w:t xml:space="preserve">, K. C., </w:t>
      </w:r>
      <w:proofErr w:type="spellStart"/>
      <w:r w:rsidRPr="003F140D">
        <w:t>Onoja</w:t>
      </w:r>
      <w:proofErr w:type="spellEnd"/>
      <w:r w:rsidRPr="003F140D">
        <w:t xml:space="preserve">, C. R., Warder, A. B., &amp; </w:t>
      </w:r>
      <w:proofErr w:type="spellStart"/>
      <w:r w:rsidRPr="003F140D">
        <w:t>InyangAbia</w:t>
      </w:r>
      <w:proofErr w:type="spellEnd"/>
      <w:r w:rsidRPr="003F140D">
        <w:t xml:space="preserve">, A. J. (2025). Trematode infections and histopathological effects in </w:t>
      </w:r>
      <w:proofErr w:type="spellStart"/>
      <w:r w:rsidRPr="003F140D">
        <w:rPr>
          <w:rStyle w:val="Emphasis"/>
        </w:rPr>
        <w:t>Chrysichthys</w:t>
      </w:r>
      <w:proofErr w:type="spellEnd"/>
      <w:r w:rsidRPr="003F140D">
        <w:rPr>
          <w:rStyle w:val="Emphasis"/>
        </w:rPr>
        <w:t xml:space="preserve"> </w:t>
      </w:r>
      <w:proofErr w:type="spellStart"/>
      <w:r w:rsidRPr="003F140D">
        <w:rPr>
          <w:rStyle w:val="Emphasis"/>
        </w:rPr>
        <w:t>nigrodigitatus</w:t>
      </w:r>
      <w:proofErr w:type="spellEnd"/>
      <w:r w:rsidRPr="003F140D">
        <w:t xml:space="preserve"> from the polluted </w:t>
      </w:r>
      <w:proofErr w:type="spellStart"/>
      <w:r w:rsidRPr="003F140D">
        <w:t>Andoni</w:t>
      </w:r>
      <w:proofErr w:type="spellEnd"/>
      <w:r w:rsidRPr="003F140D">
        <w:t xml:space="preserve"> River, Niger Delta, Nigeria. </w:t>
      </w:r>
      <w:r w:rsidRPr="003F140D">
        <w:rPr>
          <w:rStyle w:val="Emphasis"/>
        </w:rPr>
        <w:t>Journal of Agriculture, Aquaculture, and Animal Science, 2</w:t>
      </w:r>
      <w:r w:rsidRPr="003F140D">
        <w:t xml:space="preserve">(2), 66–72. </w:t>
      </w:r>
      <w:hyperlink r:id="rId25" w:tgtFrame="_new" w:history="1">
        <w:r w:rsidRPr="003F140D">
          <w:rPr>
            <w:rStyle w:val="Hyperlink"/>
            <w:rFonts w:eastAsiaTheme="majorEastAsia"/>
          </w:rPr>
          <w:t>https://doi.org/10.69739/jaaas.v2i2.882</w:t>
        </w:r>
      </w:hyperlink>
    </w:p>
    <w:p w14:paraId="3A7E8F0C" w14:textId="77777777" w:rsidR="00453439" w:rsidRPr="003F140D" w:rsidRDefault="00453439" w:rsidP="00894307">
      <w:pPr>
        <w:pStyle w:val="NormalWeb"/>
        <w:ind w:left="360"/>
        <w:jc w:val="both"/>
      </w:pPr>
      <w:proofErr w:type="spellStart"/>
      <w:r w:rsidRPr="003F140D">
        <w:t>Okpoji</w:t>
      </w:r>
      <w:proofErr w:type="spellEnd"/>
      <w:r w:rsidRPr="003F140D">
        <w:t xml:space="preserve">, A. U., </w:t>
      </w:r>
      <w:proofErr w:type="spellStart"/>
      <w:r w:rsidRPr="003F140D">
        <w:t>Ogbaji</w:t>
      </w:r>
      <w:proofErr w:type="spellEnd"/>
      <w:r w:rsidRPr="003F140D">
        <w:t>, H. O., Hassan, D. H., Orji-</w:t>
      </w:r>
      <w:proofErr w:type="spellStart"/>
      <w:r w:rsidRPr="003F140D">
        <w:t>Azuka</w:t>
      </w:r>
      <w:proofErr w:type="spellEnd"/>
      <w:r w:rsidRPr="003F140D">
        <w:t xml:space="preserve">, L. N., Rasheed, H. O., </w:t>
      </w:r>
      <w:proofErr w:type="spellStart"/>
      <w:r w:rsidRPr="003F140D">
        <w:t>Ohaturuonye</w:t>
      </w:r>
      <w:proofErr w:type="spellEnd"/>
      <w:r w:rsidRPr="003F140D">
        <w:t xml:space="preserve">, S. O., </w:t>
      </w:r>
      <w:proofErr w:type="spellStart"/>
      <w:r w:rsidRPr="003F140D">
        <w:t>Ejeka</w:t>
      </w:r>
      <w:proofErr w:type="spellEnd"/>
      <w:r w:rsidRPr="003F140D">
        <w:t xml:space="preserve">, J. C., </w:t>
      </w:r>
      <w:proofErr w:type="spellStart"/>
      <w:r w:rsidRPr="003F140D">
        <w:t>Okpanachi</w:t>
      </w:r>
      <w:proofErr w:type="spellEnd"/>
      <w:r w:rsidRPr="003F140D">
        <w:t xml:space="preserve">, C. B., &amp; </w:t>
      </w:r>
      <w:proofErr w:type="spellStart"/>
      <w:r w:rsidRPr="003F140D">
        <w:t>Ekwere</w:t>
      </w:r>
      <w:proofErr w:type="spellEnd"/>
      <w:r w:rsidRPr="003F140D">
        <w:t xml:space="preserve">, I. O. (2025). </w:t>
      </w:r>
      <w:proofErr w:type="spellStart"/>
      <w:r w:rsidRPr="003F140D">
        <w:t>Physico</w:t>
      </w:r>
      <w:proofErr w:type="spellEnd"/>
      <w:r w:rsidRPr="003F140D">
        <w:t xml:space="preserve">-chemical transport of volatile organic compounds (VOCs) from gas flaring into surface waters of </w:t>
      </w:r>
      <w:proofErr w:type="spellStart"/>
      <w:r w:rsidRPr="003F140D">
        <w:t>Ogoniland</w:t>
      </w:r>
      <w:proofErr w:type="spellEnd"/>
      <w:r w:rsidRPr="003F140D">
        <w:t xml:space="preserve">, Rivers State, Nigeria. </w:t>
      </w:r>
      <w:r w:rsidRPr="003F140D">
        <w:rPr>
          <w:rStyle w:val="Emphasis"/>
        </w:rPr>
        <w:t>Asian Journal of Physical and Chemical Sciences, 13</w:t>
      </w:r>
      <w:r w:rsidRPr="003F140D">
        <w:t xml:space="preserve">(4), 151–159. </w:t>
      </w:r>
      <w:hyperlink r:id="rId26" w:tgtFrame="_new" w:history="1">
        <w:r w:rsidRPr="003F140D">
          <w:rPr>
            <w:rStyle w:val="Hyperlink"/>
            <w:rFonts w:eastAsiaTheme="majorEastAsia"/>
          </w:rPr>
          <w:t>https://doi.org/10.9734/ajopacs/2025/v13i4271</w:t>
        </w:r>
      </w:hyperlink>
    </w:p>
    <w:p w14:paraId="24429AD9" w14:textId="77777777" w:rsidR="00453439" w:rsidRPr="003F140D" w:rsidRDefault="00453439" w:rsidP="00894307">
      <w:pPr>
        <w:pStyle w:val="NormalWeb"/>
        <w:ind w:left="360"/>
        <w:jc w:val="both"/>
      </w:pPr>
      <w:proofErr w:type="spellStart"/>
      <w:r w:rsidRPr="003F140D">
        <w:t>Okpoji</w:t>
      </w:r>
      <w:proofErr w:type="spellEnd"/>
      <w:r w:rsidRPr="003F140D">
        <w:t xml:space="preserve">, A. U., </w:t>
      </w:r>
      <w:proofErr w:type="spellStart"/>
      <w:r w:rsidRPr="003F140D">
        <w:t>Ugwanyi</w:t>
      </w:r>
      <w:proofErr w:type="spellEnd"/>
      <w:r w:rsidRPr="003F140D">
        <w:t xml:space="preserve">, G. C., </w:t>
      </w:r>
      <w:proofErr w:type="spellStart"/>
      <w:r w:rsidRPr="003F140D">
        <w:t>Etesin</w:t>
      </w:r>
      <w:proofErr w:type="spellEnd"/>
      <w:r w:rsidRPr="003F140D">
        <w:t xml:space="preserve">, U. M., </w:t>
      </w:r>
      <w:proofErr w:type="spellStart"/>
      <w:r w:rsidRPr="003F140D">
        <w:t>Ugwuanyi</w:t>
      </w:r>
      <w:proofErr w:type="spellEnd"/>
      <w:r w:rsidRPr="003F140D">
        <w:t xml:space="preserve">, G. C., </w:t>
      </w:r>
      <w:proofErr w:type="spellStart"/>
      <w:r w:rsidRPr="003F140D">
        <w:t>Okpanachi</w:t>
      </w:r>
      <w:proofErr w:type="spellEnd"/>
      <w:r w:rsidRPr="003F140D">
        <w:t xml:space="preserve">, C. B., </w:t>
      </w:r>
      <w:proofErr w:type="spellStart"/>
      <w:r w:rsidRPr="003F140D">
        <w:t>Ewuola</w:t>
      </w:r>
      <w:proofErr w:type="spellEnd"/>
      <w:r w:rsidRPr="003F140D">
        <w:t xml:space="preserve">, A. A., </w:t>
      </w:r>
      <w:proofErr w:type="spellStart"/>
      <w:r w:rsidRPr="003F140D">
        <w:t>Mojisola</w:t>
      </w:r>
      <w:proofErr w:type="spellEnd"/>
      <w:r w:rsidRPr="003F140D">
        <w:t xml:space="preserve">, K. M., &amp; </w:t>
      </w:r>
      <w:proofErr w:type="spellStart"/>
      <w:r w:rsidRPr="003F140D">
        <w:t>Ezekwueme</w:t>
      </w:r>
      <w:proofErr w:type="spellEnd"/>
      <w:r w:rsidRPr="003F140D">
        <w:t xml:space="preserve">, O. I. (2025). Solar-enhanced photocatalytic degradation of pharmaceutical residues in wastewater using Fe-, Cu-, and Zn-doped </w:t>
      </w:r>
      <w:proofErr w:type="spellStart"/>
      <w:r w:rsidRPr="003F140D">
        <w:t>TiO</w:t>
      </w:r>
      <w:proofErr w:type="spellEnd"/>
      <w:r w:rsidRPr="003F140D">
        <w:t xml:space="preserve">₂ nanomaterials. </w:t>
      </w:r>
      <w:r w:rsidRPr="003F140D">
        <w:rPr>
          <w:rStyle w:val="Emphasis"/>
        </w:rPr>
        <w:t>Journal of Environment, Climate, and Ecology, 2</w:t>
      </w:r>
      <w:r w:rsidRPr="003F140D">
        <w:t xml:space="preserve">(2), 56–62. </w:t>
      </w:r>
      <w:hyperlink r:id="rId27" w:tgtFrame="_new" w:history="1">
        <w:r w:rsidRPr="003F140D">
          <w:rPr>
            <w:rStyle w:val="Hyperlink"/>
            <w:rFonts w:eastAsiaTheme="majorEastAsia"/>
          </w:rPr>
          <w:t>https://doi.org/10.69739/jece.v2i2.961</w:t>
        </w:r>
      </w:hyperlink>
    </w:p>
    <w:p w14:paraId="2A3B485B" w14:textId="77777777" w:rsidR="00453439" w:rsidRPr="003F140D" w:rsidRDefault="00453439" w:rsidP="00894307">
      <w:pPr>
        <w:pStyle w:val="NormalWeb"/>
        <w:ind w:left="360"/>
        <w:jc w:val="both"/>
      </w:pPr>
      <w:proofErr w:type="spellStart"/>
      <w:r w:rsidRPr="003F140D">
        <w:t>Onoja</w:t>
      </w:r>
      <w:proofErr w:type="spellEnd"/>
      <w:r w:rsidRPr="003F140D">
        <w:t xml:space="preserve">, C. R., </w:t>
      </w:r>
      <w:proofErr w:type="spellStart"/>
      <w:r w:rsidRPr="003F140D">
        <w:t>Ogbaji</w:t>
      </w:r>
      <w:proofErr w:type="spellEnd"/>
      <w:r w:rsidRPr="003F140D">
        <w:t xml:space="preserve">, H. O., </w:t>
      </w:r>
      <w:proofErr w:type="spellStart"/>
      <w:r w:rsidRPr="003F140D">
        <w:t>Edodi</w:t>
      </w:r>
      <w:proofErr w:type="spellEnd"/>
      <w:r w:rsidRPr="003F140D">
        <w:t xml:space="preserve">, I. O., </w:t>
      </w:r>
      <w:proofErr w:type="spellStart"/>
      <w:r w:rsidRPr="003F140D">
        <w:t>Mmuta</w:t>
      </w:r>
      <w:proofErr w:type="spellEnd"/>
      <w:r w:rsidRPr="003F140D">
        <w:t xml:space="preserve">, E. C., </w:t>
      </w:r>
      <w:proofErr w:type="spellStart"/>
      <w:r w:rsidRPr="003F140D">
        <w:t>Igwegbe</w:t>
      </w:r>
      <w:proofErr w:type="spellEnd"/>
      <w:r w:rsidRPr="003F140D">
        <w:t xml:space="preserve">, K. C., </w:t>
      </w:r>
      <w:proofErr w:type="spellStart"/>
      <w:r w:rsidRPr="003F140D">
        <w:t>Ogini</w:t>
      </w:r>
      <w:proofErr w:type="spellEnd"/>
      <w:r w:rsidRPr="003F140D">
        <w:t xml:space="preserve">, O. R., </w:t>
      </w:r>
      <w:proofErr w:type="spellStart"/>
      <w:r w:rsidRPr="003F140D">
        <w:t>Odibo</w:t>
      </w:r>
      <w:proofErr w:type="spellEnd"/>
      <w:r w:rsidRPr="003F140D">
        <w:t xml:space="preserve">, U. E., </w:t>
      </w:r>
      <w:proofErr w:type="spellStart"/>
      <w:r w:rsidRPr="003F140D">
        <w:t>Ewuola</w:t>
      </w:r>
      <w:proofErr w:type="spellEnd"/>
      <w:r w:rsidRPr="003F140D">
        <w:t xml:space="preserve">, A. A., Mahmoud, A. B., &amp; </w:t>
      </w:r>
      <w:proofErr w:type="spellStart"/>
      <w:r w:rsidRPr="003F140D">
        <w:t>Okpoji</w:t>
      </w:r>
      <w:proofErr w:type="spellEnd"/>
      <w:r w:rsidRPr="003F140D">
        <w:t>, A. U. (2025). Heavy metal contamination and health risk assessment of smoked-dried fish sold in Eke-</w:t>
      </w:r>
      <w:proofErr w:type="spellStart"/>
      <w:r w:rsidRPr="003F140D">
        <w:t>Awka</w:t>
      </w:r>
      <w:proofErr w:type="spellEnd"/>
      <w:r w:rsidRPr="003F140D">
        <w:t xml:space="preserve"> market, Anambra State, Nigeria. </w:t>
      </w:r>
      <w:r w:rsidRPr="003F140D">
        <w:rPr>
          <w:rStyle w:val="Emphasis"/>
        </w:rPr>
        <w:t>Journal of Sustainable Research and Development, 1</w:t>
      </w:r>
      <w:r w:rsidRPr="003F140D">
        <w:t xml:space="preserve">(2), 18–25. </w:t>
      </w:r>
      <w:hyperlink r:id="rId28" w:tgtFrame="_new" w:history="1">
        <w:r w:rsidRPr="003F140D">
          <w:rPr>
            <w:rStyle w:val="Hyperlink"/>
            <w:rFonts w:eastAsiaTheme="majorEastAsia"/>
          </w:rPr>
          <w:t>https://doi.org/10.69739/jsrd.v1i2.1044</w:t>
        </w:r>
      </w:hyperlink>
    </w:p>
    <w:p w14:paraId="3F539683" w14:textId="7EFB4397" w:rsidR="00453439" w:rsidRPr="003F140D" w:rsidRDefault="00453439" w:rsidP="00894307">
      <w:pPr>
        <w:pStyle w:val="NormalWeb"/>
        <w:ind w:left="360"/>
        <w:jc w:val="both"/>
      </w:pPr>
      <w:r w:rsidRPr="003F140D">
        <w:t xml:space="preserve">Stewart, P., </w:t>
      </w:r>
      <w:proofErr w:type="spellStart"/>
      <w:r w:rsidRPr="003F140D">
        <w:t>Reihman</w:t>
      </w:r>
      <w:proofErr w:type="spellEnd"/>
      <w:r w:rsidRPr="003F140D">
        <w:t xml:space="preserve">, J., </w:t>
      </w:r>
      <w:proofErr w:type="spellStart"/>
      <w:r w:rsidRPr="003F140D">
        <w:t>Lonky</w:t>
      </w:r>
      <w:proofErr w:type="spellEnd"/>
      <w:r w:rsidRPr="003F140D">
        <w:t xml:space="preserve">, E., </w:t>
      </w:r>
      <w:proofErr w:type="spellStart"/>
      <w:r w:rsidRPr="003F140D">
        <w:t>Darvill</w:t>
      </w:r>
      <w:proofErr w:type="spellEnd"/>
      <w:r w:rsidRPr="003F140D">
        <w:t xml:space="preserve">, T., &amp; Pagano, J. (2000). Prenatal PCB exposure and neonatal </w:t>
      </w:r>
      <w:proofErr w:type="spellStart"/>
      <w:r w:rsidRPr="003F140D">
        <w:t>behavioral</w:t>
      </w:r>
      <w:proofErr w:type="spellEnd"/>
      <w:r w:rsidRPr="003F140D">
        <w:t xml:space="preserve"> assessment scale (NBAS) performance. </w:t>
      </w:r>
      <w:r w:rsidRPr="003F140D">
        <w:rPr>
          <w:rStyle w:val="Emphasis"/>
        </w:rPr>
        <w:t>Neurotoxicology and Teratology</w:t>
      </w:r>
      <w:r w:rsidRPr="003F140D">
        <w:t xml:space="preserve">, 22(1), 21–29. </w:t>
      </w:r>
      <w:hyperlink r:id="rId29" w:history="1">
        <w:r w:rsidR="00E82DCB" w:rsidRPr="00A41183">
          <w:rPr>
            <w:rStyle w:val="Hyperlink"/>
          </w:rPr>
          <w:t>https://doi.org/10.1016/S0892-0362(99)00056-2</w:t>
        </w:r>
      </w:hyperlink>
      <w:r w:rsidR="00E82DCB">
        <w:t xml:space="preserve"> </w:t>
      </w:r>
    </w:p>
    <w:p w14:paraId="04C1F610" w14:textId="77777777" w:rsidR="00453439" w:rsidRPr="003F140D" w:rsidRDefault="00453439" w:rsidP="00894307">
      <w:pPr>
        <w:pStyle w:val="NormalWeb"/>
        <w:ind w:left="360"/>
        <w:jc w:val="both"/>
      </w:pPr>
      <w:proofErr w:type="spellStart"/>
      <w:r w:rsidRPr="003F140D">
        <w:t>Umueni</w:t>
      </w:r>
      <w:proofErr w:type="spellEnd"/>
      <w:r w:rsidRPr="003F140D">
        <w:t xml:space="preserve">, U. E., </w:t>
      </w:r>
      <w:proofErr w:type="spellStart"/>
      <w:r w:rsidRPr="003F140D">
        <w:t>Etukudo</w:t>
      </w:r>
      <w:proofErr w:type="spellEnd"/>
      <w:r w:rsidRPr="003F140D">
        <w:t xml:space="preserve">, N. J., Okoye, P. I., </w:t>
      </w:r>
      <w:proofErr w:type="spellStart"/>
      <w:r w:rsidRPr="003F140D">
        <w:t>Okpoji</w:t>
      </w:r>
      <w:proofErr w:type="spellEnd"/>
      <w:r w:rsidRPr="003F140D">
        <w:t xml:space="preserve">, A. U., </w:t>
      </w:r>
      <w:proofErr w:type="spellStart"/>
      <w:r w:rsidRPr="003F140D">
        <w:t>Eze</w:t>
      </w:r>
      <w:proofErr w:type="spellEnd"/>
      <w:r w:rsidRPr="003F140D">
        <w:t xml:space="preserve">, V. C., </w:t>
      </w:r>
      <w:proofErr w:type="spellStart"/>
      <w:r w:rsidRPr="003F140D">
        <w:t>Aningo</w:t>
      </w:r>
      <w:proofErr w:type="spellEnd"/>
      <w:r w:rsidRPr="003F140D">
        <w:t xml:space="preserve">, G. N., </w:t>
      </w:r>
      <w:proofErr w:type="spellStart"/>
      <w:r w:rsidRPr="003F140D">
        <w:t>Ekwere</w:t>
      </w:r>
      <w:proofErr w:type="spellEnd"/>
      <w:r w:rsidRPr="003F140D">
        <w:t xml:space="preserve">, I. O., &amp; </w:t>
      </w:r>
      <w:proofErr w:type="spellStart"/>
      <w:r w:rsidRPr="003F140D">
        <w:t>Garuba</w:t>
      </w:r>
      <w:proofErr w:type="spellEnd"/>
      <w:r w:rsidRPr="003F140D">
        <w:t xml:space="preserve">, M. H. (2025). Geochemical and ecological risk assessment of petroleum hydrocarbons in sediments of the </w:t>
      </w:r>
      <w:proofErr w:type="spellStart"/>
      <w:r w:rsidRPr="003F140D">
        <w:t>Forcados</w:t>
      </w:r>
      <w:proofErr w:type="spellEnd"/>
      <w:r w:rsidRPr="003F140D">
        <w:t xml:space="preserve"> River, Delta State. </w:t>
      </w:r>
      <w:r w:rsidRPr="003F140D">
        <w:rPr>
          <w:rStyle w:val="Emphasis"/>
        </w:rPr>
        <w:t>Asian Journal of Geographical Research, 8</w:t>
      </w:r>
      <w:r w:rsidRPr="003F140D">
        <w:t xml:space="preserve">(4), 287–298. </w:t>
      </w:r>
      <w:hyperlink r:id="rId30" w:tgtFrame="_new" w:history="1">
        <w:r w:rsidRPr="003F140D">
          <w:rPr>
            <w:rStyle w:val="Hyperlink"/>
            <w:rFonts w:eastAsiaTheme="majorEastAsia"/>
          </w:rPr>
          <w:t>https://doi.org/10.9734/ajgr/2025/v8i4337</w:t>
        </w:r>
      </w:hyperlink>
    </w:p>
    <w:p w14:paraId="20096874" w14:textId="0EDD0CC7" w:rsidR="00453439" w:rsidRPr="003F140D" w:rsidRDefault="00453439" w:rsidP="00894307">
      <w:pPr>
        <w:pStyle w:val="NormalWeb"/>
        <w:ind w:left="360"/>
        <w:jc w:val="both"/>
      </w:pPr>
      <w:r w:rsidRPr="003F140D">
        <w:t xml:space="preserve">USEPA (United States Environmental Protection Agency). (2011). </w:t>
      </w:r>
      <w:r w:rsidRPr="003F140D">
        <w:rPr>
          <w:rStyle w:val="Emphasis"/>
        </w:rPr>
        <w:t>Regional Screening Level (RSL) Table for Chemical Contamination at Superfund Sites.</w:t>
      </w:r>
      <w:r w:rsidRPr="003F140D">
        <w:t xml:space="preserve"> </w:t>
      </w:r>
      <w:hyperlink r:id="rId31" w:history="1">
        <w:r w:rsidR="00E82DCB" w:rsidRPr="00A41183">
          <w:rPr>
            <w:rStyle w:val="Hyperlink"/>
          </w:rPr>
          <w:t>https://www.epa.gov/risk/regional-screening-levels-rsls</w:t>
        </w:r>
      </w:hyperlink>
      <w:r w:rsidR="00E82DCB">
        <w:t xml:space="preserve"> </w:t>
      </w:r>
    </w:p>
    <w:p w14:paraId="23F8FD2A" w14:textId="73D4A429" w:rsidR="00453439" w:rsidRPr="003F140D" w:rsidRDefault="00453439" w:rsidP="00894307">
      <w:pPr>
        <w:pStyle w:val="NormalWeb"/>
        <w:ind w:left="360"/>
        <w:jc w:val="both"/>
      </w:pPr>
      <w:proofErr w:type="spellStart"/>
      <w:r w:rsidRPr="003F140D">
        <w:t>Wania</w:t>
      </w:r>
      <w:proofErr w:type="spellEnd"/>
      <w:r w:rsidRPr="003F140D">
        <w:t xml:space="preserve">, F., </w:t>
      </w:r>
      <w:proofErr w:type="spellStart"/>
      <w:r w:rsidRPr="003F140D">
        <w:t>Bereik</w:t>
      </w:r>
      <w:proofErr w:type="spellEnd"/>
      <w:r w:rsidRPr="003F140D">
        <w:t xml:space="preserve">, K., Persson, N. J., &amp; McLachlan, M. S. (2006). A fugacity-based dynamic multi-compartmental mass balance model of the fate of persistent organic pollutants. </w:t>
      </w:r>
      <w:r w:rsidRPr="003F140D">
        <w:rPr>
          <w:rStyle w:val="Emphasis"/>
        </w:rPr>
        <w:t>Environmental Modelling &amp; Software</w:t>
      </w:r>
      <w:r w:rsidRPr="003F140D">
        <w:t xml:space="preserve">, 21, 868. </w:t>
      </w:r>
      <w:hyperlink r:id="rId32" w:history="1">
        <w:r w:rsidR="00E82DCB" w:rsidRPr="00A41183">
          <w:rPr>
            <w:rStyle w:val="Hyperlink"/>
          </w:rPr>
          <w:t>https://doi.org/10.1016/j.envsoft.2005.04.003</w:t>
        </w:r>
      </w:hyperlink>
      <w:r w:rsidR="00E82DCB">
        <w:t xml:space="preserve"> </w:t>
      </w:r>
    </w:p>
    <w:p w14:paraId="2214F1A0" w14:textId="1416A408" w:rsidR="00453439" w:rsidRPr="003F140D" w:rsidRDefault="00453439" w:rsidP="00894307">
      <w:pPr>
        <w:pStyle w:val="NormalWeb"/>
        <w:ind w:left="360"/>
        <w:jc w:val="both"/>
      </w:pPr>
      <w:r w:rsidRPr="003F140D">
        <w:t xml:space="preserve">World Bank. (2014). Life expectancy data. </w:t>
      </w:r>
      <w:hyperlink r:id="rId33" w:history="1">
        <w:r w:rsidR="00E82DCB" w:rsidRPr="00A41183">
          <w:rPr>
            <w:rStyle w:val="Hyperlink"/>
          </w:rPr>
          <w:t>https://data.worldbank.org/indicator/SP.DYN.LE00.IN</w:t>
        </w:r>
      </w:hyperlink>
      <w:r w:rsidR="00E82DCB">
        <w:t xml:space="preserve"> </w:t>
      </w:r>
    </w:p>
    <w:p w14:paraId="188657E7" w14:textId="77777777" w:rsidR="00453439" w:rsidRPr="003F140D" w:rsidRDefault="00453439" w:rsidP="00D17B70">
      <w:pPr>
        <w:jc w:val="both"/>
        <w:rPr>
          <w:rFonts w:ascii="Times New Roman" w:hAnsi="Times New Roman" w:cs="Times New Roman"/>
          <w:sz w:val="24"/>
          <w:szCs w:val="24"/>
        </w:rPr>
      </w:pPr>
    </w:p>
    <w:p w14:paraId="74E6E50C" w14:textId="77777777" w:rsidR="00453439" w:rsidRPr="003F140D" w:rsidRDefault="00453439" w:rsidP="00D17B70">
      <w:pPr>
        <w:jc w:val="both"/>
        <w:rPr>
          <w:rFonts w:ascii="Times New Roman" w:hAnsi="Times New Roman" w:cs="Times New Roman"/>
          <w:sz w:val="24"/>
          <w:szCs w:val="24"/>
        </w:rPr>
      </w:pPr>
    </w:p>
    <w:p w14:paraId="7DF229B7" w14:textId="77777777" w:rsidR="00453439" w:rsidRPr="003F140D" w:rsidRDefault="00453439" w:rsidP="00D17B70">
      <w:pPr>
        <w:jc w:val="both"/>
        <w:rPr>
          <w:rFonts w:ascii="Times New Roman" w:hAnsi="Times New Roman" w:cs="Times New Roman"/>
          <w:b/>
          <w:bCs/>
          <w:sz w:val="24"/>
          <w:szCs w:val="24"/>
        </w:rPr>
      </w:pPr>
    </w:p>
    <w:sectPr w:rsidR="00453439" w:rsidRPr="003F140D">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CA74E" w14:textId="77777777" w:rsidR="00C64A44" w:rsidRDefault="00C64A44" w:rsidP="000C6B5D">
      <w:pPr>
        <w:spacing w:after="0" w:line="240" w:lineRule="auto"/>
      </w:pPr>
      <w:r>
        <w:separator/>
      </w:r>
    </w:p>
  </w:endnote>
  <w:endnote w:type="continuationSeparator" w:id="0">
    <w:p w14:paraId="0A4CDC76" w14:textId="77777777" w:rsidR="00C64A44" w:rsidRDefault="00C64A44" w:rsidP="000C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9ED44" w14:textId="77777777" w:rsidR="000C6B5D" w:rsidRDefault="000C6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645B" w14:textId="77777777" w:rsidR="000C6B5D" w:rsidRDefault="000C6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7C00A" w14:textId="77777777" w:rsidR="000C6B5D" w:rsidRDefault="000C6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13B37" w14:textId="77777777" w:rsidR="00C64A44" w:rsidRDefault="00C64A44" w:rsidP="000C6B5D">
      <w:pPr>
        <w:spacing w:after="0" w:line="240" w:lineRule="auto"/>
      </w:pPr>
      <w:r>
        <w:separator/>
      </w:r>
    </w:p>
  </w:footnote>
  <w:footnote w:type="continuationSeparator" w:id="0">
    <w:p w14:paraId="55F96904" w14:textId="77777777" w:rsidR="00C64A44" w:rsidRDefault="00C64A44" w:rsidP="000C6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85628" w14:textId="69227498" w:rsidR="000C6B5D" w:rsidRDefault="000C6B5D">
    <w:pPr>
      <w:pStyle w:val="Header"/>
    </w:pPr>
    <w:r>
      <w:rPr>
        <w:noProof/>
      </w:rPr>
      <w:pict w14:anchorId="15188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23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705F9" w14:textId="21EF08A5" w:rsidR="000C6B5D" w:rsidRDefault="000C6B5D">
    <w:pPr>
      <w:pStyle w:val="Header"/>
    </w:pPr>
    <w:r>
      <w:rPr>
        <w:noProof/>
      </w:rPr>
      <w:pict w14:anchorId="288C1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23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97E0" w14:textId="5D0EDB52" w:rsidR="000C6B5D" w:rsidRDefault="000C6B5D">
    <w:pPr>
      <w:pStyle w:val="Header"/>
    </w:pPr>
    <w:r>
      <w:rPr>
        <w:noProof/>
      </w:rPr>
      <w:pict w14:anchorId="7FB1A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23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14EC3"/>
    <w:multiLevelType w:val="hybridMultilevel"/>
    <w:tmpl w:val="FC92F8F2"/>
    <w:lvl w:ilvl="0" w:tplc="AE84772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C12FB"/>
    <w:multiLevelType w:val="hybridMultilevel"/>
    <w:tmpl w:val="ADD414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26151F"/>
    <w:multiLevelType w:val="hybridMultilevel"/>
    <w:tmpl w:val="E0E8E3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39"/>
    <w:rsid w:val="00011D50"/>
    <w:rsid w:val="00023D27"/>
    <w:rsid w:val="000C6B5D"/>
    <w:rsid w:val="003F140D"/>
    <w:rsid w:val="00453439"/>
    <w:rsid w:val="0055270F"/>
    <w:rsid w:val="005F0682"/>
    <w:rsid w:val="0070676B"/>
    <w:rsid w:val="00894307"/>
    <w:rsid w:val="00B32E81"/>
    <w:rsid w:val="00C64A44"/>
    <w:rsid w:val="00D17B70"/>
    <w:rsid w:val="00E82DCB"/>
    <w:rsid w:val="00F2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696664"/>
  <w15:chartTrackingRefBased/>
  <w15:docId w15:val="{B53AEFAA-6202-43B4-9481-AA1892C5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5343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343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343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3439"/>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534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439"/>
    <w:rPr>
      <w:b/>
      <w:bCs/>
    </w:rPr>
  </w:style>
  <w:style w:type="paragraph" w:styleId="ListParagraph">
    <w:name w:val="List Paragraph"/>
    <w:basedOn w:val="Normal"/>
    <w:uiPriority w:val="34"/>
    <w:qFormat/>
    <w:rsid w:val="00453439"/>
    <w:pPr>
      <w:ind w:left="720"/>
      <w:contextualSpacing/>
    </w:pPr>
  </w:style>
  <w:style w:type="character" w:styleId="Emphasis">
    <w:name w:val="Emphasis"/>
    <w:basedOn w:val="DefaultParagraphFont"/>
    <w:uiPriority w:val="20"/>
    <w:qFormat/>
    <w:rsid w:val="00453439"/>
    <w:rPr>
      <w:i/>
      <w:iCs/>
    </w:rPr>
  </w:style>
  <w:style w:type="character" w:styleId="Hyperlink">
    <w:name w:val="Hyperlink"/>
    <w:basedOn w:val="DefaultParagraphFont"/>
    <w:uiPriority w:val="99"/>
    <w:unhideWhenUsed/>
    <w:rsid w:val="00453439"/>
    <w:rPr>
      <w:color w:val="0000FF"/>
      <w:u w:val="single"/>
    </w:rPr>
  </w:style>
  <w:style w:type="character" w:styleId="UnresolvedMention">
    <w:name w:val="Unresolved Mention"/>
    <w:basedOn w:val="DefaultParagraphFont"/>
    <w:uiPriority w:val="99"/>
    <w:semiHidden/>
    <w:unhideWhenUsed/>
    <w:rsid w:val="00B32E81"/>
    <w:rPr>
      <w:color w:val="605E5C"/>
      <w:shd w:val="clear" w:color="auto" w:fill="E1DFDD"/>
    </w:rPr>
  </w:style>
  <w:style w:type="paragraph" w:styleId="Header">
    <w:name w:val="header"/>
    <w:basedOn w:val="Normal"/>
    <w:link w:val="HeaderChar"/>
    <w:uiPriority w:val="99"/>
    <w:unhideWhenUsed/>
    <w:rsid w:val="000C6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B5D"/>
  </w:style>
  <w:style w:type="paragraph" w:styleId="Footer">
    <w:name w:val="footer"/>
    <w:basedOn w:val="Normal"/>
    <w:link w:val="FooterChar"/>
    <w:uiPriority w:val="99"/>
    <w:unhideWhenUsed/>
    <w:rsid w:val="000C6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7718">
      <w:bodyDiv w:val="1"/>
      <w:marLeft w:val="0"/>
      <w:marRight w:val="0"/>
      <w:marTop w:val="0"/>
      <w:marBottom w:val="0"/>
      <w:divBdr>
        <w:top w:val="none" w:sz="0" w:space="0" w:color="auto"/>
        <w:left w:val="none" w:sz="0" w:space="0" w:color="auto"/>
        <w:bottom w:val="none" w:sz="0" w:space="0" w:color="auto"/>
        <w:right w:val="none" w:sz="0" w:space="0" w:color="auto"/>
      </w:divBdr>
      <w:divsChild>
        <w:div w:id="108555248">
          <w:marLeft w:val="0"/>
          <w:marRight w:val="0"/>
          <w:marTop w:val="0"/>
          <w:marBottom w:val="0"/>
          <w:divBdr>
            <w:top w:val="none" w:sz="0" w:space="0" w:color="auto"/>
            <w:left w:val="none" w:sz="0" w:space="0" w:color="auto"/>
            <w:bottom w:val="none" w:sz="0" w:space="0" w:color="auto"/>
            <w:right w:val="none" w:sz="0" w:space="0" w:color="auto"/>
          </w:divBdr>
          <w:divsChild>
            <w:div w:id="1267619122">
              <w:marLeft w:val="0"/>
              <w:marRight w:val="0"/>
              <w:marTop w:val="0"/>
              <w:marBottom w:val="0"/>
              <w:divBdr>
                <w:top w:val="none" w:sz="0" w:space="0" w:color="auto"/>
                <w:left w:val="none" w:sz="0" w:space="0" w:color="auto"/>
                <w:bottom w:val="none" w:sz="0" w:space="0" w:color="auto"/>
                <w:right w:val="none" w:sz="0" w:space="0" w:color="auto"/>
              </w:divBdr>
            </w:div>
          </w:divsChild>
        </w:div>
        <w:div w:id="449322278">
          <w:marLeft w:val="0"/>
          <w:marRight w:val="0"/>
          <w:marTop w:val="0"/>
          <w:marBottom w:val="0"/>
          <w:divBdr>
            <w:top w:val="none" w:sz="0" w:space="0" w:color="auto"/>
            <w:left w:val="none" w:sz="0" w:space="0" w:color="auto"/>
            <w:bottom w:val="none" w:sz="0" w:space="0" w:color="auto"/>
            <w:right w:val="none" w:sz="0" w:space="0" w:color="auto"/>
          </w:divBdr>
          <w:divsChild>
            <w:div w:id="783037494">
              <w:marLeft w:val="0"/>
              <w:marRight w:val="0"/>
              <w:marTop w:val="0"/>
              <w:marBottom w:val="0"/>
              <w:divBdr>
                <w:top w:val="none" w:sz="0" w:space="0" w:color="auto"/>
                <w:left w:val="none" w:sz="0" w:space="0" w:color="auto"/>
                <w:bottom w:val="none" w:sz="0" w:space="0" w:color="auto"/>
                <w:right w:val="none" w:sz="0" w:space="0" w:color="auto"/>
              </w:divBdr>
            </w:div>
          </w:divsChild>
        </w:div>
        <w:div w:id="370572730">
          <w:marLeft w:val="0"/>
          <w:marRight w:val="0"/>
          <w:marTop w:val="0"/>
          <w:marBottom w:val="0"/>
          <w:divBdr>
            <w:top w:val="none" w:sz="0" w:space="0" w:color="auto"/>
            <w:left w:val="none" w:sz="0" w:space="0" w:color="auto"/>
            <w:bottom w:val="none" w:sz="0" w:space="0" w:color="auto"/>
            <w:right w:val="none" w:sz="0" w:space="0" w:color="auto"/>
          </w:divBdr>
          <w:divsChild>
            <w:div w:id="83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484">
      <w:bodyDiv w:val="1"/>
      <w:marLeft w:val="0"/>
      <w:marRight w:val="0"/>
      <w:marTop w:val="0"/>
      <w:marBottom w:val="0"/>
      <w:divBdr>
        <w:top w:val="none" w:sz="0" w:space="0" w:color="auto"/>
        <w:left w:val="none" w:sz="0" w:space="0" w:color="auto"/>
        <w:bottom w:val="none" w:sz="0" w:space="0" w:color="auto"/>
        <w:right w:val="none" w:sz="0" w:space="0" w:color="auto"/>
      </w:divBdr>
    </w:div>
    <w:div w:id="249824437">
      <w:bodyDiv w:val="1"/>
      <w:marLeft w:val="0"/>
      <w:marRight w:val="0"/>
      <w:marTop w:val="0"/>
      <w:marBottom w:val="0"/>
      <w:divBdr>
        <w:top w:val="none" w:sz="0" w:space="0" w:color="auto"/>
        <w:left w:val="none" w:sz="0" w:space="0" w:color="auto"/>
        <w:bottom w:val="none" w:sz="0" w:space="0" w:color="auto"/>
        <w:right w:val="none" w:sz="0" w:space="0" w:color="auto"/>
      </w:divBdr>
    </w:div>
    <w:div w:id="446967124">
      <w:bodyDiv w:val="1"/>
      <w:marLeft w:val="0"/>
      <w:marRight w:val="0"/>
      <w:marTop w:val="0"/>
      <w:marBottom w:val="0"/>
      <w:divBdr>
        <w:top w:val="none" w:sz="0" w:space="0" w:color="auto"/>
        <w:left w:val="none" w:sz="0" w:space="0" w:color="auto"/>
        <w:bottom w:val="none" w:sz="0" w:space="0" w:color="auto"/>
        <w:right w:val="none" w:sz="0" w:space="0" w:color="auto"/>
      </w:divBdr>
    </w:div>
    <w:div w:id="647133737">
      <w:bodyDiv w:val="1"/>
      <w:marLeft w:val="0"/>
      <w:marRight w:val="0"/>
      <w:marTop w:val="0"/>
      <w:marBottom w:val="0"/>
      <w:divBdr>
        <w:top w:val="none" w:sz="0" w:space="0" w:color="auto"/>
        <w:left w:val="none" w:sz="0" w:space="0" w:color="auto"/>
        <w:bottom w:val="none" w:sz="0" w:space="0" w:color="auto"/>
        <w:right w:val="none" w:sz="0" w:space="0" w:color="auto"/>
      </w:divBdr>
    </w:div>
    <w:div w:id="847253127">
      <w:bodyDiv w:val="1"/>
      <w:marLeft w:val="0"/>
      <w:marRight w:val="0"/>
      <w:marTop w:val="0"/>
      <w:marBottom w:val="0"/>
      <w:divBdr>
        <w:top w:val="none" w:sz="0" w:space="0" w:color="auto"/>
        <w:left w:val="none" w:sz="0" w:space="0" w:color="auto"/>
        <w:bottom w:val="none" w:sz="0" w:space="0" w:color="auto"/>
        <w:right w:val="none" w:sz="0" w:space="0" w:color="auto"/>
      </w:divBdr>
    </w:div>
    <w:div w:id="864369679">
      <w:bodyDiv w:val="1"/>
      <w:marLeft w:val="0"/>
      <w:marRight w:val="0"/>
      <w:marTop w:val="0"/>
      <w:marBottom w:val="0"/>
      <w:divBdr>
        <w:top w:val="none" w:sz="0" w:space="0" w:color="auto"/>
        <w:left w:val="none" w:sz="0" w:space="0" w:color="auto"/>
        <w:bottom w:val="none" w:sz="0" w:space="0" w:color="auto"/>
        <w:right w:val="none" w:sz="0" w:space="0" w:color="auto"/>
      </w:divBdr>
    </w:div>
    <w:div w:id="1199853749">
      <w:bodyDiv w:val="1"/>
      <w:marLeft w:val="0"/>
      <w:marRight w:val="0"/>
      <w:marTop w:val="0"/>
      <w:marBottom w:val="0"/>
      <w:divBdr>
        <w:top w:val="none" w:sz="0" w:space="0" w:color="auto"/>
        <w:left w:val="none" w:sz="0" w:space="0" w:color="auto"/>
        <w:bottom w:val="none" w:sz="0" w:space="0" w:color="auto"/>
        <w:right w:val="none" w:sz="0" w:space="0" w:color="auto"/>
      </w:divBdr>
    </w:div>
    <w:div w:id="157373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ece.v2i2.952" TargetMode="External"/><Relationship Id="rId18" Type="http://schemas.openxmlformats.org/officeDocument/2006/relationships/hyperlink" Target="https://doi.org/10.1016/B978-0-444-63299-9.00013-2" TargetMode="External"/><Relationship Id="rId26" Type="http://schemas.openxmlformats.org/officeDocument/2006/relationships/hyperlink" Target="https://doi.org/10.9734/ajopacs/2025/v13i4271" TargetMode="External"/><Relationship Id="rId39" Type="http://schemas.openxmlformats.org/officeDocument/2006/relationships/footer" Target="footer3.xml"/><Relationship Id="rId21" Type="http://schemas.openxmlformats.org/officeDocument/2006/relationships/hyperlink" Target="https://doi.org/10.69739/jlsph.v1i1.879" TargetMode="External"/><Relationship Id="rId34"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monographs.iarc.fr/ENG/Classification/ClassificationsAlphaOrder.pdf" TargetMode="External"/><Relationship Id="rId20" Type="http://schemas.openxmlformats.org/officeDocument/2006/relationships/hyperlink" Target="https://doi.org/10.69739/jece.v2i2.1078" TargetMode="External"/><Relationship Id="rId29" Type="http://schemas.openxmlformats.org/officeDocument/2006/relationships/hyperlink" Target="https://doi.org/10.1016/S0892-0362(99)00056-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ee/2025/v24i11822" TargetMode="External"/><Relationship Id="rId24" Type="http://schemas.openxmlformats.org/officeDocument/2006/relationships/hyperlink" Target="https://doi.org/10.9734/ajocs/2025/v15i6402" TargetMode="External"/><Relationship Id="rId32" Type="http://schemas.openxmlformats.org/officeDocument/2006/relationships/hyperlink" Target="https://doi.org/10.1016/j.envsoft.2005.04.00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46481/jnsps.2024.1951" TargetMode="External"/><Relationship Id="rId23" Type="http://schemas.openxmlformats.org/officeDocument/2006/relationships/hyperlink" Target="https://doi.org/10.69739/jlsph.v1i1.962" TargetMode="External"/><Relationship Id="rId28" Type="http://schemas.openxmlformats.org/officeDocument/2006/relationships/hyperlink" Target="https://doi.org/10.69739/jsrd.v1i2.1044" TargetMode="External"/><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intapi.sciendo.com/pdf/10.1515/auoc-2017-0005" TargetMode="External"/><Relationship Id="rId31" Type="http://schemas.openxmlformats.org/officeDocument/2006/relationships/hyperlink" Target="https://www.epa.gov/risk/regional-screening-levels-rsl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69739/jsrd.v1i2.1033" TargetMode="External"/><Relationship Id="rId22" Type="http://schemas.openxmlformats.org/officeDocument/2006/relationships/hyperlink" Target="https://doi.org/10.5281/zenodo.16921896" TargetMode="External"/><Relationship Id="rId27" Type="http://schemas.openxmlformats.org/officeDocument/2006/relationships/hyperlink" Target="https://doi.org/10.69739/jece.v2i2.961" TargetMode="External"/><Relationship Id="rId30" Type="http://schemas.openxmlformats.org/officeDocument/2006/relationships/hyperlink" Target="https://doi.org/10.9734/ajgr/2025/v8i4337" TargetMode="External"/><Relationship Id="rId35"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5281/zenodo.17148360" TargetMode="External"/><Relationship Id="rId17" Type="http://schemas.openxmlformats.org/officeDocument/2006/relationships/hyperlink" Target="https://doi.org/10.69739/jmsbc.v2i2.1045" TargetMode="External"/><Relationship Id="rId25" Type="http://schemas.openxmlformats.org/officeDocument/2006/relationships/hyperlink" Target="https://doi.org/10.69739/jaaas.v2i2.882" TargetMode="External"/><Relationship Id="rId33" Type="http://schemas.openxmlformats.org/officeDocument/2006/relationships/hyperlink" Target="https://data.worldbank.org/indicator/SP.DYN.LE00.IN"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4725</Words>
  <Characters>26935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1180</cp:lastModifiedBy>
  <cp:revision>9</cp:revision>
  <dcterms:created xsi:type="dcterms:W3CDTF">2025-11-27T00:46:00Z</dcterms:created>
  <dcterms:modified xsi:type="dcterms:W3CDTF">2025-11-29T12:37:00Z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7bed802d-5208-4aea-bb15-62802e431ad1</vt:lpwstr>
  </property>
</Properties>
</file>