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2A618" w14:textId="6E7B34AD" w:rsidR="005F42F8" w:rsidRPr="00E4188C" w:rsidRDefault="00E43E9D" w:rsidP="00E4188C">
      <w:pPr>
        <w:spacing w:line="276" w:lineRule="auto"/>
        <w:jc w:val="both"/>
        <w:rPr>
          <w:rFonts w:ascii="Times New Roman" w:eastAsia="Times New Roman" w:hAnsi="Times New Roman" w:cs="Times New Roman"/>
          <w:b/>
          <w:lang w:val="en-GB"/>
        </w:rPr>
      </w:pPr>
      <w:r w:rsidRPr="00E4188C">
        <w:rPr>
          <w:rFonts w:ascii="Times New Roman" w:hAnsi="Times New Roman" w:cs="Times New Roman"/>
          <w:b/>
          <w:lang w:val="en-GB"/>
        </w:rPr>
        <w:t>Factors associated with mortality</w:t>
      </w:r>
      <w:r w:rsidR="004A0501" w:rsidRPr="00E4188C">
        <w:rPr>
          <w:rFonts w:ascii="Times New Roman" w:hAnsi="Times New Roman" w:cs="Times New Roman"/>
          <w:b/>
          <w:lang w:val="en-GB"/>
        </w:rPr>
        <w:t xml:space="preserve"> </w:t>
      </w:r>
      <w:r w:rsidRPr="00E4188C">
        <w:rPr>
          <w:rFonts w:ascii="Times New Roman" w:hAnsi="Times New Roman" w:cs="Times New Roman"/>
          <w:b/>
          <w:lang w:val="en-GB"/>
        </w:rPr>
        <w:t>among patients admitted for tetanus at the Department of Infectious and Tropical Diseases of Fann Teaching Hospital in Dakar (Sene</w:t>
      </w:r>
      <w:r w:rsidR="004A0501" w:rsidRPr="00E4188C">
        <w:rPr>
          <w:rFonts w:ascii="Times New Roman" w:hAnsi="Times New Roman" w:cs="Times New Roman"/>
          <w:b/>
          <w:lang w:val="en-GB"/>
        </w:rPr>
        <w:t>gal)</w:t>
      </w:r>
    </w:p>
    <w:p w14:paraId="40D843F5" w14:textId="77777777" w:rsidR="004A0501" w:rsidRPr="00E43E9D" w:rsidRDefault="004A0501" w:rsidP="00E4188C">
      <w:pPr>
        <w:tabs>
          <w:tab w:val="left" w:pos="2835"/>
          <w:tab w:val="left" w:pos="6804"/>
        </w:tabs>
        <w:spacing w:after="200" w:line="360" w:lineRule="auto"/>
        <w:jc w:val="both"/>
        <w:rPr>
          <w:rFonts w:ascii="Times New Roman" w:eastAsia="Times New Roman" w:hAnsi="Times New Roman" w:cs="Times New Roman"/>
          <w:b/>
          <w:bCs/>
          <w:lang w:val="en-GB" w:eastAsia="fr-FR"/>
        </w:rPr>
      </w:pPr>
    </w:p>
    <w:p w14:paraId="01F70691" w14:textId="77777777" w:rsidR="00E43E9D" w:rsidRPr="00E43E9D" w:rsidRDefault="00E43E9D" w:rsidP="00E4188C">
      <w:pPr>
        <w:pStyle w:val="ListParagraph"/>
        <w:spacing w:line="276" w:lineRule="auto"/>
        <w:ind w:left="0"/>
        <w:jc w:val="both"/>
        <w:rPr>
          <w:rFonts w:ascii="Times New Roman" w:hAnsi="Times New Roman" w:cs="Times New Roman"/>
          <w:b/>
          <w:bCs/>
          <w:lang w:val="en-GB"/>
        </w:rPr>
      </w:pPr>
      <w:bookmarkStart w:id="0" w:name="_GoBack"/>
      <w:bookmarkEnd w:id="0"/>
    </w:p>
    <w:p w14:paraId="1695B4AF" w14:textId="052C1BBB" w:rsidR="005F42F8" w:rsidRPr="00C42DF0" w:rsidRDefault="009C3367" w:rsidP="00E4188C">
      <w:pPr>
        <w:pStyle w:val="ListParagraph"/>
        <w:spacing w:line="276" w:lineRule="auto"/>
        <w:ind w:left="0"/>
        <w:jc w:val="both"/>
        <w:rPr>
          <w:rFonts w:ascii="Times New Roman" w:hAnsi="Times New Roman" w:cs="Times New Roman"/>
          <w:bCs/>
          <w:sz w:val="22"/>
          <w:szCs w:val="22"/>
          <w:lang w:val="en-GB"/>
        </w:rPr>
      </w:pPr>
      <w:r w:rsidRPr="00C42DF0">
        <w:rPr>
          <w:rFonts w:ascii="Times New Roman" w:hAnsi="Times New Roman" w:cs="Times New Roman"/>
          <w:b/>
          <w:bCs/>
          <w:sz w:val="22"/>
          <w:szCs w:val="22"/>
          <w:lang w:val="en-GB"/>
        </w:rPr>
        <w:t>Abstract</w:t>
      </w:r>
      <w:r w:rsidR="008644C5" w:rsidRPr="00C42DF0">
        <w:rPr>
          <w:rFonts w:ascii="Times New Roman" w:hAnsi="Times New Roman" w:cs="Times New Roman"/>
          <w:b/>
          <w:bCs/>
          <w:sz w:val="22"/>
          <w:szCs w:val="22"/>
          <w:lang w:val="en-GB"/>
        </w:rPr>
        <w:t>:</w:t>
      </w:r>
    </w:p>
    <w:p w14:paraId="7E381164" w14:textId="69158492"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r w:rsidRPr="00C42DF0">
        <w:rPr>
          <w:rFonts w:ascii="Times New Roman" w:hAnsi="Times New Roman" w:cs="Times New Roman"/>
          <w:b/>
          <w:sz w:val="22"/>
          <w:szCs w:val="22"/>
          <w:lang w:val="en-GB"/>
        </w:rPr>
        <w:t>Introduction:</w:t>
      </w:r>
      <w:r w:rsidRPr="00C42DF0">
        <w:rPr>
          <w:rFonts w:ascii="Times New Roman" w:hAnsi="Times New Roman" w:cs="Times New Roman"/>
          <w:sz w:val="22"/>
          <w:szCs w:val="22"/>
          <w:lang w:val="en-GB"/>
        </w:rPr>
        <w:t xml:space="preserve"> In developing countries, tetanus remains an important cause of mortality. Predictive factors of death related to this condition are rarely investigated.</w:t>
      </w:r>
    </w:p>
    <w:p w14:paraId="480027E2" w14:textId="77777777"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p>
    <w:p w14:paraId="270C56EF" w14:textId="4ABD832B"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r w:rsidRPr="00C42DF0">
        <w:rPr>
          <w:rFonts w:ascii="Times New Roman" w:hAnsi="Times New Roman" w:cs="Times New Roman"/>
          <w:b/>
          <w:sz w:val="22"/>
          <w:szCs w:val="22"/>
          <w:lang w:val="en-GB"/>
        </w:rPr>
        <w:t>Objective:</w:t>
      </w:r>
      <w:r w:rsidRPr="00C42DF0">
        <w:rPr>
          <w:rFonts w:ascii="Times New Roman" w:hAnsi="Times New Roman" w:cs="Times New Roman"/>
          <w:sz w:val="22"/>
          <w:szCs w:val="22"/>
          <w:lang w:val="en-GB"/>
        </w:rPr>
        <w:t xml:space="preserve"> To identify factors associated with death among patients admitted for tetanus at the Department of Infectious and Tropical D</w:t>
      </w:r>
      <w:r w:rsidR="00E43E9D" w:rsidRPr="00C42DF0">
        <w:rPr>
          <w:rFonts w:ascii="Times New Roman" w:hAnsi="Times New Roman" w:cs="Times New Roman"/>
          <w:sz w:val="22"/>
          <w:szCs w:val="22"/>
          <w:lang w:val="en-GB"/>
        </w:rPr>
        <w:t>iseases (SMIT) of</w:t>
      </w:r>
      <w:r w:rsidRPr="00C42DF0">
        <w:rPr>
          <w:rFonts w:ascii="Times New Roman" w:hAnsi="Times New Roman" w:cs="Times New Roman"/>
          <w:sz w:val="22"/>
          <w:szCs w:val="22"/>
          <w:lang w:val="en-GB"/>
        </w:rPr>
        <w:t xml:space="preserve"> Fann Teaching Hospital</w:t>
      </w:r>
      <w:r w:rsidR="009C3367" w:rsidRPr="00C42DF0">
        <w:rPr>
          <w:rFonts w:ascii="Times New Roman" w:hAnsi="Times New Roman" w:cs="Times New Roman"/>
          <w:sz w:val="22"/>
          <w:szCs w:val="22"/>
          <w:lang w:val="en-GB"/>
        </w:rPr>
        <w:t>.</w:t>
      </w:r>
    </w:p>
    <w:p w14:paraId="369070E3" w14:textId="77777777" w:rsidR="009C3367" w:rsidRPr="00C42DF0" w:rsidRDefault="009C336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p>
    <w:p w14:paraId="1F6FD0B0" w14:textId="663491AC"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r w:rsidRPr="00C42DF0">
        <w:rPr>
          <w:rFonts w:ascii="Times New Roman" w:hAnsi="Times New Roman" w:cs="Times New Roman"/>
          <w:b/>
          <w:sz w:val="22"/>
          <w:szCs w:val="22"/>
          <w:lang w:val="en-GB"/>
        </w:rPr>
        <w:t>Methods:</w:t>
      </w:r>
      <w:r w:rsidR="009C3367" w:rsidRPr="00C42DF0">
        <w:rPr>
          <w:rFonts w:ascii="Times New Roman" w:hAnsi="Times New Roman" w:cs="Times New Roman"/>
          <w:sz w:val="22"/>
          <w:szCs w:val="22"/>
          <w:lang w:val="en-GB"/>
        </w:rPr>
        <w:t xml:space="preserve"> We conducted a</w:t>
      </w:r>
      <w:r w:rsidRPr="00C42DF0">
        <w:rPr>
          <w:rFonts w:ascii="Times New Roman" w:hAnsi="Times New Roman" w:cs="Times New Roman"/>
          <w:sz w:val="22"/>
          <w:szCs w:val="22"/>
          <w:lang w:val="en-GB"/>
        </w:rPr>
        <w:t xml:space="preserve"> retrospective, descriptive, and analytical study </w:t>
      </w:r>
      <w:r w:rsidR="009C3367" w:rsidRPr="00C42DF0">
        <w:rPr>
          <w:rFonts w:ascii="Times New Roman" w:hAnsi="Times New Roman" w:cs="Times New Roman"/>
          <w:sz w:val="22"/>
          <w:szCs w:val="22"/>
          <w:lang w:val="en-GB"/>
        </w:rPr>
        <w:t>including pa</w:t>
      </w:r>
      <w:r w:rsidRPr="00C42DF0">
        <w:rPr>
          <w:rFonts w:ascii="Times New Roman" w:hAnsi="Times New Roman" w:cs="Times New Roman"/>
          <w:sz w:val="22"/>
          <w:szCs w:val="22"/>
          <w:lang w:val="en-GB"/>
        </w:rPr>
        <w:t xml:space="preserve">tients hospitalized for tetanus over a 12-year period (2010–2021). Factors associated with mortality were investigated. </w:t>
      </w:r>
      <w:r w:rsidR="009C3367" w:rsidRPr="00C42DF0">
        <w:rPr>
          <w:rFonts w:ascii="Times New Roman" w:hAnsi="Times New Roman" w:cs="Times New Roman"/>
          <w:sz w:val="22"/>
          <w:szCs w:val="22"/>
          <w:lang w:val="en-GB"/>
        </w:rPr>
        <w:t>To compare proportions in each category, bivariate analysis was performed using the chi-square test</w:t>
      </w:r>
      <w:r w:rsidRPr="00C42DF0">
        <w:rPr>
          <w:rFonts w:ascii="Times New Roman" w:hAnsi="Times New Roman" w:cs="Times New Roman"/>
          <w:sz w:val="22"/>
          <w:szCs w:val="22"/>
          <w:lang w:val="en-GB"/>
        </w:rPr>
        <w:t xml:space="preserve">. Logistic regression was used in multivariate analysis to estimate odds ratios (OR) with 95% confidence intervals (CI). A significance level of </w:t>
      </w:r>
      <w:r w:rsidRPr="00C42DF0">
        <w:rPr>
          <w:rFonts w:ascii="Times New Roman" w:hAnsi="Times New Roman" w:cs="Times New Roman"/>
          <w:sz w:val="22"/>
          <w:szCs w:val="22"/>
        </w:rPr>
        <w:t>α</w:t>
      </w:r>
      <w:r w:rsidRPr="00C42DF0">
        <w:rPr>
          <w:rFonts w:ascii="Times New Roman" w:hAnsi="Times New Roman" w:cs="Times New Roman"/>
          <w:sz w:val="22"/>
          <w:szCs w:val="22"/>
          <w:lang w:val="en-GB"/>
        </w:rPr>
        <w:t xml:space="preserve"> = 5% was considered for statistical significance.</w:t>
      </w:r>
    </w:p>
    <w:p w14:paraId="1FA5BCD1" w14:textId="77777777"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p>
    <w:p w14:paraId="34495F57" w14:textId="2A1D557A"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r w:rsidRPr="00C42DF0">
        <w:rPr>
          <w:rFonts w:ascii="Times New Roman" w:hAnsi="Times New Roman" w:cs="Times New Roman"/>
          <w:b/>
          <w:sz w:val="22"/>
          <w:szCs w:val="22"/>
          <w:lang w:val="en-GB"/>
        </w:rPr>
        <w:t>Results:</w:t>
      </w:r>
      <w:r w:rsidRPr="00C42DF0">
        <w:rPr>
          <w:rFonts w:ascii="Times New Roman" w:hAnsi="Times New Roman" w:cs="Times New Roman"/>
          <w:sz w:val="22"/>
          <w:szCs w:val="22"/>
          <w:lang w:val="en-GB"/>
        </w:rPr>
        <w:t xml:space="preserve"> A total of 938 cases of tetanus were recorded among 10,948 hospitalized patients, representing a hospital frequency of 8.6%. The mean age was 30.06 years with a sex ratio of 4.27. Comorbidities (19.08%) were mainly hypertension (41%) and diabetes (22%). The mean delay before hospitalization was 3.6 days. The average incubation period was 14.26 days, and the invasion period 2.29 days. The main clinical signs of tetanus observed were trismus (99%), dysphagia (88%), and paroxysms (71%). The primary </w:t>
      </w:r>
      <w:r w:rsidR="009C3367" w:rsidRPr="00C42DF0">
        <w:rPr>
          <w:rFonts w:ascii="Times New Roman" w:hAnsi="Times New Roman" w:cs="Times New Roman"/>
          <w:sz w:val="22"/>
          <w:szCs w:val="22"/>
          <w:lang w:val="en-GB"/>
        </w:rPr>
        <w:t>gateway</w:t>
      </w:r>
      <w:r w:rsidRPr="00C42DF0">
        <w:rPr>
          <w:rFonts w:ascii="Times New Roman" w:hAnsi="Times New Roman" w:cs="Times New Roman"/>
          <w:sz w:val="22"/>
          <w:szCs w:val="22"/>
          <w:lang w:val="en-GB"/>
        </w:rPr>
        <w:t xml:space="preserve"> was cutaneous (79%), and tetanus was generalized in 96% of cases. Patients were mainly classified as stage II according to Mollaret’s classification (82%). More than half of the patients (57%) had a Dakar score between 2 and 3. The mean duration of hospitalization was 11.99 ± 8.99 days. The main complications noted were cardiovascular (18%), respiratory (15%), and infectious (15%). The case fatality rate was 20.47%. In multivariate analysis, five factors were found to be associated with death: invasion &lt; 48 hours (p=0.000); age ≥ 65 years (p=0.002); diabetes (p=0.008); tonic-clonic paroxysms (p=0.004); and occurrence of complications (p=0.000).</w:t>
      </w:r>
    </w:p>
    <w:p w14:paraId="7DDB5608" w14:textId="77777777"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p>
    <w:p w14:paraId="23808352" w14:textId="62807168" w:rsidR="00D40877" w:rsidRPr="00C42DF0" w:rsidRDefault="00D40877" w:rsidP="00E4188C">
      <w:pPr>
        <w:tabs>
          <w:tab w:val="left" w:pos="2835"/>
          <w:tab w:val="left" w:pos="6804"/>
        </w:tabs>
        <w:spacing w:after="200" w:line="276" w:lineRule="auto"/>
        <w:contextualSpacing/>
        <w:jc w:val="both"/>
        <w:rPr>
          <w:rFonts w:ascii="Times New Roman" w:hAnsi="Times New Roman" w:cs="Times New Roman"/>
          <w:sz w:val="22"/>
          <w:szCs w:val="22"/>
          <w:lang w:val="en-GB"/>
        </w:rPr>
      </w:pPr>
      <w:r w:rsidRPr="00C42DF0">
        <w:rPr>
          <w:rFonts w:ascii="Times New Roman" w:hAnsi="Times New Roman" w:cs="Times New Roman"/>
          <w:b/>
          <w:sz w:val="22"/>
          <w:szCs w:val="22"/>
          <w:lang w:val="en-GB"/>
        </w:rPr>
        <w:t>Conclusion:</w:t>
      </w:r>
      <w:r w:rsidRPr="00C42DF0">
        <w:rPr>
          <w:rFonts w:ascii="Times New Roman" w:hAnsi="Times New Roman" w:cs="Times New Roman"/>
          <w:sz w:val="22"/>
          <w:szCs w:val="22"/>
          <w:lang w:val="en-GB"/>
        </w:rPr>
        <w:t xml:space="preserve"> Risk factors for mortality, namely advanced age and diabetes, are not taken into account in current prognostic classifications of tetanus. It is therefore important to reconsider the parameters used in prognostic scoring systems for tetanus.</w:t>
      </w:r>
    </w:p>
    <w:p w14:paraId="5ABDB057" w14:textId="28A183F0" w:rsidR="004A0501" w:rsidRPr="00C42DF0" w:rsidRDefault="004A0501" w:rsidP="00E4188C">
      <w:pPr>
        <w:tabs>
          <w:tab w:val="left" w:pos="2835"/>
          <w:tab w:val="left" w:pos="6804"/>
        </w:tabs>
        <w:spacing w:after="200" w:line="276" w:lineRule="auto"/>
        <w:contextualSpacing/>
        <w:jc w:val="both"/>
        <w:rPr>
          <w:rFonts w:ascii="Times New Roman" w:eastAsia="Times New Roman" w:hAnsi="Times New Roman" w:cs="Times New Roman"/>
          <w:b/>
          <w:bCs/>
          <w:sz w:val="22"/>
          <w:szCs w:val="22"/>
          <w:lang w:val="en-GB" w:eastAsia="fr-FR"/>
        </w:rPr>
      </w:pPr>
    </w:p>
    <w:p w14:paraId="156E42DE" w14:textId="490DC147" w:rsidR="005F42F8" w:rsidRPr="00C42DF0" w:rsidRDefault="00544F1F" w:rsidP="00E4188C">
      <w:pPr>
        <w:spacing w:after="240" w:line="276" w:lineRule="auto"/>
        <w:contextualSpacing/>
        <w:jc w:val="both"/>
        <w:rPr>
          <w:rFonts w:ascii="Times New Roman" w:eastAsia="Times New Roman" w:hAnsi="Times New Roman" w:cs="Times New Roman"/>
          <w:b/>
          <w:bCs/>
          <w:sz w:val="22"/>
          <w:szCs w:val="22"/>
          <w:lang w:val="en-GB" w:eastAsia="fr-FR"/>
        </w:rPr>
      </w:pPr>
      <w:r w:rsidRPr="00C42DF0">
        <w:rPr>
          <w:rFonts w:ascii="Times New Roman" w:eastAsia="Times New Roman" w:hAnsi="Times New Roman" w:cs="Times New Roman"/>
          <w:b/>
          <w:bCs/>
          <w:sz w:val="22"/>
          <w:szCs w:val="22"/>
          <w:lang w:val="en-GB" w:eastAsia="fr-FR"/>
        </w:rPr>
        <w:t>Keywords</w:t>
      </w:r>
      <w:r w:rsidR="006C1086" w:rsidRPr="00C42DF0">
        <w:rPr>
          <w:rFonts w:ascii="Times New Roman" w:eastAsia="Times New Roman" w:hAnsi="Times New Roman" w:cs="Times New Roman"/>
          <w:b/>
          <w:bCs/>
          <w:sz w:val="22"/>
          <w:szCs w:val="22"/>
          <w:lang w:val="en-GB" w:eastAsia="fr-FR"/>
        </w:rPr>
        <w:t>: Te</w:t>
      </w:r>
      <w:r w:rsidR="005F42F8" w:rsidRPr="00C42DF0">
        <w:rPr>
          <w:rFonts w:ascii="Times New Roman" w:eastAsia="Times New Roman" w:hAnsi="Times New Roman" w:cs="Times New Roman"/>
          <w:b/>
          <w:bCs/>
          <w:sz w:val="22"/>
          <w:szCs w:val="22"/>
          <w:lang w:val="en-GB" w:eastAsia="fr-FR"/>
        </w:rPr>
        <w:t>tan</w:t>
      </w:r>
      <w:r w:rsidR="006C1086" w:rsidRPr="00C42DF0">
        <w:rPr>
          <w:rFonts w:ascii="Times New Roman" w:eastAsia="Times New Roman" w:hAnsi="Times New Roman" w:cs="Times New Roman"/>
          <w:b/>
          <w:bCs/>
          <w:sz w:val="22"/>
          <w:szCs w:val="22"/>
          <w:lang w:val="en-GB" w:eastAsia="fr-FR"/>
        </w:rPr>
        <w:t>u</w:t>
      </w:r>
      <w:r w:rsidR="005F42F8" w:rsidRPr="00C42DF0">
        <w:rPr>
          <w:rFonts w:ascii="Times New Roman" w:eastAsia="Times New Roman" w:hAnsi="Times New Roman" w:cs="Times New Roman"/>
          <w:b/>
          <w:bCs/>
          <w:sz w:val="22"/>
          <w:szCs w:val="22"/>
          <w:lang w:val="en-GB" w:eastAsia="fr-FR"/>
        </w:rPr>
        <w:t xml:space="preserve">s, </w:t>
      </w:r>
      <w:r w:rsidR="006C1086" w:rsidRPr="00C42DF0">
        <w:rPr>
          <w:rFonts w:ascii="Times New Roman" w:eastAsia="Times New Roman" w:hAnsi="Times New Roman" w:cs="Times New Roman"/>
          <w:b/>
          <w:bCs/>
          <w:sz w:val="22"/>
          <w:szCs w:val="22"/>
          <w:lang w:val="en-GB" w:eastAsia="fr-FR"/>
        </w:rPr>
        <w:t>mortality-associated</w:t>
      </w:r>
      <w:r w:rsidR="00E43E9D" w:rsidRPr="00C42DF0">
        <w:rPr>
          <w:rFonts w:ascii="Times New Roman" w:eastAsia="Times New Roman" w:hAnsi="Times New Roman" w:cs="Times New Roman"/>
          <w:b/>
          <w:bCs/>
          <w:sz w:val="22"/>
          <w:szCs w:val="22"/>
          <w:lang w:val="en-GB" w:eastAsia="fr-FR"/>
        </w:rPr>
        <w:t xml:space="preserve"> factors</w:t>
      </w:r>
      <w:r w:rsidR="005F42F8" w:rsidRPr="00C42DF0">
        <w:rPr>
          <w:rFonts w:ascii="Times New Roman" w:eastAsia="Times New Roman" w:hAnsi="Times New Roman" w:cs="Times New Roman"/>
          <w:b/>
          <w:bCs/>
          <w:sz w:val="22"/>
          <w:szCs w:val="22"/>
          <w:lang w:val="en-GB" w:eastAsia="fr-FR"/>
        </w:rPr>
        <w:t>, l</w:t>
      </w:r>
      <w:r w:rsidR="006C1086" w:rsidRPr="00C42DF0">
        <w:rPr>
          <w:rFonts w:ascii="Times New Roman" w:eastAsia="Times New Roman" w:hAnsi="Times New Roman" w:cs="Times New Roman"/>
          <w:b/>
          <w:bCs/>
          <w:sz w:val="22"/>
          <w:szCs w:val="22"/>
          <w:lang w:val="en-GB" w:eastAsia="fr-FR"/>
        </w:rPr>
        <w:t>e</w:t>
      </w:r>
      <w:r w:rsidR="005F42F8" w:rsidRPr="00C42DF0">
        <w:rPr>
          <w:rFonts w:ascii="Times New Roman" w:eastAsia="Times New Roman" w:hAnsi="Times New Roman" w:cs="Times New Roman"/>
          <w:b/>
          <w:bCs/>
          <w:sz w:val="22"/>
          <w:szCs w:val="22"/>
          <w:lang w:val="en-GB" w:eastAsia="fr-FR"/>
        </w:rPr>
        <w:t>t</w:t>
      </w:r>
      <w:r w:rsidR="006C1086" w:rsidRPr="00C42DF0">
        <w:rPr>
          <w:rFonts w:ascii="Times New Roman" w:eastAsia="Times New Roman" w:hAnsi="Times New Roman" w:cs="Times New Roman"/>
          <w:b/>
          <w:bCs/>
          <w:sz w:val="22"/>
          <w:szCs w:val="22"/>
          <w:lang w:val="en-GB" w:eastAsia="fr-FR"/>
        </w:rPr>
        <w:t>hality</w:t>
      </w:r>
      <w:r w:rsidR="005F42F8" w:rsidRPr="00C42DF0">
        <w:rPr>
          <w:rFonts w:ascii="Times New Roman" w:eastAsia="Times New Roman" w:hAnsi="Times New Roman" w:cs="Times New Roman"/>
          <w:b/>
          <w:bCs/>
          <w:sz w:val="22"/>
          <w:szCs w:val="22"/>
          <w:lang w:val="en-GB" w:eastAsia="fr-FR"/>
        </w:rPr>
        <w:t>, Dakar.</w:t>
      </w:r>
    </w:p>
    <w:p w14:paraId="44CB9BC2" w14:textId="77777777" w:rsidR="00D6312B" w:rsidRDefault="00D6312B" w:rsidP="00E4188C">
      <w:pPr>
        <w:spacing w:line="360" w:lineRule="auto"/>
        <w:contextualSpacing/>
        <w:jc w:val="both"/>
        <w:rPr>
          <w:rFonts w:ascii="Times New Roman" w:hAnsi="Times New Roman" w:cs="Times New Roman"/>
          <w:sz w:val="22"/>
          <w:szCs w:val="22"/>
          <w:lang w:val="en-GB"/>
        </w:rPr>
      </w:pPr>
    </w:p>
    <w:p w14:paraId="5ADD8F8A" w14:textId="77777777" w:rsidR="00C42DF0" w:rsidRDefault="00C42DF0" w:rsidP="00E4188C">
      <w:pPr>
        <w:spacing w:line="360" w:lineRule="auto"/>
        <w:contextualSpacing/>
        <w:jc w:val="both"/>
        <w:rPr>
          <w:rFonts w:ascii="Times New Roman" w:hAnsi="Times New Roman" w:cs="Times New Roman"/>
          <w:sz w:val="22"/>
          <w:szCs w:val="22"/>
          <w:lang w:val="en-GB"/>
        </w:rPr>
      </w:pPr>
    </w:p>
    <w:p w14:paraId="0E4B391A" w14:textId="77777777" w:rsidR="00C42DF0" w:rsidRDefault="00C42DF0" w:rsidP="00E4188C">
      <w:pPr>
        <w:spacing w:line="360" w:lineRule="auto"/>
        <w:contextualSpacing/>
        <w:jc w:val="both"/>
        <w:rPr>
          <w:rFonts w:ascii="Times New Roman" w:hAnsi="Times New Roman" w:cs="Times New Roman"/>
          <w:sz w:val="22"/>
          <w:szCs w:val="22"/>
          <w:lang w:val="en-GB"/>
        </w:rPr>
      </w:pPr>
    </w:p>
    <w:p w14:paraId="29065741" w14:textId="77777777" w:rsidR="00C42DF0" w:rsidRDefault="00C42DF0" w:rsidP="00E4188C">
      <w:pPr>
        <w:spacing w:line="360" w:lineRule="auto"/>
        <w:contextualSpacing/>
        <w:jc w:val="both"/>
        <w:rPr>
          <w:rFonts w:ascii="Times New Roman" w:hAnsi="Times New Roman" w:cs="Times New Roman"/>
          <w:sz w:val="22"/>
          <w:szCs w:val="22"/>
          <w:lang w:val="en-GB"/>
        </w:rPr>
      </w:pPr>
    </w:p>
    <w:p w14:paraId="3473D8DA" w14:textId="77777777" w:rsidR="00C42DF0" w:rsidRPr="00C42DF0" w:rsidRDefault="00C42DF0" w:rsidP="00E4188C">
      <w:pPr>
        <w:spacing w:line="360" w:lineRule="auto"/>
        <w:contextualSpacing/>
        <w:jc w:val="both"/>
        <w:rPr>
          <w:rFonts w:ascii="Times New Roman" w:hAnsi="Times New Roman" w:cs="Times New Roman"/>
          <w:sz w:val="22"/>
          <w:szCs w:val="22"/>
          <w:lang w:val="en-GB"/>
        </w:rPr>
      </w:pPr>
    </w:p>
    <w:p w14:paraId="591949B3" w14:textId="77777777" w:rsidR="008644C5" w:rsidRPr="00C42DF0" w:rsidRDefault="008644C5" w:rsidP="00E4188C">
      <w:pPr>
        <w:pStyle w:val="ListParagraph"/>
        <w:numPr>
          <w:ilvl w:val="0"/>
          <w:numId w:val="1"/>
        </w:numPr>
        <w:spacing w:line="276" w:lineRule="auto"/>
        <w:ind w:left="0"/>
        <w:jc w:val="both"/>
        <w:rPr>
          <w:rFonts w:ascii="Times New Roman" w:hAnsi="Times New Roman" w:cs="Times New Roman"/>
          <w:b/>
          <w:bCs/>
          <w:sz w:val="22"/>
          <w:szCs w:val="22"/>
        </w:rPr>
      </w:pPr>
      <w:r w:rsidRPr="00C42DF0">
        <w:rPr>
          <w:rFonts w:ascii="Times New Roman" w:hAnsi="Times New Roman" w:cs="Times New Roman"/>
          <w:b/>
          <w:bCs/>
          <w:sz w:val="22"/>
          <w:szCs w:val="22"/>
        </w:rPr>
        <w:t>Introduction :</w:t>
      </w:r>
    </w:p>
    <w:p w14:paraId="38E3D579" w14:textId="75C4D968" w:rsidR="006C1086" w:rsidRPr="00C42DF0" w:rsidRDefault="006C1086" w:rsidP="00E4188C">
      <w:pPr>
        <w:pStyle w:val="p1"/>
        <w:spacing w:line="276" w:lineRule="auto"/>
        <w:jc w:val="both"/>
        <w:rPr>
          <w:color w:val="auto"/>
          <w:sz w:val="22"/>
          <w:szCs w:val="22"/>
          <w:lang w:val="en-GB"/>
        </w:rPr>
      </w:pPr>
      <w:r w:rsidRPr="00C42DF0">
        <w:rPr>
          <w:color w:val="auto"/>
          <w:sz w:val="22"/>
          <w:szCs w:val="22"/>
          <w:lang w:val="en-GB"/>
        </w:rPr>
        <w:t>Tetanus is an acute inoculation-related toxico-infection, non-immunizing, and severe because of its potential life-threat</w:t>
      </w:r>
      <w:r w:rsidR="0022045E" w:rsidRPr="00C42DF0">
        <w:rPr>
          <w:color w:val="auto"/>
          <w:sz w:val="22"/>
          <w:szCs w:val="22"/>
          <w:lang w:val="en-GB"/>
        </w:rPr>
        <w:t>ening outcome</w:t>
      </w:r>
      <w:r w:rsidRPr="00C42DF0">
        <w:rPr>
          <w:color w:val="auto"/>
          <w:sz w:val="22"/>
          <w:szCs w:val="22"/>
          <w:lang w:val="en-GB"/>
        </w:rPr>
        <w:t xml:space="preserve">. The disease remains non-eradicable since the bacteria are permanently present in the soil and environment, but it is entirely preventable through vaccination and </w:t>
      </w:r>
      <w:r w:rsidRPr="00C42DF0">
        <w:rPr>
          <w:color w:val="auto"/>
          <w:sz w:val="22"/>
          <w:szCs w:val="22"/>
          <w:lang w:val="en-GB"/>
        </w:rPr>
        <w:lastRenderedPageBreak/>
        <w:t xml:space="preserve">proper wound hygiene </w:t>
      </w:r>
      <w:r w:rsidRPr="00C42DF0">
        <w:rPr>
          <w:b/>
          <w:color w:val="auto"/>
          <w:sz w:val="22"/>
          <w:szCs w:val="22"/>
          <w:lang w:val="en-GB"/>
        </w:rPr>
        <w:t>[1]</w:t>
      </w:r>
      <w:r w:rsidRPr="00C42DF0">
        <w:rPr>
          <w:color w:val="auto"/>
          <w:sz w:val="22"/>
          <w:szCs w:val="22"/>
          <w:lang w:val="en-GB"/>
        </w:rPr>
        <w:t xml:space="preserve">. According to the </w:t>
      </w:r>
      <w:r w:rsidR="0022045E" w:rsidRPr="00C42DF0">
        <w:rPr>
          <w:color w:val="auto"/>
          <w:sz w:val="22"/>
          <w:szCs w:val="22"/>
          <w:lang w:val="en-GB"/>
        </w:rPr>
        <w:t>World Health Organisation</w:t>
      </w:r>
      <w:r w:rsidRPr="00C42DF0">
        <w:rPr>
          <w:color w:val="auto"/>
          <w:sz w:val="22"/>
          <w:szCs w:val="22"/>
          <w:lang w:val="en-GB"/>
        </w:rPr>
        <w:t xml:space="preserve"> (WHO), the global incidence of the disease is estimated at one million cases per year, with a mortality rate ranging between 20% and 50%, and reaching up to 70% in some regions </w:t>
      </w:r>
      <w:r w:rsidRPr="00C42DF0">
        <w:rPr>
          <w:b/>
          <w:color w:val="auto"/>
          <w:sz w:val="22"/>
          <w:szCs w:val="22"/>
          <w:lang w:val="en-GB"/>
        </w:rPr>
        <w:t>[2, 3]</w:t>
      </w:r>
      <w:r w:rsidRPr="00C42DF0">
        <w:rPr>
          <w:color w:val="auto"/>
          <w:sz w:val="22"/>
          <w:szCs w:val="22"/>
          <w:lang w:val="en-GB"/>
        </w:rPr>
        <w:t xml:space="preserve">. While it has become extremely rare in developed countries, tetanus remains a public health problem in resource-limited countries due to its high mortality </w:t>
      </w:r>
      <w:r w:rsidRPr="00C42DF0">
        <w:rPr>
          <w:b/>
          <w:color w:val="auto"/>
          <w:sz w:val="22"/>
          <w:szCs w:val="22"/>
          <w:lang w:val="en-GB"/>
        </w:rPr>
        <w:t>[4, 5]</w:t>
      </w:r>
      <w:r w:rsidRPr="00C42DF0">
        <w:rPr>
          <w:color w:val="auto"/>
          <w:sz w:val="22"/>
          <w:szCs w:val="22"/>
          <w:lang w:val="en-GB"/>
        </w:rPr>
        <w:t xml:space="preserve">. Sub-Saharan Africa and South Asia alone account for 82% of all tetanus cases worldwide and 77% of deaths related to the disease </w:t>
      </w:r>
      <w:r w:rsidRPr="00C42DF0">
        <w:rPr>
          <w:b/>
          <w:color w:val="auto"/>
          <w:sz w:val="22"/>
          <w:szCs w:val="22"/>
          <w:lang w:val="en-GB"/>
        </w:rPr>
        <w:t>[6]</w:t>
      </w:r>
      <w:r w:rsidRPr="00C42DF0">
        <w:rPr>
          <w:color w:val="auto"/>
          <w:sz w:val="22"/>
          <w:szCs w:val="22"/>
          <w:lang w:val="en-GB"/>
        </w:rPr>
        <w:t xml:space="preserve">. In Africa, it represents a significant proportion of admissions to intensive care units (ICU) and prolonged hospitalizations </w:t>
      </w:r>
      <w:r w:rsidRPr="00C42DF0">
        <w:rPr>
          <w:b/>
          <w:color w:val="auto"/>
          <w:sz w:val="22"/>
          <w:szCs w:val="22"/>
          <w:lang w:val="en-GB"/>
        </w:rPr>
        <w:t>[7]</w:t>
      </w:r>
      <w:r w:rsidRPr="00C42DF0">
        <w:rPr>
          <w:color w:val="auto"/>
          <w:sz w:val="22"/>
          <w:szCs w:val="22"/>
          <w:lang w:val="en-GB"/>
        </w:rPr>
        <w:t>. In Senegal, despite the Expanded Program on Immunization (EPI) established by the Ministry of Health since 1981, tetanus continues to be a frequent cause of hospitalization at the Department of Infectious</w:t>
      </w:r>
      <w:r w:rsidR="00E43E9D" w:rsidRPr="00C42DF0">
        <w:rPr>
          <w:color w:val="auto"/>
          <w:sz w:val="22"/>
          <w:szCs w:val="22"/>
          <w:lang w:val="en-GB"/>
        </w:rPr>
        <w:t xml:space="preserve"> and Tropical Diseases (SMIT) of</w:t>
      </w:r>
      <w:r w:rsidRPr="00C42DF0">
        <w:rPr>
          <w:color w:val="auto"/>
          <w:sz w:val="22"/>
          <w:szCs w:val="22"/>
          <w:lang w:val="en-GB"/>
        </w:rPr>
        <w:t xml:space="preserve"> Fann Teaching Hospital </w:t>
      </w:r>
      <w:r w:rsidRPr="00C42DF0">
        <w:rPr>
          <w:b/>
          <w:color w:val="auto"/>
          <w:sz w:val="22"/>
          <w:szCs w:val="22"/>
          <w:lang w:val="en-GB"/>
        </w:rPr>
        <w:t>[8, 9]</w:t>
      </w:r>
      <w:r w:rsidRPr="00C42DF0">
        <w:rPr>
          <w:color w:val="auto"/>
          <w:sz w:val="22"/>
          <w:szCs w:val="22"/>
          <w:lang w:val="en-GB"/>
        </w:rPr>
        <w:t xml:space="preserve">. However, few studies are available on the factors influencing patient outcomes, and predictive factors of death related to this condition are rarely evaluated. It is in this context that we conducted this study </w:t>
      </w:r>
      <w:r w:rsidR="0022045E" w:rsidRPr="00C42DF0">
        <w:rPr>
          <w:color w:val="auto"/>
          <w:sz w:val="22"/>
          <w:szCs w:val="22"/>
          <w:lang w:val="en-GB"/>
        </w:rPr>
        <w:t>that aims at assessing</w:t>
      </w:r>
      <w:r w:rsidRPr="00C42DF0">
        <w:rPr>
          <w:color w:val="auto"/>
          <w:sz w:val="22"/>
          <w:szCs w:val="22"/>
          <w:lang w:val="en-GB"/>
        </w:rPr>
        <w:t xml:space="preserve"> hospital case fatality </w:t>
      </w:r>
      <w:r w:rsidR="0022045E" w:rsidRPr="00C42DF0">
        <w:rPr>
          <w:color w:val="auto"/>
          <w:sz w:val="22"/>
          <w:szCs w:val="22"/>
          <w:lang w:val="en-GB"/>
        </w:rPr>
        <w:t xml:space="preserve">rate </w:t>
      </w:r>
      <w:r w:rsidRPr="00C42DF0">
        <w:rPr>
          <w:color w:val="auto"/>
          <w:sz w:val="22"/>
          <w:szCs w:val="22"/>
          <w:lang w:val="en-GB"/>
        </w:rPr>
        <w:t>of tetanus among patie</w:t>
      </w:r>
      <w:r w:rsidR="00E43E9D" w:rsidRPr="00C42DF0">
        <w:rPr>
          <w:color w:val="auto"/>
          <w:sz w:val="22"/>
          <w:szCs w:val="22"/>
          <w:lang w:val="en-GB"/>
        </w:rPr>
        <w:t xml:space="preserve">nts admitted to SMIT of </w:t>
      </w:r>
      <w:r w:rsidRPr="00C42DF0">
        <w:rPr>
          <w:color w:val="auto"/>
          <w:sz w:val="22"/>
          <w:szCs w:val="22"/>
          <w:lang w:val="en-GB"/>
        </w:rPr>
        <w:t>Fann Teaching Hospital, and identifyi</w:t>
      </w:r>
      <w:r w:rsidR="0022045E" w:rsidRPr="00C42DF0">
        <w:rPr>
          <w:color w:val="auto"/>
          <w:sz w:val="22"/>
          <w:szCs w:val="22"/>
          <w:lang w:val="en-GB"/>
        </w:rPr>
        <w:t>ng its factors associated</w:t>
      </w:r>
      <w:r w:rsidRPr="00C42DF0">
        <w:rPr>
          <w:color w:val="auto"/>
          <w:sz w:val="22"/>
          <w:szCs w:val="22"/>
          <w:lang w:val="en-GB"/>
        </w:rPr>
        <w:t>.</w:t>
      </w:r>
    </w:p>
    <w:p w14:paraId="43363AB8" w14:textId="46DFF616" w:rsidR="00DD2AE2" w:rsidRPr="00C42DF0" w:rsidRDefault="00DD2AE2" w:rsidP="00E4188C">
      <w:pPr>
        <w:pStyle w:val="p1"/>
        <w:spacing w:line="276" w:lineRule="auto"/>
        <w:jc w:val="both"/>
        <w:rPr>
          <w:color w:val="auto"/>
          <w:sz w:val="22"/>
          <w:szCs w:val="22"/>
          <w:lang w:val="en-GB"/>
        </w:rPr>
      </w:pPr>
    </w:p>
    <w:p w14:paraId="433A79AF" w14:textId="4C23A6AF" w:rsidR="005C6368" w:rsidRPr="00C42DF0" w:rsidRDefault="0022045E" w:rsidP="00E4188C">
      <w:pPr>
        <w:pStyle w:val="ListParagraph"/>
        <w:numPr>
          <w:ilvl w:val="0"/>
          <w:numId w:val="1"/>
        </w:numPr>
        <w:spacing w:line="276" w:lineRule="auto"/>
        <w:ind w:left="0"/>
        <w:jc w:val="both"/>
        <w:rPr>
          <w:rFonts w:ascii="Times New Roman" w:hAnsi="Times New Roman" w:cs="Times New Roman"/>
          <w:b/>
          <w:bCs/>
          <w:sz w:val="22"/>
          <w:szCs w:val="22"/>
        </w:rPr>
      </w:pPr>
      <w:r w:rsidRPr="00C42DF0">
        <w:rPr>
          <w:rFonts w:ascii="Times New Roman" w:hAnsi="Times New Roman" w:cs="Times New Roman"/>
          <w:b/>
          <w:bCs/>
          <w:sz w:val="22"/>
          <w:szCs w:val="22"/>
        </w:rPr>
        <w:t>Patients and me</w:t>
      </w:r>
      <w:r w:rsidR="005C6368" w:rsidRPr="00C42DF0">
        <w:rPr>
          <w:rFonts w:ascii="Times New Roman" w:hAnsi="Times New Roman" w:cs="Times New Roman"/>
          <w:b/>
          <w:bCs/>
          <w:sz w:val="22"/>
          <w:szCs w:val="22"/>
        </w:rPr>
        <w:t>thods</w:t>
      </w:r>
    </w:p>
    <w:p w14:paraId="4A1E16C4" w14:textId="4BF8F500" w:rsidR="0022045E" w:rsidRPr="00C42DF0" w:rsidRDefault="0022045E" w:rsidP="00E4188C">
      <w:pPr>
        <w:pStyle w:val="p1"/>
        <w:spacing w:line="276" w:lineRule="auto"/>
        <w:jc w:val="both"/>
        <w:rPr>
          <w:color w:val="auto"/>
          <w:sz w:val="22"/>
          <w:szCs w:val="22"/>
          <w:lang w:val="en-GB"/>
        </w:rPr>
      </w:pPr>
      <w:r w:rsidRPr="00C42DF0">
        <w:rPr>
          <w:color w:val="auto"/>
          <w:sz w:val="22"/>
          <w:szCs w:val="22"/>
          <w:lang w:val="en-GB"/>
        </w:rPr>
        <w:t xml:space="preserve">We conducted a retrospective, descriptive, and analytical study using the medical records of patients admitted for tetanus, regardless of its form, at the Department of Infectious and Tropical Diseases (SMIT) of Fann Teaching Hospital, collected over a 12-year period from January 1, 2010 to December 31, 2021. We included all patients aged one year or older were included, regardless of their sex, and hospitalized for tetanus during the study period with an available medical record. The diagnosis of tetanus was established on the basis of epidemiological criteria (absence of vaccination or incomplete vaccination, presence or absence of a gateway) and clinical criteria (trismus and/or contractures and/or dysphagia and/or tonic or tonic-clonic paroxysms). We compared sociodemographic, clinical, biological, and therapeutic data according to mortality. The chi-square test, in accordance with conditions of applicability, was used to compare proportions in each category. Logistic regression was applied in multivariate analysis to estimate odds ratios (OR) with 95% confidence intervals (CI). A significance level of </w:t>
      </w:r>
      <w:r w:rsidRPr="00C42DF0">
        <w:rPr>
          <w:color w:val="auto"/>
          <w:sz w:val="22"/>
          <w:szCs w:val="22"/>
        </w:rPr>
        <w:t>α</w:t>
      </w:r>
      <w:r w:rsidRPr="00C42DF0">
        <w:rPr>
          <w:color w:val="auto"/>
          <w:sz w:val="22"/>
          <w:szCs w:val="22"/>
          <w:lang w:val="en-GB"/>
        </w:rPr>
        <w:t xml:space="preserve"> = 5% was considered for statistical significance.</w:t>
      </w:r>
    </w:p>
    <w:p w14:paraId="0B02FE84" w14:textId="77777777" w:rsidR="00B45EB1" w:rsidRPr="00C42DF0" w:rsidRDefault="00B45EB1" w:rsidP="00E4188C">
      <w:pPr>
        <w:pStyle w:val="ListParagraph"/>
        <w:spacing w:line="276" w:lineRule="auto"/>
        <w:ind w:left="0"/>
        <w:jc w:val="both"/>
        <w:rPr>
          <w:rFonts w:ascii="Times New Roman" w:eastAsia="Times New Roman" w:hAnsi="Times New Roman" w:cs="Times New Roman"/>
          <w:sz w:val="22"/>
          <w:szCs w:val="22"/>
          <w:lang w:val="en-GB" w:eastAsia="fr-FR"/>
        </w:rPr>
      </w:pPr>
    </w:p>
    <w:p w14:paraId="49330E29" w14:textId="79D3AE35" w:rsidR="002972C6" w:rsidRPr="00C42DF0" w:rsidRDefault="0022045E" w:rsidP="00E4188C">
      <w:pPr>
        <w:pStyle w:val="ListParagraph"/>
        <w:numPr>
          <w:ilvl w:val="0"/>
          <w:numId w:val="1"/>
        </w:numPr>
        <w:spacing w:line="276" w:lineRule="auto"/>
        <w:ind w:left="0"/>
        <w:jc w:val="both"/>
        <w:rPr>
          <w:rFonts w:ascii="Times New Roman" w:hAnsi="Times New Roman" w:cs="Times New Roman"/>
          <w:b/>
          <w:bCs/>
          <w:sz w:val="22"/>
          <w:szCs w:val="22"/>
        </w:rPr>
      </w:pPr>
      <w:r w:rsidRPr="00C42DF0">
        <w:rPr>
          <w:rFonts w:ascii="Times New Roman" w:hAnsi="Times New Roman" w:cs="Times New Roman"/>
          <w:b/>
          <w:bCs/>
          <w:sz w:val="22"/>
          <w:szCs w:val="22"/>
        </w:rPr>
        <w:t>Re</w:t>
      </w:r>
      <w:r w:rsidR="007239A7" w:rsidRPr="00C42DF0">
        <w:rPr>
          <w:rFonts w:ascii="Times New Roman" w:hAnsi="Times New Roman" w:cs="Times New Roman"/>
          <w:b/>
          <w:bCs/>
          <w:sz w:val="22"/>
          <w:szCs w:val="22"/>
        </w:rPr>
        <w:t>sul</w:t>
      </w:r>
      <w:r w:rsidR="002972C6" w:rsidRPr="00C42DF0">
        <w:rPr>
          <w:rFonts w:ascii="Times New Roman" w:hAnsi="Times New Roman" w:cs="Times New Roman"/>
          <w:b/>
          <w:bCs/>
          <w:sz w:val="22"/>
          <w:szCs w:val="22"/>
        </w:rPr>
        <w:t>ts</w:t>
      </w:r>
    </w:p>
    <w:p w14:paraId="43575DE0" w14:textId="7F810604" w:rsidR="0022045E" w:rsidRPr="00C42DF0" w:rsidRDefault="0022045E" w:rsidP="00C42DF0">
      <w:pPr>
        <w:pStyle w:val="p1"/>
        <w:spacing w:line="276" w:lineRule="auto"/>
        <w:contextualSpacing/>
        <w:jc w:val="both"/>
        <w:rPr>
          <w:color w:val="auto"/>
          <w:sz w:val="22"/>
          <w:szCs w:val="22"/>
          <w:lang w:val="en-GB"/>
        </w:rPr>
      </w:pPr>
      <w:r w:rsidRPr="00C42DF0">
        <w:rPr>
          <w:color w:val="auto"/>
          <w:sz w:val="22"/>
          <w:szCs w:val="22"/>
          <w:lang w:val="en-GB"/>
        </w:rPr>
        <w:t>During our study period, 973 cases of tetanus were recorded at the Department of Infectious and Tropical Diseases (SMIT) of Fann Teaching Hospital, out of 10,948 admissions, representing a hospi</w:t>
      </w:r>
      <w:r w:rsidR="00451EF9" w:rsidRPr="00C42DF0">
        <w:rPr>
          <w:color w:val="auto"/>
          <w:sz w:val="22"/>
          <w:szCs w:val="22"/>
          <w:lang w:val="en-GB"/>
        </w:rPr>
        <w:t>tal prevalence of 8.88%. Of these</w:t>
      </w:r>
      <w:r w:rsidRPr="00C42DF0">
        <w:rPr>
          <w:color w:val="auto"/>
          <w:sz w:val="22"/>
          <w:szCs w:val="22"/>
          <w:lang w:val="en-GB"/>
        </w:rPr>
        <w:t xml:space="preserve">, 944 were aged over one year, corresponding to a proportional morbidity of 97% and a </w:t>
      </w:r>
      <w:r w:rsidR="00451EF9" w:rsidRPr="00C42DF0">
        <w:rPr>
          <w:color w:val="auto"/>
          <w:sz w:val="22"/>
          <w:szCs w:val="22"/>
          <w:lang w:val="en-GB"/>
        </w:rPr>
        <w:t>hospital frequency of 8.62%. We included</w:t>
      </w:r>
      <w:r w:rsidRPr="00C42DF0">
        <w:rPr>
          <w:color w:val="auto"/>
          <w:sz w:val="22"/>
          <w:szCs w:val="22"/>
          <w:lang w:val="en-GB"/>
        </w:rPr>
        <w:t xml:space="preserve"> 938 medical records</w:t>
      </w:r>
      <w:r w:rsidR="00451EF9" w:rsidRPr="00C42DF0">
        <w:rPr>
          <w:color w:val="auto"/>
          <w:sz w:val="22"/>
          <w:szCs w:val="22"/>
          <w:lang w:val="en-GB"/>
        </w:rPr>
        <w:t xml:space="preserve"> in our analysis</w:t>
      </w:r>
      <w:r w:rsidRPr="00C42DF0">
        <w:rPr>
          <w:color w:val="auto"/>
          <w:sz w:val="22"/>
          <w:szCs w:val="22"/>
          <w:lang w:val="en-GB"/>
        </w:rPr>
        <w:t>, with the remaining six being unusable.</w:t>
      </w:r>
    </w:p>
    <w:p w14:paraId="189CE123" w14:textId="77777777" w:rsidR="00C42DF0" w:rsidRDefault="00C42DF0" w:rsidP="00C42DF0">
      <w:pPr>
        <w:pStyle w:val="Heading2"/>
        <w:spacing w:before="0" w:after="120" w:line="240" w:lineRule="auto"/>
        <w:contextualSpacing/>
        <w:jc w:val="both"/>
        <w:rPr>
          <w:rFonts w:ascii="Times New Roman" w:hAnsi="Times New Roman" w:cs="Times New Roman"/>
          <w:b/>
          <w:bCs/>
          <w:color w:val="auto"/>
          <w:sz w:val="22"/>
          <w:szCs w:val="22"/>
          <w:lang w:val="en-GB"/>
        </w:rPr>
      </w:pPr>
      <w:bookmarkStart w:id="1" w:name="_bookmark106"/>
      <w:bookmarkStart w:id="2" w:name="_Toc183010581"/>
      <w:bookmarkEnd w:id="1"/>
    </w:p>
    <w:p w14:paraId="60855294" w14:textId="5B52F564" w:rsidR="002972C6" w:rsidRPr="00C42DF0" w:rsidRDefault="002972C6" w:rsidP="00C42DF0">
      <w:pPr>
        <w:pStyle w:val="Heading2"/>
        <w:spacing w:before="0" w:after="120" w:line="240" w:lineRule="auto"/>
        <w:contextualSpacing/>
        <w:jc w:val="both"/>
        <w:rPr>
          <w:rFonts w:ascii="Times New Roman" w:hAnsi="Times New Roman" w:cs="Times New Roman"/>
          <w:b/>
          <w:bCs/>
          <w:color w:val="auto"/>
          <w:sz w:val="22"/>
          <w:szCs w:val="22"/>
          <w:lang w:val="en-GB"/>
        </w:rPr>
      </w:pPr>
      <w:r w:rsidRPr="00C42DF0">
        <w:rPr>
          <w:rFonts w:ascii="Times New Roman" w:hAnsi="Times New Roman" w:cs="Times New Roman"/>
          <w:b/>
          <w:bCs/>
          <w:color w:val="auto"/>
          <w:sz w:val="22"/>
          <w:szCs w:val="22"/>
          <w:lang w:val="en-GB"/>
        </w:rPr>
        <w:t>3.1.</w:t>
      </w:r>
      <w:bookmarkEnd w:id="2"/>
      <w:r w:rsidR="00544F1F" w:rsidRPr="00C42DF0">
        <w:rPr>
          <w:rFonts w:ascii="Times New Roman" w:hAnsi="Times New Roman" w:cs="Times New Roman"/>
          <w:b/>
          <w:bCs/>
          <w:color w:val="auto"/>
          <w:sz w:val="22"/>
          <w:szCs w:val="22"/>
          <w:lang w:val="en-GB"/>
        </w:rPr>
        <w:t xml:space="preserve"> S</w:t>
      </w:r>
      <w:r w:rsidRPr="00C42DF0">
        <w:rPr>
          <w:rFonts w:ascii="Times New Roman" w:hAnsi="Times New Roman" w:cs="Times New Roman"/>
          <w:b/>
          <w:bCs/>
          <w:color w:val="auto"/>
          <w:sz w:val="22"/>
          <w:szCs w:val="22"/>
          <w:lang w:val="en-GB"/>
        </w:rPr>
        <w:t>ocio</w:t>
      </w:r>
      <w:r w:rsidR="00544F1F" w:rsidRPr="00C42DF0">
        <w:rPr>
          <w:rFonts w:ascii="Times New Roman" w:hAnsi="Times New Roman" w:cs="Times New Roman"/>
          <w:b/>
          <w:bCs/>
          <w:color w:val="auto"/>
          <w:sz w:val="22"/>
          <w:szCs w:val="22"/>
          <w:lang w:val="en-GB"/>
        </w:rPr>
        <w:t>-de</w:t>
      </w:r>
      <w:r w:rsidRPr="00C42DF0">
        <w:rPr>
          <w:rFonts w:ascii="Times New Roman" w:hAnsi="Times New Roman" w:cs="Times New Roman"/>
          <w:b/>
          <w:bCs/>
          <w:color w:val="auto"/>
          <w:sz w:val="22"/>
          <w:szCs w:val="22"/>
          <w:lang w:val="en-GB"/>
        </w:rPr>
        <w:t>m</w:t>
      </w:r>
      <w:r w:rsidR="00544F1F" w:rsidRPr="00C42DF0">
        <w:rPr>
          <w:rFonts w:ascii="Times New Roman" w:hAnsi="Times New Roman" w:cs="Times New Roman"/>
          <w:b/>
          <w:bCs/>
          <w:color w:val="auto"/>
          <w:sz w:val="22"/>
          <w:szCs w:val="22"/>
          <w:lang w:val="en-GB"/>
        </w:rPr>
        <w:t>ographic aspects</w:t>
      </w:r>
    </w:p>
    <w:p w14:paraId="6EB9181B" w14:textId="3DC00794" w:rsidR="00F509D5" w:rsidRDefault="00451EF9" w:rsidP="00E4188C">
      <w:pPr>
        <w:pStyle w:val="p1"/>
        <w:spacing w:line="276" w:lineRule="auto"/>
        <w:jc w:val="both"/>
        <w:rPr>
          <w:color w:val="auto"/>
          <w:sz w:val="22"/>
          <w:szCs w:val="22"/>
          <w:lang w:val="en-GB"/>
        </w:rPr>
      </w:pPr>
      <w:bookmarkStart w:id="3" w:name="_bookmark112"/>
      <w:bookmarkEnd w:id="3"/>
      <w:r w:rsidRPr="00C42DF0">
        <w:rPr>
          <w:color w:val="auto"/>
          <w:sz w:val="22"/>
          <w:szCs w:val="22"/>
          <w:lang w:val="en-GB"/>
        </w:rPr>
        <w:t xml:space="preserve">The mean age of patients was 30.06 ± 21.37 years. The median age was 24 years, with an interquartile range of [11–46 years] and extremes from 1 to 90 years. The most represented age group was 1–20 years (42.43%), followed by those under 10 years (18.23%). There was a clear male predominance (81.02%), corresponding to a sex ratio of 4.27. The majority of patients came from suburban areas (64.83%). Regarding their occupation, the most affected group was students (25.37%), followed by laborers (22.54%). Comorbidities were reported in 19.08% of cases (n=179), mainly represented by </w:t>
      </w:r>
      <w:r w:rsidR="00C42DF0" w:rsidRPr="00C42DF0">
        <w:rPr>
          <w:color w:val="auto"/>
          <w:sz w:val="22"/>
          <w:szCs w:val="22"/>
          <w:lang w:val="en-GB"/>
        </w:rPr>
        <w:t xml:space="preserve">high blood pressure </w:t>
      </w:r>
      <w:r w:rsidRPr="00C42DF0">
        <w:rPr>
          <w:color w:val="auto"/>
          <w:sz w:val="22"/>
          <w:szCs w:val="22"/>
          <w:lang w:val="en-GB"/>
        </w:rPr>
        <w:t>(40.62%) and diabetes (21.88%). Regarding vaccination status, the high majority of patients (99.67%) did not have a vaccination card, and the most of them were not vaccinated against tetanus (87.74%). The remainder (12.26%) had documented vaccination, but booster doses dated back more than five years. The mean length of hospital stay was 3.6 ± 3.3 days. More than half of the patients (69.4%) were hospitalized within three days after the onset of initial symptoms (Table I).</w:t>
      </w:r>
    </w:p>
    <w:p w14:paraId="2D55AAA5" w14:textId="77777777" w:rsidR="00C42DF0" w:rsidRPr="00C42DF0" w:rsidRDefault="00C42DF0" w:rsidP="00E4188C">
      <w:pPr>
        <w:pStyle w:val="p1"/>
        <w:spacing w:line="276" w:lineRule="auto"/>
        <w:jc w:val="both"/>
        <w:rPr>
          <w:color w:val="auto"/>
          <w:sz w:val="22"/>
          <w:szCs w:val="22"/>
          <w:lang w:val="en-GB"/>
        </w:rPr>
      </w:pPr>
    </w:p>
    <w:p w14:paraId="125CA2F0" w14:textId="4DDEC46C" w:rsidR="00CC3302" w:rsidRPr="00C42DF0" w:rsidRDefault="00451EF9" w:rsidP="00E4188C">
      <w:pPr>
        <w:pStyle w:val="BodyText"/>
        <w:spacing w:after="120" w:line="276" w:lineRule="auto"/>
        <w:jc w:val="both"/>
        <w:rPr>
          <w:sz w:val="22"/>
          <w:szCs w:val="22"/>
          <w:lang w:val="en-GB"/>
        </w:rPr>
      </w:pPr>
      <w:r w:rsidRPr="00C42DF0">
        <w:rPr>
          <w:b/>
          <w:bCs/>
          <w:sz w:val="22"/>
          <w:szCs w:val="22"/>
          <w:lang w:val="en-GB"/>
        </w:rPr>
        <w:t>Table</w:t>
      </w:r>
      <w:r w:rsidR="009531A7" w:rsidRPr="00C42DF0">
        <w:rPr>
          <w:b/>
          <w:bCs/>
          <w:sz w:val="22"/>
          <w:szCs w:val="22"/>
          <w:lang w:val="en-GB"/>
        </w:rPr>
        <w:t xml:space="preserve"> I:</w:t>
      </w:r>
      <w:r w:rsidR="009531A7" w:rsidRPr="00C42DF0">
        <w:rPr>
          <w:sz w:val="22"/>
          <w:szCs w:val="22"/>
          <w:lang w:val="en-GB"/>
        </w:rPr>
        <w:t xml:space="preserve"> </w:t>
      </w:r>
      <w:r w:rsidRPr="00C42DF0">
        <w:rPr>
          <w:sz w:val="22"/>
          <w:szCs w:val="22"/>
          <w:lang w:val="en-GB"/>
        </w:rPr>
        <w:t xml:space="preserve">Distribution of patients according to </w:t>
      </w:r>
      <w:r w:rsidR="007239A7" w:rsidRPr="00C42DF0">
        <w:rPr>
          <w:sz w:val="22"/>
          <w:szCs w:val="22"/>
          <w:lang w:val="en-GB"/>
        </w:rPr>
        <w:t>their socio-demographic</w:t>
      </w:r>
      <w:r w:rsidR="00CD2725" w:rsidRPr="00C42DF0">
        <w:rPr>
          <w:sz w:val="22"/>
          <w:szCs w:val="22"/>
          <w:lang w:val="en-GB"/>
        </w:rPr>
        <w:t xml:space="preserve"> characteristics</w:t>
      </w:r>
      <w:r w:rsidR="009531A7" w:rsidRPr="00C42DF0">
        <w:rPr>
          <w:sz w:val="22"/>
          <w:szCs w:val="22"/>
          <w:lang w:val="en-GB"/>
        </w:rPr>
        <w:t xml:space="preserve">, </w:t>
      </w:r>
      <w:r w:rsidR="007239A7" w:rsidRPr="00C42DF0">
        <w:rPr>
          <w:sz w:val="22"/>
          <w:szCs w:val="22"/>
          <w:lang w:val="en-GB"/>
        </w:rPr>
        <w:t xml:space="preserve">Department of Infectious and Tropical Diseases (SMIT) of Fann Teaching Hospital, </w:t>
      </w:r>
      <w:r w:rsidR="009531A7" w:rsidRPr="00C42DF0">
        <w:rPr>
          <w:sz w:val="22"/>
          <w:szCs w:val="22"/>
          <w:lang w:val="en-GB"/>
        </w:rPr>
        <w:t>2010-2021 (n = 938)</w:t>
      </w:r>
    </w:p>
    <w:tbl>
      <w:tblPr>
        <w:tblStyle w:val="LightShading"/>
        <w:tblW w:w="0" w:type="auto"/>
        <w:tblBorders>
          <w:top w:val="none" w:sz="0" w:space="0" w:color="auto"/>
          <w:bottom w:val="none" w:sz="0" w:space="0" w:color="auto"/>
        </w:tblBorders>
        <w:tblLook w:val="06A0" w:firstRow="1" w:lastRow="0" w:firstColumn="1" w:lastColumn="0" w:noHBand="1" w:noVBand="1"/>
      </w:tblPr>
      <w:tblGrid>
        <w:gridCol w:w="3261"/>
        <w:gridCol w:w="992"/>
        <w:gridCol w:w="1803"/>
        <w:gridCol w:w="3016"/>
      </w:tblGrid>
      <w:tr w:rsidR="009531A7" w:rsidRPr="00C42DF0" w14:paraId="1FE8FEFB" w14:textId="77777777" w:rsidTr="00723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12" w:space="0" w:color="auto"/>
              <w:bottom w:val="single" w:sz="12" w:space="0" w:color="auto"/>
            </w:tcBorders>
          </w:tcPr>
          <w:p w14:paraId="4CD128BB" w14:textId="77777777" w:rsidR="009531A7" w:rsidRPr="00C42DF0" w:rsidRDefault="009531A7" w:rsidP="00E4188C">
            <w:pPr>
              <w:spacing w:line="276" w:lineRule="auto"/>
              <w:jc w:val="both"/>
              <w:rPr>
                <w:rFonts w:ascii="Times New Roman" w:hAnsi="Times New Roman" w:cs="Times New Roman"/>
                <w:color w:val="auto"/>
                <w:lang w:val="fr-SN"/>
              </w:rPr>
            </w:pPr>
            <w:r w:rsidRPr="00C42DF0">
              <w:rPr>
                <w:rFonts w:ascii="Times New Roman" w:hAnsi="Times New Roman" w:cs="Times New Roman"/>
                <w:color w:val="auto"/>
                <w:lang w:val="fr-SN"/>
              </w:rPr>
              <w:t>Socio</w:t>
            </w:r>
            <w:r w:rsidR="007239A7" w:rsidRPr="00C42DF0">
              <w:rPr>
                <w:rFonts w:ascii="Times New Roman" w:hAnsi="Times New Roman" w:cs="Times New Roman"/>
                <w:color w:val="auto"/>
                <w:lang w:val="fr-SN"/>
              </w:rPr>
              <w:t>-demographic</w:t>
            </w:r>
          </w:p>
          <w:p w14:paraId="067A9336" w14:textId="6C9BB506" w:rsidR="007239A7" w:rsidRPr="00C42DF0" w:rsidRDefault="007239A7" w:rsidP="00E4188C">
            <w:pPr>
              <w:spacing w:line="276" w:lineRule="auto"/>
              <w:jc w:val="both"/>
              <w:rPr>
                <w:rFonts w:ascii="Times New Roman" w:hAnsi="Times New Roman" w:cs="Times New Roman"/>
                <w:color w:val="auto"/>
                <w:lang w:val="fr-SN"/>
              </w:rPr>
            </w:pPr>
            <w:r w:rsidRPr="00C42DF0">
              <w:rPr>
                <w:rFonts w:ascii="Times New Roman" w:hAnsi="Times New Roman" w:cs="Times New Roman"/>
                <w:color w:val="auto"/>
                <w:lang w:val="fr-SN"/>
              </w:rPr>
              <w:t>characteristics</w:t>
            </w:r>
          </w:p>
        </w:tc>
        <w:tc>
          <w:tcPr>
            <w:tcW w:w="2795" w:type="dxa"/>
            <w:gridSpan w:val="2"/>
            <w:tcBorders>
              <w:top w:val="single" w:sz="12" w:space="0" w:color="auto"/>
              <w:bottom w:val="single" w:sz="12" w:space="0" w:color="auto"/>
            </w:tcBorders>
          </w:tcPr>
          <w:p w14:paraId="276E2A61" w14:textId="020693B0" w:rsidR="009531A7" w:rsidRPr="00C42DF0" w:rsidRDefault="007239A7" w:rsidP="00E4188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lang w:val="fr-SN"/>
              </w:rPr>
              <w:t>Absolute frequency</w:t>
            </w:r>
            <w:r w:rsidR="009531A7" w:rsidRPr="00C42DF0">
              <w:rPr>
                <w:rFonts w:ascii="Times New Roman" w:hAnsi="Times New Roman" w:cs="Times New Roman"/>
                <w:color w:val="auto"/>
                <w:lang w:val="fr-SN"/>
              </w:rPr>
              <w:t xml:space="preserve"> (n)</w:t>
            </w:r>
          </w:p>
        </w:tc>
        <w:tc>
          <w:tcPr>
            <w:tcW w:w="3016" w:type="dxa"/>
            <w:tcBorders>
              <w:top w:val="single" w:sz="12" w:space="0" w:color="auto"/>
              <w:bottom w:val="single" w:sz="12" w:space="0" w:color="auto"/>
            </w:tcBorders>
          </w:tcPr>
          <w:p w14:paraId="485C81B6" w14:textId="7FD4400D" w:rsidR="009531A7" w:rsidRPr="00C42DF0" w:rsidRDefault="007239A7" w:rsidP="00E4188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lang w:val="fr-SN"/>
              </w:rPr>
              <w:t>Relative frequency</w:t>
            </w:r>
            <w:r w:rsidR="009531A7" w:rsidRPr="00C42DF0">
              <w:rPr>
                <w:rFonts w:ascii="Times New Roman" w:hAnsi="Times New Roman" w:cs="Times New Roman"/>
                <w:color w:val="auto"/>
                <w:lang w:val="fr-SN"/>
              </w:rPr>
              <w:t xml:space="preserve"> (%)</w:t>
            </w:r>
          </w:p>
        </w:tc>
      </w:tr>
      <w:tr w:rsidR="009531A7" w:rsidRPr="00C42DF0" w14:paraId="2F681CAE" w14:textId="77777777" w:rsidTr="007239A7">
        <w:tc>
          <w:tcPr>
            <w:cnfStyle w:val="001000000000" w:firstRow="0" w:lastRow="0" w:firstColumn="1" w:lastColumn="0" w:oddVBand="0" w:evenVBand="0" w:oddHBand="0" w:evenHBand="0" w:firstRowFirstColumn="0" w:firstRowLastColumn="0" w:lastRowFirstColumn="0" w:lastRowLastColumn="0"/>
            <w:tcW w:w="3261" w:type="dxa"/>
            <w:tcBorders>
              <w:top w:val="single" w:sz="12" w:space="0" w:color="auto"/>
            </w:tcBorders>
          </w:tcPr>
          <w:p w14:paraId="488AB12F" w14:textId="0F609E5A" w:rsidR="009531A7" w:rsidRPr="00C42DF0" w:rsidRDefault="007239A7" w:rsidP="00E4188C">
            <w:pPr>
              <w:spacing w:line="276" w:lineRule="auto"/>
              <w:jc w:val="both"/>
              <w:rPr>
                <w:rFonts w:ascii="Times New Roman" w:hAnsi="Times New Roman" w:cs="Times New Roman"/>
                <w:color w:val="auto"/>
                <w:lang w:val="fr-SN"/>
              </w:rPr>
            </w:pPr>
            <w:r w:rsidRPr="00C42DF0">
              <w:rPr>
                <w:rFonts w:ascii="Times New Roman" w:hAnsi="Times New Roman" w:cs="Times New Roman"/>
                <w:color w:val="auto"/>
                <w:lang w:val="fr-SN"/>
              </w:rPr>
              <w:t>Sex</w:t>
            </w:r>
            <w:r w:rsidR="009531A7" w:rsidRPr="00C42DF0">
              <w:rPr>
                <w:rFonts w:ascii="Times New Roman" w:hAnsi="Times New Roman" w:cs="Times New Roman"/>
                <w:color w:val="auto"/>
                <w:lang w:val="fr-SN"/>
              </w:rPr>
              <w:t xml:space="preserve"> </w:t>
            </w:r>
          </w:p>
        </w:tc>
        <w:tc>
          <w:tcPr>
            <w:tcW w:w="2795" w:type="dxa"/>
            <w:gridSpan w:val="2"/>
            <w:tcBorders>
              <w:top w:val="single" w:sz="12" w:space="0" w:color="auto"/>
            </w:tcBorders>
          </w:tcPr>
          <w:p w14:paraId="0BBC354A" w14:textId="77777777" w:rsidR="009531A7" w:rsidRPr="00C42DF0" w:rsidRDefault="009531A7" w:rsidP="00E4188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fr-SN"/>
              </w:rPr>
            </w:pPr>
          </w:p>
        </w:tc>
        <w:tc>
          <w:tcPr>
            <w:tcW w:w="3016" w:type="dxa"/>
            <w:tcBorders>
              <w:top w:val="single" w:sz="12" w:space="0" w:color="auto"/>
            </w:tcBorders>
          </w:tcPr>
          <w:p w14:paraId="4E5509DC" w14:textId="77777777" w:rsidR="009531A7" w:rsidRPr="00C42DF0" w:rsidRDefault="009531A7" w:rsidP="00E4188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iCs/>
                <w:color w:val="auto"/>
                <w:lang w:val="fr-SN"/>
              </w:rPr>
            </w:pPr>
          </w:p>
        </w:tc>
      </w:tr>
      <w:tr w:rsidR="009531A7" w:rsidRPr="00C42DF0" w14:paraId="42F9CF0C" w14:textId="77777777" w:rsidTr="007239A7">
        <w:tc>
          <w:tcPr>
            <w:cnfStyle w:val="001000000000" w:firstRow="0" w:lastRow="0" w:firstColumn="1" w:lastColumn="0" w:oddVBand="0" w:evenVBand="0" w:oddHBand="0" w:evenHBand="0" w:firstRowFirstColumn="0" w:firstRowLastColumn="0" w:lastRowFirstColumn="0" w:lastRowLastColumn="0"/>
            <w:tcW w:w="3261" w:type="dxa"/>
          </w:tcPr>
          <w:p w14:paraId="48211E4B" w14:textId="594F631D" w:rsidR="009531A7" w:rsidRPr="00C42DF0" w:rsidRDefault="007239A7" w:rsidP="00E4188C">
            <w:pPr>
              <w:spacing w:line="276" w:lineRule="auto"/>
              <w:jc w:val="both"/>
              <w:rPr>
                <w:rFonts w:ascii="Times New Roman" w:hAnsi="Times New Roman" w:cs="Times New Roman"/>
                <w:b w:val="0"/>
                <w:bCs w:val="0"/>
                <w:color w:val="auto"/>
                <w:lang w:val="fr-SN"/>
              </w:rPr>
            </w:pPr>
            <w:r w:rsidRPr="00C42DF0">
              <w:rPr>
                <w:rFonts w:ascii="Times New Roman" w:hAnsi="Times New Roman" w:cs="Times New Roman"/>
                <w:b w:val="0"/>
                <w:bCs w:val="0"/>
                <w:color w:val="auto"/>
                <w:lang w:val="fr-SN"/>
              </w:rPr>
              <w:t>Male</w:t>
            </w:r>
          </w:p>
        </w:tc>
        <w:tc>
          <w:tcPr>
            <w:tcW w:w="2795" w:type="dxa"/>
            <w:gridSpan w:val="2"/>
            <w:vAlign w:val="center"/>
          </w:tcPr>
          <w:p w14:paraId="39941058" w14:textId="2FAB9923"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eastAsia="Arial" w:hAnsi="Times New Roman" w:cs="Times New Roman"/>
                <w:color w:val="auto"/>
              </w:rPr>
              <w:t>760</w:t>
            </w:r>
          </w:p>
        </w:tc>
        <w:tc>
          <w:tcPr>
            <w:tcW w:w="3016" w:type="dxa"/>
            <w:vAlign w:val="center"/>
          </w:tcPr>
          <w:p w14:paraId="0043C56E" w14:textId="73EEAD2A"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81.02</w:t>
            </w:r>
          </w:p>
        </w:tc>
      </w:tr>
      <w:tr w:rsidR="009531A7" w:rsidRPr="00C42DF0" w14:paraId="51FAF219" w14:textId="77777777" w:rsidTr="007239A7">
        <w:tc>
          <w:tcPr>
            <w:cnfStyle w:val="001000000000" w:firstRow="0" w:lastRow="0" w:firstColumn="1" w:lastColumn="0" w:oddVBand="0" w:evenVBand="0" w:oddHBand="0" w:evenHBand="0" w:firstRowFirstColumn="0" w:firstRowLastColumn="0" w:lastRowFirstColumn="0" w:lastRowLastColumn="0"/>
            <w:tcW w:w="3261" w:type="dxa"/>
          </w:tcPr>
          <w:p w14:paraId="0488E125" w14:textId="0CC1AF3F" w:rsidR="009531A7" w:rsidRPr="00C42DF0" w:rsidRDefault="007239A7" w:rsidP="00E4188C">
            <w:pPr>
              <w:spacing w:line="276" w:lineRule="auto"/>
              <w:jc w:val="both"/>
              <w:rPr>
                <w:rFonts w:ascii="Times New Roman" w:hAnsi="Times New Roman" w:cs="Times New Roman"/>
                <w:b w:val="0"/>
                <w:bCs w:val="0"/>
                <w:color w:val="auto"/>
                <w:lang w:val="fr-SN"/>
              </w:rPr>
            </w:pPr>
            <w:r w:rsidRPr="00C42DF0">
              <w:rPr>
                <w:rFonts w:ascii="Times New Roman" w:hAnsi="Times New Roman" w:cs="Times New Roman"/>
                <w:b w:val="0"/>
                <w:bCs w:val="0"/>
                <w:color w:val="auto"/>
                <w:lang w:val="fr-SN"/>
              </w:rPr>
              <w:t>Female</w:t>
            </w:r>
          </w:p>
        </w:tc>
        <w:tc>
          <w:tcPr>
            <w:tcW w:w="2795" w:type="dxa"/>
            <w:gridSpan w:val="2"/>
            <w:vAlign w:val="center"/>
          </w:tcPr>
          <w:p w14:paraId="12320BE1" w14:textId="0711EA92"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rPr>
              <w:t>178</w:t>
            </w:r>
          </w:p>
        </w:tc>
        <w:tc>
          <w:tcPr>
            <w:tcW w:w="3016" w:type="dxa"/>
            <w:vAlign w:val="center"/>
          </w:tcPr>
          <w:p w14:paraId="24FE7C80" w14:textId="7B972A38"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18.98</w:t>
            </w:r>
          </w:p>
        </w:tc>
      </w:tr>
      <w:tr w:rsidR="009531A7" w:rsidRPr="00C42DF0" w14:paraId="1CBE7319" w14:textId="77777777" w:rsidTr="007239A7">
        <w:tc>
          <w:tcPr>
            <w:cnfStyle w:val="001000000000" w:firstRow="0" w:lastRow="0" w:firstColumn="1" w:lastColumn="0" w:oddVBand="0" w:evenVBand="0" w:oddHBand="0" w:evenHBand="0" w:firstRowFirstColumn="0" w:firstRowLastColumn="0" w:lastRowFirstColumn="0" w:lastRowLastColumn="0"/>
            <w:tcW w:w="3261" w:type="dxa"/>
          </w:tcPr>
          <w:p w14:paraId="23267A62" w14:textId="275EA5F9" w:rsidR="009531A7" w:rsidRPr="00C42DF0" w:rsidRDefault="009531A7" w:rsidP="00E4188C">
            <w:pPr>
              <w:spacing w:line="276" w:lineRule="auto"/>
              <w:jc w:val="both"/>
              <w:rPr>
                <w:rFonts w:ascii="Times New Roman" w:hAnsi="Times New Roman" w:cs="Times New Roman"/>
                <w:color w:val="auto"/>
                <w:lang w:val="fr-SN"/>
              </w:rPr>
            </w:pPr>
            <w:r w:rsidRPr="00C42DF0">
              <w:rPr>
                <w:rFonts w:ascii="Times New Roman" w:hAnsi="Times New Roman" w:cs="Times New Roman"/>
                <w:color w:val="auto"/>
                <w:lang w:val="fr-SN"/>
              </w:rPr>
              <w:t xml:space="preserve">Age </w:t>
            </w:r>
            <w:r w:rsidR="007239A7" w:rsidRPr="00C42DF0">
              <w:rPr>
                <w:rFonts w:ascii="Times New Roman" w:hAnsi="Times New Roman" w:cs="Times New Roman"/>
                <w:color w:val="auto"/>
                <w:lang w:val="fr-SN"/>
              </w:rPr>
              <w:t>(years)</w:t>
            </w:r>
          </w:p>
        </w:tc>
        <w:tc>
          <w:tcPr>
            <w:tcW w:w="2795" w:type="dxa"/>
            <w:gridSpan w:val="2"/>
          </w:tcPr>
          <w:p w14:paraId="1631B827"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p>
        </w:tc>
        <w:tc>
          <w:tcPr>
            <w:tcW w:w="3016" w:type="dxa"/>
          </w:tcPr>
          <w:p w14:paraId="0C726CA3"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p>
        </w:tc>
      </w:tr>
      <w:tr w:rsidR="009531A7" w:rsidRPr="00C42DF0" w14:paraId="7384BD87"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51523D4E" w14:textId="14609963" w:rsidR="009531A7" w:rsidRPr="00C42DF0" w:rsidRDefault="009531A7" w:rsidP="00E4188C">
            <w:pPr>
              <w:spacing w:line="276" w:lineRule="auto"/>
              <w:jc w:val="both"/>
              <w:rPr>
                <w:rFonts w:ascii="Times New Roman" w:hAnsi="Times New Roman" w:cs="Times New Roman"/>
                <w:b w:val="0"/>
                <w:bCs w:val="0"/>
                <w:color w:val="auto"/>
                <w:lang w:val="fr-SN"/>
              </w:rPr>
            </w:pPr>
            <w:r w:rsidRPr="00C42DF0">
              <w:rPr>
                <w:rFonts w:ascii="Times New Roman" w:eastAsia="Arial" w:hAnsi="Times New Roman" w:cs="Times New Roman"/>
                <w:b w:val="0"/>
                <w:bCs w:val="0"/>
                <w:color w:val="auto"/>
              </w:rPr>
              <w:t>[</w:t>
            </w:r>
            <w:r w:rsidR="00A21CD4" w:rsidRPr="00C42DF0">
              <w:rPr>
                <w:rFonts w:ascii="Times New Roman" w:eastAsia="Arial" w:hAnsi="Times New Roman" w:cs="Times New Roman"/>
                <w:b w:val="0"/>
                <w:bCs w:val="0"/>
                <w:color w:val="auto"/>
              </w:rPr>
              <w:t>1</w:t>
            </w:r>
            <w:r w:rsidRPr="00C42DF0">
              <w:rPr>
                <w:rFonts w:ascii="Times New Roman" w:eastAsia="Arial" w:hAnsi="Times New Roman" w:cs="Times New Roman"/>
                <w:b w:val="0"/>
                <w:bCs w:val="0"/>
                <w:color w:val="auto"/>
              </w:rPr>
              <w:t>-1</w:t>
            </w:r>
            <w:r w:rsidR="00A21CD4" w:rsidRPr="00C42DF0">
              <w:rPr>
                <w:rFonts w:ascii="Times New Roman" w:eastAsia="Arial" w:hAnsi="Times New Roman" w:cs="Times New Roman"/>
                <w:b w:val="0"/>
                <w:bCs w:val="0"/>
                <w:color w:val="auto"/>
              </w:rPr>
              <w:t>0[</w:t>
            </w:r>
          </w:p>
        </w:tc>
        <w:tc>
          <w:tcPr>
            <w:tcW w:w="2795" w:type="dxa"/>
            <w:gridSpan w:val="2"/>
            <w:vAlign w:val="center"/>
          </w:tcPr>
          <w:p w14:paraId="5B06AE27" w14:textId="6668E6A8"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rPr>
              <w:t>171</w:t>
            </w:r>
          </w:p>
        </w:tc>
        <w:tc>
          <w:tcPr>
            <w:tcW w:w="3016" w:type="dxa"/>
            <w:vAlign w:val="center"/>
          </w:tcPr>
          <w:p w14:paraId="2A53FFB0" w14:textId="5AB202E3"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18.23</w:t>
            </w:r>
          </w:p>
        </w:tc>
      </w:tr>
      <w:tr w:rsidR="009531A7" w:rsidRPr="00C42DF0" w14:paraId="2B48372F"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4667E5E5" w14:textId="70949A6B" w:rsidR="009531A7" w:rsidRPr="00C42DF0" w:rsidRDefault="009531A7" w:rsidP="00E4188C">
            <w:pPr>
              <w:spacing w:line="276" w:lineRule="auto"/>
              <w:jc w:val="both"/>
              <w:rPr>
                <w:rFonts w:ascii="Times New Roman" w:hAnsi="Times New Roman" w:cs="Times New Roman"/>
                <w:b w:val="0"/>
                <w:bCs w:val="0"/>
                <w:color w:val="auto"/>
                <w:lang w:val="fr-SN"/>
              </w:rPr>
            </w:pPr>
            <w:r w:rsidRPr="00C42DF0">
              <w:rPr>
                <w:rFonts w:ascii="Times New Roman" w:eastAsia="Arial" w:hAnsi="Times New Roman" w:cs="Times New Roman"/>
                <w:b w:val="0"/>
                <w:bCs w:val="0"/>
                <w:color w:val="auto"/>
              </w:rPr>
              <w:t>[1</w:t>
            </w:r>
            <w:r w:rsidR="00A21CD4" w:rsidRPr="00C42DF0">
              <w:rPr>
                <w:rFonts w:ascii="Times New Roman" w:eastAsia="Arial" w:hAnsi="Times New Roman" w:cs="Times New Roman"/>
                <w:b w:val="0"/>
                <w:bCs w:val="0"/>
                <w:color w:val="auto"/>
              </w:rPr>
              <w:t>0</w:t>
            </w:r>
            <w:r w:rsidRPr="00C42DF0">
              <w:rPr>
                <w:rFonts w:ascii="Times New Roman" w:eastAsia="Arial" w:hAnsi="Times New Roman" w:cs="Times New Roman"/>
                <w:b w:val="0"/>
                <w:bCs w:val="0"/>
                <w:color w:val="auto"/>
              </w:rPr>
              <w:t>-2</w:t>
            </w:r>
            <w:r w:rsidR="00A21CD4" w:rsidRPr="00C42DF0">
              <w:rPr>
                <w:rFonts w:ascii="Times New Roman" w:eastAsia="Arial" w:hAnsi="Times New Roman" w:cs="Times New Roman"/>
                <w:b w:val="0"/>
                <w:bCs w:val="0"/>
                <w:color w:val="auto"/>
              </w:rPr>
              <w:t>0[</w:t>
            </w:r>
          </w:p>
        </w:tc>
        <w:tc>
          <w:tcPr>
            <w:tcW w:w="2795" w:type="dxa"/>
            <w:gridSpan w:val="2"/>
            <w:vAlign w:val="center"/>
          </w:tcPr>
          <w:p w14:paraId="1AEB53CA" w14:textId="1FA0002E"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rPr>
              <w:t>227</w:t>
            </w:r>
          </w:p>
        </w:tc>
        <w:tc>
          <w:tcPr>
            <w:tcW w:w="3016" w:type="dxa"/>
            <w:vAlign w:val="center"/>
          </w:tcPr>
          <w:p w14:paraId="50FA3ECE" w14:textId="04CE3898"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2</w:t>
            </w:r>
            <w:r w:rsidR="00A21CD4" w:rsidRPr="00C42DF0">
              <w:rPr>
                <w:rFonts w:ascii="Times New Roman" w:eastAsia="Arial" w:hAnsi="Times New Roman" w:cs="Times New Roman"/>
                <w:i/>
                <w:iCs/>
                <w:color w:val="auto"/>
              </w:rPr>
              <w:t>4</w:t>
            </w:r>
            <w:r w:rsidRPr="00C42DF0">
              <w:rPr>
                <w:rFonts w:ascii="Times New Roman" w:eastAsia="Arial" w:hAnsi="Times New Roman" w:cs="Times New Roman"/>
                <w:i/>
                <w:iCs/>
                <w:color w:val="auto"/>
              </w:rPr>
              <w:t>.</w:t>
            </w:r>
            <w:r w:rsidR="00A21CD4" w:rsidRPr="00C42DF0">
              <w:rPr>
                <w:rFonts w:ascii="Times New Roman" w:eastAsia="Arial" w:hAnsi="Times New Roman" w:cs="Times New Roman"/>
                <w:i/>
                <w:iCs/>
                <w:color w:val="auto"/>
              </w:rPr>
              <w:t>2</w:t>
            </w:r>
            <w:r w:rsidRPr="00C42DF0">
              <w:rPr>
                <w:rFonts w:ascii="Times New Roman" w:eastAsia="Arial" w:hAnsi="Times New Roman" w:cs="Times New Roman"/>
                <w:i/>
                <w:iCs/>
                <w:color w:val="auto"/>
              </w:rPr>
              <w:t>0</w:t>
            </w:r>
          </w:p>
        </w:tc>
      </w:tr>
      <w:tr w:rsidR="009531A7" w:rsidRPr="00C42DF0" w14:paraId="54D2F409"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0C79D175" w14:textId="448A5710" w:rsidR="009531A7" w:rsidRPr="00C42DF0" w:rsidRDefault="009531A7" w:rsidP="00E4188C">
            <w:pPr>
              <w:spacing w:line="276" w:lineRule="auto"/>
              <w:jc w:val="both"/>
              <w:rPr>
                <w:rFonts w:ascii="Times New Roman" w:hAnsi="Times New Roman" w:cs="Times New Roman"/>
                <w:b w:val="0"/>
                <w:bCs w:val="0"/>
                <w:color w:val="auto"/>
                <w:lang w:val="fr-SN"/>
              </w:rPr>
            </w:pPr>
            <w:r w:rsidRPr="00C42DF0">
              <w:rPr>
                <w:rFonts w:ascii="Times New Roman" w:eastAsia="Arial" w:hAnsi="Times New Roman" w:cs="Times New Roman"/>
                <w:b w:val="0"/>
                <w:bCs w:val="0"/>
                <w:color w:val="auto"/>
              </w:rPr>
              <w:t>[</w:t>
            </w:r>
            <w:r w:rsidR="00A21CD4" w:rsidRPr="00C42DF0">
              <w:rPr>
                <w:rFonts w:ascii="Times New Roman" w:eastAsia="Arial" w:hAnsi="Times New Roman" w:cs="Times New Roman"/>
                <w:b w:val="0"/>
                <w:bCs w:val="0"/>
                <w:color w:val="auto"/>
              </w:rPr>
              <w:t>2</w:t>
            </w:r>
            <w:r w:rsidRPr="00C42DF0">
              <w:rPr>
                <w:rFonts w:ascii="Times New Roman" w:eastAsia="Arial" w:hAnsi="Times New Roman" w:cs="Times New Roman"/>
                <w:b w:val="0"/>
                <w:bCs w:val="0"/>
                <w:color w:val="auto"/>
              </w:rPr>
              <w:t>0-</w:t>
            </w:r>
            <w:r w:rsidR="00A21CD4" w:rsidRPr="00C42DF0">
              <w:rPr>
                <w:rFonts w:ascii="Times New Roman" w:eastAsia="Arial" w:hAnsi="Times New Roman" w:cs="Times New Roman"/>
                <w:b w:val="0"/>
                <w:bCs w:val="0"/>
                <w:color w:val="auto"/>
              </w:rPr>
              <w:t>30[</w:t>
            </w:r>
          </w:p>
        </w:tc>
        <w:tc>
          <w:tcPr>
            <w:tcW w:w="2795" w:type="dxa"/>
            <w:gridSpan w:val="2"/>
            <w:vAlign w:val="center"/>
          </w:tcPr>
          <w:p w14:paraId="38651EA4" w14:textId="48622048"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eastAsia="Arial" w:hAnsi="Times New Roman" w:cs="Times New Roman"/>
                <w:color w:val="auto"/>
              </w:rPr>
              <w:t>119</w:t>
            </w:r>
          </w:p>
        </w:tc>
        <w:tc>
          <w:tcPr>
            <w:tcW w:w="3016" w:type="dxa"/>
            <w:vAlign w:val="center"/>
          </w:tcPr>
          <w:p w14:paraId="1A5548B4" w14:textId="4C845E3C"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1</w:t>
            </w:r>
            <w:r w:rsidR="007D52AE" w:rsidRPr="00C42DF0">
              <w:rPr>
                <w:rFonts w:ascii="Times New Roman" w:eastAsia="Arial" w:hAnsi="Times New Roman" w:cs="Times New Roman"/>
                <w:i/>
                <w:iCs/>
                <w:color w:val="auto"/>
              </w:rPr>
              <w:t>2</w:t>
            </w:r>
            <w:r w:rsidRPr="00C42DF0">
              <w:rPr>
                <w:rFonts w:ascii="Times New Roman" w:eastAsia="Arial" w:hAnsi="Times New Roman" w:cs="Times New Roman"/>
                <w:i/>
                <w:iCs/>
                <w:color w:val="auto"/>
              </w:rPr>
              <w:t>.</w:t>
            </w:r>
            <w:r w:rsidR="007D52AE" w:rsidRPr="00C42DF0">
              <w:rPr>
                <w:rFonts w:ascii="Times New Roman" w:eastAsia="Arial" w:hAnsi="Times New Roman" w:cs="Times New Roman"/>
                <w:i/>
                <w:iCs/>
                <w:color w:val="auto"/>
              </w:rPr>
              <w:t>68</w:t>
            </w:r>
          </w:p>
        </w:tc>
      </w:tr>
      <w:tr w:rsidR="009531A7" w:rsidRPr="00C42DF0" w14:paraId="54376371"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3BE8E485" w14:textId="0F02A8EC" w:rsidR="009531A7" w:rsidRPr="00C42DF0" w:rsidRDefault="009531A7" w:rsidP="00E4188C">
            <w:pPr>
              <w:spacing w:line="276" w:lineRule="auto"/>
              <w:jc w:val="both"/>
              <w:rPr>
                <w:rFonts w:ascii="Times New Roman" w:eastAsia="Arial" w:hAnsi="Times New Roman" w:cs="Times New Roman"/>
                <w:b w:val="0"/>
                <w:bCs w:val="0"/>
                <w:color w:val="auto"/>
              </w:rPr>
            </w:pPr>
            <w:r w:rsidRPr="00C42DF0">
              <w:rPr>
                <w:rFonts w:ascii="Times New Roman" w:eastAsia="Arial" w:hAnsi="Times New Roman" w:cs="Times New Roman"/>
                <w:b w:val="0"/>
                <w:bCs w:val="0"/>
                <w:color w:val="auto"/>
              </w:rPr>
              <w:t>[</w:t>
            </w:r>
            <w:r w:rsidR="00A21CD4" w:rsidRPr="00C42DF0">
              <w:rPr>
                <w:rFonts w:ascii="Times New Roman" w:eastAsia="Arial" w:hAnsi="Times New Roman" w:cs="Times New Roman"/>
                <w:b w:val="0"/>
                <w:bCs w:val="0"/>
                <w:color w:val="auto"/>
              </w:rPr>
              <w:t>30</w:t>
            </w:r>
            <w:r w:rsidRPr="00C42DF0">
              <w:rPr>
                <w:rFonts w:ascii="Times New Roman" w:eastAsia="Arial" w:hAnsi="Times New Roman" w:cs="Times New Roman"/>
                <w:b w:val="0"/>
                <w:bCs w:val="0"/>
                <w:color w:val="auto"/>
              </w:rPr>
              <w:t>-</w:t>
            </w:r>
            <w:r w:rsidR="00A21CD4" w:rsidRPr="00C42DF0">
              <w:rPr>
                <w:rFonts w:ascii="Times New Roman" w:eastAsia="Arial" w:hAnsi="Times New Roman" w:cs="Times New Roman"/>
                <w:b w:val="0"/>
                <w:bCs w:val="0"/>
                <w:color w:val="auto"/>
              </w:rPr>
              <w:t>40[</w:t>
            </w:r>
          </w:p>
        </w:tc>
        <w:tc>
          <w:tcPr>
            <w:tcW w:w="2795" w:type="dxa"/>
            <w:gridSpan w:val="2"/>
            <w:vAlign w:val="center"/>
          </w:tcPr>
          <w:p w14:paraId="7093A7B1" w14:textId="163D8AC0"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109</w:t>
            </w:r>
          </w:p>
        </w:tc>
        <w:tc>
          <w:tcPr>
            <w:tcW w:w="3016" w:type="dxa"/>
            <w:vAlign w:val="center"/>
          </w:tcPr>
          <w:p w14:paraId="6B952849" w14:textId="0EB15555"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1</w:t>
            </w:r>
            <w:r w:rsidR="007D52AE" w:rsidRPr="00C42DF0">
              <w:rPr>
                <w:rFonts w:ascii="Times New Roman" w:eastAsia="Arial" w:hAnsi="Times New Roman" w:cs="Times New Roman"/>
                <w:i/>
                <w:iCs/>
                <w:color w:val="auto"/>
              </w:rPr>
              <w:t>1</w:t>
            </w:r>
            <w:r w:rsidRPr="00C42DF0">
              <w:rPr>
                <w:rFonts w:ascii="Times New Roman" w:eastAsia="Arial" w:hAnsi="Times New Roman" w:cs="Times New Roman"/>
                <w:i/>
                <w:iCs/>
                <w:color w:val="auto"/>
              </w:rPr>
              <w:t>.</w:t>
            </w:r>
            <w:r w:rsidR="007D52AE" w:rsidRPr="00C42DF0">
              <w:rPr>
                <w:rFonts w:ascii="Times New Roman" w:eastAsia="Arial" w:hAnsi="Times New Roman" w:cs="Times New Roman"/>
                <w:i/>
                <w:iCs/>
                <w:color w:val="auto"/>
              </w:rPr>
              <w:t>62</w:t>
            </w:r>
          </w:p>
        </w:tc>
      </w:tr>
      <w:tr w:rsidR="009531A7" w:rsidRPr="00C42DF0" w14:paraId="27ADB025"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6BEEC7AE" w14:textId="34126B18" w:rsidR="009531A7" w:rsidRPr="00C42DF0" w:rsidRDefault="00A21CD4" w:rsidP="00E4188C">
            <w:pPr>
              <w:spacing w:line="276" w:lineRule="auto"/>
              <w:jc w:val="both"/>
              <w:rPr>
                <w:rFonts w:ascii="Times New Roman" w:eastAsia="Arial" w:hAnsi="Times New Roman" w:cs="Times New Roman"/>
                <w:b w:val="0"/>
                <w:bCs w:val="0"/>
                <w:color w:val="auto"/>
              </w:rPr>
            </w:pPr>
            <w:r w:rsidRPr="00C42DF0">
              <w:rPr>
                <w:rFonts w:ascii="Times New Roman" w:eastAsia="Arial" w:hAnsi="Times New Roman" w:cs="Times New Roman"/>
                <w:b w:val="0"/>
                <w:bCs w:val="0"/>
                <w:color w:val="auto"/>
              </w:rPr>
              <w:t>[40-50[</w:t>
            </w:r>
          </w:p>
        </w:tc>
        <w:tc>
          <w:tcPr>
            <w:tcW w:w="2795" w:type="dxa"/>
            <w:gridSpan w:val="2"/>
            <w:vAlign w:val="center"/>
          </w:tcPr>
          <w:p w14:paraId="426F520D" w14:textId="5FBDE637" w:rsidR="009531A7"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108</w:t>
            </w:r>
          </w:p>
        </w:tc>
        <w:tc>
          <w:tcPr>
            <w:tcW w:w="3016" w:type="dxa"/>
            <w:vAlign w:val="center"/>
          </w:tcPr>
          <w:p w14:paraId="43AB8F85" w14:textId="7C8470DC"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1</w:t>
            </w:r>
            <w:r w:rsidR="007D52AE" w:rsidRPr="00C42DF0">
              <w:rPr>
                <w:rFonts w:ascii="Times New Roman" w:eastAsia="Arial" w:hAnsi="Times New Roman" w:cs="Times New Roman"/>
                <w:i/>
                <w:iCs/>
                <w:color w:val="auto"/>
              </w:rPr>
              <w:t>1</w:t>
            </w:r>
            <w:r w:rsidRPr="00C42DF0">
              <w:rPr>
                <w:rFonts w:ascii="Times New Roman" w:eastAsia="Arial" w:hAnsi="Times New Roman" w:cs="Times New Roman"/>
                <w:i/>
                <w:iCs/>
                <w:color w:val="auto"/>
              </w:rPr>
              <w:t>.</w:t>
            </w:r>
            <w:r w:rsidR="007D52AE" w:rsidRPr="00C42DF0">
              <w:rPr>
                <w:rFonts w:ascii="Times New Roman" w:eastAsia="Arial" w:hAnsi="Times New Roman" w:cs="Times New Roman"/>
                <w:i/>
                <w:iCs/>
                <w:color w:val="auto"/>
              </w:rPr>
              <w:t>51</w:t>
            </w:r>
          </w:p>
        </w:tc>
      </w:tr>
      <w:tr w:rsidR="00A21CD4" w:rsidRPr="00C42DF0" w14:paraId="5E30B1D7"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698361FB" w14:textId="2F54C574" w:rsidR="00A21CD4" w:rsidRPr="00C42DF0" w:rsidRDefault="00A21CD4" w:rsidP="00E4188C">
            <w:pPr>
              <w:spacing w:line="276" w:lineRule="auto"/>
              <w:jc w:val="both"/>
              <w:rPr>
                <w:rFonts w:ascii="Times New Roman" w:eastAsia="Arial" w:hAnsi="Times New Roman" w:cs="Times New Roman"/>
                <w:color w:val="auto"/>
              </w:rPr>
            </w:pPr>
            <w:r w:rsidRPr="00C42DF0">
              <w:rPr>
                <w:rFonts w:ascii="Times New Roman" w:eastAsia="Arial" w:hAnsi="Times New Roman" w:cs="Times New Roman"/>
                <w:b w:val="0"/>
                <w:bCs w:val="0"/>
                <w:color w:val="auto"/>
              </w:rPr>
              <w:t>[50-60[</w:t>
            </w:r>
          </w:p>
        </w:tc>
        <w:tc>
          <w:tcPr>
            <w:tcW w:w="2795" w:type="dxa"/>
            <w:gridSpan w:val="2"/>
            <w:vAlign w:val="center"/>
          </w:tcPr>
          <w:p w14:paraId="7052C9D3" w14:textId="11152231" w:rsidR="00A21CD4"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94</w:t>
            </w:r>
          </w:p>
        </w:tc>
        <w:tc>
          <w:tcPr>
            <w:tcW w:w="3016" w:type="dxa"/>
            <w:vAlign w:val="center"/>
          </w:tcPr>
          <w:p w14:paraId="33159638" w14:textId="689A9D65" w:rsidR="00A21CD4"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10.02</w:t>
            </w:r>
          </w:p>
        </w:tc>
      </w:tr>
      <w:tr w:rsidR="00A21CD4" w:rsidRPr="00C42DF0" w14:paraId="15638723"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23B001D8" w14:textId="29B66477" w:rsidR="00A21CD4" w:rsidRPr="00C42DF0" w:rsidRDefault="00A21CD4" w:rsidP="00E4188C">
            <w:pPr>
              <w:spacing w:line="276" w:lineRule="auto"/>
              <w:jc w:val="both"/>
              <w:rPr>
                <w:rFonts w:ascii="Times New Roman" w:eastAsia="Arial" w:hAnsi="Times New Roman" w:cs="Times New Roman"/>
                <w:color w:val="auto"/>
              </w:rPr>
            </w:pPr>
            <w:r w:rsidRPr="00C42DF0">
              <w:rPr>
                <w:rFonts w:ascii="Times New Roman" w:eastAsia="Arial" w:hAnsi="Times New Roman" w:cs="Times New Roman"/>
                <w:b w:val="0"/>
                <w:bCs w:val="0"/>
                <w:color w:val="auto"/>
              </w:rPr>
              <w:t>[60-70[</w:t>
            </w:r>
          </w:p>
        </w:tc>
        <w:tc>
          <w:tcPr>
            <w:tcW w:w="2795" w:type="dxa"/>
            <w:gridSpan w:val="2"/>
            <w:vAlign w:val="center"/>
          </w:tcPr>
          <w:p w14:paraId="3243910A" w14:textId="4BB911B7" w:rsidR="00A21CD4"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53</w:t>
            </w:r>
          </w:p>
        </w:tc>
        <w:tc>
          <w:tcPr>
            <w:tcW w:w="3016" w:type="dxa"/>
            <w:vAlign w:val="center"/>
          </w:tcPr>
          <w:p w14:paraId="651FF0BE" w14:textId="246A00A9" w:rsidR="00A21CD4"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5.65</w:t>
            </w:r>
          </w:p>
        </w:tc>
      </w:tr>
      <w:tr w:rsidR="00A21CD4" w:rsidRPr="00C42DF0" w14:paraId="1491FA76"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71605AB9" w14:textId="2DFCF39C" w:rsidR="00A21CD4" w:rsidRPr="00C42DF0" w:rsidRDefault="007239A7" w:rsidP="00E4188C">
            <w:pPr>
              <w:pStyle w:val="p1"/>
              <w:spacing w:line="276" w:lineRule="auto"/>
              <w:jc w:val="both"/>
              <w:rPr>
                <w:b w:val="0"/>
                <w:bCs w:val="0"/>
                <w:color w:val="auto"/>
                <w:sz w:val="22"/>
                <w:szCs w:val="22"/>
              </w:rPr>
            </w:pPr>
            <w:r w:rsidRPr="00C42DF0">
              <w:rPr>
                <w:b w:val="0"/>
                <w:bCs w:val="0"/>
                <w:color w:val="auto"/>
                <w:sz w:val="22"/>
                <w:szCs w:val="22"/>
              </w:rPr>
              <w:t>≥ 70</w:t>
            </w:r>
          </w:p>
        </w:tc>
        <w:tc>
          <w:tcPr>
            <w:tcW w:w="2795" w:type="dxa"/>
            <w:gridSpan w:val="2"/>
            <w:vAlign w:val="center"/>
          </w:tcPr>
          <w:p w14:paraId="188555FC" w14:textId="39E84C38" w:rsidR="00A21CD4" w:rsidRPr="00C42DF0" w:rsidRDefault="00A21CD4"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57</w:t>
            </w:r>
          </w:p>
        </w:tc>
        <w:tc>
          <w:tcPr>
            <w:tcW w:w="3016" w:type="dxa"/>
            <w:vAlign w:val="center"/>
          </w:tcPr>
          <w:p w14:paraId="4E4051E1" w14:textId="39091FCD" w:rsidR="00A21CD4"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6.07</w:t>
            </w:r>
          </w:p>
        </w:tc>
      </w:tr>
      <w:tr w:rsidR="009531A7" w:rsidRPr="00C42DF0" w14:paraId="561B871C" w14:textId="77777777" w:rsidTr="007239A7">
        <w:tc>
          <w:tcPr>
            <w:cnfStyle w:val="001000000000" w:firstRow="0" w:lastRow="0" w:firstColumn="1" w:lastColumn="0" w:oddVBand="0" w:evenVBand="0" w:oddHBand="0" w:evenHBand="0" w:firstRowFirstColumn="0" w:firstRowLastColumn="0" w:lastRowFirstColumn="0" w:lastRowLastColumn="0"/>
            <w:tcW w:w="3261" w:type="dxa"/>
          </w:tcPr>
          <w:p w14:paraId="4D4B3237" w14:textId="21A89A3C" w:rsidR="009531A7" w:rsidRPr="00C42DF0" w:rsidRDefault="007239A7" w:rsidP="00E4188C">
            <w:pPr>
              <w:spacing w:line="276" w:lineRule="auto"/>
              <w:jc w:val="both"/>
              <w:rPr>
                <w:rFonts w:ascii="Times New Roman" w:hAnsi="Times New Roman" w:cs="Times New Roman"/>
                <w:color w:val="auto"/>
                <w:lang w:val="fr-SN"/>
              </w:rPr>
            </w:pPr>
            <w:r w:rsidRPr="00C42DF0">
              <w:rPr>
                <w:rFonts w:ascii="Times New Roman" w:hAnsi="Times New Roman" w:cs="Times New Roman"/>
                <w:color w:val="auto"/>
                <w:lang w:val="fr-SN"/>
              </w:rPr>
              <w:t>Level of education</w:t>
            </w:r>
          </w:p>
        </w:tc>
        <w:tc>
          <w:tcPr>
            <w:tcW w:w="2795" w:type="dxa"/>
            <w:gridSpan w:val="2"/>
          </w:tcPr>
          <w:p w14:paraId="58D2395A"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p>
        </w:tc>
        <w:tc>
          <w:tcPr>
            <w:tcW w:w="3016" w:type="dxa"/>
          </w:tcPr>
          <w:p w14:paraId="13EF1594"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p>
        </w:tc>
      </w:tr>
      <w:tr w:rsidR="009531A7" w:rsidRPr="00C42DF0" w14:paraId="63C7444C"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791B2DC9" w14:textId="49DAED63" w:rsidR="009531A7" w:rsidRPr="00C42DF0" w:rsidRDefault="007239A7" w:rsidP="00E4188C">
            <w:pPr>
              <w:spacing w:line="276" w:lineRule="auto"/>
              <w:jc w:val="both"/>
              <w:rPr>
                <w:rFonts w:ascii="Times New Roman" w:hAnsi="Times New Roman" w:cs="Times New Roman"/>
                <w:b w:val="0"/>
                <w:bCs w:val="0"/>
                <w:color w:val="auto"/>
                <w:lang w:val="fr-SN"/>
              </w:rPr>
            </w:pPr>
            <w:r w:rsidRPr="00C42DF0">
              <w:rPr>
                <w:rFonts w:ascii="Times New Roman" w:eastAsia="Arial" w:hAnsi="Times New Roman" w:cs="Times New Roman"/>
                <w:b w:val="0"/>
                <w:bCs w:val="0"/>
                <w:color w:val="auto"/>
              </w:rPr>
              <w:t>Primary school</w:t>
            </w:r>
          </w:p>
        </w:tc>
        <w:tc>
          <w:tcPr>
            <w:tcW w:w="2795" w:type="dxa"/>
            <w:gridSpan w:val="2"/>
            <w:vAlign w:val="center"/>
          </w:tcPr>
          <w:p w14:paraId="22B87873" w14:textId="79AB2525" w:rsidR="009531A7"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eastAsia="Arial" w:hAnsi="Times New Roman" w:cs="Times New Roman"/>
                <w:color w:val="auto"/>
              </w:rPr>
              <w:t>2</w:t>
            </w:r>
            <w:r w:rsidR="009531A7" w:rsidRPr="00C42DF0">
              <w:rPr>
                <w:rFonts w:ascii="Times New Roman" w:eastAsia="Arial" w:hAnsi="Times New Roman" w:cs="Times New Roman"/>
                <w:color w:val="auto"/>
              </w:rPr>
              <w:t>6</w:t>
            </w:r>
            <w:r w:rsidRPr="00C42DF0">
              <w:rPr>
                <w:rFonts w:ascii="Times New Roman" w:eastAsia="Arial" w:hAnsi="Times New Roman" w:cs="Times New Roman"/>
                <w:color w:val="auto"/>
              </w:rPr>
              <w:t>1</w:t>
            </w:r>
          </w:p>
        </w:tc>
        <w:tc>
          <w:tcPr>
            <w:tcW w:w="3016" w:type="dxa"/>
            <w:vAlign w:val="center"/>
          </w:tcPr>
          <w:p w14:paraId="19F193FE" w14:textId="507D1753" w:rsidR="009531A7"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2</w:t>
            </w:r>
            <w:r w:rsidR="009531A7" w:rsidRPr="00C42DF0">
              <w:rPr>
                <w:rFonts w:ascii="Times New Roman" w:eastAsia="Arial" w:hAnsi="Times New Roman" w:cs="Times New Roman"/>
                <w:i/>
                <w:iCs/>
                <w:color w:val="auto"/>
              </w:rPr>
              <w:t>7.</w:t>
            </w:r>
            <w:r w:rsidRPr="00C42DF0">
              <w:rPr>
                <w:rFonts w:ascii="Times New Roman" w:eastAsia="Arial" w:hAnsi="Times New Roman" w:cs="Times New Roman"/>
                <w:i/>
                <w:iCs/>
                <w:color w:val="auto"/>
              </w:rPr>
              <w:t>78</w:t>
            </w:r>
          </w:p>
        </w:tc>
      </w:tr>
      <w:tr w:rsidR="009531A7" w:rsidRPr="00C42DF0" w14:paraId="44605647"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6E940D52" w14:textId="44274DC2" w:rsidR="007239A7" w:rsidRPr="00C42DF0" w:rsidRDefault="007239A7" w:rsidP="00E4188C">
            <w:pPr>
              <w:spacing w:line="276" w:lineRule="auto"/>
              <w:jc w:val="both"/>
              <w:rPr>
                <w:rFonts w:ascii="Times New Roman" w:eastAsia="Arial" w:hAnsi="Times New Roman" w:cs="Times New Roman"/>
                <w:b w:val="0"/>
                <w:bCs w:val="0"/>
                <w:color w:val="auto"/>
              </w:rPr>
            </w:pPr>
            <w:r w:rsidRPr="00C42DF0">
              <w:rPr>
                <w:rFonts w:ascii="Times New Roman" w:eastAsia="Arial" w:hAnsi="Times New Roman" w:cs="Times New Roman"/>
                <w:b w:val="0"/>
                <w:bCs w:val="0"/>
                <w:color w:val="auto"/>
              </w:rPr>
              <w:t>Secondary school</w:t>
            </w:r>
          </w:p>
        </w:tc>
        <w:tc>
          <w:tcPr>
            <w:tcW w:w="2795" w:type="dxa"/>
            <w:gridSpan w:val="2"/>
            <w:vAlign w:val="center"/>
          </w:tcPr>
          <w:p w14:paraId="40CFEA57" w14:textId="489A9641" w:rsidR="009531A7"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rPr>
              <w:t>120</w:t>
            </w:r>
          </w:p>
        </w:tc>
        <w:tc>
          <w:tcPr>
            <w:tcW w:w="3016" w:type="dxa"/>
            <w:vAlign w:val="center"/>
          </w:tcPr>
          <w:p w14:paraId="035DE67F" w14:textId="6A7E698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12.</w:t>
            </w:r>
            <w:r w:rsidR="007D52AE" w:rsidRPr="00C42DF0">
              <w:rPr>
                <w:rFonts w:ascii="Times New Roman" w:eastAsia="Arial" w:hAnsi="Times New Roman" w:cs="Times New Roman"/>
                <w:i/>
                <w:iCs/>
                <w:color w:val="auto"/>
              </w:rPr>
              <w:t>8</w:t>
            </w:r>
            <w:r w:rsidRPr="00C42DF0">
              <w:rPr>
                <w:rFonts w:ascii="Times New Roman" w:eastAsia="Arial" w:hAnsi="Times New Roman" w:cs="Times New Roman"/>
                <w:i/>
                <w:iCs/>
                <w:color w:val="auto"/>
              </w:rPr>
              <w:t>0</w:t>
            </w:r>
          </w:p>
        </w:tc>
      </w:tr>
      <w:tr w:rsidR="009531A7" w:rsidRPr="00C42DF0" w14:paraId="4ADCC03C" w14:textId="77777777" w:rsidTr="007239A7">
        <w:tc>
          <w:tcPr>
            <w:cnfStyle w:val="001000000000" w:firstRow="0" w:lastRow="0" w:firstColumn="1" w:lastColumn="0" w:oddVBand="0" w:evenVBand="0" w:oddHBand="0" w:evenHBand="0" w:firstRowFirstColumn="0" w:firstRowLastColumn="0" w:lastRowFirstColumn="0" w:lastRowLastColumn="0"/>
            <w:tcW w:w="3261" w:type="dxa"/>
            <w:vAlign w:val="center"/>
          </w:tcPr>
          <w:p w14:paraId="3EDAA7DA" w14:textId="160EEF92" w:rsidR="009531A7" w:rsidRPr="00C42DF0" w:rsidRDefault="007239A7" w:rsidP="00E4188C">
            <w:pPr>
              <w:spacing w:line="276" w:lineRule="auto"/>
              <w:jc w:val="both"/>
              <w:rPr>
                <w:rFonts w:ascii="Times New Roman" w:hAnsi="Times New Roman" w:cs="Times New Roman"/>
                <w:b w:val="0"/>
                <w:bCs w:val="0"/>
                <w:color w:val="auto"/>
                <w:lang w:val="fr-SN"/>
              </w:rPr>
            </w:pPr>
            <w:r w:rsidRPr="00C42DF0">
              <w:rPr>
                <w:rFonts w:ascii="Times New Roman" w:eastAsia="Arial" w:hAnsi="Times New Roman" w:cs="Times New Roman"/>
                <w:b w:val="0"/>
                <w:bCs w:val="0"/>
                <w:color w:val="auto"/>
              </w:rPr>
              <w:t>University</w:t>
            </w:r>
          </w:p>
        </w:tc>
        <w:tc>
          <w:tcPr>
            <w:tcW w:w="2795" w:type="dxa"/>
            <w:gridSpan w:val="2"/>
            <w:vAlign w:val="center"/>
          </w:tcPr>
          <w:p w14:paraId="656629AA" w14:textId="149ABE34" w:rsidR="009531A7"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eastAsia="Arial" w:hAnsi="Times New Roman" w:cs="Times New Roman"/>
                <w:color w:val="auto"/>
              </w:rPr>
              <w:t>2</w:t>
            </w:r>
            <w:r w:rsidR="009531A7" w:rsidRPr="00C42DF0">
              <w:rPr>
                <w:rFonts w:ascii="Times New Roman" w:eastAsia="Arial" w:hAnsi="Times New Roman" w:cs="Times New Roman"/>
                <w:color w:val="auto"/>
              </w:rPr>
              <w:t>0</w:t>
            </w:r>
          </w:p>
        </w:tc>
        <w:tc>
          <w:tcPr>
            <w:tcW w:w="3016" w:type="dxa"/>
            <w:vAlign w:val="center"/>
          </w:tcPr>
          <w:p w14:paraId="1B5945F0" w14:textId="6700532B"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eastAsia="Arial" w:hAnsi="Times New Roman" w:cs="Times New Roman"/>
                <w:i/>
                <w:iCs/>
                <w:color w:val="auto"/>
              </w:rPr>
              <w:t>2.</w:t>
            </w:r>
            <w:r w:rsidR="007D52AE" w:rsidRPr="00C42DF0">
              <w:rPr>
                <w:rFonts w:ascii="Times New Roman" w:eastAsia="Arial" w:hAnsi="Times New Roman" w:cs="Times New Roman"/>
                <w:i/>
                <w:iCs/>
                <w:color w:val="auto"/>
              </w:rPr>
              <w:t>17</w:t>
            </w:r>
          </w:p>
        </w:tc>
      </w:tr>
      <w:tr w:rsidR="009531A7" w:rsidRPr="00C42DF0" w14:paraId="5C9E3BFF" w14:textId="77777777" w:rsidTr="007239A7">
        <w:tc>
          <w:tcPr>
            <w:cnfStyle w:val="001000000000" w:firstRow="0" w:lastRow="0" w:firstColumn="1" w:lastColumn="0" w:oddVBand="0" w:evenVBand="0" w:oddHBand="0" w:evenHBand="0" w:firstRowFirstColumn="0" w:firstRowLastColumn="0" w:lastRowFirstColumn="0" w:lastRowLastColumn="0"/>
            <w:tcW w:w="3261" w:type="dxa"/>
          </w:tcPr>
          <w:p w14:paraId="11C7928B" w14:textId="78E88B57" w:rsidR="009531A7" w:rsidRPr="00C42DF0" w:rsidRDefault="007239A7" w:rsidP="00E4188C">
            <w:pPr>
              <w:spacing w:line="276" w:lineRule="auto"/>
              <w:jc w:val="both"/>
              <w:rPr>
                <w:rFonts w:ascii="Times New Roman" w:hAnsi="Times New Roman" w:cs="Times New Roman"/>
                <w:b w:val="0"/>
                <w:bCs w:val="0"/>
                <w:color w:val="auto"/>
                <w:lang w:val="fr-SN"/>
              </w:rPr>
            </w:pPr>
            <w:r w:rsidRPr="00C42DF0">
              <w:rPr>
                <w:rFonts w:ascii="Times New Roman" w:hAnsi="Times New Roman" w:cs="Times New Roman"/>
                <w:b w:val="0"/>
                <w:bCs w:val="0"/>
                <w:color w:val="auto"/>
                <w:lang w:val="fr-SN"/>
              </w:rPr>
              <w:t>Non-schooled</w:t>
            </w:r>
          </w:p>
        </w:tc>
        <w:tc>
          <w:tcPr>
            <w:tcW w:w="2795" w:type="dxa"/>
            <w:gridSpan w:val="2"/>
            <w:vAlign w:val="center"/>
          </w:tcPr>
          <w:p w14:paraId="304DA2AF" w14:textId="25C91EF4" w:rsidR="009531A7"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rPr>
              <w:t>537</w:t>
            </w:r>
          </w:p>
        </w:tc>
        <w:tc>
          <w:tcPr>
            <w:tcW w:w="3016" w:type="dxa"/>
            <w:vAlign w:val="center"/>
          </w:tcPr>
          <w:p w14:paraId="2D66D24A" w14:textId="62A8A5EB" w:rsidR="009531A7" w:rsidRPr="00C42DF0" w:rsidRDefault="007D52A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hAnsi="Times New Roman" w:cs="Times New Roman"/>
                <w:i/>
                <w:iCs/>
                <w:color w:val="auto"/>
              </w:rPr>
              <w:t>57.25</w:t>
            </w:r>
          </w:p>
        </w:tc>
      </w:tr>
      <w:tr w:rsidR="009531A7" w:rsidRPr="00C42DF0" w14:paraId="6370FC01"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tcPr>
          <w:p w14:paraId="3D707AAE" w14:textId="5E97E49D" w:rsidR="009531A7" w:rsidRPr="00C42DF0" w:rsidRDefault="007239A7" w:rsidP="00E4188C">
            <w:pPr>
              <w:spacing w:line="276" w:lineRule="auto"/>
              <w:jc w:val="both"/>
              <w:rPr>
                <w:rFonts w:ascii="Times New Roman" w:hAnsi="Times New Roman" w:cs="Times New Roman"/>
                <w:color w:val="auto"/>
              </w:rPr>
            </w:pPr>
            <w:r w:rsidRPr="00C42DF0">
              <w:rPr>
                <w:rFonts w:ascii="Times New Roman" w:hAnsi="Times New Roman" w:cs="Times New Roman"/>
                <w:color w:val="auto"/>
              </w:rPr>
              <w:t>Occupation</w:t>
            </w:r>
          </w:p>
        </w:tc>
        <w:tc>
          <w:tcPr>
            <w:tcW w:w="2795" w:type="dxa"/>
            <w:gridSpan w:val="2"/>
            <w:vAlign w:val="center"/>
          </w:tcPr>
          <w:p w14:paraId="1F1F4545"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p>
        </w:tc>
        <w:tc>
          <w:tcPr>
            <w:tcW w:w="3016" w:type="dxa"/>
            <w:vAlign w:val="center"/>
          </w:tcPr>
          <w:p w14:paraId="0DB13CAA"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p>
        </w:tc>
      </w:tr>
      <w:tr w:rsidR="009531A7" w:rsidRPr="00C42DF0" w14:paraId="1E9618CD"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0809FB0" w14:textId="15484A87"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eastAsia="Arial" w:hAnsi="Times New Roman" w:cs="Times New Roman"/>
                <w:b w:val="0"/>
                <w:bCs w:val="0"/>
                <w:color w:val="auto"/>
              </w:rPr>
              <w:t>Pupil-Student</w:t>
            </w:r>
          </w:p>
        </w:tc>
        <w:tc>
          <w:tcPr>
            <w:tcW w:w="2795" w:type="dxa"/>
            <w:gridSpan w:val="2"/>
            <w:vAlign w:val="center"/>
          </w:tcPr>
          <w:p w14:paraId="617AD6F0" w14:textId="4B8B1A92"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23</w:t>
            </w:r>
            <w:r w:rsidR="00BD594C" w:rsidRPr="00C42DF0">
              <w:rPr>
                <w:rFonts w:ascii="Times New Roman" w:eastAsia="Arial" w:hAnsi="Times New Roman" w:cs="Times New Roman"/>
                <w:color w:val="auto"/>
              </w:rPr>
              <w:t>8</w:t>
            </w:r>
          </w:p>
        </w:tc>
        <w:tc>
          <w:tcPr>
            <w:tcW w:w="3016" w:type="dxa"/>
            <w:vAlign w:val="center"/>
          </w:tcPr>
          <w:p w14:paraId="40949147" w14:textId="1D528676"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25</w:t>
            </w:r>
            <w:r w:rsidR="009531A7" w:rsidRPr="00C42DF0">
              <w:rPr>
                <w:rFonts w:ascii="Times New Roman" w:eastAsia="Arial" w:hAnsi="Times New Roman" w:cs="Times New Roman"/>
                <w:i/>
                <w:iCs/>
                <w:color w:val="auto"/>
              </w:rPr>
              <w:t>.</w:t>
            </w:r>
            <w:r w:rsidRPr="00C42DF0">
              <w:rPr>
                <w:rFonts w:ascii="Times New Roman" w:eastAsia="Arial" w:hAnsi="Times New Roman" w:cs="Times New Roman"/>
                <w:i/>
                <w:iCs/>
                <w:color w:val="auto"/>
              </w:rPr>
              <w:t>37</w:t>
            </w:r>
          </w:p>
        </w:tc>
      </w:tr>
      <w:tr w:rsidR="009531A7" w:rsidRPr="00C42DF0" w14:paraId="2FCEF102"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F42394D" w14:textId="7B3BC23B"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eastAsia="Arial" w:hAnsi="Times New Roman" w:cs="Times New Roman"/>
                <w:b w:val="0"/>
                <w:bCs w:val="0"/>
                <w:color w:val="auto"/>
              </w:rPr>
              <w:t>Laborer</w:t>
            </w:r>
          </w:p>
        </w:tc>
        <w:tc>
          <w:tcPr>
            <w:tcW w:w="2795" w:type="dxa"/>
            <w:gridSpan w:val="2"/>
            <w:vAlign w:val="center"/>
          </w:tcPr>
          <w:p w14:paraId="2A9D2E18" w14:textId="36553C94"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211</w:t>
            </w:r>
          </w:p>
        </w:tc>
        <w:tc>
          <w:tcPr>
            <w:tcW w:w="3016" w:type="dxa"/>
            <w:vAlign w:val="center"/>
          </w:tcPr>
          <w:p w14:paraId="6AFE1094" w14:textId="48D9E9F4"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2</w:t>
            </w:r>
            <w:r w:rsidR="000B5107" w:rsidRPr="00C42DF0">
              <w:rPr>
                <w:rFonts w:ascii="Times New Roman" w:eastAsia="Arial" w:hAnsi="Times New Roman" w:cs="Times New Roman"/>
                <w:i/>
                <w:iCs/>
                <w:color w:val="auto"/>
              </w:rPr>
              <w:t>2</w:t>
            </w:r>
            <w:r w:rsidRPr="00C42DF0">
              <w:rPr>
                <w:rFonts w:ascii="Times New Roman" w:eastAsia="Arial" w:hAnsi="Times New Roman" w:cs="Times New Roman"/>
                <w:i/>
                <w:iCs/>
                <w:color w:val="auto"/>
              </w:rPr>
              <w:t>.</w:t>
            </w:r>
            <w:r w:rsidR="000B5107" w:rsidRPr="00C42DF0">
              <w:rPr>
                <w:rFonts w:ascii="Times New Roman" w:eastAsia="Arial" w:hAnsi="Times New Roman" w:cs="Times New Roman"/>
                <w:i/>
                <w:iCs/>
                <w:color w:val="auto"/>
              </w:rPr>
              <w:t>54</w:t>
            </w:r>
          </w:p>
        </w:tc>
      </w:tr>
      <w:tr w:rsidR="009531A7" w:rsidRPr="00C42DF0" w14:paraId="70CEE367"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1009B24" w14:textId="0E88FD52"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eastAsia="Arial" w:hAnsi="Times New Roman" w:cs="Times New Roman"/>
                <w:b w:val="0"/>
                <w:bCs w:val="0"/>
                <w:color w:val="auto"/>
              </w:rPr>
              <w:t>Trader</w:t>
            </w:r>
          </w:p>
        </w:tc>
        <w:tc>
          <w:tcPr>
            <w:tcW w:w="2795" w:type="dxa"/>
            <w:gridSpan w:val="2"/>
            <w:vAlign w:val="center"/>
          </w:tcPr>
          <w:p w14:paraId="7F4C7D81" w14:textId="746DD52F"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10</w:t>
            </w:r>
            <w:r w:rsidR="00BD594C" w:rsidRPr="00C42DF0">
              <w:rPr>
                <w:rFonts w:ascii="Times New Roman" w:eastAsia="Arial" w:hAnsi="Times New Roman" w:cs="Times New Roman"/>
                <w:color w:val="auto"/>
              </w:rPr>
              <w:t>1</w:t>
            </w:r>
          </w:p>
        </w:tc>
        <w:tc>
          <w:tcPr>
            <w:tcW w:w="3016" w:type="dxa"/>
            <w:vAlign w:val="center"/>
          </w:tcPr>
          <w:p w14:paraId="3477BE5E" w14:textId="3A680C0C"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1</w:t>
            </w:r>
            <w:r w:rsidR="000B5107" w:rsidRPr="00C42DF0">
              <w:rPr>
                <w:rFonts w:ascii="Times New Roman" w:eastAsia="Arial" w:hAnsi="Times New Roman" w:cs="Times New Roman"/>
                <w:i/>
                <w:iCs/>
                <w:color w:val="auto"/>
              </w:rPr>
              <w:t>0</w:t>
            </w:r>
            <w:r w:rsidRPr="00C42DF0">
              <w:rPr>
                <w:rFonts w:ascii="Times New Roman" w:eastAsia="Arial" w:hAnsi="Times New Roman" w:cs="Times New Roman"/>
                <w:i/>
                <w:iCs/>
                <w:color w:val="auto"/>
              </w:rPr>
              <w:t>.</w:t>
            </w:r>
            <w:r w:rsidR="000B5107" w:rsidRPr="00C42DF0">
              <w:rPr>
                <w:rFonts w:ascii="Times New Roman" w:eastAsia="Arial" w:hAnsi="Times New Roman" w:cs="Times New Roman"/>
                <w:i/>
                <w:iCs/>
                <w:color w:val="auto"/>
              </w:rPr>
              <w:t>75</w:t>
            </w:r>
          </w:p>
        </w:tc>
      </w:tr>
      <w:tr w:rsidR="009531A7" w:rsidRPr="00C42DF0" w14:paraId="089349BE"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4BF6DCA8" w14:textId="43D9E4E3"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eastAsia="Arial" w:hAnsi="Times New Roman" w:cs="Times New Roman"/>
                <w:b w:val="0"/>
                <w:bCs w:val="0"/>
                <w:color w:val="auto"/>
              </w:rPr>
              <w:t>Farmer</w:t>
            </w:r>
          </w:p>
        </w:tc>
        <w:tc>
          <w:tcPr>
            <w:tcW w:w="2795" w:type="dxa"/>
            <w:gridSpan w:val="2"/>
            <w:vAlign w:val="center"/>
          </w:tcPr>
          <w:p w14:paraId="587BE4A2" w14:textId="110718C9"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49</w:t>
            </w:r>
          </w:p>
        </w:tc>
        <w:tc>
          <w:tcPr>
            <w:tcW w:w="3016" w:type="dxa"/>
            <w:vAlign w:val="center"/>
          </w:tcPr>
          <w:p w14:paraId="23FEFF42" w14:textId="79BBC33C"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5</w:t>
            </w:r>
            <w:r w:rsidR="009531A7" w:rsidRPr="00C42DF0">
              <w:rPr>
                <w:rFonts w:ascii="Times New Roman" w:eastAsia="Arial" w:hAnsi="Times New Roman" w:cs="Times New Roman"/>
                <w:i/>
                <w:iCs/>
                <w:color w:val="auto"/>
              </w:rPr>
              <w:t>.</w:t>
            </w:r>
            <w:r w:rsidRPr="00C42DF0">
              <w:rPr>
                <w:rFonts w:ascii="Times New Roman" w:eastAsia="Arial" w:hAnsi="Times New Roman" w:cs="Times New Roman"/>
                <w:i/>
                <w:iCs/>
                <w:color w:val="auto"/>
              </w:rPr>
              <w:t>22</w:t>
            </w:r>
          </w:p>
        </w:tc>
      </w:tr>
      <w:tr w:rsidR="009531A7" w:rsidRPr="00C42DF0" w14:paraId="0DB752AE"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580AB6F" w14:textId="4CE0AFB6" w:rsidR="009531A7" w:rsidRPr="00C42DF0" w:rsidRDefault="007239A7" w:rsidP="00E4188C">
            <w:pPr>
              <w:spacing w:line="276" w:lineRule="auto"/>
              <w:jc w:val="both"/>
              <w:rPr>
                <w:rFonts w:ascii="Times New Roman" w:eastAsia="Arial" w:hAnsi="Times New Roman" w:cs="Times New Roman"/>
                <w:b w:val="0"/>
                <w:bCs w:val="0"/>
                <w:color w:val="auto"/>
              </w:rPr>
            </w:pPr>
            <w:r w:rsidRPr="00C42DF0">
              <w:rPr>
                <w:rFonts w:ascii="Times New Roman" w:eastAsia="Arial" w:hAnsi="Times New Roman" w:cs="Times New Roman"/>
                <w:b w:val="0"/>
                <w:bCs w:val="0"/>
                <w:color w:val="auto"/>
              </w:rPr>
              <w:t>Unemployed</w:t>
            </w:r>
          </w:p>
        </w:tc>
        <w:tc>
          <w:tcPr>
            <w:tcW w:w="2795" w:type="dxa"/>
            <w:gridSpan w:val="2"/>
            <w:vAlign w:val="center"/>
          </w:tcPr>
          <w:p w14:paraId="043D77A7" w14:textId="0365DA6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2</w:t>
            </w:r>
            <w:r w:rsidR="000B5107" w:rsidRPr="00C42DF0">
              <w:rPr>
                <w:rFonts w:ascii="Times New Roman" w:eastAsia="Arial" w:hAnsi="Times New Roman" w:cs="Times New Roman"/>
                <w:color w:val="auto"/>
              </w:rPr>
              <w:t>8</w:t>
            </w:r>
          </w:p>
        </w:tc>
        <w:tc>
          <w:tcPr>
            <w:tcW w:w="3016" w:type="dxa"/>
            <w:vAlign w:val="center"/>
          </w:tcPr>
          <w:p w14:paraId="4523E93B" w14:textId="25E4D600"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2.99</w:t>
            </w:r>
          </w:p>
        </w:tc>
      </w:tr>
      <w:tr w:rsidR="009531A7" w:rsidRPr="00C42DF0" w14:paraId="544F8622"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4CEB934F" w14:textId="1D050217" w:rsidR="009531A7" w:rsidRPr="00C42DF0" w:rsidRDefault="007239A7" w:rsidP="00E4188C">
            <w:pPr>
              <w:spacing w:line="276" w:lineRule="auto"/>
              <w:jc w:val="both"/>
              <w:rPr>
                <w:rFonts w:ascii="Times New Roman" w:eastAsia="Arial" w:hAnsi="Times New Roman" w:cs="Times New Roman"/>
                <w:b w:val="0"/>
                <w:bCs w:val="0"/>
                <w:color w:val="auto"/>
              </w:rPr>
            </w:pPr>
            <w:r w:rsidRPr="00C42DF0">
              <w:rPr>
                <w:rFonts w:ascii="Times New Roman" w:eastAsia="Arial" w:hAnsi="Times New Roman" w:cs="Times New Roman"/>
                <w:b w:val="0"/>
                <w:bCs w:val="0"/>
                <w:color w:val="auto"/>
              </w:rPr>
              <w:t>Official</w:t>
            </w:r>
          </w:p>
        </w:tc>
        <w:tc>
          <w:tcPr>
            <w:tcW w:w="2795" w:type="dxa"/>
            <w:gridSpan w:val="2"/>
            <w:vAlign w:val="center"/>
          </w:tcPr>
          <w:p w14:paraId="047F1D16" w14:textId="73336C18"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1</w:t>
            </w:r>
            <w:r w:rsidR="00BD594C" w:rsidRPr="00C42DF0">
              <w:rPr>
                <w:rFonts w:ascii="Times New Roman" w:eastAsia="Arial" w:hAnsi="Times New Roman" w:cs="Times New Roman"/>
                <w:color w:val="auto"/>
              </w:rPr>
              <w:t>3</w:t>
            </w:r>
          </w:p>
        </w:tc>
        <w:tc>
          <w:tcPr>
            <w:tcW w:w="3016" w:type="dxa"/>
            <w:vAlign w:val="center"/>
          </w:tcPr>
          <w:p w14:paraId="1B8B913D" w14:textId="5DDC544F"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1</w:t>
            </w:r>
            <w:r w:rsidR="009531A7" w:rsidRPr="00C42DF0">
              <w:rPr>
                <w:rFonts w:ascii="Times New Roman" w:eastAsia="Arial" w:hAnsi="Times New Roman" w:cs="Times New Roman"/>
                <w:i/>
                <w:iCs/>
                <w:color w:val="auto"/>
              </w:rPr>
              <w:t>.</w:t>
            </w:r>
            <w:r w:rsidRPr="00C42DF0">
              <w:rPr>
                <w:rFonts w:ascii="Times New Roman" w:eastAsia="Arial" w:hAnsi="Times New Roman" w:cs="Times New Roman"/>
                <w:i/>
                <w:iCs/>
                <w:color w:val="auto"/>
              </w:rPr>
              <w:t>34</w:t>
            </w:r>
          </w:p>
        </w:tc>
      </w:tr>
      <w:tr w:rsidR="009531A7" w:rsidRPr="00C42DF0" w14:paraId="434E7C2A" w14:textId="77777777" w:rsidTr="007239A7">
        <w:trPr>
          <w:trHeight w:val="199"/>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3F86CDD8" w14:textId="1D71071C" w:rsidR="009531A7" w:rsidRPr="00C42DF0" w:rsidRDefault="007239A7" w:rsidP="00E4188C">
            <w:pPr>
              <w:spacing w:line="276" w:lineRule="auto"/>
              <w:jc w:val="both"/>
              <w:rPr>
                <w:rFonts w:ascii="Times New Roman" w:eastAsia="Arial" w:hAnsi="Times New Roman" w:cs="Times New Roman"/>
                <w:b w:val="0"/>
                <w:bCs w:val="0"/>
                <w:color w:val="auto"/>
              </w:rPr>
            </w:pPr>
            <w:r w:rsidRPr="00C42DF0">
              <w:rPr>
                <w:rFonts w:ascii="Times New Roman" w:eastAsia="Arial" w:hAnsi="Times New Roman" w:cs="Times New Roman"/>
                <w:b w:val="0"/>
                <w:bCs w:val="0"/>
                <w:color w:val="auto"/>
              </w:rPr>
              <w:t>Others</w:t>
            </w:r>
          </w:p>
        </w:tc>
        <w:tc>
          <w:tcPr>
            <w:tcW w:w="2795" w:type="dxa"/>
            <w:gridSpan w:val="2"/>
            <w:vAlign w:val="center"/>
          </w:tcPr>
          <w:p w14:paraId="3193A997" w14:textId="324B9C90" w:rsidR="009531A7" w:rsidRPr="00C42DF0" w:rsidRDefault="00BD594C"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42DF0">
              <w:rPr>
                <w:rFonts w:ascii="Times New Roman" w:eastAsia="Arial" w:hAnsi="Times New Roman" w:cs="Times New Roman"/>
                <w:color w:val="auto"/>
              </w:rPr>
              <w:t>298</w:t>
            </w:r>
          </w:p>
        </w:tc>
        <w:tc>
          <w:tcPr>
            <w:tcW w:w="3016" w:type="dxa"/>
            <w:vAlign w:val="center"/>
          </w:tcPr>
          <w:p w14:paraId="08DDE2B2" w14:textId="60996180" w:rsidR="009531A7" w:rsidRPr="00C42DF0" w:rsidRDefault="000B510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rPr>
            </w:pPr>
            <w:r w:rsidRPr="00C42DF0">
              <w:rPr>
                <w:rFonts w:ascii="Times New Roman" w:eastAsia="Arial" w:hAnsi="Times New Roman" w:cs="Times New Roman"/>
                <w:i/>
                <w:iCs/>
                <w:color w:val="auto"/>
              </w:rPr>
              <w:t>31.79</w:t>
            </w:r>
          </w:p>
        </w:tc>
      </w:tr>
      <w:tr w:rsidR="009531A7" w:rsidRPr="00C42DF0" w14:paraId="1001390E" w14:textId="77777777" w:rsidTr="007239A7">
        <w:trPr>
          <w:trHeight w:val="302"/>
        </w:trPr>
        <w:tc>
          <w:tcPr>
            <w:cnfStyle w:val="001000000000" w:firstRow="0" w:lastRow="0" w:firstColumn="1" w:lastColumn="0" w:oddVBand="0" w:evenVBand="0" w:oddHBand="0" w:evenHBand="0" w:firstRowFirstColumn="0" w:firstRowLastColumn="0" w:lastRowFirstColumn="0" w:lastRowLastColumn="0"/>
            <w:tcW w:w="3261" w:type="dxa"/>
            <w:hideMark/>
          </w:tcPr>
          <w:p w14:paraId="34FE2542" w14:textId="67DA0D49" w:rsidR="009531A7" w:rsidRPr="00C42DF0" w:rsidRDefault="007239A7" w:rsidP="00E4188C">
            <w:pPr>
              <w:spacing w:line="276" w:lineRule="auto"/>
              <w:jc w:val="both"/>
              <w:rPr>
                <w:rFonts w:ascii="Times New Roman" w:hAnsi="Times New Roman" w:cs="Times New Roman"/>
                <w:color w:val="auto"/>
              </w:rPr>
            </w:pPr>
            <w:r w:rsidRPr="00C42DF0">
              <w:rPr>
                <w:rFonts w:ascii="Times New Roman" w:hAnsi="Times New Roman" w:cs="Times New Roman"/>
                <w:color w:val="auto"/>
              </w:rPr>
              <w:t>Comorbiditie</w:t>
            </w:r>
            <w:r w:rsidR="009531A7" w:rsidRPr="00C42DF0">
              <w:rPr>
                <w:rFonts w:ascii="Times New Roman" w:hAnsi="Times New Roman" w:cs="Times New Roman"/>
                <w:color w:val="auto"/>
              </w:rPr>
              <w:t>s</w:t>
            </w:r>
            <w:r w:rsidR="0094378B" w:rsidRPr="00C42DF0">
              <w:rPr>
                <w:rFonts w:ascii="Times New Roman" w:hAnsi="Times New Roman" w:cs="Times New Roman"/>
                <w:color w:val="auto"/>
              </w:rPr>
              <w:t xml:space="preserve"> (n =179)</w:t>
            </w:r>
            <w:r w:rsidR="009531A7" w:rsidRPr="00C42DF0">
              <w:rPr>
                <w:rFonts w:ascii="Times New Roman" w:hAnsi="Times New Roman" w:cs="Times New Roman"/>
                <w:color w:val="auto"/>
              </w:rPr>
              <w:t xml:space="preserve"> </w:t>
            </w:r>
          </w:p>
        </w:tc>
        <w:tc>
          <w:tcPr>
            <w:tcW w:w="2795" w:type="dxa"/>
            <w:gridSpan w:val="2"/>
            <w:hideMark/>
          </w:tcPr>
          <w:p w14:paraId="14E83231"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3016" w:type="dxa"/>
            <w:hideMark/>
          </w:tcPr>
          <w:p w14:paraId="2ADA33C8"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p>
        </w:tc>
      </w:tr>
      <w:tr w:rsidR="009531A7" w:rsidRPr="00C42DF0" w14:paraId="5DC4319B"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Pr>
          <w:p w14:paraId="19F686CF" w14:textId="411907FF" w:rsidR="009531A7" w:rsidRPr="00C42DF0" w:rsidRDefault="009531A7" w:rsidP="00E4188C">
            <w:pPr>
              <w:spacing w:line="276" w:lineRule="auto"/>
              <w:jc w:val="both"/>
              <w:rPr>
                <w:rFonts w:ascii="Times New Roman" w:hAnsi="Times New Roman" w:cs="Times New Roman"/>
                <w:b w:val="0"/>
                <w:bCs w:val="0"/>
                <w:color w:val="auto"/>
                <w:lang w:val="fr-SN"/>
              </w:rPr>
            </w:pPr>
            <w:r w:rsidRPr="00C42DF0">
              <w:rPr>
                <w:rFonts w:ascii="Times New Roman" w:hAnsi="Times New Roman" w:cs="Times New Roman"/>
                <w:b w:val="0"/>
                <w:bCs w:val="0"/>
                <w:color w:val="auto"/>
                <w:lang w:val="fr-SN"/>
              </w:rPr>
              <w:t xml:space="preserve">Hypertension </w:t>
            </w:r>
          </w:p>
        </w:tc>
        <w:tc>
          <w:tcPr>
            <w:tcW w:w="2795" w:type="dxa"/>
            <w:gridSpan w:val="2"/>
            <w:noWrap/>
          </w:tcPr>
          <w:p w14:paraId="219E79EF" w14:textId="58DB7F37" w:rsidR="009531A7" w:rsidRPr="00C42DF0" w:rsidRDefault="0094378B"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fr-SN"/>
              </w:rPr>
            </w:pPr>
            <w:r w:rsidRPr="00C42DF0">
              <w:rPr>
                <w:rFonts w:ascii="Times New Roman" w:hAnsi="Times New Roman" w:cs="Times New Roman"/>
                <w:color w:val="auto"/>
                <w:lang w:val="fr-SN"/>
              </w:rPr>
              <w:t>73</w:t>
            </w:r>
          </w:p>
        </w:tc>
        <w:tc>
          <w:tcPr>
            <w:tcW w:w="3016" w:type="dxa"/>
            <w:noWrap/>
          </w:tcPr>
          <w:p w14:paraId="57B88B48" w14:textId="3367040C" w:rsidR="009531A7" w:rsidRPr="00C42DF0" w:rsidRDefault="00E5414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lang w:val="fr-SN"/>
              </w:rPr>
            </w:pPr>
            <w:r w:rsidRPr="00C42DF0">
              <w:rPr>
                <w:rFonts w:ascii="Times New Roman" w:hAnsi="Times New Roman" w:cs="Times New Roman"/>
                <w:i/>
                <w:iCs/>
                <w:color w:val="auto"/>
                <w:lang w:val="fr-SN"/>
              </w:rPr>
              <w:t>40</w:t>
            </w:r>
            <w:r w:rsidR="009531A7" w:rsidRPr="00C42DF0">
              <w:rPr>
                <w:rFonts w:ascii="Times New Roman" w:hAnsi="Times New Roman" w:cs="Times New Roman"/>
                <w:i/>
                <w:iCs/>
                <w:color w:val="auto"/>
                <w:lang w:val="fr-SN"/>
              </w:rPr>
              <w:t>.</w:t>
            </w:r>
            <w:r w:rsidRPr="00C42DF0">
              <w:rPr>
                <w:rFonts w:ascii="Times New Roman" w:hAnsi="Times New Roman" w:cs="Times New Roman"/>
                <w:i/>
                <w:iCs/>
                <w:color w:val="auto"/>
                <w:lang w:val="fr-SN"/>
              </w:rPr>
              <w:t>62</w:t>
            </w:r>
          </w:p>
        </w:tc>
      </w:tr>
      <w:tr w:rsidR="009531A7" w:rsidRPr="00C42DF0" w14:paraId="6B6D86D5"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hideMark/>
          </w:tcPr>
          <w:p w14:paraId="4AAFE917" w14:textId="383953EA" w:rsidR="009531A7" w:rsidRPr="00C42DF0" w:rsidRDefault="009531A7" w:rsidP="00E4188C">
            <w:pPr>
              <w:spacing w:line="276" w:lineRule="auto"/>
              <w:jc w:val="both"/>
              <w:rPr>
                <w:rFonts w:ascii="Times New Roman" w:hAnsi="Times New Roman" w:cs="Times New Roman"/>
                <w:b w:val="0"/>
                <w:bCs w:val="0"/>
                <w:color w:val="auto"/>
              </w:rPr>
            </w:pPr>
            <w:r w:rsidRPr="00C42DF0">
              <w:rPr>
                <w:rFonts w:ascii="Times New Roman" w:hAnsi="Times New Roman" w:cs="Times New Roman"/>
                <w:b w:val="0"/>
                <w:bCs w:val="0"/>
                <w:color w:val="auto"/>
              </w:rPr>
              <w:t>Diab</w:t>
            </w:r>
            <w:r w:rsidR="007239A7" w:rsidRPr="00C42DF0">
              <w:rPr>
                <w:rFonts w:ascii="Times New Roman" w:hAnsi="Times New Roman" w:cs="Times New Roman"/>
                <w:b w:val="0"/>
                <w:bCs w:val="0"/>
                <w:color w:val="auto"/>
              </w:rPr>
              <w:t>e</w:t>
            </w:r>
            <w:r w:rsidRPr="00C42DF0">
              <w:rPr>
                <w:rFonts w:ascii="Times New Roman" w:hAnsi="Times New Roman" w:cs="Times New Roman"/>
                <w:b w:val="0"/>
                <w:bCs w:val="0"/>
                <w:color w:val="auto"/>
              </w:rPr>
              <w:t>te</w:t>
            </w:r>
            <w:r w:rsidR="007239A7" w:rsidRPr="00C42DF0">
              <w:rPr>
                <w:rFonts w:ascii="Times New Roman" w:hAnsi="Times New Roman" w:cs="Times New Roman"/>
                <w:b w:val="0"/>
                <w:bCs w:val="0"/>
                <w:color w:val="auto"/>
              </w:rPr>
              <w:t>s</w:t>
            </w:r>
          </w:p>
        </w:tc>
        <w:tc>
          <w:tcPr>
            <w:tcW w:w="2795" w:type="dxa"/>
            <w:gridSpan w:val="2"/>
            <w:noWrap/>
            <w:hideMark/>
          </w:tcPr>
          <w:p w14:paraId="598DF2C4" w14:textId="2DBAE3BC" w:rsidR="009531A7" w:rsidRPr="00C42DF0" w:rsidRDefault="0094378B"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42DF0">
              <w:rPr>
                <w:rFonts w:ascii="Times New Roman" w:hAnsi="Times New Roman" w:cs="Times New Roman"/>
                <w:color w:val="auto"/>
              </w:rPr>
              <w:t>39</w:t>
            </w:r>
          </w:p>
        </w:tc>
        <w:tc>
          <w:tcPr>
            <w:tcW w:w="3016" w:type="dxa"/>
            <w:noWrap/>
            <w:hideMark/>
          </w:tcPr>
          <w:p w14:paraId="35A73A1F" w14:textId="667E9C64" w:rsidR="009531A7" w:rsidRPr="00C42DF0" w:rsidRDefault="00E5414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C42DF0">
              <w:rPr>
                <w:rFonts w:ascii="Times New Roman" w:hAnsi="Times New Roman" w:cs="Times New Roman"/>
                <w:i/>
                <w:iCs/>
                <w:color w:val="auto"/>
              </w:rPr>
              <w:t>21</w:t>
            </w:r>
            <w:r w:rsidR="009531A7" w:rsidRPr="00C42DF0">
              <w:rPr>
                <w:rFonts w:ascii="Times New Roman" w:hAnsi="Times New Roman" w:cs="Times New Roman"/>
                <w:i/>
                <w:iCs/>
                <w:color w:val="auto"/>
              </w:rPr>
              <w:t>.</w:t>
            </w:r>
            <w:r w:rsidRPr="00C42DF0">
              <w:rPr>
                <w:rFonts w:ascii="Times New Roman" w:hAnsi="Times New Roman" w:cs="Times New Roman"/>
                <w:i/>
                <w:iCs/>
                <w:color w:val="auto"/>
              </w:rPr>
              <w:t>88</w:t>
            </w:r>
          </w:p>
        </w:tc>
      </w:tr>
      <w:tr w:rsidR="009531A7" w:rsidRPr="00C42DF0" w14:paraId="6C9C6343"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3DA95D5" w14:textId="2987CAC2" w:rsidR="009531A7" w:rsidRPr="00C42DF0" w:rsidRDefault="007239A7" w:rsidP="00E4188C">
            <w:pPr>
              <w:spacing w:line="276" w:lineRule="auto"/>
              <w:jc w:val="both"/>
              <w:rPr>
                <w:rFonts w:ascii="Times New Roman" w:hAnsi="Times New Roman" w:cs="Times New Roman"/>
                <w:b w:val="0"/>
                <w:bCs w:val="0"/>
                <w:color w:val="auto"/>
                <w:vertAlign w:val="superscript"/>
              </w:rPr>
            </w:pPr>
            <w:r w:rsidRPr="00C42DF0">
              <w:rPr>
                <w:rFonts w:ascii="Times New Roman" w:eastAsia="Arial" w:hAnsi="Times New Roman" w:cs="Times New Roman"/>
                <w:b w:val="0"/>
                <w:bCs w:val="0"/>
                <w:color w:val="auto"/>
                <w:lang w:eastAsia="fr-FR"/>
              </w:rPr>
              <w:t>Asthma</w:t>
            </w:r>
          </w:p>
        </w:tc>
        <w:tc>
          <w:tcPr>
            <w:tcW w:w="2795" w:type="dxa"/>
            <w:gridSpan w:val="2"/>
            <w:noWrap/>
            <w:hideMark/>
          </w:tcPr>
          <w:p w14:paraId="53B30157" w14:textId="13BC0F29" w:rsidR="009531A7" w:rsidRPr="00C42DF0" w:rsidRDefault="0094378B"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42DF0">
              <w:rPr>
                <w:rFonts w:ascii="Times New Roman" w:eastAsia="Arial" w:hAnsi="Times New Roman" w:cs="Times New Roman"/>
                <w:color w:val="auto"/>
                <w:lang w:eastAsia="fr-FR"/>
              </w:rPr>
              <w:t>32</w:t>
            </w:r>
          </w:p>
        </w:tc>
        <w:tc>
          <w:tcPr>
            <w:tcW w:w="3016" w:type="dxa"/>
            <w:noWrap/>
            <w:hideMark/>
          </w:tcPr>
          <w:p w14:paraId="15475534" w14:textId="625D8B50" w:rsidR="009531A7" w:rsidRPr="00C42DF0" w:rsidRDefault="00E5414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C42DF0">
              <w:rPr>
                <w:rFonts w:ascii="Times New Roman" w:eastAsia="Arial" w:hAnsi="Times New Roman" w:cs="Times New Roman"/>
                <w:i/>
                <w:iCs/>
                <w:color w:val="auto"/>
                <w:lang w:eastAsia="fr-FR"/>
              </w:rPr>
              <w:t>17</w:t>
            </w:r>
            <w:r w:rsidR="009531A7" w:rsidRPr="00C42DF0">
              <w:rPr>
                <w:rFonts w:ascii="Times New Roman" w:eastAsia="Arial" w:hAnsi="Times New Roman" w:cs="Times New Roman"/>
                <w:i/>
                <w:iCs/>
                <w:color w:val="auto"/>
                <w:lang w:eastAsia="fr-FR"/>
              </w:rPr>
              <w:t>.</w:t>
            </w:r>
            <w:r w:rsidRPr="00C42DF0">
              <w:rPr>
                <w:rFonts w:ascii="Times New Roman" w:eastAsia="Arial" w:hAnsi="Times New Roman" w:cs="Times New Roman"/>
                <w:i/>
                <w:iCs/>
                <w:color w:val="auto"/>
                <w:lang w:eastAsia="fr-FR"/>
              </w:rPr>
              <w:t>97</w:t>
            </w:r>
          </w:p>
        </w:tc>
      </w:tr>
      <w:tr w:rsidR="009531A7" w:rsidRPr="00C42DF0" w14:paraId="79C8BBA0"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hideMark/>
          </w:tcPr>
          <w:p w14:paraId="4698E418" w14:textId="2AD4B5D2"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eastAsia="Arial" w:hAnsi="Times New Roman" w:cs="Times New Roman"/>
                <w:b w:val="0"/>
                <w:bCs w:val="0"/>
                <w:color w:val="auto"/>
                <w:lang w:eastAsia="fr-FR"/>
              </w:rPr>
              <w:t>Sickle cell disease</w:t>
            </w:r>
          </w:p>
        </w:tc>
        <w:tc>
          <w:tcPr>
            <w:tcW w:w="2795" w:type="dxa"/>
            <w:gridSpan w:val="2"/>
            <w:noWrap/>
            <w:hideMark/>
          </w:tcPr>
          <w:p w14:paraId="727355FE" w14:textId="7F83CFB0" w:rsidR="009531A7" w:rsidRPr="00C42DF0" w:rsidRDefault="0094378B"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42DF0">
              <w:rPr>
                <w:rFonts w:ascii="Times New Roman" w:hAnsi="Times New Roman" w:cs="Times New Roman"/>
                <w:color w:val="auto"/>
              </w:rPr>
              <w:t>21</w:t>
            </w:r>
          </w:p>
        </w:tc>
        <w:tc>
          <w:tcPr>
            <w:tcW w:w="3016" w:type="dxa"/>
            <w:noWrap/>
            <w:hideMark/>
          </w:tcPr>
          <w:p w14:paraId="4DB6D2FB" w14:textId="2876AAD0"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C42DF0">
              <w:rPr>
                <w:rFonts w:ascii="Times New Roman" w:eastAsia="Arial" w:hAnsi="Times New Roman" w:cs="Times New Roman"/>
                <w:i/>
                <w:iCs/>
                <w:color w:val="auto"/>
                <w:lang w:eastAsia="fr-FR"/>
              </w:rPr>
              <w:t>11</w:t>
            </w:r>
            <w:r w:rsidR="00E5414E" w:rsidRPr="00C42DF0">
              <w:rPr>
                <w:rFonts w:ascii="Times New Roman" w:eastAsia="Arial" w:hAnsi="Times New Roman" w:cs="Times New Roman"/>
                <w:i/>
                <w:iCs/>
                <w:color w:val="auto"/>
                <w:lang w:eastAsia="fr-FR"/>
              </w:rPr>
              <w:t>.</w:t>
            </w:r>
            <w:r w:rsidRPr="00C42DF0">
              <w:rPr>
                <w:rFonts w:ascii="Times New Roman" w:eastAsia="Arial" w:hAnsi="Times New Roman" w:cs="Times New Roman"/>
                <w:i/>
                <w:iCs/>
                <w:color w:val="auto"/>
                <w:lang w:eastAsia="fr-FR"/>
              </w:rPr>
              <w:t>7</w:t>
            </w:r>
            <w:r w:rsidR="00E5414E" w:rsidRPr="00C42DF0">
              <w:rPr>
                <w:rFonts w:ascii="Times New Roman" w:eastAsia="Arial" w:hAnsi="Times New Roman" w:cs="Times New Roman"/>
                <w:i/>
                <w:iCs/>
                <w:color w:val="auto"/>
                <w:lang w:eastAsia="fr-FR"/>
              </w:rPr>
              <w:t>2</w:t>
            </w:r>
          </w:p>
        </w:tc>
      </w:tr>
      <w:tr w:rsidR="009531A7" w:rsidRPr="00C42DF0" w14:paraId="2966BC08"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hideMark/>
          </w:tcPr>
          <w:p w14:paraId="24D2DE2A" w14:textId="7D125A13" w:rsidR="009531A7" w:rsidRPr="00C42DF0" w:rsidRDefault="007239A7" w:rsidP="00E4188C">
            <w:pPr>
              <w:spacing w:line="276" w:lineRule="auto"/>
              <w:jc w:val="both"/>
              <w:rPr>
                <w:rFonts w:ascii="Times New Roman" w:eastAsia="Arial" w:hAnsi="Times New Roman" w:cs="Times New Roman"/>
                <w:color w:val="auto"/>
                <w:lang w:eastAsia="fr-FR"/>
              </w:rPr>
            </w:pPr>
            <w:r w:rsidRPr="00C42DF0">
              <w:rPr>
                <w:rFonts w:ascii="Times New Roman" w:eastAsia="Arial" w:hAnsi="Times New Roman" w:cs="Times New Roman"/>
                <w:b w:val="0"/>
                <w:bCs w:val="0"/>
                <w:color w:val="auto"/>
                <w:lang w:eastAsia="fr-FR"/>
              </w:rPr>
              <w:t>Neoplasia</w:t>
            </w:r>
          </w:p>
        </w:tc>
        <w:tc>
          <w:tcPr>
            <w:tcW w:w="2795" w:type="dxa"/>
            <w:gridSpan w:val="2"/>
            <w:noWrap/>
            <w:hideMark/>
          </w:tcPr>
          <w:p w14:paraId="48A1C075" w14:textId="78FCA68D" w:rsidR="009531A7" w:rsidRPr="00C42DF0" w:rsidRDefault="0094378B"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42DF0">
              <w:rPr>
                <w:rFonts w:ascii="Times New Roman" w:hAnsi="Times New Roman" w:cs="Times New Roman"/>
                <w:color w:val="auto"/>
              </w:rPr>
              <w:t>13</w:t>
            </w:r>
          </w:p>
        </w:tc>
        <w:tc>
          <w:tcPr>
            <w:tcW w:w="3016" w:type="dxa"/>
            <w:noWrap/>
            <w:hideMark/>
          </w:tcPr>
          <w:p w14:paraId="0061221F" w14:textId="651EA7A2" w:rsidR="009531A7" w:rsidRPr="00C42DF0" w:rsidRDefault="00E5414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rPr>
            </w:pPr>
            <w:r w:rsidRPr="00C42DF0">
              <w:rPr>
                <w:rFonts w:ascii="Times New Roman" w:eastAsia="Arial" w:hAnsi="Times New Roman" w:cs="Times New Roman"/>
                <w:i/>
                <w:iCs/>
                <w:color w:val="auto"/>
                <w:lang w:val="en-US" w:eastAsia="fr-FR"/>
              </w:rPr>
              <w:t>7</w:t>
            </w:r>
            <w:r w:rsidR="009531A7" w:rsidRPr="00C42DF0">
              <w:rPr>
                <w:rFonts w:ascii="Times New Roman" w:eastAsia="Arial" w:hAnsi="Times New Roman" w:cs="Times New Roman"/>
                <w:i/>
                <w:iCs/>
                <w:color w:val="auto"/>
                <w:lang w:val="en-US" w:eastAsia="fr-FR"/>
              </w:rPr>
              <w:t>.</w:t>
            </w:r>
            <w:r w:rsidRPr="00C42DF0">
              <w:rPr>
                <w:rFonts w:ascii="Times New Roman" w:eastAsia="Arial" w:hAnsi="Times New Roman" w:cs="Times New Roman"/>
                <w:i/>
                <w:iCs/>
                <w:color w:val="auto"/>
                <w:lang w:val="en-US" w:eastAsia="fr-FR"/>
              </w:rPr>
              <w:t>03</w:t>
            </w:r>
          </w:p>
        </w:tc>
      </w:tr>
      <w:tr w:rsidR="000B5107" w:rsidRPr="00C42DF0" w14:paraId="31C6BA89"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Pr>
          <w:p w14:paraId="2D63AD0C" w14:textId="2C2B924B" w:rsidR="000B5107" w:rsidRPr="00C42DF0" w:rsidRDefault="007239A7" w:rsidP="00E4188C">
            <w:pPr>
              <w:spacing w:line="276" w:lineRule="auto"/>
              <w:jc w:val="both"/>
              <w:rPr>
                <w:rFonts w:ascii="Times New Roman" w:eastAsia="Arial" w:hAnsi="Times New Roman" w:cs="Times New Roman"/>
                <w:b w:val="0"/>
                <w:bCs w:val="0"/>
                <w:color w:val="auto"/>
                <w:lang w:eastAsia="fr-FR"/>
              </w:rPr>
            </w:pPr>
            <w:r w:rsidRPr="00C42DF0">
              <w:rPr>
                <w:rFonts w:ascii="Times New Roman" w:eastAsia="Arial" w:hAnsi="Times New Roman" w:cs="Times New Roman"/>
                <w:b w:val="0"/>
                <w:bCs w:val="0"/>
                <w:color w:val="auto"/>
                <w:lang w:eastAsia="fr-FR"/>
              </w:rPr>
              <w:t>Obesity</w:t>
            </w:r>
          </w:p>
        </w:tc>
        <w:tc>
          <w:tcPr>
            <w:tcW w:w="2795" w:type="dxa"/>
            <w:gridSpan w:val="2"/>
            <w:noWrap/>
          </w:tcPr>
          <w:p w14:paraId="63F26F03" w14:textId="2B837909" w:rsidR="000B5107" w:rsidRPr="00C42DF0" w:rsidRDefault="00C853E1"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en-US" w:eastAsia="fr-FR"/>
              </w:rPr>
            </w:pPr>
            <w:r w:rsidRPr="00C42DF0">
              <w:rPr>
                <w:rFonts w:ascii="Times New Roman" w:eastAsia="Arial" w:hAnsi="Times New Roman" w:cs="Times New Roman"/>
                <w:color w:val="auto"/>
                <w:lang w:val="en-US" w:eastAsia="fr-FR"/>
              </w:rPr>
              <w:t>1</w:t>
            </w:r>
          </w:p>
        </w:tc>
        <w:tc>
          <w:tcPr>
            <w:tcW w:w="3016" w:type="dxa"/>
            <w:noWrap/>
          </w:tcPr>
          <w:p w14:paraId="6699B522" w14:textId="76D65781" w:rsidR="000B5107" w:rsidRPr="00C42DF0" w:rsidRDefault="00E5414E"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lang w:val="en-US" w:eastAsia="fr-FR"/>
              </w:rPr>
            </w:pPr>
            <w:r w:rsidRPr="00C42DF0">
              <w:rPr>
                <w:rFonts w:ascii="Times New Roman" w:eastAsia="Arial" w:hAnsi="Times New Roman" w:cs="Times New Roman"/>
                <w:i/>
                <w:iCs/>
                <w:color w:val="auto"/>
                <w:lang w:val="en-US" w:eastAsia="fr-FR"/>
              </w:rPr>
              <w:t>0.78</w:t>
            </w:r>
          </w:p>
        </w:tc>
      </w:tr>
      <w:tr w:rsidR="009531A7" w:rsidRPr="00C42DF0" w14:paraId="17EE02C4" w14:textId="77777777" w:rsidTr="0022045E">
        <w:trPr>
          <w:trHeight w:val="270"/>
        </w:trPr>
        <w:tc>
          <w:tcPr>
            <w:cnfStyle w:val="001000000000" w:firstRow="0" w:lastRow="0" w:firstColumn="1" w:lastColumn="0" w:oddVBand="0" w:evenVBand="0" w:oddHBand="0" w:evenHBand="0" w:firstRowFirstColumn="0" w:firstRowLastColumn="0" w:lastRowFirstColumn="0" w:lastRowLastColumn="0"/>
            <w:tcW w:w="4253" w:type="dxa"/>
            <w:gridSpan w:val="2"/>
          </w:tcPr>
          <w:p w14:paraId="65483E4C" w14:textId="263DD140" w:rsidR="009531A7" w:rsidRPr="00C42DF0" w:rsidRDefault="007239A7" w:rsidP="00E4188C">
            <w:pPr>
              <w:spacing w:line="276" w:lineRule="auto"/>
              <w:rPr>
                <w:rFonts w:ascii="Times New Roman" w:eastAsia="Arial" w:hAnsi="Times New Roman" w:cs="Times New Roman"/>
                <w:color w:val="auto"/>
                <w:lang w:eastAsia="fr-FR"/>
              </w:rPr>
            </w:pPr>
            <w:r w:rsidRPr="00C42DF0">
              <w:rPr>
                <w:rFonts w:ascii="Times New Roman" w:hAnsi="Times New Roman" w:cs="Times New Roman"/>
                <w:color w:val="auto"/>
              </w:rPr>
              <w:t>Previous antitetanus vaccination</w:t>
            </w:r>
          </w:p>
        </w:tc>
        <w:tc>
          <w:tcPr>
            <w:tcW w:w="1803" w:type="dxa"/>
            <w:noWrap/>
          </w:tcPr>
          <w:p w14:paraId="1F8AC519"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lang w:val="en-US" w:eastAsia="fr-FR"/>
              </w:rPr>
            </w:pPr>
          </w:p>
        </w:tc>
        <w:tc>
          <w:tcPr>
            <w:tcW w:w="3016" w:type="dxa"/>
            <w:noWrap/>
          </w:tcPr>
          <w:p w14:paraId="29B8219B" w14:textId="77777777" w:rsidR="009531A7" w:rsidRPr="00C42DF0" w:rsidRDefault="009531A7"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i/>
                <w:iCs/>
                <w:color w:val="auto"/>
                <w:lang w:val="en-US" w:eastAsia="fr-FR"/>
              </w:rPr>
            </w:pPr>
          </w:p>
        </w:tc>
      </w:tr>
      <w:tr w:rsidR="009531A7" w:rsidRPr="00C42DF0" w14:paraId="41B511E0"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Pr>
          <w:p w14:paraId="20ECC94F" w14:textId="3119A26B"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hAnsi="Times New Roman" w:cs="Times New Roman"/>
                <w:b w:val="0"/>
                <w:bCs w:val="0"/>
                <w:color w:val="auto"/>
              </w:rPr>
              <w:t>Yes</w:t>
            </w:r>
          </w:p>
        </w:tc>
        <w:tc>
          <w:tcPr>
            <w:tcW w:w="2795" w:type="dxa"/>
            <w:gridSpan w:val="2"/>
            <w:noWrap/>
          </w:tcPr>
          <w:p w14:paraId="36F3A6B4" w14:textId="4CC449A6" w:rsidR="009531A7" w:rsidRPr="00C42DF0" w:rsidRDefault="00B45EB1"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en-US" w:eastAsia="fr-FR"/>
              </w:rPr>
            </w:pPr>
            <w:r w:rsidRPr="00C42DF0">
              <w:rPr>
                <w:rFonts w:ascii="Times New Roman" w:eastAsia="Arial" w:hAnsi="Times New Roman" w:cs="Times New Roman"/>
                <w:color w:val="auto"/>
                <w:lang w:val="en-US" w:eastAsia="fr-FR"/>
              </w:rPr>
              <w:t>115</w:t>
            </w:r>
          </w:p>
        </w:tc>
        <w:tc>
          <w:tcPr>
            <w:tcW w:w="3016" w:type="dxa"/>
            <w:noWrap/>
          </w:tcPr>
          <w:p w14:paraId="3C4F1A69" w14:textId="3FD9B7C5" w:rsidR="009531A7" w:rsidRPr="00C42DF0" w:rsidRDefault="00B45EB1"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lang w:val="en-US" w:eastAsia="fr-FR"/>
              </w:rPr>
            </w:pPr>
            <w:r w:rsidRPr="00C42DF0">
              <w:rPr>
                <w:rFonts w:ascii="Times New Roman" w:eastAsia="Arial" w:hAnsi="Times New Roman" w:cs="Times New Roman"/>
                <w:i/>
                <w:iCs/>
                <w:color w:val="auto"/>
                <w:lang w:val="en-US" w:eastAsia="fr-FR"/>
              </w:rPr>
              <w:t>12</w:t>
            </w:r>
            <w:r w:rsidR="009531A7" w:rsidRPr="00C42DF0">
              <w:rPr>
                <w:rFonts w:ascii="Times New Roman" w:eastAsia="Arial" w:hAnsi="Times New Roman" w:cs="Times New Roman"/>
                <w:i/>
                <w:iCs/>
                <w:color w:val="auto"/>
                <w:lang w:val="en-US" w:eastAsia="fr-FR"/>
              </w:rPr>
              <w:t>.</w:t>
            </w:r>
            <w:r w:rsidRPr="00C42DF0">
              <w:rPr>
                <w:rFonts w:ascii="Times New Roman" w:eastAsia="Arial" w:hAnsi="Times New Roman" w:cs="Times New Roman"/>
                <w:i/>
                <w:iCs/>
                <w:color w:val="auto"/>
                <w:lang w:val="en-US" w:eastAsia="fr-FR"/>
              </w:rPr>
              <w:t>26</w:t>
            </w:r>
          </w:p>
        </w:tc>
      </w:tr>
      <w:tr w:rsidR="009531A7" w:rsidRPr="00C42DF0" w14:paraId="23C54424"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Pr>
          <w:p w14:paraId="5A7B8F25" w14:textId="6A869F68" w:rsidR="009531A7"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hAnsi="Times New Roman" w:cs="Times New Roman"/>
                <w:b w:val="0"/>
                <w:bCs w:val="0"/>
                <w:color w:val="auto"/>
              </w:rPr>
              <w:t>No</w:t>
            </w:r>
          </w:p>
        </w:tc>
        <w:tc>
          <w:tcPr>
            <w:tcW w:w="2795" w:type="dxa"/>
            <w:gridSpan w:val="2"/>
            <w:noWrap/>
          </w:tcPr>
          <w:p w14:paraId="512F774D" w14:textId="3E731F5B" w:rsidR="009531A7" w:rsidRPr="00C42DF0" w:rsidRDefault="00B45EB1"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en-US" w:eastAsia="fr-FR"/>
              </w:rPr>
            </w:pPr>
            <w:r w:rsidRPr="00C42DF0">
              <w:rPr>
                <w:rFonts w:ascii="Times New Roman" w:eastAsia="Arial" w:hAnsi="Times New Roman" w:cs="Times New Roman"/>
                <w:color w:val="auto"/>
                <w:lang w:val="en-US" w:eastAsia="fr-FR"/>
              </w:rPr>
              <w:t>823</w:t>
            </w:r>
          </w:p>
        </w:tc>
        <w:tc>
          <w:tcPr>
            <w:tcW w:w="3016" w:type="dxa"/>
            <w:noWrap/>
          </w:tcPr>
          <w:p w14:paraId="25009E4A" w14:textId="076A09F9" w:rsidR="009531A7" w:rsidRPr="00C42DF0" w:rsidRDefault="00B45EB1"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lang w:val="en-US" w:eastAsia="fr-FR"/>
              </w:rPr>
            </w:pPr>
            <w:r w:rsidRPr="00C42DF0">
              <w:rPr>
                <w:rFonts w:ascii="Times New Roman" w:eastAsia="Arial" w:hAnsi="Times New Roman" w:cs="Times New Roman"/>
                <w:i/>
                <w:iCs/>
                <w:color w:val="auto"/>
                <w:lang w:val="en-US" w:eastAsia="fr-FR"/>
              </w:rPr>
              <w:t>87.74</w:t>
            </w:r>
          </w:p>
        </w:tc>
      </w:tr>
      <w:tr w:rsidR="00243786" w:rsidRPr="00C42DF0" w14:paraId="525C902E"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Pr>
          <w:p w14:paraId="64533C0A" w14:textId="0FE2A0AA" w:rsidR="00243786" w:rsidRPr="00C42DF0" w:rsidRDefault="007239A7" w:rsidP="00E4188C">
            <w:pPr>
              <w:spacing w:line="276" w:lineRule="auto"/>
              <w:jc w:val="both"/>
              <w:rPr>
                <w:rFonts w:ascii="Times New Roman" w:hAnsi="Times New Roman" w:cs="Times New Roman"/>
                <w:b w:val="0"/>
                <w:bCs w:val="0"/>
                <w:color w:val="auto"/>
                <w:lang w:val="en-GB"/>
              </w:rPr>
            </w:pPr>
            <w:r w:rsidRPr="00C42DF0">
              <w:rPr>
                <w:rFonts w:ascii="Times New Roman" w:hAnsi="Times New Roman" w:cs="Times New Roman"/>
                <w:color w:val="auto"/>
                <w:lang w:val="en-GB"/>
              </w:rPr>
              <w:t>Lengt</w:t>
            </w:r>
            <w:r w:rsidR="00CD2725" w:rsidRPr="00C42DF0">
              <w:rPr>
                <w:rFonts w:ascii="Times New Roman" w:hAnsi="Times New Roman" w:cs="Times New Roman"/>
                <w:color w:val="auto"/>
                <w:lang w:val="en-GB"/>
              </w:rPr>
              <w:t>h</w:t>
            </w:r>
            <w:r w:rsidRPr="00C42DF0">
              <w:rPr>
                <w:rFonts w:ascii="Times New Roman" w:hAnsi="Times New Roman" w:cs="Times New Roman"/>
                <w:color w:val="auto"/>
                <w:lang w:val="en-GB"/>
              </w:rPr>
              <w:t xml:space="preserve"> of hospital stay (days)</w:t>
            </w:r>
          </w:p>
        </w:tc>
        <w:tc>
          <w:tcPr>
            <w:tcW w:w="2795" w:type="dxa"/>
            <w:gridSpan w:val="2"/>
            <w:noWrap/>
          </w:tcPr>
          <w:p w14:paraId="68332D7D" w14:textId="77777777" w:rsidR="00243786" w:rsidRPr="00C42DF0" w:rsidRDefault="00243786"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en-US" w:eastAsia="fr-FR"/>
              </w:rPr>
            </w:pPr>
          </w:p>
        </w:tc>
        <w:tc>
          <w:tcPr>
            <w:tcW w:w="3016" w:type="dxa"/>
            <w:noWrap/>
          </w:tcPr>
          <w:p w14:paraId="0E64F6CB" w14:textId="77777777" w:rsidR="00243786" w:rsidRPr="00C42DF0" w:rsidRDefault="00243786"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lang w:val="en-US" w:eastAsia="fr-FR"/>
              </w:rPr>
            </w:pPr>
          </w:p>
        </w:tc>
      </w:tr>
      <w:tr w:rsidR="00243786" w:rsidRPr="00C42DF0" w14:paraId="0BC8736C"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Pr>
          <w:p w14:paraId="1E90E414" w14:textId="625A5C6D" w:rsidR="00243786" w:rsidRPr="00C42DF0" w:rsidRDefault="007239A7" w:rsidP="00E4188C">
            <w:pPr>
              <w:spacing w:line="276" w:lineRule="auto"/>
              <w:jc w:val="both"/>
              <w:rPr>
                <w:rFonts w:ascii="Times New Roman" w:hAnsi="Times New Roman" w:cs="Times New Roman"/>
                <w:b w:val="0"/>
                <w:bCs w:val="0"/>
                <w:color w:val="auto"/>
              </w:rPr>
            </w:pPr>
            <w:r w:rsidRPr="00C42DF0">
              <w:rPr>
                <w:rFonts w:ascii="Times New Roman" w:eastAsia="Arial" w:hAnsi="Times New Roman" w:cs="Times New Roman"/>
                <w:b w:val="0"/>
                <w:bCs w:val="0"/>
                <w:color w:val="auto"/>
                <w:lang w:eastAsia="fr-FR"/>
              </w:rPr>
              <w:t>≤ 3</w:t>
            </w:r>
          </w:p>
        </w:tc>
        <w:tc>
          <w:tcPr>
            <w:tcW w:w="2795" w:type="dxa"/>
            <w:gridSpan w:val="2"/>
            <w:noWrap/>
          </w:tcPr>
          <w:p w14:paraId="378A8E3D" w14:textId="2FE0C003" w:rsidR="00243786" w:rsidRPr="00C42DF0" w:rsidRDefault="00D230EC"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en-US" w:eastAsia="fr-FR"/>
              </w:rPr>
            </w:pPr>
            <w:r w:rsidRPr="00C42DF0">
              <w:rPr>
                <w:rFonts w:ascii="Times New Roman" w:eastAsia="Arial" w:hAnsi="Times New Roman" w:cs="Times New Roman"/>
                <w:color w:val="auto"/>
                <w:lang w:val="en-US" w:eastAsia="fr-FR"/>
              </w:rPr>
              <w:t>651</w:t>
            </w:r>
          </w:p>
        </w:tc>
        <w:tc>
          <w:tcPr>
            <w:tcW w:w="3016" w:type="dxa"/>
            <w:noWrap/>
          </w:tcPr>
          <w:p w14:paraId="597F82C4" w14:textId="00954426" w:rsidR="00243786" w:rsidRPr="00C42DF0" w:rsidRDefault="00243786"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lang w:val="en-US" w:eastAsia="fr-FR"/>
              </w:rPr>
            </w:pPr>
            <w:r w:rsidRPr="00C42DF0">
              <w:rPr>
                <w:rFonts w:ascii="Times New Roman" w:eastAsia="Arial" w:hAnsi="Times New Roman" w:cs="Times New Roman"/>
                <w:i/>
                <w:iCs/>
                <w:color w:val="auto"/>
                <w:lang w:val="en-US" w:eastAsia="fr-FR"/>
              </w:rPr>
              <w:t>69</w:t>
            </w:r>
            <w:r w:rsidR="00D230EC" w:rsidRPr="00C42DF0">
              <w:rPr>
                <w:rFonts w:ascii="Times New Roman" w:eastAsia="Arial" w:hAnsi="Times New Roman" w:cs="Times New Roman"/>
                <w:i/>
                <w:iCs/>
                <w:color w:val="auto"/>
                <w:lang w:val="en-US" w:eastAsia="fr-FR"/>
              </w:rPr>
              <w:t>.</w:t>
            </w:r>
            <w:r w:rsidRPr="00C42DF0">
              <w:rPr>
                <w:rFonts w:ascii="Times New Roman" w:eastAsia="Arial" w:hAnsi="Times New Roman" w:cs="Times New Roman"/>
                <w:i/>
                <w:iCs/>
                <w:color w:val="auto"/>
                <w:lang w:val="en-US" w:eastAsia="fr-FR"/>
              </w:rPr>
              <w:t>4</w:t>
            </w:r>
          </w:p>
        </w:tc>
      </w:tr>
      <w:tr w:rsidR="00243786" w:rsidRPr="00C42DF0" w14:paraId="28EFC17A" w14:textId="77777777" w:rsidTr="007239A7">
        <w:trPr>
          <w:trHeight w:val="27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59CC4CBD" w14:textId="615CDF94" w:rsidR="00243786" w:rsidRPr="00C42DF0" w:rsidRDefault="00D230EC" w:rsidP="00E4188C">
            <w:pPr>
              <w:spacing w:line="276" w:lineRule="auto"/>
              <w:jc w:val="both"/>
              <w:rPr>
                <w:rFonts w:ascii="Times New Roman" w:eastAsia="Arial" w:hAnsi="Times New Roman" w:cs="Times New Roman"/>
                <w:b w:val="0"/>
                <w:bCs w:val="0"/>
                <w:color w:val="auto"/>
                <w:lang w:eastAsia="fr-FR"/>
              </w:rPr>
            </w:pPr>
            <w:r w:rsidRPr="00C42DF0">
              <w:rPr>
                <w:rFonts w:ascii="Times New Roman" w:eastAsia="Arial" w:hAnsi="Times New Roman" w:cs="Times New Roman"/>
                <w:b w:val="0"/>
                <w:bCs w:val="0"/>
                <w:color w:val="auto"/>
                <w:lang w:eastAsia="fr-FR"/>
              </w:rPr>
              <w:t>&gt;</w:t>
            </w:r>
            <w:r w:rsidR="007239A7" w:rsidRPr="00C42DF0">
              <w:rPr>
                <w:rFonts w:ascii="Times New Roman" w:eastAsia="Arial" w:hAnsi="Times New Roman" w:cs="Times New Roman"/>
                <w:b w:val="0"/>
                <w:bCs w:val="0"/>
                <w:color w:val="auto"/>
                <w:lang w:eastAsia="fr-FR"/>
              </w:rPr>
              <w:t xml:space="preserve"> 3 </w:t>
            </w:r>
          </w:p>
        </w:tc>
        <w:tc>
          <w:tcPr>
            <w:tcW w:w="2795" w:type="dxa"/>
            <w:gridSpan w:val="2"/>
            <w:tcBorders>
              <w:bottom w:val="single" w:sz="4" w:space="0" w:color="auto"/>
            </w:tcBorders>
            <w:noWrap/>
          </w:tcPr>
          <w:p w14:paraId="0DA8D624" w14:textId="00477C29" w:rsidR="00243786" w:rsidRPr="00C42DF0" w:rsidRDefault="00D230EC"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en-US" w:eastAsia="fr-FR"/>
              </w:rPr>
            </w:pPr>
            <w:r w:rsidRPr="00C42DF0">
              <w:rPr>
                <w:rFonts w:ascii="Times New Roman" w:eastAsia="Arial" w:hAnsi="Times New Roman" w:cs="Times New Roman"/>
                <w:color w:val="auto"/>
                <w:lang w:val="en-US" w:eastAsia="fr-FR"/>
              </w:rPr>
              <w:t>287</w:t>
            </w:r>
          </w:p>
        </w:tc>
        <w:tc>
          <w:tcPr>
            <w:tcW w:w="3016" w:type="dxa"/>
            <w:tcBorders>
              <w:bottom w:val="single" w:sz="4" w:space="0" w:color="auto"/>
            </w:tcBorders>
            <w:noWrap/>
          </w:tcPr>
          <w:p w14:paraId="212BD0A3" w14:textId="30618C63" w:rsidR="00243786" w:rsidRPr="00C42DF0" w:rsidRDefault="00D230EC" w:rsidP="00E4188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i/>
                <w:iCs/>
                <w:color w:val="auto"/>
                <w:lang w:val="en-US" w:eastAsia="fr-FR"/>
              </w:rPr>
            </w:pPr>
            <w:r w:rsidRPr="00C42DF0">
              <w:rPr>
                <w:rFonts w:ascii="Times New Roman" w:eastAsia="Arial" w:hAnsi="Times New Roman" w:cs="Times New Roman"/>
                <w:i/>
                <w:iCs/>
                <w:color w:val="auto"/>
                <w:lang w:val="en-US" w:eastAsia="fr-FR"/>
              </w:rPr>
              <w:t>30.6</w:t>
            </w:r>
          </w:p>
        </w:tc>
      </w:tr>
    </w:tbl>
    <w:p w14:paraId="6C884DBE" w14:textId="77777777" w:rsidR="00482330" w:rsidRDefault="00482330" w:rsidP="00E4188C">
      <w:pPr>
        <w:pStyle w:val="Heading2"/>
        <w:spacing w:before="0" w:after="120" w:line="360" w:lineRule="auto"/>
        <w:jc w:val="both"/>
        <w:rPr>
          <w:rFonts w:ascii="Times New Roman" w:hAnsi="Times New Roman" w:cs="Times New Roman"/>
          <w:b/>
          <w:bCs/>
          <w:color w:val="auto"/>
          <w:sz w:val="24"/>
          <w:szCs w:val="24"/>
        </w:rPr>
      </w:pPr>
      <w:bookmarkStart w:id="4" w:name="_Toc183010594"/>
    </w:p>
    <w:p w14:paraId="3C0101AB" w14:textId="2801EA5A" w:rsidR="00B45EB1" w:rsidRPr="00482330" w:rsidRDefault="00B45EB1" w:rsidP="00E4188C">
      <w:pPr>
        <w:pStyle w:val="Heading2"/>
        <w:spacing w:before="0" w:after="120" w:line="360" w:lineRule="auto"/>
        <w:jc w:val="both"/>
        <w:rPr>
          <w:rFonts w:ascii="Times New Roman" w:hAnsi="Times New Roman" w:cs="Times New Roman"/>
          <w:b/>
          <w:bCs/>
          <w:color w:val="auto"/>
          <w:sz w:val="22"/>
          <w:szCs w:val="22"/>
        </w:rPr>
      </w:pPr>
      <w:r w:rsidRPr="00482330">
        <w:rPr>
          <w:rFonts w:ascii="Times New Roman" w:hAnsi="Times New Roman" w:cs="Times New Roman"/>
          <w:b/>
          <w:bCs/>
          <w:color w:val="auto"/>
          <w:sz w:val="22"/>
          <w:szCs w:val="22"/>
        </w:rPr>
        <w:t xml:space="preserve">3.2. </w:t>
      </w:r>
      <w:r w:rsidR="007239A7" w:rsidRPr="00482330">
        <w:rPr>
          <w:rFonts w:ascii="Times New Roman" w:hAnsi="Times New Roman" w:cs="Times New Roman"/>
          <w:b/>
          <w:bCs/>
          <w:color w:val="auto"/>
          <w:sz w:val="22"/>
          <w:szCs w:val="22"/>
        </w:rPr>
        <w:t>Clinical patterns</w:t>
      </w:r>
    </w:p>
    <w:bookmarkEnd w:id="4"/>
    <w:p w14:paraId="17D25EFF" w14:textId="4F377AE2" w:rsidR="00F509D5" w:rsidRPr="00482330" w:rsidRDefault="007239A7" w:rsidP="00482330">
      <w:pPr>
        <w:pStyle w:val="p1"/>
        <w:spacing w:line="276" w:lineRule="auto"/>
        <w:jc w:val="both"/>
        <w:rPr>
          <w:color w:val="auto"/>
          <w:sz w:val="22"/>
          <w:szCs w:val="22"/>
          <w:lang w:val="en-GB"/>
        </w:rPr>
      </w:pPr>
      <w:r w:rsidRPr="00482330">
        <w:rPr>
          <w:color w:val="auto"/>
          <w:sz w:val="22"/>
          <w:szCs w:val="22"/>
          <w:lang w:val="en-GB"/>
        </w:rPr>
        <w:t>At admission, the majority of our study population presented mainly with the generalized form of tetanus, accounting for 95.52% of cases. Among the 938 cases</w:t>
      </w:r>
      <w:r w:rsidR="00CD2725" w:rsidRPr="00482330">
        <w:rPr>
          <w:color w:val="auto"/>
          <w:sz w:val="22"/>
          <w:szCs w:val="22"/>
          <w:lang w:val="en-GB"/>
        </w:rPr>
        <w:t xml:space="preserve"> included in our study</w:t>
      </w:r>
      <w:r w:rsidRPr="00482330">
        <w:rPr>
          <w:color w:val="auto"/>
          <w:sz w:val="22"/>
          <w:szCs w:val="22"/>
          <w:lang w:val="en-GB"/>
        </w:rPr>
        <w:t xml:space="preserve">, a </w:t>
      </w:r>
      <w:r w:rsidR="00CD2725" w:rsidRPr="00482330">
        <w:rPr>
          <w:color w:val="auto"/>
          <w:sz w:val="22"/>
          <w:szCs w:val="22"/>
          <w:lang w:val="en-GB"/>
        </w:rPr>
        <w:t>gateway</w:t>
      </w:r>
      <w:r w:rsidRPr="00482330">
        <w:rPr>
          <w:color w:val="auto"/>
          <w:sz w:val="22"/>
          <w:szCs w:val="22"/>
          <w:lang w:val="en-GB"/>
        </w:rPr>
        <w:t xml:space="preserve"> was identified in 91.04% of patients. It was predominantly cutaneous (71.86%), post-circumcision (5.65%), and surgical (3.94%). For most cutaneous </w:t>
      </w:r>
      <w:r w:rsidR="00CD2725" w:rsidRPr="00482330">
        <w:rPr>
          <w:color w:val="auto"/>
          <w:sz w:val="22"/>
          <w:szCs w:val="22"/>
          <w:lang w:val="en-GB"/>
        </w:rPr>
        <w:t>gateways</w:t>
      </w:r>
      <w:r w:rsidRPr="00482330">
        <w:rPr>
          <w:color w:val="auto"/>
          <w:sz w:val="22"/>
          <w:szCs w:val="22"/>
          <w:lang w:val="en-GB"/>
        </w:rPr>
        <w:t>, the wounds were recent (91.54%), with a predominant localization in the lower limbs (69.28%), followed by the upper limbs (15.58%). The incubation period was ≥ 7 days in more than half of the cases (50.64%), with a mean of 14.26 ± 32.9 days. The invasion period was ≥ 2 days in 46.92% of cases, with a mean of 2.29 ± 2.04 days. The main clinical signs of tetanus observed were dominated by trismus (99.36%), followed by dysphagia (87.94%) and paroxysms (70.79%). In our study, biological examinations were not systematically performed in all patients. However, hyperleukocytosis was found in 18.64% of cases (n=429), anemia in 3.49% of cases (n=429), C-reactive protein (CRP) levels above 96 mg/L in 22.32% of cases (n=345), and serum creatinine levels above 30 mg/L in 2.29% of cases (n=306). These clinical characteristics are summarized in Table II.</w:t>
      </w:r>
    </w:p>
    <w:p w14:paraId="3A8FDE29" w14:textId="77777777" w:rsidR="00C42DF0" w:rsidRDefault="00C42DF0" w:rsidP="00E4188C">
      <w:pPr>
        <w:pStyle w:val="BodyText"/>
        <w:spacing w:after="120" w:line="276" w:lineRule="auto"/>
        <w:jc w:val="both"/>
        <w:rPr>
          <w:b/>
          <w:bCs/>
          <w:sz w:val="24"/>
          <w:szCs w:val="24"/>
          <w:lang w:val="en-GB"/>
        </w:rPr>
      </w:pPr>
    </w:p>
    <w:p w14:paraId="32D5DC75" w14:textId="77777777" w:rsidR="00482330" w:rsidRDefault="00482330" w:rsidP="00E4188C">
      <w:pPr>
        <w:pStyle w:val="BodyText"/>
        <w:spacing w:after="120" w:line="276" w:lineRule="auto"/>
        <w:jc w:val="both"/>
        <w:rPr>
          <w:b/>
          <w:bCs/>
          <w:sz w:val="24"/>
          <w:szCs w:val="24"/>
          <w:lang w:val="en-GB"/>
        </w:rPr>
      </w:pPr>
    </w:p>
    <w:p w14:paraId="69C8CED8" w14:textId="77777777" w:rsidR="00482330" w:rsidRDefault="00482330" w:rsidP="00E4188C">
      <w:pPr>
        <w:pStyle w:val="BodyText"/>
        <w:spacing w:after="120" w:line="276" w:lineRule="auto"/>
        <w:jc w:val="both"/>
        <w:rPr>
          <w:b/>
          <w:bCs/>
          <w:sz w:val="24"/>
          <w:szCs w:val="24"/>
          <w:lang w:val="en-GB"/>
        </w:rPr>
      </w:pPr>
    </w:p>
    <w:p w14:paraId="3583D11C" w14:textId="77777777" w:rsidR="00482330" w:rsidRDefault="00482330" w:rsidP="00E4188C">
      <w:pPr>
        <w:pStyle w:val="BodyText"/>
        <w:spacing w:after="120" w:line="276" w:lineRule="auto"/>
        <w:jc w:val="both"/>
        <w:rPr>
          <w:b/>
          <w:bCs/>
          <w:sz w:val="24"/>
          <w:szCs w:val="24"/>
          <w:lang w:val="en-GB"/>
        </w:rPr>
      </w:pPr>
    </w:p>
    <w:p w14:paraId="3951E21D" w14:textId="77777777" w:rsidR="00482330" w:rsidRDefault="00482330" w:rsidP="00E4188C">
      <w:pPr>
        <w:pStyle w:val="BodyText"/>
        <w:spacing w:after="120" w:line="276" w:lineRule="auto"/>
        <w:jc w:val="both"/>
        <w:rPr>
          <w:b/>
          <w:bCs/>
          <w:sz w:val="24"/>
          <w:szCs w:val="24"/>
          <w:lang w:val="en-GB"/>
        </w:rPr>
      </w:pPr>
    </w:p>
    <w:p w14:paraId="0E10B166" w14:textId="77777777" w:rsidR="00482330" w:rsidRDefault="00482330" w:rsidP="00E4188C">
      <w:pPr>
        <w:pStyle w:val="BodyText"/>
        <w:spacing w:after="120" w:line="276" w:lineRule="auto"/>
        <w:jc w:val="both"/>
        <w:rPr>
          <w:b/>
          <w:bCs/>
          <w:sz w:val="24"/>
          <w:szCs w:val="24"/>
          <w:lang w:val="en-GB"/>
        </w:rPr>
      </w:pPr>
    </w:p>
    <w:p w14:paraId="0A0E25FA" w14:textId="77777777" w:rsidR="00482330" w:rsidRDefault="00482330" w:rsidP="00E4188C">
      <w:pPr>
        <w:pStyle w:val="BodyText"/>
        <w:spacing w:after="120" w:line="276" w:lineRule="auto"/>
        <w:jc w:val="both"/>
        <w:rPr>
          <w:b/>
          <w:bCs/>
          <w:sz w:val="24"/>
          <w:szCs w:val="24"/>
          <w:lang w:val="en-GB"/>
        </w:rPr>
      </w:pPr>
    </w:p>
    <w:p w14:paraId="5FAEC7A4" w14:textId="77777777" w:rsidR="00482330" w:rsidRDefault="00482330" w:rsidP="00E4188C">
      <w:pPr>
        <w:pStyle w:val="BodyText"/>
        <w:spacing w:after="120" w:line="276" w:lineRule="auto"/>
        <w:jc w:val="both"/>
        <w:rPr>
          <w:b/>
          <w:bCs/>
          <w:sz w:val="24"/>
          <w:szCs w:val="24"/>
          <w:lang w:val="en-GB"/>
        </w:rPr>
      </w:pPr>
    </w:p>
    <w:p w14:paraId="2C867ED0" w14:textId="77777777" w:rsidR="00482330" w:rsidRDefault="00482330" w:rsidP="00E4188C">
      <w:pPr>
        <w:pStyle w:val="BodyText"/>
        <w:spacing w:after="120" w:line="276" w:lineRule="auto"/>
        <w:jc w:val="both"/>
        <w:rPr>
          <w:b/>
          <w:bCs/>
          <w:sz w:val="24"/>
          <w:szCs w:val="24"/>
          <w:lang w:val="en-GB"/>
        </w:rPr>
      </w:pPr>
    </w:p>
    <w:p w14:paraId="4593BECC" w14:textId="77777777" w:rsidR="00482330" w:rsidRDefault="00482330" w:rsidP="00E4188C">
      <w:pPr>
        <w:pStyle w:val="BodyText"/>
        <w:spacing w:after="120" w:line="276" w:lineRule="auto"/>
        <w:jc w:val="both"/>
        <w:rPr>
          <w:b/>
          <w:bCs/>
          <w:sz w:val="24"/>
          <w:szCs w:val="24"/>
          <w:lang w:val="en-GB"/>
        </w:rPr>
      </w:pPr>
    </w:p>
    <w:p w14:paraId="61A0CEA3" w14:textId="77777777" w:rsidR="00482330" w:rsidRDefault="00482330" w:rsidP="00E4188C">
      <w:pPr>
        <w:pStyle w:val="BodyText"/>
        <w:spacing w:after="120" w:line="276" w:lineRule="auto"/>
        <w:jc w:val="both"/>
        <w:rPr>
          <w:b/>
          <w:bCs/>
          <w:sz w:val="24"/>
          <w:szCs w:val="24"/>
          <w:lang w:val="en-GB"/>
        </w:rPr>
      </w:pPr>
    </w:p>
    <w:p w14:paraId="1597846D" w14:textId="77777777" w:rsidR="00482330" w:rsidRDefault="00482330" w:rsidP="00E4188C">
      <w:pPr>
        <w:pStyle w:val="BodyText"/>
        <w:spacing w:after="120" w:line="276" w:lineRule="auto"/>
        <w:jc w:val="both"/>
        <w:rPr>
          <w:b/>
          <w:bCs/>
          <w:sz w:val="24"/>
          <w:szCs w:val="24"/>
          <w:lang w:val="en-GB"/>
        </w:rPr>
      </w:pPr>
    </w:p>
    <w:p w14:paraId="14396717" w14:textId="77777777" w:rsidR="00482330" w:rsidRDefault="00482330" w:rsidP="00E4188C">
      <w:pPr>
        <w:pStyle w:val="BodyText"/>
        <w:spacing w:after="120" w:line="276" w:lineRule="auto"/>
        <w:jc w:val="both"/>
        <w:rPr>
          <w:b/>
          <w:bCs/>
          <w:sz w:val="24"/>
          <w:szCs w:val="24"/>
          <w:lang w:val="en-GB"/>
        </w:rPr>
      </w:pPr>
    </w:p>
    <w:p w14:paraId="70D8CAB8" w14:textId="77777777" w:rsidR="00482330" w:rsidRDefault="00482330" w:rsidP="00E4188C">
      <w:pPr>
        <w:pStyle w:val="BodyText"/>
        <w:spacing w:after="120" w:line="276" w:lineRule="auto"/>
        <w:jc w:val="both"/>
        <w:rPr>
          <w:b/>
          <w:bCs/>
          <w:sz w:val="24"/>
          <w:szCs w:val="24"/>
          <w:lang w:val="en-GB"/>
        </w:rPr>
      </w:pPr>
    </w:p>
    <w:p w14:paraId="5C471B7C" w14:textId="77777777" w:rsidR="00482330" w:rsidRDefault="00482330" w:rsidP="00E4188C">
      <w:pPr>
        <w:pStyle w:val="BodyText"/>
        <w:spacing w:after="120" w:line="276" w:lineRule="auto"/>
        <w:jc w:val="both"/>
        <w:rPr>
          <w:b/>
          <w:bCs/>
          <w:sz w:val="24"/>
          <w:szCs w:val="24"/>
          <w:lang w:val="en-GB"/>
        </w:rPr>
      </w:pPr>
    </w:p>
    <w:p w14:paraId="389F9467" w14:textId="77777777" w:rsidR="00482330" w:rsidRDefault="00482330" w:rsidP="00E4188C">
      <w:pPr>
        <w:pStyle w:val="BodyText"/>
        <w:spacing w:after="120" w:line="276" w:lineRule="auto"/>
        <w:jc w:val="both"/>
        <w:rPr>
          <w:b/>
          <w:bCs/>
          <w:sz w:val="24"/>
          <w:szCs w:val="24"/>
          <w:lang w:val="en-GB"/>
        </w:rPr>
      </w:pPr>
    </w:p>
    <w:p w14:paraId="592CC9DD" w14:textId="77777777" w:rsidR="00482330" w:rsidRDefault="00482330" w:rsidP="00E4188C">
      <w:pPr>
        <w:pStyle w:val="BodyText"/>
        <w:spacing w:after="120" w:line="276" w:lineRule="auto"/>
        <w:jc w:val="both"/>
        <w:rPr>
          <w:b/>
          <w:bCs/>
          <w:sz w:val="24"/>
          <w:szCs w:val="24"/>
          <w:lang w:val="en-GB"/>
        </w:rPr>
      </w:pPr>
    </w:p>
    <w:p w14:paraId="5937A564" w14:textId="77777777" w:rsidR="00482330" w:rsidRDefault="00482330" w:rsidP="00E4188C">
      <w:pPr>
        <w:pStyle w:val="BodyText"/>
        <w:spacing w:after="120" w:line="276" w:lineRule="auto"/>
        <w:jc w:val="both"/>
        <w:rPr>
          <w:b/>
          <w:bCs/>
          <w:sz w:val="24"/>
          <w:szCs w:val="24"/>
          <w:lang w:val="en-GB"/>
        </w:rPr>
      </w:pPr>
    </w:p>
    <w:p w14:paraId="0F5D9FFA" w14:textId="77777777" w:rsidR="00482330" w:rsidRDefault="00482330" w:rsidP="00E4188C">
      <w:pPr>
        <w:pStyle w:val="BodyText"/>
        <w:spacing w:after="120" w:line="276" w:lineRule="auto"/>
        <w:jc w:val="both"/>
        <w:rPr>
          <w:b/>
          <w:bCs/>
          <w:sz w:val="24"/>
          <w:szCs w:val="24"/>
          <w:lang w:val="en-GB"/>
        </w:rPr>
      </w:pPr>
    </w:p>
    <w:p w14:paraId="41778B7E" w14:textId="77777777" w:rsidR="00482330" w:rsidRDefault="00482330" w:rsidP="00E4188C">
      <w:pPr>
        <w:pStyle w:val="BodyText"/>
        <w:spacing w:after="120" w:line="276" w:lineRule="auto"/>
        <w:jc w:val="both"/>
        <w:rPr>
          <w:b/>
          <w:bCs/>
          <w:sz w:val="24"/>
          <w:szCs w:val="24"/>
          <w:lang w:val="en-GB"/>
        </w:rPr>
      </w:pPr>
    </w:p>
    <w:p w14:paraId="5AE128A8" w14:textId="29A8DFD9" w:rsidR="008644C5" w:rsidRPr="00482330" w:rsidRDefault="00CD2725" w:rsidP="00E4188C">
      <w:pPr>
        <w:pStyle w:val="BodyText"/>
        <w:spacing w:after="120" w:line="276" w:lineRule="auto"/>
        <w:jc w:val="both"/>
        <w:rPr>
          <w:sz w:val="22"/>
          <w:szCs w:val="22"/>
          <w:lang w:val="en-GB"/>
        </w:rPr>
      </w:pPr>
      <w:r w:rsidRPr="00482330">
        <w:rPr>
          <w:b/>
          <w:bCs/>
          <w:sz w:val="22"/>
          <w:szCs w:val="22"/>
          <w:lang w:val="en-GB"/>
        </w:rPr>
        <w:t>Table</w:t>
      </w:r>
      <w:r w:rsidR="00C91674" w:rsidRPr="00482330">
        <w:rPr>
          <w:b/>
          <w:bCs/>
          <w:sz w:val="22"/>
          <w:szCs w:val="22"/>
          <w:lang w:val="en-GB"/>
        </w:rPr>
        <w:t xml:space="preserve"> II:</w:t>
      </w:r>
      <w:r w:rsidR="00C91674" w:rsidRPr="00482330">
        <w:rPr>
          <w:sz w:val="22"/>
          <w:szCs w:val="22"/>
          <w:lang w:val="en-GB"/>
        </w:rPr>
        <w:t xml:space="preserve"> </w:t>
      </w:r>
      <w:r w:rsidRPr="00482330">
        <w:rPr>
          <w:sz w:val="22"/>
          <w:szCs w:val="22"/>
          <w:lang w:val="en-GB"/>
        </w:rPr>
        <w:t xml:space="preserve">Distribution of patients according to their clinical characteristics, Department of Infectious </w:t>
      </w:r>
      <w:r w:rsidRPr="00482330">
        <w:rPr>
          <w:sz w:val="22"/>
          <w:szCs w:val="22"/>
          <w:lang w:val="en-GB"/>
        </w:rPr>
        <w:lastRenderedPageBreak/>
        <w:t>and Tropical Diseases (SMIT) of Fann Teaching Hospital, 2010-2021 (n = 938)</w:t>
      </w:r>
    </w:p>
    <w:tbl>
      <w:tblPr>
        <w:tblStyle w:val="TableNormal1"/>
        <w:tblW w:w="8789" w:type="dxa"/>
        <w:jc w:val="center"/>
        <w:tblInd w:w="0" w:type="dxa"/>
        <w:tblLayout w:type="fixed"/>
        <w:tblLook w:val="04A0" w:firstRow="1" w:lastRow="0" w:firstColumn="1" w:lastColumn="0" w:noHBand="0" w:noVBand="1"/>
      </w:tblPr>
      <w:tblGrid>
        <w:gridCol w:w="2929"/>
        <w:gridCol w:w="190"/>
        <w:gridCol w:w="2551"/>
        <w:gridCol w:w="189"/>
        <w:gridCol w:w="2930"/>
      </w:tblGrid>
      <w:tr w:rsidR="003A7DBA" w:rsidRPr="00482330" w14:paraId="2F5101A9" w14:textId="77777777" w:rsidTr="00E20855">
        <w:trPr>
          <w:trHeight w:val="699"/>
          <w:jc w:val="center"/>
        </w:trPr>
        <w:tc>
          <w:tcPr>
            <w:tcW w:w="3119" w:type="dxa"/>
            <w:gridSpan w:val="2"/>
            <w:tcBorders>
              <w:top w:val="single" w:sz="4" w:space="0" w:color="000000"/>
              <w:bottom w:val="single" w:sz="4" w:space="0" w:color="000000"/>
            </w:tcBorders>
            <w:vAlign w:val="center"/>
          </w:tcPr>
          <w:p w14:paraId="5DA3A46A" w14:textId="501DCD93" w:rsidR="003A7DBA" w:rsidRPr="00482330" w:rsidRDefault="003A7DBA" w:rsidP="00E4188C">
            <w:pPr>
              <w:pStyle w:val="TableParagraph"/>
              <w:spacing w:after="120" w:line="276" w:lineRule="auto"/>
              <w:jc w:val="both"/>
              <w:rPr>
                <w:bCs/>
              </w:rPr>
            </w:pPr>
            <w:r w:rsidRPr="00482330">
              <w:rPr>
                <w:b/>
              </w:rPr>
              <w:t>C</w:t>
            </w:r>
            <w:r w:rsidR="00CD2725" w:rsidRPr="00482330">
              <w:rPr>
                <w:b/>
              </w:rPr>
              <w:t>h</w:t>
            </w:r>
            <w:r w:rsidRPr="00482330">
              <w:rPr>
                <w:b/>
              </w:rPr>
              <w:t>aract</w:t>
            </w:r>
            <w:r w:rsidR="00CD2725" w:rsidRPr="00482330">
              <w:rPr>
                <w:b/>
              </w:rPr>
              <w:t>eristics</w:t>
            </w:r>
          </w:p>
        </w:tc>
        <w:tc>
          <w:tcPr>
            <w:tcW w:w="2551" w:type="dxa"/>
            <w:tcBorders>
              <w:top w:val="single" w:sz="4" w:space="0" w:color="000000"/>
              <w:bottom w:val="single" w:sz="4" w:space="0" w:color="000000"/>
            </w:tcBorders>
            <w:vAlign w:val="center"/>
          </w:tcPr>
          <w:p w14:paraId="69E74C4C" w14:textId="6E35931A" w:rsidR="003A7DBA" w:rsidRPr="00482330" w:rsidRDefault="00CD2725" w:rsidP="00E4188C">
            <w:pPr>
              <w:pBdr>
                <w:top w:val="none" w:sz="0" w:space="0" w:color="000000"/>
                <w:left w:val="none" w:sz="0" w:space="0" w:color="000000"/>
                <w:bottom w:val="none" w:sz="0" w:space="0" w:color="000000"/>
                <w:right w:val="none" w:sz="0" w:space="0" w:color="000000"/>
              </w:pBdr>
              <w:spacing w:after="120" w:line="276" w:lineRule="auto"/>
              <w:jc w:val="both"/>
              <w:rPr>
                <w:rFonts w:eastAsia="Arial"/>
                <w:b/>
                <w:bCs/>
                <w:sz w:val="22"/>
                <w:szCs w:val="22"/>
              </w:rPr>
            </w:pPr>
            <w:r w:rsidRPr="00482330">
              <w:rPr>
                <w:rFonts w:eastAsia="Arial"/>
                <w:b/>
                <w:bCs/>
                <w:sz w:val="22"/>
                <w:szCs w:val="22"/>
              </w:rPr>
              <w:t>Absolute frequency</w:t>
            </w:r>
            <w:r w:rsidR="003A7DBA" w:rsidRPr="00482330">
              <w:rPr>
                <w:rFonts w:eastAsia="Arial"/>
                <w:b/>
                <w:bCs/>
                <w:sz w:val="22"/>
                <w:szCs w:val="22"/>
              </w:rPr>
              <w:t xml:space="preserve"> </w:t>
            </w:r>
            <w:r w:rsidR="003A7DBA" w:rsidRPr="00482330">
              <w:rPr>
                <w:b/>
                <w:bCs/>
                <w:sz w:val="22"/>
                <w:szCs w:val="22"/>
              </w:rPr>
              <w:t>(n)</w:t>
            </w:r>
          </w:p>
        </w:tc>
        <w:tc>
          <w:tcPr>
            <w:tcW w:w="3119" w:type="dxa"/>
            <w:gridSpan w:val="2"/>
            <w:tcBorders>
              <w:top w:val="single" w:sz="4" w:space="0" w:color="000000"/>
              <w:bottom w:val="single" w:sz="4" w:space="0" w:color="000000"/>
            </w:tcBorders>
            <w:vAlign w:val="center"/>
          </w:tcPr>
          <w:p w14:paraId="6966FEFC" w14:textId="36DA92DD" w:rsidR="003A7DBA" w:rsidRPr="00482330" w:rsidRDefault="00CD2725" w:rsidP="00E4188C">
            <w:pPr>
              <w:pStyle w:val="TableParagraph"/>
              <w:spacing w:after="120" w:line="276" w:lineRule="auto"/>
              <w:jc w:val="both"/>
              <w:rPr>
                <w:bCs/>
              </w:rPr>
            </w:pPr>
            <w:r w:rsidRPr="00482330">
              <w:rPr>
                <w:rFonts w:eastAsia="Arial"/>
                <w:b/>
                <w:bCs/>
              </w:rPr>
              <w:t>R</w:t>
            </w:r>
            <w:r w:rsidR="003A7DBA" w:rsidRPr="00482330">
              <w:rPr>
                <w:rFonts w:eastAsia="Arial"/>
                <w:b/>
                <w:bCs/>
              </w:rPr>
              <w:t>elative</w:t>
            </w:r>
            <w:r w:rsidRPr="00482330">
              <w:rPr>
                <w:rFonts w:eastAsia="Arial"/>
                <w:b/>
                <w:bCs/>
              </w:rPr>
              <w:t xml:space="preserve"> frequency</w:t>
            </w:r>
            <w:r w:rsidR="003A7DBA" w:rsidRPr="00482330">
              <w:rPr>
                <w:rFonts w:eastAsia="Arial"/>
                <w:b/>
                <w:bCs/>
              </w:rPr>
              <w:t xml:space="preserve"> (%)</w:t>
            </w:r>
          </w:p>
        </w:tc>
      </w:tr>
      <w:tr w:rsidR="003A7DBA" w:rsidRPr="00482330" w14:paraId="5133486E" w14:textId="77777777" w:rsidTr="0022045E">
        <w:trPr>
          <w:trHeight w:val="419"/>
          <w:jc w:val="center"/>
        </w:trPr>
        <w:tc>
          <w:tcPr>
            <w:tcW w:w="8789" w:type="dxa"/>
            <w:gridSpan w:val="5"/>
            <w:tcBorders>
              <w:top w:val="single" w:sz="4" w:space="0" w:color="000000"/>
            </w:tcBorders>
          </w:tcPr>
          <w:p w14:paraId="51B96A63" w14:textId="66B4F917" w:rsidR="003A7DBA" w:rsidRPr="00482330" w:rsidRDefault="00CD2725" w:rsidP="00E4188C">
            <w:pPr>
              <w:pStyle w:val="TableParagraph"/>
              <w:spacing w:after="120" w:line="276" w:lineRule="auto"/>
              <w:jc w:val="both"/>
              <w:rPr>
                <w:rFonts w:eastAsia="Arial"/>
                <w:bCs/>
                <w:i/>
                <w:iCs/>
              </w:rPr>
            </w:pPr>
            <w:r w:rsidRPr="00482330">
              <w:rPr>
                <w:rFonts w:eastAsia="Arial"/>
                <w:b/>
                <w:i/>
                <w:iCs/>
              </w:rPr>
              <w:t>GATEWAYS</w:t>
            </w:r>
          </w:p>
        </w:tc>
      </w:tr>
      <w:tr w:rsidR="00D47D0D" w:rsidRPr="00482330" w14:paraId="46A7EB50" w14:textId="77777777" w:rsidTr="00E20855">
        <w:trPr>
          <w:trHeight w:val="419"/>
          <w:jc w:val="center"/>
        </w:trPr>
        <w:tc>
          <w:tcPr>
            <w:tcW w:w="3119" w:type="dxa"/>
            <w:gridSpan w:val="2"/>
          </w:tcPr>
          <w:p w14:paraId="376E9674" w14:textId="63375E6A" w:rsidR="00D47D0D" w:rsidRPr="00482330" w:rsidRDefault="00CD2725" w:rsidP="00E4188C">
            <w:pPr>
              <w:pStyle w:val="TableParagraph"/>
              <w:spacing w:after="120" w:line="276" w:lineRule="auto"/>
              <w:jc w:val="both"/>
              <w:rPr>
                <w:bCs/>
                <w:spacing w:val="-2"/>
              </w:rPr>
            </w:pPr>
            <w:r w:rsidRPr="00482330">
              <w:rPr>
                <w:rFonts w:eastAsia="Arial"/>
              </w:rPr>
              <w:t>Cutaneous</w:t>
            </w:r>
          </w:p>
        </w:tc>
        <w:tc>
          <w:tcPr>
            <w:tcW w:w="2551" w:type="dxa"/>
          </w:tcPr>
          <w:p w14:paraId="288EA899" w14:textId="059F0AFE" w:rsidR="00D47D0D" w:rsidRPr="00482330" w:rsidRDefault="00D47D0D" w:rsidP="00C42DF0">
            <w:pPr>
              <w:pStyle w:val="TableParagraph"/>
              <w:spacing w:after="120" w:line="276" w:lineRule="auto"/>
              <w:jc w:val="center"/>
              <w:rPr>
                <w:rFonts w:eastAsia="Arial"/>
                <w:bCs/>
              </w:rPr>
            </w:pPr>
            <w:r w:rsidRPr="00482330">
              <w:t>674</w:t>
            </w:r>
          </w:p>
        </w:tc>
        <w:tc>
          <w:tcPr>
            <w:tcW w:w="3119" w:type="dxa"/>
            <w:gridSpan w:val="2"/>
          </w:tcPr>
          <w:p w14:paraId="03E6C1DD" w14:textId="7E116D03" w:rsidR="00D47D0D" w:rsidRPr="00482330" w:rsidRDefault="00D47D0D" w:rsidP="00C42DF0">
            <w:pPr>
              <w:pStyle w:val="TableParagraph"/>
              <w:spacing w:after="120" w:line="276" w:lineRule="auto"/>
              <w:jc w:val="center"/>
              <w:rPr>
                <w:rFonts w:eastAsia="Arial"/>
                <w:bCs/>
                <w:i/>
                <w:iCs/>
              </w:rPr>
            </w:pPr>
            <w:r w:rsidRPr="00482330">
              <w:rPr>
                <w:i/>
                <w:iCs/>
              </w:rPr>
              <w:t>71,86</w:t>
            </w:r>
          </w:p>
        </w:tc>
      </w:tr>
      <w:tr w:rsidR="00D47D0D" w:rsidRPr="00482330" w14:paraId="3177FDED" w14:textId="77777777" w:rsidTr="00E20855">
        <w:trPr>
          <w:trHeight w:val="419"/>
          <w:jc w:val="center"/>
        </w:trPr>
        <w:tc>
          <w:tcPr>
            <w:tcW w:w="3119" w:type="dxa"/>
            <w:gridSpan w:val="2"/>
          </w:tcPr>
          <w:p w14:paraId="32FB4676" w14:textId="7015CD9A" w:rsidR="00D47D0D" w:rsidRPr="00482330" w:rsidRDefault="00CD2725" w:rsidP="00E4188C">
            <w:pPr>
              <w:pStyle w:val="TableParagraph"/>
              <w:spacing w:after="120" w:line="276" w:lineRule="auto"/>
              <w:jc w:val="both"/>
              <w:rPr>
                <w:bCs/>
                <w:spacing w:val="-2"/>
              </w:rPr>
            </w:pPr>
            <w:r w:rsidRPr="00482330">
              <w:rPr>
                <w:rFonts w:eastAsia="Arial"/>
                <w:lang w:val="en-US"/>
              </w:rPr>
              <w:t>Post-circum</w:t>
            </w:r>
            <w:r w:rsidR="00D47D0D" w:rsidRPr="00482330">
              <w:rPr>
                <w:rFonts w:eastAsia="Arial"/>
                <w:lang w:val="en-US"/>
              </w:rPr>
              <w:t>cision</w:t>
            </w:r>
          </w:p>
        </w:tc>
        <w:tc>
          <w:tcPr>
            <w:tcW w:w="2551" w:type="dxa"/>
          </w:tcPr>
          <w:p w14:paraId="6CCAF402" w14:textId="21938A34" w:rsidR="00D47D0D" w:rsidRPr="00482330" w:rsidRDefault="00D47D0D" w:rsidP="00C42DF0">
            <w:pPr>
              <w:pStyle w:val="TableParagraph"/>
              <w:spacing w:after="120" w:line="276" w:lineRule="auto"/>
              <w:jc w:val="center"/>
              <w:rPr>
                <w:rFonts w:eastAsia="Arial"/>
                <w:bCs/>
              </w:rPr>
            </w:pPr>
            <w:r w:rsidRPr="00482330">
              <w:t>53</w:t>
            </w:r>
          </w:p>
        </w:tc>
        <w:tc>
          <w:tcPr>
            <w:tcW w:w="3119" w:type="dxa"/>
            <w:gridSpan w:val="2"/>
          </w:tcPr>
          <w:p w14:paraId="40FFD415" w14:textId="695A1E1B" w:rsidR="00D47D0D" w:rsidRPr="00482330" w:rsidRDefault="00D47D0D" w:rsidP="00C42DF0">
            <w:pPr>
              <w:pStyle w:val="TableParagraph"/>
              <w:spacing w:after="120" w:line="276" w:lineRule="auto"/>
              <w:jc w:val="center"/>
              <w:rPr>
                <w:rFonts w:eastAsia="Arial"/>
                <w:bCs/>
                <w:i/>
                <w:iCs/>
              </w:rPr>
            </w:pPr>
            <w:r w:rsidRPr="00482330">
              <w:rPr>
                <w:i/>
                <w:iCs/>
              </w:rPr>
              <w:t>5,65</w:t>
            </w:r>
          </w:p>
        </w:tc>
      </w:tr>
      <w:tr w:rsidR="00D47D0D" w:rsidRPr="00482330" w14:paraId="4D362A5C" w14:textId="77777777" w:rsidTr="00E20855">
        <w:trPr>
          <w:trHeight w:val="419"/>
          <w:jc w:val="center"/>
        </w:trPr>
        <w:tc>
          <w:tcPr>
            <w:tcW w:w="3119" w:type="dxa"/>
            <w:gridSpan w:val="2"/>
          </w:tcPr>
          <w:p w14:paraId="63552DD5" w14:textId="39EAB280" w:rsidR="00D47D0D" w:rsidRPr="00482330" w:rsidRDefault="00CD2725" w:rsidP="00E4188C">
            <w:pPr>
              <w:pStyle w:val="TableParagraph"/>
              <w:spacing w:after="120" w:line="276" w:lineRule="auto"/>
              <w:jc w:val="both"/>
              <w:rPr>
                <w:bCs/>
                <w:spacing w:val="-2"/>
              </w:rPr>
            </w:pPr>
            <w:r w:rsidRPr="00482330">
              <w:rPr>
                <w:bCs/>
                <w:spacing w:val="-2"/>
              </w:rPr>
              <w:t>Surgical</w:t>
            </w:r>
          </w:p>
        </w:tc>
        <w:tc>
          <w:tcPr>
            <w:tcW w:w="2551" w:type="dxa"/>
          </w:tcPr>
          <w:p w14:paraId="55CC422F" w14:textId="3429B293" w:rsidR="00D47D0D" w:rsidRPr="00482330" w:rsidRDefault="00D47D0D" w:rsidP="00C42DF0">
            <w:pPr>
              <w:pStyle w:val="TableParagraph"/>
              <w:spacing w:after="120" w:line="276" w:lineRule="auto"/>
              <w:jc w:val="center"/>
              <w:rPr>
                <w:rFonts w:eastAsia="Arial"/>
                <w:bCs/>
              </w:rPr>
            </w:pPr>
            <w:r w:rsidRPr="00482330">
              <w:t>37</w:t>
            </w:r>
          </w:p>
        </w:tc>
        <w:tc>
          <w:tcPr>
            <w:tcW w:w="3119" w:type="dxa"/>
            <w:gridSpan w:val="2"/>
          </w:tcPr>
          <w:p w14:paraId="1813DDF1" w14:textId="4401E181" w:rsidR="00D47D0D" w:rsidRPr="00482330" w:rsidRDefault="00D47D0D" w:rsidP="00C42DF0">
            <w:pPr>
              <w:pStyle w:val="TableParagraph"/>
              <w:spacing w:after="120" w:line="276" w:lineRule="auto"/>
              <w:jc w:val="center"/>
              <w:rPr>
                <w:rFonts w:eastAsia="Arial"/>
                <w:bCs/>
                <w:i/>
                <w:iCs/>
              </w:rPr>
            </w:pPr>
            <w:r w:rsidRPr="00482330">
              <w:rPr>
                <w:i/>
                <w:iCs/>
              </w:rPr>
              <w:t>3,94</w:t>
            </w:r>
          </w:p>
        </w:tc>
      </w:tr>
      <w:tr w:rsidR="00D47D0D" w:rsidRPr="00482330" w14:paraId="7F4FC5DA" w14:textId="77777777" w:rsidTr="00E20855">
        <w:trPr>
          <w:trHeight w:val="419"/>
          <w:jc w:val="center"/>
        </w:trPr>
        <w:tc>
          <w:tcPr>
            <w:tcW w:w="3119" w:type="dxa"/>
            <w:gridSpan w:val="2"/>
          </w:tcPr>
          <w:p w14:paraId="3203F406" w14:textId="4E40EF38" w:rsidR="00D47D0D" w:rsidRPr="00482330" w:rsidRDefault="00401AF8" w:rsidP="00E4188C">
            <w:pPr>
              <w:pStyle w:val="TableParagraph"/>
              <w:spacing w:after="120" w:line="276" w:lineRule="auto"/>
              <w:jc w:val="both"/>
              <w:rPr>
                <w:bCs/>
                <w:spacing w:val="-2"/>
              </w:rPr>
            </w:pPr>
            <w:r w:rsidRPr="00482330">
              <w:rPr>
                <w:rFonts w:eastAsia="Arial"/>
              </w:rPr>
              <w:t>Otogenous</w:t>
            </w:r>
          </w:p>
        </w:tc>
        <w:tc>
          <w:tcPr>
            <w:tcW w:w="2551" w:type="dxa"/>
          </w:tcPr>
          <w:p w14:paraId="5CB55388" w14:textId="4141E114" w:rsidR="00D47D0D" w:rsidRPr="00482330" w:rsidRDefault="00D47D0D" w:rsidP="00C42DF0">
            <w:pPr>
              <w:pStyle w:val="TableParagraph"/>
              <w:spacing w:after="120" w:line="276" w:lineRule="auto"/>
              <w:jc w:val="center"/>
              <w:rPr>
                <w:rFonts w:eastAsia="Arial"/>
                <w:bCs/>
              </w:rPr>
            </w:pPr>
            <w:r w:rsidRPr="00482330">
              <w:t>28</w:t>
            </w:r>
          </w:p>
        </w:tc>
        <w:tc>
          <w:tcPr>
            <w:tcW w:w="3119" w:type="dxa"/>
            <w:gridSpan w:val="2"/>
          </w:tcPr>
          <w:p w14:paraId="335281F1" w14:textId="220C531B" w:rsidR="00D47D0D" w:rsidRPr="00482330" w:rsidRDefault="00D47D0D" w:rsidP="00C42DF0">
            <w:pPr>
              <w:pStyle w:val="TableParagraph"/>
              <w:spacing w:after="120" w:line="276" w:lineRule="auto"/>
              <w:jc w:val="center"/>
              <w:rPr>
                <w:rFonts w:eastAsia="Arial"/>
                <w:bCs/>
                <w:i/>
                <w:iCs/>
              </w:rPr>
            </w:pPr>
            <w:r w:rsidRPr="00482330">
              <w:rPr>
                <w:i/>
                <w:iCs/>
              </w:rPr>
              <w:t>2,99</w:t>
            </w:r>
          </w:p>
        </w:tc>
      </w:tr>
      <w:tr w:rsidR="00D47D0D" w:rsidRPr="00482330" w14:paraId="4791BAC1" w14:textId="77777777" w:rsidTr="00E20855">
        <w:trPr>
          <w:trHeight w:val="419"/>
          <w:jc w:val="center"/>
        </w:trPr>
        <w:tc>
          <w:tcPr>
            <w:tcW w:w="3119" w:type="dxa"/>
            <w:gridSpan w:val="2"/>
          </w:tcPr>
          <w:p w14:paraId="32662B17" w14:textId="1E063A9C" w:rsidR="00D47D0D" w:rsidRPr="00482330" w:rsidRDefault="00CD2725" w:rsidP="00E4188C">
            <w:pPr>
              <w:pStyle w:val="TableParagraph"/>
              <w:spacing w:after="120" w:line="276" w:lineRule="auto"/>
              <w:jc w:val="both"/>
              <w:rPr>
                <w:bCs/>
                <w:spacing w:val="-2"/>
              </w:rPr>
            </w:pPr>
            <w:r w:rsidRPr="00482330">
              <w:rPr>
                <w:rFonts w:eastAsia="Arial"/>
              </w:rPr>
              <w:t>Dental</w:t>
            </w:r>
          </w:p>
        </w:tc>
        <w:tc>
          <w:tcPr>
            <w:tcW w:w="2551" w:type="dxa"/>
          </w:tcPr>
          <w:p w14:paraId="148FE49B" w14:textId="18C2555A" w:rsidR="00D47D0D" w:rsidRPr="00482330" w:rsidRDefault="00D47D0D" w:rsidP="00C42DF0">
            <w:pPr>
              <w:pStyle w:val="TableParagraph"/>
              <w:spacing w:after="120" w:line="276" w:lineRule="auto"/>
              <w:jc w:val="center"/>
              <w:rPr>
                <w:rFonts w:eastAsia="Arial"/>
                <w:bCs/>
              </w:rPr>
            </w:pPr>
            <w:r w:rsidRPr="00482330">
              <w:t>19</w:t>
            </w:r>
          </w:p>
        </w:tc>
        <w:tc>
          <w:tcPr>
            <w:tcW w:w="3119" w:type="dxa"/>
            <w:gridSpan w:val="2"/>
          </w:tcPr>
          <w:p w14:paraId="6F41BA37" w14:textId="652E2F76" w:rsidR="00D47D0D" w:rsidRPr="00482330" w:rsidRDefault="00D47D0D" w:rsidP="00C42DF0">
            <w:pPr>
              <w:pStyle w:val="TableParagraph"/>
              <w:spacing w:after="120" w:line="276" w:lineRule="auto"/>
              <w:jc w:val="center"/>
              <w:rPr>
                <w:rFonts w:eastAsia="Arial"/>
                <w:bCs/>
                <w:i/>
                <w:iCs/>
              </w:rPr>
            </w:pPr>
            <w:r w:rsidRPr="00482330">
              <w:rPr>
                <w:i/>
                <w:iCs/>
              </w:rPr>
              <w:t>2,03</w:t>
            </w:r>
          </w:p>
        </w:tc>
      </w:tr>
      <w:tr w:rsidR="00810105" w:rsidRPr="00482330" w14:paraId="4788A335" w14:textId="77777777" w:rsidTr="00E20855">
        <w:trPr>
          <w:trHeight w:val="419"/>
          <w:jc w:val="center"/>
        </w:trPr>
        <w:tc>
          <w:tcPr>
            <w:tcW w:w="3119" w:type="dxa"/>
            <w:gridSpan w:val="2"/>
          </w:tcPr>
          <w:p w14:paraId="47C90049" w14:textId="6C1D0BFA" w:rsidR="00810105" w:rsidRPr="00482330" w:rsidRDefault="00CD2725" w:rsidP="00E4188C">
            <w:pPr>
              <w:pStyle w:val="TableParagraph"/>
              <w:spacing w:after="120" w:line="276" w:lineRule="auto"/>
              <w:jc w:val="both"/>
              <w:rPr>
                <w:rFonts w:eastAsia="Arial"/>
              </w:rPr>
            </w:pPr>
            <w:r w:rsidRPr="00482330">
              <w:rPr>
                <w:rFonts w:eastAsia="Arial"/>
              </w:rPr>
              <w:t>Compound fracture</w:t>
            </w:r>
          </w:p>
        </w:tc>
        <w:tc>
          <w:tcPr>
            <w:tcW w:w="2551" w:type="dxa"/>
          </w:tcPr>
          <w:p w14:paraId="051CD800" w14:textId="1232C23C" w:rsidR="00810105" w:rsidRPr="00482330" w:rsidRDefault="00E20855" w:rsidP="00C42DF0">
            <w:pPr>
              <w:pStyle w:val="TableParagraph"/>
              <w:spacing w:after="120" w:line="276" w:lineRule="auto"/>
              <w:jc w:val="center"/>
            </w:pPr>
            <w:r w:rsidRPr="00482330">
              <w:t>13</w:t>
            </w:r>
          </w:p>
        </w:tc>
        <w:tc>
          <w:tcPr>
            <w:tcW w:w="3119" w:type="dxa"/>
            <w:gridSpan w:val="2"/>
          </w:tcPr>
          <w:p w14:paraId="3E97258F" w14:textId="3B7D5366" w:rsidR="00810105" w:rsidRPr="00482330" w:rsidRDefault="00E20855" w:rsidP="00C42DF0">
            <w:pPr>
              <w:pStyle w:val="TableParagraph"/>
              <w:spacing w:after="120" w:line="276" w:lineRule="auto"/>
              <w:jc w:val="center"/>
              <w:rPr>
                <w:i/>
                <w:iCs/>
              </w:rPr>
            </w:pPr>
            <w:r w:rsidRPr="00482330">
              <w:rPr>
                <w:i/>
                <w:iCs/>
              </w:rPr>
              <w:t>1.39</w:t>
            </w:r>
          </w:p>
        </w:tc>
      </w:tr>
      <w:tr w:rsidR="003A7DBA" w:rsidRPr="00482330" w14:paraId="5A1DE2BD" w14:textId="77777777" w:rsidTr="00E20855">
        <w:trPr>
          <w:trHeight w:val="419"/>
          <w:jc w:val="center"/>
        </w:trPr>
        <w:tc>
          <w:tcPr>
            <w:tcW w:w="3119" w:type="dxa"/>
            <w:gridSpan w:val="2"/>
          </w:tcPr>
          <w:p w14:paraId="3CB651CF" w14:textId="598B6071" w:rsidR="003A7DBA" w:rsidRPr="00482330" w:rsidRDefault="00CD2725" w:rsidP="00E4188C">
            <w:pPr>
              <w:pStyle w:val="TableParagraph"/>
              <w:spacing w:after="120" w:line="276" w:lineRule="auto"/>
              <w:jc w:val="both"/>
              <w:rPr>
                <w:rFonts w:eastAsia="Arial"/>
              </w:rPr>
            </w:pPr>
            <w:r w:rsidRPr="00482330">
              <w:rPr>
                <w:rFonts w:eastAsia="Arial"/>
              </w:rPr>
              <w:t>Intramuscular</w:t>
            </w:r>
          </w:p>
        </w:tc>
        <w:tc>
          <w:tcPr>
            <w:tcW w:w="2551" w:type="dxa"/>
          </w:tcPr>
          <w:p w14:paraId="396D47EB" w14:textId="1CA81C00" w:rsidR="003A7DBA" w:rsidRPr="00482330" w:rsidRDefault="00E20855" w:rsidP="00C42DF0">
            <w:pPr>
              <w:pStyle w:val="TableParagraph"/>
              <w:spacing w:after="120" w:line="276" w:lineRule="auto"/>
              <w:jc w:val="center"/>
              <w:rPr>
                <w:rFonts w:eastAsia="Arial"/>
              </w:rPr>
            </w:pPr>
            <w:r w:rsidRPr="00482330">
              <w:rPr>
                <w:rFonts w:eastAsia="Arial"/>
              </w:rPr>
              <w:t>7</w:t>
            </w:r>
          </w:p>
        </w:tc>
        <w:tc>
          <w:tcPr>
            <w:tcW w:w="3119" w:type="dxa"/>
            <w:gridSpan w:val="2"/>
          </w:tcPr>
          <w:p w14:paraId="306CD46B" w14:textId="7F31CB0F" w:rsidR="003A7DBA" w:rsidRPr="00482330" w:rsidRDefault="00E20855" w:rsidP="00C42DF0">
            <w:pPr>
              <w:pStyle w:val="TableParagraph"/>
              <w:spacing w:after="120" w:line="276" w:lineRule="auto"/>
              <w:jc w:val="center"/>
              <w:rPr>
                <w:rFonts w:eastAsia="Arial"/>
                <w:i/>
                <w:iCs/>
              </w:rPr>
            </w:pPr>
            <w:r w:rsidRPr="00482330">
              <w:rPr>
                <w:rFonts w:eastAsia="Arial"/>
                <w:i/>
                <w:iCs/>
              </w:rPr>
              <w:t>0.75</w:t>
            </w:r>
          </w:p>
        </w:tc>
      </w:tr>
      <w:tr w:rsidR="00E20855" w:rsidRPr="00482330" w14:paraId="3A722BB3" w14:textId="77777777" w:rsidTr="00E20855">
        <w:trPr>
          <w:trHeight w:val="419"/>
          <w:jc w:val="center"/>
        </w:trPr>
        <w:tc>
          <w:tcPr>
            <w:tcW w:w="3119" w:type="dxa"/>
            <w:gridSpan w:val="2"/>
          </w:tcPr>
          <w:p w14:paraId="479C4BB8" w14:textId="0ECDF6C7" w:rsidR="00E20855" w:rsidRPr="00482330" w:rsidRDefault="00CD2725" w:rsidP="00E4188C">
            <w:pPr>
              <w:pStyle w:val="TableParagraph"/>
              <w:spacing w:after="120" w:line="276" w:lineRule="auto"/>
              <w:jc w:val="both"/>
              <w:rPr>
                <w:rFonts w:eastAsia="Arial"/>
              </w:rPr>
            </w:pPr>
            <w:r w:rsidRPr="00482330">
              <w:rPr>
                <w:rFonts w:eastAsia="Arial"/>
                <w:lang w:val="en-US"/>
              </w:rPr>
              <w:t>Ute</w:t>
            </w:r>
            <w:r w:rsidR="00E20855" w:rsidRPr="00482330">
              <w:rPr>
                <w:rFonts w:eastAsia="Arial"/>
                <w:lang w:val="en-US"/>
              </w:rPr>
              <w:t>rine (post-abortum)</w:t>
            </w:r>
          </w:p>
        </w:tc>
        <w:tc>
          <w:tcPr>
            <w:tcW w:w="2551" w:type="dxa"/>
          </w:tcPr>
          <w:p w14:paraId="5211AAB5" w14:textId="122B54E1" w:rsidR="00E20855" w:rsidRPr="00482330" w:rsidRDefault="00E20855" w:rsidP="00C42DF0">
            <w:pPr>
              <w:pStyle w:val="TableParagraph"/>
              <w:spacing w:after="120" w:line="276" w:lineRule="auto"/>
              <w:jc w:val="center"/>
              <w:rPr>
                <w:rFonts w:eastAsia="Arial"/>
              </w:rPr>
            </w:pPr>
            <w:r w:rsidRPr="00482330">
              <w:rPr>
                <w:rFonts w:eastAsia="Arial"/>
              </w:rPr>
              <w:t>6</w:t>
            </w:r>
          </w:p>
        </w:tc>
        <w:tc>
          <w:tcPr>
            <w:tcW w:w="3119" w:type="dxa"/>
            <w:gridSpan w:val="2"/>
          </w:tcPr>
          <w:p w14:paraId="0ACECBEE" w14:textId="7B3CC3BC" w:rsidR="00E20855" w:rsidRPr="00482330" w:rsidRDefault="00E20855" w:rsidP="00C42DF0">
            <w:pPr>
              <w:pStyle w:val="TableParagraph"/>
              <w:spacing w:after="120" w:line="276" w:lineRule="auto"/>
              <w:jc w:val="center"/>
              <w:rPr>
                <w:rFonts w:eastAsia="Arial"/>
                <w:i/>
                <w:iCs/>
              </w:rPr>
            </w:pPr>
            <w:r w:rsidRPr="00482330">
              <w:rPr>
                <w:rFonts w:eastAsia="Arial"/>
                <w:i/>
                <w:iCs/>
              </w:rPr>
              <w:t>0.63</w:t>
            </w:r>
          </w:p>
        </w:tc>
      </w:tr>
      <w:tr w:rsidR="00E20855" w:rsidRPr="00482330" w14:paraId="074D8ED2" w14:textId="77777777" w:rsidTr="00E20855">
        <w:trPr>
          <w:trHeight w:val="419"/>
          <w:jc w:val="center"/>
        </w:trPr>
        <w:tc>
          <w:tcPr>
            <w:tcW w:w="3119" w:type="dxa"/>
            <w:gridSpan w:val="2"/>
          </w:tcPr>
          <w:p w14:paraId="70E83A53" w14:textId="3E1C1890" w:rsidR="00E20855" w:rsidRPr="00482330" w:rsidRDefault="00401AF8" w:rsidP="00E4188C">
            <w:pPr>
              <w:pStyle w:val="TableParagraph"/>
              <w:spacing w:after="120" w:line="276" w:lineRule="auto"/>
              <w:jc w:val="both"/>
              <w:rPr>
                <w:rFonts w:eastAsia="Arial"/>
              </w:rPr>
            </w:pPr>
            <w:r w:rsidRPr="00482330">
              <w:rPr>
                <w:rFonts w:eastAsia="Arial"/>
              </w:rPr>
              <w:t>Burn</w:t>
            </w:r>
          </w:p>
        </w:tc>
        <w:tc>
          <w:tcPr>
            <w:tcW w:w="2551" w:type="dxa"/>
          </w:tcPr>
          <w:p w14:paraId="18127BC4" w14:textId="4EF7C371" w:rsidR="00E20855" w:rsidRPr="00482330" w:rsidRDefault="00E20855" w:rsidP="00C42DF0">
            <w:pPr>
              <w:pStyle w:val="TableParagraph"/>
              <w:spacing w:after="120" w:line="276" w:lineRule="auto"/>
              <w:jc w:val="center"/>
              <w:rPr>
                <w:rFonts w:eastAsia="Arial"/>
              </w:rPr>
            </w:pPr>
            <w:r w:rsidRPr="00482330">
              <w:rPr>
                <w:rFonts w:eastAsia="Arial"/>
              </w:rPr>
              <w:t>6</w:t>
            </w:r>
          </w:p>
        </w:tc>
        <w:tc>
          <w:tcPr>
            <w:tcW w:w="3119" w:type="dxa"/>
            <w:gridSpan w:val="2"/>
          </w:tcPr>
          <w:p w14:paraId="1822BA30" w14:textId="1D6C145C" w:rsidR="00E20855" w:rsidRPr="00482330" w:rsidRDefault="00E20855" w:rsidP="00C42DF0">
            <w:pPr>
              <w:pStyle w:val="TableParagraph"/>
              <w:spacing w:after="120" w:line="276" w:lineRule="auto"/>
              <w:jc w:val="center"/>
              <w:rPr>
                <w:rFonts w:eastAsia="Arial"/>
                <w:i/>
                <w:iCs/>
              </w:rPr>
            </w:pPr>
            <w:r w:rsidRPr="00482330">
              <w:rPr>
                <w:rFonts w:eastAsia="Arial"/>
                <w:i/>
                <w:iCs/>
              </w:rPr>
              <w:t>0.63</w:t>
            </w:r>
          </w:p>
        </w:tc>
      </w:tr>
      <w:tr w:rsidR="00E20855" w:rsidRPr="00482330" w14:paraId="1D044CBB" w14:textId="77777777" w:rsidTr="00E20855">
        <w:trPr>
          <w:trHeight w:val="419"/>
          <w:jc w:val="center"/>
        </w:trPr>
        <w:tc>
          <w:tcPr>
            <w:tcW w:w="3119" w:type="dxa"/>
            <w:gridSpan w:val="2"/>
          </w:tcPr>
          <w:p w14:paraId="47904CA5" w14:textId="40A7C615" w:rsidR="00E20855" w:rsidRPr="00482330" w:rsidRDefault="00401AF8" w:rsidP="00E4188C">
            <w:pPr>
              <w:pStyle w:val="TableParagraph"/>
              <w:spacing w:after="120" w:line="276" w:lineRule="auto"/>
              <w:jc w:val="both"/>
              <w:rPr>
                <w:bCs/>
                <w:spacing w:val="-2"/>
              </w:rPr>
            </w:pPr>
            <w:r w:rsidRPr="00482330">
              <w:rPr>
                <w:bCs/>
                <w:spacing w:val="-2"/>
              </w:rPr>
              <w:t>Unfound gateway</w:t>
            </w:r>
          </w:p>
        </w:tc>
        <w:tc>
          <w:tcPr>
            <w:tcW w:w="2551" w:type="dxa"/>
          </w:tcPr>
          <w:p w14:paraId="05D92392" w14:textId="01C94996" w:rsidR="00E20855" w:rsidRPr="00482330" w:rsidRDefault="00E20855" w:rsidP="00C42DF0">
            <w:pPr>
              <w:pStyle w:val="TableParagraph"/>
              <w:spacing w:after="120" w:line="276" w:lineRule="auto"/>
              <w:jc w:val="center"/>
              <w:rPr>
                <w:rFonts w:eastAsia="Arial"/>
                <w:bCs/>
              </w:rPr>
            </w:pPr>
            <w:r w:rsidRPr="00482330">
              <w:rPr>
                <w:rFonts w:eastAsia="Arial"/>
                <w:bCs/>
              </w:rPr>
              <w:t>84</w:t>
            </w:r>
          </w:p>
        </w:tc>
        <w:tc>
          <w:tcPr>
            <w:tcW w:w="3119" w:type="dxa"/>
            <w:gridSpan w:val="2"/>
          </w:tcPr>
          <w:p w14:paraId="76365268" w14:textId="1A38D121" w:rsidR="00E20855" w:rsidRPr="00482330" w:rsidRDefault="00E20855" w:rsidP="00C42DF0">
            <w:pPr>
              <w:pStyle w:val="TableParagraph"/>
              <w:spacing w:after="120" w:line="276" w:lineRule="auto"/>
              <w:jc w:val="center"/>
              <w:rPr>
                <w:rFonts w:eastAsia="Arial"/>
                <w:bCs/>
                <w:i/>
                <w:iCs/>
              </w:rPr>
            </w:pPr>
            <w:r w:rsidRPr="00482330">
              <w:rPr>
                <w:rFonts w:eastAsia="Arial"/>
                <w:bCs/>
                <w:i/>
                <w:iCs/>
              </w:rPr>
              <w:t>8.96</w:t>
            </w:r>
          </w:p>
        </w:tc>
      </w:tr>
      <w:tr w:rsidR="00E20855" w:rsidRPr="00482330" w14:paraId="098CD99B" w14:textId="77777777" w:rsidTr="00E20855">
        <w:trPr>
          <w:trHeight w:val="419"/>
          <w:jc w:val="center"/>
        </w:trPr>
        <w:tc>
          <w:tcPr>
            <w:tcW w:w="3119" w:type="dxa"/>
            <w:gridSpan w:val="2"/>
            <w:tcBorders>
              <w:bottom w:val="single" w:sz="4" w:space="0" w:color="000000"/>
            </w:tcBorders>
          </w:tcPr>
          <w:p w14:paraId="49005975" w14:textId="3391B4C1" w:rsidR="00E20855" w:rsidRPr="00482330" w:rsidRDefault="00401AF8" w:rsidP="00E4188C">
            <w:pPr>
              <w:pStyle w:val="TableParagraph"/>
              <w:spacing w:after="120" w:line="276" w:lineRule="auto"/>
              <w:jc w:val="both"/>
              <w:rPr>
                <w:bCs/>
                <w:spacing w:val="-2"/>
              </w:rPr>
            </w:pPr>
            <w:r w:rsidRPr="00482330">
              <w:rPr>
                <w:bCs/>
                <w:spacing w:val="-2"/>
              </w:rPr>
              <w:t>Non-specified gateway</w:t>
            </w:r>
          </w:p>
        </w:tc>
        <w:tc>
          <w:tcPr>
            <w:tcW w:w="2551" w:type="dxa"/>
            <w:tcBorders>
              <w:bottom w:val="single" w:sz="4" w:space="0" w:color="000000"/>
            </w:tcBorders>
          </w:tcPr>
          <w:p w14:paraId="2D74A7D6" w14:textId="1716CE23" w:rsidR="00E20855" w:rsidRPr="00482330" w:rsidRDefault="00041E88" w:rsidP="00C42DF0">
            <w:pPr>
              <w:pStyle w:val="TableParagraph"/>
              <w:spacing w:after="120" w:line="276" w:lineRule="auto"/>
              <w:jc w:val="center"/>
              <w:rPr>
                <w:rFonts w:eastAsia="Arial"/>
                <w:bCs/>
              </w:rPr>
            </w:pPr>
            <w:r w:rsidRPr="00482330">
              <w:rPr>
                <w:rFonts w:eastAsia="Arial"/>
                <w:bCs/>
              </w:rPr>
              <w:t>11</w:t>
            </w:r>
          </w:p>
        </w:tc>
        <w:tc>
          <w:tcPr>
            <w:tcW w:w="3119" w:type="dxa"/>
            <w:gridSpan w:val="2"/>
            <w:tcBorders>
              <w:bottom w:val="single" w:sz="4" w:space="0" w:color="000000"/>
            </w:tcBorders>
          </w:tcPr>
          <w:p w14:paraId="6F577769" w14:textId="255E6D64" w:rsidR="00E20855" w:rsidRPr="00482330" w:rsidRDefault="00041E88" w:rsidP="00C42DF0">
            <w:pPr>
              <w:pStyle w:val="TableParagraph"/>
              <w:spacing w:after="120" w:line="276" w:lineRule="auto"/>
              <w:jc w:val="center"/>
              <w:rPr>
                <w:rFonts w:eastAsia="Arial"/>
                <w:bCs/>
                <w:i/>
                <w:iCs/>
              </w:rPr>
            </w:pPr>
            <w:r w:rsidRPr="00482330">
              <w:rPr>
                <w:rFonts w:eastAsia="Arial"/>
                <w:bCs/>
                <w:i/>
                <w:iCs/>
              </w:rPr>
              <w:t>1.17</w:t>
            </w:r>
          </w:p>
        </w:tc>
      </w:tr>
      <w:tr w:rsidR="00DC365A" w:rsidRPr="00482330" w14:paraId="0D7C4473" w14:textId="77777777" w:rsidTr="00DC365A">
        <w:trPr>
          <w:trHeight w:val="419"/>
          <w:jc w:val="center"/>
        </w:trPr>
        <w:tc>
          <w:tcPr>
            <w:tcW w:w="8789" w:type="dxa"/>
            <w:gridSpan w:val="5"/>
            <w:tcBorders>
              <w:top w:val="single" w:sz="4" w:space="0" w:color="000000"/>
              <w:bottom w:val="single" w:sz="4" w:space="0" w:color="auto"/>
            </w:tcBorders>
          </w:tcPr>
          <w:p w14:paraId="12E8F143" w14:textId="1DD6BA64" w:rsidR="00DC365A" w:rsidRPr="00482330" w:rsidRDefault="00401AF8" w:rsidP="00E4188C">
            <w:pPr>
              <w:pStyle w:val="TableParagraph"/>
              <w:spacing w:after="120" w:line="276" w:lineRule="auto"/>
              <w:jc w:val="both"/>
              <w:rPr>
                <w:rFonts w:eastAsia="Arial"/>
                <w:b/>
                <w:bCs/>
                <w:i/>
                <w:iCs/>
              </w:rPr>
            </w:pPr>
            <w:r w:rsidRPr="00482330">
              <w:rPr>
                <w:rFonts w:eastAsia="Arial"/>
                <w:b/>
                <w:bCs/>
                <w:i/>
                <w:iCs/>
              </w:rPr>
              <w:t>CLINICAL PATTERNS</w:t>
            </w:r>
          </w:p>
        </w:tc>
      </w:tr>
      <w:tr w:rsidR="00DC365A" w:rsidRPr="00482330" w14:paraId="5E112ACA" w14:textId="77777777" w:rsidTr="00DC365A">
        <w:trPr>
          <w:trHeight w:val="327"/>
          <w:jc w:val="center"/>
        </w:trPr>
        <w:tc>
          <w:tcPr>
            <w:tcW w:w="2929" w:type="dxa"/>
            <w:tcBorders>
              <w:top w:val="single" w:sz="4" w:space="0" w:color="auto"/>
            </w:tcBorders>
          </w:tcPr>
          <w:p w14:paraId="20FE0804" w14:textId="1D299CA5" w:rsidR="00DC365A" w:rsidRPr="00482330" w:rsidRDefault="00401AF8" w:rsidP="00E4188C">
            <w:pPr>
              <w:pStyle w:val="TableParagraph"/>
              <w:spacing w:after="120" w:line="276" w:lineRule="auto"/>
              <w:jc w:val="both"/>
              <w:rPr>
                <w:rFonts w:eastAsia="Arial"/>
              </w:rPr>
            </w:pPr>
            <w:r w:rsidRPr="00482330">
              <w:rPr>
                <w:rFonts w:eastAsia="Arial"/>
              </w:rPr>
              <w:t>Generalized form</w:t>
            </w:r>
          </w:p>
        </w:tc>
        <w:tc>
          <w:tcPr>
            <w:tcW w:w="2930" w:type="dxa"/>
            <w:gridSpan w:val="3"/>
            <w:tcBorders>
              <w:top w:val="single" w:sz="4" w:space="0" w:color="auto"/>
            </w:tcBorders>
          </w:tcPr>
          <w:p w14:paraId="39E581A3" w14:textId="6351260F" w:rsidR="00DC365A" w:rsidRPr="00482330" w:rsidRDefault="00DC365A" w:rsidP="00C42DF0">
            <w:pPr>
              <w:pStyle w:val="TableParagraph"/>
              <w:spacing w:after="120" w:line="276" w:lineRule="auto"/>
              <w:jc w:val="center"/>
              <w:rPr>
                <w:rFonts w:eastAsia="Arial"/>
              </w:rPr>
            </w:pPr>
            <w:r w:rsidRPr="00482330">
              <w:rPr>
                <w:rFonts w:eastAsia="Arial"/>
              </w:rPr>
              <w:t>896</w:t>
            </w:r>
          </w:p>
        </w:tc>
        <w:tc>
          <w:tcPr>
            <w:tcW w:w="2930" w:type="dxa"/>
            <w:tcBorders>
              <w:top w:val="single" w:sz="4" w:space="0" w:color="auto"/>
            </w:tcBorders>
          </w:tcPr>
          <w:p w14:paraId="02464D53" w14:textId="260B1378" w:rsidR="00DC365A" w:rsidRPr="00482330" w:rsidRDefault="00DC365A" w:rsidP="00C42DF0">
            <w:pPr>
              <w:pStyle w:val="TableParagraph"/>
              <w:spacing w:after="120" w:line="276" w:lineRule="auto"/>
              <w:jc w:val="center"/>
              <w:rPr>
                <w:rFonts w:eastAsia="Arial"/>
                <w:i/>
                <w:iCs/>
              </w:rPr>
            </w:pPr>
            <w:r w:rsidRPr="00482330">
              <w:rPr>
                <w:rFonts w:eastAsia="Arial"/>
                <w:i/>
                <w:iCs/>
              </w:rPr>
              <w:t>95.52</w:t>
            </w:r>
          </w:p>
        </w:tc>
      </w:tr>
      <w:tr w:rsidR="00DC365A" w:rsidRPr="00482330" w14:paraId="5BD6DD7F" w14:textId="77777777" w:rsidTr="00DC365A">
        <w:trPr>
          <w:trHeight w:val="326"/>
          <w:jc w:val="center"/>
        </w:trPr>
        <w:tc>
          <w:tcPr>
            <w:tcW w:w="2929" w:type="dxa"/>
          </w:tcPr>
          <w:p w14:paraId="039D255B" w14:textId="377621A5" w:rsidR="00DC365A" w:rsidRPr="00482330" w:rsidRDefault="00401AF8" w:rsidP="00E4188C">
            <w:pPr>
              <w:pStyle w:val="TableParagraph"/>
              <w:spacing w:after="120" w:line="276" w:lineRule="auto"/>
              <w:jc w:val="both"/>
              <w:rPr>
                <w:rFonts w:eastAsia="Arial"/>
              </w:rPr>
            </w:pPr>
            <w:r w:rsidRPr="00482330">
              <w:rPr>
                <w:rFonts w:eastAsia="Arial"/>
              </w:rPr>
              <w:t>Localized form</w:t>
            </w:r>
          </w:p>
        </w:tc>
        <w:tc>
          <w:tcPr>
            <w:tcW w:w="2930" w:type="dxa"/>
            <w:gridSpan w:val="3"/>
          </w:tcPr>
          <w:p w14:paraId="3EAED46C" w14:textId="025D443A" w:rsidR="00DC365A" w:rsidRPr="00482330" w:rsidRDefault="00DC365A" w:rsidP="00C42DF0">
            <w:pPr>
              <w:pStyle w:val="TableParagraph"/>
              <w:spacing w:after="120" w:line="276" w:lineRule="auto"/>
              <w:jc w:val="center"/>
              <w:rPr>
                <w:rFonts w:eastAsia="Arial"/>
              </w:rPr>
            </w:pPr>
            <w:r w:rsidRPr="00482330">
              <w:rPr>
                <w:rFonts w:eastAsia="Arial"/>
              </w:rPr>
              <w:t>42</w:t>
            </w:r>
          </w:p>
        </w:tc>
        <w:tc>
          <w:tcPr>
            <w:tcW w:w="2930" w:type="dxa"/>
          </w:tcPr>
          <w:p w14:paraId="25983931" w14:textId="704C3EDC" w:rsidR="00DC365A" w:rsidRPr="00482330" w:rsidRDefault="00DC365A" w:rsidP="00C42DF0">
            <w:pPr>
              <w:pStyle w:val="TableParagraph"/>
              <w:spacing w:after="120" w:line="276" w:lineRule="auto"/>
              <w:jc w:val="center"/>
              <w:rPr>
                <w:rFonts w:eastAsia="Arial"/>
                <w:i/>
                <w:iCs/>
              </w:rPr>
            </w:pPr>
            <w:r w:rsidRPr="00482330">
              <w:rPr>
                <w:rFonts w:eastAsia="Arial"/>
                <w:i/>
                <w:iCs/>
              </w:rPr>
              <w:t>4.48</w:t>
            </w:r>
          </w:p>
        </w:tc>
      </w:tr>
      <w:tr w:rsidR="00E20855" w:rsidRPr="00482330" w14:paraId="2D544029" w14:textId="77777777" w:rsidTr="00DC365A">
        <w:trPr>
          <w:trHeight w:val="419"/>
          <w:jc w:val="center"/>
        </w:trPr>
        <w:tc>
          <w:tcPr>
            <w:tcW w:w="8789" w:type="dxa"/>
            <w:gridSpan w:val="5"/>
            <w:tcBorders>
              <w:top w:val="single" w:sz="4" w:space="0" w:color="auto"/>
              <w:bottom w:val="single" w:sz="4" w:space="0" w:color="000000"/>
            </w:tcBorders>
          </w:tcPr>
          <w:p w14:paraId="7B84B658" w14:textId="05D3B1C3" w:rsidR="00E20855" w:rsidRPr="00482330" w:rsidRDefault="00401AF8" w:rsidP="00E4188C">
            <w:pPr>
              <w:pStyle w:val="TableParagraph"/>
              <w:spacing w:after="120" w:line="276" w:lineRule="auto"/>
              <w:jc w:val="both"/>
              <w:rPr>
                <w:rFonts w:eastAsia="Arial"/>
                <w:b/>
                <w:bCs/>
                <w:i/>
                <w:iCs/>
              </w:rPr>
            </w:pPr>
            <w:r w:rsidRPr="00482330">
              <w:rPr>
                <w:rFonts w:eastAsia="Arial"/>
                <w:b/>
                <w:bCs/>
                <w:i/>
                <w:iCs/>
              </w:rPr>
              <w:t>CLINICAL SIGNS</w:t>
            </w:r>
          </w:p>
        </w:tc>
      </w:tr>
      <w:tr w:rsidR="00E20855" w:rsidRPr="00482330" w14:paraId="319E829E" w14:textId="77777777" w:rsidTr="00E20855">
        <w:trPr>
          <w:trHeight w:val="419"/>
          <w:jc w:val="center"/>
        </w:trPr>
        <w:tc>
          <w:tcPr>
            <w:tcW w:w="3119" w:type="dxa"/>
            <w:gridSpan w:val="2"/>
            <w:tcBorders>
              <w:top w:val="single" w:sz="4" w:space="0" w:color="000000"/>
            </w:tcBorders>
          </w:tcPr>
          <w:p w14:paraId="142E37D8" w14:textId="77777777" w:rsidR="00E20855" w:rsidRPr="00482330" w:rsidRDefault="00E20855" w:rsidP="00E4188C">
            <w:pPr>
              <w:pStyle w:val="TableParagraph"/>
              <w:spacing w:after="120" w:line="276" w:lineRule="auto"/>
              <w:jc w:val="both"/>
              <w:rPr>
                <w:bCs/>
              </w:rPr>
            </w:pPr>
            <w:r w:rsidRPr="00482330">
              <w:rPr>
                <w:bCs/>
                <w:spacing w:val="-2"/>
              </w:rPr>
              <w:t>Trismus</w:t>
            </w:r>
          </w:p>
        </w:tc>
        <w:tc>
          <w:tcPr>
            <w:tcW w:w="2551" w:type="dxa"/>
            <w:tcBorders>
              <w:top w:val="single" w:sz="4" w:space="0" w:color="000000"/>
            </w:tcBorders>
          </w:tcPr>
          <w:p w14:paraId="4C210FDE" w14:textId="75D6E3E1" w:rsidR="00E20855" w:rsidRPr="00482330" w:rsidRDefault="00D41A44" w:rsidP="00C42DF0">
            <w:pPr>
              <w:pStyle w:val="TableParagraph"/>
              <w:spacing w:after="120" w:line="276" w:lineRule="auto"/>
              <w:jc w:val="center"/>
              <w:rPr>
                <w:b/>
              </w:rPr>
            </w:pPr>
            <w:r w:rsidRPr="00482330">
              <w:rPr>
                <w:rFonts w:eastAsia="Arial"/>
                <w:b/>
              </w:rPr>
              <w:t>932</w:t>
            </w:r>
          </w:p>
        </w:tc>
        <w:tc>
          <w:tcPr>
            <w:tcW w:w="3119" w:type="dxa"/>
            <w:gridSpan w:val="2"/>
            <w:tcBorders>
              <w:top w:val="single" w:sz="4" w:space="0" w:color="000000"/>
            </w:tcBorders>
          </w:tcPr>
          <w:p w14:paraId="2B6A8C8B" w14:textId="72EFA2D4" w:rsidR="00E20855" w:rsidRPr="00482330" w:rsidRDefault="00E20855" w:rsidP="00C42DF0">
            <w:pPr>
              <w:pStyle w:val="TableParagraph"/>
              <w:spacing w:after="120" w:line="276" w:lineRule="auto"/>
              <w:jc w:val="center"/>
              <w:rPr>
                <w:b/>
                <w:i/>
                <w:iCs/>
              </w:rPr>
            </w:pPr>
            <w:r w:rsidRPr="00482330">
              <w:rPr>
                <w:rFonts w:eastAsia="Arial"/>
                <w:b/>
                <w:i/>
                <w:iCs/>
              </w:rPr>
              <w:t>9</w:t>
            </w:r>
            <w:r w:rsidR="00D41A44" w:rsidRPr="00482330">
              <w:rPr>
                <w:rFonts w:eastAsia="Arial"/>
                <w:b/>
                <w:i/>
                <w:iCs/>
              </w:rPr>
              <w:t>9</w:t>
            </w:r>
            <w:r w:rsidRPr="00482330">
              <w:rPr>
                <w:rFonts w:eastAsia="Arial"/>
                <w:b/>
                <w:i/>
                <w:iCs/>
              </w:rPr>
              <w:t>.</w:t>
            </w:r>
            <w:r w:rsidR="00D41A44" w:rsidRPr="00482330">
              <w:rPr>
                <w:rFonts w:eastAsia="Arial"/>
                <w:b/>
                <w:i/>
                <w:iCs/>
              </w:rPr>
              <w:t>36</w:t>
            </w:r>
          </w:p>
        </w:tc>
      </w:tr>
      <w:tr w:rsidR="00E20855" w:rsidRPr="00482330" w14:paraId="477531E7" w14:textId="77777777" w:rsidTr="00E20855">
        <w:trPr>
          <w:trHeight w:val="515"/>
          <w:jc w:val="center"/>
        </w:trPr>
        <w:tc>
          <w:tcPr>
            <w:tcW w:w="3119" w:type="dxa"/>
            <w:gridSpan w:val="2"/>
          </w:tcPr>
          <w:p w14:paraId="2905C43C" w14:textId="11DB8A61" w:rsidR="00E20855" w:rsidRPr="00482330" w:rsidRDefault="00401AF8" w:rsidP="00E4188C">
            <w:pPr>
              <w:pStyle w:val="TableParagraph"/>
              <w:spacing w:after="120" w:line="276" w:lineRule="auto"/>
              <w:jc w:val="both"/>
              <w:rPr>
                <w:bCs/>
              </w:rPr>
            </w:pPr>
            <w:r w:rsidRPr="00482330">
              <w:rPr>
                <w:bCs/>
                <w:spacing w:val="-2"/>
              </w:rPr>
              <w:t>Dysphagia</w:t>
            </w:r>
          </w:p>
        </w:tc>
        <w:tc>
          <w:tcPr>
            <w:tcW w:w="2551" w:type="dxa"/>
          </w:tcPr>
          <w:p w14:paraId="5D460DA8" w14:textId="4AD7BA4E" w:rsidR="00E20855" w:rsidRPr="00482330" w:rsidRDefault="00D41A44" w:rsidP="00C42DF0">
            <w:pPr>
              <w:pStyle w:val="TableParagraph"/>
              <w:spacing w:after="120" w:line="276" w:lineRule="auto"/>
              <w:jc w:val="center"/>
              <w:rPr>
                <w:b/>
              </w:rPr>
            </w:pPr>
            <w:r w:rsidRPr="00482330">
              <w:rPr>
                <w:rFonts w:eastAsia="Arial"/>
                <w:b/>
              </w:rPr>
              <w:t>825</w:t>
            </w:r>
          </w:p>
        </w:tc>
        <w:tc>
          <w:tcPr>
            <w:tcW w:w="3119" w:type="dxa"/>
            <w:gridSpan w:val="2"/>
          </w:tcPr>
          <w:p w14:paraId="6386DA65" w14:textId="530FC7B2" w:rsidR="00E20855" w:rsidRPr="00482330" w:rsidRDefault="00D41A44" w:rsidP="00C42DF0">
            <w:pPr>
              <w:pStyle w:val="TableParagraph"/>
              <w:spacing w:after="120" w:line="276" w:lineRule="auto"/>
              <w:jc w:val="center"/>
              <w:rPr>
                <w:b/>
                <w:i/>
                <w:iCs/>
              </w:rPr>
            </w:pPr>
            <w:r w:rsidRPr="00482330">
              <w:rPr>
                <w:rFonts w:eastAsia="Arial"/>
                <w:b/>
                <w:i/>
                <w:iCs/>
              </w:rPr>
              <w:t>8</w:t>
            </w:r>
            <w:r w:rsidR="00E20855" w:rsidRPr="00482330">
              <w:rPr>
                <w:rFonts w:eastAsia="Arial"/>
                <w:b/>
                <w:i/>
                <w:iCs/>
              </w:rPr>
              <w:t>7.</w:t>
            </w:r>
            <w:r w:rsidRPr="00482330">
              <w:rPr>
                <w:rFonts w:eastAsia="Arial"/>
                <w:b/>
                <w:i/>
                <w:iCs/>
              </w:rPr>
              <w:t>94</w:t>
            </w:r>
          </w:p>
        </w:tc>
      </w:tr>
      <w:tr w:rsidR="00E20855" w:rsidRPr="00482330" w14:paraId="1078B04A" w14:textId="77777777" w:rsidTr="00E20855">
        <w:trPr>
          <w:trHeight w:val="515"/>
          <w:jc w:val="center"/>
        </w:trPr>
        <w:tc>
          <w:tcPr>
            <w:tcW w:w="3119" w:type="dxa"/>
            <w:gridSpan w:val="2"/>
            <w:vMerge w:val="restart"/>
          </w:tcPr>
          <w:p w14:paraId="756DABB3" w14:textId="0E7F156A" w:rsidR="00E20855" w:rsidRPr="00482330" w:rsidRDefault="00401AF8" w:rsidP="00E4188C">
            <w:pPr>
              <w:pStyle w:val="TableParagraph"/>
              <w:spacing w:after="120" w:line="276" w:lineRule="auto"/>
              <w:jc w:val="both"/>
              <w:rPr>
                <w:bCs/>
                <w:spacing w:val="-2"/>
              </w:rPr>
            </w:pPr>
            <w:r w:rsidRPr="00482330">
              <w:rPr>
                <w:bCs/>
                <w:spacing w:val="-2"/>
              </w:rPr>
              <w:t>Paroxysms</w:t>
            </w:r>
            <w:r w:rsidR="00E20855" w:rsidRPr="00482330">
              <w:rPr>
                <w:b/>
                <w:spacing w:val="-2"/>
              </w:rPr>
              <w:t xml:space="preserve"> </w:t>
            </w:r>
            <w:r w:rsidR="00E20855" w:rsidRPr="00482330">
              <w:rPr>
                <w:bCs/>
                <w:spacing w:val="-2"/>
              </w:rPr>
              <w:t xml:space="preserve">: </w:t>
            </w:r>
          </w:p>
          <w:p w14:paraId="0B60DA7B" w14:textId="1D7C2BF6" w:rsidR="00E20855" w:rsidRPr="00482330" w:rsidRDefault="00E20855" w:rsidP="00E4188C">
            <w:pPr>
              <w:pStyle w:val="TableParagraph"/>
              <w:spacing w:after="120" w:line="276" w:lineRule="auto"/>
              <w:ind w:firstLineChars="150" w:firstLine="330"/>
              <w:jc w:val="both"/>
              <w:rPr>
                <w:bCs/>
              </w:rPr>
            </w:pPr>
            <w:r w:rsidRPr="00482330">
              <w:rPr>
                <w:bCs/>
              </w:rPr>
              <w:t xml:space="preserve">- </w:t>
            </w:r>
            <w:r w:rsidR="00401AF8" w:rsidRPr="00482330">
              <w:rPr>
                <w:bCs/>
                <w:spacing w:val="-2"/>
              </w:rPr>
              <w:t>Tonic</w:t>
            </w:r>
          </w:p>
          <w:p w14:paraId="2B9C2CDC" w14:textId="271DF4B2" w:rsidR="00E20855" w:rsidRPr="00482330" w:rsidRDefault="00E20855" w:rsidP="00E4188C">
            <w:pPr>
              <w:pStyle w:val="TableParagraph"/>
              <w:spacing w:after="120" w:line="276" w:lineRule="auto"/>
              <w:ind w:firstLineChars="150" w:firstLine="330"/>
              <w:jc w:val="both"/>
              <w:rPr>
                <w:bCs/>
              </w:rPr>
            </w:pPr>
            <w:r w:rsidRPr="00482330">
              <w:rPr>
                <w:bCs/>
              </w:rPr>
              <w:t>-</w:t>
            </w:r>
            <w:r w:rsidRPr="00482330">
              <w:rPr>
                <w:bCs/>
                <w:spacing w:val="-13"/>
              </w:rPr>
              <w:t xml:space="preserve"> </w:t>
            </w:r>
            <w:r w:rsidR="00401AF8" w:rsidRPr="00482330">
              <w:rPr>
                <w:bCs/>
              </w:rPr>
              <w:t>Tonic</w:t>
            </w:r>
            <w:r w:rsidRPr="00482330">
              <w:rPr>
                <w:bCs/>
              </w:rPr>
              <w:t>-</w:t>
            </w:r>
            <w:r w:rsidR="00401AF8" w:rsidRPr="00482330">
              <w:rPr>
                <w:bCs/>
                <w:spacing w:val="-2"/>
              </w:rPr>
              <w:t>clonic</w:t>
            </w:r>
            <w:r w:rsidRPr="00482330">
              <w:rPr>
                <w:bCs/>
                <w:spacing w:val="-2"/>
              </w:rPr>
              <w:t xml:space="preserve">            </w:t>
            </w:r>
          </w:p>
        </w:tc>
        <w:tc>
          <w:tcPr>
            <w:tcW w:w="2551" w:type="dxa"/>
          </w:tcPr>
          <w:p w14:paraId="2171BE7A" w14:textId="388026C5" w:rsidR="00E20855" w:rsidRPr="00482330" w:rsidRDefault="00537D04" w:rsidP="00C42DF0">
            <w:pPr>
              <w:pStyle w:val="TableParagraph"/>
              <w:spacing w:after="120" w:line="276" w:lineRule="auto"/>
              <w:jc w:val="center"/>
              <w:rPr>
                <w:b/>
              </w:rPr>
            </w:pPr>
            <w:r w:rsidRPr="00482330">
              <w:rPr>
                <w:b/>
                <w:spacing w:val="-5"/>
              </w:rPr>
              <w:t>664</w:t>
            </w:r>
          </w:p>
        </w:tc>
        <w:tc>
          <w:tcPr>
            <w:tcW w:w="3119" w:type="dxa"/>
            <w:gridSpan w:val="2"/>
          </w:tcPr>
          <w:p w14:paraId="23A51DE5" w14:textId="00D703DE" w:rsidR="00E20855" w:rsidRPr="00482330" w:rsidRDefault="00537D04" w:rsidP="00C42DF0">
            <w:pPr>
              <w:pStyle w:val="TableParagraph"/>
              <w:spacing w:after="120" w:line="276" w:lineRule="auto"/>
              <w:jc w:val="center"/>
              <w:rPr>
                <w:b/>
                <w:i/>
                <w:iCs/>
              </w:rPr>
            </w:pPr>
            <w:r w:rsidRPr="00482330">
              <w:rPr>
                <w:b/>
                <w:i/>
                <w:iCs/>
                <w:spacing w:val="-4"/>
              </w:rPr>
              <w:t>70</w:t>
            </w:r>
            <w:r w:rsidR="00E20855" w:rsidRPr="00482330">
              <w:rPr>
                <w:b/>
                <w:i/>
                <w:iCs/>
                <w:spacing w:val="-4"/>
              </w:rPr>
              <w:t>.</w:t>
            </w:r>
            <w:r w:rsidRPr="00482330">
              <w:rPr>
                <w:b/>
                <w:i/>
                <w:iCs/>
                <w:spacing w:val="-4"/>
              </w:rPr>
              <w:t>79</w:t>
            </w:r>
          </w:p>
        </w:tc>
      </w:tr>
      <w:tr w:rsidR="00E20855" w:rsidRPr="00482330" w14:paraId="1CE47C3F" w14:textId="77777777" w:rsidTr="00E20855">
        <w:trPr>
          <w:trHeight w:val="514"/>
          <w:jc w:val="center"/>
        </w:trPr>
        <w:tc>
          <w:tcPr>
            <w:tcW w:w="3119" w:type="dxa"/>
            <w:gridSpan w:val="2"/>
            <w:vMerge/>
          </w:tcPr>
          <w:p w14:paraId="010FAF0C" w14:textId="77777777" w:rsidR="00E20855" w:rsidRPr="00482330" w:rsidRDefault="00E20855" w:rsidP="00E4188C">
            <w:pPr>
              <w:pStyle w:val="TableParagraph"/>
              <w:spacing w:after="120" w:line="276" w:lineRule="auto"/>
              <w:jc w:val="both"/>
              <w:rPr>
                <w:bCs/>
              </w:rPr>
            </w:pPr>
          </w:p>
        </w:tc>
        <w:tc>
          <w:tcPr>
            <w:tcW w:w="2551" w:type="dxa"/>
          </w:tcPr>
          <w:p w14:paraId="51BB209F" w14:textId="384FF942" w:rsidR="00E20855" w:rsidRPr="00482330" w:rsidRDefault="00537D04" w:rsidP="00C42DF0">
            <w:pPr>
              <w:pStyle w:val="TableParagraph"/>
              <w:spacing w:after="120" w:line="276" w:lineRule="auto"/>
              <w:jc w:val="center"/>
              <w:rPr>
                <w:bCs/>
              </w:rPr>
            </w:pPr>
            <w:r w:rsidRPr="00482330">
              <w:rPr>
                <w:rFonts w:eastAsia="Arial"/>
                <w:bCs/>
              </w:rPr>
              <w:t>549</w:t>
            </w:r>
          </w:p>
        </w:tc>
        <w:tc>
          <w:tcPr>
            <w:tcW w:w="3119" w:type="dxa"/>
            <w:gridSpan w:val="2"/>
          </w:tcPr>
          <w:p w14:paraId="12DF559F" w14:textId="4702A495" w:rsidR="00E20855" w:rsidRPr="00482330" w:rsidRDefault="00537D04" w:rsidP="00C42DF0">
            <w:pPr>
              <w:pStyle w:val="TableParagraph"/>
              <w:spacing w:after="120" w:line="276" w:lineRule="auto"/>
              <w:jc w:val="center"/>
              <w:rPr>
                <w:bCs/>
                <w:i/>
                <w:iCs/>
              </w:rPr>
            </w:pPr>
            <w:r w:rsidRPr="00482330">
              <w:rPr>
                <w:rFonts w:eastAsia="Arial"/>
                <w:bCs/>
                <w:i/>
                <w:iCs/>
              </w:rPr>
              <w:t>58</w:t>
            </w:r>
            <w:r w:rsidR="00E20855" w:rsidRPr="00482330">
              <w:rPr>
                <w:rFonts w:eastAsia="Arial"/>
                <w:bCs/>
                <w:i/>
                <w:iCs/>
              </w:rPr>
              <w:t>.5</w:t>
            </w:r>
            <w:r w:rsidRPr="00482330">
              <w:rPr>
                <w:rFonts w:eastAsia="Arial"/>
                <w:bCs/>
                <w:i/>
                <w:iCs/>
              </w:rPr>
              <w:t>3</w:t>
            </w:r>
          </w:p>
        </w:tc>
      </w:tr>
      <w:tr w:rsidR="00E20855" w:rsidRPr="00482330" w14:paraId="649E9305" w14:textId="77777777" w:rsidTr="00906619">
        <w:trPr>
          <w:trHeight w:val="332"/>
          <w:jc w:val="center"/>
        </w:trPr>
        <w:tc>
          <w:tcPr>
            <w:tcW w:w="3119" w:type="dxa"/>
            <w:gridSpan w:val="2"/>
            <w:vMerge/>
          </w:tcPr>
          <w:p w14:paraId="047F3B4E" w14:textId="77777777" w:rsidR="00E20855" w:rsidRPr="00482330" w:rsidRDefault="00E20855" w:rsidP="00E4188C">
            <w:pPr>
              <w:pStyle w:val="TableParagraph"/>
              <w:spacing w:after="120" w:line="276" w:lineRule="auto"/>
              <w:jc w:val="both"/>
              <w:rPr>
                <w:bCs/>
              </w:rPr>
            </w:pPr>
          </w:p>
        </w:tc>
        <w:tc>
          <w:tcPr>
            <w:tcW w:w="2551" w:type="dxa"/>
          </w:tcPr>
          <w:p w14:paraId="2012DE94" w14:textId="22318520" w:rsidR="00E20855" w:rsidRPr="00482330" w:rsidRDefault="00537D04" w:rsidP="00C42DF0">
            <w:pPr>
              <w:pStyle w:val="TableParagraph"/>
              <w:spacing w:after="120" w:line="276" w:lineRule="auto"/>
              <w:jc w:val="center"/>
              <w:rPr>
                <w:bCs/>
              </w:rPr>
            </w:pPr>
            <w:r w:rsidRPr="00482330">
              <w:rPr>
                <w:rFonts w:eastAsia="Arial"/>
                <w:bCs/>
              </w:rPr>
              <w:t>115</w:t>
            </w:r>
          </w:p>
        </w:tc>
        <w:tc>
          <w:tcPr>
            <w:tcW w:w="3119" w:type="dxa"/>
            <w:gridSpan w:val="2"/>
          </w:tcPr>
          <w:p w14:paraId="0EF192EF" w14:textId="16B3F16D" w:rsidR="00E20855" w:rsidRPr="00482330" w:rsidRDefault="00E20855" w:rsidP="00C42DF0">
            <w:pPr>
              <w:pStyle w:val="TableParagraph"/>
              <w:spacing w:after="120" w:line="276" w:lineRule="auto"/>
              <w:jc w:val="center"/>
              <w:rPr>
                <w:bCs/>
                <w:i/>
                <w:iCs/>
              </w:rPr>
            </w:pPr>
            <w:r w:rsidRPr="00482330">
              <w:rPr>
                <w:rFonts w:eastAsia="Arial"/>
                <w:bCs/>
                <w:i/>
                <w:iCs/>
              </w:rPr>
              <w:t>1</w:t>
            </w:r>
            <w:r w:rsidR="00537D04" w:rsidRPr="00482330">
              <w:rPr>
                <w:rFonts w:eastAsia="Arial"/>
                <w:bCs/>
                <w:i/>
                <w:iCs/>
              </w:rPr>
              <w:t>2</w:t>
            </w:r>
            <w:r w:rsidRPr="00482330">
              <w:rPr>
                <w:rFonts w:eastAsia="Arial"/>
                <w:bCs/>
                <w:i/>
                <w:iCs/>
              </w:rPr>
              <w:t>.2</w:t>
            </w:r>
            <w:r w:rsidR="00537D04" w:rsidRPr="00482330">
              <w:rPr>
                <w:rFonts w:eastAsia="Arial"/>
                <w:bCs/>
                <w:i/>
                <w:iCs/>
              </w:rPr>
              <w:t>6</w:t>
            </w:r>
          </w:p>
        </w:tc>
      </w:tr>
      <w:tr w:rsidR="00E20855" w:rsidRPr="00482330" w14:paraId="6F34DF11" w14:textId="77777777" w:rsidTr="00E20855">
        <w:trPr>
          <w:trHeight w:val="515"/>
          <w:jc w:val="center"/>
        </w:trPr>
        <w:tc>
          <w:tcPr>
            <w:tcW w:w="3119" w:type="dxa"/>
            <w:gridSpan w:val="2"/>
          </w:tcPr>
          <w:p w14:paraId="432DDA39" w14:textId="10D3DDEB" w:rsidR="00E20855" w:rsidRPr="00482330" w:rsidRDefault="00E20855" w:rsidP="00E4188C">
            <w:pPr>
              <w:pStyle w:val="TableParagraph"/>
              <w:spacing w:after="120" w:line="276" w:lineRule="auto"/>
              <w:jc w:val="both"/>
              <w:rPr>
                <w:bCs/>
              </w:rPr>
            </w:pPr>
            <w:r w:rsidRPr="00482330">
              <w:rPr>
                <w:bCs/>
              </w:rPr>
              <w:t>Temp</w:t>
            </w:r>
            <w:r w:rsidR="00401AF8" w:rsidRPr="00482330">
              <w:rPr>
                <w:bCs/>
              </w:rPr>
              <w:t>e</w:t>
            </w:r>
            <w:r w:rsidRPr="00482330">
              <w:rPr>
                <w:bCs/>
              </w:rPr>
              <w:t>rature</w:t>
            </w:r>
            <w:r w:rsidRPr="00482330">
              <w:rPr>
                <w:bCs/>
                <w:spacing w:val="-4"/>
              </w:rPr>
              <w:t xml:space="preserve"> </w:t>
            </w:r>
            <w:r w:rsidRPr="00482330">
              <w:rPr>
                <w:bCs/>
              </w:rPr>
              <w:t>≥</w:t>
            </w:r>
            <w:r w:rsidRPr="00482330">
              <w:rPr>
                <w:bCs/>
                <w:spacing w:val="-3"/>
              </w:rPr>
              <w:t xml:space="preserve"> </w:t>
            </w:r>
            <w:r w:rsidRPr="00482330">
              <w:rPr>
                <w:bCs/>
                <w:spacing w:val="-2"/>
              </w:rPr>
              <w:t>38.4°C</w:t>
            </w:r>
          </w:p>
        </w:tc>
        <w:tc>
          <w:tcPr>
            <w:tcW w:w="2551" w:type="dxa"/>
          </w:tcPr>
          <w:p w14:paraId="5119A6CE" w14:textId="025B9715" w:rsidR="00E20855" w:rsidRPr="00482330" w:rsidRDefault="00E20855" w:rsidP="00C42DF0">
            <w:pPr>
              <w:pStyle w:val="TableParagraph"/>
              <w:spacing w:after="120" w:line="276" w:lineRule="auto"/>
              <w:jc w:val="center"/>
              <w:rPr>
                <w:bCs/>
              </w:rPr>
            </w:pPr>
            <w:r w:rsidRPr="00482330">
              <w:rPr>
                <w:bCs/>
                <w:spacing w:val="-5"/>
              </w:rPr>
              <w:t>2</w:t>
            </w:r>
            <w:r w:rsidR="00537D04" w:rsidRPr="00482330">
              <w:rPr>
                <w:bCs/>
                <w:spacing w:val="-5"/>
              </w:rPr>
              <w:t>50</w:t>
            </w:r>
          </w:p>
        </w:tc>
        <w:tc>
          <w:tcPr>
            <w:tcW w:w="3119" w:type="dxa"/>
            <w:gridSpan w:val="2"/>
          </w:tcPr>
          <w:p w14:paraId="60210E77" w14:textId="1C3FB906" w:rsidR="00E20855" w:rsidRPr="00482330" w:rsidRDefault="00537D04" w:rsidP="00C42DF0">
            <w:pPr>
              <w:pStyle w:val="TableParagraph"/>
              <w:spacing w:after="120" w:line="276" w:lineRule="auto"/>
              <w:jc w:val="center"/>
              <w:rPr>
                <w:bCs/>
                <w:i/>
                <w:iCs/>
              </w:rPr>
            </w:pPr>
            <w:r w:rsidRPr="00482330">
              <w:rPr>
                <w:bCs/>
                <w:i/>
                <w:iCs/>
                <w:spacing w:val="-5"/>
              </w:rPr>
              <w:t>9</w:t>
            </w:r>
            <w:r w:rsidR="00E20855" w:rsidRPr="00482330">
              <w:rPr>
                <w:rFonts w:eastAsia="Arial"/>
                <w:bCs/>
                <w:i/>
                <w:iCs/>
              </w:rPr>
              <w:t>.</w:t>
            </w:r>
            <w:r w:rsidRPr="00482330">
              <w:rPr>
                <w:rFonts w:eastAsia="Arial"/>
                <w:bCs/>
                <w:i/>
                <w:iCs/>
              </w:rPr>
              <w:t>82</w:t>
            </w:r>
          </w:p>
        </w:tc>
      </w:tr>
      <w:tr w:rsidR="00E20855" w:rsidRPr="00482330" w14:paraId="6B3DC753" w14:textId="77777777" w:rsidTr="00E20855">
        <w:trPr>
          <w:trHeight w:val="609"/>
          <w:jc w:val="center"/>
        </w:trPr>
        <w:tc>
          <w:tcPr>
            <w:tcW w:w="3119" w:type="dxa"/>
            <w:gridSpan w:val="2"/>
            <w:tcBorders>
              <w:bottom w:val="single" w:sz="4" w:space="0" w:color="000000"/>
            </w:tcBorders>
          </w:tcPr>
          <w:p w14:paraId="5A5E8855" w14:textId="6E40C1F7" w:rsidR="00E20855" w:rsidRPr="00482330" w:rsidRDefault="00401AF8" w:rsidP="00E4188C">
            <w:pPr>
              <w:pStyle w:val="TableParagraph"/>
              <w:spacing w:after="120" w:line="276" w:lineRule="auto"/>
              <w:jc w:val="both"/>
              <w:rPr>
                <w:bCs/>
              </w:rPr>
            </w:pPr>
            <w:r w:rsidRPr="00482330">
              <w:rPr>
                <w:bCs/>
              </w:rPr>
              <w:t>Pul</w:t>
            </w:r>
            <w:r w:rsidR="00E20855" w:rsidRPr="00482330">
              <w:rPr>
                <w:bCs/>
              </w:rPr>
              <w:t>s</w:t>
            </w:r>
            <w:r w:rsidRPr="00482330">
              <w:rPr>
                <w:bCs/>
              </w:rPr>
              <w:t>e</w:t>
            </w:r>
            <w:r w:rsidR="00E20855" w:rsidRPr="00482330">
              <w:rPr>
                <w:bCs/>
              </w:rPr>
              <w:t xml:space="preserve"> ≥120</w:t>
            </w:r>
            <w:r w:rsidR="00E20855" w:rsidRPr="00482330">
              <w:rPr>
                <w:bCs/>
                <w:spacing w:val="-3"/>
              </w:rPr>
              <w:t xml:space="preserve"> </w:t>
            </w:r>
            <w:r w:rsidRPr="00482330">
              <w:rPr>
                <w:bCs/>
                <w:spacing w:val="-2"/>
              </w:rPr>
              <w:t>heartbeats</w:t>
            </w:r>
            <w:r w:rsidR="00E20855" w:rsidRPr="00482330">
              <w:rPr>
                <w:bCs/>
                <w:spacing w:val="-2"/>
              </w:rPr>
              <w:t>/min</w:t>
            </w:r>
          </w:p>
        </w:tc>
        <w:tc>
          <w:tcPr>
            <w:tcW w:w="2551" w:type="dxa"/>
            <w:tcBorders>
              <w:bottom w:val="single" w:sz="4" w:space="0" w:color="000000"/>
            </w:tcBorders>
          </w:tcPr>
          <w:p w14:paraId="77A11A23" w14:textId="71B80887" w:rsidR="00E20855" w:rsidRPr="00482330" w:rsidRDefault="00537D04" w:rsidP="00C42DF0">
            <w:pPr>
              <w:pStyle w:val="TableParagraph"/>
              <w:spacing w:after="120" w:line="276" w:lineRule="auto"/>
              <w:jc w:val="center"/>
              <w:rPr>
                <w:bCs/>
              </w:rPr>
            </w:pPr>
            <w:r w:rsidRPr="00482330">
              <w:rPr>
                <w:bCs/>
                <w:spacing w:val="-5"/>
              </w:rPr>
              <w:t>9</w:t>
            </w:r>
            <w:r w:rsidR="00E20855" w:rsidRPr="00482330">
              <w:rPr>
                <w:bCs/>
                <w:spacing w:val="-5"/>
              </w:rPr>
              <w:t>2</w:t>
            </w:r>
          </w:p>
        </w:tc>
        <w:tc>
          <w:tcPr>
            <w:tcW w:w="3119" w:type="dxa"/>
            <w:gridSpan w:val="2"/>
            <w:tcBorders>
              <w:bottom w:val="single" w:sz="4" w:space="0" w:color="000000"/>
            </w:tcBorders>
          </w:tcPr>
          <w:p w14:paraId="7A74BB2E" w14:textId="77777777" w:rsidR="00E20855" w:rsidRPr="00482330" w:rsidRDefault="00E20855" w:rsidP="00C42DF0">
            <w:pPr>
              <w:pStyle w:val="TableParagraph"/>
              <w:spacing w:after="120" w:line="276" w:lineRule="auto"/>
              <w:jc w:val="center"/>
              <w:rPr>
                <w:bCs/>
                <w:i/>
                <w:iCs/>
              </w:rPr>
            </w:pPr>
            <w:r w:rsidRPr="00482330">
              <w:rPr>
                <w:bCs/>
                <w:i/>
                <w:iCs/>
                <w:spacing w:val="-5"/>
              </w:rPr>
              <w:t>3</w:t>
            </w:r>
            <w:r w:rsidRPr="00482330">
              <w:rPr>
                <w:rFonts w:eastAsia="Arial"/>
                <w:bCs/>
                <w:i/>
                <w:iCs/>
              </w:rPr>
              <w:t>,49</w:t>
            </w:r>
          </w:p>
        </w:tc>
      </w:tr>
    </w:tbl>
    <w:p w14:paraId="435EB1EA" w14:textId="77777777" w:rsidR="008644C5" w:rsidRPr="00482330" w:rsidRDefault="008644C5" w:rsidP="00E4188C">
      <w:pPr>
        <w:spacing w:line="276" w:lineRule="auto"/>
        <w:jc w:val="both"/>
        <w:rPr>
          <w:rFonts w:ascii="Times New Roman" w:hAnsi="Times New Roman" w:cs="Times New Roman"/>
          <w:sz w:val="22"/>
          <w:szCs w:val="22"/>
        </w:rPr>
      </w:pPr>
    </w:p>
    <w:p w14:paraId="44E82F6F" w14:textId="77777777" w:rsidR="00F509D5" w:rsidRPr="00E43E9D" w:rsidRDefault="00F509D5" w:rsidP="00E4188C">
      <w:pPr>
        <w:spacing w:line="276" w:lineRule="auto"/>
        <w:jc w:val="both"/>
        <w:rPr>
          <w:rFonts w:ascii="Times New Roman" w:hAnsi="Times New Roman" w:cs="Times New Roman"/>
        </w:rPr>
      </w:pPr>
    </w:p>
    <w:p w14:paraId="63B79173" w14:textId="08BBF841" w:rsidR="00F17CB0" w:rsidRPr="00482330" w:rsidRDefault="00F17CB0" w:rsidP="00E4188C">
      <w:pPr>
        <w:pStyle w:val="Heading2"/>
        <w:spacing w:before="0" w:after="120" w:line="360" w:lineRule="auto"/>
        <w:jc w:val="both"/>
        <w:rPr>
          <w:rFonts w:ascii="Times New Roman" w:hAnsi="Times New Roman" w:cs="Times New Roman"/>
          <w:b/>
          <w:bCs/>
          <w:color w:val="auto"/>
          <w:sz w:val="22"/>
          <w:szCs w:val="22"/>
          <w:lang w:val="en-GB"/>
        </w:rPr>
      </w:pPr>
      <w:r w:rsidRPr="00482330">
        <w:rPr>
          <w:rFonts w:ascii="Times New Roman" w:hAnsi="Times New Roman" w:cs="Times New Roman"/>
          <w:b/>
          <w:bCs/>
          <w:color w:val="auto"/>
          <w:sz w:val="22"/>
          <w:szCs w:val="22"/>
          <w:lang w:val="en-GB"/>
        </w:rPr>
        <w:t xml:space="preserve">3.3. </w:t>
      </w:r>
      <w:r w:rsidR="00401AF8" w:rsidRPr="00482330">
        <w:rPr>
          <w:rFonts w:ascii="Times New Roman" w:hAnsi="Times New Roman" w:cs="Times New Roman"/>
          <w:b/>
          <w:bCs/>
          <w:color w:val="auto"/>
          <w:sz w:val="22"/>
          <w:szCs w:val="22"/>
          <w:lang w:val="en-GB"/>
        </w:rPr>
        <w:t>Therapeutic aspects</w:t>
      </w:r>
    </w:p>
    <w:p w14:paraId="3C709C33" w14:textId="1A709409" w:rsidR="00401AF8" w:rsidRPr="00482330" w:rsidRDefault="00401AF8" w:rsidP="00E4188C">
      <w:pPr>
        <w:pStyle w:val="p1"/>
        <w:spacing w:line="276" w:lineRule="auto"/>
        <w:jc w:val="both"/>
        <w:rPr>
          <w:color w:val="auto"/>
          <w:sz w:val="22"/>
          <w:szCs w:val="22"/>
          <w:lang w:val="en-GB"/>
        </w:rPr>
      </w:pPr>
      <w:r w:rsidRPr="00482330">
        <w:rPr>
          <w:color w:val="auto"/>
          <w:sz w:val="22"/>
          <w:szCs w:val="22"/>
          <w:lang w:val="en-GB"/>
        </w:rPr>
        <w:t xml:space="preserve">All of our patients benefited from sensory isolation, and almost all (99.68%) received treatment for contractures. The main drug used was diazepam (72.54%), while thiocolchicoside was administered to 56.74% of patients. The majority of our study population (86.78%) underwent debridement of the gateway. The most frequently used antiseptics were hydrogen peroxide combined with Dakin’s solution (89.01%), Dakin’s solution alone (2.11%), or hydrogen peroxide alone (3.66%). Antibiotic therapy was </w:t>
      </w:r>
      <w:r w:rsidRPr="00482330">
        <w:rPr>
          <w:color w:val="auto"/>
          <w:sz w:val="22"/>
          <w:szCs w:val="22"/>
          <w:lang w:val="en-GB"/>
        </w:rPr>
        <w:lastRenderedPageBreak/>
        <w:t>administered to 936 patients (99.79%), mainly based on metronidazole (60.21%), penicillin G (30.05%), and ampicillin (4.39%). Our study recorded 928 patients who received a dose of tetanus vaccine (96.55%). A tracheotomy was performed in 10.87% of patients, and 4.16% benefited from assisted ventilation.</w:t>
      </w:r>
    </w:p>
    <w:p w14:paraId="58A5B0FA" w14:textId="77777777" w:rsidR="00743B29" w:rsidRPr="00482330" w:rsidRDefault="00743B29" w:rsidP="00E4188C">
      <w:pPr>
        <w:pStyle w:val="p1"/>
        <w:jc w:val="both"/>
        <w:rPr>
          <w:color w:val="auto"/>
          <w:sz w:val="22"/>
          <w:szCs w:val="22"/>
          <w:lang w:val="en-GB"/>
        </w:rPr>
      </w:pPr>
    </w:p>
    <w:p w14:paraId="030ACE4C" w14:textId="4DE7FF09" w:rsidR="00743B29" w:rsidRPr="00482330" w:rsidRDefault="00743B29" w:rsidP="00E4188C">
      <w:pPr>
        <w:pStyle w:val="Heading2"/>
        <w:spacing w:before="0" w:after="0" w:line="360" w:lineRule="auto"/>
        <w:jc w:val="both"/>
        <w:rPr>
          <w:rFonts w:ascii="Times New Roman" w:hAnsi="Times New Roman" w:cs="Times New Roman"/>
          <w:b/>
          <w:bCs/>
          <w:color w:val="auto"/>
          <w:sz w:val="22"/>
          <w:szCs w:val="22"/>
          <w:lang w:val="en-GB"/>
        </w:rPr>
      </w:pPr>
      <w:r w:rsidRPr="00482330">
        <w:rPr>
          <w:rFonts w:ascii="Times New Roman" w:hAnsi="Times New Roman" w:cs="Times New Roman"/>
          <w:b/>
          <w:bCs/>
          <w:color w:val="auto"/>
          <w:sz w:val="22"/>
          <w:szCs w:val="22"/>
          <w:lang w:val="en-GB"/>
        </w:rPr>
        <w:t xml:space="preserve">3.4. </w:t>
      </w:r>
      <w:r w:rsidR="005472DD" w:rsidRPr="00482330">
        <w:rPr>
          <w:rFonts w:ascii="Times New Roman" w:hAnsi="Times New Roman" w:cs="Times New Roman"/>
          <w:b/>
          <w:bCs/>
          <w:color w:val="auto"/>
          <w:sz w:val="22"/>
          <w:szCs w:val="22"/>
          <w:lang w:val="en-GB"/>
        </w:rPr>
        <w:t>Evolutionnary and p</w:t>
      </w:r>
      <w:r w:rsidR="00401AF8" w:rsidRPr="00482330">
        <w:rPr>
          <w:rFonts w:ascii="Times New Roman" w:hAnsi="Times New Roman" w:cs="Times New Roman"/>
          <w:b/>
          <w:bCs/>
          <w:color w:val="auto"/>
          <w:sz w:val="22"/>
          <w:szCs w:val="22"/>
          <w:lang w:val="en-GB"/>
        </w:rPr>
        <w:t xml:space="preserve">rognostic aspects </w:t>
      </w:r>
    </w:p>
    <w:p w14:paraId="655935B1" w14:textId="57EEA00B" w:rsidR="00401AF8" w:rsidRPr="00482330" w:rsidRDefault="00401AF8" w:rsidP="00E4188C">
      <w:pPr>
        <w:pStyle w:val="p1"/>
        <w:spacing w:line="276" w:lineRule="auto"/>
        <w:jc w:val="both"/>
        <w:rPr>
          <w:color w:val="auto"/>
          <w:sz w:val="22"/>
          <w:szCs w:val="22"/>
          <w:lang w:val="en-GB"/>
        </w:rPr>
      </w:pPr>
      <w:r w:rsidRPr="00482330">
        <w:rPr>
          <w:color w:val="auto"/>
          <w:sz w:val="22"/>
          <w:szCs w:val="22"/>
          <w:lang w:val="en-GB"/>
        </w:rPr>
        <w:t xml:space="preserve">At admission, patients were mainly classified as stage II according to Mollaret’s classification (81.77%). The median score was 2, with extremes </w:t>
      </w:r>
      <w:r w:rsidR="005472DD" w:rsidRPr="00482330">
        <w:rPr>
          <w:color w:val="auto"/>
          <w:sz w:val="22"/>
          <w:szCs w:val="22"/>
          <w:lang w:val="en-GB"/>
        </w:rPr>
        <w:t>of 0 and</w:t>
      </w:r>
      <w:r w:rsidRPr="00482330">
        <w:rPr>
          <w:color w:val="auto"/>
          <w:sz w:val="22"/>
          <w:szCs w:val="22"/>
          <w:lang w:val="en-GB"/>
        </w:rPr>
        <w:t xml:space="preserve"> 6. The majority of patients (56.61%) had a score between 2 and 3, and about 21% had a score ≥ 3. Regarding complications, one-third of patients (n=327),</w:t>
      </w:r>
      <w:r w:rsidR="001727A2" w:rsidRPr="00482330">
        <w:rPr>
          <w:color w:val="auto"/>
          <w:sz w:val="22"/>
          <w:szCs w:val="22"/>
          <w:lang w:val="en-GB"/>
        </w:rPr>
        <w:t xml:space="preserve"> </w:t>
      </w:r>
      <w:r w:rsidRPr="00482330">
        <w:rPr>
          <w:color w:val="auto"/>
          <w:sz w:val="22"/>
          <w:szCs w:val="22"/>
          <w:lang w:val="en-GB"/>
        </w:rPr>
        <w:t>or 34.86%, developed at least one complication during hospitalization. The main complications observed were cardiovascular (17.59%), respiratory (14.71%), and infectious (15.03%) (Figure 1).</w:t>
      </w:r>
    </w:p>
    <w:p w14:paraId="0AF6549E" w14:textId="77777777" w:rsidR="001727A2" w:rsidRDefault="001727A2" w:rsidP="00E4188C">
      <w:pPr>
        <w:pStyle w:val="p1"/>
        <w:spacing w:line="276" w:lineRule="auto"/>
        <w:jc w:val="both"/>
        <w:rPr>
          <w:color w:val="auto"/>
          <w:sz w:val="24"/>
          <w:szCs w:val="24"/>
          <w:lang w:val="en-GB"/>
        </w:rPr>
      </w:pPr>
    </w:p>
    <w:p w14:paraId="01131B39" w14:textId="13475F05" w:rsidR="001727A2" w:rsidRDefault="00C42DF0" w:rsidP="00E4188C">
      <w:pPr>
        <w:pStyle w:val="p1"/>
        <w:spacing w:line="276" w:lineRule="auto"/>
        <w:jc w:val="both"/>
        <w:rPr>
          <w:color w:val="auto"/>
          <w:sz w:val="24"/>
          <w:szCs w:val="24"/>
          <w:lang w:val="en-GB"/>
        </w:rPr>
      </w:pPr>
      <w:r w:rsidRPr="00525960">
        <w:rPr>
          <w:noProof/>
          <w:lang w:val="en-US" w:eastAsia="en-US"/>
        </w:rPr>
        <w:drawing>
          <wp:inline distT="0" distB="0" distL="0" distR="0" wp14:anchorId="3414F0E6" wp14:editId="20573535">
            <wp:extent cx="5760720" cy="4036173"/>
            <wp:effectExtent l="0" t="0" r="17780" b="15240"/>
            <wp:docPr id="186612619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D48B67" w14:textId="77777777" w:rsidR="001727A2" w:rsidRDefault="001727A2" w:rsidP="00E4188C">
      <w:pPr>
        <w:pStyle w:val="p1"/>
        <w:spacing w:line="276" w:lineRule="auto"/>
        <w:jc w:val="both"/>
        <w:rPr>
          <w:color w:val="auto"/>
          <w:sz w:val="24"/>
          <w:szCs w:val="24"/>
          <w:lang w:val="en-GB"/>
        </w:rPr>
      </w:pPr>
    </w:p>
    <w:p w14:paraId="4406E760" w14:textId="48002230" w:rsidR="001727A2" w:rsidRPr="00482330" w:rsidRDefault="005472DD" w:rsidP="00C42DF0">
      <w:pPr>
        <w:pStyle w:val="BodyText"/>
        <w:spacing w:after="120" w:line="276" w:lineRule="auto"/>
        <w:jc w:val="both"/>
        <w:rPr>
          <w:sz w:val="22"/>
          <w:szCs w:val="22"/>
          <w:lang w:val="en-GB"/>
        </w:rPr>
      </w:pPr>
      <w:r w:rsidRPr="00482330">
        <w:rPr>
          <w:b/>
          <w:bCs/>
          <w:sz w:val="22"/>
          <w:szCs w:val="22"/>
          <w:lang w:val="en-GB"/>
        </w:rPr>
        <w:t>Figure 1</w:t>
      </w:r>
      <w:r w:rsidR="00906619" w:rsidRPr="00482330">
        <w:rPr>
          <w:sz w:val="22"/>
          <w:szCs w:val="22"/>
          <w:lang w:val="en-GB"/>
        </w:rPr>
        <w:t xml:space="preserve">: </w:t>
      </w:r>
      <w:r w:rsidRPr="00482330">
        <w:rPr>
          <w:sz w:val="22"/>
          <w:szCs w:val="22"/>
          <w:lang w:val="en-GB"/>
        </w:rPr>
        <w:t>Distribution of patients according to the encountered complications, Department of Infectious and Tropical Diseases (SMIT) of Fann Teaching Hospital, 2010-2021 (n = 938)</w:t>
      </w:r>
    </w:p>
    <w:p w14:paraId="19AC9E57" w14:textId="6BEBE785" w:rsidR="001727A2" w:rsidRPr="00482330" w:rsidRDefault="005472DD" w:rsidP="00E4188C">
      <w:pPr>
        <w:pStyle w:val="p1"/>
        <w:spacing w:line="276" w:lineRule="auto"/>
        <w:jc w:val="both"/>
        <w:rPr>
          <w:color w:val="auto"/>
          <w:sz w:val="22"/>
          <w:szCs w:val="22"/>
          <w:lang w:val="en-GB"/>
        </w:rPr>
      </w:pPr>
      <w:r w:rsidRPr="00482330">
        <w:rPr>
          <w:color w:val="auto"/>
          <w:sz w:val="22"/>
          <w:szCs w:val="22"/>
          <w:lang w:val="en-GB"/>
        </w:rPr>
        <w:t xml:space="preserve">Cardiac arrest was the most frequently observed cardiovascular complication, occurring in 88.48% of cases. Respiratory complications were dominated by laryngeal spasm (49.64%) and thoracic rigidity (37.96%); the most common infectious complications were pulmonary infections (51.06%). Hypersensitivity to sedatives was frequently noted as iatrogenic complication (81.25%). The mean </w:t>
      </w:r>
      <w:r w:rsidR="007E194C" w:rsidRPr="00482330">
        <w:rPr>
          <w:color w:val="auto"/>
          <w:sz w:val="22"/>
          <w:szCs w:val="22"/>
          <w:lang w:val="en-GB"/>
        </w:rPr>
        <w:t>length of hospital stay</w:t>
      </w:r>
      <w:r w:rsidRPr="00482330">
        <w:rPr>
          <w:color w:val="auto"/>
          <w:sz w:val="22"/>
          <w:szCs w:val="22"/>
          <w:lang w:val="en-GB"/>
        </w:rPr>
        <w:t xml:space="preserve"> was 11.99 ± 8.99 days</w:t>
      </w:r>
      <w:r w:rsidR="007E194C" w:rsidRPr="00482330">
        <w:rPr>
          <w:color w:val="auto"/>
          <w:sz w:val="22"/>
          <w:szCs w:val="22"/>
          <w:lang w:val="en-GB"/>
        </w:rPr>
        <w:t xml:space="preserve"> [</w:t>
      </w:r>
      <w:r w:rsidR="0089098D" w:rsidRPr="00482330">
        <w:rPr>
          <w:color w:val="auto"/>
          <w:sz w:val="22"/>
          <w:szCs w:val="22"/>
          <w:lang w:val="en-GB"/>
        </w:rPr>
        <w:t xml:space="preserve">range: </w:t>
      </w:r>
      <w:r w:rsidRPr="00482330">
        <w:rPr>
          <w:color w:val="auto"/>
          <w:sz w:val="22"/>
          <w:szCs w:val="22"/>
          <w:lang w:val="en-GB"/>
        </w:rPr>
        <w:t>0</w:t>
      </w:r>
      <w:r w:rsidR="007E194C" w:rsidRPr="00482330">
        <w:rPr>
          <w:color w:val="auto"/>
          <w:sz w:val="22"/>
          <w:szCs w:val="22"/>
          <w:lang w:val="en-GB"/>
        </w:rPr>
        <w:t xml:space="preserve"> –</w:t>
      </w:r>
      <w:r w:rsidRPr="00482330">
        <w:rPr>
          <w:color w:val="auto"/>
          <w:sz w:val="22"/>
          <w:szCs w:val="22"/>
          <w:lang w:val="en-GB"/>
        </w:rPr>
        <w:t xml:space="preserve"> 122</w:t>
      </w:r>
      <w:r w:rsidR="007E194C" w:rsidRPr="00482330">
        <w:rPr>
          <w:color w:val="auto"/>
          <w:sz w:val="22"/>
          <w:szCs w:val="22"/>
          <w:lang w:val="en-GB"/>
        </w:rPr>
        <w:t>]</w:t>
      </w:r>
      <w:r w:rsidRPr="00482330">
        <w:rPr>
          <w:color w:val="auto"/>
          <w:sz w:val="22"/>
          <w:szCs w:val="22"/>
          <w:lang w:val="en-GB"/>
        </w:rPr>
        <w:t>. Overall, during the study period, recovery was observed in 76.65% of patients. We recorded a mortality rate of 20.47%, while 2.88% of patients were transferred to other departments for continued management.</w:t>
      </w:r>
    </w:p>
    <w:p w14:paraId="5355FF74" w14:textId="5353204B" w:rsidR="00482330" w:rsidRDefault="00482330" w:rsidP="00E4188C">
      <w:pPr>
        <w:spacing w:line="276" w:lineRule="auto"/>
        <w:jc w:val="both"/>
        <w:rPr>
          <w:rFonts w:ascii="Times New Roman" w:hAnsi="Times New Roman" w:cs="Times New Roman"/>
          <w:lang w:val="en-GB"/>
        </w:rPr>
      </w:pPr>
    </w:p>
    <w:p w14:paraId="3285E880" w14:textId="77777777" w:rsidR="00482330" w:rsidRPr="00E43E9D" w:rsidRDefault="00482330" w:rsidP="00E4188C">
      <w:pPr>
        <w:spacing w:line="276" w:lineRule="auto"/>
        <w:jc w:val="both"/>
        <w:rPr>
          <w:rFonts w:ascii="Times New Roman" w:hAnsi="Times New Roman" w:cs="Times New Roman"/>
          <w:lang w:val="en-GB"/>
        </w:rPr>
      </w:pPr>
    </w:p>
    <w:p w14:paraId="3FDA9308" w14:textId="643178A0" w:rsidR="008644C5" w:rsidRPr="00482330" w:rsidRDefault="007E194C" w:rsidP="00E4188C">
      <w:pPr>
        <w:spacing w:line="276" w:lineRule="auto"/>
        <w:jc w:val="both"/>
        <w:rPr>
          <w:rFonts w:ascii="Times New Roman" w:hAnsi="Times New Roman" w:cs="Times New Roman"/>
          <w:b/>
          <w:bCs/>
          <w:sz w:val="22"/>
          <w:szCs w:val="22"/>
          <w:lang w:val="en-GB"/>
        </w:rPr>
      </w:pPr>
      <w:r w:rsidRPr="00482330">
        <w:rPr>
          <w:rFonts w:ascii="Times New Roman" w:hAnsi="Times New Roman" w:cs="Times New Roman"/>
          <w:b/>
          <w:bCs/>
          <w:sz w:val="22"/>
          <w:szCs w:val="22"/>
          <w:lang w:val="en-GB"/>
        </w:rPr>
        <w:t>3.5. Factors associated with mortality</w:t>
      </w:r>
    </w:p>
    <w:p w14:paraId="596A116F" w14:textId="1E0CDB95" w:rsidR="00805559" w:rsidRPr="00482330" w:rsidRDefault="007E194C"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lastRenderedPageBreak/>
        <w:t>In multivariate analysis</w:t>
      </w:r>
      <w:r w:rsidR="00805559" w:rsidRPr="00482330">
        <w:rPr>
          <w:rFonts w:ascii="Times New Roman" w:eastAsia="Times New Roman" w:hAnsi="Times New Roman" w:cs="Times New Roman"/>
          <w:sz w:val="22"/>
          <w:szCs w:val="22"/>
          <w:lang w:val="en-GB" w:eastAsia="fr-FR"/>
        </w:rPr>
        <w:t xml:space="preserve">, </w:t>
      </w:r>
      <w:r w:rsidR="00DB4B37" w:rsidRPr="00482330">
        <w:rPr>
          <w:rFonts w:ascii="Times New Roman" w:eastAsia="Times New Roman" w:hAnsi="Times New Roman" w:cs="Times New Roman"/>
          <w:sz w:val="22"/>
          <w:szCs w:val="22"/>
          <w:lang w:val="en-GB" w:eastAsia="fr-FR"/>
        </w:rPr>
        <w:t xml:space="preserve">five factors </w:t>
      </w:r>
      <w:r w:rsidR="00544F1F" w:rsidRPr="00482330">
        <w:rPr>
          <w:rFonts w:ascii="Times New Roman" w:eastAsia="Times New Roman" w:hAnsi="Times New Roman" w:cs="Times New Roman"/>
          <w:sz w:val="22"/>
          <w:szCs w:val="22"/>
          <w:lang w:val="en-GB" w:eastAsia="fr-FR"/>
        </w:rPr>
        <w:t xml:space="preserve">were significantly </w:t>
      </w:r>
      <w:r w:rsidR="00DB4B37" w:rsidRPr="00482330">
        <w:rPr>
          <w:rFonts w:ascii="Times New Roman" w:eastAsia="Times New Roman" w:hAnsi="Times New Roman" w:cs="Times New Roman"/>
          <w:sz w:val="22"/>
          <w:szCs w:val="22"/>
          <w:lang w:val="en-GB" w:eastAsia="fr-FR"/>
        </w:rPr>
        <w:t>associated with death</w:t>
      </w:r>
      <w:r w:rsidR="00805559" w:rsidRPr="00482330">
        <w:rPr>
          <w:rFonts w:ascii="Times New Roman" w:eastAsia="Times New Roman" w:hAnsi="Times New Roman" w:cs="Times New Roman"/>
          <w:sz w:val="22"/>
          <w:szCs w:val="22"/>
          <w:lang w:val="en-GB" w:eastAsia="fr-FR"/>
        </w:rPr>
        <w:t>:</w:t>
      </w:r>
    </w:p>
    <w:p w14:paraId="1F9C3348" w14:textId="15769F86" w:rsidR="00DB4B37" w:rsidRPr="00482330" w:rsidRDefault="00805559"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t xml:space="preserve">- </w:t>
      </w:r>
      <w:r w:rsidR="00DB4B37" w:rsidRPr="00482330">
        <w:rPr>
          <w:rFonts w:ascii="Times New Roman" w:eastAsia="Times New Roman" w:hAnsi="Times New Roman" w:cs="Times New Roman"/>
          <w:sz w:val="22"/>
          <w:szCs w:val="22"/>
          <w:lang w:val="en-GB" w:eastAsia="fr-FR"/>
        </w:rPr>
        <w:t>Invasion period less than 48 hours: OR = 5.27 [2.23-12.44]</w:t>
      </w:r>
    </w:p>
    <w:p w14:paraId="08DCECB9" w14:textId="42393129" w:rsidR="00805559" w:rsidRPr="00482330" w:rsidRDefault="00805559"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t xml:space="preserve">- </w:t>
      </w:r>
      <w:r w:rsidR="00DB4B37" w:rsidRPr="00482330">
        <w:rPr>
          <w:rFonts w:ascii="Times New Roman" w:eastAsia="Times New Roman" w:hAnsi="Times New Roman" w:cs="Times New Roman"/>
          <w:sz w:val="22"/>
          <w:szCs w:val="22"/>
          <w:lang w:val="en-GB" w:eastAsia="fr-FR"/>
        </w:rPr>
        <w:t>Age ≥ 65 years</w:t>
      </w:r>
      <w:r w:rsidRPr="00482330">
        <w:rPr>
          <w:rFonts w:ascii="Times New Roman" w:eastAsia="Times New Roman" w:hAnsi="Times New Roman" w:cs="Times New Roman"/>
          <w:sz w:val="22"/>
          <w:szCs w:val="22"/>
          <w:lang w:val="en-GB" w:eastAsia="fr-FR"/>
        </w:rPr>
        <w:t>: OR = 7</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17 [2</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10-12</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44]</w:t>
      </w:r>
    </w:p>
    <w:p w14:paraId="1E7236EC" w14:textId="1714979B" w:rsidR="00805559" w:rsidRPr="00482330" w:rsidRDefault="00805559"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t>-</w:t>
      </w:r>
      <w:r w:rsidR="00DB4B37" w:rsidRPr="00482330">
        <w:rPr>
          <w:rFonts w:ascii="Times New Roman" w:eastAsia="Times New Roman" w:hAnsi="Times New Roman" w:cs="Times New Roman"/>
          <w:sz w:val="22"/>
          <w:szCs w:val="22"/>
          <w:lang w:val="en-GB" w:eastAsia="fr-FR"/>
        </w:rPr>
        <w:t xml:space="preserve"> Presence of diabetes: OR = 11.</w:t>
      </w:r>
      <w:r w:rsidRPr="00482330">
        <w:rPr>
          <w:rFonts w:ascii="Times New Roman" w:eastAsia="Times New Roman" w:hAnsi="Times New Roman" w:cs="Times New Roman"/>
          <w:sz w:val="22"/>
          <w:szCs w:val="22"/>
          <w:lang w:val="en-GB" w:eastAsia="fr-FR"/>
        </w:rPr>
        <w:t>56 [1</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92-69</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68]</w:t>
      </w:r>
      <w:r w:rsidR="003D54F0" w:rsidRPr="00482330">
        <w:rPr>
          <w:rFonts w:ascii="Times New Roman" w:eastAsia="Times New Roman" w:hAnsi="Times New Roman" w:cs="Times New Roman"/>
          <w:sz w:val="22"/>
          <w:szCs w:val="22"/>
          <w:lang w:val="en-GB" w:eastAsia="fr-FR"/>
        </w:rPr>
        <w:t xml:space="preserve"> </w:t>
      </w:r>
    </w:p>
    <w:p w14:paraId="1EB1BAAD" w14:textId="43A3F253" w:rsidR="00805559" w:rsidRPr="00482330" w:rsidRDefault="00805559"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t xml:space="preserve">- </w:t>
      </w:r>
      <w:r w:rsidR="00DB4B37" w:rsidRPr="00482330">
        <w:rPr>
          <w:rFonts w:ascii="Times New Roman" w:eastAsia="Times New Roman" w:hAnsi="Times New Roman" w:cs="Times New Roman"/>
          <w:sz w:val="22"/>
          <w:szCs w:val="22"/>
          <w:lang w:val="en-GB" w:eastAsia="fr-FR"/>
        </w:rPr>
        <w:t>Occurrence of tonic-clonic paroxysms</w:t>
      </w:r>
      <w:r w:rsidRPr="00482330">
        <w:rPr>
          <w:rFonts w:ascii="Times New Roman" w:eastAsia="Times New Roman" w:hAnsi="Times New Roman" w:cs="Times New Roman"/>
          <w:sz w:val="22"/>
          <w:szCs w:val="22"/>
          <w:lang w:val="en-GB" w:eastAsia="fr-FR"/>
        </w:rPr>
        <w:t>: OR =3</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79 [1</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52-9</w:t>
      </w:r>
      <w:r w:rsidR="00005AEA" w:rsidRPr="00482330">
        <w:rPr>
          <w:rFonts w:ascii="Times New Roman" w:eastAsia="Times New Roman" w:hAnsi="Times New Roman" w:cs="Times New Roman"/>
          <w:sz w:val="22"/>
          <w:szCs w:val="22"/>
          <w:lang w:val="en-GB" w:eastAsia="fr-FR"/>
        </w:rPr>
        <w:t>.</w:t>
      </w:r>
      <w:r w:rsidRPr="00482330">
        <w:rPr>
          <w:rFonts w:ascii="Times New Roman" w:eastAsia="Times New Roman" w:hAnsi="Times New Roman" w:cs="Times New Roman"/>
          <w:sz w:val="22"/>
          <w:szCs w:val="22"/>
          <w:lang w:val="en-GB" w:eastAsia="fr-FR"/>
        </w:rPr>
        <w:t>43]</w:t>
      </w:r>
    </w:p>
    <w:p w14:paraId="23534881" w14:textId="01F1D7BE" w:rsidR="00805559" w:rsidRPr="00482330" w:rsidRDefault="00805559" w:rsidP="00E4188C">
      <w:pPr>
        <w:spacing w:line="276" w:lineRule="auto"/>
        <w:jc w:val="both"/>
        <w:rPr>
          <w:rFonts w:ascii="Times New Roman" w:eastAsia="Times New Roman" w:hAnsi="Times New Roman" w:cs="Times New Roman"/>
          <w:sz w:val="22"/>
          <w:szCs w:val="22"/>
          <w:lang w:val="fr-SN" w:eastAsia="fr-FR"/>
        </w:rPr>
      </w:pPr>
      <w:r w:rsidRPr="00482330">
        <w:rPr>
          <w:rFonts w:ascii="Times New Roman" w:eastAsia="Times New Roman" w:hAnsi="Times New Roman" w:cs="Times New Roman"/>
          <w:sz w:val="22"/>
          <w:szCs w:val="22"/>
          <w:lang w:val="fr-SN" w:eastAsia="fr-FR"/>
        </w:rPr>
        <w:t xml:space="preserve">- </w:t>
      </w:r>
      <w:r w:rsidR="00DB4B37" w:rsidRPr="00482330">
        <w:rPr>
          <w:rFonts w:ascii="Times New Roman" w:eastAsia="Times New Roman" w:hAnsi="Times New Roman" w:cs="Times New Roman"/>
          <w:sz w:val="22"/>
          <w:szCs w:val="22"/>
          <w:lang w:val="en-GB" w:eastAsia="fr-FR"/>
        </w:rPr>
        <w:t>Development of complications</w:t>
      </w:r>
      <w:r w:rsidRPr="00482330">
        <w:rPr>
          <w:rFonts w:ascii="Times New Roman" w:eastAsia="Times New Roman" w:hAnsi="Times New Roman" w:cs="Times New Roman"/>
          <w:sz w:val="22"/>
          <w:szCs w:val="22"/>
          <w:lang w:val="fr-SN" w:eastAsia="fr-FR"/>
        </w:rPr>
        <w:t>: OR = 11</w:t>
      </w:r>
      <w:r w:rsidR="00005AEA" w:rsidRPr="00482330">
        <w:rPr>
          <w:rFonts w:ascii="Times New Roman" w:eastAsia="Times New Roman" w:hAnsi="Times New Roman" w:cs="Times New Roman"/>
          <w:sz w:val="22"/>
          <w:szCs w:val="22"/>
          <w:lang w:val="fr-SN" w:eastAsia="fr-FR"/>
        </w:rPr>
        <w:t>.</w:t>
      </w:r>
      <w:r w:rsidRPr="00482330">
        <w:rPr>
          <w:rFonts w:ascii="Times New Roman" w:eastAsia="Times New Roman" w:hAnsi="Times New Roman" w:cs="Times New Roman"/>
          <w:sz w:val="22"/>
          <w:szCs w:val="22"/>
          <w:lang w:val="fr-SN" w:eastAsia="fr-FR"/>
        </w:rPr>
        <w:t>33 [3</w:t>
      </w:r>
      <w:r w:rsidR="00005AEA" w:rsidRPr="00482330">
        <w:rPr>
          <w:rFonts w:ascii="Times New Roman" w:eastAsia="Times New Roman" w:hAnsi="Times New Roman" w:cs="Times New Roman"/>
          <w:sz w:val="22"/>
          <w:szCs w:val="22"/>
          <w:lang w:val="fr-SN" w:eastAsia="fr-FR"/>
        </w:rPr>
        <w:t>.</w:t>
      </w:r>
      <w:r w:rsidRPr="00482330">
        <w:rPr>
          <w:rFonts w:ascii="Times New Roman" w:eastAsia="Times New Roman" w:hAnsi="Times New Roman" w:cs="Times New Roman"/>
          <w:sz w:val="22"/>
          <w:szCs w:val="22"/>
          <w:lang w:val="fr-SN" w:eastAsia="fr-FR"/>
        </w:rPr>
        <w:t>62-35</w:t>
      </w:r>
      <w:r w:rsidR="00005AEA" w:rsidRPr="00482330">
        <w:rPr>
          <w:rFonts w:ascii="Times New Roman" w:eastAsia="Times New Roman" w:hAnsi="Times New Roman" w:cs="Times New Roman"/>
          <w:sz w:val="22"/>
          <w:szCs w:val="22"/>
          <w:lang w:val="fr-SN" w:eastAsia="fr-FR"/>
        </w:rPr>
        <w:t>.</w:t>
      </w:r>
      <w:r w:rsidRPr="00482330">
        <w:rPr>
          <w:rFonts w:ascii="Times New Roman" w:eastAsia="Times New Roman" w:hAnsi="Times New Roman" w:cs="Times New Roman"/>
          <w:sz w:val="22"/>
          <w:szCs w:val="22"/>
          <w:lang w:val="fr-SN" w:eastAsia="fr-FR"/>
        </w:rPr>
        <w:t>46]</w:t>
      </w:r>
    </w:p>
    <w:p w14:paraId="43BA31E7" w14:textId="7C848017" w:rsidR="008644C5" w:rsidRPr="00482330" w:rsidRDefault="00B265C6" w:rsidP="00E4188C">
      <w:pPr>
        <w:spacing w:line="360" w:lineRule="auto"/>
        <w:contextualSpacing/>
        <w:jc w:val="both"/>
        <w:rPr>
          <w:rFonts w:ascii="Times New Roman" w:hAnsi="Times New Roman" w:cs="Times New Roman"/>
          <w:sz w:val="22"/>
          <w:szCs w:val="22"/>
          <w:lang w:val="fr-SN"/>
        </w:rPr>
      </w:pPr>
      <w:r>
        <w:rPr>
          <w:rFonts w:ascii="Times New Roman" w:hAnsi="Times New Roman" w:cs="Times New Roman"/>
          <w:sz w:val="22"/>
          <w:szCs w:val="22"/>
          <w:lang w:val="fr-SN"/>
        </w:rPr>
        <w:t xml:space="preserve">TABLE III. </w:t>
      </w:r>
      <w:r w:rsidR="004B102C" w:rsidRPr="00AD1000">
        <w:rPr>
          <w:b/>
        </w:rPr>
        <w:t xml:space="preserve">Multivariate </w:t>
      </w:r>
      <w:r w:rsidRPr="00AD1000">
        <w:rPr>
          <w:b/>
        </w:rPr>
        <w:t>logistic regression analysi</w:t>
      </w:r>
      <w:r w:rsidR="00AD1000" w:rsidRPr="00AD1000">
        <w:rPr>
          <w:b/>
        </w:rPr>
        <w: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17"/>
        <w:gridCol w:w="1276"/>
        <w:gridCol w:w="1134"/>
        <w:gridCol w:w="1558"/>
      </w:tblGrid>
      <w:tr w:rsidR="00E43E9D" w:rsidRPr="00482330" w14:paraId="7100D687" w14:textId="77777777" w:rsidTr="00031314">
        <w:trPr>
          <w:trHeight w:val="673"/>
          <w:jc w:val="center"/>
        </w:trPr>
        <w:tc>
          <w:tcPr>
            <w:tcW w:w="3681" w:type="dxa"/>
            <w:tcBorders>
              <w:top w:val="single" w:sz="4" w:space="0" w:color="auto"/>
              <w:bottom w:val="single" w:sz="4" w:space="0" w:color="auto"/>
            </w:tcBorders>
            <w:vAlign w:val="center"/>
          </w:tcPr>
          <w:p w14:paraId="58E8C8B1" w14:textId="371723E5" w:rsidR="00031314" w:rsidRPr="00482330" w:rsidRDefault="00191604" w:rsidP="00E4188C">
            <w:pPr>
              <w:spacing w:line="360" w:lineRule="auto"/>
              <w:jc w:val="both"/>
              <w:rPr>
                <w:rFonts w:ascii="Times New Roman" w:hAnsi="Times New Roman" w:cs="Times New Roman"/>
                <w:b/>
                <w:bCs/>
                <w:sz w:val="22"/>
                <w:szCs w:val="22"/>
                <w:lang w:val="fr-CA"/>
              </w:rPr>
            </w:pPr>
            <w:r w:rsidRPr="00482330">
              <w:rPr>
                <w:rFonts w:ascii="Times New Roman" w:hAnsi="Times New Roman" w:cs="Times New Roman"/>
                <w:b/>
                <w:bCs/>
                <w:sz w:val="22"/>
                <w:szCs w:val="22"/>
                <w:lang w:val="fr-CA"/>
              </w:rPr>
              <w:t>Predictors</w:t>
            </w:r>
          </w:p>
        </w:tc>
        <w:tc>
          <w:tcPr>
            <w:tcW w:w="1417" w:type="dxa"/>
            <w:tcBorders>
              <w:top w:val="single" w:sz="4" w:space="0" w:color="auto"/>
              <w:bottom w:val="single" w:sz="4" w:space="0" w:color="auto"/>
            </w:tcBorders>
            <w:vAlign w:val="center"/>
          </w:tcPr>
          <w:p w14:paraId="75681879" w14:textId="77777777" w:rsidR="00031314" w:rsidRPr="00482330" w:rsidRDefault="00031314" w:rsidP="00E4188C">
            <w:pPr>
              <w:spacing w:line="360" w:lineRule="auto"/>
              <w:jc w:val="both"/>
              <w:rPr>
                <w:rFonts w:ascii="Times New Roman" w:hAnsi="Times New Roman" w:cs="Times New Roman"/>
                <w:b/>
                <w:bCs/>
                <w:sz w:val="22"/>
                <w:szCs w:val="22"/>
                <w:lang w:val="fr-CA"/>
              </w:rPr>
            </w:pPr>
            <w:r w:rsidRPr="00482330">
              <w:rPr>
                <w:rFonts w:ascii="Times New Roman" w:hAnsi="Times New Roman" w:cs="Times New Roman"/>
                <w:b/>
                <w:bCs/>
                <w:sz w:val="22"/>
                <w:szCs w:val="22"/>
                <w:lang w:val="fr-CA"/>
              </w:rPr>
              <w:t>Odd ratio</w:t>
            </w:r>
          </w:p>
        </w:tc>
        <w:tc>
          <w:tcPr>
            <w:tcW w:w="1276" w:type="dxa"/>
            <w:tcBorders>
              <w:top w:val="single" w:sz="4" w:space="0" w:color="auto"/>
              <w:bottom w:val="single" w:sz="4" w:space="0" w:color="auto"/>
            </w:tcBorders>
            <w:vAlign w:val="center"/>
          </w:tcPr>
          <w:p w14:paraId="357FC28F" w14:textId="77777777" w:rsidR="00031314" w:rsidRPr="00482330" w:rsidRDefault="00031314" w:rsidP="00E4188C">
            <w:pPr>
              <w:spacing w:line="360" w:lineRule="auto"/>
              <w:jc w:val="both"/>
              <w:rPr>
                <w:rFonts w:ascii="Times New Roman" w:hAnsi="Times New Roman" w:cs="Times New Roman"/>
                <w:b/>
                <w:bCs/>
                <w:sz w:val="22"/>
                <w:szCs w:val="22"/>
                <w:lang w:val="fr-CA"/>
              </w:rPr>
            </w:pPr>
            <w:r w:rsidRPr="00482330">
              <w:rPr>
                <w:rFonts w:ascii="Times New Roman" w:hAnsi="Times New Roman" w:cs="Times New Roman"/>
                <w:b/>
                <w:bCs/>
                <w:sz w:val="22"/>
                <w:szCs w:val="22"/>
                <w:lang w:val="fr-CA"/>
              </w:rPr>
              <w:t>Std. Err</w:t>
            </w:r>
          </w:p>
        </w:tc>
        <w:tc>
          <w:tcPr>
            <w:tcW w:w="1134" w:type="dxa"/>
            <w:tcBorders>
              <w:top w:val="single" w:sz="4" w:space="0" w:color="auto"/>
              <w:bottom w:val="single" w:sz="4" w:space="0" w:color="auto"/>
            </w:tcBorders>
            <w:vAlign w:val="center"/>
          </w:tcPr>
          <w:p w14:paraId="0157B14F" w14:textId="5E6EF831" w:rsidR="00031314" w:rsidRPr="00482330" w:rsidRDefault="003D54F0" w:rsidP="00E4188C">
            <w:pPr>
              <w:spacing w:line="360" w:lineRule="auto"/>
              <w:jc w:val="both"/>
              <w:rPr>
                <w:rFonts w:ascii="Times New Roman" w:hAnsi="Times New Roman" w:cs="Times New Roman"/>
                <w:b/>
                <w:bCs/>
                <w:sz w:val="22"/>
                <w:szCs w:val="22"/>
                <w:lang w:val="fr-CA"/>
              </w:rPr>
            </w:pPr>
            <w:r w:rsidRPr="00482330">
              <w:rPr>
                <w:rFonts w:ascii="Times New Roman" w:hAnsi="Times New Roman" w:cs="Times New Roman"/>
                <w:b/>
                <w:bCs/>
                <w:sz w:val="22"/>
                <w:szCs w:val="22"/>
                <w:lang w:val="fr-CA"/>
              </w:rPr>
              <w:t>p</w:t>
            </w:r>
            <w:r w:rsidR="00031314" w:rsidRPr="00482330">
              <w:rPr>
                <w:rFonts w:ascii="Times New Roman" w:hAnsi="Times New Roman" w:cs="Times New Roman"/>
                <w:b/>
                <w:bCs/>
                <w:sz w:val="22"/>
                <w:szCs w:val="22"/>
                <w:lang w:val="fr-CA"/>
              </w:rPr>
              <w:t>-value</w:t>
            </w:r>
          </w:p>
        </w:tc>
        <w:tc>
          <w:tcPr>
            <w:tcW w:w="1558" w:type="dxa"/>
            <w:tcBorders>
              <w:top w:val="single" w:sz="4" w:space="0" w:color="auto"/>
              <w:bottom w:val="single" w:sz="4" w:space="0" w:color="auto"/>
            </w:tcBorders>
            <w:vAlign w:val="center"/>
          </w:tcPr>
          <w:p w14:paraId="1C39D082" w14:textId="45576FB8" w:rsidR="00031314" w:rsidRPr="00482330" w:rsidRDefault="00DB4B37" w:rsidP="00E4188C">
            <w:pPr>
              <w:spacing w:line="360" w:lineRule="auto"/>
              <w:jc w:val="both"/>
              <w:rPr>
                <w:rFonts w:ascii="Times New Roman" w:hAnsi="Times New Roman" w:cs="Times New Roman"/>
                <w:b/>
                <w:bCs/>
                <w:sz w:val="22"/>
                <w:szCs w:val="22"/>
                <w:lang w:val="fr-CA"/>
              </w:rPr>
            </w:pPr>
            <w:r w:rsidRPr="00482330">
              <w:rPr>
                <w:rFonts w:ascii="Times New Roman" w:hAnsi="Times New Roman" w:cs="Times New Roman"/>
                <w:b/>
                <w:bCs/>
                <w:sz w:val="22"/>
                <w:szCs w:val="22"/>
                <w:lang w:val="fr-CA"/>
              </w:rPr>
              <w:t xml:space="preserve">95% </w:t>
            </w:r>
            <w:r w:rsidR="00031314" w:rsidRPr="00482330">
              <w:rPr>
                <w:rFonts w:ascii="Times New Roman" w:hAnsi="Times New Roman" w:cs="Times New Roman"/>
                <w:b/>
                <w:bCs/>
                <w:sz w:val="22"/>
                <w:szCs w:val="22"/>
                <w:lang w:val="fr-CA"/>
              </w:rPr>
              <w:t>C</w:t>
            </w:r>
            <w:r w:rsidRPr="00482330">
              <w:rPr>
                <w:rFonts w:ascii="Times New Roman" w:hAnsi="Times New Roman" w:cs="Times New Roman"/>
                <w:b/>
                <w:bCs/>
                <w:sz w:val="22"/>
                <w:szCs w:val="22"/>
                <w:lang w:val="fr-CA"/>
              </w:rPr>
              <w:t>I</w:t>
            </w:r>
            <w:r w:rsidR="00031314" w:rsidRPr="00482330">
              <w:rPr>
                <w:rFonts w:ascii="Times New Roman" w:hAnsi="Times New Roman" w:cs="Times New Roman"/>
                <w:b/>
                <w:bCs/>
                <w:sz w:val="22"/>
                <w:szCs w:val="22"/>
                <w:lang w:val="fr-CA"/>
              </w:rPr>
              <w:t xml:space="preserve"> </w:t>
            </w:r>
          </w:p>
        </w:tc>
      </w:tr>
      <w:tr w:rsidR="00031314" w:rsidRPr="00482330" w14:paraId="23C702B6" w14:textId="77777777" w:rsidTr="00031314">
        <w:trPr>
          <w:trHeight w:val="638"/>
          <w:jc w:val="center"/>
        </w:trPr>
        <w:tc>
          <w:tcPr>
            <w:tcW w:w="3681" w:type="dxa"/>
            <w:tcBorders>
              <w:top w:val="single" w:sz="4" w:space="0" w:color="auto"/>
            </w:tcBorders>
          </w:tcPr>
          <w:p w14:paraId="4832F370" w14:textId="563458A2"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Invasion</w:t>
            </w:r>
            <w:r w:rsidR="00DB4B37" w:rsidRPr="00482330">
              <w:rPr>
                <w:rFonts w:ascii="Times New Roman" w:hAnsi="Times New Roman" w:cs="Times New Roman"/>
                <w:sz w:val="22"/>
                <w:szCs w:val="22"/>
                <w:lang w:val="fr-CA"/>
              </w:rPr>
              <w:t xml:space="preserve"> period</w:t>
            </w:r>
            <w:r w:rsidRPr="00482330">
              <w:rPr>
                <w:rFonts w:ascii="Times New Roman" w:hAnsi="Times New Roman" w:cs="Times New Roman"/>
                <w:sz w:val="22"/>
                <w:szCs w:val="22"/>
                <w:lang w:val="fr-CA"/>
              </w:rPr>
              <w:t xml:space="preserve"> &lt; 48 h</w:t>
            </w:r>
            <w:r w:rsidR="00DB4B37" w:rsidRPr="00482330">
              <w:rPr>
                <w:rFonts w:ascii="Times New Roman" w:hAnsi="Times New Roman" w:cs="Times New Roman"/>
                <w:sz w:val="22"/>
                <w:szCs w:val="22"/>
                <w:lang w:val="fr-CA"/>
              </w:rPr>
              <w:t>ou</w:t>
            </w:r>
            <w:r w:rsidRPr="00482330">
              <w:rPr>
                <w:rFonts w:ascii="Times New Roman" w:hAnsi="Times New Roman" w:cs="Times New Roman"/>
                <w:sz w:val="22"/>
                <w:szCs w:val="22"/>
                <w:lang w:val="fr-CA"/>
              </w:rPr>
              <w:t>rs</w:t>
            </w:r>
          </w:p>
        </w:tc>
        <w:tc>
          <w:tcPr>
            <w:tcW w:w="1417" w:type="dxa"/>
            <w:tcBorders>
              <w:top w:val="single" w:sz="4" w:space="0" w:color="auto"/>
            </w:tcBorders>
          </w:tcPr>
          <w:p w14:paraId="65B1F19E" w14:textId="07DDF98E"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5</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27</w:t>
            </w:r>
          </w:p>
        </w:tc>
        <w:tc>
          <w:tcPr>
            <w:tcW w:w="1276" w:type="dxa"/>
            <w:tcBorders>
              <w:top w:val="single" w:sz="4" w:space="0" w:color="auto"/>
            </w:tcBorders>
          </w:tcPr>
          <w:p w14:paraId="768F23BF" w14:textId="567C2AD9"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2</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31</w:t>
            </w:r>
          </w:p>
        </w:tc>
        <w:tc>
          <w:tcPr>
            <w:tcW w:w="1134" w:type="dxa"/>
            <w:tcBorders>
              <w:top w:val="single" w:sz="4" w:space="0" w:color="auto"/>
            </w:tcBorders>
          </w:tcPr>
          <w:p w14:paraId="6C5B3F0F" w14:textId="1DD2C6A5"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0</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000</w:t>
            </w:r>
          </w:p>
        </w:tc>
        <w:tc>
          <w:tcPr>
            <w:tcW w:w="1558" w:type="dxa"/>
            <w:tcBorders>
              <w:top w:val="single" w:sz="4" w:space="0" w:color="auto"/>
            </w:tcBorders>
          </w:tcPr>
          <w:p w14:paraId="038F1937" w14:textId="618AC820"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2</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23-12</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44</w:t>
            </w:r>
          </w:p>
        </w:tc>
      </w:tr>
      <w:tr w:rsidR="00031314" w:rsidRPr="00482330" w14:paraId="6C3D31F2" w14:textId="77777777" w:rsidTr="00031314">
        <w:trPr>
          <w:trHeight w:val="617"/>
          <w:jc w:val="center"/>
        </w:trPr>
        <w:tc>
          <w:tcPr>
            <w:tcW w:w="3681" w:type="dxa"/>
          </w:tcPr>
          <w:p w14:paraId="24BFCEA5" w14:textId="765404D7"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 xml:space="preserve">Age </w:t>
            </w:r>
            <w:r w:rsidR="003D54F0" w:rsidRPr="00482330">
              <w:rPr>
                <w:rFonts w:ascii="Times New Roman" w:hAnsi="Times New Roman" w:cs="Times New Roman"/>
                <w:sz w:val="22"/>
                <w:szCs w:val="22"/>
                <w:lang w:val="fr-CA"/>
              </w:rPr>
              <w:t>≥</w:t>
            </w:r>
            <w:r w:rsidR="00DB4B37" w:rsidRPr="00482330">
              <w:rPr>
                <w:rFonts w:ascii="Times New Roman" w:hAnsi="Times New Roman" w:cs="Times New Roman"/>
                <w:sz w:val="22"/>
                <w:szCs w:val="22"/>
                <w:lang w:val="fr-CA"/>
              </w:rPr>
              <w:t xml:space="preserve"> 65 years</w:t>
            </w:r>
          </w:p>
        </w:tc>
        <w:tc>
          <w:tcPr>
            <w:tcW w:w="1417" w:type="dxa"/>
          </w:tcPr>
          <w:p w14:paraId="6D675134" w14:textId="287A3725"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7</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17</w:t>
            </w:r>
          </w:p>
        </w:tc>
        <w:tc>
          <w:tcPr>
            <w:tcW w:w="1276" w:type="dxa"/>
          </w:tcPr>
          <w:p w14:paraId="2FA319C0" w14:textId="0A8EF7FE"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4</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48</w:t>
            </w:r>
          </w:p>
        </w:tc>
        <w:tc>
          <w:tcPr>
            <w:tcW w:w="1134" w:type="dxa"/>
          </w:tcPr>
          <w:p w14:paraId="1F1F96C5" w14:textId="03307CAE"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0</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002</w:t>
            </w:r>
          </w:p>
        </w:tc>
        <w:tc>
          <w:tcPr>
            <w:tcW w:w="1558" w:type="dxa"/>
          </w:tcPr>
          <w:p w14:paraId="19E7CA00" w14:textId="5681736A"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2,10-24</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40</w:t>
            </w:r>
          </w:p>
        </w:tc>
      </w:tr>
      <w:tr w:rsidR="00031314" w:rsidRPr="00482330" w14:paraId="29F887B2" w14:textId="77777777" w:rsidTr="00031314">
        <w:trPr>
          <w:trHeight w:val="567"/>
          <w:jc w:val="center"/>
        </w:trPr>
        <w:tc>
          <w:tcPr>
            <w:tcW w:w="3681" w:type="dxa"/>
          </w:tcPr>
          <w:p w14:paraId="02B209DA" w14:textId="57892CDC" w:rsidR="00031314" w:rsidRPr="00482330" w:rsidRDefault="00DB4B37"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Diabetes</w:t>
            </w:r>
          </w:p>
        </w:tc>
        <w:tc>
          <w:tcPr>
            <w:tcW w:w="1417" w:type="dxa"/>
          </w:tcPr>
          <w:p w14:paraId="0330AA1E" w14:textId="32AE715F"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11</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56</w:t>
            </w:r>
          </w:p>
        </w:tc>
        <w:tc>
          <w:tcPr>
            <w:tcW w:w="1276" w:type="dxa"/>
          </w:tcPr>
          <w:p w14:paraId="7CFB0408" w14:textId="597FA90F"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10</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59</w:t>
            </w:r>
          </w:p>
        </w:tc>
        <w:tc>
          <w:tcPr>
            <w:tcW w:w="1134" w:type="dxa"/>
          </w:tcPr>
          <w:p w14:paraId="44D6B484" w14:textId="4CF3C465"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0</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008</w:t>
            </w:r>
          </w:p>
        </w:tc>
        <w:tc>
          <w:tcPr>
            <w:tcW w:w="1558" w:type="dxa"/>
          </w:tcPr>
          <w:p w14:paraId="7BD809AF" w14:textId="3AACCAA3"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1</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92-69</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68</w:t>
            </w:r>
          </w:p>
        </w:tc>
      </w:tr>
      <w:tr w:rsidR="00031314" w:rsidRPr="00482330" w14:paraId="4267D5F3" w14:textId="77777777" w:rsidTr="00031314">
        <w:trPr>
          <w:trHeight w:val="575"/>
          <w:jc w:val="center"/>
        </w:trPr>
        <w:tc>
          <w:tcPr>
            <w:tcW w:w="3681" w:type="dxa"/>
          </w:tcPr>
          <w:p w14:paraId="3E7A7A93" w14:textId="5F9ED2F8" w:rsidR="00031314" w:rsidRPr="00482330" w:rsidRDefault="00DB4B37"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Tonic</w:t>
            </w:r>
            <w:r w:rsidR="00031314" w:rsidRPr="00482330">
              <w:rPr>
                <w:rFonts w:ascii="Times New Roman" w:hAnsi="Times New Roman" w:cs="Times New Roman"/>
                <w:sz w:val="22"/>
                <w:szCs w:val="22"/>
                <w:lang w:val="fr-CA"/>
              </w:rPr>
              <w:t>-</w:t>
            </w:r>
            <w:r w:rsidR="003D54F0" w:rsidRPr="00482330">
              <w:rPr>
                <w:rFonts w:ascii="Times New Roman" w:hAnsi="Times New Roman" w:cs="Times New Roman"/>
                <w:sz w:val="22"/>
                <w:szCs w:val="22"/>
                <w:lang w:val="fr-CA"/>
              </w:rPr>
              <w:t>c</w:t>
            </w:r>
            <w:r w:rsidRPr="00482330">
              <w:rPr>
                <w:rFonts w:ascii="Times New Roman" w:hAnsi="Times New Roman" w:cs="Times New Roman"/>
                <w:sz w:val="22"/>
                <w:szCs w:val="22"/>
                <w:lang w:val="fr-CA"/>
              </w:rPr>
              <w:t>lonic paroxysms</w:t>
            </w:r>
          </w:p>
        </w:tc>
        <w:tc>
          <w:tcPr>
            <w:tcW w:w="1417" w:type="dxa"/>
          </w:tcPr>
          <w:p w14:paraId="7BBD3B1B" w14:textId="26CFC8AB"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3</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79</w:t>
            </w:r>
          </w:p>
        </w:tc>
        <w:tc>
          <w:tcPr>
            <w:tcW w:w="1276" w:type="dxa"/>
          </w:tcPr>
          <w:p w14:paraId="2591759E" w14:textId="60EDD14B"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1</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76</w:t>
            </w:r>
          </w:p>
        </w:tc>
        <w:tc>
          <w:tcPr>
            <w:tcW w:w="1134" w:type="dxa"/>
          </w:tcPr>
          <w:p w14:paraId="5859FD26" w14:textId="77777777"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0,004</w:t>
            </w:r>
          </w:p>
        </w:tc>
        <w:tc>
          <w:tcPr>
            <w:tcW w:w="1558" w:type="dxa"/>
          </w:tcPr>
          <w:p w14:paraId="0F5170FA" w14:textId="7E44DBA2"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1</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52-9</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43</w:t>
            </w:r>
          </w:p>
        </w:tc>
      </w:tr>
      <w:tr w:rsidR="00031314" w:rsidRPr="00482330" w14:paraId="201DA7B7" w14:textId="77777777" w:rsidTr="0022045E">
        <w:trPr>
          <w:jc w:val="center"/>
        </w:trPr>
        <w:tc>
          <w:tcPr>
            <w:tcW w:w="3681" w:type="dxa"/>
            <w:tcBorders>
              <w:bottom w:val="single" w:sz="4" w:space="0" w:color="auto"/>
            </w:tcBorders>
          </w:tcPr>
          <w:p w14:paraId="2487AEC9" w14:textId="77777777"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Complications</w:t>
            </w:r>
          </w:p>
        </w:tc>
        <w:tc>
          <w:tcPr>
            <w:tcW w:w="1417" w:type="dxa"/>
            <w:tcBorders>
              <w:bottom w:val="single" w:sz="4" w:space="0" w:color="auto"/>
            </w:tcBorders>
          </w:tcPr>
          <w:p w14:paraId="044910E4" w14:textId="458ED04F"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11</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33</w:t>
            </w:r>
          </w:p>
        </w:tc>
        <w:tc>
          <w:tcPr>
            <w:tcW w:w="1276" w:type="dxa"/>
            <w:tcBorders>
              <w:bottom w:val="single" w:sz="4" w:space="0" w:color="auto"/>
            </w:tcBorders>
          </w:tcPr>
          <w:p w14:paraId="0219B354" w14:textId="573BBEB6"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6</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59</w:t>
            </w:r>
          </w:p>
        </w:tc>
        <w:tc>
          <w:tcPr>
            <w:tcW w:w="1134" w:type="dxa"/>
            <w:tcBorders>
              <w:bottom w:val="single" w:sz="4" w:space="0" w:color="auto"/>
            </w:tcBorders>
          </w:tcPr>
          <w:p w14:paraId="2F014F58" w14:textId="4C5B6DD5"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0</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000</w:t>
            </w:r>
          </w:p>
        </w:tc>
        <w:tc>
          <w:tcPr>
            <w:tcW w:w="1558" w:type="dxa"/>
            <w:tcBorders>
              <w:bottom w:val="single" w:sz="4" w:space="0" w:color="auto"/>
            </w:tcBorders>
          </w:tcPr>
          <w:p w14:paraId="604DB4CB" w14:textId="0B1F9E1C" w:rsidR="00031314" w:rsidRPr="00482330" w:rsidRDefault="00031314" w:rsidP="00E4188C">
            <w:pPr>
              <w:spacing w:line="360" w:lineRule="auto"/>
              <w:jc w:val="both"/>
              <w:rPr>
                <w:rFonts w:ascii="Times New Roman" w:hAnsi="Times New Roman" w:cs="Times New Roman"/>
                <w:sz w:val="22"/>
                <w:szCs w:val="22"/>
                <w:lang w:val="fr-CA"/>
              </w:rPr>
            </w:pPr>
            <w:r w:rsidRPr="00482330">
              <w:rPr>
                <w:rFonts w:ascii="Times New Roman" w:hAnsi="Times New Roman" w:cs="Times New Roman"/>
                <w:sz w:val="22"/>
                <w:szCs w:val="22"/>
                <w:lang w:val="fr-CA"/>
              </w:rPr>
              <w:t>3</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62-35</w:t>
            </w:r>
            <w:r w:rsidR="00005AEA" w:rsidRPr="00482330">
              <w:rPr>
                <w:rFonts w:ascii="Times New Roman" w:hAnsi="Times New Roman" w:cs="Times New Roman"/>
                <w:sz w:val="22"/>
                <w:szCs w:val="22"/>
                <w:lang w:val="fr-CA"/>
              </w:rPr>
              <w:t>.</w:t>
            </w:r>
            <w:r w:rsidRPr="00482330">
              <w:rPr>
                <w:rFonts w:ascii="Times New Roman" w:hAnsi="Times New Roman" w:cs="Times New Roman"/>
                <w:sz w:val="22"/>
                <w:szCs w:val="22"/>
                <w:lang w:val="fr-CA"/>
              </w:rPr>
              <w:t>46</w:t>
            </w:r>
          </w:p>
        </w:tc>
      </w:tr>
    </w:tbl>
    <w:p w14:paraId="73B098F4" w14:textId="77777777" w:rsidR="00031314" w:rsidRPr="00E43E9D" w:rsidRDefault="00031314" w:rsidP="00E4188C">
      <w:pPr>
        <w:spacing w:line="360" w:lineRule="auto"/>
        <w:contextualSpacing/>
        <w:jc w:val="both"/>
        <w:rPr>
          <w:rFonts w:ascii="Times New Roman" w:hAnsi="Times New Roman" w:cs="Times New Roman"/>
          <w:lang w:val="fr-SN"/>
        </w:rPr>
      </w:pPr>
    </w:p>
    <w:p w14:paraId="2801A3AA" w14:textId="1F652932" w:rsidR="00031314" w:rsidRPr="00482330" w:rsidRDefault="00031314" w:rsidP="00E4188C">
      <w:pPr>
        <w:pStyle w:val="ListParagraph"/>
        <w:numPr>
          <w:ilvl w:val="0"/>
          <w:numId w:val="1"/>
        </w:numPr>
        <w:spacing w:line="360" w:lineRule="auto"/>
        <w:ind w:left="0"/>
        <w:jc w:val="both"/>
        <w:rPr>
          <w:rFonts w:ascii="Times New Roman" w:hAnsi="Times New Roman" w:cs="Times New Roman"/>
          <w:b/>
          <w:bCs/>
          <w:sz w:val="22"/>
          <w:szCs w:val="22"/>
        </w:rPr>
      </w:pPr>
      <w:r w:rsidRPr="00482330">
        <w:rPr>
          <w:rFonts w:ascii="Times New Roman" w:hAnsi="Times New Roman" w:cs="Times New Roman"/>
          <w:b/>
          <w:bCs/>
          <w:sz w:val="22"/>
          <w:szCs w:val="22"/>
        </w:rPr>
        <w:t>Discussion</w:t>
      </w:r>
    </w:p>
    <w:p w14:paraId="4FB9B493" w14:textId="38C42D8B" w:rsidR="007E194C" w:rsidRPr="00482330" w:rsidRDefault="0089098D" w:rsidP="00E4188C">
      <w:pPr>
        <w:pStyle w:val="p1"/>
        <w:spacing w:line="276" w:lineRule="auto"/>
        <w:jc w:val="both"/>
        <w:rPr>
          <w:color w:val="auto"/>
          <w:sz w:val="22"/>
          <w:szCs w:val="22"/>
          <w:lang w:val="en-GB"/>
        </w:rPr>
      </w:pPr>
      <w:r w:rsidRPr="00482330">
        <w:rPr>
          <w:color w:val="auto"/>
          <w:sz w:val="22"/>
          <w:szCs w:val="22"/>
          <w:lang w:val="en-GB"/>
        </w:rPr>
        <w:t>During 12 years</w:t>
      </w:r>
      <w:r w:rsidR="007E194C" w:rsidRPr="00482330">
        <w:rPr>
          <w:color w:val="auto"/>
          <w:sz w:val="22"/>
          <w:szCs w:val="22"/>
          <w:lang w:val="en-GB"/>
        </w:rPr>
        <w:t xml:space="preserve"> (from January 1, 2010 to December 31, 2021), we collected 938 cases of tetanus at the Department of Infectious and Tropical Diseases (SMIT) of Fann</w:t>
      </w:r>
      <w:r w:rsidRPr="00482330">
        <w:rPr>
          <w:color w:val="auto"/>
          <w:sz w:val="22"/>
          <w:szCs w:val="22"/>
          <w:lang w:val="en-GB"/>
        </w:rPr>
        <w:t xml:space="preserve"> Teaching Hospital</w:t>
      </w:r>
      <w:r w:rsidR="007E194C" w:rsidRPr="00482330">
        <w:rPr>
          <w:color w:val="auto"/>
          <w:sz w:val="22"/>
          <w:szCs w:val="22"/>
          <w:lang w:val="en-GB"/>
        </w:rPr>
        <w:t xml:space="preserve">. The mean age of our study population was 30.06 ± 21.37 years [range: 1–90 years]. The most represented age group was under 20 years (42.43%). These results are comparable to those found in the same department by Attinsounon et al. [10], with a mean age of 27.8 ± 22.1 years. Similarly, Diallo Mbaye et al. </w:t>
      </w:r>
      <w:r w:rsidR="007E194C" w:rsidRPr="00482330">
        <w:rPr>
          <w:b/>
          <w:color w:val="auto"/>
          <w:sz w:val="22"/>
          <w:szCs w:val="22"/>
          <w:lang w:val="en-GB"/>
        </w:rPr>
        <w:t>[11]</w:t>
      </w:r>
      <w:r w:rsidR="007E194C" w:rsidRPr="00482330">
        <w:rPr>
          <w:color w:val="auto"/>
          <w:sz w:val="22"/>
          <w:szCs w:val="22"/>
          <w:lang w:val="en-GB"/>
        </w:rPr>
        <w:t xml:space="preserve"> reported a mean age of 29.40 ± 22.1 years, while Seydi et al. </w:t>
      </w:r>
      <w:r w:rsidR="007E194C" w:rsidRPr="00482330">
        <w:rPr>
          <w:b/>
          <w:color w:val="auto"/>
          <w:sz w:val="22"/>
          <w:szCs w:val="22"/>
          <w:lang w:val="en-GB"/>
        </w:rPr>
        <w:t>[12]</w:t>
      </w:r>
      <w:r w:rsidR="007E194C" w:rsidRPr="00482330">
        <w:rPr>
          <w:color w:val="auto"/>
          <w:sz w:val="22"/>
          <w:szCs w:val="22"/>
          <w:lang w:val="en-GB"/>
        </w:rPr>
        <w:t xml:space="preserve"> found that more than 70% of tetanus patients were under 25 years. Elsewhere, the same observation has been made in most African series: in Nigeria by Komolafé et al. </w:t>
      </w:r>
      <w:r w:rsidR="007E194C" w:rsidRPr="00482330">
        <w:rPr>
          <w:b/>
          <w:color w:val="auto"/>
          <w:sz w:val="22"/>
          <w:szCs w:val="22"/>
          <w:lang w:val="en-GB"/>
        </w:rPr>
        <w:t>[13]</w:t>
      </w:r>
      <w:r w:rsidR="007E194C" w:rsidRPr="00482330">
        <w:rPr>
          <w:color w:val="auto"/>
          <w:sz w:val="22"/>
          <w:szCs w:val="22"/>
          <w:lang w:val="en-GB"/>
        </w:rPr>
        <w:t xml:space="preserve">, in Côte d’Ivoire by Tanon et al. </w:t>
      </w:r>
      <w:r w:rsidR="007E194C" w:rsidRPr="00482330">
        <w:rPr>
          <w:b/>
          <w:color w:val="auto"/>
          <w:sz w:val="22"/>
          <w:szCs w:val="22"/>
          <w:lang w:val="en-GB"/>
        </w:rPr>
        <w:t>[14],</w:t>
      </w:r>
      <w:r w:rsidR="007E194C" w:rsidRPr="00482330">
        <w:rPr>
          <w:color w:val="auto"/>
          <w:sz w:val="22"/>
          <w:szCs w:val="22"/>
          <w:lang w:val="en-GB"/>
        </w:rPr>
        <w:t xml:space="preserve"> and in Togo by Wateba et al</w:t>
      </w:r>
      <w:r w:rsidR="007E194C" w:rsidRPr="00482330">
        <w:rPr>
          <w:b/>
          <w:color w:val="auto"/>
          <w:sz w:val="22"/>
          <w:szCs w:val="22"/>
          <w:lang w:val="en-GB"/>
        </w:rPr>
        <w:t>. [15].</w:t>
      </w:r>
      <w:r w:rsidR="007E194C" w:rsidRPr="00482330">
        <w:rPr>
          <w:color w:val="auto"/>
          <w:sz w:val="22"/>
          <w:szCs w:val="22"/>
          <w:lang w:val="en-GB"/>
        </w:rPr>
        <w:t xml:space="preserve"> The relatively young age of the study population could be explained by the absence of tetanus boos</w:t>
      </w:r>
      <w:r w:rsidRPr="00482330">
        <w:rPr>
          <w:color w:val="auto"/>
          <w:sz w:val="22"/>
          <w:szCs w:val="22"/>
          <w:lang w:val="en-GB"/>
        </w:rPr>
        <w:t xml:space="preserve">ter vaccinations (ATV) </w:t>
      </w:r>
      <w:r w:rsidR="007E194C" w:rsidRPr="00482330">
        <w:rPr>
          <w:color w:val="auto"/>
          <w:sz w:val="22"/>
          <w:szCs w:val="22"/>
          <w:lang w:val="en-GB"/>
        </w:rPr>
        <w:t xml:space="preserve">and by the exposure of children and adolescents to poorly managed wounds. In Western countries, tetanus is mainly observed among older individuals. In Europe and the United States, according to Gentilini </w:t>
      </w:r>
      <w:r w:rsidR="007E194C" w:rsidRPr="00482330">
        <w:rPr>
          <w:b/>
          <w:color w:val="auto"/>
          <w:sz w:val="22"/>
          <w:szCs w:val="22"/>
          <w:lang w:val="en-GB"/>
        </w:rPr>
        <w:t>[16]</w:t>
      </w:r>
      <w:r w:rsidR="007E194C" w:rsidRPr="00482330">
        <w:rPr>
          <w:color w:val="auto"/>
          <w:sz w:val="22"/>
          <w:szCs w:val="22"/>
          <w:lang w:val="en-GB"/>
        </w:rPr>
        <w:t xml:space="preserve">, more than half of tetanus patients were over 50 years old. In France, Antona et al. </w:t>
      </w:r>
      <w:r w:rsidR="007E194C" w:rsidRPr="00482330">
        <w:rPr>
          <w:b/>
          <w:color w:val="auto"/>
          <w:sz w:val="22"/>
          <w:szCs w:val="22"/>
          <w:lang w:val="en-GB"/>
        </w:rPr>
        <w:t>[17]</w:t>
      </w:r>
      <w:r w:rsidR="007E194C" w:rsidRPr="00482330">
        <w:rPr>
          <w:color w:val="auto"/>
          <w:sz w:val="22"/>
          <w:szCs w:val="22"/>
          <w:lang w:val="en-GB"/>
        </w:rPr>
        <w:t xml:space="preserve"> found a predominance of elderly patients, with 87% of cases aged 70 years or older. In Switzerland, Vázquez et al. </w:t>
      </w:r>
      <w:r w:rsidR="007E194C" w:rsidRPr="00482330">
        <w:rPr>
          <w:b/>
          <w:color w:val="auto"/>
          <w:sz w:val="22"/>
          <w:szCs w:val="22"/>
          <w:lang w:val="en-GB"/>
        </w:rPr>
        <w:t>[18]</w:t>
      </w:r>
      <w:r w:rsidR="007E194C" w:rsidRPr="00482330">
        <w:rPr>
          <w:color w:val="auto"/>
          <w:sz w:val="22"/>
          <w:szCs w:val="22"/>
          <w:lang w:val="en-GB"/>
        </w:rPr>
        <w:t xml:space="preserve"> reported that the majority of patients (80%) were over 60 years old. Our series was predominantly male, with a sex ratio of 4.27. These results are consistent with other studies conducted in the same department: Diallo Mbaye </w:t>
      </w:r>
      <w:r w:rsidR="007E194C" w:rsidRPr="00482330">
        <w:rPr>
          <w:b/>
          <w:color w:val="auto"/>
          <w:sz w:val="22"/>
          <w:szCs w:val="22"/>
          <w:lang w:val="en-GB"/>
        </w:rPr>
        <w:t xml:space="preserve">[11] </w:t>
      </w:r>
      <w:r w:rsidR="007E194C" w:rsidRPr="00482330">
        <w:rPr>
          <w:color w:val="auto"/>
          <w:sz w:val="22"/>
          <w:szCs w:val="22"/>
          <w:lang w:val="en-GB"/>
        </w:rPr>
        <w:t xml:space="preserve">reported a sex ratio of 4.3; Fortes </w:t>
      </w:r>
      <w:r w:rsidR="007E194C" w:rsidRPr="00482330">
        <w:rPr>
          <w:b/>
          <w:color w:val="auto"/>
          <w:sz w:val="22"/>
          <w:szCs w:val="22"/>
          <w:lang w:val="en-GB"/>
        </w:rPr>
        <w:t>[19]</w:t>
      </w:r>
      <w:r w:rsidR="007E194C" w:rsidRPr="00482330">
        <w:rPr>
          <w:color w:val="auto"/>
          <w:sz w:val="22"/>
          <w:szCs w:val="22"/>
          <w:lang w:val="en-GB"/>
        </w:rPr>
        <w:t xml:space="preserve"> found 3.6; and Seydi </w:t>
      </w:r>
      <w:r w:rsidR="007E194C" w:rsidRPr="00482330">
        <w:rPr>
          <w:b/>
          <w:color w:val="auto"/>
          <w:sz w:val="22"/>
          <w:szCs w:val="22"/>
          <w:lang w:val="en-GB"/>
        </w:rPr>
        <w:t>[20]</w:t>
      </w:r>
      <w:r w:rsidR="007E194C" w:rsidRPr="00482330">
        <w:rPr>
          <w:color w:val="auto"/>
          <w:sz w:val="22"/>
          <w:szCs w:val="22"/>
          <w:lang w:val="en-GB"/>
        </w:rPr>
        <w:t xml:space="preserve"> reported 2.41. In African literature, male predominance in tetanus has been observed in Togo by Wateba et al. </w:t>
      </w:r>
      <w:r w:rsidR="007E194C" w:rsidRPr="00482330">
        <w:rPr>
          <w:b/>
          <w:color w:val="auto"/>
          <w:sz w:val="22"/>
          <w:szCs w:val="22"/>
          <w:lang w:val="en-GB"/>
        </w:rPr>
        <w:t>[15]</w:t>
      </w:r>
      <w:r w:rsidR="007E194C" w:rsidRPr="00482330">
        <w:rPr>
          <w:color w:val="auto"/>
          <w:sz w:val="22"/>
          <w:szCs w:val="22"/>
          <w:lang w:val="en-GB"/>
        </w:rPr>
        <w:t xml:space="preserve">, in Guinea by Traoré et al. </w:t>
      </w:r>
      <w:r w:rsidR="007E194C" w:rsidRPr="00482330">
        <w:rPr>
          <w:b/>
          <w:color w:val="auto"/>
          <w:sz w:val="22"/>
          <w:szCs w:val="22"/>
          <w:lang w:val="en-GB"/>
        </w:rPr>
        <w:t>[21]</w:t>
      </w:r>
      <w:r w:rsidR="007E194C" w:rsidRPr="00482330">
        <w:rPr>
          <w:color w:val="auto"/>
          <w:sz w:val="22"/>
          <w:szCs w:val="22"/>
          <w:lang w:val="en-GB"/>
        </w:rPr>
        <w:t xml:space="preserve">, and in Abidjan by Tanon et al. </w:t>
      </w:r>
      <w:r w:rsidR="007E194C" w:rsidRPr="00482330">
        <w:rPr>
          <w:b/>
          <w:color w:val="auto"/>
          <w:sz w:val="22"/>
          <w:szCs w:val="22"/>
          <w:lang w:val="en-GB"/>
        </w:rPr>
        <w:t>[14]</w:t>
      </w:r>
      <w:r w:rsidR="007E194C" w:rsidRPr="00482330">
        <w:rPr>
          <w:color w:val="auto"/>
          <w:sz w:val="22"/>
          <w:szCs w:val="22"/>
          <w:lang w:val="en-GB"/>
        </w:rPr>
        <w:t xml:space="preserve">. This greater vulnerability of men to tetanus is explained by their higher exposure to injuries through professional and recreational activities. However, in the Democratic Republic of Congo (formerly Zaire), Ribereau-Gayon et al. </w:t>
      </w:r>
      <w:r w:rsidR="007E194C" w:rsidRPr="00482330">
        <w:rPr>
          <w:b/>
          <w:color w:val="auto"/>
          <w:sz w:val="22"/>
          <w:szCs w:val="22"/>
          <w:lang w:val="en-GB"/>
        </w:rPr>
        <w:t>[22]</w:t>
      </w:r>
      <w:r w:rsidR="007E194C" w:rsidRPr="00482330">
        <w:rPr>
          <w:color w:val="auto"/>
          <w:sz w:val="22"/>
          <w:szCs w:val="22"/>
          <w:lang w:val="en-GB"/>
        </w:rPr>
        <w:t xml:space="preserve"> found a female predominance, with two-thirds of cases in their series. This was explained by the high exposure of women to multiple injuries during agricultural work, which constituted their main activity. A female predominance has also been reported in France, where 68% of tetanus cases were women, as men were vaccinated during compulsory military service </w:t>
      </w:r>
      <w:r w:rsidR="007E194C" w:rsidRPr="00482330">
        <w:rPr>
          <w:b/>
          <w:color w:val="auto"/>
          <w:sz w:val="22"/>
          <w:szCs w:val="22"/>
          <w:lang w:val="en-GB"/>
        </w:rPr>
        <w:t>[17]</w:t>
      </w:r>
      <w:r w:rsidR="007E194C" w:rsidRPr="00482330">
        <w:rPr>
          <w:color w:val="auto"/>
          <w:sz w:val="22"/>
          <w:szCs w:val="22"/>
          <w:lang w:val="en-GB"/>
        </w:rPr>
        <w:t>.</w:t>
      </w:r>
    </w:p>
    <w:p w14:paraId="3538648D" w14:textId="0B2F343D" w:rsidR="0089098D" w:rsidRPr="00482330" w:rsidRDefault="0089098D" w:rsidP="00E4188C">
      <w:pPr>
        <w:pStyle w:val="p1"/>
        <w:spacing w:line="276" w:lineRule="auto"/>
        <w:jc w:val="both"/>
        <w:rPr>
          <w:color w:val="auto"/>
          <w:sz w:val="22"/>
          <w:szCs w:val="22"/>
          <w:lang w:val="en-GB"/>
        </w:rPr>
      </w:pPr>
      <w:r w:rsidRPr="00482330">
        <w:rPr>
          <w:color w:val="auto"/>
          <w:sz w:val="22"/>
          <w:szCs w:val="22"/>
          <w:lang w:val="en-GB"/>
        </w:rPr>
        <w:lastRenderedPageBreak/>
        <w:t xml:space="preserve">In our series, 19.08% of patients underwent at least one comorbidity. These were mainly hypertension and diabetes. A study conducted by Fortes reported 10.9% of underlying conditions, also dominated by hypertension and diabetes </w:t>
      </w:r>
      <w:r w:rsidRPr="00482330">
        <w:rPr>
          <w:b/>
          <w:color w:val="auto"/>
          <w:sz w:val="22"/>
          <w:szCs w:val="22"/>
          <w:lang w:val="en-GB"/>
        </w:rPr>
        <w:t>[19]</w:t>
      </w:r>
      <w:r w:rsidRPr="00482330">
        <w:rPr>
          <w:color w:val="auto"/>
          <w:sz w:val="22"/>
          <w:szCs w:val="22"/>
          <w:lang w:val="en-GB"/>
        </w:rPr>
        <w:t>. Tetanus manifested essentially in its generalized form (95.52%), consistent with the results of certain studies conducted in the same department [</w:t>
      </w:r>
      <w:r w:rsidRPr="00482330">
        <w:rPr>
          <w:b/>
          <w:color w:val="auto"/>
          <w:sz w:val="22"/>
          <w:szCs w:val="22"/>
          <w:lang w:val="en-GB"/>
        </w:rPr>
        <w:t>19, 23, 24</w:t>
      </w:r>
      <w:r w:rsidRPr="00482330">
        <w:rPr>
          <w:color w:val="auto"/>
          <w:sz w:val="22"/>
          <w:szCs w:val="22"/>
          <w:lang w:val="en-GB"/>
        </w:rPr>
        <w:t xml:space="preserve">]. These findings are also comparable to those of the Ivorian study by Tanon et al. </w:t>
      </w:r>
      <w:r w:rsidRPr="00482330">
        <w:rPr>
          <w:b/>
          <w:color w:val="auto"/>
          <w:sz w:val="22"/>
          <w:szCs w:val="22"/>
          <w:lang w:val="en-GB"/>
        </w:rPr>
        <w:t>[14]</w:t>
      </w:r>
      <w:r w:rsidRPr="00482330">
        <w:rPr>
          <w:color w:val="auto"/>
          <w:sz w:val="22"/>
          <w:szCs w:val="22"/>
          <w:lang w:val="en-GB"/>
        </w:rPr>
        <w:t xml:space="preserve">. Complications occurred in more than one-third of our patients (34.86%). These complications were mainly cardiovascular, respiratory, infectious, and related to prolonged decubitus, in line with data described by other authors </w:t>
      </w:r>
      <w:r w:rsidRPr="00482330">
        <w:rPr>
          <w:b/>
          <w:color w:val="auto"/>
          <w:sz w:val="22"/>
          <w:szCs w:val="22"/>
          <w:lang w:val="en-GB"/>
        </w:rPr>
        <w:t>[19, 23, 24]</w:t>
      </w:r>
      <w:r w:rsidRPr="00482330">
        <w:rPr>
          <w:color w:val="auto"/>
          <w:sz w:val="22"/>
          <w:szCs w:val="22"/>
          <w:lang w:val="en-GB"/>
        </w:rPr>
        <w:t xml:space="preserve">. Elsewhere in Africa, Bawé in Togo </w:t>
      </w:r>
      <w:r w:rsidRPr="00482330">
        <w:rPr>
          <w:b/>
          <w:color w:val="auto"/>
          <w:sz w:val="22"/>
          <w:szCs w:val="22"/>
          <w:lang w:val="en-GB"/>
        </w:rPr>
        <w:t>[25]</w:t>
      </w:r>
      <w:r w:rsidRPr="00482330">
        <w:rPr>
          <w:color w:val="auto"/>
          <w:sz w:val="22"/>
          <w:szCs w:val="22"/>
          <w:lang w:val="en-GB"/>
        </w:rPr>
        <w:t xml:space="preserve">, Diallo Z in Mali </w:t>
      </w:r>
      <w:r w:rsidRPr="00482330">
        <w:rPr>
          <w:b/>
          <w:color w:val="auto"/>
          <w:sz w:val="22"/>
          <w:szCs w:val="22"/>
          <w:lang w:val="en-GB"/>
        </w:rPr>
        <w:t>[26]</w:t>
      </w:r>
      <w:r w:rsidRPr="00482330">
        <w:rPr>
          <w:color w:val="auto"/>
          <w:sz w:val="22"/>
          <w:szCs w:val="22"/>
          <w:lang w:val="en-GB"/>
        </w:rPr>
        <w:t xml:space="preserve">, and Chukwubike O.A in Nigeria </w:t>
      </w:r>
      <w:r w:rsidRPr="00482330">
        <w:rPr>
          <w:b/>
          <w:color w:val="auto"/>
          <w:sz w:val="22"/>
          <w:szCs w:val="22"/>
          <w:lang w:val="en-GB"/>
        </w:rPr>
        <w:t>[27]</w:t>
      </w:r>
      <w:r w:rsidRPr="00482330">
        <w:rPr>
          <w:color w:val="auto"/>
          <w:sz w:val="22"/>
          <w:szCs w:val="22"/>
          <w:lang w:val="en-GB"/>
        </w:rPr>
        <w:t xml:space="preserve"> reported complication rates of 6.25%, 43.5%, and 52.3%, respectively. These results suggest that the incidence of tetanus complications remains high in the sub</w:t>
      </w:r>
      <w:r w:rsidR="00DB4B37" w:rsidRPr="00482330">
        <w:rPr>
          <w:color w:val="auto"/>
          <w:sz w:val="22"/>
          <w:szCs w:val="22"/>
          <w:lang w:val="en-GB"/>
        </w:rPr>
        <w:t>-</w:t>
      </w:r>
      <w:r w:rsidRPr="00482330">
        <w:rPr>
          <w:color w:val="auto"/>
          <w:sz w:val="22"/>
          <w:szCs w:val="22"/>
          <w:lang w:val="en-GB"/>
        </w:rPr>
        <w:t xml:space="preserve">region in general, and in Senegal in particular. Several factors may explain this, including a long and complex patient care pathway, poor management of </w:t>
      </w:r>
      <w:r w:rsidR="00DB4B37" w:rsidRPr="00482330">
        <w:rPr>
          <w:color w:val="auto"/>
          <w:sz w:val="22"/>
          <w:szCs w:val="22"/>
          <w:lang w:val="en-GB"/>
        </w:rPr>
        <w:t>gateways</w:t>
      </w:r>
      <w:r w:rsidRPr="00482330">
        <w:rPr>
          <w:color w:val="auto"/>
          <w:sz w:val="22"/>
          <w:szCs w:val="22"/>
          <w:lang w:val="en-GB"/>
        </w:rPr>
        <w:t xml:space="preserve">, delayed access to care, and booster vaccinations often not performed because they are not free of charge. The most frequent cardiovascular complication was cardiac arrest (88.48%). Mechanical respiratory complications were dominated by laryngeal spasm (49.64%) and thoracic rigidity (37.96%). Infectious complications were mainly pulmonary infections, urinary tract infections, and bacteremia, accounting for 51.06%, 13.48%, and 21.28%, respectively. We also noted 23 cases of pressure sores, 8 cases of dehydration, 2 cases of malnutrition, 2 cases of fractures/compression, and 13 cases of hypersensitivity to sedatives, corresponding respectively to complications of decubitus, metabolic, mechanical, and iatrogenic origin. Hospital case fatality </w:t>
      </w:r>
      <w:r w:rsidR="00DB4B37" w:rsidRPr="00482330">
        <w:rPr>
          <w:color w:val="auto"/>
          <w:sz w:val="22"/>
          <w:szCs w:val="22"/>
          <w:lang w:val="en-GB"/>
        </w:rPr>
        <w:t xml:space="preserve">rate </w:t>
      </w:r>
      <w:r w:rsidRPr="00482330">
        <w:rPr>
          <w:color w:val="auto"/>
          <w:sz w:val="22"/>
          <w:szCs w:val="22"/>
          <w:lang w:val="en-GB"/>
        </w:rPr>
        <w:t xml:space="preserve">was 20.47% in our series. This result is comparable to those observed in the same department </w:t>
      </w:r>
      <w:r w:rsidRPr="00482330">
        <w:rPr>
          <w:b/>
          <w:color w:val="auto"/>
          <w:sz w:val="22"/>
          <w:szCs w:val="22"/>
          <w:lang w:val="en-GB"/>
        </w:rPr>
        <w:t>[19, 24, 28]</w:t>
      </w:r>
      <w:r w:rsidRPr="00482330">
        <w:rPr>
          <w:color w:val="auto"/>
          <w:sz w:val="22"/>
          <w:szCs w:val="22"/>
          <w:lang w:val="en-GB"/>
        </w:rPr>
        <w:t xml:space="preserve">. However, </w:t>
      </w:r>
      <w:r w:rsidR="00DB4B37" w:rsidRPr="00482330">
        <w:rPr>
          <w:color w:val="auto"/>
          <w:sz w:val="22"/>
          <w:szCs w:val="22"/>
          <w:lang w:val="en-GB"/>
        </w:rPr>
        <w:t>our results</w:t>
      </w:r>
      <w:r w:rsidRPr="00482330">
        <w:rPr>
          <w:color w:val="auto"/>
          <w:sz w:val="22"/>
          <w:szCs w:val="22"/>
          <w:lang w:val="en-GB"/>
        </w:rPr>
        <w:t xml:space="preserve"> </w:t>
      </w:r>
      <w:r w:rsidR="00DB4B37" w:rsidRPr="00482330">
        <w:rPr>
          <w:color w:val="auto"/>
          <w:sz w:val="22"/>
          <w:szCs w:val="22"/>
          <w:lang w:val="en-GB"/>
        </w:rPr>
        <w:t xml:space="preserve">are </w:t>
      </w:r>
      <w:r w:rsidRPr="00482330">
        <w:rPr>
          <w:color w:val="auto"/>
          <w:sz w:val="22"/>
          <w:szCs w:val="22"/>
          <w:lang w:val="en-GB"/>
        </w:rPr>
        <w:t xml:space="preserve">lower than that reported by other authors in the same department. Soumaré et al. </w:t>
      </w:r>
      <w:r w:rsidRPr="00482330">
        <w:rPr>
          <w:b/>
          <w:color w:val="auto"/>
          <w:sz w:val="22"/>
          <w:szCs w:val="22"/>
          <w:lang w:val="en-GB"/>
        </w:rPr>
        <w:t>[29]</w:t>
      </w:r>
      <w:r w:rsidRPr="00482330">
        <w:rPr>
          <w:color w:val="auto"/>
          <w:sz w:val="22"/>
          <w:szCs w:val="22"/>
          <w:lang w:val="en-GB"/>
        </w:rPr>
        <w:t xml:space="preserve"> and Attinsounon et al. </w:t>
      </w:r>
      <w:r w:rsidRPr="00482330">
        <w:rPr>
          <w:b/>
          <w:color w:val="auto"/>
          <w:sz w:val="22"/>
          <w:szCs w:val="22"/>
          <w:lang w:val="en-GB"/>
        </w:rPr>
        <w:t>[30]</w:t>
      </w:r>
      <w:r w:rsidRPr="00482330">
        <w:rPr>
          <w:color w:val="auto"/>
          <w:sz w:val="22"/>
          <w:szCs w:val="22"/>
          <w:lang w:val="en-GB"/>
        </w:rPr>
        <w:t xml:space="preserve"> reported case fatality rates of 26.7% and 26.9%, respectively. Elsewhere, even higher fatality rates have been reported in other series: Bawé in Togo (27.4%) </w:t>
      </w:r>
      <w:r w:rsidRPr="00482330">
        <w:rPr>
          <w:b/>
          <w:color w:val="auto"/>
          <w:sz w:val="22"/>
          <w:szCs w:val="22"/>
          <w:lang w:val="en-GB"/>
        </w:rPr>
        <w:t>[25]</w:t>
      </w:r>
      <w:r w:rsidRPr="00482330">
        <w:rPr>
          <w:color w:val="auto"/>
          <w:sz w:val="22"/>
          <w:szCs w:val="22"/>
          <w:lang w:val="en-GB"/>
        </w:rPr>
        <w:t xml:space="preserve">, Dao et al. in Mali (38.9%) </w:t>
      </w:r>
      <w:r w:rsidRPr="00482330">
        <w:rPr>
          <w:b/>
          <w:color w:val="auto"/>
          <w:sz w:val="22"/>
          <w:szCs w:val="22"/>
          <w:lang w:val="en-GB"/>
        </w:rPr>
        <w:t>[31]</w:t>
      </w:r>
      <w:r w:rsidRPr="00482330">
        <w:rPr>
          <w:color w:val="auto"/>
          <w:sz w:val="22"/>
          <w:szCs w:val="22"/>
          <w:lang w:val="en-GB"/>
        </w:rPr>
        <w:t xml:space="preserve">, and Anuradha et al. in India (37.78%) </w:t>
      </w:r>
      <w:r w:rsidRPr="00482330">
        <w:rPr>
          <w:b/>
          <w:color w:val="auto"/>
          <w:sz w:val="22"/>
          <w:szCs w:val="22"/>
          <w:lang w:val="en-GB"/>
        </w:rPr>
        <w:t>[32]</w:t>
      </w:r>
      <w:r w:rsidRPr="00482330">
        <w:rPr>
          <w:color w:val="auto"/>
          <w:sz w:val="22"/>
          <w:szCs w:val="22"/>
          <w:lang w:val="en-GB"/>
        </w:rPr>
        <w:t xml:space="preserve">. Moreover, other studies have reported case fatality rates reaching up to 50% </w:t>
      </w:r>
      <w:r w:rsidRPr="00482330">
        <w:rPr>
          <w:b/>
          <w:color w:val="auto"/>
          <w:sz w:val="22"/>
          <w:szCs w:val="22"/>
          <w:lang w:val="en-GB"/>
        </w:rPr>
        <w:t>[22, 33–35]</w:t>
      </w:r>
      <w:r w:rsidRPr="00482330">
        <w:rPr>
          <w:color w:val="auto"/>
          <w:sz w:val="22"/>
          <w:szCs w:val="22"/>
          <w:lang w:val="en-GB"/>
        </w:rPr>
        <w:t>.</w:t>
      </w:r>
    </w:p>
    <w:p w14:paraId="3B605AE8" w14:textId="77777777" w:rsidR="00ED00B8" w:rsidRPr="00482330" w:rsidRDefault="00ED00B8" w:rsidP="00E4188C">
      <w:pPr>
        <w:pStyle w:val="p1"/>
        <w:jc w:val="both"/>
        <w:rPr>
          <w:b/>
          <w:bCs/>
          <w:color w:val="auto"/>
          <w:sz w:val="22"/>
          <w:szCs w:val="22"/>
          <w:lang w:val="en-GB"/>
        </w:rPr>
      </w:pPr>
    </w:p>
    <w:p w14:paraId="19B95E9B" w14:textId="77777777" w:rsidR="00DB4B37" w:rsidRPr="00482330" w:rsidRDefault="00DB4B37" w:rsidP="00E4188C">
      <w:pPr>
        <w:spacing w:line="276" w:lineRule="auto"/>
        <w:jc w:val="both"/>
        <w:rPr>
          <w:rFonts w:ascii="Times New Roman" w:hAnsi="Times New Roman" w:cs="Times New Roman"/>
          <w:b/>
          <w:bCs/>
          <w:sz w:val="22"/>
          <w:szCs w:val="22"/>
          <w:lang w:val="en-GB"/>
        </w:rPr>
      </w:pPr>
      <w:r w:rsidRPr="00482330">
        <w:rPr>
          <w:rFonts w:ascii="Times New Roman" w:hAnsi="Times New Roman" w:cs="Times New Roman"/>
          <w:b/>
          <w:bCs/>
          <w:sz w:val="22"/>
          <w:szCs w:val="22"/>
          <w:lang w:val="en-GB"/>
        </w:rPr>
        <w:t>Factors associated with mortality</w:t>
      </w:r>
    </w:p>
    <w:p w14:paraId="65A7BA69" w14:textId="3C9DB3CC" w:rsidR="00DB4B37" w:rsidRPr="00482330" w:rsidRDefault="00DB4B37"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t xml:space="preserve">Multivariate analysis allowed us to identify five factors statistically associated with death: invasion period less than 48 hours, age ≥ 65 years, presence of diabetes, occurrence of tonic-clonic paroxysms, and development of complications. A short invasion period may reflect a high level of infectivity, thus constituting a severity factor, as suggested by the Dakar scoring system and by other authors such as Khan et al. </w:t>
      </w:r>
      <w:r w:rsidRPr="00482330">
        <w:rPr>
          <w:rFonts w:ascii="Times New Roman" w:eastAsia="Times New Roman" w:hAnsi="Times New Roman" w:cs="Times New Roman"/>
          <w:b/>
          <w:sz w:val="22"/>
          <w:szCs w:val="22"/>
          <w:lang w:val="en-GB" w:eastAsia="fr-FR"/>
        </w:rPr>
        <w:t>[36]</w:t>
      </w:r>
      <w:r w:rsidRPr="00482330">
        <w:rPr>
          <w:rFonts w:ascii="Times New Roman" w:eastAsia="Times New Roman" w:hAnsi="Times New Roman" w:cs="Times New Roman"/>
          <w:sz w:val="22"/>
          <w:szCs w:val="22"/>
          <w:lang w:val="en-GB" w:eastAsia="fr-FR"/>
        </w:rPr>
        <w:t xml:space="preserve"> in Bangladesh and Amare et al. </w:t>
      </w:r>
      <w:r w:rsidRPr="00482330">
        <w:rPr>
          <w:rFonts w:ascii="Times New Roman" w:eastAsia="Times New Roman" w:hAnsi="Times New Roman" w:cs="Times New Roman"/>
          <w:b/>
          <w:sz w:val="22"/>
          <w:szCs w:val="22"/>
          <w:lang w:val="en-GB" w:eastAsia="fr-FR"/>
        </w:rPr>
        <w:t>[37]</w:t>
      </w:r>
      <w:r w:rsidRPr="00482330">
        <w:rPr>
          <w:rFonts w:ascii="Times New Roman" w:eastAsia="Times New Roman" w:hAnsi="Times New Roman" w:cs="Times New Roman"/>
          <w:sz w:val="22"/>
          <w:szCs w:val="22"/>
          <w:lang w:val="en-GB" w:eastAsia="fr-FR"/>
        </w:rPr>
        <w:t xml:space="preserve"> in Ethiopia. Advanced age was a risk factor for mortality in our series. Other studies have also found this association, including those by Fortes in the same department </w:t>
      </w:r>
      <w:r w:rsidRPr="00482330">
        <w:rPr>
          <w:rFonts w:ascii="Times New Roman" w:eastAsia="Times New Roman" w:hAnsi="Times New Roman" w:cs="Times New Roman"/>
          <w:b/>
          <w:sz w:val="22"/>
          <w:szCs w:val="22"/>
          <w:lang w:val="en-GB" w:eastAsia="fr-FR"/>
        </w:rPr>
        <w:t>[19]</w:t>
      </w:r>
      <w:r w:rsidRPr="00482330">
        <w:rPr>
          <w:rFonts w:ascii="Times New Roman" w:eastAsia="Times New Roman" w:hAnsi="Times New Roman" w:cs="Times New Roman"/>
          <w:sz w:val="22"/>
          <w:szCs w:val="22"/>
          <w:lang w:val="en-GB" w:eastAsia="fr-FR"/>
        </w:rPr>
        <w:t xml:space="preserve">, Saltoglu </w:t>
      </w:r>
      <w:r w:rsidRPr="00482330">
        <w:rPr>
          <w:rFonts w:ascii="Times New Roman" w:eastAsia="Times New Roman" w:hAnsi="Times New Roman" w:cs="Times New Roman"/>
          <w:b/>
          <w:sz w:val="22"/>
          <w:szCs w:val="22"/>
          <w:lang w:val="en-GB" w:eastAsia="fr-FR"/>
        </w:rPr>
        <w:t>[35]</w:t>
      </w:r>
      <w:r w:rsidRPr="00482330">
        <w:rPr>
          <w:rFonts w:ascii="Times New Roman" w:eastAsia="Times New Roman" w:hAnsi="Times New Roman" w:cs="Times New Roman"/>
          <w:sz w:val="22"/>
          <w:szCs w:val="22"/>
          <w:lang w:val="en-GB" w:eastAsia="fr-FR"/>
        </w:rPr>
        <w:t xml:space="preserve"> in Turkey, Khan </w:t>
      </w:r>
      <w:r w:rsidRPr="00482330">
        <w:rPr>
          <w:rFonts w:ascii="Times New Roman" w:eastAsia="Times New Roman" w:hAnsi="Times New Roman" w:cs="Times New Roman"/>
          <w:b/>
          <w:sz w:val="22"/>
          <w:szCs w:val="22"/>
          <w:lang w:val="en-GB" w:eastAsia="fr-FR"/>
        </w:rPr>
        <w:t>[36]</w:t>
      </w:r>
      <w:r w:rsidRPr="00482330">
        <w:rPr>
          <w:rFonts w:ascii="Times New Roman" w:eastAsia="Times New Roman" w:hAnsi="Times New Roman" w:cs="Times New Roman"/>
          <w:sz w:val="22"/>
          <w:szCs w:val="22"/>
          <w:lang w:val="en-GB" w:eastAsia="fr-FR"/>
        </w:rPr>
        <w:t xml:space="preserve"> in Bangladesh, Amare </w:t>
      </w:r>
      <w:r w:rsidRPr="00482330">
        <w:rPr>
          <w:rFonts w:ascii="Times New Roman" w:eastAsia="Times New Roman" w:hAnsi="Times New Roman" w:cs="Times New Roman"/>
          <w:b/>
          <w:sz w:val="22"/>
          <w:szCs w:val="22"/>
          <w:lang w:val="en-GB" w:eastAsia="fr-FR"/>
        </w:rPr>
        <w:t>[37]</w:t>
      </w:r>
      <w:r w:rsidRPr="00482330">
        <w:rPr>
          <w:rFonts w:ascii="Times New Roman" w:eastAsia="Times New Roman" w:hAnsi="Times New Roman" w:cs="Times New Roman"/>
          <w:sz w:val="22"/>
          <w:szCs w:val="22"/>
          <w:lang w:val="en-GB" w:eastAsia="fr-FR"/>
        </w:rPr>
        <w:t xml:space="preserve"> in Ethiopia, and Nòbrega </w:t>
      </w:r>
      <w:r w:rsidRPr="00482330">
        <w:rPr>
          <w:rFonts w:ascii="Times New Roman" w:eastAsia="Times New Roman" w:hAnsi="Times New Roman" w:cs="Times New Roman"/>
          <w:b/>
          <w:sz w:val="22"/>
          <w:szCs w:val="22"/>
          <w:lang w:val="en-GB" w:eastAsia="fr-FR"/>
        </w:rPr>
        <w:t>[38]</w:t>
      </w:r>
      <w:r w:rsidRPr="00482330">
        <w:rPr>
          <w:rFonts w:ascii="Times New Roman" w:eastAsia="Times New Roman" w:hAnsi="Times New Roman" w:cs="Times New Roman"/>
          <w:sz w:val="22"/>
          <w:szCs w:val="22"/>
          <w:lang w:val="en-GB" w:eastAsia="fr-FR"/>
        </w:rPr>
        <w:t xml:space="preserve"> in Brazil. Tetanus remains relatively severe in elderly individuals. This severity is due to intertwined phenomena such as frailty that predisposes to complications, frequent decompensation of comorbidities, hypersensitivity to sedatives that complicates management and may lead to iatrogenic coma and respiratory disorders. We also found diabetes to be a risk factor for mortality. Fortes </w:t>
      </w:r>
      <w:r w:rsidRPr="00482330">
        <w:rPr>
          <w:rFonts w:ascii="Times New Roman" w:eastAsia="Times New Roman" w:hAnsi="Times New Roman" w:cs="Times New Roman"/>
          <w:b/>
          <w:sz w:val="22"/>
          <w:szCs w:val="22"/>
          <w:lang w:val="en-GB" w:eastAsia="fr-FR"/>
        </w:rPr>
        <w:t>[19]</w:t>
      </w:r>
      <w:r w:rsidRPr="00482330">
        <w:rPr>
          <w:rFonts w:ascii="Times New Roman" w:eastAsia="Times New Roman" w:hAnsi="Times New Roman" w:cs="Times New Roman"/>
          <w:sz w:val="22"/>
          <w:szCs w:val="22"/>
          <w:lang w:val="en-GB" w:eastAsia="fr-FR"/>
        </w:rPr>
        <w:t xml:space="preserve"> reported an association between comorbidity and death. Tetanus remains relatively severe in patients with debilitating conditions such as diabetes. Other authors have identified comorbidities as factors associated with mortality </w:t>
      </w:r>
      <w:r w:rsidRPr="00482330">
        <w:rPr>
          <w:rFonts w:ascii="Times New Roman" w:eastAsia="Times New Roman" w:hAnsi="Times New Roman" w:cs="Times New Roman"/>
          <w:b/>
          <w:sz w:val="22"/>
          <w:szCs w:val="22"/>
          <w:lang w:val="en-GB" w:eastAsia="fr-FR"/>
        </w:rPr>
        <w:t>[39, 40]</w:t>
      </w:r>
      <w:r w:rsidRPr="00482330">
        <w:rPr>
          <w:rFonts w:ascii="Times New Roman" w:eastAsia="Times New Roman" w:hAnsi="Times New Roman" w:cs="Times New Roman"/>
          <w:sz w:val="22"/>
          <w:szCs w:val="22"/>
          <w:lang w:val="en-GB" w:eastAsia="fr-FR"/>
        </w:rPr>
        <w:t>. Diabetes is also a chronic disease with its own complications (decompensation, silent myocardial infarction leading to sudden death), which can worsen prognosis.</w:t>
      </w:r>
    </w:p>
    <w:p w14:paraId="3EBA7C07" w14:textId="71D25E94" w:rsidR="00544F1F" w:rsidRPr="00482330" w:rsidRDefault="00544F1F" w:rsidP="00E4188C">
      <w:pPr>
        <w:spacing w:line="276" w:lineRule="auto"/>
        <w:jc w:val="both"/>
        <w:rPr>
          <w:rFonts w:ascii="Times New Roman" w:eastAsia="Times New Roman" w:hAnsi="Times New Roman" w:cs="Times New Roman"/>
          <w:sz w:val="22"/>
          <w:szCs w:val="22"/>
          <w:lang w:val="en-GB" w:eastAsia="fr-FR"/>
        </w:rPr>
      </w:pPr>
      <w:r w:rsidRPr="00482330">
        <w:rPr>
          <w:rFonts w:ascii="Times New Roman" w:eastAsia="Times New Roman" w:hAnsi="Times New Roman" w:cs="Times New Roman"/>
          <w:sz w:val="22"/>
          <w:szCs w:val="22"/>
          <w:lang w:val="en-GB" w:eastAsia="fr-FR"/>
        </w:rPr>
        <w:t>The presence of tonic-clonic paroxysms was associated with death. These paroxysms indicate severe involvement, as shown in Mollaret’s classification, where their presence places the patient at stage III. Tonic-clonic paroxysms may be accompanied by neurovegetative disorders, reflecting dysautonomia, which exposes patients to often fatal complications. This explains why severe forms with paroxysms are frequently associated with high lethality, as demonstrated in several studies [</w:t>
      </w:r>
      <w:r w:rsidRPr="00482330">
        <w:rPr>
          <w:rFonts w:ascii="Times New Roman" w:eastAsia="Times New Roman" w:hAnsi="Times New Roman" w:cs="Times New Roman"/>
          <w:b/>
          <w:sz w:val="22"/>
          <w:szCs w:val="22"/>
          <w:lang w:val="en-GB" w:eastAsia="fr-FR"/>
        </w:rPr>
        <w:t>19, 37, 41, 42].</w:t>
      </w:r>
      <w:r w:rsidRPr="00482330">
        <w:rPr>
          <w:rFonts w:ascii="Times New Roman" w:eastAsia="Times New Roman" w:hAnsi="Times New Roman" w:cs="Times New Roman"/>
          <w:sz w:val="22"/>
          <w:szCs w:val="22"/>
          <w:lang w:val="en-GB" w:eastAsia="fr-FR"/>
        </w:rPr>
        <w:t xml:space="preserve"> The presence of complications was also a factor associated with mortality. Our results are consistent with </w:t>
      </w:r>
      <w:r w:rsidRPr="00482330">
        <w:rPr>
          <w:rFonts w:ascii="Times New Roman" w:eastAsia="Times New Roman" w:hAnsi="Times New Roman" w:cs="Times New Roman"/>
          <w:sz w:val="22"/>
          <w:szCs w:val="22"/>
          <w:lang w:val="en-GB" w:eastAsia="fr-FR"/>
        </w:rPr>
        <w:lastRenderedPageBreak/>
        <w:t xml:space="preserve">those reported in the literature, both in Senegal and elsewhere in Africa </w:t>
      </w:r>
      <w:r w:rsidRPr="00482330">
        <w:rPr>
          <w:rFonts w:ascii="Times New Roman" w:eastAsia="Times New Roman" w:hAnsi="Times New Roman" w:cs="Times New Roman"/>
          <w:b/>
          <w:sz w:val="22"/>
          <w:szCs w:val="22"/>
          <w:lang w:val="en-GB" w:eastAsia="fr-FR"/>
        </w:rPr>
        <w:t>[19, 27]</w:t>
      </w:r>
      <w:r w:rsidRPr="00482330">
        <w:rPr>
          <w:rFonts w:ascii="Times New Roman" w:eastAsia="Times New Roman" w:hAnsi="Times New Roman" w:cs="Times New Roman"/>
          <w:sz w:val="22"/>
          <w:szCs w:val="22"/>
          <w:lang w:val="en-GB" w:eastAsia="fr-FR"/>
        </w:rPr>
        <w:t>. Mechanical complications can lead to cardiorespiratory arrest of either cardiac or respiratory origin, even with adequate management. The occurrence of complications also reflects delayed medical care, highlighting the importance of raising public awareness for early consultation.</w:t>
      </w:r>
    </w:p>
    <w:p w14:paraId="2CC98649" w14:textId="77777777" w:rsidR="001727A2" w:rsidRPr="00482330" w:rsidRDefault="001727A2" w:rsidP="00E4188C">
      <w:pPr>
        <w:spacing w:line="276" w:lineRule="auto"/>
        <w:jc w:val="both"/>
        <w:rPr>
          <w:rFonts w:ascii="Times New Roman" w:eastAsia="Times New Roman" w:hAnsi="Times New Roman" w:cs="Times New Roman"/>
          <w:sz w:val="22"/>
          <w:szCs w:val="22"/>
          <w:lang w:val="en-GB" w:eastAsia="fr-FR"/>
        </w:rPr>
      </w:pPr>
    </w:p>
    <w:p w14:paraId="6636BADA" w14:textId="77777777" w:rsidR="001727A2" w:rsidRPr="00482330" w:rsidRDefault="001727A2" w:rsidP="00E4188C">
      <w:pPr>
        <w:spacing w:line="276" w:lineRule="auto"/>
        <w:jc w:val="both"/>
        <w:rPr>
          <w:rFonts w:ascii="Times New Roman" w:eastAsia="Times New Roman" w:hAnsi="Times New Roman" w:cs="Times New Roman"/>
          <w:sz w:val="22"/>
          <w:szCs w:val="22"/>
          <w:lang w:val="en-GB" w:eastAsia="fr-FR"/>
        </w:rPr>
      </w:pPr>
    </w:p>
    <w:p w14:paraId="234219AA" w14:textId="77777777" w:rsidR="00A5074B" w:rsidRPr="00482330" w:rsidRDefault="00A5074B" w:rsidP="00E4188C">
      <w:pPr>
        <w:pStyle w:val="ListParagraph"/>
        <w:numPr>
          <w:ilvl w:val="0"/>
          <w:numId w:val="1"/>
        </w:numPr>
        <w:spacing w:after="0" w:line="360" w:lineRule="auto"/>
        <w:ind w:left="0"/>
        <w:jc w:val="both"/>
        <w:rPr>
          <w:rFonts w:ascii="Times New Roman" w:hAnsi="Times New Roman" w:cs="Times New Roman"/>
          <w:b/>
          <w:bCs/>
          <w:sz w:val="22"/>
          <w:szCs w:val="22"/>
        </w:rPr>
      </w:pPr>
      <w:r w:rsidRPr="00482330">
        <w:rPr>
          <w:rFonts w:ascii="Times New Roman" w:hAnsi="Times New Roman" w:cs="Times New Roman"/>
          <w:b/>
          <w:bCs/>
          <w:sz w:val="22"/>
          <w:szCs w:val="22"/>
        </w:rPr>
        <w:t xml:space="preserve">Conclusion </w:t>
      </w:r>
    </w:p>
    <w:p w14:paraId="405E8AE0" w14:textId="5E066CBA" w:rsidR="00544F1F" w:rsidRPr="00482330" w:rsidRDefault="00544F1F" w:rsidP="00E4188C">
      <w:pPr>
        <w:pStyle w:val="p1"/>
        <w:jc w:val="both"/>
        <w:rPr>
          <w:color w:val="auto"/>
          <w:sz w:val="22"/>
          <w:szCs w:val="22"/>
          <w:lang w:val="en-GB"/>
        </w:rPr>
      </w:pPr>
      <w:r w:rsidRPr="00482330">
        <w:rPr>
          <w:color w:val="auto"/>
          <w:sz w:val="22"/>
          <w:szCs w:val="22"/>
          <w:lang w:val="en-GB"/>
        </w:rPr>
        <w:t>This study allowed us to highlight the limitations and inadequacy of the prognostic classifications currently used to evaluate patients hospitalized for tetanus. Indeed, risk factors for mortality, such as advanced age, the presence of comorbidities like diabetes, and the occurrence of complications, are not taken into account in existing classifications. Therefore, it appears important to develop new prognostic tools that incorporate these aforementioned factors.</w:t>
      </w:r>
    </w:p>
    <w:p w14:paraId="4774A381" w14:textId="77777777" w:rsidR="00544F1F" w:rsidRDefault="00544F1F" w:rsidP="00E4188C">
      <w:pPr>
        <w:pStyle w:val="p1"/>
        <w:jc w:val="both"/>
        <w:rPr>
          <w:color w:val="auto"/>
          <w:sz w:val="20"/>
          <w:szCs w:val="20"/>
          <w:lang w:val="en-GB"/>
        </w:rPr>
      </w:pPr>
    </w:p>
    <w:p w14:paraId="49CCC8D3" w14:textId="77777777" w:rsidR="00E206F5" w:rsidRDefault="00E206F5" w:rsidP="00E4188C">
      <w:pPr>
        <w:pStyle w:val="p1"/>
        <w:jc w:val="both"/>
        <w:rPr>
          <w:color w:val="auto"/>
          <w:sz w:val="20"/>
          <w:szCs w:val="20"/>
          <w:lang w:val="en-GB"/>
        </w:rPr>
      </w:pPr>
    </w:p>
    <w:p w14:paraId="6B3DEDD3" w14:textId="77777777" w:rsidR="00E206F5" w:rsidRDefault="00E206F5" w:rsidP="00E4188C">
      <w:pPr>
        <w:pStyle w:val="p1"/>
        <w:jc w:val="both"/>
        <w:rPr>
          <w:color w:val="auto"/>
          <w:sz w:val="20"/>
          <w:szCs w:val="20"/>
          <w:lang w:val="en-GB"/>
        </w:rPr>
      </w:pPr>
    </w:p>
    <w:p w14:paraId="6DA2DE68" w14:textId="77777777" w:rsidR="00B467A3" w:rsidRDefault="00B467A3" w:rsidP="00B467A3">
      <w:pPr>
        <w:spacing w:line="276" w:lineRule="auto"/>
        <w:rPr>
          <w:rFonts w:ascii="Times New Roman" w:hAnsi="Times New Roman" w:cs="Times New Roman"/>
          <w:b/>
          <w:bCs/>
          <w:sz w:val="22"/>
          <w:szCs w:val="22"/>
        </w:rPr>
      </w:pPr>
      <w:r w:rsidRPr="00A81970">
        <w:rPr>
          <w:rFonts w:ascii="Times New Roman" w:hAnsi="Times New Roman" w:cs="Times New Roman"/>
          <w:b/>
          <w:bCs/>
          <w:sz w:val="22"/>
          <w:szCs w:val="22"/>
        </w:rPr>
        <w:t>R</w:t>
      </w:r>
      <w:r>
        <w:rPr>
          <w:rFonts w:ascii="Times New Roman" w:hAnsi="Times New Roman" w:cs="Times New Roman"/>
          <w:b/>
          <w:bCs/>
          <w:sz w:val="22"/>
          <w:szCs w:val="22"/>
        </w:rPr>
        <w:t>e</w:t>
      </w:r>
      <w:r w:rsidRPr="00A81970">
        <w:rPr>
          <w:rFonts w:ascii="Times New Roman" w:hAnsi="Times New Roman" w:cs="Times New Roman"/>
          <w:b/>
          <w:bCs/>
          <w:sz w:val="22"/>
          <w:szCs w:val="22"/>
        </w:rPr>
        <w:t>f</w:t>
      </w:r>
      <w:r>
        <w:rPr>
          <w:rFonts w:ascii="Times New Roman" w:hAnsi="Times New Roman" w:cs="Times New Roman"/>
          <w:b/>
          <w:bCs/>
          <w:sz w:val="22"/>
          <w:szCs w:val="22"/>
        </w:rPr>
        <w:t>e</w:t>
      </w:r>
      <w:r w:rsidRPr="00A81970">
        <w:rPr>
          <w:rFonts w:ascii="Times New Roman" w:hAnsi="Times New Roman" w:cs="Times New Roman"/>
          <w:b/>
          <w:bCs/>
          <w:sz w:val="22"/>
          <w:szCs w:val="22"/>
        </w:rPr>
        <w:t xml:space="preserve">rences </w:t>
      </w:r>
    </w:p>
    <w:p w14:paraId="1C3B2894" w14:textId="77777777" w:rsidR="00B467A3" w:rsidRPr="00A81970" w:rsidRDefault="00B467A3" w:rsidP="00B467A3">
      <w:pPr>
        <w:spacing w:line="276" w:lineRule="auto"/>
        <w:rPr>
          <w:rFonts w:ascii="Times New Roman" w:hAnsi="Times New Roman" w:cs="Times New Roman"/>
          <w:b/>
          <w:bCs/>
          <w:sz w:val="22"/>
          <w:szCs w:val="22"/>
        </w:rPr>
      </w:pPr>
    </w:p>
    <w:p w14:paraId="249085B7" w14:textId="77777777" w:rsidR="00B467A3" w:rsidRPr="00C30DB5" w:rsidRDefault="00B467A3" w:rsidP="00B467A3">
      <w:pPr>
        <w:pStyle w:val="p1"/>
        <w:spacing w:line="276" w:lineRule="auto"/>
        <w:rPr>
          <w:sz w:val="22"/>
          <w:szCs w:val="22"/>
        </w:rPr>
      </w:pPr>
      <w:r w:rsidRPr="00C30DB5">
        <w:rPr>
          <w:sz w:val="22"/>
          <w:szCs w:val="22"/>
        </w:rPr>
        <w:t>1. Delmont J., Parola P. Tetanus in adults. In: Edmond Bertrand, coordinator. Medical emergencies in Africa. France: ESTEM. 2005; 33-41.</w:t>
      </w:r>
    </w:p>
    <w:p w14:paraId="5766900D" w14:textId="77777777" w:rsidR="00B467A3" w:rsidRPr="00C30DB5" w:rsidRDefault="00B467A3" w:rsidP="00B467A3">
      <w:pPr>
        <w:pStyle w:val="p1"/>
        <w:spacing w:line="276" w:lineRule="auto"/>
        <w:rPr>
          <w:sz w:val="22"/>
          <w:szCs w:val="22"/>
        </w:rPr>
      </w:pPr>
    </w:p>
    <w:p w14:paraId="6A98C6DC" w14:textId="28F74709" w:rsidR="00B467A3" w:rsidRDefault="00B467A3" w:rsidP="00B467A3">
      <w:pPr>
        <w:pStyle w:val="p1"/>
        <w:spacing w:line="276" w:lineRule="auto"/>
        <w:rPr>
          <w:sz w:val="22"/>
          <w:szCs w:val="22"/>
        </w:rPr>
      </w:pPr>
      <w:r w:rsidRPr="00C30DB5">
        <w:rPr>
          <w:sz w:val="22"/>
          <w:szCs w:val="22"/>
        </w:rPr>
        <w:t xml:space="preserve">2. </w:t>
      </w:r>
      <w:r w:rsidR="00EA3340" w:rsidRPr="00EA3340">
        <w:rPr>
          <w:sz w:val="22"/>
          <w:szCs w:val="22"/>
        </w:rPr>
        <w:t xml:space="preserve">Blettery, B., &amp; Doise, J.-M. (2004). Tétanos : prévention et diagnostic. EMC - Médecine, 1(2), 151-156. </w:t>
      </w:r>
      <w:hyperlink r:id="rId9" w:history="1">
        <w:r w:rsidR="00EA3340" w:rsidRPr="00C533ED">
          <w:rPr>
            <w:rStyle w:val="Hyperlink"/>
            <w:sz w:val="22"/>
            <w:szCs w:val="22"/>
          </w:rPr>
          <w:t>https://doi.org/10.1016/j.emcmed.2003.10.004</w:t>
        </w:r>
      </w:hyperlink>
    </w:p>
    <w:p w14:paraId="36028680" w14:textId="77777777" w:rsidR="00EA3340" w:rsidRPr="00C30DB5" w:rsidRDefault="00EA3340" w:rsidP="00B467A3">
      <w:pPr>
        <w:pStyle w:val="p1"/>
        <w:spacing w:line="276" w:lineRule="auto"/>
        <w:rPr>
          <w:sz w:val="22"/>
          <w:szCs w:val="22"/>
        </w:rPr>
      </w:pPr>
    </w:p>
    <w:p w14:paraId="0211DC8A" w14:textId="77777777" w:rsidR="00B467A3" w:rsidRPr="00C30DB5" w:rsidRDefault="00B467A3" w:rsidP="00B467A3">
      <w:pPr>
        <w:pStyle w:val="p1"/>
        <w:spacing w:line="276" w:lineRule="auto"/>
        <w:rPr>
          <w:sz w:val="22"/>
          <w:szCs w:val="22"/>
        </w:rPr>
      </w:pPr>
      <w:r w:rsidRPr="00C30DB5">
        <w:rPr>
          <w:sz w:val="22"/>
          <w:szCs w:val="22"/>
        </w:rPr>
        <w:t>3. Laroche C. Tetanus: an update on a serious infectious disease that remains relevant. Antibiotiques February 2004; 6(1): 23-28.</w:t>
      </w:r>
    </w:p>
    <w:p w14:paraId="02463BDB" w14:textId="77777777" w:rsidR="00B467A3" w:rsidRPr="00C30DB5" w:rsidRDefault="00B467A3" w:rsidP="00B467A3">
      <w:pPr>
        <w:pStyle w:val="p1"/>
        <w:spacing w:line="276" w:lineRule="auto"/>
        <w:rPr>
          <w:sz w:val="22"/>
          <w:szCs w:val="22"/>
        </w:rPr>
      </w:pPr>
    </w:p>
    <w:p w14:paraId="5B72E9FF" w14:textId="77777777" w:rsidR="00B467A3" w:rsidRPr="00C30DB5" w:rsidRDefault="00B467A3" w:rsidP="00B467A3">
      <w:pPr>
        <w:pStyle w:val="p1"/>
        <w:spacing w:line="276" w:lineRule="auto"/>
        <w:rPr>
          <w:sz w:val="22"/>
          <w:szCs w:val="22"/>
        </w:rPr>
      </w:pPr>
      <w:r w:rsidRPr="00C30DB5">
        <w:rPr>
          <w:sz w:val="22"/>
          <w:szCs w:val="22"/>
        </w:rPr>
        <w:t>4. Caillez M., Aljabi D., Lawrence C. Study of tetanus vaccination coverage among injured patients: the value of the Vacci-Test. R. Med. Mal. Infect. 1991; 21: 27-31.</w:t>
      </w:r>
    </w:p>
    <w:p w14:paraId="6287B744" w14:textId="77777777" w:rsidR="00B467A3" w:rsidRPr="00C30DB5" w:rsidRDefault="00B467A3" w:rsidP="00B467A3">
      <w:pPr>
        <w:pStyle w:val="p1"/>
        <w:spacing w:line="276" w:lineRule="auto"/>
        <w:rPr>
          <w:sz w:val="22"/>
          <w:szCs w:val="22"/>
        </w:rPr>
      </w:pPr>
    </w:p>
    <w:p w14:paraId="3D6F61CF" w14:textId="66ADE46C" w:rsidR="00B467A3" w:rsidRDefault="00B467A3" w:rsidP="00EA3340">
      <w:pPr>
        <w:pStyle w:val="p1"/>
        <w:spacing w:line="276" w:lineRule="auto"/>
        <w:rPr>
          <w:sz w:val="22"/>
          <w:szCs w:val="22"/>
        </w:rPr>
      </w:pPr>
      <w:r w:rsidRPr="00C30DB5">
        <w:rPr>
          <w:sz w:val="22"/>
          <w:szCs w:val="22"/>
        </w:rPr>
        <w:t xml:space="preserve">5. </w:t>
      </w:r>
      <w:r w:rsidR="00EA3340" w:rsidRPr="00EA3340">
        <w:rPr>
          <w:sz w:val="22"/>
          <w:szCs w:val="22"/>
        </w:rPr>
        <w:t xml:space="preserve">Petit, P. L., &amp; van Ginneken, J. K. (1995). Analysis of hospital records in four African countries, 1975-1990, with emphasis on infectious diseases. Journal of Tropical Medicine and Hygiene, 98(4), 217-227. </w:t>
      </w:r>
      <w:hyperlink r:id="rId10" w:history="1">
        <w:r w:rsidR="00EA3340" w:rsidRPr="00C533ED">
          <w:rPr>
            <w:rStyle w:val="Hyperlink"/>
            <w:sz w:val="22"/>
            <w:szCs w:val="22"/>
          </w:rPr>
          <w:t>https://pubmed.ncbi.nlm.nih.gov/7636917/</w:t>
        </w:r>
      </w:hyperlink>
    </w:p>
    <w:p w14:paraId="58B0AE7C" w14:textId="77777777" w:rsidR="00EA3340" w:rsidRPr="00C30DB5" w:rsidRDefault="00EA3340" w:rsidP="00EA3340">
      <w:pPr>
        <w:pStyle w:val="p1"/>
        <w:spacing w:line="276" w:lineRule="auto"/>
        <w:rPr>
          <w:sz w:val="22"/>
          <w:szCs w:val="22"/>
        </w:rPr>
      </w:pPr>
    </w:p>
    <w:p w14:paraId="750807E1" w14:textId="74F3131E" w:rsidR="00B467A3" w:rsidRPr="00C30DB5" w:rsidRDefault="00EA3340" w:rsidP="00EA3340">
      <w:pPr>
        <w:pStyle w:val="p1"/>
        <w:numPr>
          <w:ilvl w:val="0"/>
          <w:numId w:val="1"/>
        </w:numPr>
        <w:spacing w:line="276" w:lineRule="auto"/>
        <w:rPr>
          <w:sz w:val="22"/>
          <w:szCs w:val="22"/>
        </w:rPr>
      </w:pPr>
      <w:r w:rsidRPr="00EA3340">
        <w:rPr>
          <w:sz w:val="22"/>
          <w:szCs w:val="22"/>
        </w:rPr>
        <w:t>Woldeamanuel, Y. W., Andemeskel, A. T., Kyei, K., Woldeamanuel, M. W., &amp; Woldeamanuel, W. (2016). Case fatality of adult tetanus in Africa: Systematic review and meta-analysis. Journal of the Neurological Sciences, 368, 292-299. https://doi.org/10.1016/j.jns.2016.07.025</w:t>
      </w:r>
      <w:r w:rsidR="00B467A3" w:rsidRPr="00C30DB5">
        <w:rPr>
          <w:sz w:val="22"/>
          <w:szCs w:val="22"/>
        </w:rPr>
        <w:t>.</w:t>
      </w:r>
    </w:p>
    <w:p w14:paraId="50234018" w14:textId="77777777" w:rsidR="00B467A3" w:rsidRPr="00C30DB5" w:rsidRDefault="00B467A3" w:rsidP="00EA3340">
      <w:pPr>
        <w:pStyle w:val="p1"/>
        <w:spacing w:line="276" w:lineRule="auto"/>
        <w:rPr>
          <w:sz w:val="22"/>
          <w:szCs w:val="22"/>
        </w:rPr>
      </w:pPr>
    </w:p>
    <w:p w14:paraId="735EAE36" w14:textId="2B574A07" w:rsidR="00B467A3" w:rsidRPr="00C30DB5" w:rsidRDefault="00B467A3" w:rsidP="00EA3340">
      <w:pPr>
        <w:pStyle w:val="p1"/>
        <w:numPr>
          <w:ilvl w:val="0"/>
          <w:numId w:val="1"/>
        </w:numPr>
        <w:spacing w:line="276" w:lineRule="auto"/>
        <w:rPr>
          <w:sz w:val="22"/>
          <w:szCs w:val="22"/>
        </w:rPr>
      </w:pPr>
      <w:r w:rsidRPr="00C30DB5">
        <w:rPr>
          <w:sz w:val="22"/>
          <w:szCs w:val="22"/>
        </w:rPr>
        <w:t>Hatim B. Diseases covered by the Expanded Program on Immunization (EPI): What has become of them in Senegal? Analysis of the epidemiological situation from 1980 to 1998.</w:t>
      </w:r>
    </w:p>
    <w:p w14:paraId="124E3120" w14:textId="77777777" w:rsidR="00B467A3" w:rsidRPr="00C30DB5" w:rsidRDefault="00B467A3" w:rsidP="00EA3340">
      <w:pPr>
        <w:pStyle w:val="p1"/>
        <w:spacing w:line="276" w:lineRule="auto"/>
        <w:rPr>
          <w:sz w:val="22"/>
          <w:szCs w:val="22"/>
        </w:rPr>
      </w:pPr>
    </w:p>
    <w:p w14:paraId="5CBF547E" w14:textId="180FE7E4" w:rsidR="00B467A3" w:rsidRPr="00C30DB5" w:rsidRDefault="00EA3340" w:rsidP="00EA3340">
      <w:pPr>
        <w:pStyle w:val="p1"/>
        <w:numPr>
          <w:ilvl w:val="0"/>
          <w:numId w:val="1"/>
        </w:numPr>
        <w:spacing w:line="276" w:lineRule="auto"/>
        <w:rPr>
          <w:sz w:val="22"/>
          <w:szCs w:val="22"/>
        </w:rPr>
      </w:pPr>
      <w:r w:rsidRPr="00EA3340">
        <w:rPr>
          <w:sz w:val="22"/>
          <w:szCs w:val="22"/>
        </w:rPr>
        <w:t>Sow, P. S., Seydi, M., Diop, B. M., Dia, N. M., Manga, N. M., Diop, S. A., Soumare, M., &amp; Diallo, A. A. (2003). Facteurs pronostiques du tétanos néonatal à Dakar. Médecine et Maladies Infectieuses, 33(3), 150-154. https://doi.org/10.1016/s0399-077x(03)00020-9</w:t>
      </w:r>
      <w:r w:rsidR="00B467A3" w:rsidRPr="00C30DB5">
        <w:rPr>
          <w:sz w:val="22"/>
          <w:szCs w:val="22"/>
        </w:rPr>
        <w:t>.</w:t>
      </w:r>
    </w:p>
    <w:p w14:paraId="331944A2" w14:textId="77777777" w:rsidR="00B467A3" w:rsidRPr="00C30DB5" w:rsidRDefault="00B467A3" w:rsidP="00EA3340">
      <w:pPr>
        <w:pStyle w:val="p1"/>
        <w:spacing w:line="276" w:lineRule="auto"/>
        <w:rPr>
          <w:sz w:val="22"/>
          <w:szCs w:val="22"/>
        </w:rPr>
      </w:pPr>
    </w:p>
    <w:p w14:paraId="6B6AD30A" w14:textId="2E68E29C" w:rsidR="00B467A3" w:rsidRPr="00C30DB5" w:rsidRDefault="00EA3340" w:rsidP="00EA3340">
      <w:pPr>
        <w:pStyle w:val="p1"/>
        <w:numPr>
          <w:ilvl w:val="0"/>
          <w:numId w:val="1"/>
        </w:numPr>
        <w:spacing w:line="276" w:lineRule="auto"/>
        <w:rPr>
          <w:sz w:val="22"/>
          <w:szCs w:val="22"/>
        </w:rPr>
      </w:pPr>
      <w:r w:rsidRPr="00EA3340">
        <w:rPr>
          <w:sz w:val="22"/>
          <w:szCs w:val="22"/>
        </w:rPr>
        <w:t xml:space="preserve">Attinsounon, C. A., Seydi, M., Cissoko, Y., Fortes-Déguénonvo, L., Diop, S. A., Manga, N. M., Dia, N. M., Ndour, C. T., Diouf, A., Sow, A. I., &amp; Seydi, M. (2012). Tétanos de l'enfant et de l'adulte au Sénégal: Itinéraire thérapeutique, aspects épidémiologiques, cliniques et évolutifs. Revue CAMES-Série A, 13(1), 34-37. </w:t>
      </w:r>
      <w:hyperlink r:id="rId11" w:history="1">
        <w:r w:rsidRPr="00C533ED">
          <w:rPr>
            <w:rStyle w:val="Hyperlink"/>
            <w:sz w:val="22"/>
            <w:szCs w:val="22"/>
          </w:rPr>
          <w:t>https://www.researchgate.net/publication/266490000_Tetanus_of_the_child_and_adult_in_Senegal_therapeutic_itinerary_epidemiological_aspects_clinical_features_and_outcome</w:t>
        </w:r>
      </w:hyperlink>
      <w:r>
        <w:rPr>
          <w:sz w:val="22"/>
          <w:szCs w:val="22"/>
        </w:rPr>
        <w:tab/>
      </w:r>
      <w:r w:rsidR="00B467A3" w:rsidRPr="00C30DB5">
        <w:rPr>
          <w:sz w:val="22"/>
          <w:szCs w:val="22"/>
        </w:rPr>
        <w:t>.</w:t>
      </w:r>
    </w:p>
    <w:p w14:paraId="7C2F1ED0" w14:textId="77777777" w:rsidR="00B467A3" w:rsidRPr="00C30DB5" w:rsidRDefault="00B467A3" w:rsidP="00EA3340">
      <w:pPr>
        <w:pStyle w:val="p1"/>
        <w:spacing w:line="276" w:lineRule="auto"/>
        <w:rPr>
          <w:sz w:val="22"/>
          <w:szCs w:val="22"/>
        </w:rPr>
      </w:pPr>
    </w:p>
    <w:p w14:paraId="36BE1F41" w14:textId="2AB32B8F" w:rsidR="00B467A3" w:rsidRPr="00C30DB5" w:rsidRDefault="00EA3340" w:rsidP="00EA3340">
      <w:pPr>
        <w:pStyle w:val="p1"/>
        <w:numPr>
          <w:ilvl w:val="0"/>
          <w:numId w:val="1"/>
        </w:numPr>
        <w:spacing w:line="276" w:lineRule="auto"/>
        <w:rPr>
          <w:sz w:val="22"/>
          <w:szCs w:val="22"/>
        </w:rPr>
      </w:pPr>
      <w:r w:rsidRPr="00EA3340">
        <w:rPr>
          <w:sz w:val="22"/>
          <w:szCs w:val="22"/>
        </w:rPr>
        <w:t xml:space="preserve">Diallo Mbaye, K., Fortes Déguénonvo, L., Amona, M., et al. (2014). Itinéraire thérapeutique des malades admis pour tétanos au service des maladies infectieuses du CHNU de Fann. Médecine et Maladies Infectieuses, 44(6), 38. </w:t>
      </w:r>
      <w:hyperlink r:id="rId12" w:history="1">
        <w:r w:rsidRPr="00C533ED">
          <w:rPr>
            <w:rStyle w:val="Hyperlink"/>
            <w:sz w:val="22"/>
            <w:szCs w:val="22"/>
          </w:rPr>
          <w:t>https://doi.org/10.1016/S0399-077X(14)70148-9</w:t>
        </w:r>
      </w:hyperlink>
      <w:r>
        <w:rPr>
          <w:sz w:val="22"/>
          <w:szCs w:val="22"/>
        </w:rPr>
        <w:tab/>
      </w:r>
      <w:r w:rsidR="00B467A3" w:rsidRPr="00C30DB5">
        <w:rPr>
          <w:sz w:val="22"/>
          <w:szCs w:val="22"/>
        </w:rPr>
        <w:t>.</w:t>
      </w:r>
    </w:p>
    <w:p w14:paraId="36C1C6AC" w14:textId="77777777" w:rsidR="00B467A3" w:rsidRPr="00C30DB5" w:rsidRDefault="00B467A3" w:rsidP="00EA3340">
      <w:pPr>
        <w:pStyle w:val="p1"/>
        <w:spacing w:line="276" w:lineRule="auto"/>
        <w:rPr>
          <w:sz w:val="22"/>
          <w:szCs w:val="22"/>
        </w:rPr>
      </w:pPr>
    </w:p>
    <w:p w14:paraId="42EF87F4" w14:textId="5E938437" w:rsidR="00B467A3" w:rsidRPr="00C30DB5" w:rsidRDefault="00EA3340" w:rsidP="00EA3340">
      <w:pPr>
        <w:pStyle w:val="p1"/>
        <w:numPr>
          <w:ilvl w:val="0"/>
          <w:numId w:val="1"/>
        </w:numPr>
        <w:spacing w:line="276" w:lineRule="auto"/>
        <w:rPr>
          <w:sz w:val="22"/>
          <w:szCs w:val="22"/>
        </w:rPr>
      </w:pPr>
      <w:r w:rsidRPr="00EA3340">
        <w:rPr>
          <w:sz w:val="22"/>
          <w:szCs w:val="22"/>
        </w:rPr>
        <w:t xml:space="preserve">Seydi, M., Soumaré, M., Sow, P. S., Diop, B. M., Ndour, C. T., Dia, N. M., Dia, D., &amp; Baddiane, S. (2000). Le tétanos : aspects épidémiologiques à la Clinique des Maladies Infectieuses du CHU de Fann à Dakar. Dakar Médical, 45(1), 5-7. </w:t>
      </w:r>
      <w:hyperlink r:id="rId13" w:history="1">
        <w:r w:rsidRPr="00C533ED">
          <w:rPr>
            <w:rStyle w:val="Hyperlink"/>
            <w:sz w:val="22"/>
            <w:szCs w:val="22"/>
          </w:rPr>
          <w:t>https://pubmed.ncbi.nlm.nih.gov/14666780/</w:t>
        </w:r>
      </w:hyperlink>
      <w:r>
        <w:rPr>
          <w:sz w:val="22"/>
          <w:szCs w:val="22"/>
        </w:rPr>
        <w:tab/>
      </w:r>
      <w:r w:rsidR="00B467A3" w:rsidRPr="00C30DB5">
        <w:rPr>
          <w:sz w:val="22"/>
          <w:szCs w:val="22"/>
        </w:rPr>
        <w:t>.</w:t>
      </w:r>
    </w:p>
    <w:p w14:paraId="7A3F82D0" w14:textId="77777777" w:rsidR="00B467A3" w:rsidRPr="00C30DB5" w:rsidRDefault="00B467A3" w:rsidP="00EA3340">
      <w:pPr>
        <w:pStyle w:val="p1"/>
        <w:spacing w:line="276" w:lineRule="auto"/>
        <w:rPr>
          <w:sz w:val="22"/>
          <w:szCs w:val="22"/>
        </w:rPr>
      </w:pPr>
    </w:p>
    <w:p w14:paraId="718A6A55" w14:textId="0D47AE5A" w:rsidR="00B467A3" w:rsidRPr="00C30DB5" w:rsidRDefault="00EA3340" w:rsidP="00EA3340">
      <w:pPr>
        <w:pStyle w:val="p1"/>
        <w:numPr>
          <w:ilvl w:val="0"/>
          <w:numId w:val="1"/>
        </w:numPr>
        <w:spacing w:line="276" w:lineRule="auto"/>
        <w:rPr>
          <w:sz w:val="22"/>
          <w:szCs w:val="22"/>
        </w:rPr>
      </w:pPr>
      <w:r w:rsidRPr="00EA3340">
        <w:rPr>
          <w:sz w:val="22"/>
          <w:szCs w:val="22"/>
        </w:rPr>
        <w:t>Komolafe, M. A., Komolafe, E. O., &amp; Ogundare, A. O. (2007). Pattern and outcome of adult tetanus in Ile-Ife, Nigeria. *Nigerian Journal of Clinical Practice*, *10*(4), 300-303. https://pubmed.ncbi.nlm.nih.gov/18293639/</w:t>
      </w:r>
      <w:r w:rsidR="00B467A3" w:rsidRPr="00C30DB5">
        <w:rPr>
          <w:sz w:val="22"/>
          <w:szCs w:val="22"/>
        </w:rPr>
        <w:t>.</w:t>
      </w:r>
    </w:p>
    <w:p w14:paraId="661E39FC" w14:textId="77777777" w:rsidR="00B467A3" w:rsidRPr="00C30DB5" w:rsidRDefault="00B467A3" w:rsidP="00EA3340">
      <w:pPr>
        <w:pStyle w:val="p1"/>
        <w:spacing w:line="276" w:lineRule="auto"/>
        <w:rPr>
          <w:sz w:val="22"/>
          <w:szCs w:val="22"/>
        </w:rPr>
      </w:pPr>
    </w:p>
    <w:p w14:paraId="30A3632C" w14:textId="1DD510BD" w:rsidR="00B467A3" w:rsidRPr="00C30DB5" w:rsidRDefault="00EA3340" w:rsidP="00EA3340">
      <w:pPr>
        <w:pStyle w:val="p1"/>
        <w:numPr>
          <w:ilvl w:val="0"/>
          <w:numId w:val="1"/>
        </w:numPr>
        <w:spacing w:line="276" w:lineRule="auto"/>
        <w:rPr>
          <w:sz w:val="22"/>
          <w:szCs w:val="22"/>
        </w:rPr>
      </w:pPr>
      <w:r w:rsidRPr="00EA3340">
        <w:rPr>
          <w:sz w:val="22"/>
          <w:szCs w:val="22"/>
        </w:rPr>
        <w:t xml:space="preserve">Tanon, A. K., Eholié, S. P., Coulibaly-Dacoury, C., Ehui, E., N'doumi, M., Kakou, A., Bissagnéné, E., &amp; Kadio, A. (2004). Morbidity and mortality of tetanus in the infectious and tropical diseases department of Abidjan (1985-1998). Bulletin de la Société de Pathologie Exotique, 97(4), 283-287. </w:t>
      </w:r>
      <w:hyperlink r:id="rId14" w:history="1">
        <w:r w:rsidRPr="00C533ED">
          <w:rPr>
            <w:rStyle w:val="Hyperlink"/>
            <w:sz w:val="22"/>
            <w:szCs w:val="22"/>
          </w:rPr>
          <w:t>https://pubmed.ncbi.nlm.nih.gov/17304753/</w:t>
        </w:r>
      </w:hyperlink>
      <w:r>
        <w:rPr>
          <w:sz w:val="22"/>
          <w:szCs w:val="22"/>
        </w:rPr>
        <w:tab/>
      </w:r>
      <w:r w:rsidR="00B467A3" w:rsidRPr="00C30DB5">
        <w:rPr>
          <w:sz w:val="22"/>
          <w:szCs w:val="22"/>
        </w:rPr>
        <w:t>.</w:t>
      </w:r>
    </w:p>
    <w:p w14:paraId="072054AC" w14:textId="77777777" w:rsidR="00B467A3" w:rsidRPr="00C30DB5" w:rsidRDefault="00B467A3" w:rsidP="00EA3340">
      <w:pPr>
        <w:pStyle w:val="p1"/>
        <w:spacing w:line="276" w:lineRule="auto"/>
        <w:rPr>
          <w:sz w:val="22"/>
          <w:szCs w:val="22"/>
        </w:rPr>
      </w:pPr>
    </w:p>
    <w:p w14:paraId="7E5CFB1C" w14:textId="514F15E7" w:rsidR="00B467A3" w:rsidRPr="00C30DB5" w:rsidRDefault="00EA3340" w:rsidP="00EA3340">
      <w:pPr>
        <w:pStyle w:val="p1"/>
        <w:numPr>
          <w:ilvl w:val="0"/>
          <w:numId w:val="1"/>
        </w:numPr>
        <w:spacing w:line="276" w:lineRule="auto"/>
        <w:rPr>
          <w:sz w:val="22"/>
          <w:szCs w:val="22"/>
        </w:rPr>
      </w:pPr>
      <w:r w:rsidRPr="00EA3340">
        <w:rPr>
          <w:sz w:val="22"/>
          <w:szCs w:val="22"/>
        </w:rPr>
        <w:t xml:space="preserve">Wateba, M. I., Diop, S. A., Nichols, S., Patassi, A., Adjo, S., Gbadamassi, G., &amp; Tidjani, O. (2008). Intrathecal therapy with 1 500 UI of antitetanic serum and 1.5 g of intravenous metronidazole: prognosis of tetanus in hospitalized patients in Togo. Sante, 18(3), 125-129. </w:t>
      </w:r>
      <w:hyperlink r:id="rId15" w:history="1">
        <w:r w:rsidRPr="00C533ED">
          <w:rPr>
            <w:rStyle w:val="Hyperlink"/>
            <w:sz w:val="22"/>
            <w:szCs w:val="22"/>
          </w:rPr>
          <w:t>https://doi.org/10.1684/san.2008.0115</w:t>
        </w:r>
      </w:hyperlink>
      <w:r>
        <w:rPr>
          <w:sz w:val="22"/>
          <w:szCs w:val="22"/>
        </w:rPr>
        <w:tab/>
      </w:r>
    </w:p>
    <w:p w14:paraId="501A5CF4" w14:textId="77777777" w:rsidR="00B467A3" w:rsidRPr="00C30DB5" w:rsidRDefault="00B467A3" w:rsidP="00EA3340">
      <w:pPr>
        <w:pStyle w:val="p1"/>
        <w:spacing w:line="276" w:lineRule="auto"/>
        <w:rPr>
          <w:sz w:val="22"/>
          <w:szCs w:val="22"/>
        </w:rPr>
      </w:pPr>
    </w:p>
    <w:p w14:paraId="1E6CD92E" w14:textId="267A34E0" w:rsidR="00B467A3" w:rsidRPr="00C30DB5" w:rsidRDefault="00B467A3" w:rsidP="00EA3340">
      <w:pPr>
        <w:pStyle w:val="p1"/>
        <w:numPr>
          <w:ilvl w:val="0"/>
          <w:numId w:val="1"/>
        </w:numPr>
        <w:spacing w:line="276" w:lineRule="auto"/>
        <w:rPr>
          <w:sz w:val="22"/>
          <w:szCs w:val="22"/>
        </w:rPr>
      </w:pPr>
      <w:r w:rsidRPr="00C30DB5">
        <w:rPr>
          <w:sz w:val="22"/>
          <w:szCs w:val="22"/>
        </w:rPr>
        <w:t>Gentilini M. Tetanus. In Tropical Medicine. 5th edition. Paris, Flammarion M/S. 1996; 369-372</w:t>
      </w:r>
    </w:p>
    <w:p w14:paraId="50D479B3" w14:textId="77777777" w:rsidR="00B467A3" w:rsidRPr="00C30DB5" w:rsidRDefault="00B467A3" w:rsidP="00EA3340">
      <w:pPr>
        <w:pStyle w:val="p1"/>
        <w:spacing w:line="276" w:lineRule="auto"/>
        <w:rPr>
          <w:sz w:val="22"/>
          <w:szCs w:val="22"/>
        </w:rPr>
      </w:pPr>
    </w:p>
    <w:p w14:paraId="024DA684" w14:textId="3B3662FE" w:rsidR="00B467A3" w:rsidRPr="00C30DB5" w:rsidRDefault="00EA3340" w:rsidP="00EA3340">
      <w:pPr>
        <w:pStyle w:val="p1"/>
        <w:numPr>
          <w:ilvl w:val="0"/>
          <w:numId w:val="1"/>
        </w:numPr>
        <w:spacing w:line="276" w:lineRule="auto"/>
        <w:rPr>
          <w:sz w:val="22"/>
          <w:szCs w:val="22"/>
        </w:rPr>
      </w:pPr>
      <w:r w:rsidRPr="00EA3340">
        <w:rPr>
          <w:sz w:val="22"/>
          <w:szCs w:val="22"/>
        </w:rPr>
        <w:t>Antona, D. (2004). Le tétanos en France en 2001-2003. Surveillance nationale des maladies infectieuses. Institut de Veille Sanitaire. https://www.santepubliquefrance.fr/maladies-et-traumatismes/maladies-a-prevention-vaccinale/tetanos/documents/bulletin-de-veille-sanitaire/le-tetanos-en-france-en-2001-2003.-surveillance-nationale-des-maladies-infectieuses,-2001-2003</w:t>
      </w:r>
    </w:p>
    <w:p w14:paraId="77F9CB4D" w14:textId="77777777" w:rsidR="00B467A3" w:rsidRPr="00C30DB5" w:rsidRDefault="00B467A3" w:rsidP="00EA3340">
      <w:pPr>
        <w:pStyle w:val="p1"/>
        <w:spacing w:line="276" w:lineRule="auto"/>
        <w:rPr>
          <w:sz w:val="22"/>
          <w:szCs w:val="22"/>
        </w:rPr>
      </w:pPr>
    </w:p>
    <w:p w14:paraId="44F92F67" w14:textId="4BAFFE3D" w:rsidR="00B467A3" w:rsidRPr="00C30DB5" w:rsidRDefault="00EA3340" w:rsidP="00EA3340">
      <w:pPr>
        <w:pStyle w:val="p1"/>
        <w:numPr>
          <w:ilvl w:val="0"/>
          <w:numId w:val="1"/>
        </w:numPr>
        <w:spacing w:line="276" w:lineRule="auto"/>
        <w:rPr>
          <w:sz w:val="22"/>
          <w:szCs w:val="22"/>
        </w:rPr>
      </w:pPr>
      <w:r w:rsidRPr="00EA3340">
        <w:rPr>
          <w:sz w:val="22"/>
          <w:szCs w:val="22"/>
        </w:rPr>
        <w:t>Vazquez, M., Rauch, A., Frey, K., &amp; Hirzel, C. (2017). Tetanus: forgotten, but not gone. Swiss Medical Forum, 17(12), 278-283. https://doi.org/10.4414/smf.2017.02923</w:t>
      </w:r>
    </w:p>
    <w:p w14:paraId="269C5883" w14:textId="77777777" w:rsidR="00B467A3" w:rsidRPr="00C30DB5" w:rsidRDefault="00B467A3" w:rsidP="00EA3340">
      <w:pPr>
        <w:pStyle w:val="p1"/>
        <w:spacing w:line="276" w:lineRule="auto"/>
        <w:rPr>
          <w:sz w:val="22"/>
          <w:szCs w:val="22"/>
        </w:rPr>
      </w:pPr>
    </w:p>
    <w:p w14:paraId="56FC681D" w14:textId="57649EA2" w:rsidR="00B467A3" w:rsidRPr="00C30DB5" w:rsidRDefault="00EA3340" w:rsidP="00EA3340">
      <w:pPr>
        <w:pStyle w:val="p1"/>
        <w:numPr>
          <w:ilvl w:val="0"/>
          <w:numId w:val="1"/>
        </w:numPr>
        <w:spacing w:line="276" w:lineRule="auto"/>
        <w:rPr>
          <w:sz w:val="22"/>
          <w:szCs w:val="22"/>
        </w:rPr>
      </w:pPr>
      <w:r w:rsidRPr="00EA3340">
        <w:rPr>
          <w:sz w:val="22"/>
          <w:szCs w:val="22"/>
        </w:rPr>
        <w:t xml:space="preserve">Fortes Déguénonvo, L., Leye, M. M. M., Dia, N. M., Ndiaye, R., Lakhe, N. A., Ka, D., Cisse, V. M. P., Diallo Mbaye, K., Diop, S. A., &amp; Seydi, M. (2015). Complication of Tetanus: Report of 402 Cases at the Fann University Hospital Center of Dakar in Senegal. Journal of Tropical Diseases &amp; Public Health, 4(1), 182 </w:t>
      </w:r>
      <w:hyperlink r:id="rId16" w:history="1">
        <w:r w:rsidRPr="00C533ED">
          <w:rPr>
            <w:rStyle w:val="Hyperlink"/>
            <w:sz w:val="22"/>
            <w:szCs w:val="22"/>
          </w:rPr>
          <w:t>https://doi.org/10.4172/2329-891X.1000182</w:t>
        </w:r>
      </w:hyperlink>
      <w:r>
        <w:rPr>
          <w:sz w:val="22"/>
          <w:szCs w:val="22"/>
        </w:rPr>
        <w:tab/>
      </w:r>
    </w:p>
    <w:p w14:paraId="2C33082A" w14:textId="77777777" w:rsidR="00B467A3" w:rsidRPr="00C30DB5" w:rsidRDefault="00B467A3" w:rsidP="00EA3340">
      <w:pPr>
        <w:pStyle w:val="p1"/>
        <w:spacing w:line="276" w:lineRule="auto"/>
        <w:rPr>
          <w:sz w:val="22"/>
          <w:szCs w:val="22"/>
        </w:rPr>
      </w:pPr>
    </w:p>
    <w:p w14:paraId="3CCCEEC0" w14:textId="5705272E" w:rsidR="00B467A3" w:rsidRPr="00C30DB5" w:rsidRDefault="00EA3340" w:rsidP="00EA3340">
      <w:pPr>
        <w:pStyle w:val="p1"/>
        <w:numPr>
          <w:ilvl w:val="0"/>
          <w:numId w:val="1"/>
        </w:numPr>
        <w:spacing w:line="276" w:lineRule="auto"/>
        <w:rPr>
          <w:sz w:val="22"/>
          <w:szCs w:val="22"/>
        </w:rPr>
      </w:pPr>
      <w:r w:rsidRPr="00EA3340">
        <w:rPr>
          <w:sz w:val="22"/>
          <w:szCs w:val="22"/>
        </w:rPr>
        <w:t xml:space="preserve">Seydi, M., Soumare, M., Sow, P. S., Diop, B. M., Ndour, C. T., Dia, N. M., Dia, D., &amp; Baddiane, S. (2000). Tetanus: epidemiological aspects at the Infectious Disease Clinics at the </w:t>
      </w:r>
      <w:r w:rsidRPr="00EA3340">
        <w:rPr>
          <w:sz w:val="22"/>
          <w:szCs w:val="22"/>
        </w:rPr>
        <w:lastRenderedPageBreak/>
        <w:t xml:space="preserve">Fann University Hospital Center in Dakar. Dakar Med., 45(1), 5-7. </w:t>
      </w:r>
      <w:hyperlink r:id="rId17" w:history="1">
        <w:r w:rsidRPr="00C533ED">
          <w:rPr>
            <w:rStyle w:val="Hyperlink"/>
            <w:sz w:val="22"/>
            <w:szCs w:val="22"/>
          </w:rPr>
          <w:t>https://pubmed.ncbi.nlm.nih.gov/14666780/</w:t>
        </w:r>
      </w:hyperlink>
      <w:r>
        <w:rPr>
          <w:sz w:val="22"/>
          <w:szCs w:val="22"/>
        </w:rPr>
        <w:tab/>
      </w:r>
    </w:p>
    <w:p w14:paraId="1CF01E22" w14:textId="77777777" w:rsidR="00B467A3" w:rsidRPr="00C30DB5" w:rsidRDefault="00B467A3" w:rsidP="00EA3340">
      <w:pPr>
        <w:pStyle w:val="p1"/>
        <w:spacing w:line="276" w:lineRule="auto"/>
        <w:rPr>
          <w:sz w:val="22"/>
          <w:szCs w:val="22"/>
        </w:rPr>
      </w:pPr>
    </w:p>
    <w:p w14:paraId="42C0C4C9" w14:textId="0F9EEE8A" w:rsidR="00B467A3" w:rsidRPr="00C30DB5" w:rsidRDefault="00EA3340" w:rsidP="00EA3340">
      <w:pPr>
        <w:pStyle w:val="p1"/>
        <w:numPr>
          <w:ilvl w:val="0"/>
          <w:numId w:val="1"/>
        </w:numPr>
        <w:spacing w:line="276" w:lineRule="auto"/>
        <w:rPr>
          <w:sz w:val="22"/>
          <w:szCs w:val="22"/>
        </w:rPr>
      </w:pPr>
      <w:r w:rsidRPr="00EA3340">
        <w:rPr>
          <w:sz w:val="22"/>
          <w:szCs w:val="22"/>
        </w:rPr>
        <w:t xml:space="preserve">Traoré, F. A., Youla, A. S., Sako, F. B., Sow, M. S., Keita, M., Kpamy, D. O., &amp; Traoré, M. (2013). The hospital-borne tetanus in the reference service of the Donka National Hospital in Conakry (2001-2011). *Bull. Soc. Pathol. Exot.*, *106*(2), 104–107. </w:t>
      </w:r>
      <w:hyperlink r:id="rId18" w:history="1">
        <w:r w:rsidRPr="00C533ED">
          <w:rPr>
            <w:rStyle w:val="Hyperlink"/>
            <w:sz w:val="22"/>
            <w:szCs w:val="22"/>
          </w:rPr>
          <w:t>https://doi.org/10.1007/s13149-013-0279-8</w:t>
        </w:r>
      </w:hyperlink>
      <w:r>
        <w:rPr>
          <w:sz w:val="22"/>
          <w:szCs w:val="22"/>
        </w:rPr>
        <w:tab/>
      </w:r>
    </w:p>
    <w:p w14:paraId="784A22F7" w14:textId="77777777" w:rsidR="00B467A3" w:rsidRPr="00C30DB5" w:rsidRDefault="00B467A3" w:rsidP="00EA3340">
      <w:pPr>
        <w:pStyle w:val="p1"/>
        <w:spacing w:line="276" w:lineRule="auto"/>
        <w:rPr>
          <w:sz w:val="22"/>
          <w:szCs w:val="22"/>
        </w:rPr>
      </w:pPr>
    </w:p>
    <w:p w14:paraId="4F2C56AA" w14:textId="37F080E3" w:rsidR="00B467A3" w:rsidRPr="00C30DB5" w:rsidRDefault="00B467A3" w:rsidP="00EA3340">
      <w:pPr>
        <w:pStyle w:val="p1"/>
        <w:numPr>
          <w:ilvl w:val="0"/>
          <w:numId w:val="1"/>
        </w:numPr>
        <w:spacing w:line="276" w:lineRule="auto"/>
        <w:rPr>
          <w:sz w:val="22"/>
          <w:szCs w:val="22"/>
        </w:rPr>
      </w:pPr>
      <w:r w:rsidRPr="00C30DB5">
        <w:rPr>
          <w:sz w:val="22"/>
          <w:szCs w:val="22"/>
        </w:rPr>
        <w:t>Ribereau-Gayon R. Tetanus treatment in rural East Africa (DR Congo-Zaire): Evaluation of a therapeutic protocol based on 21 cases. Med. Afr. Noire. 2000, 47(3): 131-138</w:t>
      </w:r>
    </w:p>
    <w:p w14:paraId="73059830" w14:textId="77777777" w:rsidR="00B467A3" w:rsidRPr="00C30DB5" w:rsidRDefault="00B467A3" w:rsidP="00EA3340">
      <w:pPr>
        <w:pStyle w:val="p1"/>
        <w:spacing w:line="276" w:lineRule="auto"/>
        <w:rPr>
          <w:sz w:val="22"/>
          <w:szCs w:val="22"/>
        </w:rPr>
      </w:pPr>
    </w:p>
    <w:p w14:paraId="38AC60E0" w14:textId="419C016C" w:rsidR="00B467A3" w:rsidRPr="00C30DB5" w:rsidRDefault="005A4AB5" w:rsidP="00EA3340">
      <w:pPr>
        <w:pStyle w:val="p1"/>
        <w:numPr>
          <w:ilvl w:val="0"/>
          <w:numId w:val="1"/>
        </w:numPr>
        <w:spacing w:line="276" w:lineRule="auto"/>
        <w:rPr>
          <w:sz w:val="22"/>
          <w:szCs w:val="22"/>
        </w:rPr>
      </w:pPr>
      <w:r w:rsidRPr="005A4AB5">
        <w:rPr>
          <w:sz w:val="22"/>
          <w:szCs w:val="22"/>
        </w:rPr>
        <w:t xml:space="preserve">Lakhe, N., Thioub, D., Badiane, A., Fall, N. M., Dieye, A., Massaly, A., Ndiandam Diop, M., Diallo, K., Cissé, V. M. P., Ka, D., Fortes, L., Ndour, C. T., &amp; Seydi, M. (2011). Étude des facteurs associés au décès chez les patients hospitalisés pour tétanos dans un service de maladies infectieuses et tropicales. Bulletin de la Société de Pathologie Exotique, 104(5), 360-365. </w:t>
      </w:r>
      <w:hyperlink r:id="rId19" w:history="1">
        <w:r w:rsidRPr="00C533ED">
          <w:rPr>
            <w:rStyle w:val="Hyperlink"/>
            <w:sz w:val="22"/>
            <w:szCs w:val="22"/>
          </w:rPr>
          <w:t>https://doi.org/10.1007/s13149-011-0166-0</w:t>
        </w:r>
      </w:hyperlink>
      <w:r>
        <w:rPr>
          <w:sz w:val="22"/>
          <w:szCs w:val="22"/>
        </w:rPr>
        <w:tab/>
      </w:r>
    </w:p>
    <w:p w14:paraId="480D3988" w14:textId="77777777" w:rsidR="00B467A3" w:rsidRPr="00C30DB5" w:rsidRDefault="00B467A3" w:rsidP="00EA3340">
      <w:pPr>
        <w:pStyle w:val="p1"/>
        <w:spacing w:line="276" w:lineRule="auto"/>
        <w:rPr>
          <w:sz w:val="22"/>
          <w:szCs w:val="22"/>
        </w:rPr>
      </w:pPr>
    </w:p>
    <w:p w14:paraId="3E64ED2C" w14:textId="694DF4AE" w:rsidR="00B467A3" w:rsidRPr="00C30DB5" w:rsidRDefault="00B467A3" w:rsidP="00EA3340">
      <w:pPr>
        <w:pStyle w:val="p1"/>
        <w:numPr>
          <w:ilvl w:val="0"/>
          <w:numId w:val="1"/>
        </w:numPr>
        <w:spacing w:line="276" w:lineRule="auto"/>
        <w:rPr>
          <w:sz w:val="22"/>
          <w:szCs w:val="22"/>
        </w:rPr>
      </w:pPr>
      <w:r w:rsidRPr="00C30DB5">
        <w:rPr>
          <w:sz w:val="22"/>
          <w:szCs w:val="22"/>
        </w:rPr>
        <w:t>Barro K, Badiane A, Diallo VC, et al. Epidemiological, clinical, and prognostic aspects of tetanus in an infectious and tropical diseases ward. Médecine Mal Infect Form. May 1, 2023;2(2, Supplement):S22</w:t>
      </w:r>
    </w:p>
    <w:p w14:paraId="40EB97DC" w14:textId="77777777" w:rsidR="00B467A3" w:rsidRPr="00C30DB5" w:rsidRDefault="00B467A3" w:rsidP="00EA3340">
      <w:pPr>
        <w:pStyle w:val="p1"/>
        <w:spacing w:line="276" w:lineRule="auto"/>
        <w:rPr>
          <w:sz w:val="22"/>
          <w:szCs w:val="22"/>
        </w:rPr>
      </w:pPr>
    </w:p>
    <w:p w14:paraId="292DBBD3" w14:textId="30F7E66F" w:rsidR="00B467A3" w:rsidRPr="00C30DB5" w:rsidRDefault="005A4AB5" w:rsidP="00EA3340">
      <w:pPr>
        <w:pStyle w:val="p1"/>
        <w:numPr>
          <w:ilvl w:val="0"/>
          <w:numId w:val="1"/>
        </w:numPr>
        <w:spacing w:line="276" w:lineRule="auto"/>
        <w:rPr>
          <w:sz w:val="22"/>
          <w:szCs w:val="22"/>
        </w:rPr>
      </w:pPr>
      <w:r w:rsidRPr="005A4AB5">
        <w:rPr>
          <w:sz w:val="22"/>
          <w:szCs w:val="22"/>
        </w:rPr>
        <w:t xml:space="preserve">Bawe, L. D., Kotosso, A., Patassi, A. A., Abaltou, B., Naora, O. P., Moukaïla, A.-R., Doulé, O., &amp; Watéba, M. I. (2023). Tetanus, an infectious disease still topical in Lome (Togo). Médecine Tropicale et Santé Internationale, 3(3), mtsi.v3i3.2023.273. </w:t>
      </w:r>
      <w:hyperlink r:id="rId20" w:history="1">
        <w:r w:rsidRPr="00C533ED">
          <w:rPr>
            <w:rStyle w:val="Hyperlink"/>
            <w:sz w:val="22"/>
            <w:szCs w:val="22"/>
          </w:rPr>
          <w:t>https://doi.org/10.48327/mtsi.v3i3.2023.273</w:t>
        </w:r>
      </w:hyperlink>
      <w:r>
        <w:rPr>
          <w:sz w:val="22"/>
          <w:szCs w:val="22"/>
        </w:rPr>
        <w:tab/>
      </w:r>
    </w:p>
    <w:p w14:paraId="5A8B4C84" w14:textId="77777777" w:rsidR="00B467A3" w:rsidRPr="00C30DB5" w:rsidRDefault="00B467A3" w:rsidP="00EA3340">
      <w:pPr>
        <w:pStyle w:val="p1"/>
        <w:spacing w:line="276" w:lineRule="auto"/>
        <w:rPr>
          <w:sz w:val="22"/>
          <w:szCs w:val="22"/>
        </w:rPr>
      </w:pPr>
    </w:p>
    <w:p w14:paraId="2D034D01" w14:textId="316ED906" w:rsidR="00B467A3" w:rsidRPr="00C30DB5" w:rsidRDefault="005A4AB5" w:rsidP="00EA3340">
      <w:pPr>
        <w:pStyle w:val="p1"/>
        <w:numPr>
          <w:ilvl w:val="0"/>
          <w:numId w:val="1"/>
        </w:numPr>
        <w:spacing w:line="276" w:lineRule="auto"/>
        <w:rPr>
          <w:sz w:val="22"/>
          <w:szCs w:val="22"/>
        </w:rPr>
      </w:pPr>
      <w:r w:rsidRPr="005A4AB5">
        <w:rPr>
          <w:sz w:val="22"/>
          <w:szCs w:val="22"/>
        </w:rPr>
        <w:t xml:space="preserve">Diallo, Z., Mourtada Wadartou Dine, Diawara, S., Akpovo Mawusse C B, Yao Konan Z, Mossou M C, Doumbia, A., Kouakou Affoué G, Kassi N'Douba A, Tanon Koffi A, &amp; Eholié, S. P. (2024). Complications infectieuses au cours du Tétanos au service des Maladies Infectieuses et Tropicales à Abidjan, Côte d'Ivoire. *Rev Mali Infect Microbiol*, *19*(1), 13-19. </w:t>
      </w:r>
      <w:hyperlink r:id="rId21" w:history="1">
        <w:r w:rsidRPr="00C533ED">
          <w:rPr>
            <w:rStyle w:val="Hyperlink"/>
            <w:sz w:val="22"/>
            <w:szCs w:val="22"/>
          </w:rPr>
          <w:t>https://doi.org/10.53597/remim.v19i1.2787</w:t>
        </w:r>
      </w:hyperlink>
      <w:r>
        <w:rPr>
          <w:sz w:val="22"/>
          <w:szCs w:val="22"/>
        </w:rPr>
        <w:tab/>
      </w:r>
    </w:p>
    <w:p w14:paraId="72ADEC29" w14:textId="77777777" w:rsidR="00B467A3" w:rsidRPr="00C30DB5" w:rsidRDefault="00B467A3" w:rsidP="00EA3340">
      <w:pPr>
        <w:pStyle w:val="p1"/>
        <w:spacing w:line="276" w:lineRule="auto"/>
        <w:rPr>
          <w:sz w:val="22"/>
          <w:szCs w:val="22"/>
        </w:rPr>
      </w:pPr>
    </w:p>
    <w:p w14:paraId="1549E811" w14:textId="5AEEF417" w:rsidR="00B467A3" w:rsidRPr="00C30DB5" w:rsidRDefault="005A4AB5" w:rsidP="00EA3340">
      <w:pPr>
        <w:pStyle w:val="p1"/>
        <w:numPr>
          <w:ilvl w:val="0"/>
          <w:numId w:val="1"/>
        </w:numPr>
        <w:spacing w:line="276" w:lineRule="auto"/>
        <w:rPr>
          <w:sz w:val="22"/>
          <w:szCs w:val="22"/>
        </w:rPr>
      </w:pPr>
      <w:r w:rsidRPr="005A4AB5">
        <w:rPr>
          <w:sz w:val="22"/>
          <w:szCs w:val="22"/>
        </w:rPr>
        <w:t>Chukwubike, O. A., &amp; God'spower, A. E. (2009). A 10-year review of outcome of management of tetanus in adults at a Nigerian tertiary hospital. Annals of African Medicine, 8(3), 168-172. https://doi.org/10.4103/1596-3519.57239</w:t>
      </w:r>
    </w:p>
    <w:p w14:paraId="4F58A1BA" w14:textId="77777777" w:rsidR="00B467A3" w:rsidRPr="00C30DB5" w:rsidRDefault="00B467A3" w:rsidP="00EA3340">
      <w:pPr>
        <w:pStyle w:val="p1"/>
        <w:spacing w:line="276" w:lineRule="auto"/>
        <w:rPr>
          <w:sz w:val="22"/>
          <w:szCs w:val="22"/>
        </w:rPr>
      </w:pPr>
    </w:p>
    <w:p w14:paraId="16413656" w14:textId="0161AE21" w:rsidR="00B467A3" w:rsidRDefault="00B467A3" w:rsidP="00EA3340">
      <w:pPr>
        <w:pStyle w:val="p1"/>
        <w:numPr>
          <w:ilvl w:val="0"/>
          <w:numId w:val="1"/>
        </w:numPr>
        <w:spacing w:line="276" w:lineRule="auto"/>
        <w:rPr>
          <w:sz w:val="22"/>
          <w:szCs w:val="22"/>
        </w:rPr>
      </w:pPr>
      <w:r w:rsidRPr="00C30DB5">
        <w:rPr>
          <w:sz w:val="22"/>
          <w:szCs w:val="22"/>
        </w:rPr>
        <w:t>Manga NM, Faye A, Ndour CT, Dieng AB, Diop SA, Fortes L, et al. Current prognostic factors for tetanus at the Infectious Diseases Clinic of the Fann University Hospital Center, Dakar. Rev. CAMES-A 2009; 9:24-31.</w:t>
      </w:r>
    </w:p>
    <w:p w14:paraId="5ECE4BF2" w14:textId="77777777" w:rsidR="00B467A3" w:rsidRPr="00A81970" w:rsidRDefault="00B467A3" w:rsidP="00EA3340">
      <w:pPr>
        <w:pStyle w:val="p1"/>
        <w:spacing w:line="276" w:lineRule="auto"/>
        <w:rPr>
          <w:sz w:val="22"/>
          <w:szCs w:val="22"/>
        </w:rPr>
      </w:pPr>
    </w:p>
    <w:p w14:paraId="2B44606D" w14:textId="48159230" w:rsidR="00B467A3" w:rsidRPr="00C30DB5" w:rsidRDefault="005A4AB5" w:rsidP="00EA3340">
      <w:pPr>
        <w:pStyle w:val="p1"/>
        <w:numPr>
          <w:ilvl w:val="0"/>
          <w:numId w:val="1"/>
        </w:numPr>
        <w:spacing w:line="276" w:lineRule="auto"/>
        <w:rPr>
          <w:sz w:val="22"/>
          <w:szCs w:val="22"/>
        </w:rPr>
      </w:pPr>
      <w:r w:rsidRPr="005A4AB5">
        <w:rPr>
          <w:sz w:val="22"/>
          <w:szCs w:val="22"/>
        </w:rPr>
        <w:t>Soumaré, M., Seydi, M., Ndour, C. T., Diack, K. C., Diop, B. M., &amp; Kane, A. (2005). Cardiovascular events in the course of tetanus: a prospective study on 30 cases in the infectious diseases clinic, in the Fann teaching hospital, Dakar. Médecine et Maladies Infectieuses, 35(9), 450-454. https://doi.org/10.1016/j.medmal.2005.09.005</w:t>
      </w:r>
      <w:r w:rsidR="00B467A3" w:rsidRPr="00C30DB5">
        <w:rPr>
          <w:sz w:val="22"/>
          <w:szCs w:val="22"/>
        </w:rPr>
        <w:t>.</w:t>
      </w:r>
    </w:p>
    <w:p w14:paraId="79340372" w14:textId="77777777" w:rsidR="00B467A3" w:rsidRPr="00C30DB5" w:rsidRDefault="00B467A3" w:rsidP="00EA3340">
      <w:pPr>
        <w:pStyle w:val="p1"/>
        <w:spacing w:line="276" w:lineRule="auto"/>
        <w:ind w:left="720"/>
        <w:rPr>
          <w:sz w:val="22"/>
          <w:szCs w:val="22"/>
        </w:rPr>
      </w:pPr>
    </w:p>
    <w:p w14:paraId="5B75220D" w14:textId="428C21FF" w:rsidR="00B467A3" w:rsidRPr="00C30DB5" w:rsidRDefault="005A4AB5" w:rsidP="00EA3340">
      <w:pPr>
        <w:pStyle w:val="p1"/>
        <w:numPr>
          <w:ilvl w:val="0"/>
          <w:numId w:val="1"/>
        </w:numPr>
        <w:spacing w:line="276" w:lineRule="auto"/>
        <w:rPr>
          <w:sz w:val="22"/>
          <w:szCs w:val="22"/>
        </w:rPr>
      </w:pPr>
      <w:r w:rsidRPr="005A4AB5">
        <w:rPr>
          <w:sz w:val="22"/>
          <w:szCs w:val="22"/>
        </w:rPr>
        <w:t xml:space="preserve">Attinsounon, C. A., Fortes Déguénonvo, L., Cissoko, Y., Diop, S. A., Manga, N. M., Dia, N. M., Ndour, C. T., Soumaré, M., Seydi, M., Diop, B. M., &amp; Sow, P. S. (2014). Direct cost of hospital care and indicators of poor outcome of tetanus in Dakar (Senegal). Médecine </w:t>
      </w:r>
      <w:r w:rsidRPr="005A4AB5">
        <w:rPr>
          <w:sz w:val="22"/>
          <w:szCs w:val="22"/>
        </w:rPr>
        <w:lastRenderedPageBreak/>
        <w:t>d’Afrique Noire, 61(8/9), 411-416. https://www.santetropicale.com/sites_pays/resume_oa.asp?id_article=2622&amp;revue=man&amp;rep=senegal</w:t>
      </w:r>
    </w:p>
    <w:p w14:paraId="37A82D75" w14:textId="77777777" w:rsidR="00B467A3" w:rsidRPr="00C30DB5" w:rsidRDefault="00B467A3" w:rsidP="00EA3340">
      <w:pPr>
        <w:pStyle w:val="p1"/>
        <w:spacing w:line="276" w:lineRule="auto"/>
        <w:ind w:left="720"/>
        <w:rPr>
          <w:sz w:val="22"/>
          <w:szCs w:val="22"/>
        </w:rPr>
      </w:pPr>
    </w:p>
    <w:p w14:paraId="49E4A816" w14:textId="04FA51A4" w:rsidR="00B467A3" w:rsidRPr="00C30DB5" w:rsidRDefault="005A4AB5" w:rsidP="00EA3340">
      <w:pPr>
        <w:pStyle w:val="p1"/>
        <w:numPr>
          <w:ilvl w:val="0"/>
          <w:numId w:val="1"/>
        </w:numPr>
        <w:spacing w:line="276" w:lineRule="auto"/>
        <w:rPr>
          <w:sz w:val="22"/>
          <w:szCs w:val="22"/>
        </w:rPr>
      </w:pPr>
      <w:r w:rsidRPr="005A4AB5">
        <w:rPr>
          <w:sz w:val="22"/>
          <w:szCs w:val="22"/>
        </w:rPr>
        <w:t>Dao, S., Oumar, A. A., Maiga, I., Diarra, M., &amp; Bougoudogo, F. (2009). Tetanus in a hospital setting in Bamako, Mali. Médecine Tropicale, 69(5), 485-487. https://pubmed.ncbi.nlm.nih.gov/20025180/</w:t>
      </w:r>
    </w:p>
    <w:p w14:paraId="641131E0" w14:textId="77777777" w:rsidR="00B467A3" w:rsidRPr="00C30DB5" w:rsidRDefault="00B467A3" w:rsidP="00EA3340">
      <w:pPr>
        <w:pStyle w:val="p1"/>
        <w:spacing w:line="276" w:lineRule="auto"/>
        <w:ind w:left="720"/>
        <w:rPr>
          <w:sz w:val="22"/>
          <w:szCs w:val="22"/>
        </w:rPr>
      </w:pPr>
    </w:p>
    <w:p w14:paraId="02B34F12" w14:textId="7D36BA87" w:rsidR="00B467A3" w:rsidRPr="00C30DB5" w:rsidRDefault="005A4AB5" w:rsidP="00EA3340">
      <w:pPr>
        <w:pStyle w:val="p1"/>
        <w:numPr>
          <w:ilvl w:val="0"/>
          <w:numId w:val="1"/>
        </w:numPr>
        <w:spacing w:line="276" w:lineRule="auto"/>
        <w:rPr>
          <w:sz w:val="22"/>
          <w:szCs w:val="22"/>
        </w:rPr>
      </w:pPr>
      <w:r w:rsidRPr="005A4AB5">
        <w:rPr>
          <w:sz w:val="22"/>
          <w:szCs w:val="22"/>
        </w:rPr>
        <w:t>Anuradha, S. (2006). Tetanus in adults—a continuing problem: an analysis of 217 patients over 3 years from Delhi, India, with special emphasis on predictors of mortality. Med J Malaysia, 61(1), 7-14. https://www.e-mjm.org/2006/v61n1/Tetanus_in_Adults.pdf</w:t>
      </w:r>
    </w:p>
    <w:p w14:paraId="33ED2035" w14:textId="77777777" w:rsidR="00B467A3" w:rsidRPr="00C30DB5" w:rsidRDefault="00B467A3" w:rsidP="00EA3340">
      <w:pPr>
        <w:pStyle w:val="p1"/>
        <w:spacing w:line="276" w:lineRule="auto"/>
        <w:ind w:left="720"/>
        <w:rPr>
          <w:sz w:val="22"/>
          <w:szCs w:val="22"/>
        </w:rPr>
      </w:pPr>
    </w:p>
    <w:p w14:paraId="2AF973B7" w14:textId="74D7A62D" w:rsidR="00B467A3" w:rsidRPr="00C30DB5" w:rsidRDefault="005A4AB5" w:rsidP="00EA3340">
      <w:pPr>
        <w:pStyle w:val="p1"/>
        <w:numPr>
          <w:ilvl w:val="0"/>
          <w:numId w:val="1"/>
        </w:numPr>
        <w:spacing w:line="276" w:lineRule="auto"/>
        <w:rPr>
          <w:sz w:val="22"/>
          <w:szCs w:val="22"/>
        </w:rPr>
      </w:pPr>
      <w:r w:rsidRPr="005A4AB5">
        <w:rPr>
          <w:sz w:val="22"/>
          <w:szCs w:val="22"/>
        </w:rPr>
        <w:t xml:space="preserve">Komolafe, M. A., Komolafe, E. O., &amp; Ogundare, A. O. (2007). Pattern and outcome of adult tetanus in Ile-Ife, Nigeria. Nigerian Journal of Clinical Practice, 10(4), 300-303. </w:t>
      </w:r>
      <w:hyperlink r:id="rId22" w:history="1">
        <w:r w:rsidRPr="00C533ED">
          <w:rPr>
            <w:rStyle w:val="Hyperlink"/>
            <w:sz w:val="22"/>
            <w:szCs w:val="22"/>
          </w:rPr>
          <w:t>https://doi.org/10.4314/NJCP.V10I4.11348</w:t>
        </w:r>
      </w:hyperlink>
      <w:r>
        <w:rPr>
          <w:sz w:val="22"/>
          <w:szCs w:val="22"/>
        </w:rPr>
        <w:tab/>
      </w:r>
    </w:p>
    <w:p w14:paraId="3ED8F186" w14:textId="77777777" w:rsidR="00B467A3" w:rsidRPr="00C30DB5" w:rsidRDefault="00B467A3" w:rsidP="00EA3340">
      <w:pPr>
        <w:pStyle w:val="p1"/>
        <w:spacing w:line="276" w:lineRule="auto"/>
        <w:ind w:left="720"/>
        <w:rPr>
          <w:sz w:val="22"/>
          <w:szCs w:val="22"/>
        </w:rPr>
      </w:pPr>
    </w:p>
    <w:p w14:paraId="23B66471" w14:textId="781EAF61" w:rsidR="00B467A3" w:rsidRPr="00C30DB5" w:rsidRDefault="005A4AB5" w:rsidP="00EA3340">
      <w:pPr>
        <w:pStyle w:val="p1"/>
        <w:numPr>
          <w:ilvl w:val="0"/>
          <w:numId w:val="1"/>
        </w:numPr>
        <w:spacing w:line="276" w:lineRule="auto"/>
        <w:rPr>
          <w:sz w:val="22"/>
          <w:szCs w:val="22"/>
        </w:rPr>
      </w:pPr>
      <w:r w:rsidRPr="005A4AB5">
        <w:rPr>
          <w:sz w:val="22"/>
          <w:szCs w:val="22"/>
        </w:rPr>
        <w:t xml:space="preserve">Ogunrin, O. A. (2009). Tetanus – A Review Of Current Concepts In Management. Benin Journal of Postgraduate Medicine, 11(1), 46-61. </w:t>
      </w:r>
      <w:hyperlink r:id="rId23" w:history="1">
        <w:r w:rsidRPr="00C533ED">
          <w:rPr>
            <w:rStyle w:val="Hyperlink"/>
            <w:sz w:val="22"/>
            <w:szCs w:val="22"/>
          </w:rPr>
          <w:t>https://doi.org/10.4314/bjpm.v11i1.48828</w:t>
        </w:r>
      </w:hyperlink>
      <w:r>
        <w:rPr>
          <w:sz w:val="22"/>
          <w:szCs w:val="22"/>
        </w:rPr>
        <w:tab/>
      </w:r>
    </w:p>
    <w:p w14:paraId="273816D3" w14:textId="77777777" w:rsidR="00B467A3" w:rsidRPr="00C30DB5" w:rsidRDefault="00B467A3" w:rsidP="00EA3340">
      <w:pPr>
        <w:pStyle w:val="p1"/>
        <w:spacing w:line="276" w:lineRule="auto"/>
        <w:ind w:left="720"/>
        <w:rPr>
          <w:sz w:val="22"/>
          <w:szCs w:val="22"/>
        </w:rPr>
      </w:pPr>
    </w:p>
    <w:p w14:paraId="2DD052FA" w14:textId="2F2E6E4C" w:rsidR="00B467A3" w:rsidRPr="00C30DB5" w:rsidRDefault="005A4AB5" w:rsidP="00EA3340">
      <w:pPr>
        <w:pStyle w:val="p1"/>
        <w:numPr>
          <w:ilvl w:val="0"/>
          <w:numId w:val="1"/>
        </w:numPr>
        <w:spacing w:line="276" w:lineRule="auto"/>
        <w:rPr>
          <w:sz w:val="22"/>
          <w:szCs w:val="22"/>
        </w:rPr>
      </w:pPr>
      <w:r w:rsidRPr="005A4AB5">
        <w:rPr>
          <w:sz w:val="22"/>
          <w:szCs w:val="22"/>
        </w:rPr>
        <w:t xml:space="preserve">Saltoglu, N., Tasova, Y., Midikli, D., Burgut, R., &amp; Dündar, I. H. (2004). Prognostic factors affecting deaths from adult tetanus. Clinical Microbiology and Infection, 10(3), 229-233. </w:t>
      </w:r>
      <w:hyperlink r:id="rId24" w:history="1">
        <w:r w:rsidRPr="00C533ED">
          <w:rPr>
            <w:rStyle w:val="Hyperlink"/>
            <w:sz w:val="22"/>
            <w:szCs w:val="22"/>
          </w:rPr>
          <w:t>https://doi.org/10.1111/j.1198-743x.2004.00767.x</w:t>
        </w:r>
      </w:hyperlink>
      <w:r>
        <w:rPr>
          <w:b/>
          <w:bCs/>
          <w:sz w:val="22"/>
          <w:szCs w:val="22"/>
        </w:rPr>
        <w:tab/>
      </w:r>
    </w:p>
    <w:p w14:paraId="2C0C0EBF" w14:textId="77777777" w:rsidR="00B467A3" w:rsidRPr="00C30DB5" w:rsidRDefault="00B467A3" w:rsidP="00EA3340">
      <w:pPr>
        <w:pStyle w:val="p1"/>
        <w:spacing w:line="276" w:lineRule="auto"/>
        <w:ind w:left="720"/>
        <w:rPr>
          <w:sz w:val="22"/>
          <w:szCs w:val="22"/>
        </w:rPr>
      </w:pPr>
    </w:p>
    <w:p w14:paraId="659E8BA1" w14:textId="47940D1F" w:rsidR="00B467A3" w:rsidRPr="00C30DB5" w:rsidRDefault="005A4AB5" w:rsidP="00EA3340">
      <w:pPr>
        <w:pStyle w:val="p1"/>
        <w:numPr>
          <w:ilvl w:val="0"/>
          <w:numId w:val="1"/>
        </w:numPr>
        <w:spacing w:line="276" w:lineRule="auto"/>
        <w:rPr>
          <w:sz w:val="22"/>
          <w:szCs w:val="22"/>
        </w:rPr>
      </w:pPr>
      <w:r w:rsidRPr="005A4AB5">
        <w:rPr>
          <w:sz w:val="22"/>
          <w:szCs w:val="22"/>
        </w:rPr>
        <w:t xml:space="preserve">Khan, M. A. S., Hasan, M. J., Rashid, M. U., Kha Sagar, S., Khan, S., Zaman, S., et al. (2022). Factors associated with in-hospital mortality of adult tetanus patients–a multicenter study from Bangladesh. PLOS Neglected Tropical Diseases, 16(3), e0010235. </w:t>
      </w:r>
      <w:hyperlink r:id="rId25" w:history="1">
        <w:r w:rsidRPr="00C533ED">
          <w:rPr>
            <w:rStyle w:val="Hyperlink"/>
            <w:sz w:val="22"/>
            <w:szCs w:val="22"/>
          </w:rPr>
          <w:t>https://doi.org/10.1371/journal.pntd.0010235</w:t>
        </w:r>
      </w:hyperlink>
      <w:r>
        <w:rPr>
          <w:sz w:val="22"/>
          <w:szCs w:val="22"/>
        </w:rPr>
        <w:tab/>
      </w:r>
    </w:p>
    <w:p w14:paraId="0E5F7BF4" w14:textId="77777777" w:rsidR="00B467A3" w:rsidRPr="00C30DB5" w:rsidRDefault="00B467A3" w:rsidP="00EA3340">
      <w:pPr>
        <w:pStyle w:val="p1"/>
        <w:spacing w:line="276" w:lineRule="auto"/>
        <w:ind w:left="720"/>
        <w:rPr>
          <w:sz w:val="22"/>
          <w:szCs w:val="22"/>
        </w:rPr>
      </w:pPr>
    </w:p>
    <w:p w14:paraId="0022F8AA" w14:textId="75D83319" w:rsidR="00B467A3" w:rsidRPr="00C30DB5" w:rsidRDefault="005A4AB5" w:rsidP="00EA3340">
      <w:pPr>
        <w:pStyle w:val="p1"/>
        <w:numPr>
          <w:ilvl w:val="0"/>
          <w:numId w:val="1"/>
        </w:numPr>
        <w:spacing w:line="276" w:lineRule="auto"/>
        <w:rPr>
          <w:sz w:val="22"/>
          <w:szCs w:val="22"/>
        </w:rPr>
      </w:pPr>
      <w:r w:rsidRPr="005A4AB5">
        <w:rPr>
          <w:sz w:val="22"/>
          <w:szCs w:val="22"/>
        </w:rPr>
        <w:t xml:space="preserve">Amare, A., Melkamu, Y., &amp; Mekonnen, D. (2012). Tetanus in adults: Clinical presentation, treatment and predictors of mortality in a tertiary hospital in Ethiopia. Journal of the Neurological Sciences, 317(1-2), 62–65. </w:t>
      </w:r>
      <w:hyperlink r:id="rId26" w:history="1">
        <w:r w:rsidRPr="00C533ED">
          <w:rPr>
            <w:rStyle w:val="Hyperlink"/>
            <w:sz w:val="22"/>
            <w:szCs w:val="22"/>
          </w:rPr>
          <w:t>https://doi.org/10.1016/j.jns.2012.02.028</w:t>
        </w:r>
      </w:hyperlink>
      <w:r>
        <w:rPr>
          <w:sz w:val="22"/>
          <w:szCs w:val="22"/>
        </w:rPr>
        <w:tab/>
      </w:r>
    </w:p>
    <w:p w14:paraId="58AA4E00" w14:textId="77777777" w:rsidR="00B467A3" w:rsidRPr="00C30DB5" w:rsidRDefault="00B467A3" w:rsidP="00EA3340">
      <w:pPr>
        <w:pStyle w:val="p1"/>
        <w:spacing w:line="276" w:lineRule="auto"/>
        <w:ind w:left="720"/>
        <w:rPr>
          <w:sz w:val="22"/>
          <w:szCs w:val="22"/>
        </w:rPr>
      </w:pPr>
    </w:p>
    <w:p w14:paraId="187F3157" w14:textId="458A0607" w:rsidR="00B467A3" w:rsidRPr="00C30DB5" w:rsidRDefault="005A4AB5" w:rsidP="00EA3340">
      <w:pPr>
        <w:pStyle w:val="p1"/>
        <w:numPr>
          <w:ilvl w:val="0"/>
          <w:numId w:val="1"/>
        </w:numPr>
        <w:spacing w:line="276" w:lineRule="auto"/>
        <w:rPr>
          <w:sz w:val="22"/>
          <w:szCs w:val="22"/>
        </w:rPr>
      </w:pPr>
      <w:r w:rsidRPr="005A4AB5">
        <w:rPr>
          <w:sz w:val="22"/>
          <w:szCs w:val="22"/>
        </w:rPr>
        <w:t xml:space="preserve">Da Nóbrega, M. V., Reis, R. C., Veras Aguiar, I. C., et al. (2016). Patients with severe accidental tetanus admitted to an intensive care unit in Northeastern Brazil: clinical-epidemiological profile and risk factors for mortality. Brazilian Journal of Infectious Diseases, 20(5), 457-461. </w:t>
      </w:r>
      <w:hyperlink r:id="rId27" w:history="1">
        <w:r w:rsidRPr="00C533ED">
          <w:rPr>
            <w:rStyle w:val="Hyperlink"/>
            <w:sz w:val="22"/>
            <w:szCs w:val="22"/>
          </w:rPr>
          <w:t>https://doi.org/10.1016/j.bjid.2016.06.007</w:t>
        </w:r>
      </w:hyperlink>
      <w:r>
        <w:rPr>
          <w:sz w:val="22"/>
          <w:szCs w:val="22"/>
        </w:rPr>
        <w:tab/>
      </w:r>
    </w:p>
    <w:p w14:paraId="6294A893" w14:textId="77777777" w:rsidR="00B467A3" w:rsidRPr="00C30DB5" w:rsidRDefault="00B467A3" w:rsidP="00EA3340">
      <w:pPr>
        <w:pStyle w:val="p1"/>
        <w:spacing w:line="276" w:lineRule="auto"/>
        <w:ind w:left="720"/>
        <w:rPr>
          <w:sz w:val="22"/>
          <w:szCs w:val="22"/>
        </w:rPr>
      </w:pPr>
    </w:p>
    <w:p w14:paraId="7C1404A9" w14:textId="547C00D1" w:rsidR="00B467A3" w:rsidRPr="00C30DB5" w:rsidRDefault="005A4AB5" w:rsidP="00EA3340">
      <w:pPr>
        <w:pStyle w:val="p1"/>
        <w:numPr>
          <w:ilvl w:val="0"/>
          <w:numId w:val="1"/>
        </w:numPr>
        <w:spacing w:line="276" w:lineRule="auto"/>
        <w:rPr>
          <w:sz w:val="22"/>
          <w:szCs w:val="22"/>
        </w:rPr>
      </w:pPr>
      <w:r w:rsidRPr="005A4AB5">
        <w:rPr>
          <w:sz w:val="22"/>
          <w:szCs w:val="22"/>
        </w:rPr>
        <w:t xml:space="preserve">Sako, F. B., Sylla, A. O., Diallo, M. O. S., Touré, A., Traoré, F. A., Tounkara, T. M. T., Chamkoue, B. W., Barry, M., &amp; Cissé, M. (2019). Tetanus: epidemiology and Factors Associated with Death in the Departement of Tropical and infectious diseases of Donka National Hospital, Guinea. Med Sante Trop, 29(3), 333-336. </w:t>
      </w:r>
      <w:hyperlink r:id="rId28" w:history="1">
        <w:r w:rsidRPr="00C533ED">
          <w:rPr>
            <w:rStyle w:val="Hyperlink"/>
            <w:sz w:val="22"/>
            <w:szCs w:val="22"/>
          </w:rPr>
          <w:t>https://doi.org/10.1684/mst.2019.0924</w:t>
        </w:r>
      </w:hyperlink>
      <w:r>
        <w:rPr>
          <w:sz w:val="22"/>
          <w:szCs w:val="22"/>
        </w:rPr>
        <w:tab/>
      </w:r>
    </w:p>
    <w:p w14:paraId="2703D1DD" w14:textId="77777777" w:rsidR="00B467A3" w:rsidRPr="00C30DB5" w:rsidRDefault="00B467A3" w:rsidP="00EA3340">
      <w:pPr>
        <w:pStyle w:val="p1"/>
        <w:spacing w:line="276" w:lineRule="auto"/>
        <w:ind w:left="720"/>
        <w:rPr>
          <w:sz w:val="22"/>
          <w:szCs w:val="22"/>
        </w:rPr>
      </w:pPr>
    </w:p>
    <w:p w14:paraId="5896D889" w14:textId="5AC7DB49" w:rsidR="00B467A3" w:rsidRPr="00C30DB5" w:rsidRDefault="005A4AB5" w:rsidP="00EA3340">
      <w:pPr>
        <w:pStyle w:val="p1"/>
        <w:numPr>
          <w:ilvl w:val="0"/>
          <w:numId w:val="1"/>
        </w:numPr>
        <w:spacing w:line="276" w:lineRule="auto"/>
        <w:rPr>
          <w:sz w:val="22"/>
          <w:szCs w:val="22"/>
        </w:rPr>
      </w:pPr>
      <w:r w:rsidRPr="005A4AB5">
        <w:rPr>
          <w:sz w:val="22"/>
          <w:szCs w:val="22"/>
        </w:rPr>
        <w:t xml:space="preserve">Pilaca, A. S., Beqiri, A. I., Ndreu, A. H., Puca, E. S., Pepa, A. K., &amp; Elezi, F. M. (2012). Factors affecting the prognosis of Albanian adult patients with generalized tetanus. G Chir, 33(4), 105-109. </w:t>
      </w:r>
      <w:hyperlink r:id="rId29" w:history="1">
        <w:r w:rsidRPr="00C533ED">
          <w:rPr>
            <w:rStyle w:val="Hyperlink"/>
            <w:sz w:val="22"/>
            <w:szCs w:val="22"/>
          </w:rPr>
          <w:t>https://pubmed.ncbi.nlm.nih.gov/22668526/</w:t>
        </w:r>
      </w:hyperlink>
      <w:r>
        <w:rPr>
          <w:sz w:val="22"/>
          <w:szCs w:val="22"/>
        </w:rPr>
        <w:tab/>
      </w:r>
    </w:p>
    <w:p w14:paraId="2DFDE406" w14:textId="77777777" w:rsidR="00B467A3" w:rsidRPr="00C30DB5" w:rsidRDefault="00B467A3" w:rsidP="00EA3340">
      <w:pPr>
        <w:pStyle w:val="p1"/>
        <w:spacing w:line="276" w:lineRule="auto"/>
        <w:ind w:left="720"/>
        <w:rPr>
          <w:sz w:val="22"/>
          <w:szCs w:val="22"/>
        </w:rPr>
      </w:pPr>
    </w:p>
    <w:p w14:paraId="0021955F" w14:textId="52D56F82" w:rsidR="00B467A3" w:rsidRPr="00C30DB5" w:rsidRDefault="005A4AB5" w:rsidP="00EA3340">
      <w:pPr>
        <w:pStyle w:val="p1"/>
        <w:numPr>
          <w:ilvl w:val="0"/>
          <w:numId w:val="1"/>
        </w:numPr>
        <w:spacing w:line="276" w:lineRule="auto"/>
        <w:rPr>
          <w:sz w:val="22"/>
          <w:szCs w:val="22"/>
        </w:rPr>
      </w:pPr>
      <w:r w:rsidRPr="005A4AB5">
        <w:rPr>
          <w:sz w:val="22"/>
          <w:szCs w:val="22"/>
        </w:rPr>
        <w:lastRenderedPageBreak/>
        <w:t xml:space="preserve">Minta, D. K., Traoré, A. M., Soucko, A. K., Dembélé, M., Coulibaly, Y., Dicko, M. S., et al. (2012). Morbidité et mortalité du tétanos dans le service de maladies infectieuses du CHU du Point G à Bamako, Mali (2004-2009). Bulletin de la Société de pathologie exotique, 105(1), 58-63. </w:t>
      </w:r>
      <w:hyperlink r:id="rId30" w:history="1">
        <w:r w:rsidRPr="00C533ED">
          <w:rPr>
            <w:rStyle w:val="Hyperlink"/>
            <w:sz w:val="22"/>
            <w:szCs w:val="22"/>
          </w:rPr>
          <w:t>https://doi.org/10.1007/s13149-011-0204-y</w:t>
        </w:r>
      </w:hyperlink>
      <w:r>
        <w:rPr>
          <w:sz w:val="22"/>
          <w:szCs w:val="22"/>
        </w:rPr>
        <w:tab/>
      </w:r>
      <w:r w:rsidR="00B467A3" w:rsidRPr="00C30DB5">
        <w:rPr>
          <w:sz w:val="22"/>
          <w:szCs w:val="22"/>
        </w:rPr>
        <w:t>.</w:t>
      </w:r>
    </w:p>
    <w:p w14:paraId="236C132A" w14:textId="77777777" w:rsidR="00B467A3" w:rsidRPr="00C30DB5" w:rsidRDefault="00B467A3" w:rsidP="00EA3340">
      <w:pPr>
        <w:pStyle w:val="p1"/>
        <w:spacing w:line="276" w:lineRule="auto"/>
        <w:ind w:left="720"/>
        <w:rPr>
          <w:sz w:val="22"/>
          <w:szCs w:val="22"/>
        </w:rPr>
      </w:pPr>
    </w:p>
    <w:p w14:paraId="0427E7D6" w14:textId="5BC98641" w:rsidR="00B467A3" w:rsidRPr="00A81970" w:rsidRDefault="005A4AB5" w:rsidP="00EA3340">
      <w:pPr>
        <w:pStyle w:val="p1"/>
        <w:numPr>
          <w:ilvl w:val="0"/>
          <w:numId w:val="1"/>
        </w:numPr>
        <w:spacing w:line="276" w:lineRule="auto"/>
        <w:rPr>
          <w:sz w:val="22"/>
          <w:szCs w:val="22"/>
        </w:rPr>
      </w:pPr>
      <w:r w:rsidRPr="005A4AB5">
        <w:rPr>
          <w:sz w:val="22"/>
          <w:szCs w:val="22"/>
        </w:rPr>
        <w:t xml:space="preserve">Tosun, S., Batirel, A., Oluk, A. I., Aksoy, F., Puca, E., Bénézit, F., Ural, S., Nayman-Alpat, S., Yamazhan, T., Koksaldi-Motor, V., Tekin, R., Parlak, E., Tattevin, P., Kart-Yasar, K., Guner, R., Bastug, A., Meric-Koc, M., Oncu, S., Sagmak-Tartar, A., Denk, A., Pehlivanoglu, F., Sengoz, G., Sørensen, S. M., Celebi, G., Baštáková, L., Gedik, H., Dirgen-Caylak, S., Esmaoglu, A., Erol, S., Cag, Y., Karagoz, E., Inan, A., &amp; Erdem, H. (2017). Tetanus in adults: results of the multicenter ID-IRI study. *European Journal of Clinical Microbiology &amp; Infectious Diseases*, *36*(8), 1455-1462. </w:t>
      </w:r>
      <w:hyperlink r:id="rId31" w:history="1">
        <w:r w:rsidRPr="00C533ED">
          <w:rPr>
            <w:rStyle w:val="Hyperlink"/>
            <w:sz w:val="22"/>
            <w:szCs w:val="22"/>
          </w:rPr>
          <w:t>https://doi.org/10.1007/s10096-017-2954-3</w:t>
        </w:r>
      </w:hyperlink>
      <w:r>
        <w:rPr>
          <w:sz w:val="22"/>
          <w:szCs w:val="22"/>
        </w:rPr>
        <w:tab/>
      </w:r>
      <w:r w:rsidR="00B467A3" w:rsidRPr="00C30DB5">
        <w:rPr>
          <w:sz w:val="22"/>
          <w:szCs w:val="22"/>
        </w:rPr>
        <w:t>.</w:t>
      </w:r>
    </w:p>
    <w:p w14:paraId="59D60259" w14:textId="77777777" w:rsidR="00E206F5" w:rsidRPr="00A81970" w:rsidRDefault="00E206F5" w:rsidP="00E206F5">
      <w:pPr>
        <w:pStyle w:val="p1"/>
        <w:spacing w:line="276" w:lineRule="auto"/>
        <w:ind w:left="720"/>
        <w:rPr>
          <w:sz w:val="22"/>
          <w:szCs w:val="22"/>
        </w:rPr>
      </w:pPr>
    </w:p>
    <w:p w14:paraId="0224E96D" w14:textId="77777777" w:rsidR="00E206F5" w:rsidRPr="00A81970" w:rsidRDefault="00E206F5" w:rsidP="00E206F5">
      <w:pPr>
        <w:pStyle w:val="p1"/>
        <w:spacing w:line="276" w:lineRule="auto"/>
        <w:ind w:left="720"/>
        <w:rPr>
          <w:sz w:val="22"/>
          <w:szCs w:val="22"/>
        </w:rPr>
      </w:pPr>
    </w:p>
    <w:p w14:paraId="5D1BACF3" w14:textId="77777777" w:rsidR="00E206F5" w:rsidRPr="00A81970" w:rsidRDefault="00E206F5" w:rsidP="00E206F5">
      <w:pPr>
        <w:pStyle w:val="p1"/>
        <w:spacing w:line="276" w:lineRule="auto"/>
        <w:ind w:left="720"/>
        <w:rPr>
          <w:sz w:val="22"/>
          <w:szCs w:val="22"/>
        </w:rPr>
      </w:pPr>
    </w:p>
    <w:p w14:paraId="09C6C285" w14:textId="77777777" w:rsidR="00E206F5" w:rsidRPr="00A81970" w:rsidRDefault="00E206F5" w:rsidP="00E206F5">
      <w:pPr>
        <w:pStyle w:val="p1"/>
        <w:spacing w:line="276" w:lineRule="auto"/>
        <w:rPr>
          <w:sz w:val="22"/>
          <w:szCs w:val="22"/>
        </w:rPr>
      </w:pPr>
    </w:p>
    <w:p w14:paraId="29212370" w14:textId="77777777" w:rsidR="00E206F5" w:rsidRPr="00A81970" w:rsidRDefault="00E206F5" w:rsidP="00E206F5">
      <w:pPr>
        <w:pStyle w:val="p1"/>
        <w:spacing w:line="276" w:lineRule="auto"/>
        <w:ind w:left="720"/>
        <w:rPr>
          <w:sz w:val="22"/>
          <w:szCs w:val="22"/>
        </w:rPr>
      </w:pPr>
    </w:p>
    <w:p w14:paraId="77593F39" w14:textId="77777777" w:rsidR="00E206F5" w:rsidRPr="00A81970" w:rsidRDefault="00E206F5" w:rsidP="00E206F5">
      <w:pPr>
        <w:spacing w:line="276" w:lineRule="auto"/>
        <w:rPr>
          <w:rFonts w:ascii="Times New Roman" w:hAnsi="Times New Roman" w:cs="Times New Roman"/>
          <w:sz w:val="22"/>
          <w:szCs w:val="22"/>
        </w:rPr>
      </w:pPr>
    </w:p>
    <w:p w14:paraId="35DB6F1C" w14:textId="77777777" w:rsidR="00E206F5" w:rsidRPr="00A81970" w:rsidRDefault="00E206F5" w:rsidP="00E206F5">
      <w:pPr>
        <w:spacing w:line="276" w:lineRule="auto"/>
        <w:rPr>
          <w:rFonts w:ascii="Times New Roman" w:hAnsi="Times New Roman" w:cs="Times New Roman"/>
          <w:sz w:val="22"/>
          <w:szCs w:val="22"/>
        </w:rPr>
      </w:pPr>
    </w:p>
    <w:p w14:paraId="3E425353" w14:textId="77777777" w:rsidR="00E206F5" w:rsidRPr="00A81970" w:rsidRDefault="00E206F5" w:rsidP="00E206F5">
      <w:pPr>
        <w:pStyle w:val="p1"/>
        <w:spacing w:line="276" w:lineRule="auto"/>
        <w:rPr>
          <w:sz w:val="22"/>
          <w:szCs w:val="22"/>
          <w:highlight w:val="yellow"/>
        </w:rPr>
      </w:pPr>
    </w:p>
    <w:p w14:paraId="11835BF1" w14:textId="77777777" w:rsidR="00E206F5" w:rsidRPr="00A81970" w:rsidRDefault="00E206F5" w:rsidP="00E206F5">
      <w:pPr>
        <w:pStyle w:val="p1"/>
        <w:spacing w:line="276" w:lineRule="auto"/>
        <w:rPr>
          <w:sz w:val="22"/>
          <w:szCs w:val="22"/>
          <w:highlight w:val="yellow"/>
        </w:rPr>
      </w:pPr>
    </w:p>
    <w:p w14:paraId="776AD648" w14:textId="77777777" w:rsidR="00E206F5" w:rsidRPr="00A81970" w:rsidRDefault="00E206F5" w:rsidP="00E206F5">
      <w:pPr>
        <w:spacing w:line="276" w:lineRule="auto"/>
        <w:rPr>
          <w:rFonts w:ascii="Times New Roman" w:hAnsi="Times New Roman" w:cs="Times New Roman"/>
          <w:sz w:val="22"/>
          <w:szCs w:val="22"/>
        </w:rPr>
      </w:pPr>
    </w:p>
    <w:p w14:paraId="57DF64C5" w14:textId="77777777" w:rsidR="00E206F5" w:rsidRPr="00E206F5" w:rsidRDefault="00E206F5" w:rsidP="00E4188C">
      <w:pPr>
        <w:pStyle w:val="p1"/>
        <w:jc w:val="both"/>
        <w:rPr>
          <w:color w:val="auto"/>
          <w:sz w:val="20"/>
          <w:szCs w:val="20"/>
          <w:lang w:val="fr-FR"/>
        </w:rPr>
      </w:pPr>
    </w:p>
    <w:sectPr w:rsidR="00E206F5" w:rsidRPr="00E206F5" w:rsidSect="00CB5A3A">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550B4" w14:textId="77777777" w:rsidR="002F1030" w:rsidRDefault="002F1030" w:rsidP="004B276E">
      <w:r>
        <w:separator/>
      </w:r>
    </w:p>
  </w:endnote>
  <w:endnote w:type="continuationSeparator" w:id="0">
    <w:p w14:paraId="190BA6E4" w14:textId="77777777" w:rsidR="002F1030" w:rsidRDefault="002F1030" w:rsidP="004B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8630287"/>
      <w:docPartObj>
        <w:docPartGallery w:val="Page Numbers (Bottom of Page)"/>
        <w:docPartUnique/>
      </w:docPartObj>
    </w:sdtPr>
    <w:sdtEndPr>
      <w:rPr>
        <w:rStyle w:val="PageNumber"/>
      </w:rPr>
    </w:sdtEndPr>
    <w:sdtContent>
      <w:p w14:paraId="25649E76" w14:textId="031592F1" w:rsidR="00401AF8" w:rsidRDefault="00401AF8" w:rsidP="002204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241D7" w14:textId="77777777" w:rsidR="00401AF8" w:rsidRDefault="00401AF8" w:rsidP="004B2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5086998"/>
      <w:docPartObj>
        <w:docPartGallery w:val="Page Numbers (Bottom of Page)"/>
        <w:docPartUnique/>
      </w:docPartObj>
    </w:sdtPr>
    <w:sdtEndPr>
      <w:rPr>
        <w:rStyle w:val="PageNumber"/>
      </w:rPr>
    </w:sdtEndPr>
    <w:sdtContent>
      <w:p w14:paraId="0CE02AA9" w14:textId="1F477742" w:rsidR="00401AF8" w:rsidRDefault="00401AF8" w:rsidP="002204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1000">
          <w:rPr>
            <w:rStyle w:val="PageNumber"/>
            <w:noProof/>
          </w:rPr>
          <w:t>7</w:t>
        </w:r>
        <w:r>
          <w:rPr>
            <w:rStyle w:val="PageNumber"/>
          </w:rPr>
          <w:fldChar w:fldCharType="end"/>
        </w:r>
      </w:p>
    </w:sdtContent>
  </w:sdt>
  <w:p w14:paraId="7271A552" w14:textId="77777777" w:rsidR="00401AF8" w:rsidRDefault="00401AF8" w:rsidP="004B27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83F1" w14:textId="77777777" w:rsidR="009A64FA" w:rsidRDefault="009A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2973" w14:textId="77777777" w:rsidR="002F1030" w:rsidRDefault="002F1030" w:rsidP="004B276E">
      <w:r>
        <w:separator/>
      </w:r>
    </w:p>
  </w:footnote>
  <w:footnote w:type="continuationSeparator" w:id="0">
    <w:p w14:paraId="25F766DB" w14:textId="77777777" w:rsidR="002F1030" w:rsidRDefault="002F1030" w:rsidP="004B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8CFC" w14:textId="30223E47" w:rsidR="009A64FA" w:rsidRDefault="009A64FA">
    <w:pPr>
      <w:pStyle w:val="Header"/>
    </w:pPr>
    <w:r>
      <w:rPr>
        <w:noProof/>
      </w:rPr>
      <w:pict w14:anchorId="7C284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5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8C25" w14:textId="22C9F18B" w:rsidR="009A64FA" w:rsidRDefault="009A64FA">
    <w:pPr>
      <w:pStyle w:val="Header"/>
    </w:pPr>
    <w:r>
      <w:rPr>
        <w:noProof/>
      </w:rPr>
      <w:pict w14:anchorId="3EAD8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5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6E92" w14:textId="6E47DD28" w:rsidR="009A64FA" w:rsidRDefault="009A64FA">
    <w:pPr>
      <w:pStyle w:val="Header"/>
    </w:pPr>
    <w:r>
      <w:rPr>
        <w:noProof/>
      </w:rPr>
      <w:pict w14:anchorId="53012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5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4358"/>
    <w:multiLevelType w:val="hybridMultilevel"/>
    <w:tmpl w:val="B106B072"/>
    <w:lvl w:ilvl="0" w:tplc="CAB4FF8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5563A1"/>
    <w:multiLevelType w:val="hybridMultilevel"/>
    <w:tmpl w:val="50E2406C"/>
    <w:lvl w:ilvl="0" w:tplc="50D8050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1242DA"/>
    <w:multiLevelType w:val="multilevel"/>
    <w:tmpl w:val="41ACB61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33404DB"/>
    <w:multiLevelType w:val="hybridMultilevel"/>
    <w:tmpl w:val="1E1426C6"/>
    <w:lvl w:ilvl="0" w:tplc="10EEDF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4057DC"/>
    <w:multiLevelType w:val="hybridMultilevel"/>
    <w:tmpl w:val="6C705B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BA55DC"/>
    <w:multiLevelType w:val="hybridMultilevel"/>
    <w:tmpl w:val="71541188"/>
    <w:lvl w:ilvl="0" w:tplc="72C0A43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A624969"/>
    <w:multiLevelType w:val="multilevel"/>
    <w:tmpl w:val="4B686134"/>
    <w:lvl w:ilvl="0">
      <w:start w:val="1"/>
      <w:numFmt w:val="decimal"/>
      <w:lvlText w:val="%1."/>
      <w:lvlJc w:val="left"/>
      <w:pPr>
        <w:ind w:left="720" w:hanging="360"/>
      </w:pPr>
      <w:rPr>
        <w:sz w:val="22"/>
        <w:szCs w:val="22"/>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69791500"/>
    <w:multiLevelType w:val="hybridMultilevel"/>
    <w:tmpl w:val="9376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76B41"/>
    <w:multiLevelType w:val="multilevel"/>
    <w:tmpl w:val="41ACB612"/>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6"/>
  </w:num>
  <w:num w:numId="2">
    <w:abstractNumId w:val="0"/>
  </w:num>
  <w:num w:numId="3">
    <w:abstractNumId w:val="8"/>
  </w:num>
  <w:num w:numId="4">
    <w:abstractNumId w:val="2"/>
  </w:num>
  <w:num w:numId="5">
    <w:abstractNumId w:val="1"/>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SN"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fr-CA" w:vendorID="64" w:dllVersion="6" w:nlCheck="1" w:checkStyle="0"/>
  <w:activeWritingStyle w:appName="MSWord" w:lang="en-GB" w:vendorID="64" w:dllVersion="4096" w:nlCheck="1" w:checkStyle="0"/>
  <w:activeWritingStyle w:appName="MSWord" w:lang="fr-S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CA"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NjQwtDQwMjY3NzVQ0lEKTi0uzszPAykwrAUArbMqwCwAAAA="/>
  </w:docVars>
  <w:rsids>
    <w:rsidRoot w:val="005F42F8"/>
    <w:rsid w:val="00005AEA"/>
    <w:rsid w:val="00031314"/>
    <w:rsid w:val="00032B8C"/>
    <w:rsid w:val="00041E88"/>
    <w:rsid w:val="000A0F32"/>
    <w:rsid w:val="000B5107"/>
    <w:rsid w:val="001111FE"/>
    <w:rsid w:val="00120261"/>
    <w:rsid w:val="001327D9"/>
    <w:rsid w:val="00151BFD"/>
    <w:rsid w:val="001727A2"/>
    <w:rsid w:val="00191604"/>
    <w:rsid w:val="001B716F"/>
    <w:rsid w:val="001D2EBC"/>
    <w:rsid w:val="002009D5"/>
    <w:rsid w:val="0022045E"/>
    <w:rsid w:val="00237F44"/>
    <w:rsid w:val="00243786"/>
    <w:rsid w:val="00247AA7"/>
    <w:rsid w:val="00281DDF"/>
    <w:rsid w:val="00283436"/>
    <w:rsid w:val="002838AA"/>
    <w:rsid w:val="00283998"/>
    <w:rsid w:val="002972C6"/>
    <w:rsid w:val="002D24F6"/>
    <w:rsid w:val="002F1030"/>
    <w:rsid w:val="00361A28"/>
    <w:rsid w:val="00372467"/>
    <w:rsid w:val="003A7DBA"/>
    <w:rsid w:val="003D54F0"/>
    <w:rsid w:val="00401AF8"/>
    <w:rsid w:val="004406EA"/>
    <w:rsid w:val="00446B9A"/>
    <w:rsid w:val="00451EF9"/>
    <w:rsid w:val="00480AEE"/>
    <w:rsid w:val="00482330"/>
    <w:rsid w:val="004A0501"/>
    <w:rsid w:val="004A775C"/>
    <w:rsid w:val="004B102C"/>
    <w:rsid w:val="004B276E"/>
    <w:rsid w:val="004B7629"/>
    <w:rsid w:val="004D1FB4"/>
    <w:rsid w:val="00501BD4"/>
    <w:rsid w:val="00536C30"/>
    <w:rsid w:val="00537D04"/>
    <w:rsid w:val="00544F1F"/>
    <w:rsid w:val="005472DD"/>
    <w:rsid w:val="00565A66"/>
    <w:rsid w:val="005805AF"/>
    <w:rsid w:val="00584693"/>
    <w:rsid w:val="005A4AB5"/>
    <w:rsid w:val="005C6368"/>
    <w:rsid w:val="005F42F8"/>
    <w:rsid w:val="006119B8"/>
    <w:rsid w:val="00653F15"/>
    <w:rsid w:val="006A28BF"/>
    <w:rsid w:val="006B6774"/>
    <w:rsid w:val="006C1086"/>
    <w:rsid w:val="007239A7"/>
    <w:rsid w:val="00743B29"/>
    <w:rsid w:val="00774EEC"/>
    <w:rsid w:val="00791F66"/>
    <w:rsid w:val="007D52AE"/>
    <w:rsid w:val="007E194C"/>
    <w:rsid w:val="007E6A81"/>
    <w:rsid w:val="00805559"/>
    <w:rsid w:val="00810105"/>
    <w:rsid w:val="00830A40"/>
    <w:rsid w:val="008644C5"/>
    <w:rsid w:val="00867369"/>
    <w:rsid w:val="0089098D"/>
    <w:rsid w:val="00894810"/>
    <w:rsid w:val="008B4711"/>
    <w:rsid w:val="00906619"/>
    <w:rsid w:val="0094378B"/>
    <w:rsid w:val="009531A7"/>
    <w:rsid w:val="009734A2"/>
    <w:rsid w:val="009A64FA"/>
    <w:rsid w:val="009C3367"/>
    <w:rsid w:val="00A00B4C"/>
    <w:rsid w:val="00A13324"/>
    <w:rsid w:val="00A21CD4"/>
    <w:rsid w:val="00A26619"/>
    <w:rsid w:val="00A5074B"/>
    <w:rsid w:val="00A74E44"/>
    <w:rsid w:val="00A81368"/>
    <w:rsid w:val="00A95DAD"/>
    <w:rsid w:val="00A97C87"/>
    <w:rsid w:val="00AD1000"/>
    <w:rsid w:val="00B265C6"/>
    <w:rsid w:val="00B45EB1"/>
    <w:rsid w:val="00B467A3"/>
    <w:rsid w:val="00B64C4F"/>
    <w:rsid w:val="00BB3CF7"/>
    <w:rsid w:val="00BC2E7F"/>
    <w:rsid w:val="00BD594C"/>
    <w:rsid w:val="00C42DF0"/>
    <w:rsid w:val="00C853E1"/>
    <w:rsid w:val="00C90AC1"/>
    <w:rsid w:val="00C91674"/>
    <w:rsid w:val="00C94D84"/>
    <w:rsid w:val="00CA5FEC"/>
    <w:rsid w:val="00CB5A3A"/>
    <w:rsid w:val="00CC3302"/>
    <w:rsid w:val="00CD2725"/>
    <w:rsid w:val="00D0524F"/>
    <w:rsid w:val="00D230EC"/>
    <w:rsid w:val="00D233BD"/>
    <w:rsid w:val="00D35658"/>
    <w:rsid w:val="00D4079A"/>
    <w:rsid w:val="00D40877"/>
    <w:rsid w:val="00D412C2"/>
    <w:rsid w:val="00D41A44"/>
    <w:rsid w:val="00D47D0D"/>
    <w:rsid w:val="00D6312B"/>
    <w:rsid w:val="00D822FA"/>
    <w:rsid w:val="00DA1F79"/>
    <w:rsid w:val="00DA7BE4"/>
    <w:rsid w:val="00DB0649"/>
    <w:rsid w:val="00DB4B37"/>
    <w:rsid w:val="00DC365A"/>
    <w:rsid w:val="00DC7945"/>
    <w:rsid w:val="00DD2AE2"/>
    <w:rsid w:val="00DE2371"/>
    <w:rsid w:val="00E034FE"/>
    <w:rsid w:val="00E1134D"/>
    <w:rsid w:val="00E206F5"/>
    <w:rsid w:val="00E20855"/>
    <w:rsid w:val="00E37E3B"/>
    <w:rsid w:val="00E4188C"/>
    <w:rsid w:val="00E43E9D"/>
    <w:rsid w:val="00E5414E"/>
    <w:rsid w:val="00E7102A"/>
    <w:rsid w:val="00EA3340"/>
    <w:rsid w:val="00ED00B8"/>
    <w:rsid w:val="00ED2492"/>
    <w:rsid w:val="00F17CB0"/>
    <w:rsid w:val="00F21E9F"/>
    <w:rsid w:val="00F509D5"/>
    <w:rsid w:val="00F54706"/>
    <w:rsid w:val="00F73B50"/>
    <w:rsid w:val="00FC6A61"/>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0BB1DF"/>
  <w15:chartTrackingRefBased/>
  <w15:docId w15:val="{28657DEE-4B54-6B46-B6B4-7707B476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S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2F8"/>
    <w:rPr>
      <w:rFonts w:eastAsiaTheme="minorEastAsia"/>
      <w:kern w:val="0"/>
      <w:lang w:val="fr-FR"/>
      <w14:ligatures w14:val="none"/>
    </w:rPr>
  </w:style>
  <w:style w:type="paragraph" w:styleId="Heading1">
    <w:name w:val="heading 1"/>
    <w:basedOn w:val="Normal"/>
    <w:next w:val="Normal"/>
    <w:link w:val="Heading1Char"/>
    <w:uiPriority w:val="9"/>
    <w:qFormat/>
    <w:rsid w:val="002437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72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SN"/>
      <w14:ligatures w14:val="standardContextual"/>
    </w:rPr>
  </w:style>
  <w:style w:type="paragraph" w:styleId="Heading3">
    <w:name w:val="heading 3"/>
    <w:basedOn w:val="Normal"/>
    <w:next w:val="Normal"/>
    <w:link w:val="Heading3Char"/>
    <w:uiPriority w:val="9"/>
    <w:semiHidden/>
    <w:unhideWhenUsed/>
    <w:qFormat/>
    <w:rsid w:val="004B27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8644C5"/>
    <w:pPr>
      <w:spacing w:after="160" w:line="278" w:lineRule="auto"/>
      <w:ind w:left="720"/>
      <w:contextualSpacing/>
    </w:pPr>
    <w:rPr>
      <w:rFonts w:eastAsiaTheme="minorHAnsi"/>
      <w:kern w:val="2"/>
      <w:lang w:val="fr-SN"/>
      <w14:ligatures w14:val="standardContextual"/>
    </w:rPr>
  </w:style>
  <w:style w:type="character" w:customStyle="1" w:styleId="ListParagraphChar">
    <w:name w:val="List Paragraph Char"/>
    <w:basedOn w:val="DefaultParagraphFont"/>
    <w:link w:val="ListParagraph"/>
    <w:uiPriority w:val="34"/>
    <w:qFormat/>
    <w:locked/>
    <w:rsid w:val="008644C5"/>
  </w:style>
  <w:style w:type="paragraph" w:customStyle="1" w:styleId="p1">
    <w:name w:val="p1"/>
    <w:basedOn w:val="Normal"/>
    <w:rsid w:val="008644C5"/>
    <w:rPr>
      <w:rFonts w:ascii="Times New Roman" w:eastAsia="Times New Roman" w:hAnsi="Times New Roman" w:cs="Times New Roman"/>
      <w:color w:val="000000"/>
      <w:sz w:val="21"/>
      <w:szCs w:val="21"/>
      <w:lang w:val="fr-SN" w:eastAsia="fr-FR"/>
    </w:rPr>
  </w:style>
  <w:style w:type="character" w:customStyle="1" w:styleId="s1">
    <w:name w:val="s1"/>
    <w:basedOn w:val="DefaultParagraphFont"/>
    <w:rsid w:val="00DD2AE2"/>
    <w:rPr>
      <w:rFonts w:ascii="Times New Roman" w:hAnsi="Times New Roman" w:cs="Times New Roman" w:hint="default"/>
      <w:sz w:val="24"/>
      <w:szCs w:val="24"/>
    </w:rPr>
  </w:style>
  <w:style w:type="character" w:customStyle="1" w:styleId="s2">
    <w:name w:val="s2"/>
    <w:basedOn w:val="DefaultParagraphFont"/>
    <w:rsid w:val="00DD2AE2"/>
    <w:rPr>
      <w:rFonts w:ascii="Arial" w:hAnsi="Arial" w:cs="Arial" w:hint="default"/>
      <w:sz w:val="24"/>
      <w:szCs w:val="24"/>
    </w:rPr>
  </w:style>
  <w:style w:type="paragraph" w:styleId="BodyText">
    <w:name w:val="Body Text"/>
    <w:basedOn w:val="Normal"/>
    <w:link w:val="BodyTextChar"/>
    <w:uiPriority w:val="1"/>
    <w:qFormat/>
    <w:rsid w:val="005C6368"/>
    <w:pPr>
      <w:widowControl w:val="0"/>
      <w:autoSpaceDE w:val="0"/>
      <w:autoSpaceDN w:val="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qFormat/>
    <w:rsid w:val="005C6368"/>
    <w:rPr>
      <w:rFonts w:ascii="Times New Roman" w:eastAsia="Times New Roman" w:hAnsi="Times New Roman" w:cs="Times New Roman"/>
      <w:kern w:val="0"/>
      <w:sz w:val="28"/>
      <w:szCs w:val="28"/>
      <w:lang w:val="fr-FR"/>
      <w14:ligatures w14:val="none"/>
    </w:rPr>
  </w:style>
  <w:style w:type="character" w:customStyle="1" w:styleId="Heading2Char">
    <w:name w:val="Heading 2 Char"/>
    <w:basedOn w:val="DefaultParagraphFont"/>
    <w:link w:val="Heading2"/>
    <w:uiPriority w:val="9"/>
    <w:qFormat/>
    <w:rsid w:val="002972C6"/>
    <w:rPr>
      <w:rFonts w:asciiTheme="majorHAnsi" w:eastAsiaTheme="majorEastAsia" w:hAnsiTheme="majorHAnsi" w:cstheme="majorBidi"/>
      <w:color w:val="2F5496" w:themeColor="accent1" w:themeShade="BF"/>
      <w:sz w:val="32"/>
      <w:szCs w:val="32"/>
    </w:rPr>
  </w:style>
  <w:style w:type="table" w:styleId="LightShading">
    <w:name w:val="Light Shading"/>
    <w:basedOn w:val="TableNormal"/>
    <w:uiPriority w:val="60"/>
    <w:semiHidden/>
    <w:unhideWhenUsed/>
    <w:rsid w:val="009531A7"/>
    <w:rPr>
      <w:color w:val="000000" w:themeColor="text1" w:themeShade="BF"/>
      <w:kern w:val="0"/>
      <w:sz w:val="22"/>
      <w:szCs w:val="22"/>
      <w:lang w:val="fr-FR"/>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4B276E"/>
    <w:pPr>
      <w:tabs>
        <w:tab w:val="center" w:pos="4536"/>
        <w:tab w:val="right" w:pos="9072"/>
      </w:tabs>
    </w:pPr>
  </w:style>
  <w:style w:type="character" w:customStyle="1" w:styleId="FooterChar">
    <w:name w:val="Footer Char"/>
    <w:basedOn w:val="DefaultParagraphFont"/>
    <w:link w:val="Footer"/>
    <w:uiPriority w:val="99"/>
    <w:rsid w:val="004B276E"/>
    <w:rPr>
      <w:rFonts w:eastAsiaTheme="minorEastAsia"/>
      <w:kern w:val="0"/>
      <w:lang w:val="fr-FR"/>
      <w14:ligatures w14:val="none"/>
    </w:rPr>
  </w:style>
  <w:style w:type="character" w:styleId="PageNumber">
    <w:name w:val="page number"/>
    <w:basedOn w:val="DefaultParagraphFont"/>
    <w:uiPriority w:val="99"/>
    <w:semiHidden/>
    <w:unhideWhenUsed/>
    <w:rsid w:val="004B276E"/>
  </w:style>
  <w:style w:type="character" w:customStyle="1" w:styleId="Heading3Char">
    <w:name w:val="Heading 3 Char"/>
    <w:basedOn w:val="DefaultParagraphFont"/>
    <w:link w:val="Heading3"/>
    <w:uiPriority w:val="9"/>
    <w:semiHidden/>
    <w:rsid w:val="004B276E"/>
    <w:rPr>
      <w:rFonts w:asciiTheme="majorHAnsi" w:eastAsiaTheme="majorEastAsia" w:hAnsiTheme="majorHAnsi" w:cstheme="majorBidi"/>
      <w:color w:val="1F3763" w:themeColor="accent1" w:themeShade="7F"/>
      <w:kern w:val="0"/>
      <w:lang w:val="fr-FR"/>
      <w14:ligatures w14:val="none"/>
    </w:rPr>
  </w:style>
  <w:style w:type="character" w:customStyle="1" w:styleId="Heading1Char">
    <w:name w:val="Heading 1 Char"/>
    <w:basedOn w:val="DefaultParagraphFont"/>
    <w:link w:val="Heading1"/>
    <w:uiPriority w:val="9"/>
    <w:rsid w:val="00243786"/>
    <w:rPr>
      <w:rFonts w:asciiTheme="majorHAnsi" w:eastAsiaTheme="majorEastAsia" w:hAnsiTheme="majorHAnsi" w:cstheme="majorBidi"/>
      <w:color w:val="2F5496" w:themeColor="accent1" w:themeShade="BF"/>
      <w:kern w:val="0"/>
      <w:sz w:val="32"/>
      <w:szCs w:val="32"/>
      <w:lang w:val="fr-FR"/>
      <w14:ligatures w14:val="none"/>
    </w:rPr>
  </w:style>
  <w:style w:type="table" w:customStyle="1" w:styleId="TableNormal1">
    <w:name w:val="Table Normal1"/>
    <w:uiPriority w:val="2"/>
    <w:semiHidden/>
    <w:unhideWhenUsed/>
    <w:qFormat/>
    <w:rsid w:val="003A7DBA"/>
    <w:rPr>
      <w:rFonts w:ascii="Times New Roman" w:eastAsia="SimSun" w:hAnsi="Times New Roman" w:cs="Times New Roman"/>
      <w:kern w:val="0"/>
      <w:sz w:val="20"/>
      <w:szCs w:val="20"/>
      <w:lang w:val="fr-FR" w:eastAsia="fr-FR"/>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3A7DBA"/>
    <w:pPr>
      <w:widowControl w:val="0"/>
      <w:autoSpaceDE w:val="0"/>
      <w:autoSpaceDN w:val="0"/>
    </w:pPr>
    <w:rPr>
      <w:rFonts w:ascii="Times New Roman" w:eastAsia="Times New Roman" w:hAnsi="Times New Roman" w:cs="Times New Roman"/>
      <w:sz w:val="22"/>
      <w:szCs w:val="22"/>
    </w:rPr>
  </w:style>
  <w:style w:type="character" w:customStyle="1" w:styleId="apple-converted-space">
    <w:name w:val="apple-converted-space"/>
    <w:basedOn w:val="DefaultParagraphFont"/>
    <w:rsid w:val="00D47D0D"/>
  </w:style>
  <w:style w:type="table" w:styleId="TableGrid">
    <w:name w:val="Table Grid"/>
    <w:basedOn w:val="TableNormal"/>
    <w:uiPriority w:val="39"/>
    <w:rsid w:val="00031314"/>
    <w:rPr>
      <w:rFonts w:eastAsiaTheme="minorEastAsia"/>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822FA"/>
    <w:pPr>
      <w:spacing w:before="100" w:beforeAutospacing="1" w:after="100" w:afterAutospacing="1"/>
    </w:pPr>
    <w:rPr>
      <w:rFonts w:ascii="Times New Roman" w:eastAsia="Times New Roman" w:hAnsi="Times New Roman" w:cs="Times New Roman"/>
      <w:lang w:eastAsia="fr-FR"/>
    </w:rPr>
  </w:style>
  <w:style w:type="paragraph" w:customStyle="1" w:styleId="p2">
    <w:name w:val="p2"/>
    <w:basedOn w:val="Normal"/>
    <w:rsid w:val="006B6774"/>
    <w:rPr>
      <w:rFonts w:ascii="Times New Roman" w:eastAsia="Times New Roman" w:hAnsi="Times New Roman" w:cs="Times New Roman"/>
      <w:color w:val="191919"/>
      <w:sz w:val="21"/>
      <w:szCs w:val="21"/>
      <w:lang w:val="fr-SN" w:eastAsia="fr-FR"/>
    </w:rPr>
  </w:style>
  <w:style w:type="character" w:customStyle="1" w:styleId="s3">
    <w:name w:val="s3"/>
    <w:basedOn w:val="DefaultParagraphFont"/>
    <w:rsid w:val="006B6774"/>
    <w:rPr>
      <w:rFonts w:ascii="Wingdings" w:hAnsi="Wingdings" w:hint="default"/>
      <w:sz w:val="21"/>
      <w:szCs w:val="21"/>
    </w:rPr>
  </w:style>
  <w:style w:type="character" w:styleId="Hyperlink">
    <w:name w:val="Hyperlink"/>
    <w:basedOn w:val="DefaultParagraphFont"/>
    <w:uiPriority w:val="99"/>
    <w:unhideWhenUsed/>
    <w:rsid w:val="001111FE"/>
    <w:rPr>
      <w:color w:val="0563C1" w:themeColor="hyperlink"/>
      <w:u w:val="single"/>
    </w:rPr>
  </w:style>
  <w:style w:type="character" w:customStyle="1" w:styleId="UnresolvedMention1">
    <w:name w:val="Unresolved Mention1"/>
    <w:basedOn w:val="DefaultParagraphFont"/>
    <w:uiPriority w:val="99"/>
    <w:semiHidden/>
    <w:unhideWhenUsed/>
    <w:rsid w:val="001111FE"/>
    <w:rPr>
      <w:color w:val="605E5C"/>
      <w:shd w:val="clear" w:color="auto" w:fill="E1DFDD"/>
    </w:rPr>
  </w:style>
  <w:style w:type="character" w:styleId="UnresolvedMention">
    <w:name w:val="Unresolved Mention"/>
    <w:basedOn w:val="DefaultParagraphFont"/>
    <w:uiPriority w:val="99"/>
    <w:semiHidden/>
    <w:unhideWhenUsed/>
    <w:rsid w:val="00EA3340"/>
    <w:rPr>
      <w:color w:val="605E5C"/>
      <w:shd w:val="clear" w:color="auto" w:fill="E1DFDD"/>
    </w:rPr>
  </w:style>
  <w:style w:type="paragraph" w:styleId="Header">
    <w:name w:val="header"/>
    <w:basedOn w:val="Normal"/>
    <w:link w:val="HeaderChar"/>
    <w:uiPriority w:val="99"/>
    <w:unhideWhenUsed/>
    <w:rsid w:val="009A64FA"/>
    <w:pPr>
      <w:tabs>
        <w:tab w:val="center" w:pos="4680"/>
        <w:tab w:val="right" w:pos="9360"/>
      </w:tabs>
    </w:pPr>
  </w:style>
  <w:style w:type="character" w:customStyle="1" w:styleId="HeaderChar">
    <w:name w:val="Header Char"/>
    <w:basedOn w:val="DefaultParagraphFont"/>
    <w:link w:val="Header"/>
    <w:uiPriority w:val="99"/>
    <w:rsid w:val="009A64FA"/>
    <w:rPr>
      <w:rFonts w:eastAsiaTheme="minorEastAsia"/>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4666780/" TargetMode="External"/><Relationship Id="rId18" Type="http://schemas.openxmlformats.org/officeDocument/2006/relationships/hyperlink" Target="https://doi.org/10.1007/s13149-013-0279-8" TargetMode="External"/><Relationship Id="rId26" Type="http://schemas.openxmlformats.org/officeDocument/2006/relationships/hyperlink" Target="https://doi.org/10.1016/j.jns.2012.02.028" TargetMode="External"/><Relationship Id="rId39" Type="http://schemas.openxmlformats.org/officeDocument/2006/relationships/theme" Target="theme/theme1.xml"/><Relationship Id="rId21" Type="http://schemas.openxmlformats.org/officeDocument/2006/relationships/hyperlink" Target="https://doi.org/10.53597/remim.v19i1.278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S0399-077X(14)70148-9" TargetMode="External"/><Relationship Id="rId17" Type="http://schemas.openxmlformats.org/officeDocument/2006/relationships/hyperlink" Target="https://pubmed.ncbi.nlm.nih.gov/14666780/" TargetMode="External"/><Relationship Id="rId25" Type="http://schemas.openxmlformats.org/officeDocument/2006/relationships/hyperlink" Target="https://doi.org/10.1371/journal.pntd.001023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172/2329-891X.1000182" TargetMode="External"/><Relationship Id="rId20" Type="http://schemas.openxmlformats.org/officeDocument/2006/relationships/hyperlink" Target="https://doi.org/10.48327/mtsi.v3i3.2023.273" TargetMode="External"/><Relationship Id="rId29" Type="http://schemas.openxmlformats.org/officeDocument/2006/relationships/hyperlink" Target="https://pubmed.ncbi.nlm.nih.gov/226685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66490000_Tetanus_of_the_child_and_adult_in_Senegal_therapeutic_itinerary_epidemiological_aspects_clinical_features_and_outcome" TargetMode="External"/><Relationship Id="rId24" Type="http://schemas.openxmlformats.org/officeDocument/2006/relationships/hyperlink" Target="https://doi.org/10.1111/j.1198-743x.2004.00767.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684/san.2008.0115" TargetMode="External"/><Relationship Id="rId23" Type="http://schemas.openxmlformats.org/officeDocument/2006/relationships/hyperlink" Target="https://doi.org/10.4314/bjpm.v11i1.48828" TargetMode="External"/><Relationship Id="rId28" Type="http://schemas.openxmlformats.org/officeDocument/2006/relationships/hyperlink" Target="https://doi.org/10.1684/mst.2019.0924" TargetMode="External"/><Relationship Id="rId36" Type="http://schemas.openxmlformats.org/officeDocument/2006/relationships/header" Target="header3.xml"/><Relationship Id="rId10" Type="http://schemas.openxmlformats.org/officeDocument/2006/relationships/hyperlink" Target="https://pubmed.ncbi.nlm.nih.gov/7636917/" TargetMode="External"/><Relationship Id="rId19" Type="http://schemas.openxmlformats.org/officeDocument/2006/relationships/hyperlink" Target="https://doi.org/10.1007/s13149-011-0166-0" TargetMode="External"/><Relationship Id="rId31" Type="http://schemas.openxmlformats.org/officeDocument/2006/relationships/hyperlink" Target="https://doi.org/10.1007/s10096-017-2954-3" TargetMode="External"/><Relationship Id="rId4" Type="http://schemas.openxmlformats.org/officeDocument/2006/relationships/settings" Target="settings.xml"/><Relationship Id="rId9" Type="http://schemas.openxmlformats.org/officeDocument/2006/relationships/hyperlink" Target="https://doi.org/10.1016/j.emcmed.2003.10.004" TargetMode="External"/><Relationship Id="rId14" Type="http://schemas.openxmlformats.org/officeDocument/2006/relationships/hyperlink" Target="https://pubmed.ncbi.nlm.nih.gov/17304753/" TargetMode="External"/><Relationship Id="rId22" Type="http://schemas.openxmlformats.org/officeDocument/2006/relationships/hyperlink" Target="https://doi.org/10.4314/NJCP.V10I4.11348" TargetMode="External"/><Relationship Id="rId27" Type="http://schemas.openxmlformats.org/officeDocument/2006/relationships/hyperlink" Target="https://doi.org/10.1016/j.bjid.2016.06.007" TargetMode="External"/><Relationship Id="rId30" Type="http://schemas.openxmlformats.org/officeDocument/2006/relationships/hyperlink" Target="https://doi.org/10.1007/s13149-011-0204-y"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Feuil1!$B$1</c:f>
              <c:strCache>
                <c:ptCount val="1"/>
                <c:pt idx="0">
                  <c:v>Série 1</c:v>
                </c:pt>
              </c:strCache>
            </c:strRef>
          </c:tx>
          <c:spPr>
            <a:solidFill>
              <a:schemeClr val="accent1"/>
            </a:solidFill>
            <a:ln>
              <a:noFill/>
            </a:ln>
            <a:effectLst/>
          </c:spPr>
          <c:invertIfNegative val="0"/>
          <c:dLbls>
            <c:dLbl>
              <c:idx val="0"/>
              <c:tx>
                <c:rich>
                  <a:bodyPr/>
                  <a:lstStyle/>
                  <a:p>
                    <a:r>
                      <a:rPr lang="en-US"/>
                      <a:t>1.07%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EC-3149-A45D-B90B916BD06C}"/>
                </c:ext>
              </c:extLst>
            </c:dLbl>
            <c:dLbl>
              <c:idx val="1"/>
              <c:tx>
                <c:rich>
                  <a:bodyPr/>
                  <a:lstStyle/>
                  <a:p>
                    <a:r>
                      <a:rPr lang="en-US"/>
                      <a:t>1.81%</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7EC-3149-A45D-B90B916BD06C}"/>
                </c:ext>
              </c:extLst>
            </c:dLbl>
            <c:dLbl>
              <c:idx val="2"/>
              <c:tx>
                <c:rich>
                  <a:bodyPr/>
                  <a:lstStyle/>
                  <a:p>
                    <a:r>
                      <a:rPr lang="en-US"/>
                      <a:t>2.45%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EC-3149-A45D-B90B916BD06C}"/>
                </c:ext>
              </c:extLst>
            </c:dLbl>
            <c:dLbl>
              <c:idx val="3"/>
              <c:tx>
                <c:rich>
                  <a:bodyPr/>
                  <a:lstStyle/>
                  <a:p>
                    <a:r>
                      <a:rPr lang="en-US"/>
                      <a:t>2.67%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EC-3149-A45D-B90B916BD06C}"/>
                </c:ext>
              </c:extLst>
            </c:dLbl>
            <c:dLbl>
              <c:idx val="4"/>
              <c:tx>
                <c:rich>
                  <a:bodyPr/>
                  <a:lstStyle/>
                  <a:p>
                    <a:r>
                      <a:rPr lang="en-US"/>
                      <a:t>14.71%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EC-3149-A45D-B90B916BD06C}"/>
                </c:ext>
              </c:extLst>
            </c:dLbl>
            <c:dLbl>
              <c:idx val="5"/>
              <c:tx>
                <c:rich>
                  <a:bodyPr/>
                  <a:lstStyle/>
                  <a:p>
                    <a:r>
                      <a:rPr lang="en-US"/>
                      <a:t>15.03%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EC-3149-A45D-B90B916BD06C}"/>
                </c:ext>
              </c:extLst>
            </c:dLbl>
            <c:dLbl>
              <c:idx val="6"/>
              <c:tx>
                <c:rich>
                  <a:bodyPr/>
                  <a:lstStyle/>
                  <a:p>
                    <a:r>
                      <a:rPr lang="en-US"/>
                      <a:t>17.59%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EC-3149-A45D-B90B916BD06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Mechanical</c:v>
                </c:pt>
                <c:pt idx="1">
                  <c:v>Iatrogenic</c:v>
                </c:pt>
                <c:pt idx="2">
                  <c:v>Metabolic</c:v>
                </c:pt>
                <c:pt idx="3">
                  <c:v>Decubitus</c:v>
                </c:pt>
                <c:pt idx="4">
                  <c:v>Respiratory</c:v>
                </c:pt>
                <c:pt idx="5">
                  <c:v>Infectious</c:v>
                </c:pt>
                <c:pt idx="6">
                  <c:v>Cardiovascular</c:v>
                </c:pt>
              </c:strCache>
            </c:strRef>
          </c:cat>
          <c:val>
            <c:numRef>
              <c:f>Feuil1!$B$2:$B$8</c:f>
              <c:numCache>
                <c:formatCode>0.00%</c:formatCode>
                <c:ptCount val="7"/>
                <c:pt idx="0">
                  <c:v>1.0699999999999999E-2</c:v>
                </c:pt>
                <c:pt idx="1">
                  <c:v>1.8100000000000002E-2</c:v>
                </c:pt>
                <c:pt idx="2">
                  <c:v>2.4500000000000001E-2</c:v>
                </c:pt>
                <c:pt idx="3">
                  <c:v>2.6700000000000002E-2</c:v>
                </c:pt>
                <c:pt idx="4">
                  <c:v>0.14710000000000001</c:v>
                </c:pt>
                <c:pt idx="5">
                  <c:v>0.15029999999999999</c:v>
                </c:pt>
                <c:pt idx="6">
                  <c:v>0.1759</c:v>
                </c:pt>
              </c:numCache>
            </c:numRef>
          </c:val>
          <c:extLst>
            <c:ext xmlns:c16="http://schemas.microsoft.com/office/drawing/2014/chart" uri="{C3380CC4-5D6E-409C-BE32-E72D297353CC}">
              <c16:uniqueId val="{00000007-C7EC-3149-A45D-B90B916BD06C}"/>
            </c:ext>
          </c:extLst>
        </c:ser>
        <c:dLbls>
          <c:showLegendKey val="0"/>
          <c:showVal val="0"/>
          <c:showCatName val="0"/>
          <c:showSerName val="0"/>
          <c:showPercent val="0"/>
          <c:showBubbleSize val="0"/>
        </c:dLbls>
        <c:gapWidth val="182"/>
        <c:axId val="1581368447"/>
        <c:axId val="1581367487"/>
      </c:barChart>
      <c:catAx>
        <c:axId val="1581368447"/>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Complications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1367487"/>
        <c:crosses val="autoZero"/>
        <c:auto val="1"/>
        <c:lblAlgn val="ctr"/>
        <c:lblOffset val="100"/>
        <c:noMultiLvlLbl val="0"/>
      </c:catAx>
      <c:valAx>
        <c:axId val="1581367487"/>
        <c:scaling>
          <c:orientation val="minMax"/>
        </c:scaling>
        <c:delete val="1"/>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Relative frequency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crossAx val="1581368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C708-C65D-4B2E-BDEE-BACEA677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5009</Words>
  <Characters>28557</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Khardiata Diallo</dc:creator>
  <cp:keywords/>
  <dc:description/>
  <cp:lastModifiedBy>SDI 1180</cp:lastModifiedBy>
  <cp:revision>14</cp:revision>
  <dcterms:created xsi:type="dcterms:W3CDTF">2025-12-02T14:24:00Z</dcterms:created>
  <dcterms:modified xsi:type="dcterms:W3CDTF">2025-12-03T12:42:00Z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48066662-baa9-4a2d-9700-28a5741cf704</vt:lpwstr>
  </property>
</Properties>
</file>