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C6B0A" w14:textId="77777777" w:rsidR="00A174E5" w:rsidRPr="00A174E5" w:rsidRDefault="00A174E5" w:rsidP="00A174E5">
      <w:pPr>
        <w:spacing w:after="280" w:line="240" w:lineRule="auto"/>
        <w:jc w:val="center"/>
        <w:rPr>
          <w:rFonts w:ascii="Arial" w:eastAsia="Arial" w:hAnsi="Arial" w:cs="Arial"/>
          <w:b/>
          <w:bCs/>
          <w:i/>
          <w:iCs/>
          <w:sz w:val="36"/>
          <w:szCs w:val="36"/>
          <w:u w:val="single"/>
          <w:lang w:val="en-US"/>
        </w:rPr>
      </w:pPr>
      <w:r w:rsidRPr="00A174E5">
        <w:rPr>
          <w:rFonts w:ascii="Arial" w:eastAsia="Arial" w:hAnsi="Arial" w:cs="Arial"/>
          <w:b/>
          <w:bCs/>
          <w:i/>
          <w:iCs/>
          <w:sz w:val="36"/>
          <w:szCs w:val="36"/>
          <w:u w:val="single"/>
          <w:lang w:val="en-US"/>
        </w:rPr>
        <w:t xml:space="preserve">Case report </w:t>
      </w:r>
    </w:p>
    <w:p w14:paraId="0CD3D6DD" w14:textId="77777777" w:rsidR="00A174E5" w:rsidRDefault="00A174E5">
      <w:pPr>
        <w:spacing w:after="280" w:line="240" w:lineRule="auto"/>
        <w:jc w:val="center"/>
        <w:rPr>
          <w:rFonts w:ascii="Arial" w:eastAsia="Arial" w:hAnsi="Arial" w:cs="Arial"/>
          <w:b/>
          <w:sz w:val="36"/>
          <w:szCs w:val="36"/>
        </w:rPr>
      </w:pPr>
    </w:p>
    <w:p w14:paraId="00000001" w14:textId="6A45A4E5" w:rsidR="00DF4018" w:rsidRDefault="000E1748">
      <w:pPr>
        <w:spacing w:after="280" w:line="240" w:lineRule="auto"/>
        <w:jc w:val="center"/>
        <w:rPr>
          <w:rFonts w:ascii="Arial" w:eastAsia="Arial" w:hAnsi="Arial" w:cs="Arial"/>
          <w:b/>
          <w:sz w:val="36"/>
          <w:szCs w:val="36"/>
        </w:rPr>
      </w:pPr>
      <w:r>
        <w:rPr>
          <w:rFonts w:ascii="Arial" w:eastAsia="Arial" w:hAnsi="Arial" w:cs="Arial"/>
          <w:b/>
          <w:sz w:val="36"/>
          <w:szCs w:val="36"/>
        </w:rPr>
        <w:t xml:space="preserve">Co-infection with </w:t>
      </w:r>
      <w:r>
        <w:rPr>
          <w:rFonts w:ascii="Arial" w:eastAsia="Arial" w:hAnsi="Arial" w:cs="Arial"/>
          <w:b/>
          <w:i/>
          <w:sz w:val="36"/>
          <w:szCs w:val="36"/>
        </w:rPr>
        <w:t xml:space="preserve">Salmonella </w:t>
      </w:r>
      <w:r w:rsidR="00FA4AD4">
        <w:rPr>
          <w:rFonts w:ascii="Arial" w:eastAsia="Arial" w:hAnsi="Arial" w:cs="Arial"/>
          <w:b/>
          <w:i/>
          <w:sz w:val="36"/>
          <w:szCs w:val="36"/>
        </w:rPr>
        <w:t>Typhi</w:t>
      </w:r>
      <w:r>
        <w:rPr>
          <w:rFonts w:ascii="Arial" w:eastAsia="Arial" w:hAnsi="Arial" w:cs="Arial"/>
          <w:b/>
          <w:sz w:val="36"/>
          <w:szCs w:val="36"/>
        </w:rPr>
        <w:t xml:space="preserve"> and </w:t>
      </w:r>
      <w:r>
        <w:rPr>
          <w:rFonts w:ascii="Arial" w:eastAsia="Arial" w:hAnsi="Arial" w:cs="Arial"/>
          <w:b/>
          <w:i/>
          <w:sz w:val="36"/>
          <w:szCs w:val="36"/>
        </w:rPr>
        <w:t xml:space="preserve">Salmonella </w:t>
      </w:r>
      <w:proofErr w:type="spellStart"/>
      <w:r w:rsidR="00FA4AD4">
        <w:rPr>
          <w:rFonts w:ascii="Arial" w:eastAsia="Arial" w:hAnsi="Arial" w:cs="Arial"/>
          <w:b/>
          <w:i/>
          <w:sz w:val="36"/>
          <w:szCs w:val="36"/>
        </w:rPr>
        <w:t>Paratyphi</w:t>
      </w:r>
      <w:proofErr w:type="spellEnd"/>
      <w:r>
        <w:rPr>
          <w:rFonts w:ascii="Arial" w:eastAsia="Arial" w:hAnsi="Arial" w:cs="Arial"/>
          <w:b/>
          <w:i/>
          <w:sz w:val="36"/>
          <w:szCs w:val="36"/>
        </w:rPr>
        <w:t xml:space="preserve"> A</w:t>
      </w:r>
      <w:r>
        <w:rPr>
          <w:rFonts w:ascii="Arial" w:eastAsia="Arial" w:hAnsi="Arial" w:cs="Arial"/>
          <w:b/>
          <w:sz w:val="36"/>
          <w:szCs w:val="36"/>
        </w:rPr>
        <w:t xml:space="preserve"> in a Young Female with Prolonged Febrile Illness</w:t>
      </w:r>
      <w:r w:rsidR="00CD418E">
        <w:rPr>
          <w:rFonts w:ascii="Arial" w:eastAsia="Arial" w:hAnsi="Arial" w:cs="Arial"/>
          <w:b/>
          <w:sz w:val="36"/>
          <w:szCs w:val="36"/>
        </w:rPr>
        <w:t xml:space="preserve">: A </w:t>
      </w:r>
      <w:r w:rsidR="00CD418E" w:rsidRPr="00CD418E">
        <w:rPr>
          <w:rFonts w:ascii="Arial" w:eastAsia="Arial" w:hAnsi="Arial" w:cs="Arial"/>
          <w:b/>
          <w:sz w:val="36"/>
          <w:szCs w:val="36"/>
        </w:rPr>
        <w:t>Case Report</w:t>
      </w:r>
    </w:p>
    <w:p w14:paraId="404D0C2E" w14:textId="77777777" w:rsidR="001528DB" w:rsidRDefault="001528DB">
      <w:pPr>
        <w:spacing w:before="280" w:after="280" w:line="240" w:lineRule="auto"/>
        <w:rPr>
          <w:rFonts w:ascii="Arial" w:eastAsia="Arial" w:hAnsi="Arial" w:cs="Arial"/>
          <w:b/>
        </w:rPr>
      </w:pPr>
    </w:p>
    <w:p w14:paraId="00000003" w14:textId="6AC91C3C" w:rsidR="00DF4018" w:rsidRDefault="000E1748">
      <w:pPr>
        <w:spacing w:before="280" w:after="280" w:line="240" w:lineRule="auto"/>
        <w:rPr>
          <w:rFonts w:ascii="Arial" w:eastAsia="Arial" w:hAnsi="Arial" w:cs="Arial"/>
          <w:b/>
        </w:rPr>
      </w:pPr>
      <w:r>
        <w:rPr>
          <w:rFonts w:ascii="Arial" w:eastAsia="Arial" w:hAnsi="Arial" w:cs="Arial"/>
          <w:b/>
        </w:rPr>
        <w:t>ABSTRACT</w:t>
      </w:r>
    </w:p>
    <w:p w14:paraId="00000004" w14:textId="4F318899"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Background</w:t>
      </w:r>
      <w:r>
        <w:rPr>
          <w:rFonts w:ascii="Arial" w:eastAsia="Arial" w:hAnsi="Arial" w:cs="Arial"/>
          <w:color w:val="000000"/>
          <w:sz w:val="20"/>
          <w:szCs w:val="20"/>
        </w:rPr>
        <w:t xml:space="preserve">: Co-infection with </w:t>
      </w:r>
      <w:r>
        <w:rPr>
          <w:rFonts w:ascii="Arial" w:eastAsia="Arial" w:hAnsi="Arial" w:cs="Arial"/>
          <w:i/>
          <w:color w:val="000000"/>
          <w:sz w:val="20"/>
          <w:szCs w:val="20"/>
        </w:rPr>
        <w:t>Salmonella enterica</w:t>
      </w:r>
      <w:r>
        <w:rPr>
          <w:rFonts w:ascii="Arial" w:eastAsia="Arial" w:hAnsi="Arial" w:cs="Arial"/>
          <w:color w:val="000000"/>
          <w:sz w:val="20"/>
          <w:szCs w:val="20"/>
        </w:rPr>
        <w:t xml:space="preserve"> serovars </w:t>
      </w:r>
      <w:r w:rsidR="00FA4AD4">
        <w:rPr>
          <w:rFonts w:ascii="Arial" w:eastAsia="Arial" w:hAnsi="Arial" w:cs="Arial"/>
          <w:color w:val="000000"/>
          <w:sz w:val="20"/>
          <w:szCs w:val="20"/>
        </w:rPr>
        <w:t>Typhi</w:t>
      </w:r>
      <w:r>
        <w:rPr>
          <w:rFonts w:ascii="Arial" w:eastAsia="Arial" w:hAnsi="Arial" w:cs="Arial"/>
          <w:color w:val="000000"/>
          <w:sz w:val="20"/>
          <w:szCs w:val="20"/>
        </w:rPr>
        <w:t xml:space="preserve"> and </w:t>
      </w:r>
      <w:proofErr w:type="spellStart"/>
      <w:r w:rsidR="00FA4AD4">
        <w:rPr>
          <w:rFonts w:ascii="Arial" w:eastAsia="Arial" w:hAnsi="Arial" w:cs="Arial"/>
          <w:color w:val="000000"/>
          <w:sz w:val="20"/>
          <w:szCs w:val="20"/>
        </w:rPr>
        <w:t>Paratyphi</w:t>
      </w:r>
      <w:proofErr w:type="spellEnd"/>
      <w:r>
        <w:rPr>
          <w:rFonts w:ascii="Arial" w:eastAsia="Arial" w:hAnsi="Arial" w:cs="Arial"/>
          <w:color w:val="000000"/>
          <w:sz w:val="20"/>
          <w:szCs w:val="20"/>
        </w:rPr>
        <w:t xml:space="preserve"> A is exceptionally uncommon. Such dual infections pose unique diagnostic and therapeutic difficulties due to overlapping clinical features, potential misidentification, and discordant antimicrobial susceptibility patterns. In endemic regions, these challenges are compounded by the increasing prevalence of antimicrobial resistance.</w:t>
      </w:r>
    </w:p>
    <w:p w14:paraId="00000005" w14:textId="7F4B0462"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Case Presentation</w:t>
      </w:r>
      <w:r>
        <w:rPr>
          <w:rFonts w:ascii="Arial" w:eastAsia="Arial" w:hAnsi="Arial" w:cs="Arial"/>
          <w:color w:val="000000"/>
          <w:sz w:val="20"/>
          <w:szCs w:val="20"/>
        </w:rPr>
        <w:t xml:space="preserve">: A 29-year-old immunocompetent female presented with a prolonged febrile illness unresponsive to initial empirical antibiotics. Blood cultures revealed mixed growth of </w:t>
      </w:r>
      <w:r>
        <w:rPr>
          <w:rFonts w:ascii="Arial" w:eastAsia="Arial" w:hAnsi="Arial" w:cs="Arial"/>
          <w:i/>
          <w:color w:val="000000"/>
          <w:sz w:val="20"/>
          <w:szCs w:val="20"/>
        </w:rPr>
        <w:t xml:space="preserve">S. </w:t>
      </w:r>
      <w:r w:rsidR="00FA4AD4">
        <w:rPr>
          <w:rFonts w:ascii="Arial" w:eastAsia="Arial" w:hAnsi="Arial" w:cs="Arial"/>
          <w:i/>
          <w:color w:val="000000"/>
          <w:sz w:val="20"/>
          <w:szCs w:val="20"/>
        </w:rPr>
        <w:t>Typhi</w:t>
      </w:r>
      <w:r>
        <w:rPr>
          <w:rFonts w:ascii="Arial" w:eastAsia="Arial" w:hAnsi="Arial" w:cs="Arial"/>
          <w:color w:val="000000"/>
          <w:sz w:val="20"/>
          <w:szCs w:val="20"/>
        </w:rPr>
        <w:t xml:space="preserve"> and </w:t>
      </w:r>
      <w:r>
        <w:rPr>
          <w:rFonts w:ascii="Arial" w:eastAsia="Arial" w:hAnsi="Arial" w:cs="Arial"/>
          <w:i/>
          <w:color w:val="000000"/>
          <w:sz w:val="20"/>
          <w:szCs w:val="20"/>
        </w:rPr>
        <w:t xml:space="preserve">S. </w:t>
      </w:r>
      <w:proofErr w:type="spellStart"/>
      <w:r w:rsidR="00FA4AD4">
        <w:rPr>
          <w:rFonts w:ascii="Arial" w:eastAsia="Arial" w:hAnsi="Arial" w:cs="Arial"/>
          <w:i/>
          <w:color w:val="000000"/>
          <w:sz w:val="20"/>
          <w:szCs w:val="20"/>
        </w:rPr>
        <w:t>Paratyphi</w:t>
      </w:r>
      <w:proofErr w:type="spellEnd"/>
      <w:r>
        <w:rPr>
          <w:rFonts w:ascii="Arial" w:eastAsia="Arial" w:hAnsi="Arial" w:cs="Arial"/>
          <w:color w:val="000000"/>
          <w:sz w:val="20"/>
          <w:szCs w:val="20"/>
        </w:rPr>
        <w:t xml:space="preserve"> A with conflicting susceptibility profiles. Comprehensive microbiological evaluation was performed, and molecular diagnostic testing confirmed the co-infection.</w:t>
      </w:r>
    </w:p>
    <w:p w14:paraId="00000006" w14:textId="77777777"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Discussion</w:t>
      </w:r>
      <w:r>
        <w:rPr>
          <w:rFonts w:ascii="Arial" w:eastAsia="Arial" w:hAnsi="Arial" w:cs="Arial"/>
          <w:color w:val="000000"/>
          <w:sz w:val="20"/>
          <w:szCs w:val="20"/>
        </w:rPr>
        <w:t xml:space="preserve">: This case illustrates the complexity of managing </w:t>
      </w:r>
      <w:r>
        <w:rPr>
          <w:rFonts w:ascii="Arial" w:eastAsia="Arial" w:hAnsi="Arial" w:cs="Arial"/>
          <w:i/>
          <w:color w:val="000000"/>
          <w:sz w:val="20"/>
          <w:szCs w:val="20"/>
        </w:rPr>
        <w:t>Salmonella</w:t>
      </w:r>
      <w:r>
        <w:rPr>
          <w:rFonts w:ascii="Arial" w:eastAsia="Arial" w:hAnsi="Arial" w:cs="Arial"/>
          <w:color w:val="000000"/>
          <w:sz w:val="20"/>
          <w:szCs w:val="20"/>
        </w:rPr>
        <w:t xml:space="preserve"> co-infections, particularly when culture-based susceptibility results differ for each isolate. Delayed clinical improvement was attributable to these conflicting patterns, necessitating a treatment strategy guided by molecular confirmation and close clinical monitoring. In endemic settings, missed or delayed identification of such co-infections can result in treatment failure and prolonged morbidity.</w:t>
      </w:r>
    </w:p>
    <w:p w14:paraId="00000007" w14:textId="77777777"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Conclusion</w:t>
      </w:r>
      <w:r>
        <w:rPr>
          <w:rFonts w:ascii="Arial" w:eastAsia="Arial" w:hAnsi="Arial" w:cs="Arial"/>
          <w:color w:val="000000"/>
          <w:sz w:val="20"/>
          <w:szCs w:val="20"/>
        </w:rPr>
        <w:br/>
        <w:t xml:space="preserve">Clinicians should maintain a high index of suspicion for </w:t>
      </w:r>
      <w:r>
        <w:rPr>
          <w:rFonts w:ascii="Arial" w:eastAsia="Arial" w:hAnsi="Arial" w:cs="Arial"/>
          <w:i/>
          <w:color w:val="000000"/>
          <w:sz w:val="20"/>
          <w:szCs w:val="20"/>
        </w:rPr>
        <w:t>Salmonella</w:t>
      </w:r>
      <w:r>
        <w:rPr>
          <w:rFonts w:ascii="Arial" w:eastAsia="Arial" w:hAnsi="Arial" w:cs="Arial"/>
          <w:color w:val="000000"/>
          <w:sz w:val="20"/>
          <w:szCs w:val="20"/>
        </w:rPr>
        <w:t xml:space="preserve"> co-infections in patients with persistent febrile illness in endemic regions. Incorporating molecular diagnostics alongside traditional culture methods can improve diagnostic accuracy and guide effective treatment, especially in the face of emerging antimicrobial resistance.</w:t>
      </w:r>
    </w:p>
    <w:p w14:paraId="00000008" w14:textId="609E211D" w:rsidR="00DF4018" w:rsidRDefault="000E1748">
      <w:pPr>
        <w:pBdr>
          <w:top w:val="nil"/>
          <w:left w:val="nil"/>
          <w:bottom w:val="nil"/>
          <w:right w:val="nil"/>
          <w:between w:val="nil"/>
        </w:pBdr>
        <w:spacing w:line="240" w:lineRule="auto"/>
        <w:jc w:val="both"/>
        <w:rPr>
          <w:rFonts w:ascii="Arial" w:eastAsia="Arial" w:hAnsi="Arial" w:cs="Arial"/>
          <w:i/>
          <w:color w:val="000000"/>
          <w:sz w:val="20"/>
          <w:szCs w:val="20"/>
        </w:rPr>
      </w:pPr>
      <w:r>
        <w:rPr>
          <w:rFonts w:ascii="Arial" w:eastAsia="Arial" w:hAnsi="Arial" w:cs="Arial"/>
          <w:b/>
          <w:color w:val="000000"/>
          <w:sz w:val="24"/>
          <w:szCs w:val="24"/>
        </w:rPr>
        <w:t>Keywords:</w:t>
      </w:r>
      <w:r>
        <w:rPr>
          <w:rFonts w:ascii="Arial" w:eastAsia="Arial" w:hAnsi="Arial" w:cs="Arial"/>
          <w:color w:val="000000"/>
          <w:sz w:val="24"/>
          <w:szCs w:val="24"/>
        </w:rPr>
        <w:t xml:space="preserve"> </w:t>
      </w:r>
      <w:r>
        <w:rPr>
          <w:rFonts w:ascii="Arial" w:eastAsia="Arial" w:hAnsi="Arial" w:cs="Arial"/>
          <w:i/>
          <w:color w:val="000000"/>
          <w:sz w:val="20"/>
          <w:szCs w:val="20"/>
        </w:rPr>
        <w:t xml:space="preserve">Salmonella </w:t>
      </w:r>
      <w:r w:rsidR="00FA4AD4">
        <w:rPr>
          <w:rFonts w:ascii="Arial" w:eastAsia="Arial" w:hAnsi="Arial" w:cs="Arial"/>
          <w:i/>
          <w:color w:val="000000"/>
          <w:sz w:val="20"/>
          <w:szCs w:val="20"/>
        </w:rPr>
        <w:t>Typhi</w:t>
      </w:r>
      <w:r>
        <w:rPr>
          <w:rFonts w:ascii="Arial" w:eastAsia="Arial" w:hAnsi="Arial" w:cs="Arial"/>
          <w:i/>
          <w:color w:val="000000"/>
          <w:sz w:val="20"/>
          <w:szCs w:val="20"/>
        </w:rPr>
        <w:t xml:space="preserve">, Salmonella </w:t>
      </w:r>
      <w:proofErr w:type="spellStart"/>
      <w:r w:rsidR="00FA4AD4">
        <w:rPr>
          <w:rFonts w:ascii="Arial" w:eastAsia="Arial" w:hAnsi="Arial" w:cs="Arial"/>
          <w:i/>
          <w:color w:val="000000"/>
          <w:sz w:val="20"/>
          <w:szCs w:val="20"/>
        </w:rPr>
        <w:t>Paratyphi</w:t>
      </w:r>
      <w:proofErr w:type="spellEnd"/>
      <w:r>
        <w:rPr>
          <w:rFonts w:ascii="Arial" w:eastAsia="Arial" w:hAnsi="Arial" w:cs="Arial"/>
          <w:i/>
          <w:color w:val="000000"/>
          <w:sz w:val="20"/>
          <w:szCs w:val="20"/>
        </w:rPr>
        <w:t xml:space="preserve"> A, co-infection, enteric fever, antimicrobial resistance, molecular diagnostics</w:t>
      </w:r>
    </w:p>
    <w:p w14:paraId="00000009" w14:textId="77777777" w:rsidR="00DF4018" w:rsidRDefault="000E1748">
      <w:pPr>
        <w:spacing w:before="280" w:after="280" w:line="240" w:lineRule="auto"/>
        <w:rPr>
          <w:rFonts w:ascii="Arial" w:eastAsia="Arial" w:hAnsi="Arial" w:cs="Arial"/>
          <w:b/>
        </w:rPr>
      </w:pPr>
      <w:r>
        <w:rPr>
          <w:rFonts w:ascii="Arial" w:eastAsia="Arial" w:hAnsi="Arial" w:cs="Arial"/>
          <w:b/>
        </w:rPr>
        <w:t>Introduction</w:t>
      </w:r>
    </w:p>
    <w:p w14:paraId="0000000A" w14:textId="2D943843"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Enteric fever is a systemic febrile illness caused by </w:t>
      </w:r>
      <w:r>
        <w:rPr>
          <w:rFonts w:ascii="Arial" w:eastAsia="Arial" w:hAnsi="Arial" w:cs="Arial"/>
          <w:i/>
          <w:sz w:val="20"/>
          <w:szCs w:val="20"/>
        </w:rPr>
        <w:t>Salmonella enterica</w:t>
      </w:r>
      <w:r>
        <w:rPr>
          <w:rFonts w:ascii="Arial" w:eastAsia="Arial" w:hAnsi="Arial" w:cs="Arial"/>
          <w:sz w:val="20"/>
          <w:szCs w:val="20"/>
        </w:rPr>
        <w:t xml:space="preserve"> serovars </w:t>
      </w:r>
      <w:r w:rsidR="00FA4AD4">
        <w:rPr>
          <w:rFonts w:ascii="Arial" w:eastAsia="Arial" w:hAnsi="Arial" w:cs="Arial"/>
          <w:i/>
          <w:sz w:val="20"/>
          <w:szCs w:val="20"/>
        </w:rPr>
        <w:t>Typhi</w:t>
      </w:r>
      <w:r>
        <w:rPr>
          <w:rFonts w:ascii="Arial" w:eastAsia="Arial" w:hAnsi="Arial" w:cs="Arial"/>
          <w:sz w:val="20"/>
          <w:szCs w:val="20"/>
        </w:rPr>
        <w:t xml:space="preserve"> and </w:t>
      </w:r>
      <w:proofErr w:type="spellStart"/>
      <w:r w:rsidR="00FA4AD4">
        <w:rPr>
          <w:rFonts w:ascii="Arial" w:eastAsia="Arial" w:hAnsi="Arial" w:cs="Arial"/>
          <w:i/>
          <w:sz w:val="20"/>
          <w:szCs w:val="20"/>
        </w:rPr>
        <w:t>Paratyphi</w:t>
      </w:r>
      <w:proofErr w:type="spellEnd"/>
      <w:r>
        <w:rPr>
          <w:rFonts w:ascii="Arial" w:eastAsia="Arial" w:hAnsi="Arial" w:cs="Arial"/>
          <w:sz w:val="20"/>
          <w:szCs w:val="20"/>
        </w:rPr>
        <w:t xml:space="preserve"> (A, B, and C), transmitted through ingestion of contaminated food or water. While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accounts for the majority of cases,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is increasingly recognized, particularly in South and Southeast Asia (Harris &amp; Brooks, 2013; Zhou et al., 2012). Co-infections involving both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and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are not uncommon and but they may go unrecognized due to similarities in clinical presentation and limitations of conventional diagnostic methods (‘Enteric Fever in a Young Man with Bowel Wall Thickening and Hepatosplenomegaly’, 2024; Maskey et al., 2006; Pratap et al., 2014).</w:t>
      </w:r>
    </w:p>
    <w:p w14:paraId="0000000B" w14:textId="77777777" w:rsidR="00DF4018" w:rsidRDefault="000E1748">
      <w:pPr>
        <w:spacing w:after="0" w:line="240" w:lineRule="auto"/>
        <w:jc w:val="both"/>
        <w:rPr>
          <w:rFonts w:ascii="Arial" w:eastAsia="Arial" w:hAnsi="Arial" w:cs="Arial"/>
          <w:sz w:val="20"/>
          <w:szCs w:val="20"/>
        </w:rPr>
      </w:pPr>
      <w:r>
        <w:rPr>
          <w:rFonts w:ascii="Arial" w:eastAsia="Arial" w:hAnsi="Arial" w:cs="Arial"/>
          <w:sz w:val="20"/>
          <w:szCs w:val="20"/>
        </w:rPr>
        <w:t xml:space="preserve">The rise of drug-resistant </w:t>
      </w:r>
      <w:r>
        <w:rPr>
          <w:rFonts w:ascii="Arial" w:eastAsia="Arial" w:hAnsi="Arial" w:cs="Arial"/>
          <w:i/>
          <w:sz w:val="20"/>
          <w:szCs w:val="20"/>
        </w:rPr>
        <w:t>Salmonella</w:t>
      </w:r>
      <w:r>
        <w:rPr>
          <w:rFonts w:ascii="Arial" w:eastAsia="Arial" w:hAnsi="Arial" w:cs="Arial"/>
          <w:sz w:val="20"/>
          <w:szCs w:val="20"/>
        </w:rPr>
        <w:t xml:space="preserve"> is partly driven by the indiscriminate use of antibiotics, but more significantly by the spread of already resistant strains and the concurrent emergence of new resistance mechanisms (Nair et al., 2015). The emergence of multidrug-resistant (MDR) and extensively drug-resistant (XDR) </w:t>
      </w:r>
      <w:r>
        <w:rPr>
          <w:rFonts w:ascii="Arial" w:eastAsia="Arial" w:hAnsi="Arial" w:cs="Arial"/>
          <w:i/>
          <w:sz w:val="20"/>
          <w:szCs w:val="20"/>
        </w:rPr>
        <w:t>Salmonella</w:t>
      </w:r>
      <w:r>
        <w:rPr>
          <w:rFonts w:ascii="Arial" w:eastAsia="Arial" w:hAnsi="Arial" w:cs="Arial"/>
          <w:sz w:val="20"/>
          <w:szCs w:val="20"/>
        </w:rPr>
        <w:t xml:space="preserve"> strains poses significant challenges to the management of enteric fever (</w:t>
      </w:r>
      <w:proofErr w:type="spellStart"/>
      <w:r>
        <w:rPr>
          <w:rFonts w:ascii="Arial" w:eastAsia="Arial" w:hAnsi="Arial" w:cs="Arial"/>
          <w:sz w:val="20"/>
          <w:szCs w:val="20"/>
        </w:rPr>
        <w:t>Hamdulay</w:t>
      </w:r>
      <w:proofErr w:type="spellEnd"/>
      <w:r>
        <w:rPr>
          <w:rFonts w:ascii="Arial" w:eastAsia="Arial" w:hAnsi="Arial" w:cs="Arial"/>
          <w:sz w:val="20"/>
          <w:szCs w:val="20"/>
        </w:rPr>
        <w:t xml:space="preserve"> et al., 2024). Accurate pathogen identification and antimicrobial susceptibility testing are crucial for efficient therapy (Xie et al., 2024). We present the case of a young woman with </w:t>
      </w:r>
      <w:proofErr w:type="gramStart"/>
      <w:r>
        <w:rPr>
          <w:rFonts w:ascii="Arial" w:eastAsia="Arial" w:hAnsi="Arial" w:cs="Arial"/>
          <w:sz w:val="20"/>
          <w:szCs w:val="20"/>
        </w:rPr>
        <w:t>a</w:t>
      </w:r>
      <w:proofErr w:type="gramEnd"/>
      <w:r>
        <w:rPr>
          <w:rFonts w:ascii="Arial" w:eastAsia="Arial" w:hAnsi="Arial" w:cs="Arial"/>
          <w:sz w:val="20"/>
          <w:szCs w:val="20"/>
        </w:rPr>
        <w:t xml:space="preserve"> enteric fever co-infection, demonstrating the diagnostic ambiguities often encountered in clinical practice. This </w:t>
      </w:r>
      <w:r>
        <w:rPr>
          <w:rFonts w:ascii="Arial" w:eastAsia="Arial" w:hAnsi="Arial" w:cs="Arial"/>
          <w:sz w:val="20"/>
          <w:szCs w:val="20"/>
        </w:rPr>
        <w:lastRenderedPageBreak/>
        <w:t>case highlights the importance of comprehensive laboratory diagnostics, including blood culture and molecular assays, for the differentiation of pathogens. It also indicates the need for individualized antimicrobial strategies in managing the evolving resistance patterns.</w:t>
      </w:r>
    </w:p>
    <w:p w14:paraId="0000000C" w14:textId="77777777" w:rsidR="00DF4018" w:rsidRDefault="00DF4018">
      <w:pPr>
        <w:spacing w:before="280" w:after="280" w:line="240" w:lineRule="auto"/>
        <w:rPr>
          <w:rFonts w:ascii="Arial" w:eastAsia="Arial" w:hAnsi="Arial" w:cs="Arial"/>
          <w:b/>
        </w:rPr>
      </w:pPr>
    </w:p>
    <w:p w14:paraId="0000000D" w14:textId="77777777" w:rsidR="00DF4018" w:rsidRDefault="000E1748">
      <w:pPr>
        <w:spacing w:before="280" w:after="280" w:line="240" w:lineRule="auto"/>
        <w:rPr>
          <w:rFonts w:ascii="Arial" w:eastAsia="Arial" w:hAnsi="Arial" w:cs="Arial"/>
          <w:b/>
        </w:rPr>
      </w:pPr>
      <w:r>
        <w:rPr>
          <w:rFonts w:ascii="Arial" w:eastAsia="Arial" w:hAnsi="Arial" w:cs="Arial"/>
          <w:b/>
        </w:rPr>
        <w:t>Case Presentation</w:t>
      </w:r>
    </w:p>
    <w:p w14:paraId="0000000E"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Patient History and Initial Presentation</w:t>
      </w:r>
    </w:p>
    <w:p w14:paraId="0000000F"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A 29-year-old female with no significant past medical history presented with a 15-day history of intermittent high-grade fever, with temperatures reaching up to 39.5°C. This was accompanied by generalized malaise, headache, and occasional episodes of non-bloody loose stools. Transient improvement was reported after completing a 5-day course of oral Rifaximin and Cefixime, which was prescribed at a tertiary care medical school.  The fever recurred within 48 hours of discontinuing treatment. The patient denied recent travel, exposure to sick individuals, or consumption of high-risk foods. No known history of prior typhoid vaccine was noted.</w:t>
      </w:r>
    </w:p>
    <w:p w14:paraId="00000010"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b/>
          <w:sz w:val="20"/>
          <w:szCs w:val="20"/>
        </w:rPr>
        <w:t>On Admission</w:t>
      </w:r>
    </w:p>
    <w:p w14:paraId="00000011"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Upon admission, her vital signs reported a temperature of 38.8°C, blood pressure of 110/70 mmHg, and heart rate of 96 bpm. Mild pallor, without any rash or lymphadenopathy, was revealed in the general examination. Abdominal examination showed mild hepatomegaly without guarding or rebound tenderness. The remainder of the systemic examination was unremarkable.</w:t>
      </w:r>
    </w:p>
    <w:p w14:paraId="00000012"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Initial Investigations</w:t>
      </w:r>
    </w:p>
    <w:p w14:paraId="00000013" w14:textId="3EBE67E3"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Initial laboratory findings showed a </w:t>
      </w:r>
      <w:proofErr w:type="spellStart"/>
      <w:r>
        <w:rPr>
          <w:rFonts w:ascii="Arial" w:eastAsia="Arial" w:hAnsi="Arial" w:cs="Arial"/>
          <w:sz w:val="20"/>
          <w:szCs w:val="20"/>
        </w:rPr>
        <w:t>hemoglobin</w:t>
      </w:r>
      <w:proofErr w:type="spellEnd"/>
      <w:r>
        <w:rPr>
          <w:rFonts w:ascii="Arial" w:eastAsia="Arial" w:hAnsi="Arial" w:cs="Arial"/>
          <w:sz w:val="20"/>
          <w:szCs w:val="20"/>
        </w:rPr>
        <w:t xml:space="preserve"> level of 10.8 g/dL, a white blood cell count of 5,200/mm³ with 65% neutrophils, and a platelet count of 180,000/mm³. Inflammatory markers were elevated, with an ESR of 40 mm/hr and CRP at 46 mg/L. Liver function tests revealed mildly elevated transaminases (ALT/AST), while renal function remained normal with a serum creatinine of 0.7 mg/dL. An abdominal ultrasound showed hepatomegaly with borderline splenomegaly. A malaria rapid diagnostic test and Salmonella IgM (ICT) were negative. However, a prior external blood culture report identified </w:t>
      </w:r>
      <w:r>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sz w:val="20"/>
          <w:szCs w:val="20"/>
        </w:rPr>
        <w:t>, sensitive to cefixime and ceftriaxone. Based on this result, she was started on intravenous ceftriaxone 2 g once daily and oral azithromycin 1 g once daily.</w:t>
      </w:r>
    </w:p>
    <w:p w14:paraId="00000014"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Clinical Course and Diagnostic Challenges</w:t>
      </w:r>
    </w:p>
    <w:p w14:paraId="00000015"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Despite 72 hours of appropriate antibiotic therapy, the patient remained febrile. Repeat blood cultures were sent for analysis, and antibiotics were continued. The in-house blood cultures (Day 3 of admission) showed growth in 4 out of 4 bottles within 24–48 hours. Gram stain revealed Gram-negative bacilli. VITEK identification confirmed </w:t>
      </w:r>
      <w:r>
        <w:rPr>
          <w:rFonts w:ascii="Arial" w:eastAsia="Arial" w:hAnsi="Arial" w:cs="Arial"/>
          <w:i/>
          <w:sz w:val="20"/>
          <w:szCs w:val="20"/>
        </w:rPr>
        <w:t>Salmonella</w:t>
      </w:r>
      <w:r>
        <w:rPr>
          <w:rFonts w:ascii="Arial" w:eastAsia="Arial" w:hAnsi="Arial" w:cs="Arial"/>
          <w:sz w:val="20"/>
          <w:szCs w:val="20"/>
        </w:rPr>
        <w:t xml:space="preserve"> </w:t>
      </w:r>
      <w:r>
        <w:rPr>
          <w:rFonts w:ascii="Arial" w:eastAsia="Arial" w:hAnsi="Arial" w:cs="Arial"/>
          <w:i/>
          <w:sz w:val="20"/>
          <w:szCs w:val="20"/>
        </w:rPr>
        <w:t>species.</w:t>
      </w:r>
      <w:r>
        <w:rPr>
          <w:rFonts w:ascii="Arial" w:eastAsia="Arial" w:hAnsi="Arial" w:cs="Arial"/>
          <w:sz w:val="20"/>
          <w:szCs w:val="20"/>
        </w:rPr>
        <w:t xml:space="preserve"> Antimicrobial susceptibility testing revealed resistance to ceftriaxone and meropenem, but sensitivity to azithromycin and trimethoprim-sulfamethoxazole. In light of ceftriaxone resistance and persistent fever, therapy was escalated to ceftazidime-avibactam.</w:t>
      </w:r>
    </w:p>
    <w:p w14:paraId="00000016"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b/>
          <w:sz w:val="20"/>
          <w:szCs w:val="20"/>
        </w:rPr>
        <w:t>Microbiological Dilemma and Advanced Diagnostics</w:t>
      </w:r>
    </w:p>
    <w:p w14:paraId="00000017" w14:textId="56E34328" w:rsidR="00DF4018" w:rsidRDefault="000E1748">
      <w:pPr>
        <w:spacing w:before="280" w:after="280" w:line="240" w:lineRule="auto"/>
        <w:jc w:val="both"/>
        <w:rPr>
          <w:rFonts w:ascii="Arial" w:eastAsia="Arial" w:hAnsi="Arial" w:cs="Arial"/>
          <w:sz w:val="20"/>
          <w:szCs w:val="20"/>
        </w:rPr>
      </w:pPr>
      <w:bookmarkStart w:id="0" w:name="_myalszi8fv49" w:colFirst="0" w:colLast="0"/>
      <w:bookmarkEnd w:id="0"/>
      <w:r>
        <w:rPr>
          <w:rFonts w:ascii="Arial" w:eastAsia="Arial" w:hAnsi="Arial" w:cs="Arial"/>
          <w:sz w:val="20"/>
          <w:szCs w:val="20"/>
        </w:rPr>
        <w:t xml:space="preserve">Due to the conflicting susceptibility results and variable response to treatment, further microbiological analysis was pursued. Morphologically similar colonies from two separate blood culture bottles were </w:t>
      </w:r>
      <w:proofErr w:type="spellStart"/>
      <w:r>
        <w:rPr>
          <w:rFonts w:ascii="Arial" w:eastAsia="Arial" w:hAnsi="Arial" w:cs="Arial"/>
          <w:sz w:val="20"/>
          <w:szCs w:val="20"/>
        </w:rPr>
        <w:t>subcultured</w:t>
      </w:r>
      <w:proofErr w:type="spellEnd"/>
      <w:r>
        <w:rPr>
          <w:rFonts w:ascii="Arial" w:eastAsia="Arial" w:hAnsi="Arial" w:cs="Arial"/>
          <w:sz w:val="20"/>
          <w:szCs w:val="20"/>
        </w:rPr>
        <w:t xml:space="preserve"> individually. Bottle A was identified as an unspecified </w:t>
      </w:r>
      <w:r>
        <w:rPr>
          <w:rFonts w:ascii="Arial" w:eastAsia="Arial" w:hAnsi="Arial" w:cs="Arial"/>
          <w:i/>
          <w:sz w:val="20"/>
          <w:szCs w:val="20"/>
        </w:rPr>
        <w:t>Salmonella species</w:t>
      </w:r>
      <w:r>
        <w:rPr>
          <w:rFonts w:ascii="Arial" w:eastAsia="Arial" w:hAnsi="Arial" w:cs="Arial"/>
          <w:sz w:val="20"/>
          <w:szCs w:val="20"/>
        </w:rPr>
        <w:t xml:space="preserve">, while Bottle B was identified as </w:t>
      </w:r>
      <w:r>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sz w:val="20"/>
          <w:szCs w:val="20"/>
        </w:rPr>
        <w:t xml:space="preserve"> with a 99% probability via VITEK. These initial VITEK reports provided important but incomplete insights. To resolve the discrepancy and clarify the identity of the isolates, both were referred to the Department of Microbiology at Christian Medical College (CMC), Vellore, for advanced phenotypic and molecular identification. The CMC report confirmed that Bottle A contained a mixed culture of </w:t>
      </w:r>
      <w:r>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i/>
          <w:sz w:val="20"/>
          <w:szCs w:val="20"/>
        </w:rPr>
        <w:t xml:space="preserve"> </w:t>
      </w:r>
      <w:r>
        <w:rPr>
          <w:rFonts w:ascii="Arial" w:eastAsia="Arial" w:hAnsi="Arial" w:cs="Arial"/>
          <w:sz w:val="20"/>
          <w:szCs w:val="20"/>
        </w:rPr>
        <w:t xml:space="preserve">and </w:t>
      </w:r>
      <w:r>
        <w:rPr>
          <w:rFonts w:ascii="Arial" w:eastAsia="Arial" w:hAnsi="Arial" w:cs="Arial"/>
          <w:i/>
          <w:sz w:val="20"/>
          <w:szCs w:val="20"/>
        </w:rPr>
        <w:t xml:space="preserve">Salmonella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while Bottle B yielded a pure isolate of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The findings from CMC correlated with the VITEK results but added greater </w:t>
      </w:r>
      <w:r>
        <w:rPr>
          <w:rFonts w:ascii="Arial" w:eastAsia="Arial" w:hAnsi="Arial" w:cs="Arial"/>
          <w:sz w:val="20"/>
          <w:szCs w:val="20"/>
        </w:rPr>
        <w:lastRenderedPageBreak/>
        <w:t>resolution, confirming the co-infection and accounting for the variable antimicrobial resistance profiles. Each isolate exhibited distinct susceptibility patterns, which explained the inconsistencies in culture reports and therapeutic response. Follow-up cultures after targeted therapy were sterile, indicating effective microbial clearance.</w:t>
      </w:r>
    </w:p>
    <w:p w14:paraId="00000018"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Treatment and Outcome</w:t>
      </w:r>
    </w:p>
    <w:p w14:paraId="00000019"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After confirmation of co-infection and updated susceptibility profiles, azithromycin was continued, ceftriaxone was discontinued, and ceftazidime-avibactam was maintained based on resistance patterns and documented synergy. The patient became afebrile on the fifth day after therapy escalation. No complications occurred during the remainder of her hospital stay. Follow-up cultures were sterile, indicating effective treatment of the pathogens. She completed a 14-day course of antibiotics with regular monitoring of hepatic and renal function. She was discharged in stable condition and remained asymptomatic at her 1-month follow-up visit.</w:t>
      </w:r>
    </w:p>
    <w:p w14:paraId="0000001A" w14:textId="77777777" w:rsidR="00DF4018" w:rsidRDefault="000E1748">
      <w:pPr>
        <w:spacing w:before="280" w:after="280" w:line="240" w:lineRule="auto"/>
        <w:rPr>
          <w:rFonts w:ascii="Arial" w:eastAsia="Arial" w:hAnsi="Arial" w:cs="Arial"/>
          <w:b/>
        </w:rPr>
      </w:pPr>
      <w:r>
        <w:rPr>
          <w:rFonts w:ascii="Arial" w:eastAsia="Arial" w:hAnsi="Arial" w:cs="Arial"/>
          <w:b/>
        </w:rPr>
        <w:t>Discussion</w:t>
      </w:r>
    </w:p>
    <w:p w14:paraId="0000001B" w14:textId="3E8D7748"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case underscores the complexity in diagnosing </w:t>
      </w:r>
      <w:r>
        <w:rPr>
          <w:rFonts w:ascii="Arial" w:eastAsia="Arial" w:hAnsi="Arial" w:cs="Arial"/>
          <w:i/>
          <w:sz w:val="20"/>
          <w:szCs w:val="20"/>
        </w:rPr>
        <w:t>Salmonella</w:t>
      </w:r>
      <w:r>
        <w:rPr>
          <w:rFonts w:ascii="Arial" w:eastAsia="Arial" w:hAnsi="Arial" w:cs="Arial"/>
          <w:sz w:val="20"/>
          <w:szCs w:val="20"/>
        </w:rPr>
        <w:t xml:space="preserve"> co-infections, particularly co-infections with </w:t>
      </w:r>
      <w:r>
        <w:rPr>
          <w:rFonts w:ascii="Arial" w:eastAsia="Arial" w:hAnsi="Arial" w:cs="Arial"/>
          <w:i/>
          <w:sz w:val="20"/>
          <w:szCs w:val="20"/>
        </w:rPr>
        <w:t>Salmonella enterica</w:t>
      </w:r>
      <w:r>
        <w:rPr>
          <w:rFonts w:ascii="Arial" w:eastAsia="Arial" w:hAnsi="Arial" w:cs="Arial"/>
          <w:sz w:val="20"/>
          <w:szCs w:val="20"/>
        </w:rPr>
        <w:t xml:space="preserve"> serovars </w:t>
      </w:r>
      <w:r w:rsidR="00FA4AD4">
        <w:rPr>
          <w:rFonts w:ascii="Arial" w:eastAsia="Arial" w:hAnsi="Arial" w:cs="Arial"/>
          <w:i/>
          <w:sz w:val="20"/>
          <w:szCs w:val="20"/>
        </w:rPr>
        <w:t>Typhi</w:t>
      </w:r>
      <w:r>
        <w:rPr>
          <w:rFonts w:ascii="Arial" w:eastAsia="Arial" w:hAnsi="Arial" w:cs="Arial"/>
          <w:sz w:val="20"/>
          <w:szCs w:val="20"/>
        </w:rPr>
        <w:t xml:space="preserve"> and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w:t>
      </w:r>
      <w:r>
        <w:rPr>
          <w:rFonts w:ascii="Arial" w:eastAsia="Arial" w:hAnsi="Arial" w:cs="Arial"/>
          <w:color w:val="000000"/>
          <w:sz w:val="20"/>
          <w:szCs w:val="20"/>
          <w:highlight w:val="white"/>
        </w:rPr>
        <w:t xml:space="preserve">The clinical similarities between typhoid and paratyphoid fever, which include overlapping symptoms and similar colony morphology, complicate accurate diagnosis. Both conditions are caused by </w:t>
      </w:r>
      <w:r>
        <w:rPr>
          <w:rFonts w:ascii="Arial" w:eastAsia="Arial" w:hAnsi="Arial" w:cs="Arial"/>
          <w:i/>
          <w:color w:val="000000"/>
          <w:sz w:val="20"/>
          <w:szCs w:val="20"/>
          <w:highlight w:val="white"/>
        </w:rPr>
        <w:t>Salmonella species</w:t>
      </w:r>
      <w:r>
        <w:rPr>
          <w:rFonts w:ascii="Arial" w:eastAsia="Arial" w:hAnsi="Arial" w:cs="Arial"/>
          <w:color w:val="000000"/>
          <w:sz w:val="20"/>
          <w:szCs w:val="20"/>
          <w:highlight w:val="white"/>
        </w:rPr>
        <w:t xml:space="preserve">, posing challenges in distinguishing between them, particularly in endemic regions </w:t>
      </w:r>
      <w:r>
        <w:rPr>
          <w:rFonts w:ascii="Arial" w:eastAsia="Arial" w:hAnsi="Arial" w:cs="Arial"/>
          <w:sz w:val="20"/>
          <w:szCs w:val="20"/>
        </w:rPr>
        <w:t xml:space="preserve">(Shi et al., 2015; </w:t>
      </w:r>
      <w:proofErr w:type="spellStart"/>
      <w:r>
        <w:rPr>
          <w:rFonts w:ascii="Arial" w:eastAsia="Arial" w:hAnsi="Arial" w:cs="Arial"/>
          <w:sz w:val="20"/>
          <w:szCs w:val="20"/>
        </w:rPr>
        <w:t>Wijedoru</w:t>
      </w:r>
      <w:proofErr w:type="spellEnd"/>
      <w:r>
        <w:rPr>
          <w:rFonts w:ascii="Arial" w:eastAsia="Arial" w:hAnsi="Arial" w:cs="Arial"/>
          <w:sz w:val="20"/>
          <w:szCs w:val="20"/>
        </w:rPr>
        <w:t xml:space="preserve"> et al., n.d.). Initial identification using an automated system (VITEK) yielded conflicting results: one blood culture bottle (Bottle A) was reported as an unspecified </w:t>
      </w:r>
      <w:r>
        <w:rPr>
          <w:rFonts w:ascii="Arial" w:eastAsia="Arial" w:hAnsi="Arial" w:cs="Arial"/>
          <w:i/>
          <w:sz w:val="20"/>
          <w:szCs w:val="20"/>
        </w:rPr>
        <w:t>Salmonella</w:t>
      </w:r>
      <w:r>
        <w:rPr>
          <w:rFonts w:ascii="Arial" w:eastAsia="Arial" w:hAnsi="Arial" w:cs="Arial"/>
          <w:sz w:val="20"/>
          <w:szCs w:val="20"/>
        </w:rPr>
        <w:t xml:space="preserve"> </w:t>
      </w:r>
      <w:r>
        <w:rPr>
          <w:rFonts w:ascii="Arial" w:eastAsia="Arial" w:hAnsi="Arial" w:cs="Arial"/>
          <w:i/>
          <w:sz w:val="20"/>
          <w:szCs w:val="20"/>
        </w:rPr>
        <w:t>species</w:t>
      </w:r>
      <w:r>
        <w:rPr>
          <w:rFonts w:ascii="Arial" w:eastAsia="Arial" w:hAnsi="Arial" w:cs="Arial"/>
          <w:sz w:val="20"/>
          <w:szCs w:val="20"/>
        </w:rPr>
        <w:t xml:space="preserve">, while the other (Bottle B) was identified as </w:t>
      </w:r>
      <w:r>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sz w:val="20"/>
          <w:szCs w:val="20"/>
        </w:rPr>
        <w:t xml:space="preserve"> with high confidence. Given the indefinite findings and the patient’s suboptimal clinical response, further microbiological investigation was required. Routine laboratory methods, including automated identification systems like VITEK and standard serotyping, may lack the resolution to detect multiple serovars in a single sample, further complicating the diagnostic process (Saha et al., n.d.).</w:t>
      </w:r>
    </w:p>
    <w:p w14:paraId="0000001C" w14:textId="075441A5"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Upon subculturing and advanced analysis at the Department of Microbiology, Christian Medical College (CMC), Vellore, it was revealed that Bottle A carried a co-infection with </w:t>
      </w:r>
      <w:r>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sz w:val="20"/>
          <w:szCs w:val="20"/>
        </w:rPr>
        <w:t xml:space="preserve"> and </w:t>
      </w:r>
      <w:r>
        <w:rPr>
          <w:rFonts w:ascii="Arial" w:eastAsia="Arial" w:hAnsi="Arial" w:cs="Arial"/>
          <w:i/>
          <w:sz w:val="20"/>
          <w:szCs w:val="20"/>
        </w:rPr>
        <w:t xml:space="preserve">Salmonella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while Bottle B contained a pure culture of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This explained both the discordant laboratory results and the differences observed in antimicrobial susceptibility profiles, which impacted the effectiveness of empirical therapy. </w:t>
      </w:r>
      <w:r>
        <w:rPr>
          <w:rFonts w:ascii="Arial" w:eastAsia="Arial" w:hAnsi="Arial" w:cs="Arial"/>
          <w:i/>
          <w:sz w:val="20"/>
          <w:szCs w:val="20"/>
        </w:rPr>
        <w:t>Salmonella</w:t>
      </w:r>
      <w:r>
        <w:rPr>
          <w:rFonts w:ascii="Arial" w:eastAsia="Arial" w:hAnsi="Arial" w:cs="Arial"/>
          <w:sz w:val="20"/>
          <w:szCs w:val="20"/>
        </w:rPr>
        <w:t xml:space="preserve"> co-infections can clinically manifest as biphasic or persistent febrile episodes despite appropriate antimicrobial therapy (Perera et al., 2007). This phenomenon may be attributed to differing antimicrobial susceptibility patterns between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and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necessitating a broader empirical approach to treatment. Culturing multiple blood samples and </w:t>
      </w:r>
      <w:proofErr w:type="spellStart"/>
      <w:r>
        <w:rPr>
          <w:rFonts w:ascii="Arial" w:eastAsia="Arial" w:hAnsi="Arial" w:cs="Arial"/>
          <w:sz w:val="20"/>
          <w:szCs w:val="20"/>
        </w:rPr>
        <w:t>analyzing</w:t>
      </w:r>
      <w:proofErr w:type="spellEnd"/>
      <w:r>
        <w:rPr>
          <w:rFonts w:ascii="Arial" w:eastAsia="Arial" w:hAnsi="Arial" w:cs="Arial"/>
          <w:sz w:val="20"/>
          <w:szCs w:val="20"/>
        </w:rPr>
        <w:t xml:space="preserve"> isolates separately can enhance the detection of co-infections. </w:t>
      </w:r>
    </w:p>
    <w:p w14:paraId="0000001D" w14:textId="7A0D3C48"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Azithromycin continues to be a reliable empirical option due to its intracellular activity and documented efficacy against both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and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 </w:t>
      </w:r>
      <w:r>
        <w:rPr>
          <w:rFonts w:ascii="Arial" w:eastAsia="Arial" w:hAnsi="Arial" w:cs="Arial"/>
          <w:sz w:val="20"/>
          <w:szCs w:val="20"/>
        </w:rPr>
        <w:t xml:space="preserve">(Sharma et al., 2019). However, rising resistance to third-generation cephalosporins in endemic areas underscores the need for continuous resistance surveillance and individualized treatment planning (Chukwu et al., 2022). The limited number of reported co-infections in the literature may indicate underdiagnosis rather than true rarity. In many instances, one serovar, typically the more abundant or faster-growing one, dominates the culture, potentially masking the presence of a co-infecting strain. This can lead to incomplete treatment, prolonged </w:t>
      </w:r>
      <w:proofErr w:type="spellStart"/>
      <w:r>
        <w:rPr>
          <w:rFonts w:ascii="Arial" w:eastAsia="Arial" w:hAnsi="Arial" w:cs="Arial"/>
          <w:sz w:val="20"/>
          <w:szCs w:val="20"/>
        </w:rPr>
        <w:t>bacteremia</w:t>
      </w:r>
      <w:proofErr w:type="spellEnd"/>
      <w:r>
        <w:rPr>
          <w:rFonts w:ascii="Arial" w:eastAsia="Arial" w:hAnsi="Arial" w:cs="Arial"/>
          <w:sz w:val="20"/>
          <w:szCs w:val="20"/>
        </w:rPr>
        <w:t xml:space="preserve">, and increased risk of complications. </w:t>
      </w:r>
    </w:p>
    <w:p w14:paraId="5B2ECF1C" w14:textId="77777777" w:rsidR="00A174E5" w:rsidRDefault="00A174E5">
      <w:pPr>
        <w:spacing w:before="280" w:after="280" w:line="240" w:lineRule="auto"/>
        <w:jc w:val="both"/>
        <w:rPr>
          <w:rFonts w:ascii="Arial" w:eastAsia="Arial" w:hAnsi="Arial" w:cs="Arial"/>
          <w:sz w:val="20"/>
          <w:szCs w:val="20"/>
        </w:rPr>
      </w:pPr>
    </w:p>
    <w:p w14:paraId="0000001E" w14:textId="77777777" w:rsidR="00DF4018" w:rsidRDefault="000E1748">
      <w:pPr>
        <w:spacing w:before="280" w:after="280" w:line="240" w:lineRule="auto"/>
        <w:jc w:val="both"/>
        <w:rPr>
          <w:rFonts w:ascii="Arial" w:eastAsia="Arial" w:hAnsi="Arial" w:cs="Arial"/>
          <w:b/>
        </w:rPr>
      </w:pPr>
      <w:r>
        <w:rPr>
          <w:rFonts w:ascii="Arial" w:eastAsia="Arial" w:hAnsi="Arial" w:cs="Arial"/>
          <w:b/>
        </w:rPr>
        <w:t>Conclusion</w:t>
      </w:r>
    </w:p>
    <w:p w14:paraId="0000001F"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case highlights the importance of considering </w:t>
      </w:r>
      <w:r>
        <w:rPr>
          <w:rFonts w:ascii="Arial" w:eastAsia="Arial" w:hAnsi="Arial" w:cs="Arial"/>
          <w:i/>
          <w:sz w:val="20"/>
          <w:szCs w:val="20"/>
        </w:rPr>
        <w:t>Salmonella</w:t>
      </w:r>
      <w:r>
        <w:rPr>
          <w:rFonts w:ascii="Arial" w:eastAsia="Arial" w:hAnsi="Arial" w:cs="Arial"/>
          <w:sz w:val="20"/>
          <w:szCs w:val="20"/>
        </w:rPr>
        <w:t xml:space="preserve"> co-infections in patients with persistent febrile illness, especially in endemic settings. When faced with discordant laboratory results or treatment failure, clinicians should pursue repeat cultures and advanced diagnostic testing. Collaboration with reference laboratories for phenotypic and molecular confirmation may be essential in guiding effective management in complex cases. This case underscores the importance of heightened clinical </w:t>
      </w:r>
      <w:r>
        <w:rPr>
          <w:rFonts w:ascii="Arial" w:eastAsia="Arial" w:hAnsi="Arial" w:cs="Arial"/>
          <w:sz w:val="20"/>
          <w:szCs w:val="20"/>
        </w:rPr>
        <w:lastRenderedPageBreak/>
        <w:t xml:space="preserve">awareness, comprehensive diagnostic strategies, and robust antimicrobial stewardship to manage </w:t>
      </w:r>
      <w:r>
        <w:rPr>
          <w:rFonts w:ascii="Arial" w:eastAsia="Arial" w:hAnsi="Arial" w:cs="Arial"/>
          <w:i/>
          <w:sz w:val="20"/>
          <w:szCs w:val="20"/>
        </w:rPr>
        <w:t>Salmonella</w:t>
      </w:r>
      <w:r>
        <w:rPr>
          <w:rFonts w:ascii="Arial" w:eastAsia="Arial" w:hAnsi="Arial" w:cs="Arial"/>
          <w:sz w:val="20"/>
          <w:szCs w:val="20"/>
        </w:rPr>
        <w:t xml:space="preserve"> co-infections effectively.</w:t>
      </w:r>
    </w:p>
    <w:p w14:paraId="2EF6C643" w14:textId="77777777" w:rsidR="001528DB" w:rsidRDefault="001528DB">
      <w:pPr>
        <w:spacing w:before="280" w:after="280" w:line="240" w:lineRule="auto"/>
        <w:jc w:val="both"/>
        <w:rPr>
          <w:rFonts w:ascii="Arial" w:eastAsia="Arial" w:hAnsi="Arial" w:cs="Arial"/>
          <w:b/>
          <w:sz w:val="24"/>
          <w:szCs w:val="24"/>
        </w:rPr>
      </w:pPr>
    </w:p>
    <w:p w14:paraId="00000024" w14:textId="66D90737" w:rsidR="00DF4018" w:rsidRDefault="000E1748">
      <w:pPr>
        <w:spacing w:before="280" w:after="280" w:line="240" w:lineRule="auto"/>
        <w:jc w:val="both"/>
        <w:rPr>
          <w:rFonts w:ascii="Arial" w:eastAsia="Arial" w:hAnsi="Arial" w:cs="Arial"/>
          <w:b/>
          <w:sz w:val="24"/>
          <w:szCs w:val="24"/>
        </w:rPr>
      </w:pPr>
      <w:bookmarkStart w:id="1" w:name="_GoBack"/>
      <w:bookmarkEnd w:id="1"/>
      <w:r>
        <w:rPr>
          <w:rFonts w:ascii="Arial" w:eastAsia="Arial" w:hAnsi="Arial" w:cs="Arial"/>
          <w:b/>
          <w:sz w:val="24"/>
          <w:szCs w:val="24"/>
        </w:rPr>
        <w:t>References</w:t>
      </w:r>
    </w:p>
    <w:p w14:paraId="00000025"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Chukwu, E. E., </w:t>
      </w:r>
      <w:proofErr w:type="spellStart"/>
      <w:r>
        <w:rPr>
          <w:rFonts w:ascii="Arial" w:eastAsia="Arial" w:hAnsi="Arial" w:cs="Arial"/>
          <w:color w:val="000000"/>
          <w:sz w:val="20"/>
          <w:szCs w:val="20"/>
        </w:rPr>
        <w:t>Awoderu</w:t>
      </w:r>
      <w:proofErr w:type="spellEnd"/>
      <w:r>
        <w:rPr>
          <w:rFonts w:ascii="Arial" w:eastAsia="Arial" w:hAnsi="Arial" w:cs="Arial"/>
          <w:color w:val="000000"/>
          <w:sz w:val="20"/>
          <w:szCs w:val="20"/>
        </w:rPr>
        <w:t xml:space="preserve">, O. B., </w:t>
      </w:r>
      <w:proofErr w:type="spellStart"/>
      <w:r>
        <w:rPr>
          <w:rFonts w:ascii="Arial" w:eastAsia="Arial" w:hAnsi="Arial" w:cs="Arial"/>
          <w:color w:val="000000"/>
          <w:sz w:val="20"/>
          <w:szCs w:val="20"/>
        </w:rPr>
        <w:t>Enwuru</w:t>
      </w:r>
      <w:proofErr w:type="spellEnd"/>
      <w:r>
        <w:rPr>
          <w:rFonts w:ascii="Arial" w:eastAsia="Arial" w:hAnsi="Arial" w:cs="Arial"/>
          <w:color w:val="000000"/>
          <w:sz w:val="20"/>
          <w:szCs w:val="20"/>
        </w:rPr>
        <w:t xml:space="preserve">, C. A., </w:t>
      </w:r>
      <w:proofErr w:type="spellStart"/>
      <w:r>
        <w:rPr>
          <w:rFonts w:ascii="Arial" w:eastAsia="Arial" w:hAnsi="Arial" w:cs="Arial"/>
          <w:color w:val="000000"/>
          <w:sz w:val="20"/>
          <w:szCs w:val="20"/>
        </w:rPr>
        <w:t>Afocha</w:t>
      </w:r>
      <w:proofErr w:type="spellEnd"/>
      <w:r>
        <w:rPr>
          <w:rFonts w:ascii="Arial" w:eastAsia="Arial" w:hAnsi="Arial" w:cs="Arial"/>
          <w:color w:val="000000"/>
          <w:sz w:val="20"/>
          <w:szCs w:val="20"/>
        </w:rPr>
        <w:t xml:space="preserve">, E. E., Lawal, R. G., Ahmed, R. A., Olanrewaju, I., </w:t>
      </w:r>
      <w:proofErr w:type="spellStart"/>
      <w:r>
        <w:rPr>
          <w:rFonts w:ascii="Arial" w:eastAsia="Arial" w:hAnsi="Arial" w:cs="Arial"/>
          <w:color w:val="000000"/>
          <w:sz w:val="20"/>
          <w:szCs w:val="20"/>
        </w:rPr>
        <w:t>Onwuamah</w:t>
      </w:r>
      <w:proofErr w:type="spellEnd"/>
      <w:r>
        <w:rPr>
          <w:rFonts w:ascii="Arial" w:eastAsia="Arial" w:hAnsi="Arial" w:cs="Arial"/>
          <w:color w:val="000000"/>
          <w:sz w:val="20"/>
          <w:szCs w:val="20"/>
        </w:rPr>
        <w:t xml:space="preserve">, C. K., Audu, R. A., &amp; Ogunsola, F. T. (2022). High prevalence of resistance to third-generation cephalosporins detected among clinical isolates from sentinel healthcare facilities in Lagos, Nigeria. </w:t>
      </w:r>
      <w:r>
        <w:rPr>
          <w:rFonts w:ascii="Arial" w:eastAsia="Arial" w:hAnsi="Arial" w:cs="Arial"/>
          <w:i/>
          <w:color w:val="000000"/>
          <w:sz w:val="20"/>
          <w:szCs w:val="20"/>
        </w:rPr>
        <w:t>Antimicrobial Resistance and Infection Control</w:t>
      </w:r>
      <w:r>
        <w:rPr>
          <w:rFonts w:ascii="Arial" w:eastAsia="Arial" w:hAnsi="Arial" w:cs="Arial"/>
          <w:color w:val="000000"/>
          <w:sz w:val="20"/>
          <w:szCs w:val="20"/>
        </w:rPr>
        <w:t xml:space="preserve">, </w:t>
      </w:r>
      <w:r>
        <w:rPr>
          <w:rFonts w:ascii="Arial" w:eastAsia="Arial" w:hAnsi="Arial" w:cs="Arial"/>
          <w:i/>
          <w:color w:val="000000"/>
          <w:sz w:val="20"/>
          <w:szCs w:val="20"/>
        </w:rPr>
        <w:t>11</w:t>
      </w:r>
      <w:r>
        <w:rPr>
          <w:rFonts w:ascii="Arial" w:eastAsia="Arial" w:hAnsi="Arial" w:cs="Arial"/>
          <w:color w:val="000000"/>
          <w:sz w:val="20"/>
          <w:szCs w:val="20"/>
        </w:rPr>
        <w:t>, 134. https://doi.org/10.1186/s13756-022-01171-2</w:t>
      </w:r>
    </w:p>
    <w:p w14:paraId="00000026"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Enteric fever in a young man with bowel wall thickening and hepatosplenomegaly. (2024). </w:t>
      </w:r>
      <w:proofErr w:type="spellStart"/>
      <w:r>
        <w:rPr>
          <w:rFonts w:ascii="Arial" w:eastAsia="Arial" w:hAnsi="Arial" w:cs="Arial"/>
          <w:i/>
          <w:color w:val="000000"/>
          <w:sz w:val="20"/>
          <w:szCs w:val="20"/>
        </w:rPr>
        <w:t>Revista</w:t>
      </w:r>
      <w:proofErr w:type="spellEnd"/>
      <w:r>
        <w:rPr>
          <w:rFonts w:ascii="Arial" w:eastAsia="Arial" w:hAnsi="Arial" w:cs="Arial"/>
          <w:i/>
          <w:color w:val="000000"/>
          <w:sz w:val="20"/>
          <w:szCs w:val="20"/>
        </w:rPr>
        <w:t xml:space="preserve"> de </w:t>
      </w:r>
      <w:proofErr w:type="spellStart"/>
      <w:r>
        <w:rPr>
          <w:rFonts w:ascii="Arial" w:eastAsia="Arial" w:hAnsi="Arial" w:cs="Arial"/>
          <w:i/>
          <w:color w:val="000000"/>
          <w:sz w:val="20"/>
          <w:szCs w:val="20"/>
        </w:rPr>
        <w:t>Gastroenterologia</w:t>
      </w:r>
      <w:proofErr w:type="spellEnd"/>
      <w:r>
        <w:rPr>
          <w:rFonts w:ascii="Arial" w:eastAsia="Arial" w:hAnsi="Arial" w:cs="Arial"/>
          <w:i/>
          <w:color w:val="000000"/>
          <w:sz w:val="20"/>
          <w:szCs w:val="20"/>
        </w:rPr>
        <w:t xml:space="preserve"> Del </w:t>
      </w:r>
      <w:proofErr w:type="gramStart"/>
      <w:r>
        <w:rPr>
          <w:rFonts w:ascii="Arial" w:eastAsia="Arial" w:hAnsi="Arial" w:cs="Arial"/>
          <w:i/>
          <w:color w:val="000000"/>
          <w:sz w:val="20"/>
          <w:szCs w:val="20"/>
        </w:rPr>
        <w:t>Peru :</w:t>
      </w:r>
      <w:proofErr w:type="gram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Organo</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Oficial</w:t>
      </w:r>
      <w:proofErr w:type="spellEnd"/>
      <w:r>
        <w:rPr>
          <w:rFonts w:ascii="Arial" w:eastAsia="Arial" w:hAnsi="Arial" w:cs="Arial"/>
          <w:i/>
          <w:color w:val="000000"/>
          <w:sz w:val="20"/>
          <w:szCs w:val="20"/>
        </w:rPr>
        <w:t xml:space="preserve"> de La Sociedad de </w:t>
      </w:r>
      <w:proofErr w:type="spellStart"/>
      <w:r>
        <w:rPr>
          <w:rFonts w:ascii="Arial" w:eastAsia="Arial" w:hAnsi="Arial" w:cs="Arial"/>
          <w:i/>
          <w:color w:val="000000"/>
          <w:sz w:val="20"/>
          <w:szCs w:val="20"/>
        </w:rPr>
        <w:t>Gastroenterologia</w:t>
      </w:r>
      <w:proofErr w:type="spellEnd"/>
      <w:r>
        <w:rPr>
          <w:rFonts w:ascii="Arial" w:eastAsia="Arial" w:hAnsi="Arial" w:cs="Arial"/>
          <w:i/>
          <w:color w:val="000000"/>
          <w:sz w:val="20"/>
          <w:szCs w:val="20"/>
        </w:rPr>
        <w:t xml:space="preserve"> Del Peru</w:t>
      </w:r>
      <w:r>
        <w:rPr>
          <w:rFonts w:ascii="Arial" w:eastAsia="Arial" w:hAnsi="Arial" w:cs="Arial"/>
          <w:color w:val="000000"/>
          <w:sz w:val="20"/>
          <w:szCs w:val="20"/>
        </w:rPr>
        <w:t xml:space="preserve">, </w:t>
      </w:r>
      <w:r>
        <w:rPr>
          <w:rFonts w:ascii="Arial" w:eastAsia="Arial" w:hAnsi="Arial" w:cs="Arial"/>
          <w:i/>
          <w:color w:val="000000"/>
          <w:sz w:val="20"/>
          <w:szCs w:val="20"/>
        </w:rPr>
        <w:t>44</w:t>
      </w:r>
      <w:r>
        <w:rPr>
          <w:rFonts w:ascii="Arial" w:eastAsia="Arial" w:hAnsi="Arial" w:cs="Arial"/>
          <w:color w:val="000000"/>
          <w:sz w:val="20"/>
          <w:szCs w:val="20"/>
        </w:rPr>
        <w:t>(3), 305–307. https://doi.org/10.47892/rgp.2024.443.1695</w:t>
      </w:r>
    </w:p>
    <w:p w14:paraId="00000027"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proofErr w:type="spellStart"/>
      <w:r>
        <w:rPr>
          <w:rFonts w:ascii="Arial" w:eastAsia="Arial" w:hAnsi="Arial" w:cs="Arial"/>
          <w:color w:val="000000"/>
          <w:sz w:val="20"/>
          <w:szCs w:val="20"/>
        </w:rPr>
        <w:t>Hamdulay</w:t>
      </w:r>
      <w:proofErr w:type="spellEnd"/>
      <w:r>
        <w:rPr>
          <w:rFonts w:ascii="Arial" w:eastAsia="Arial" w:hAnsi="Arial" w:cs="Arial"/>
          <w:color w:val="000000"/>
          <w:sz w:val="20"/>
          <w:szCs w:val="20"/>
        </w:rPr>
        <w:t xml:space="preserve">, K., </w:t>
      </w:r>
      <w:proofErr w:type="spellStart"/>
      <w:r>
        <w:rPr>
          <w:rFonts w:ascii="Arial" w:eastAsia="Arial" w:hAnsi="Arial" w:cs="Arial"/>
          <w:color w:val="000000"/>
          <w:sz w:val="20"/>
          <w:szCs w:val="20"/>
        </w:rPr>
        <w:t>Rawekar</w:t>
      </w:r>
      <w:proofErr w:type="spellEnd"/>
      <w:r>
        <w:rPr>
          <w:rFonts w:ascii="Arial" w:eastAsia="Arial" w:hAnsi="Arial" w:cs="Arial"/>
          <w:color w:val="000000"/>
          <w:sz w:val="20"/>
          <w:szCs w:val="20"/>
        </w:rPr>
        <w:t xml:space="preserve">, R., Tayade, A., Kumar, S., Acharya, S., Jr, D. K. F. H., </w:t>
      </w:r>
      <w:proofErr w:type="spellStart"/>
      <w:r>
        <w:rPr>
          <w:rFonts w:ascii="Arial" w:eastAsia="Arial" w:hAnsi="Arial" w:cs="Arial"/>
          <w:color w:val="000000"/>
          <w:sz w:val="20"/>
          <w:szCs w:val="20"/>
        </w:rPr>
        <w:t>Rawekar</w:t>
      </w:r>
      <w:proofErr w:type="spellEnd"/>
      <w:r>
        <w:rPr>
          <w:rFonts w:ascii="Arial" w:eastAsia="Arial" w:hAnsi="Arial" w:cs="Arial"/>
          <w:color w:val="000000"/>
          <w:sz w:val="20"/>
          <w:szCs w:val="20"/>
        </w:rPr>
        <w:t xml:space="preserve">, R., Tayade, A., Kumar, S., &amp; Acharya, S. (2024). Evolving Epidemiology and Antibiotic Resistance in Enteric Fever: A Comprehensive Review. </w:t>
      </w:r>
      <w:r>
        <w:rPr>
          <w:rFonts w:ascii="Arial" w:eastAsia="Arial" w:hAnsi="Arial" w:cs="Arial"/>
          <w:i/>
          <w:color w:val="000000"/>
          <w:sz w:val="20"/>
          <w:szCs w:val="20"/>
        </w:rPr>
        <w:t>Cureus</w:t>
      </w:r>
      <w:r>
        <w:rPr>
          <w:rFonts w:ascii="Arial" w:eastAsia="Arial" w:hAnsi="Arial" w:cs="Arial"/>
          <w:color w:val="000000"/>
          <w:sz w:val="20"/>
          <w:szCs w:val="20"/>
        </w:rPr>
        <w:t xml:space="preserve">, </w:t>
      </w:r>
      <w:r>
        <w:rPr>
          <w:rFonts w:ascii="Arial" w:eastAsia="Arial" w:hAnsi="Arial" w:cs="Arial"/>
          <w:i/>
          <w:color w:val="000000"/>
          <w:sz w:val="20"/>
          <w:szCs w:val="20"/>
        </w:rPr>
        <w:t>16</w:t>
      </w:r>
      <w:r>
        <w:rPr>
          <w:rFonts w:ascii="Arial" w:eastAsia="Arial" w:hAnsi="Arial" w:cs="Arial"/>
          <w:color w:val="000000"/>
          <w:sz w:val="20"/>
          <w:szCs w:val="20"/>
        </w:rPr>
        <w:t>. https://doi.org/10.7759/cureus.63070</w:t>
      </w:r>
    </w:p>
    <w:p w14:paraId="00000028"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Harris, J. B., &amp; Brooks, W. A. (2013). 69—Typhoid and Paratyphoid (Enteric) Fever. In A. J. Magill, D. R. Hill, T. Solomon, &amp; E. T. Ryan (Eds), </w:t>
      </w:r>
      <w:r>
        <w:rPr>
          <w:rFonts w:ascii="Arial" w:eastAsia="Arial" w:hAnsi="Arial" w:cs="Arial"/>
          <w:i/>
          <w:color w:val="000000"/>
          <w:sz w:val="20"/>
          <w:szCs w:val="20"/>
        </w:rPr>
        <w:t>Hunter’s Tropical Medicine and Emerging Infectious Disease (Ninth Edition)</w:t>
      </w:r>
      <w:r>
        <w:rPr>
          <w:rFonts w:ascii="Arial" w:eastAsia="Arial" w:hAnsi="Arial" w:cs="Arial"/>
          <w:color w:val="000000"/>
          <w:sz w:val="20"/>
          <w:szCs w:val="20"/>
        </w:rPr>
        <w:t xml:space="preserve"> (pp. 568–576). W.B. Saunders. https://doi.org/10.1016/B978-1-4160-4390-4.00069-2</w:t>
      </w:r>
    </w:p>
    <w:p w14:paraId="00000029" w14:textId="571DA82B"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Maskey, A. P., Day, J. N., Tuan, P. Q., Thwaites, G. E., Campbell, J. I., Zimmerman, M., Farrar, J. J., &amp; Basnyat, B. (2006). Salmonella enterica Serovar </w:t>
      </w:r>
      <w:proofErr w:type="spellStart"/>
      <w:r w:rsidR="00FA4AD4">
        <w:rPr>
          <w:rFonts w:ascii="Arial" w:eastAsia="Arial" w:hAnsi="Arial" w:cs="Arial"/>
          <w:color w:val="000000"/>
          <w:sz w:val="20"/>
          <w:szCs w:val="20"/>
        </w:rPr>
        <w:t>Paratyphi</w:t>
      </w:r>
      <w:proofErr w:type="spellEnd"/>
      <w:r>
        <w:rPr>
          <w:rFonts w:ascii="Arial" w:eastAsia="Arial" w:hAnsi="Arial" w:cs="Arial"/>
          <w:color w:val="000000"/>
          <w:sz w:val="20"/>
          <w:szCs w:val="20"/>
        </w:rPr>
        <w:t xml:space="preserve"> A and S. enterica Serovar </w:t>
      </w:r>
      <w:r w:rsidR="00FA4AD4">
        <w:rPr>
          <w:rFonts w:ascii="Arial" w:eastAsia="Arial" w:hAnsi="Arial" w:cs="Arial"/>
          <w:color w:val="000000"/>
          <w:sz w:val="20"/>
          <w:szCs w:val="20"/>
        </w:rPr>
        <w:t>Typhi</w:t>
      </w:r>
      <w:r>
        <w:rPr>
          <w:rFonts w:ascii="Arial" w:eastAsia="Arial" w:hAnsi="Arial" w:cs="Arial"/>
          <w:color w:val="000000"/>
          <w:sz w:val="20"/>
          <w:szCs w:val="20"/>
        </w:rPr>
        <w:t xml:space="preserve"> Cause Indistinguishable Clinical Syndromes in Kathmandu, Nepal. </w:t>
      </w:r>
      <w:r>
        <w:rPr>
          <w:rFonts w:ascii="Arial" w:eastAsia="Arial" w:hAnsi="Arial" w:cs="Arial"/>
          <w:i/>
          <w:color w:val="000000"/>
          <w:sz w:val="20"/>
          <w:szCs w:val="20"/>
        </w:rPr>
        <w:t>Clinical Infectious Diseases</w:t>
      </w:r>
      <w:r>
        <w:rPr>
          <w:rFonts w:ascii="Arial" w:eastAsia="Arial" w:hAnsi="Arial" w:cs="Arial"/>
          <w:color w:val="000000"/>
          <w:sz w:val="20"/>
          <w:szCs w:val="20"/>
        </w:rPr>
        <w:t xml:space="preserve">, </w:t>
      </w:r>
      <w:r>
        <w:rPr>
          <w:rFonts w:ascii="Arial" w:eastAsia="Arial" w:hAnsi="Arial" w:cs="Arial"/>
          <w:i/>
          <w:color w:val="000000"/>
          <w:sz w:val="20"/>
          <w:szCs w:val="20"/>
        </w:rPr>
        <w:t>42</w:t>
      </w:r>
      <w:r>
        <w:rPr>
          <w:rFonts w:ascii="Arial" w:eastAsia="Arial" w:hAnsi="Arial" w:cs="Arial"/>
          <w:color w:val="000000"/>
          <w:sz w:val="20"/>
          <w:szCs w:val="20"/>
        </w:rPr>
        <w:t>(9), 1247–1253. https://doi.org/10.1086/503033</w:t>
      </w:r>
    </w:p>
    <w:p w14:paraId="0000002A"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Nair, S., Kurian, S., Manjusree, S., &amp; Theodore, R. B. J. (2015). Enteric fever and changing trends in antimicrobial susceptibility pattern: Case series from a tertiary care hospital in Kerala. </w:t>
      </w:r>
      <w:r>
        <w:rPr>
          <w:rFonts w:ascii="Arial" w:eastAsia="Arial" w:hAnsi="Arial" w:cs="Arial"/>
          <w:i/>
          <w:color w:val="000000"/>
          <w:sz w:val="20"/>
          <w:szCs w:val="20"/>
        </w:rPr>
        <w:t>Journal of The Academy of Clinical Microbiologists</w:t>
      </w:r>
      <w:r>
        <w:rPr>
          <w:rFonts w:ascii="Arial" w:eastAsia="Arial" w:hAnsi="Arial" w:cs="Arial"/>
          <w:color w:val="000000"/>
          <w:sz w:val="20"/>
          <w:szCs w:val="20"/>
        </w:rPr>
        <w:t xml:space="preserve">, </w:t>
      </w:r>
      <w:r>
        <w:rPr>
          <w:rFonts w:ascii="Arial" w:eastAsia="Arial" w:hAnsi="Arial" w:cs="Arial"/>
          <w:i/>
          <w:color w:val="000000"/>
          <w:sz w:val="20"/>
          <w:szCs w:val="20"/>
        </w:rPr>
        <w:t>17</w:t>
      </w:r>
      <w:r>
        <w:rPr>
          <w:rFonts w:ascii="Arial" w:eastAsia="Arial" w:hAnsi="Arial" w:cs="Arial"/>
          <w:color w:val="000000"/>
          <w:sz w:val="20"/>
          <w:szCs w:val="20"/>
        </w:rPr>
        <w:t>(1), 39. https://doi.org/10.4103/0972-1282.158807</w:t>
      </w:r>
    </w:p>
    <w:p w14:paraId="0000002B"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Perera, N., Geary, C., </w:t>
      </w:r>
      <w:proofErr w:type="spellStart"/>
      <w:r>
        <w:rPr>
          <w:rFonts w:ascii="Arial" w:eastAsia="Arial" w:hAnsi="Arial" w:cs="Arial"/>
          <w:color w:val="000000"/>
          <w:sz w:val="20"/>
          <w:szCs w:val="20"/>
        </w:rPr>
        <w:t>Wiselka</w:t>
      </w:r>
      <w:proofErr w:type="spellEnd"/>
      <w:r>
        <w:rPr>
          <w:rFonts w:ascii="Arial" w:eastAsia="Arial" w:hAnsi="Arial" w:cs="Arial"/>
          <w:color w:val="000000"/>
          <w:sz w:val="20"/>
          <w:szCs w:val="20"/>
        </w:rPr>
        <w:t xml:space="preserve">, M., Rajakumar, K., &amp; Andrew Swann, R. (2007). Mixed Salmonella infection: Case report and review of the literature. </w:t>
      </w:r>
      <w:r>
        <w:rPr>
          <w:rFonts w:ascii="Arial" w:eastAsia="Arial" w:hAnsi="Arial" w:cs="Arial"/>
          <w:i/>
          <w:color w:val="000000"/>
          <w:sz w:val="20"/>
          <w:szCs w:val="20"/>
        </w:rPr>
        <w:t>Journal of Travel Medicine</w:t>
      </w:r>
      <w:r>
        <w:rPr>
          <w:rFonts w:ascii="Arial" w:eastAsia="Arial" w:hAnsi="Arial" w:cs="Arial"/>
          <w:color w:val="000000"/>
          <w:sz w:val="20"/>
          <w:szCs w:val="20"/>
        </w:rPr>
        <w:t xml:space="preserve">, </w:t>
      </w:r>
      <w:r>
        <w:rPr>
          <w:rFonts w:ascii="Arial" w:eastAsia="Arial" w:hAnsi="Arial" w:cs="Arial"/>
          <w:i/>
          <w:color w:val="000000"/>
          <w:sz w:val="20"/>
          <w:szCs w:val="20"/>
        </w:rPr>
        <w:t>14</w:t>
      </w:r>
      <w:r>
        <w:rPr>
          <w:rFonts w:ascii="Arial" w:eastAsia="Arial" w:hAnsi="Arial" w:cs="Arial"/>
          <w:color w:val="000000"/>
          <w:sz w:val="20"/>
          <w:szCs w:val="20"/>
        </w:rPr>
        <w:t>(2), 134–135. https://doi.org/10.1111/j.1708-8305.2007.00111.x</w:t>
      </w:r>
    </w:p>
    <w:p w14:paraId="0000002C" w14:textId="75341DC4"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lastRenderedPageBreak/>
        <w:t xml:space="preserve">Pratap, C. B., Kumar, G., Patel, S. K., Shukla, V. K., Kumar, K., Singh, T. B., &amp; Nath, G. (2014). Mix-infection of S. </w:t>
      </w:r>
      <w:r w:rsidR="00FA4AD4">
        <w:rPr>
          <w:rFonts w:ascii="Arial" w:eastAsia="Arial" w:hAnsi="Arial" w:cs="Arial"/>
          <w:color w:val="000000"/>
          <w:sz w:val="20"/>
          <w:szCs w:val="20"/>
        </w:rPr>
        <w:t>Typhi</w:t>
      </w:r>
      <w:r>
        <w:rPr>
          <w:rFonts w:ascii="Arial" w:eastAsia="Arial" w:hAnsi="Arial" w:cs="Arial"/>
          <w:color w:val="000000"/>
          <w:sz w:val="20"/>
          <w:szCs w:val="20"/>
        </w:rPr>
        <w:t xml:space="preserve"> and </w:t>
      </w:r>
      <w:proofErr w:type="spellStart"/>
      <w:r w:rsidR="00FA4AD4">
        <w:rPr>
          <w:rFonts w:ascii="Arial" w:eastAsia="Arial" w:hAnsi="Arial" w:cs="Arial"/>
          <w:color w:val="000000"/>
          <w:sz w:val="20"/>
          <w:szCs w:val="20"/>
        </w:rPr>
        <w:t>Paratyphi</w:t>
      </w:r>
      <w:proofErr w:type="spellEnd"/>
      <w:r>
        <w:rPr>
          <w:rFonts w:ascii="Arial" w:eastAsia="Arial" w:hAnsi="Arial" w:cs="Arial"/>
          <w:color w:val="000000"/>
          <w:sz w:val="20"/>
          <w:szCs w:val="20"/>
        </w:rPr>
        <w:t xml:space="preserve"> A in Typhoid Fever and Chronic Typhoid Carriers: A Nested PCR Based Study in North India. </w:t>
      </w:r>
      <w:r>
        <w:rPr>
          <w:rFonts w:ascii="Arial" w:eastAsia="Arial" w:hAnsi="Arial" w:cs="Arial"/>
          <w:i/>
          <w:color w:val="000000"/>
          <w:sz w:val="20"/>
          <w:szCs w:val="20"/>
        </w:rPr>
        <w:t xml:space="preserve">Journal of Clinical and Diagnostic </w:t>
      </w:r>
      <w:proofErr w:type="gramStart"/>
      <w:r>
        <w:rPr>
          <w:rFonts w:ascii="Arial" w:eastAsia="Arial" w:hAnsi="Arial" w:cs="Arial"/>
          <w:i/>
          <w:color w:val="000000"/>
          <w:sz w:val="20"/>
          <w:szCs w:val="20"/>
        </w:rPr>
        <w:t>Research :</w:t>
      </w:r>
      <w:proofErr w:type="gramEnd"/>
      <w:r>
        <w:rPr>
          <w:rFonts w:ascii="Arial" w:eastAsia="Arial" w:hAnsi="Arial" w:cs="Arial"/>
          <w:i/>
          <w:color w:val="000000"/>
          <w:sz w:val="20"/>
          <w:szCs w:val="20"/>
        </w:rPr>
        <w:t xml:space="preserve"> JCDR</w:t>
      </w:r>
      <w:r>
        <w:rPr>
          <w:rFonts w:ascii="Arial" w:eastAsia="Arial" w:hAnsi="Arial" w:cs="Arial"/>
          <w:color w:val="000000"/>
          <w:sz w:val="20"/>
          <w:szCs w:val="20"/>
        </w:rPr>
        <w:t xml:space="preserve">, </w:t>
      </w:r>
      <w:r>
        <w:rPr>
          <w:rFonts w:ascii="Arial" w:eastAsia="Arial" w:hAnsi="Arial" w:cs="Arial"/>
          <w:i/>
          <w:color w:val="000000"/>
          <w:sz w:val="20"/>
          <w:szCs w:val="20"/>
        </w:rPr>
        <w:t>8</w:t>
      </w:r>
      <w:r>
        <w:rPr>
          <w:rFonts w:ascii="Arial" w:eastAsia="Arial" w:hAnsi="Arial" w:cs="Arial"/>
          <w:color w:val="000000"/>
          <w:sz w:val="20"/>
          <w:szCs w:val="20"/>
        </w:rPr>
        <w:t>(11), DC09-DC14. https://doi.org/10.7860/JCDR/2014/9167.5107</w:t>
      </w:r>
    </w:p>
    <w:p w14:paraId="0000002D"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Saha, T., </w:t>
      </w:r>
      <w:proofErr w:type="spellStart"/>
      <w:r>
        <w:rPr>
          <w:rFonts w:ascii="Arial" w:eastAsia="Arial" w:hAnsi="Arial" w:cs="Arial"/>
          <w:color w:val="000000"/>
          <w:sz w:val="20"/>
          <w:szCs w:val="20"/>
        </w:rPr>
        <w:t>Arisoyin</w:t>
      </w:r>
      <w:proofErr w:type="spellEnd"/>
      <w:r>
        <w:rPr>
          <w:rFonts w:ascii="Arial" w:eastAsia="Arial" w:hAnsi="Arial" w:cs="Arial"/>
          <w:color w:val="000000"/>
          <w:sz w:val="20"/>
          <w:szCs w:val="20"/>
        </w:rPr>
        <w:t xml:space="preserve">, A. E., </w:t>
      </w:r>
      <w:proofErr w:type="spellStart"/>
      <w:r>
        <w:rPr>
          <w:rFonts w:ascii="Arial" w:eastAsia="Arial" w:hAnsi="Arial" w:cs="Arial"/>
          <w:color w:val="000000"/>
          <w:sz w:val="20"/>
          <w:szCs w:val="20"/>
        </w:rPr>
        <w:t>Bollu</w:t>
      </w:r>
      <w:proofErr w:type="spellEnd"/>
      <w:r>
        <w:rPr>
          <w:rFonts w:ascii="Arial" w:eastAsia="Arial" w:hAnsi="Arial" w:cs="Arial"/>
          <w:color w:val="000000"/>
          <w:sz w:val="20"/>
          <w:szCs w:val="20"/>
        </w:rPr>
        <w:t xml:space="preserve">, B., Ashok, T., Babu, A., </w:t>
      </w:r>
      <w:proofErr w:type="spellStart"/>
      <w:r>
        <w:rPr>
          <w:rFonts w:ascii="Arial" w:eastAsia="Arial" w:hAnsi="Arial" w:cs="Arial"/>
          <w:color w:val="000000"/>
          <w:sz w:val="20"/>
          <w:szCs w:val="20"/>
        </w:rPr>
        <w:t>Issani</w:t>
      </w:r>
      <w:proofErr w:type="spellEnd"/>
      <w:r>
        <w:rPr>
          <w:rFonts w:ascii="Arial" w:eastAsia="Arial" w:hAnsi="Arial" w:cs="Arial"/>
          <w:color w:val="000000"/>
          <w:sz w:val="20"/>
          <w:szCs w:val="20"/>
        </w:rPr>
        <w:t xml:space="preserve">, A., Jhaveri, S., &amp; Avanthika, C. (n.d.). Enteric Fever: Diagnostic Challenges and the Importance of Early Intervention. </w:t>
      </w:r>
      <w:r>
        <w:rPr>
          <w:rFonts w:ascii="Arial" w:eastAsia="Arial" w:hAnsi="Arial" w:cs="Arial"/>
          <w:i/>
          <w:color w:val="000000"/>
          <w:sz w:val="20"/>
          <w:szCs w:val="20"/>
        </w:rPr>
        <w:t>Cureus</w:t>
      </w:r>
      <w:r>
        <w:rPr>
          <w:rFonts w:ascii="Arial" w:eastAsia="Arial" w:hAnsi="Arial" w:cs="Arial"/>
          <w:color w:val="000000"/>
          <w:sz w:val="20"/>
          <w:szCs w:val="20"/>
        </w:rPr>
        <w:t xml:space="preserve">, </w:t>
      </w:r>
      <w:r>
        <w:rPr>
          <w:rFonts w:ascii="Arial" w:eastAsia="Arial" w:hAnsi="Arial" w:cs="Arial"/>
          <w:i/>
          <w:color w:val="000000"/>
          <w:sz w:val="20"/>
          <w:szCs w:val="20"/>
        </w:rPr>
        <w:t>15</w:t>
      </w:r>
      <w:r>
        <w:rPr>
          <w:rFonts w:ascii="Arial" w:eastAsia="Arial" w:hAnsi="Arial" w:cs="Arial"/>
          <w:color w:val="000000"/>
          <w:sz w:val="20"/>
          <w:szCs w:val="20"/>
        </w:rPr>
        <w:t>(7), e41831. https://doi.org/10.7759/cureus.41831</w:t>
      </w:r>
    </w:p>
    <w:p w14:paraId="0000002E"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Sharma, P., Kumari, B., Dahiya, S., Kulsum, U., Kumar, S., </w:t>
      </w:r>
      <w:proofErr w:type="spellStart"/>
      <w:r>
        <w:rPr>
          <w:rFonts w:ascii="Arial" w:eastAsia="Arial" w:hAnsi="Arial" w:cs="Arial"/>
          <w:color w:val="000000"/>
          <w:sz w:val="20"/>
          <w:szCs w:val="20"/>
        </w:rPr>
        <w:t>Manral</w:t>
      </w:r>
      <w:proofErr w:type="spellEnd"/>
      <w:r>
        <w:rPr>
          <w:rFonts w:ascii="Arial" w:eastAsia="Arial" w:hAnsi="Arial" w:cs="Arial"/>
          <w:color w:val="000000"/>
          <w:sz w:val="20"/>
          <w:szCs w:val="20"/>
        </w:rPr>
        <w:t xml:space="preserve">, N., Pandey, S., Kaur, P., Sood, S., Das, B. K., &amp; Kapil, A. (2019). Azithromycin resistance mechanisms in typhoidal salmonellae in India: A 25 years analysis. </w:t>
      </w:r>
      <w:r>
        <w:rPr>
          <w:rFonts w:ascii="Arial" w:eastAsia="Arial" w:hAnsi="Arial" w:cs="Arial"/>
          <w:i/>
          <w:color w:val="000000"/>
          <w:sz w:val="20"/>
          <w:szCs w:val="20"/>
        </w:rPr>
        <w:t>The Indian Journal of Medical Research</w:t>
      </w:r>
      <w:r>
        <w:rPr>
          <w:rFonts w:ascii="Arial" w:eastAsia="Arial" w:hAnsi="Arial" w:cs="Arial"/>
          <w:color w:val="000000"/>
          <w:sz w:val="20"/>
          <w:szCs w:val="20"/>
        </w:rPr>
        <w:t xml:space="preserve">, </w:t>
      </w:r>
      <w:r>
        <w:rPr>
          <w:rFonts w:ascii="Arial" w:eastAsia="Arial" w:hAnsi="Arial" w:cs="Arial"/>
          <w:i/>
          <w:color w:val="000000"/>
          <w:sz w:val="20"/>
          <w:szCs w:val="20"/>
        </w:rPr>
        <w:t>149</w:t>
      </w:r>
      <w:r>
        <w:rPr>
          <w:rFonts w:ascii="Arial" w:eastAsia="Arial" w:hAnsi="Arial" w:cs="Arial"/>
          <w:color w:val="000000"/>
          <w:sz w:val="20"/>
          <w:szCs w:val="20"/>
        </w:rPr>
        <w:t>(3), 404–411. https://doi.org/10.4103/ijmr.IJMR_1302_17</w:t>
      </w:r>
    </w:p>
    <w:p w14:paraId="0000002F"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Shi, D., Li, H., &amp; Cheng, A. (2015). Typhoid and Paratyphoid Fever. In H. Li (Ed.), </w:t>
      </w:r>
      <w:r>
        <w:rPr>
          <w:rFonts w:ascii="Arial" w:eastAsia="Arial" w:hAnsi="Arial" w:cs="Arial"/>
          <w:i/>
          <w:color w:val="000000"/>
          <w:sz w:val="20"/>
          <w:szCs w:val="20"/>
        </w:rPr>
        <w:t>Radiology of Infectious Diseases: Volume 2</w:t>
      </w:r>
      <w:r>
        <w:rPr>
          <w:rFonts w:ascii="Arial" w:eastAsia="Arial" w:hAnsi="Arial" w:cs="Arial"/>
          <w:color w:val="000000"/>
          <w:sz w:val="20"/>
          <w:szCs w:val="20"/>
        </w:rPr>
        <w:t xml:space="preserve"> (pp. 295–303). Springer Netherlands. https://doi.org/10.1007/978-94-017-9876-1_24</w:t>
      </w:r>
    </w:p>
    <w:p w14:paraId="00000030"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Wijedoru, L., Mallett, S., &amp; Parry, C. M. (n.d.). </w:t>
      </w:r>
      <w:r>
        <w:rPr>
          <w:rFonts w:ascii="Arial" w:eastAsia="Arial" w:hAnsi="Arial" w:cs="Arial"/>
          <w:i/>
          <w:color w:val="000000"/>
          <w:sz w:val="20"/>
          <w:szCs w:val="20"/>
        </w:rPr>
        <w:t>Rapid diagnostic tests for typhoid and paratyphoid (enteric) fever—Wijedoru, L - 2017 | Cochrane Library</w:t>
      </w:r>
      <w:r>
        <w:rPr>
          <w:rFonts w:ascii="Arial" w:eastAsia="Arial" w:hAnsi="Arial" w:cs="Arial"/>
          <w:color w:val="000000"/>
          <w:sz w:val="20"/>
          <w:szCs w:val="20"/>
        </w:rPr>
        <w:t>. Retrieved 17 April 2025, from https://www.cochranelibrary.com/cdsr/doi/10.1002/14651858.CD008892.pub2/full</w:t>
      </w:r>
    </w:p>
    <w:p w14:paraId="00000031"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Xie, L., Yang, M., Liu, M., Li, Q., Luo, C., &amp; Luo, J. (2024). Integrating rapid pathogen identification and antimicrobial susceptibility testing through multiplex TaqMan qPCR assay. </w:t>
      </w:r>
      <w:r>
        <w:rPr>
          <w:rFonts w:ascii="Arial" w:eastAsia="Arial" w:hAnsi="Arial" w:cs="Arial"/>
          <w:i/>
          <w:color w:val="000000"/>
          <w:sz w:val="20"/>
          <w:szCs w:val="20"/>
        </w:rPr>
        <w:t>Journal of Microbiological Methods</w:t>
      </w:r>
      <w:r>
        <w:rPr>
          <w:rFonts w:ascii="Arial" w:eastAsia="Arial" w:hAnsi="Arial" w:cs="Arial"/>
          <w:color w:val="000000"/>
          <w:sz w:val="20"/>
          <w:szCs w:val="20"/>
        </w:rPr>
        <w:t xml:space="preserve">, </w:t>
      </w:r>
      <w:r>
        <w:rPr>
          <w:rFonts w:ascii="Arial" w:eastAsia="Arial" w:hAnsi="Arial" w:cs="Arial"/>
          <w:i/>
          <w:color w:val="000000"/>
          <w:sz w:val="20"/>
          <w:szCs w:val="20"/>
        </w:rPr>
        <w:t>217–218</w:t>
      </w:r>
      <w:r>
        <w:rPr>
          <w:rFonts w:ascii="Arial" w:eastAsia="Arial" w:hAnsi="Arial" w:cs="Arial"/>
          <w:color w:val="000000"/>
          <w:sz w:val="20"/>
          <w:szCs w:val="20"/>
        </w:rPr>
        <w:t>, 106888. https://doi.org/10.1016/j.mimet.2023.106888</w:t>
      </w:r>
    </w:p>
    <w:p w14:paraId="00000032" w14:textId="77777777" w:rsidR="00DF4018" w:rsidRDefault="000E1748">
      <w:pPr>
        <w:pBdr>
          <w:top w:val="nil"/>
          <w:left w:val="nil"/>
          <w:bottom w:val="nil"/>
          <w:right w:val="nil"/>
          <w:between w:val="nil"/>
        </w:pBdr>
        <w:spacing w:after="0" w:line="480" w:lineRule="auto"/>
        <w:ind w:left="720" w:hanging="720"/>
        <w:rPr>
          <w:rFonts w:ascii="Arial" w:eastAsia="Arial" w:hAnsi="Arial" w:cs="Arial"/>
          <w:color w:val="000000"/>
          <w:sz w:val="20"/>
          <w:szCs w:val="20"/>
        </w:rPr>
      </w:pPr>
      <w:r>
        <w:rPr>
          <w:rFonts w:ascii="Arial" w:eastAsia="Arial" w:hAnsi="Arial" w:cs="Arial"/>
          <w:color w:val="000000"/>
          <w:sz w:val="20"/>
          <w:szCs w:val="20"/>
        </w:rPr>
        <w:t xml:space="preserve">Zhou, L., Darton, T., Waddington, C., Pollard, A. J., Zhou, L., Darton, T., Waddington, C., &amp; Pollard, A. J. (2012). Molecular Diagnosis of Enteric Fever: Progress and Perspectives. In </w:t>
      </w:r>
      <w:r>
        <w:rPr>
          <w:rFonts w:ascii="Arial" w:eastAsia="Arial" w:hAnsi="Arial" w:cs="Arial"/>
          <w:i/>
          <w:color w:val="000000"/>
          <w:sz w:val="20"/>
          <w:szCs w:val="20"/>
        </w:rPr>
        <w:t>Salmonella—Distribution, Adaptation, Control Measures and Molecular Technologies</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IntechOpen</w:t>
      </w:r>
      <w:proofErr w:type="spellEnd"/>
      <w:r>
        <w:rPr>
          <w:rFonts w:ascii="Arial" w:eastAsia="Arial" w:hAnsi="Arial" w:cs="Arial"/>
          <w:color w:val="000000"/>
          <w:sz w:val="20"/>
          <w:szCs w:val="20"/>
        </w:rPr>
        <w:t>. https://doi.org/10.5772/30374</w:t>
      </w:r>
    </w:p>
    <w:p w14:paraId="00000033" w14:textId="77777777" w:rsidR="00DF4018" w:rsidRDefault="00DF4018">
      <w:pPr>
        <w:spacing w:before="280" w:line="240" w:lineRule="auto"/>
        <w:jc w:val="both"/>
        <w:rPr>
          <w:rFonts w:ascii="Arial" w:eastAsia="Arial" w:hAnsi="Arial" w:cs="Arial"/>
          <w:sz w:val="20"/>
          <w:szCs w:val="20"/>
        </w:rPr>
      </w:pPr>
    </w:p>
    <w:sectPr w:rsidR="00DF4018">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EBDAE" w14:textId="77777777" w:rsidR="003055EC" w:rsidRDefault="003055EC">
      <w:pPr>
        <w:spacing w:after="0" w:line="240" w:lineRule="auto"/>
      </w:pPr>
      <w:r>
        <w:separator/>
      </w:r>
    </w:p>
  </w:endnote>
  <w:endnote w:type="continuationSeparator" w:id="0">
    <w:p w14:paraId="3C28BEF6" w14:textId="77777777" w:rsidR="003055EC" w:rsidRDefault="00305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498AD1A-D9E6-44E5-89E3-D7BCF90FFAAC}"/>
    <w:embedBold r:id="rId2" w:fontKey="{B02CCB66-E8F8-4F9B-8A4F-62F3FB4528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68342F5-A50C-4B65-BC25-CC4060B4060E}"/>
    <w:embedItalic r:id="rId4" w:fontKey="{F4D52E2D-4327-4E41-87EB-4167C2DEB6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15AE238-3967-4F76-A499-0BE97F8B66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7" w14:textId="77777777" w:rsidR="00DF4018" w:rsidRDefault="00DF401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A" w14:textId="77777777" w:rsidR="00DF4018" w:rsidRDefault="00DF401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B" w14:textId="77777777" w:rsidR="00DF4018" w:rsidRDefault="00DF401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3BDA9" w14:textId="77777777" w:rsidR="003055EC" w:rsidRDefault="003055EC">
      <w:pPr>
        <w:spacing w:after="0" w:line="240" w:lineRule="auto"/>
      </w:pPr>
      <w:r>
        <w:separator/>
      </w:r>
    </w:p>
  </w:footnote>
  <w:footnote w:type="continuationSeparator" w:id="0">
    <w:p w14:paraId="4E80130C" w14:textId="77777777" w:rsidR="003055EC" w:rsidRDefault="00305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4" w14:textId="33080C95" w:rsidR="00DF4018" w:rsidRDefault="001528DB">
    <w:pPr>
      <w:pBdr>
        <w:top w:val="nil"/>
        <w:left w:val="nil"/>
        <w:bottom w:val="nil"/>
        <w:right w:val="nil"/>
        <w:between w:val="nil"/>
      </w:pBdr>
      <w:tabs>
        <w:tab w:val="center" w:pos="4513"/>
        <w:tab w:val="right" w:pos="9026"/>
      </w:tabs>
      <w:spacing w:after="0" w:line="240" w:lineRule="auto"/>
      <w:rPr>
        <w:color w:val="000000"/>
      </w:rPr>
    </w:pPr>
    <w:r>
      <w:rPr>
        <w:noProof/>
      </w:rPr>
      <w:pict w14:anchorId="2FD90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6466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3E1C453B" w:rsidR="00DF4018" w:rsidRDefault="001528DB">
    <w:pPr>
      <w:pBdr>
        <w:top w:val="nil"/>
        <w:left w:val="nil"/>
        <w:bottom w:val="nil"/>
        <w:right w:val="nil"/>
        <w:between w:val="nil"/>
      </w:pBdr>
      <w:tabs>
        <w:tab w:val="center" w:pos="4513"/>
        <w:tab w:val="right" w:pos="9026"/>
      </w:tabs>
      <w:spacing w:after="0" w:line="240" w:lineRule="auto"/>
      <w:rPr>
        <w:color w:val="000000"/>
      </w:rPr>
    </w:pPr>
    <w:r>
      <w:rPr>
        <w:noProof/>
      </w:rPr>
      <w:pict w14:anchorId="0E85C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6466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6" w14:textId="4FEC7BE2" w:rsidR="00DF4018" w:rsidRDefault="001528DB">
    <w:pPr>
      <w:pBdr>
        <w:top w:val="nil"/>
        <w:left w:val="nil"/>
        <w:bottom w:val="nil"/>
        <w:right w:val="nil"/>
        <w:between w:val="nil"/>
      </w:pBdr>
      <w:tabs>
        <w:tab w:val="center" w:pos="4513"/>
        <w:tab w:val="right" w:pos="9026"/>
      </w:tabs>
      <w:spacing w:after="0" w:line="240" w:lineRule="auto"/>
      <w:rPr>
        <w:color w:val="000000"/>
      </w:rPr>
    </w:pPr>
    <w:r>
      <w:rPr>
        <w:noProof/>
      </w:rPr>
      <w:pict w14:anchorId="23F38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6466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18"/>
    <w:rsid w:val="000E1748"/>
    <w:rsid w:val="001528DB"/>
    <w:rsid w:val="003055EC"/>
    <w:rsid w:val="007B04AA"/>
    <w:rsid w:val="00A174E5"/>
    <w:rsid w:val="00AD7D76"/>
    <w:rsid w:val="00CA2E9D"/>
    <w:rsid w:val="00CD418E"/>
    <w:rsid w:val="00D233D8"/>
    <w:rsid w:val="00DF4018"/>
    <w:rsid w:val="00E32D7C"/>
    <w:rsid w:val="00E6207A"/>
    <w:rsid w:val="00FA4A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EEB4D7"/>
  <w15:docId w15:val="{4D381DA5-2931-41FD-9F4E-D53B502C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D418E"/>
    <w:rPr>
      <w:color w:val="0000FF" w:themeColor="hyperlink"/>
      <w:u w:val="single"/>
    </w:rPr>
  </w:style>
  <w:style w:type="character" w:styleId="UnresolvedMention">
    <w:name w:val="Unresolved Mention"/>
    <w:basedOn w:val="DefaultParagraphFont"/>
    <w:uiPriority w:val="99"/>
    <w:semiHidden/>
    <w:unhideWhenUsed/>
    <w:rsid w:val="00CD4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Ashalatha Nair</dc:creator>
  <cp:lastModifiedBy>SDI 1084</cp:lastModifiedBy>
  <cp:revision>5</cp:revision>
  <dcterms:created xsi:type="dcterms:W3CDTF">2025-11-13T06:24:00Z</dcterms:created>
  <dcterms:modified xsi:type="dcterms:W3CDTF">2025-11-14T07:17:00Z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6babd4ba-151d-4b3e-af45-c626468b6c0b</vt:lpwstr>
  </property>
</Properties>
</file>