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BB206" w14:textId="527616BF" w:rsidR="00C67E0B" w:rsidRPr="0026771D" w:rsidRDefault="00C67E0B" w:rsidP="00A13EE0">
      <w:pPr>
        <w:spacing w:before="120" w:after="120" w:line="360" w:lineRule="auto"/>
        <w:outlineLvl w:val="0"/>
        <w:rPr>
          <w:rFonts w:ascii="Arial" w:eastAsia="Calibri" w:hAnsi="Arial" w:cs="Arial"/>
          <w:b/>
          <w:bCs/>
        </w:rPr>
      </w:pPr>
      <w:r w:rsidRPr="0026771D">
        <w:rPr>
          <w:rFonts w:ascii="Arial" w:eastAsia="Calibri" w:hAnsi="Arial" w:cs="Arial"/>
          <w:b/>
          <w:bCs/>
        </w:rPr>
        <w:t>Phytotherapy antianaemia in individuals infected with human immunodeficiency virus</w:t>
      </w:r>
      <w:r w:rsidR="00396E31">
        <w:rPr>
          <w:rFonts w:ascii="Arial" w:eastAsia="Calibri" w:hAnsi="Arial" w:cs="Arial"/>
          <w:b/>
          <w:bCs/>
        </w:rPr>
        <w:t xml:space="preserve"> </w:t>
      </w:r>
      <w:r w:rsidRPr="0026771D">
        <w:rPr>
          <w:rFonts w:ascii="Arial" w:eastAsia="Calibri" w:hAnsi="Arial" w:cs="Arial"/>
          <w:b/>
          <w:bCs/>
        </w:rPr>
        <w:t>: Ethnobotanical survey in Lower Casamance and Sine-Saloum</w:t>
      </w:r>
    </w:p>
    <w:p w14:paraId="30E3FE54" w14:textId="77777777" w:rsidR="001407C3" w:rsidRDefault="001407C3" w:rsidP="00A13EE0">
      <w:pPr>
        <w:spacing w:before="120" w:after="120" w:line="360" w:lineRule="auto"/>
        <w:outlineLvl w:val="0"/>
        <w:rPr>
          <w:rFonts w:ascii="Arial" w:eastAsia="Calibri" w:hAnsi="Arial" w:cs="Arial"/>
          <w:b/>
          <w:bCs/>
        </w:rPr>
      </w:pPr>
    </w:p>
    <w:p w14:paraId="06C9222A" w14:textId="7F6A6CFC" w:rsidR="009732EE" w:rsidRPr="00A13EE0" w:rsidRDefault="00955558" w:rsidP="00A13EE0">
      <w:pPr>
        <w:spacing w:before="120" w:after="120" w:line="360" w:lineRule="auto"/>
        <w:outlineLvl w:val="0"/>
        <w:rPr>
          <w:rFonts w:ascii="Arial" w:eastAsia="Calibri" w:hAnsi="Arial" w:cs="Arial"/>
          <w:b/>
          <w:bCs/>
        </w:rPr>
      </w:pPr>
      <w:bookmarkStart w:id="0" w:name="_GoBack"/>
      <w:bookmarkEnd w:id="0"/>
      <w:r w:rsidRPr="00A13EE0">
        <w:rPr>
          <w:rFonts w:ascii="Arial" w:eastAsia="Calibri" w:hAnsi="Arial" w:cs="Arial"/>
          <w:b/>
          <w:bCs/>
        </w:rPr>
        <w:t>Abstract</w:t>
      </w:r>
    </w:p>
    <w:p w14:paraId="57ED1142" w14:textId="6C341D8F" w:rsidR="00955558" w:rsidRPr="0026771D" w:rsidRDefault="00C67E0B" w:rsidP="00A13EE0">
      <w:pPr>
        <w:spacing w:line="360" w:lineRule="auto"/>
        <w:jc w:val="both"/>
        <w:rPr>
          <w:rFonts w:ascii="Arial" w:hAnsi="Arial" w:cs="Arial"/>
        </w:rPr>
      </w:pPr>
      <w:proofErr w:type="gramStart"/>
      <w:r w:rsidRPr="0026771D">
        <w:rPr>
          <w:rFonts w:ascii="Arial" w:hAnsi="Arial" w:cs="Arial"/>
          <w:b/>
          <w:bCs/>
        </w:rPr>
        <w:t>Background:</w:t>
      </w:r>
      <w:proofErr w:type="gramEnd"/>
      <w:r w:rsidRPr="0026771D">
        <w:rPr>
          <w:rFonts w:ascii="Arial" w:hAnsi="Arial" w:cs="Arial"/>
        </w:rPr>
        <w:t xml:space="preserve"> Anaemia is a common opportunistic disease in people living with human immunodeficiency virus (HIV), contributing significantly to morbidity and mortality in resource-limited countries</w:t>
      </w:r>
      <w:r w:rsidR="00955558" w:rsidRPr="0026771D">
        <w:rPr>
          <w:rFonts w:ascii="Arial" w:hAnsi="Arial" w:cs="Arial"/>
        </w:rPr>
        <w:t xml:space="preserve">. </w:t>
      </w:r>
      <w:proofErr w:type="gramStart"/>
      <w:r w:rsidRPr="0026771D">
        <w:rPr>
          <w:rFonts w:ascii="Arial" w:hAnsi="Arial" w:cs="Arial"/>
          <w:b/>
          <w:bCs/>
        </w:rPr>
        <w:t>Aim:</w:t>
      </w:r>
      <w:proofErr w:type="gramEnd"/>
      <w:r w:rsidRPr="0026771D">
        <w:rPr>
          <w:rFonts w:ascii="Arial" w:hAnsi="Arial" w:cs="Arial"/>
        </w:rPr>
        <w:t xml:space="preserve"> </w:t>
      </w:r>
      <w:r w:rsidR="00A54802" w:rsidRPr="0026771D">
        <w:rPr>
          <w:rFonts w:ascii="Arial" w:hAnsi="Arial" w:cs="Arial"/>
        </w:rPr>
        <w:t xml:space="preserve">The aim of this ethnobotanical study was to identify medicinal plants used in the treatment of HIV-associated anaemia in Lower Casamance and Sine-Saloum (Fatick and Kaolack regions), two areas with high seroprevalence. </w:t>
      </w:r>
      <w:proofErr w:type="gramStart"/>
      <w:r w:rsidR="00A54802" w:rsidRPr="0026771D">
        <w:rPr>
          <w:rFonts w:ascii="Arial" w:hAnsi="Arial" w:cs="Arial"/>
          <w:b/>
          <w:bCs/>
        </w:rPr>
        <w:t>Results:</w:t>
      </w:r>
      <w:proofErr w:type="gramEnd"/>
      <w:r w:rsidR="00A54802" w:rsidRPr="0026771D">
        <w:rPr>
          <w:rFonts w:ascii="Arial" w:hAnsi="Arial" w:cs="Arial"/>
        </w:rPr>
        <w:t xml:space="preserve"> A field survey was conducted among 76 interviewees (traditional practitioners, herbalists and traditional knowledge holders) selected for their recognition within their communities. </w:t>
      </w:r>
      <w:r w:rsidR="00955558" w:rsidRPr="0026771D">
        <w:rPr>
          <w:rFonts w:ascii="Arial" w:hAnsi="Arial" w:cs="Arial"/>
        </w:rPr>
        <w:t xml:space="preserve">Data were collected through structured interviews designed by the Pharmacognosy Laboratory of Cheikh Anta Diop University (Dakar). </w:t>
      </w:r>
      <w:r w:rsidR="00FB0A6E" w:rsidRPr="0026771D">
        <w:rPr>
          <w:rFonts w:ascii="Arial" w:hAnsi="Arial" w:cs="Arial"/>
        </w:rPr>
        <w:t xml:space="preserve">The results obtained during the survey were sorted according to the family name of the plant used, its vernacular, French and scientific names, and the name of the species to which it belongs. They were also classified according to the number of times it was cited, the part used and the method of use. </w:t>
      </w:r>
      <w:r w:rsidR="00955558" w:rsidRPr="0026771D">
        <w:rPr>
          <w:rFonts w:ascii="Arial" w:hAnsi="Arial" w:cs="Arial"/>
          <w:i/>
          <w:iCs/>
        </w:rPr>
        <w:t>Pterocarpus erinaceus, Khaya senegalensis, and Ximenia americana</w:t>
      </w:r>
      <w:r w:rsidR="00955558" w:rsidRPr="0026771D">
        <w:rPr>
          <w:rFonts w:ascii="Arial" w:hAnsi="Arial" w:cs="Arial"/>
        </w:rPr>
        <w:t xml:space="preserve"> w</w:t>
      </w:r>
      <w:r w:rsidR="00FB0A6E" w:rsidRPr="0026771D">
        <w:rPr>
          <w:rFonts w:ascii="Arial" w:hAnsi="Arial" w:cs="Arial"/>
        </w:rPr>
        <w:t>ere</w:t>
      </w:r>
      <w:r w:rsidR="00955558" w:rsidRPr="0026771D">
        <w:rPr>
          <w:rFonts w:ascii="Arial" w:hAnsi="Arial" w:cs="Arial"/>
        </w:rPr>
        <w:t xml:space="preserve"> the most frequently cited (46.7% in </w:t>
      </w:r>
      <w:proofErr w:type="gramStart"/>
      <w:r w:rsidR="00955558" w:rsidRPr="0026771D">
        <w:rPr>
          <w:rFonts w:ascii="Arial" w:hAnsi="Arial" w:cs="Arial"/>
        </w:rPr>
        <w:t>Casamance;</w:t>
      </w:r>
      <w:proofErr w:type="gramEnd"/>
      <w:r w:rsidR="00955558" w:rsidRPr="0026771D">
        <w:rPr>
          <w:rFonts w:ascii="Arial" w:hAnsi="Arial" w:cs="Arial"/>
        </w:rPr>
        <w:t xml:space="preserve"> 34.8% in Sine-Saloum). Leaves and roots were the most commonly used parts, mainly prepared as infusions, macerations, or fresh plant juices.</w:t>
      </w:r>
    </w:p>
    <w:p w14:paraId="3CBC0737" w14:textId="6DB843ED" w:rsidR="00955558" w:rsidRPr="0026771D" w:rsidRDefault="00FB0A6E" w:rsidP="00A13EE0">
      <w:pPr>
        <w:spacing w:line="360" w:lineRule="auto"/>
        <w:jc w:val="both"/>
        <w:rPr>
          <w:rFonts w:ascii="Arial" w:hAnsi="Arial" w:cs="Arial"/>
        </w:rPr>
      </w:pPr>
      <w:proofErr w:type="gramStart"/>
      <w:r w:rsidRPr="0026771D">
        <w:rPr>
          <w:rFonts w:ascii="Arial" w:hAnsi="Arial" w:cs="Arial"/>
          <w:b/>
          <w:bCs/>
        </w:rPr>
        <w:t>Conclusion:</w:t>
      </w:r>
      <w:proofErr w:type="gramEnd"/>
      <w:r w:rsidRPr="0026771D">
        <w:rPr>
          <w:rFonts w:ascii="Arial" w:hAnsi="Arial" w:cs="Arial"/>
          <w:b/>
          <w:bCs/>
        </w:rPr>
        <w:t xml:space="preserve"> </w:t>
      </w:r>
      <w:r w:rsidRPr="0026771D">
        <w:rPr>
          <w:rFonts w:ascii="Arial" w:hAnsi="Arial" w:cs="Arial"/>
        </w:rPr>
        <w:t xml:space="preserve">This ethnobotanical study is a first step in identifying local medicinal plants used to treat anaemia in people living with HIV in Senegal. As anaemia is often inflammatory in nature in this context, plants with anti-inflammatory properties could be of particular therapeutic interest. </w:t>
      </w:r>
    </w:p>
    <w:p w14:paraId="6E71C870" w14:textId="1304EE1F" w:rsidR="00955558" w:rsidRPr="0026771D" w:rsidRDefault="007A1500" w:rsidP="00A13EE0">
      <w:pPr>
        <w:spacing w:before="120" w:after="120" w:line="360" w:lineRule="auto"/>
        <w:outlineLvl w:val="0"/>
        <w:rPr>
          <w:rFonts w:ascii="Arial" w:eastAsia="Calibri" w:hAnsi="Arial" w:cs="Arial"/>
        </w:rPr>
      </w:pPr>
      <w:proofErr w:type="gramStart"/>
      <w:r w:rsidRPr="0026771D">
        <w:rPr>
          <w:rFonts w:ascii="Arial" w:eastAsia="Calibri" w:hAnsi="Arial" w:cs="Arial"/>
          <w:b/>
          <w:bCs/>
        </w:rPr>
        <w:t>Keywords:</w:t>
      </w:r>
      <w:proofErr w:type="gramEnd"/>
      <w:r w:rsidRPr="0026771D">
        <w:rPr>
          <w:rFonts w:ascii="Arial" w:eastAsia="Calibri" w:hAnsi="Arial" w:cs="Arial"/>
        </w:rPr>
        <w:t xml:space="preserve"> </w:t>
      </w:r>
      <w:r w:rsidR="00FE7FA7" w:rsidRPr="0026771D">
        <w:rPr>
          <w:rFonts w:ascii="Arial" w:eastAsia="Calibri" w:hAnsi="Arial" w:cs="Arial"/>
        </w:rPr>
        <w:t xml:space="preserve">Antianaemia, </w:t>
      </w:r>
      <w:r w:rsidRPr="0026771D">
        <w:rPr>
          <w:rFonts w:ascii="Arial" w:eastAsia="Calibri" w:hAnsi="Arial" w:cs="Arial"/>
        </w:rPr>
        <w:t>Ethnobotanical</w:t>
      </w:r>
      <w:r w:rsidR="00FE7FA7" w:rsidRPr="0026771D">
        <w:rPr>
          <w:rFonts w:ascii="Arial" w:eastAsia="Calibri" w:hAnsi="Arial" w:cs="Arial"/>
        </w:rPr>
        <w:t xml:space="preserve"> survey</w:t>
      </w:r>
      <w:r w:rsidRPr="0026771D">
        <w:rPr>
          <w:rFonts w:ascii="Arial" w:eastAsia="Calibri" w:hAnsi="Arial" w:cs="Arial"/>
        </w:rPr>
        <w:t>, Interviewees, Medicinal plant</w:t>
      </w:r>
      <w:r w:rsidR="00FE7FA7" w:rsidRPr="0026771D">
        <w:rPr>
          <w:rFonts w:ascii="Arial" w:eastAsia="Calibri" w:hAnsi="Arial" w:cs="Arial"/>
        </w:rPr>
        <w:t>, Casamance and Sine- saloum.</w:t>
      </w:r>
    </w:p>
    <w:p w14:paraId="419F39C0" w14:textId="77777777" w:rsidR="009732EE" w:rsidRPr="0026771D" w:rsidRDefault="009732EE" w:rsidP="00A13EE0">
      <w:pPr>
        <w:spacing w:before="120" w:after="120" w:line="360" w:lineRule="auto"/>
        <w:outlineLvl w:val="0"/>
        <w:rPr>
          <w:rFonts w:ascii="Arial" w:eastAsia="Calibri" w:hAnsi="Arial" w:cs="Arial"/>
        </w:rPr>
      </w:pPr>
    </w:p>
    <w:p w14:paraId="55BABCFE" w14:textId="13F6149C" w:rsidR="004F713B" w:rsidRPr="0026771D" w:rsidRDefault="004F713B" w:rsidP="00A13EE0">
      <w:pPr>
        <w:pStyle w:val="ListParagraph"/>
        <w:numPr>
          <w:ilvl w:val="0"/>
          <w:numId w:val="15"/>
        </w:numPr>
        <w:spacing w:after="160" w:line="360" w:lineRule="auto"/>
        <w:rPr>
          <w:rFonts w:ascii="Arial" w:eastAsia="Calibri" w:hAnsi="Arial" w:cs="Arial"/>
          <w:b/>
          <w:bCs/>
          <w:sz w:val="24"/>
          <w:szCs w:val="24"/>
        </w:rPr>
      </w:pPr>
      <w:r w:rsidRPr="0026771D">
        <w:rPr>
          <w:rFonts w:ascii="Arial" w:eastAsia="Calibri" w:hAnsi="Arial" w:cs="Arial"/>
          <w:b/>
          <w:bCs/>
          <w:sz w:val="24"/>
          <w:szCs w:val="24"/>
        </w:rPr>
        <w:t>Introduction</w:t>
      </w:r>
    </w:p>
    <w:p w14:paraId="2B210304" w14:textId="4103D7B5" w:rsidR="004F713B" w:rsidRPr="0026771D" w:rsidRDefault="004F713B" w:rsidP="00A13EE0">
      <w:pPr>
        <w:autoSpaceDE w:val="0"/>
        <w:autoSpaceDN w:val="0"/>
        <w:adjustRightInd w:val="0"/>
        <w:spacing w:line="360" w:lineRule="auto"/>
        <w:jc w:val="both"/>
        <w:rPr>
          <w:rFonts w:ascii="Arial" w:eastAsia="Calibri" w:hAnsi="Arial" w:cs="Arial"/>
          <w:lang w:val="fr-FR" w:eastAsia="en-US"/>
        </w:rPr>
      </w:pPr>
      <w:r w:rsidRPr="0026771D">
        <w:rPr>
          <w:rFonts w:ascii="Arial" w:eastAsia="Calibri" w:hAnsi="Arial" w:cs="Arial"/>
          <w:lang w:val="fr-FR" w:eastAsia="en-US"/>
        </w:rPr>
        <w:t xml:space="preserve"> </w:t>
      </w:r>
      <w:r w:rsidR="00EE2D9B" w:rsidRPr="0026771D">
        <w:rPr>
          <w:rFonts w:ascii="Arial" w:eastAsia="Calibri" w:hAnsi="Arial" w:cs="Arial"/>
          <w:lang w:val="fr-FR" w:eastAsia="en-US"/>
        </w:rPr>
        <w:t xml:space="preserve">According to UNAIDS, Senegal is classified as </w:t>
      </w:r>
      <w:proofErr w:type="gramStart"/>
      <w:r w:rsidR="00EE2D9B" w:rsidRPr="0026771D">
        <w:rPr>
          <w:rFonts w:ascii="Arial" w:eastAsia="Calibri" w:hAnsi="Arial" w:cs="Arial"/>
          <w:lang w:val="fr-FR" w:eastAsia="en-US"/>
        </w:rPr>
        <w:t>a</w:t>
      </w:r>
      <w:proofErr w:type="gramEnd"/>
      <w:r w:rsidR="00EE2D9B" w:rsidRPr="0026771D">
        <w:rPr>
          <w:rFonts w:ascii="Arial" w:eastAsia="Calibri" w:hAnsi="Arial" w:cs="Arial"/>
          <w:lang w:val="fr-FR" w:eastAsia="en-US"/>
        </w:rPr>
        <w:t xml:space="preserve"> country with low prevalence of human immunodeficiency virus (HIV), with an estimated national rate of 0.5% </w:t>
      </w:r>
      <w:r w:rsidR="00C45552" w:rsidRPr="0026771D">
        <w:rPr>
          <w:rFonts w:ascii="Arial" w:eastAsia="Calibri" w:hAnsi="Arial" w:cs="Arial"/>
          <w:lang w:val="fr-FR" w:eastAsia="en-US"/>
        </w:rPr>
        <w:t xml:space="preserve">[1]. </w:t>
      </w:r>
      <w:r w:rsidR="00EE2D9B" w:rsidRPr="0026771D">
        <w:rPr>
          <w:rFonts w:ascii="Arial" w:eastAsia="Calibri" w:hAnsi="Arial" w:cs="Arial"/>
          <w:lang w:val="fr-FR" w:eastAsia="en-US"/>
        </w:rPr>
        <w:lastRenderedPageBreak/>
        <w:t>However, certain regions, notably Casamance and the areas of Fatick and Kaolack that make up Sine-Saloum, have higher seroprevalence rates, reaching or exceeding 1%, compared to a national average of 0.5%.</w:t>
      </w:r>
      <w:r w:rsidR="00EE2D9B" w:rsidRPr="0026771D">
        <w:rPr>
          <w:rFonts w:ascii="Arial" w:hAnsi="Arial" w:cs="Arial"/>
        </w:rPr>
        <w:t xml:space="preserve"> </w:t>
      </w:r>
      <w:r w:rsidR="00EE2D9B" w:rsidRPr="0026771D">
        <w:rPr>
          <w:rFonts w:ascii="Arial" w:eastAsia="Calibri" w:hAnsi="Arial" w:cs="Arial"/>
          <w:lang w:val="fr-FR" w:eastAsia="en-US"/>
        </w:rPr>
        <w:t xml:space="preserve">Several factors may explain this disparity, including the social vulnerability of these areas marked by population displacement, early sexual activity, and certain socio-cultural practices such as female genital mutilation and circumcision </w:t>
      </w:r>
      <w:r w:rsidR="00C45552" w:rsidRPr="0026771D">
        <w:rPr>
          <w:rFonts w:ascii="Arial" w:eastAsia="Calibri" w:hAnsi="Arial" w:cs="Arial"/>
          <w:lang w:val="fr-FR" w:eastAsia="en-US"/>
        </w:rPr>
        <w:t xml:space="preserve">[2]. </w:t>
      </w:r>
      <w:r w:rsidR="001043FC" w:rsidRPr="0026771D">
        <w:rPr>
          <w:rFonts w:ascii="Arial" w:eastAsia="Calibri" w:hAnsi="Arial" w:cs="Arial"/>
          <w:lang w:val="fr-FR" w:eastAsia="en-US"/>
        </w:rPr>
        <w:t xml:space="preserve">HIV infection causes a gradual weakening of the immune system, promoting the development of opportunistic infections, which are often the first clinical manifestations of HIV in Africa. Among these, anaemia is a common condition, responsible for high morbidity and mortality in developing countries. Consequently, the fight against HIV also involves effective management of these opportunistic conditions, including anaemia </w:t>
      </w:r>
      <w:r w:rsidR="005A768F" w:rsidRPr="0026771D">
        <w:rPr>
          <w:rFonts w:ascii="Arial" w:eastAsia="Calibri" w:hAnsi="Arial" w:cs="Arial"/>
          <w:lang w:val="fr-FR" w:eastAsia="en-US"/>
        </w:rPr>
        <w:t xml:space="preserve">[3]. </w:t>
      </w:r>
      <w:r w:rsidR="00E531CC" w:rsidRPr="0026771D">
        <w:rPr>
          <w:rFonts w:ascii="Arial" w:eastAsia="Calibri" w:hAnsi="Arial" w:cs="Arial"/>
          <w:lang w:val="fr-FR" w:eastAsia="en-US"/>
        </w:rPr>
        <w:t>Anaemia is a condition marked by a decrease in circulating red blood cells or hemoglobin levels, leading to a reduced capacity of the blood to carry oxygen [</w:t>
      </w:r>
      <w:r w:rsidR="00432BE5" w:rsidRPr="0026771D">
        <w:rPr>
          <w:rFonts w:ascii="Arial" w:eastAsia="Calibri" w:hAnsi="Arial" w:cs="Arial"/>
          <w:lang w:val="fr-FR" w:eastAsia="en-US"/>
        </w:rPr>
        <w:t>4</w:t>
      </w:r>
      <w:r w:rsidR="00E531CC" w:rsidRPr="0026771D">
        <w:rPr>
          <w:rFonts w:ascii="Arial" w:eastAsia="Calibri" w:hAnsi="Arial" w:cs="Arial"/>
          <w:lang w:val="fr-FR" w:eastAsia="en-US"/>
        </w:rPr>
        <w:t>]. It results from multiple risk factors that may occur alone but often coexist. These include hereditary disorders such as hemoglobinopathies, blood loss due to menstruation, infections like malaria and intestinal parasites, chronic diseases such as tuberculosis, cancer, and AIDS, as well as nutritional deficiencies, particularly iron deficiency and deficiencies in vitamins and minerals including folic acid, vitamins A and B12, riboflavin, and copper [</w:t>
      </w:r>
      <w:r w:rsidR="00AF00F3" w:rsidRPr="0026771D">
        <w:rPr>
          <w:rFonts w:ascii="Arial" w:eastAsia="Calibri" w:hAnsi="Arial" w:cs="Arial"/>
          <w:lang w:val="fr-FR" w:eastAsia="en-US"/>
        </w:rPr>
        <w:t>5</w:t>
      </w:r>
      <w:r w:rsidR="00E531CC" w:rsidRPr="0026771D">
        <w:rPr>
          <w:rFonts w:ascii="Arial" w:eastAsia="Calibri" w:hAnsi="Arial" w:cs="Arial"/>
          <w:lang w:val="fr-FR" w:eastAsia="en-US"/>
        </w:rPr>
        <w:t>].</w:t>
      </w:r>
      <w:r w:rsidR="00E531CC" w:rsidRPr="0026771D">
        <w:rPr>
          <w:rFonts w:ascii="Arial" w:hAnsi="Arial" w:cs="Arial"/>
        </w:rPr>
        <w:t xml:space="preserve"> </w:t>
      </w:r>
      <w:r w:rsidR="00E531CC" w:rsidRPr="0026771D">
        <w:rPr>
          <w:rFonts w:ascii="Arial" w:eastAsia="Calibri" w:hAnsi="Arial" w:cs="Arial"/>
          <w:lang w:val="fr-FR" w:eastAsia="en-US"/>
        </w:rPr>
        <w:t>In addition, prolonged use of non-steroidal anti-inflammatory drugs and other hemotoxic medications, as well as long-term exposure to toxic chemicals such as phenylhydrazine, has been associated with the development of anaemia [</w:t>
      </w:r>
      <w:r w:rsidR="003464BC" w:rsidRPr="0026771D">
        <w:rPr>
          <w:rFonts w:ascii="Arial" w:eastAsia="Calibri" w:hAnsi="Arial" w:cs="Arial"/>
          <w:lang w:val="fr-FR" w:eastAsia="en-US"/>
        </w:rPr>
        <w:t>6</w:t>
      </w:r>
      <w:r w:rsidR="00E531CC" w:rsidRPr="0026771D">
        <w:rPr>
          <w:rFonts w:ascii="Arial" w:eastAsia="Calibri" w:hAnsi="Arial" w:cs="Arial"/>
          <w:lang w:val="fr-FR" w:eastAsia="en-US"/>
        </w:rPr>
        <w:t>]</w:t>
      </w:r>
      <w:r w:rsidR="00460276" w:rsidRPr="0026771D">
        <w:rPr>
          <w:rFonts w:ascii="Arial" w:hAnsi="Arial" w:cs="Arial"/>
        </w:rPr>
        <w:t xml:space="preserve"> </w:t>
      </w:r>
      <w:r w:rsidR="00460276" w:rsidRPr="0026771D">
        <w:rPr>
          <w:rFonts w:ascii="Arial" w:eastAsia="Calibri" w:hAnsi="Arial" w:cs="Arial"/>
          <w:lang w:val="fr-FR" w:eastAsia="en-US"/>
        </w:rPr>
        <w:t xml:space="preserve">A deficiency in well-functioning red blood cells results in a reduced oxygen-carrying capacity, which manifests as generalized weakness, fatigue, pallor, exertional dyspnea, increased cardiac output, vasodilation, higher morbidity and mortality, and an overall reduction in quality of life </w:t>
      </w:r>
      <w:r w:rsidR="003464BC" w:rsidRPr="0026771D">
        <w:rPr>
          <w:rFonts w:ascii="Arial" w:eastAsia="Calibri" w:hAnsi="Arial" w:cs="Arial"/>
          <w:lang w:val="fr-FR" w:eastAsia="en-US"/>
        </w:rPr>
        <w:t>[7]</w:t>
      </w:r>
      <w:r w:rsidR="00371364" w:rsidRPr="0026771D">
        <w:rPr>
          <w:rFonts w:ascii="Arial" w:eastAsia="Calibri" w:hAnsi="Arial" w:cs="Arial"/>
          <w:lang w:val="fr-FR" w:eastAsia="en-US"/>
        </w:rPr>
        <w:t xml:space="preserve">. </w:t>
      </w:r>
      <w:r w:rsidR="000E5C0E" w:rsidRPr="0026771D">
        <w:rPr>
          <w:rFonts w:ascii="Arial" w:eastAsia="Calibri" w:hAnsi="Arial" w:cs="Arial"/>
          <w:lang w:val="fr-FR" w:eastAsia="en-US"/>
        </w:rPr>
        <w:t>Limited access to conventional treatments, which are often expensive, leads many people to turn to traditional medicine. In the regions of Casamance, Fatick and Kaolack, where medicinal plants are abundant and inexpensive, herbal medicine is a preferred therapeutic alternative.</w:t>
      </w:r>
      <w:r w:rsidR="00AE02A2" w:rsidRPr="0026771D">
        <w:rPr>
          <w:rFonts w:ascii="Arial" w:eastAsia="Calibri" w:hAnsi="Arial" w:cs="Arial"/>
          <w:lang w:val="fr-FR" w:eastAsia="en-US"/>
        </w:rPr>
        <w:t xml:space="preserve"> </w:t>
      </w:r>
      <w:r w:rsidR="000E5C0E" w:rsidRPr="0026771D">
        <w:rPr>
          <w:rFonts w:ascii="Arial" w:eastAsia="Calibri" w:hAnsi="Arial" w:cs="Arial"/>
          <w:lang w:val="fr-FR" w:eastAsia="en-US"/>
        </w:rPr>
        <w:t>The aim of this ethnobotanical survey was conducted among traditional practitioners and herbalists in these regions to identify the plants used in the treatment of anaemia in people living with HIV.</w:t>
      </w:r>
    </w:p>
    <w:p w14:paraId="7DD72532" w14:textId="359B09EC" w:rsidR="00AE02A2" w:rsidRPr="0026771D" w:rsidRDefault="004F713B" w:rsidP="00A13EE0">
      <w:pPr>
        <w:pStyle w:val="ListParagraph"/>
        <w:numPr>
          <w:ilvl w:val="0"/>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M</w:t>
      </w:r>
      <w:r w:rsidR="000E5C0E" w:rsidRPr="0026771D">
        <w:rPr>
          <w:rFonts w:ascii="Arial" w:eastAsia="Calibri" w:hAnsi="Arial" w:cs="Arial"/>
          <w:b/>
          <w:sz w:val="24"/>
          <w:szCs w:val="24"/>
        </w:rPr>
        <w:t>ethodology</w:t>
      </w:r>
    </w:p>
    <w:p w14:paraId="6A35D1F0" w14:textId="72C5EF81" w:rsidR="000E5C0E" w:rsidRPr="0026771D" w:rsidRDefault="000E5C0E" w:rsidP="00A13EE0">
      <w:pPr>
        <w:pStyle w:val="ListParagraph"/>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2.1. Study of area</w:t>
      </w:r>
    </w:p>
    <w:p w14:paraId="26B175FA" w14:textId="77777777" w:rsidR="00DA104F" w:rsidRPr="0026771D" w:rsidRDefault="00DA104F" w:rsidP="00A13EE0">
      <w:pPr>
        <w:autoSpaceDE w:val="0"/>
        <w:autoSpaceDN w:val="0"/>
        <w:adjustRightInd w:val="0"/>
        <w:spacing w:line="360" w:lineRule="auto"/>
        <w:jc w:val="both"/>
        <w:rPr>
          <w:rFonts w:ascii="Arial" w:eastAsiaTheme="minorHAnsi" w:hAnsi="Arial" w:cs="Arial"/>
          <w:color w:val="000000"/>
        </w:rPr>
      </w:pPr>
      <w:r w:rsidRPr="0026771D">
        <w:rPr>
          <w:rFonts w:ascii="Arial" w:eastAsiaTheme="minorHAnsi" w:hAnsi="Arial" w:cs="Arial"/>
          <w:color w:val="000000"/>
        </w:rPr>
        <w:lastRenderedPageBreak/>
        <w:t>The survey was conducted among traditional practitioners and herbalists in the regions of Casamance, Fatick and Kaolack</w:t>
      </w:r>
    </w:p>
    <w:p w14:paraId="3B25D925" w14:textId="4ED6648E" w:rsidR="00C22EDA" w:rsidRPr="0026771D" w:rsidRDefault="00DA104F" w:rsidP="00A13EE0">
      <w:pPr>
        <w:pStyle w:val="ListParagraph"/>
        <w:numPr>
          <w:ilvl w:val="1"/>
          <w:numId w:val="11"/>
        </w:numPr>
        <w:autoSpaceDE w:val="0"/>
        <w:autoSpaceDN w:val="0"/>
        <w:adjustRightInd w:val="0"/>
        <w:spacing w:before="120" w:after="120" w:line="360" w:lineRule="auto"/>
        <w:jc w:val="both"/>
        <w:rPr>
          <w:rFonts w:ascii="Arial" w:eastAsia="Calibri" w:hAnsi="Arial" w:cs="Arial"/>
          <w:b/>
          <w:bCs/>
          <w:sz w:val="24"/>
          <w:szCs w:val="24"/>
        </w:rPr>
      </w:pPr>
      <w:r w:rsidRPr="0026771D">
        <w:rPr>
          <w:rFonts w:ascii="Arial" w:hAnsi="Arial" w:cs="Arial"/>
          <w:b/>
          <w:bCs/>
          <w:sz w:val="24"/>
          <w:szCs w:val="24"/>
        </w:rPr>
        <w:t>Lower</w:t>
      </w:r>
      <w:r w:rsidR="00C22EDA" w:rsidRPr="0026771D">
        <w:rPr>
          <w:rFonts w:ascii="Arial" w:hAnsi="Arial" w:cs="Arial"/>
          <w:b/>
          <w:bCs/>
          <w:sz w:val="24"/>
          <w:szCs w:val="24"/>
        </w:rPr>
        <w:t xml:space="preserve"> Casamance</w:t>
      </w:r>
    </w:p>
    <w:p w14:paraId="640F5508" w14:textId="62AEABB0" w:rsidR="008F0159" w:rsidRPr="0026771D" w:rsidRDefault="00DA104F" w:rsidP="00A13EE0">
      <w:pPr>
        <w:spacing w:line="360" w:lineRule="auto"/>
        <w:jc w:val="both"/>
        <w:rPr>
          <w:rFonts w:ascii="Arial" w:hAnsi="Arial" w:cs="Arial"/>
        </w:rPr>
      </w:pPr>
      <w:r w:rsidRPr="0026771D">
        <w:rPr>
          <w:rFonts w:ascii="Arial" w:hAnsi="Arial" w:cs="Arial"/>
        </w:rPr>
        <w:t>The Ziguinchor region is located at 12°33' North Latitude and 16°16' West Longitude, with a magnetic declination of 13°05. Its altitude is 19.30 m in the south-western part of Senegal. It is bordered to the north by the Republic of Gambia, to the south by the Republic of Guinea-Bissau, to the east by the regions of Kolda and Sédhiou, and to the west by the Atlantic Ocean. The region covers an area of 7,339 km², or 3.7% of the national territory. Its tropical sub-Guinean climate gives it the richest flora and the most extensive hydrographic network in the country</w:t>
      </w:r>
      <w:r w:rsidR="00371364" w:rsidRPr="0026771D">
        <w:rPr>
          <w:rFonts w:ascii="Arial" w:hAnsi="Arial" w:cs="Arial"/>
        </w:rPr>
        <w:t xml:space="preserve"> </w:t>
      </w:r>
      <w:r w:rsidR="00371364" w:rsidRPr="0026771D">
        <w:rPr>
          <w:rFonts w:ascii="Arial" w:eastAsia="Calibri" w:hAnsi="Arial" w:cs="Arial"/>
          <w:lang w:val="fr-FR" w:eastAsia="en-US"/>
        </w:rPr>
        <w:t>[8]</w:t>
      </w:r>
      <w:r w:rsidRPr="0026771D">
        <w:rPr>
          <w:rFonts w:ascii="Arial" w:hAnsi="Arial" w:cs="Arial"/>
        </w:rPr>
        <w:t>.</w:t>
      </w:r>
      <w:r w:rsidR="006F1BBB" w:rsidRPr="0026771D">
        <w:rPr>
          <w:rFonts w:ascii="Arial" w:hAnsi="Arial" w:cs="Arial"/>
        </w:rPr>
        <w:t xml:space="preserve"> The figure 1 shows the map of Ziguinchor region.</w:t>
      </w:r>
    </w:p>
    <w:p w14:paraId="6050BBA8" w14:textId="26850838" w:rsidR="006F1BBB" w:rsidRPr="0026771D" w:rsidRDefault="006F1BBB" w:rsidP="00A13EE0">
      <w:pPr>
        <w:spacing w:line="360" w:lineRule="auto"/>
        <w:jc w:val="center"/>
        <w:rPr>
          <w:rFonts w:ascii="Arial" w:hAnsi="Arial" w:cs="Arial"/>
        </w:rPr>
      </w:pPr>
      <w:r w:rsidRPr="0026771D">
        <w:rPr>
          <w:rFonts w:ascii="Arial" w:hAnsi="Arial" w:cs="Arial"/>
          <w:noProof/>
        </w:rPr>
        <w:drawing>
          <wp:inline distT="0" distB="0" distL="0" distR="0" wp14:anchorId="764C1788" wp14:editId="391CE48E">
            <wp:extent cx="2755900" cy="2310765"/>
            <wp:effectExtent l="0" t="0" r="6350" b="0"/>
            <wp:docPr id="817667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2310765"/>
                    </a:xfrm>
                    <a:prstGeom prst="rect">
                      <a:avLst/>
                    </a:prstGeom>
                    <a:noFill/>
                  </pic:spPr>
                </pic:pic>
              </a:graphicData>
            </a:graphic>
          </wp:inline>
        </w:drawing>
      </w:r>
    </w:p>
    <w:p w14:paraId="4BC8D22C" w14:textId="143232B4" w:rsidR="006F1BBB" w:rsidRPr="0026771D" w:rsidRDefault="006F1BBB" w:rsidP="00A13EE0">
      <w:pPr>
        <w:spacing w:line="360" w:lineRule="auto"/>
        <w:jc w:val="center"/>
        <w:rPr>
          <w:rFonts w:ascii="Arial" w:hAnsi="Arial" w:cs="Arial"/>
          <w:b/>
          <w:bCs/>
        </w:rPr>
      </w:pPr>
      <w:r w:rsidRPr="0026771D">
        <w:rPr>
          <w:rFonts w:ascii="Arial" w:hAnsi="Arial" w:cs="Arial"/>
          <w:b/>
          <w:bCs/>
        </w:rPr>
        <w:t>Fig.1. Map of the Ziguinchor region</w:t>
      </w:r>
    </w:p>
    <w:p w14:paraId="4B58C22F" w14:textId="41A31E5B" w:rsidR="00C22EDA" w:rsidRPr="0026771D" w:rsidRDefault="00C22EDA" w:rsidP="00A13EE0">
      <w:pPr>
        <w:pStyle w:val="ListParagraph"/>
        <w:numPr>
          <w:ilvl w:val="0"/>
          <w:numId w:val="13"/>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Sine-</w:t>
      </w:r>
      <w:r w:rsidR="00731FB1" w:rsidRPr="0026771D">
        <w:rPr>
          <w:rFonts w:ascii="Arial" w:eastAsia="Calibri" w:hAnsi="Arial" w:cs="Arial"/>
          <w:b/>
          <w:sz w:val="24"/>
          <w:szCs w:val="24"/>
        </w:rPr>
        <w:t>Saloum</w:t>
      </w:r>
    </w:p>
    <w:p w14:paraId="5967DD02" w14:textId="1BECAD30" w:rsidR="00557556" w:rsidRPr="0026771D" w:rsidRDefault="00A022AA" w:rsidP="00A13EE0">
      <w:pPr>
        <w:autoSpaceDE w:val="0"/>
        <w:autoSpaceDN w:val="0"/>
        <w:adjustRightInd w:val="0"/>
        <w:spacing w:before="120" w:after="120" w:line="360" w:lineRule="auto"/>
        <w:jc w:val="both"/>
        <w:rPr>
          <w:rFonts w:ascii="Arial" w:eastAsiaTheme="minorHAnsi" w:hAnsi="Arial" w:cs="Arial"/>
          <w:color w:val="000000"/>
        </w:rPr>
      </w:pPr>
      <w:r w:rsidRPr="0026771D">
        <w:rPr>
          <w:rFonts w:ascii="Arial" w:eastAsiaTheme="minorHAnsi" w:hAnsi="Arial" w:cs="Arial"/>
          <w:color w:val="000000"/>
        </w:rPr>
        <w:t xml:space="preserve">In 1984, the Fatick region was created by Law 84-22 of 22 February, dividing the Sine-Saloum region into two regional entities (Kaolack and Fatick). It underwent a new administrative division introduced by Law No. 2008-14 of 18 March 2008 and covers an estimated area of 6,685 km² compared to 7,535 km² before the division. </w:t>
      </w:r>
      <w:r w:rsidR="00557556" w:rsidRPr="0026771D">
        <w:rPr>
          <w:rFonts w:ascii="Arial" w:eastAsiaTheme="minorHAnsi" w:hAnsi="Arial" w:cs="Arial"/>
          <w:color w:val="000000"/>
        </w:rPr>
        <w:t xml:space="preserve">It is bordered to the east by the Kaolack region, to the south-west by the Atlantic Ocean, to the north by the Diourbel region, to the north-east by the Gossas department, to the north-west by the Thiès region (Mbour department), and to the south by the Saloum River, which flows through Foundiougne. </w:t>
      </w:r>
      <w:r w:rsidR="006F1BBB" w:rsidRPr="0026771D">
        <w:rPr>
          <w:rFonts w:ascii="Arial" w:eastAsiaTheme="minorHAnsi" w:hAnsi="Arial" w:cs="Arial"/>
          <w:color w:val="000000"/>
        </w:rPr>
        <w:t>The figure 2 shows the map of Fatick region.</w:t>
      </w:r>
    </w:p>
    <w:p w14:paraId="5E745B82" w14:textId="30E769FC" w:rsidR="006F1BBB" w:rsidRPr="0026771D" w:rsidRDefault="006F1BBB" w:rsidP="00A13EE0">
      <w:pPr>
        <w:autoSpaceDE w:val="0"/>
        <w:autoSpaceDN w:val="0"/>
        <w:adjustRightInd w:val="0"/>
        <w:spacing w:before="120" w:after="120" w:line="360" w:lineRule="auto"/>
        <w:jc w:val="center"/>
        <w:rPr>
          <w:rFonts w:ascii="Arial" w:eastAsiaTheme="minorHAnsi" w:hAnsi="Arial" w:cs="Arial"/>
          <w:color w:val="000000"/>
        </w:rPr>
      </w:pPr>
      <w:r w:rsidRPr="0026771D">
        <w:rPr>
          <w:rFonts w:ascii="Arial" w:hAnsi="Arial" w:cs="Arial"/>
          <w:noProof/>
        </w:rPr>
        <w:lastRenderedPageBreak/>
        <w:drawing>
          <wp:inline distT="0" distB="0" distL="0" distR="0" wp14:anchorId="38D9C7A2" wp14:editId="5A61D1A3">
            <wp:extent cx="3060700" cy="2402205"/>
            <wp:effectExtent l="0" t="0" r="6350" b="0"/>
            <wp:docPr id="2011770904" name="Image 2" descr="Carte administrative de la région de Fatick - Au Sénégal, le cœur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 administrative de la région de Fatick - Au Sénégal, le cœur du Sénég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17" r="12095"/>
                    <a:stretch>
                      <a:fillRect/>
                    </a:stretch>
                  </pic:blipFill>
                  <pic:spPr bwMode="auto">
                    <a:xfrm>
                      <a:off x="0" y="0"/>
                      <a:ext cx="3116644" cy="2446113"/>
                    </a:xfrm>
                    <a:prstGeom prst="rect">
                      <a:avLst/>
                    </a:prstGeom>
                    <a:noFill/>
                    <a:ln>
                      <a:noFill/>
                    </a:ln>
                    <a:extLst>
                      <a:ext uri="{53640926-AAD7-44D8-BBD7-CCE9431645EC}">
                        <a14:shadowObscured xmlns:a14="http://schemas.microsoft.com/office/drawing/2010/main"/>
                      </a:ext>
                    </a:extLst>
                  </pic:spPr>
                </pic:pic>
              </a:graphicData>
            </a:graphic>
          </wp:inline>
        </w:drawing>
      </w:r>
    </w:p>
    <w:p w14:paraId="2515BA69" w14:textId="0DD2B036" w:rsidR="006F1BBB" w:rsidRPr="0026771D" w:rsidRDefault="006F1BBB" w:rsidP="00A13EE0">
      <w:pPr>
        <w:autoSpaceDE w:val="0"/>
        <w:autoSpaceDN w:val="0"/>
        <w:adjustRightInd w:val="0"/>
        <w:spacing w:before="120" w:after="120" w:line="360" w:lineRule="auto"/>
        <w:jc w:val="center"/>
        <w:rPr>
          <w:rFonts w:ascii="Arial" w:eastAsiaTheme="minorHAnsi" w:hAnsi="Arial" w:cs="Arial"/>
          <w:b/>
          <w:bCs/>
          <w:color w:val="000000"/>
        </w:rPr>
      </w:pPr>
      <w:r w:rsidRPr="0026771D">
        <w:rPr>
          <w:rFonts w:ascii="Arial" w:eastAsiaTheme="minorHAnsi" w:hAnsi="Arial" w:cs="Arial"/>
          <w:b/>
          <w:bCs/>
          <w:color w:val="000000"/>
        </w:rPr>
        <w:t>Fig. 2. Map of the Fatick region</w:t>
      </w:r>
    </w:p>
    <w:p w14:paraId="6A0C0E0E" w14:textId="3D3050C2" w:rsidR="006F1BBB" w:rsidRPr="0026771D" w:rsidRDefault="00557556" w:rsidP="00A13EE0">
      <w:pPr>
        <w:autoSpaceDE w:val="0"/>
        <w:autoSpaceDN w:val="0"/>
        <w:adjustRightInd w:val="0"/>
        <w:spacing w:before="120" w:after="120" w:line="360" w:lineRule="auto"/>
        <w:jc w:val="both"/>
        <w:rPr>
          <w:rFonts w:ascii="Arial" w:eastAsiaTheme="minorHAnsi" w:hAnsi="Arial" w:cs="Arial"/>
          <w:color w:val="000000"/>
        </w:rPr>
      </w:pPr>
      <w:r w:rsidRPr="0026771D">
        <w:rPr>
          <w:rFonts w:ascii="Arial" w:hAnsi="Arial" w:cs="Arial"/>
        </w:rPr>
        <w:t>The Kaolack region is located between 14°30' and 16°30' west longitude and 13°30' and 14°30' north latitude. Before 2008, its territory covered an area of 16,010 km², or 14% of the national territory. It was created in 1984 from the division of the former Sine-Saloum region, but its configuration is the result of the 2008 reforms following the establishment of the former Kaffrine department as a region, and those of 2010 and 2011. It covers an area of 5,289 km², or approximately 2.8% of the national territory. It is located between the southern Sahelian zone and the northern Sudanese zone, forming the heart of the peanut basin together with the regions of Kaffrine, Fatick and Diourbel</w:t>
      </w:r>
      <w:r w:rsidR="00371364" w:rsidRPr="0026771D">
        <w:rPr>
          <w:rFonts w:ascii="Arial" w:hAnsi="Arial" w:cs="Arial"/>
        </w:rPr>
        <w:t xml:space="preserve"> </w:t>
      </w:r>
      <w:bookmarkStart w:id="1" w:name="_Hlk217334363"/>
      <w:r w:rsidR="00371364" w:rsidRPr="0026771D">
        <w:rPr>
          <w:rFonts w:ascii="Arial" w:eastAsia="Calibri" w:hAnsi="Arial" w:cs="Arial"/>
          <w:lang w:val="fr-FR" w:eastAsia="en-US"/>
        </w:rPr>
        <w:t>[9]</w:t>
      </w:r>
      <w:bookmarkEnd w:id="1"/>
      <w:r w:rsidRPr="0026771D">
        <w:rPr>
          <w:rFonts w:ascii="Arial" w:hAnsi="Arial" w:cs="Arial"/>
        </w:rPr>
        <w:t>.</w:t>
      </w:r>
      <w:r w:rsidRPr="0026771D">
        <w:rPr>
          <w:rFonts w:ascii="Arial" w:hAnsi="Arial" w:cs="Arial"/>
          <w:b/>
          <w:bCs/>
        </w:rPr>
        <w:t xml:space="preserve"> </w:t>
      </w:r>
      <w:r w:rsidR="006F1BBB" w:rsidRPr="0026771D">
        <w:rPr>
          <w:rFonts w:ascii="Arial" w:eastAsiaTheme="minorHAnsi" w:hAnsi="Arial" w:cs="Arial"/>
          <w:color w:val="000000"/>
        </w:rPr>
        <w:t>The figure 3 shows the map of Kaolack region.</w:t>
      </w:r>
    </w:p>
    <w:p w14:paraId="4C9860F9" w14:textId="34301B38" w:rsidR="00FB4466" w:rsidRPr="0026771D" w:rsidRDefault="00FB4466" w:rsidP="00A13EE0">
      <w:pPr>
        <w:autoSpaceDE w:val="0"/>
        <w:autoSpaceDN w:val="0"/>
        <w:adjustRightInd w:val="0"/>
        <w:spacing w:before="120" w:after="120" w:line="360" w:lineRule="auto"/>
        <w:jc w:val="center"/>
        <w:rPr>
          <w:rFonts w:ascii="Arial" w:eastAsiaTheme="minorHAnsi" w:hAnsi="Arial" w:cs="Arial"/>
          <w:color w:val="000000"/>
        </w:rPr>
      </w:pPr>
      <w:r w:rsidRPr="0026771D">
        <w:rPr>
          <w:rFonts w:ascii="Arial" w:eastAsiaTheme="minorHAnsi" w:hAnsi="Arial" w:cs="Arial"/>
          <w:noProof/>
          <w:color w:val="000000"/>
        </w:rPr>
        <w:drawing>
          <wp:inline distT="0" distB="0" distL="0" distR="0" wp14:anchorId="3490F761" wp14:editId="002BC54B">
            <wp:extent cx="4991100" cy="2503205"/>
            <wp:effectExtent l="0" t="0" r="0" b="0"/>
            <wp:docPr id="1270635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35530" name=""/>
                    <pic:cNvPicPr/>
                  </pic:nvPicPr>
                  <pic:blipFill>
                    <a:blip r:embed="rId9"/>
                    <a:stretch>
                      <a:fillRect/>
                    </a:stretch>
                  </pic:blipFill>
                  <pic:spPr>
                    <a:xfrm>
                      <a:off x="0" y="0"/>
                      <a:ext cx="5011769" cy="2513571"/>
                    </a:xfrm>
                    <a:prstGeom prst="rect">
                      <a:avLst/>
                    </a:prstGeom>
                  </pic:spPr>
                </pic:pic>
              </a:graphicData>
            </a:graphic>
          </wp:inline>
        </w:drawing>
      </w:r>
    </w:p>
    <w:p w14:paraId="6B94A70C" w14:textId="2E82158F" w:rsidR="00FB4466" w:rsidRPr="0026771D" w:rsidRDefault="00FB4466" w:rsidP="00A13EE0">
      <w:pPr>
        <w:autoSpaceDE w:val="0"/>
        <w:autoSpaceDN w:val="0"/>
        <w:adjustRightInd w:val="0"/>
        <w:spacing w:before="120" w:after="120" w:line="360" w:lineRule="auto"/>
        <w:jc w:val="center"/>
        <w:rPr>
          <w:rFonts w:ascii="Arial" w:eastAsiaTheme="minorHAnsi" w:hAnsi="Arial" w:cs="Arial"/>
          <w:b/>
          <w:bCs/>
          <w:color w:val="000000"/>
        </w:rPr>
      </w:pPr>
      <w:r w:rsidRPr="0026771D">
        <w:rPr>
          <w:rFonts w:ascii="Arial" w:eastAsiaTheme="minorHAnsi" w:hAnsi="Arial" w:cs="Arial"/>
          <w:b/>
          <w:bCs/>
          <w:color w:val="000000"/>
        </w:rPr>
        <w:t>Fig.3. The map of Kaolack region.</w:t>
      </w:r>
    </w:p>
    <w:p w14:paraId="607A6568" w14:textId="77777777" w:rsidR="00FB4466" w:rsidRPr="0026771D" w:rsidRDefault="00FB4466" w:rsidP="00A13EE0">
      <w:pPr>
        <w:autoSpaceDE w:val="0"/>
        <w:autoSpaceDN w:val="0"/>
        <w:adjustRightInd w:val="0"/>
        <w:spacing w:before="120" w:after="120" w:line="360" w:lineRule="auto"/>
        <w:jc w:val="center"/>
        <w:rPr>
          <w:rFonts w:ascii="Arial" w:eastAsiaTheme="minorHAnsi" w:hAnsi="Arial" w:cs="Arial"/>
          <w:color w:val="000000"/>
        </w:rPr>
      </w:pPr>
    </w:p>
    <w:p w14:paraId="5EA9E9F0" w14:textId="445395BC" w:rsidR="00577717" w:rsidRPr="0026771D" w:rsidRDefault="00577717" w:rsidP="00A13EE0">
      <w:pPr>
        <w:pStyle w:val="ListParagraph"/>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Study period</w:t>
      </w:r>
    </w:p>
    <w:p w14:paraId="55599C12" w14:textId="3E7E1598" w:rsidR="003D4BEC" w:rsidRPr="0026771D" w:rsidRDefault="00577717" w:rsidP="00A13EE0">
      <w:pPr>
        <w:autoSpaceDE w:val="0"/>
        <w:autoSpaceDN w:val="0"/>
        <w:adjustRightInd w:val="0"/>
        <w:spacing w:after="120" w:line="360" w:lineRule="auto"/>
        <w:jc w:val="both"/>
        <w:rPr>
          <w:rFonts w:ascii="Arial" w:eastAsiaTheme="minorHAnsi" w:hAnsi="Arial" w:cs="Arial"/>
          <w:color w:val="000000"/>
        </w:rPr>
      </w:pPr>
      <w:r w:rsidRPr="0026771D">
        <w:rPr>
          <w:rFonts w:ascii="Arial" w:eastAsia="Calibri" w:hAnsi="Arial" w:cs="Arial"/>
          <w:bCs/>
          <w:lang w:val="fr-FR" w:eastAsia="en-US"/>
        </w:rPr>
        <w:lastRenderedPageBreak/>
        <w:t>The survey covered the period from February to April 2023 and lasted 11 weeks. It mainly involved administering the survey questionnaire to participants selected primarily on the basis of their popularity and consent.</w:t>
      </w:r>
      <w:r w:rsidR="003D4BEC" w:rsidRPr="0026771D">
        <w:rPr>
          <w:rFonts w:ascii="Arial" w:eastAsiaTheme="minorHAnsi" w:hAnsi="Arial" w:cs="Arial"/>
          <w:color w:val="000000"/>
        </w:rPr>
        <w:t xml:space="preserve">   </w:t>
      </w:r>
    </w:p>
    <w:p w14:paraId="4B9884F5" w14:textId="643DE5F8" w:rsidR="00577717" w:rsidRPr="0026771D" w:rsidRDefault="00577717" w:rsidP="00A13EE0">
      <w:pPr>
        <w:pStyle w:val="ListParagraph"/>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Cs/>
          <w:sz w:val="24"/>
          <w:szCs w:val="24"/>
        </w:rPr>
        <w:t xml:space="preserve"> </w:t>
      </w:r>
      <w:r w:rsidRPr="0026771D">
        <w:rPr>
          <w:rFonts w:ascii="Arial" w:eastAsia="Calibri" w:hAnsi="Arial" w:cs="Arial"/>
          <w:b/>
          <w:sz w:val="24"/>
          <w:szCs w:val="24"/>
        </w:rPr>
        <w:t>Type of study</w:t>
      </w:r>
    </w:p>
    <w:p w14:paraId="068EE7E2" w14:textId="353194A7" w:rsidR="00AE02A2" w:rsidRPr="0026771D" w:rsidRDefault="00577717"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 xml:space="preserve">The study was conducted in the form of individual surveys of herbalists, traditional healers, and individuals designated by their communities as custodians of traditional </w:t>
      </w:r>
      <w:proofErr w:type="gramStart"/>
      <w:r w:rsidRPr="0026771D">
        <w:rPr>
          <w:rFonts w:ascii="Arial" w:eastAsia="Calibri" w:hAnsi="Arial" w:cs="Arial"/>
          <w:bCs/>
        </w:rPr>
        <w:t>knowledge.</w:t>
      </w:r>
      <w:r w:rsidR="00AE02A2" w:rsidRPr="0026771D">
        <w:rPr>
          <w:rFonts w:ascii="Arial" w:eastAsia="Calibri" w:hAnsi="Arial" w:cs="Arial"/>
          <w:bCs/>
        </w:rPr>
        <w:t>Outils</w:t>
      </w:r>
      <w:proofErr w:type="gramEnd"/>
      <w:r w:rsidR="00AE02A2" w:rsidRPr="0026771D">
        <w:rPr>
          <w:rFonts w:ascii="Arial" w:eastAsia="Calibri" w:hAnsi="Arial" w:cs="Arial"/>
          <w:bCs/>
        </w:rPr>
        <w:t xml:space="preserve"> de collecte de données</w:t>
      </w:r>
    </w:p>
    <w:p w14:paraId="73898039" w14:textId="7FD6CCBD" w:rsidR="00577717" w:rsidRPr="0026771D" w:rsidRDefault="00577717" w:rsidP="00A13EE0">
      <w:pPr>
        <w:pStyle w:val="ListParagraph"/>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Botanical identification</w:t>
      </w:r>
    </w:p>
    <w:p w14:paraId="517A7D83" w14:textId="77777777" w:rsidR="00577717" w:rsidRPr="0026771D" w:rsidRDefault="00577717" w:rsidP="00A13EE0">
      <w:pPr>
        <w:autoSpaceDE w:val="0"/>
        <w:autoSpaceDN w:val="0"/>
        <w:adjustRightInd w:val="0"/>
        <w:spacing w:before="120" w:after="120" w:line="360" w:lineRule="auto"/>
        <w:jc w:val="both"/>
        <w:rPr>
          <w:rFonts w:ascii="Arial" w:eastAsia="Calibri" w:hAnsi="Arial" w:cs="Arial"/>
          <w:b/>
        </w:rPr>
      </w:pPr>
      <w:r w:rsidRPr="0026771D">
        <w:rPr>
          <w:rFonts w:ascii="Arial" w:eastAsia="Calibri" w:hAnsi="Arial" w:cs="Arial"/>
          <w:bCs/>
        </w:rPr>
        <w:t>Most 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r w:rsidRPr="0026771D">
        <w:rPr>
          <w:rFonts w:ascii="Arial" w:eastAsia="Calibri" w:hAnsi="Arial" w:cs="Arial"/>
          <w:b/>
        </w:rPr>
        <w:t>.</w:t>
      </w:r>
    </w:p>
    <w:p w14:paraId="1D6C538B" w14:textId="30E1C502" w:rsidR="00E779B8" w:rsidRPr="0026771D" w:rsidRDefault="00E779B8" w:rsidP="00A13EE0">
      <w:pPr>
        <w:pStyle w:val="ListParagraph"/>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Data processing</w:t>
      </w:r>
    </w:p>
    <w:p w14:paraId="68F518E1" w14:textId="22C5AA3B" w:rsidR="00E779B8" w:rsidRPr="0026771D" w:rsidRDefault="00E779B8" w:rsidP="00A13EE0">
      <w:pPr>
        <w:autoSpaceDE w:val="0"/>
        <w:autoSpaceDN w:val="0"/>
        <w:adjustRightInd w:val="0"/>
        <w:spacing w:before="120" w:after="120" w:line="360" w:lineRule="auto"/>
        <w:jc w:val="both"/>
        <w:rPr>
          <w:rFonts w:ascii="Arial" w:eastAsia="Calibri" w:hAnsi="Arial" w:cs="Arial"/>
          <w:bCs/>
        </w:rPr>
      </w:pPr>
      <w:r w:rsidRPr="0026771D">
        <w:rPr>
          <w:rFonts w:ascii="Arial" w:hAnsi="Arial" w:cs="Arial"/>
          <w:noProof/>
        </w:rPr>
        <mc:AlternateContent>
          <mc:Choice Requires="wps">
            <w:drawing>
              <wp:anchor distT="0" distB="0" distL="114300" distR="114300" simplePos="0" relativeHeight="251659264" behindDoc="0" locked="0" layoutInCell="1" allowOverlap="1" wp14:anchorId="70DC673E" wp14:editId="64A7F5FC">
                <wp:simplePos x="0" y="0"/>
                <wp:positionH relativeFrom="column">
                  <wp:posOffset>3194050</wp:posOffset>
                </wp:positionH>
                <wp:positionV relativeFrom="paragraph">
                  <wp:posOffset>617220</wp:posOffset>
                </wp:positionV>
                <wp:extent cx="1828800" cy="1828800"/>
                <wp:effectExtent l="0" t="0" r="0" b="0"/>
                <wp:wrapSquare wrapText="bothSides"/>
                <wp:docPr id="249361077"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522922" w14:textId="77777777" w:rsidR="00E779B8" w:rsidRPr="00E779B8" w:rsidRDefault="00E779B8" w:rsidP="00B80046">
                            <w:pPr>
                              <w:autoSpaceDE w:val="0"/>
                              <w:autoSpaceDN w:val="0"/>
                              <w:adjustRightInd w:val="0"/>
                              <w:spacing w:before="120" w:after="120" w:line="360" w:lineRule="auto"/>
                              <w:jc w:val="both"/>
                              <w:rPr>
                                <w:rFonts w:eastAsia="Calibri"/>
                                <w:b/>
                              </w:rPr>
                            </w:pPr>
                            <w:r w:rsidRPr="00E779B8">
                              <w:rPr>
                                <w:rFonts w:eastAsia="Calibri"/>
                                <w:b/>
                              </w:rPr>
                              <w:t>CF= 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DC673E" id="_x0000_t202" coordsize="21600,21600" o:spt="202" path="m,l,21600r21600,l21600,xe">
                <v:stroke joinstyle="miter"/>
                <v:path gradientshapeok="t" o:connecttype="rect"/>
              </v:shapetype>
              <v:shape id="Zone de texte 1" o:spid="_x0000_s1026" type="#_x0000_t202" style="position:absolute;left:0;text-align:left;margin-left:251.5pt;margin-top:48.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" filled="f" strokeweight=".5pt">
                <v:textbox style="mso-fit-shape-to-text:t">
                  <w:txbxContent>
                    <w:p w14:paraId="2C522922" w14:textId="77777777" w:rsidR="00E779B8" w:rsidRPr="00E779B8" w:rsidRDefault="00E779B8" w:rsidP="00B80046">
                      <w:pPr>
                        <w:autoSpaceDE w:val="0"/>
                        <w:autoSpaceDN w:val="0"/>
                        <w:adjustRightInd w:val="0"/>
                        <w:spacing w:before="120" w:after="120" w:line="360" w:lineRule="auto"/>
                        <w:jc w:val="both"/>
                        <w:rPr>
                          <w:rFonts w:eastAsia="Calibri"/>
                          <w:b/>
                        </w:rPr>
                      </w:pPr>
                      <w:r w:rsidRPr="00E779B8">
                        <w:rPr>
                          <w:rFonts w:eastAsia="Calibri"/>
                          <w:b/>
                        </w:rPr>
                        <w:t>CF= n/N</w:t>
                      </w:r>
                    </w:p>
                  </w:txbxContent>
                </v:textbox>
                <w10:wrap type="square"/>
              </v:shape>
            </w:pict>
          </mc:Fallback>
        </mc:AlternateContent>
      </w:r>
      <w:r w:rsidRPr="0026771D">
        <w:rPr>
          <w:rFonts w:ascii="Arial" w:eastAsia="Calibri" w:hAnsi="Arial" w:cs="Arial"/>
          <w:bCs/>
        </w:rPr>
        <w:t>To process the data collected, we used the method of calculating percentages or citation frequencies (CF), which is the ratio of the number of times the species was cited (n) to the total number of players (N).</w:t>
      </w:r>
    </w:p>
    <w:p w14:paraId="39D3CE8B" w14:textId="77777777" w:rsidR="00E779B8" w:rsidRPr="0026771D" w:rsidRDefault="00E779B8" w:rsidP="00A13EE0">
      <w:pPr>
        <w:autoSpaceDE w:val="0"/>
        <w:autoSpaceDN w:val="0"/>
        <w:adjustRightInd w:val="0"/>
        <w:spacing w:before="120" w:after="120" w:line="360" w:lineRule="auto"/>
        <w:jc w:val="both"/>
        <w:rPr>
          <w:rFonts w:ascii="Arial" w:eastAsia="Calibri" w:hAnsi="Arial" w:cs="Arial"/>
          <w:bCs/>
        </w:rPr>
      </w:pPr>
    </w:p>
    <w:p w14:paraId="5C5FF350" w14:textId="77777777" w:rsidR="008F5A82" w:rsidRPr="0026771D" w:rsidRDefault="008F5A82" w:rsidP="00A13EE0">
      <w:pPr>
        <w:pStyle w:val="ListParagraph"/>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Statistical Analysis</w:t>
      </w:r>
    </w:p>
    <w:p w14:paraId="00331D0A" w14:textId="2EF5368A" w:rsidR="008F5A82" w:rsidRPr="0026771D" w:rsidRDefault="008F5A82"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 xml:space="preserve">The database software, SPSS version 3 was used for data linkage and </w:t>
      </w:r>
      <w:proofErr w:type="gramStart"/>
      <w:r w:rsidRPr="0026771D">
        <w:rPr>
          <w:rFonts w:ascii="Arial" w:eastAsia="Calibri" w:hAnsi="Arial" w:cs="Arial"/>
          <w:bCs/>
        </w:rPr>
        <w:t>processing.Regular</w:t>
      </w:r>
      <w:proofErr w:type="gramEnd"/>
      <w:r w:rsidRPr="0026771D">
        <w:rPr>
          <w:rFonts w:ascii="Arial" w:eastAsia="Calibri" w:hAnsi="Arial" w:cs="Arial"/>
          <w:bCs/>
        </w:rPr>
        <w:t xml:space="preserve"> statistics (percentage) were displayed for the frequency of plants quoted. We have used as quantitative analysis such as Use- Value (UV).</w:t>
      </w:r>
    </w:p>
    <w:p w14:paraId="3B994559" w14:textId="068E7907" w:rsidR="00CB7928" w:rsidRPr="0026771D" w:rsidRDefault="00CB7928" w:rsidP="00A13EE0">
      <w:pPr>
        <w:pStyle w:val="ListParagraph"/>
        <w:numPr>
          <w:ilvl w:val="0"/>
          <w:numId w:val="15"/>
        </w:numPr>
        <w:autoSpaceDE w:val="0"/>
        <w:autoSpaceDN w:val="0"/>
        <w:adjustRightInd w:val="0"/>
        <w:spacing w:before="120" w:after="120" w:line="360" w:lineRule="auto"/>
        <w:jc w:val="both"/>
        <w:rPr>
          <w:rFonts w:ascii="Arial" w:eastAsia="Calibri" w:hAnsi="Arial" w:cs="Arial"/>
          <w:b/>
          <w:bCs/>
          <w:sz w:val="24"/>
          <w:szCs w:val="24"/>
        </w:rPr>
      </w:pPr>
      <w:r w:rsidRPr="0026771D">
        <w:rPr>
          <w:rFonts w:ascii="Arial" w:eastAsia="Calibri" w:hAnsi="Arial" w:cs="Arial"/>
          <w:b/>
          <w:bCs/>
          <w:sz w:val="24"/>
          <w:szCs w:val="24"/>
        </w:rPr>
        <w:t>R</w:t>
      </w:r>
      <w:r w:rsidR="00EA350D" w:rsidRPr="0026771D">
        <w:rPr>
          <w:rFonts w:ascii="Arial" w:eastAsia="Calibri" w:hAnsi="Arial" w:cs="Arial"/>
          <w:b/>
          <w:bCs/>
          <w:sz w:val="24"/>
          <w:szCs w:val="24"/>
        </w:rPr>
        <w:t>esults and discussion</w:t>
      </w:r>
    </w:p>
    <w:p w14:paraId="50D3F65D" w14:textId="242D9157" w:rsidR="00AE02A2" w:rsidRPr="0026771D" w:rsidRDefault="00813F0E" w:rsidP="00A13EE0">
      <w:pPr>
        <w:pStyle w:val="ListParagraph"/>
        <w:autoSpaceDE w:val="0"/>
        <w:autoSpaceDN w:val="0"/>
        <w:adjustRightInd w:val="0"/>
        <w:spacing w:before="120" w:after="120" w:line="360" w:lineRule="auto"/>
        <w:jc w:val="both"/>
        <w:rPr>
          <w:rFonts w:ascii="Arial" w:eastAsia="Calibri" w:hAnsi="Arial" w:cs="Arial"/>
          <w:b/>
          <w:bCs/>
          <w:sz w:val="24"/>
          <w:szCs w:val="24"/>
        </w:rPr>
      </w:pPr>
      <w:bookmarkStart w:id="2" w:name="_Hlk209087449"/>
      <w:r w:rsidRPr="0026771D">
        <w:rPr>
          <w:rFonts w:ascii="Arial" w:eastAsia="Calibri" w:hAnsi="Arial" w:cs="Arial"/>
          <w:b/>
          <w:bCs/>
          <w:sz w:val="24"/>
          <w:szCs w:val="24"/>
        </w:rPr>
        <w:t>3.1. Results</w:t>
      </w:r>
    </w:p>
    <w:p w14:paraId="7A0B07D3" w14:textId="7AFB970C" w:rsidR="00AE02A2" w:rsidRPr="0026771D" w:rsidRDefault="00813F0E" w:rsidP="00A13EE0">
      <w:pPr>
        <w:autoSpaceDE w:val="0"/>
        <w:autoSpaceDN w:val="0"/>
        <w:adjustRightInd w:val="0"/>
        <w:spacing w:before="120" w:after="120" w:line="360" w:lineRule="auto"/>
        <w:jc w:val="both"/>
        <w:rPr>
          <w:rFonts w:ascii="Arial" w:eastAsia="Calibri" w:hAnsi="Arial" w:cs="Arial"/>
          <w:b/>
          <w:bCs/>
          <w:lang w:val="fr-FR" w:eastAsia="en-US"/>
        </w:rPr>
      </w:pPr>
      <w:r w:rsidRPr="0026771D">
        <w:rPr>
          <w:rFonts w:ascii="Arial" w:eastAsia="Calibri" w:hAnsi="Arial" w:cs="Arial"/>
          <w:lang w:val="fr-FR" w:eastAsia="en-US"/>
        </w:rPr>
        <w:t>A total of 76 traditional practitioners were interviewed (30 in Casamance and 46 in Sine-Saloum).</w:t>
      </w:r>
      <w:r w:rsidR="001A0614" w:rsidRPr="0026771D">
        <w:rPr>
          <w:rFonts w:ascii="Arial" w:eastAsia="Calibri" w:hAnsi="Arial" w:cs="Arial"/>
          <w:lang w:val="fr-FR" w:eastAsia="en-US"/>
        </w:rPr>
        <w:t xml:space="preserve"> The medicinal plant sector is dominated by </w:t>
      </w:r>
      <w:proofErr w:type="gramStart"/>
      <w:r w:rsidR="001A0614" w:rsidRPr="0026771D">
        <w:rPr>
          <w:rFonts w:ascii="Arial" w:eastAsia="Calibri" w:hAnsi="Arial" w:cs="Arial"/>
          <w:lang w:val="fr-FR" w:eastAsia="en-US"/>
        </w:rPr>
        <w:t>men:</w:t>
      </w:r>
      <w:proofErr w:type="gramEnd"/>
      <w:r w:rsidR="001A0614" w:rsidRPr="0026771D">
        <w:rPr>
          <w:rFonts w:ascii="Arial" w:eastAsia="Calibri" w:hAnsi="Arial" w:cs="Arial"/>
          <w:lang w:val="fr-FR" w:eastAsia="en-US"/>
        </w:rPr>
        <w:t xml:space="preserve"> 100% of tradipraticians in Casamance and 96% in Sine-Saloum, giving an overall average of 98%. </w:t>
      </w:r>
      <w:r w:rsidR="00AE02A2" w:rsidRPr="0026771D">
        <w:rPr>
          <w:rFonts w:ascii="Arial" w:eastAsia="Calibri" w:hAnsi="Arial" w:cs="Arial"/>
          <w:lang w:val="fr-FR" w:eastAsia="en-US"/>
        </w:rPr>
        <w:t>Les participants âgés de plus de 40 ans représentaient la majorité : 89% en Casamance et 81 % au Sine-Saloum</w:t>
      </w:r>
      <w:r w:rsidR="001A0614" w:rsidRPr="0026771D">
        <w:rPr>
          <w:rFonts w:ascii="Arial" w:eastAsia="Calibri" w:hAnsi="Arial" w:cs="Arial"/>
          <w:lang w:val="fr-FR" w:eastAsia="en-US"/>
        </w:rPr>
        <w:t xml:space="preserve">. The most represented age groups were those aged 40–60 (40% in Casamance and 34% in Sine-Saloum) and 60–80 (49% and 47% respectively). The figure </w:t>
      </w:r>
      <w:r w:rsidR="0071728C" w:rsidRPr="0026771D">
        <w:rPr>
          <w:rFonts w:ascii="Arial" w:eastAsia="Calibri" w:hAnsi="Arial" w:cs="Arial"/>
          <w:lang w:val="fr-FR" w:eastAsia="en-US"/>
        </w:rPr>
        <w:t>4</w:t>
      </w:r>
      <w:r w:rsidR="001A0614" w:rsidRPr="0026771D">
        <w:rPr>
          <w:rFonts w:ascii="Arial" w:eastAsia="Calibri" w:hAnsi="Arial" w:cs="Arial"/>
          <w:lang w:val="fr-FR" w:eastAsia="en-US"/>
        </w:rPr>
        <w:t xml:space="preserve"> shows Distribution of actors by age (</w:t>
      </w:r>
      <w:r w:rsidR="001C1DE8" w:rsidRPr="0026771D">
        <w:rPr>
          <w:rFonts w:ascii="Arial" w:eastAsia="Calibri" w:hAnsi="Arial" w:cs="Arial"/>
          <w:lang w:val="fr-FR" w:eastAsia="en-US"/>
        </w:rPr>
        <w:t>Figure</w:t>
      </w:r>
      <w:r w:rsidR="004760C4" w:rsidRPr="0026771D">
        <w:rPr>
          <w:rFonts w:ascii="Arial" w:eastAsia="Calibri" w:hAnsi="Arial" w:cs="Arial"/>
          <w:b/>
          <w:bCs/>
          <w:lang w:val="fr-FR" w:eastAsia="en-US"/>
        </w:rPr>
        <w:t xml:space="preserve"> </w:t>
      </w:r>
      <w:r w:rsidR="00EE15DC" w:rsidRPr="0026771D">
        <w:rPr>
          <w:rFonts w:ascii="Arial" w:eastAsia="Calibri" w:hAnsi="Arial" w:cs="Arial"/>
          <w:lang w:val="fr-FR" w:eastAsia="en-US"/>
        </w:rPr>
        <w:t>4</w:t>
      </w:r>
      <w:r w:rsidR="00F227E1" w:rsidRPr="0026771D">
        <w:rPr>
          <w:rFonts w:ascii="Arial" w:eastAsia="Calibri" w:hAnsi="Arial" w:cs="Arial"/>
          <w:lang w:val="fr-FR" w:eastAsia="en-US"/>
        </w:rPr>
        <w:t>)</w:t>
      </w:r>
      <w:r w:rsidR="001A0614" w:rsidRPr="0026771D">
        <w:rPr>
          <w:rFonts w:ascii="Arial" w:eastAsia="Calibri" w:hAnsi="Arial" w:cs="Arial"/>
          <w:lang w:val="fr-FR" w:eastAsia="en-US"/>
        </w:rPr>
        <w:t>.</w:t>
      </w:r>
    </w:p>
    <w:p w14:paraId="4A452F24" w14:textId="1D870701" w:rsidR="001A0614" w:rsidRPr="0026771D" w:rsidRDefault="001A0614" w:rsidP="00A13EE0">
      <w:pPr>
        <w:autoSpaceDE w:val="0"/>
        <w:autoSpaceDN w:val="0"/>
        <w:adjustRightInd w:val="0"/>
        <w:spacing w:before="120" w:after="120" w:line="360" w:lineRule="auto"/>
        <w:jc w:val="both"/>
        <w:rPr>
          <w:rFonts w:ascii="Arial" w:eastAsia="Calibri" w:hAnsi="Arial" w:cs="Arial"/>
          <w:b/>
          <w:bCs/>
          <w:lang w:val="fr-FR" w:eastAsia="en-US"/>
        </w:rPr>
      </w:pPr>
      <w:r w:rsidRPr="0026771D">
        <w:rPr>
          <w:rFonts w:ascii="Arial" w:hAnsi="Arial" w:cs="Arial"/>
          <w:noProof/>
        </w:rPr>
        <w:lastRenderedPageBreak/>
        <w:drawing>
          <wp:inline distT="0" distB="0" distL="0" distR="0" wp14:anchorId="6024789E" wp14:editId="77E9F83D">
            <wp:extent cx="5467350" cy="2222500"/>
            <wp:effectExtent l="0" t="0" r="0" b="6350"/>
            <wp:docPr id="989671344" name="Graphique 1">
              <a:extLst xmlns:a="http://schemas.openxmlformats.org/drawingml/2006/main">
                <a:ext uri="{FF2B5EF4-FFF2-40B4-BE49-F238E27FC236}">
                  <a16:creationId xmlns:a16="http://schemas.microsoft.com/office/drawing/2014/main" id="{EF6335C4-1087-897B-D207-CDBD8E74C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8B7F0D" w14:textId="3DACACD3" w:rsidR="00FB4466" w:rsidRPr="00A13EE0" w:rsidRDefault="001A0614" w:rsidP="00A13EE0">
      <w:pPr>
        <w:autoSpaceDE w:val="0"/>
        <w:autoSpaceDN w:val="0"/>
        <w:adjustRightInd w:val="0"/>
        <w:spacing w:before="120" w:after="120" w:line="360" w:lineRule="auto"/>
        <w:jc w:val="both"/>
        <w:rPr>
          <w:rFonts w:ascii="Arial" w:eastAsia="Calibri" w:hAnsi="Arial" w:cs="Arial"/>
          <w:b/>
          <w:bCs/>
          <w:lang w:val="fr-FR" w:eastAsia="en-US"/>
        </w:rPr>
      </w:pPr>
      <w:r w:rsidRPr="00A13EE0">
        <w:rPr>
          <w:rFonts w:ascii="Arial" w:eastAsia="Calibri" w:hAnsi="Arial" w:cs="Arial"/>
          <w:b/>
          <w:bCs/>
          <w:lang w:val="fr-FR" w:eastAsia="en-US"/>
        </w:rPr>
        <w:t>Fig.</w:t>
      </w:r>
      <w:r w:rsidR="00FB4466" w:rsidRPr="00A13EE0">
        <w:rPr>
          <w:rFonts w:ascii="Arial" w:eastAsia="Calibri" w:hAnsi="Arial" w:cs="Arial"/>
          <w:b/>
          <w:bCs/>
          <w:lang w:val="fr-FR" w:eastAsia="en-US"/>
        </w:rPr>
        <w:t>4</w:t>
      </w:r>
      <w:r w:rsidRPr="00A13EE0">
        <w:rPr>
          <w:rFonts w:ascii="Arial" w:eastAsia="Calibri" w:hAnsi="Arial" w:cs="Arial"/>
          <w:b/>
          <w:bCs/>
          <w:lang w:val="fr-FR" w:eastAsia="en-US"/>
        </w:rPr>
        <w:t>. Distribution of actors by age</w:t>
      </w:r>
    </w:p>
    <w:p w14:paraId="0104E614" w14:textId="4A35B954"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bookmarkStart w:id="3" w:name="_Hlk209185665"/>
      <w:bookmarkStart w:id="4" w:name="_Hlk209102620"/>
      <w:bookmarkEnd w:id="2"/>
      <w:r w:rsidRPr="0026771D">
        <w:rPr>
          <w:rFonts w:ascii="Arial" w:eastAsia="Calibri" w:hAnsi="Arial" w:cs="Arial"/>
          <w:bCs/>
        </w:rPr>
        <w:t xml:space="preserve">In Casamance, 19 plants were cited (Table 1), with the following frequencies of </w:t>
      </w:r>
      <w:proofErr w:type="gramStart"/>
      <w:r w:rsidRPr="0026771D">
        <w:rPr>
          <w:rFonts w:ascii="Arial" w:eastAsia="Calibri" w:hAnsi="Arial" w:cs="Arial"/>
          <w:bCs/>
        </w:rPr>
        <w:t>citation:</w:t>
      </w:r>
      <w:proofErr w:type="gramEnd"/>
      <w:r w:rsidRPr="0026771D">
        <w:rPr>
          <w:rFonts w:ascii="Arial" w:eastAsia="Calibri" w:hAnsi="Arial" w:cs="Arial"/>
          <w:bCs/>
        </w:rPr>
        <w:t xml:space="preserve"> </w:t>
      </w:r>
      <w:bookmarkEnd w:id="3"/>
      <w:bookmarkEnd w:id="4"/>
      <w:r w:rsidRPr="0026771D">
        <w:rPr>
          <w:rFonts w:ascii="Arial" w:eastAsia="Calibri" w:hAnsi="Arial" w:cs="Arial"/>
          <w:bCs/>
          <w:i/>
          <w:iCs/>
        </w:rPr>
        <w:t xml:space="preserve">Pterocarpus erinaceus </w:t>
      </w:r>
      <w:r w:rsidRPr="0026771D">
        <w:rPr>
          <w:rFonts w:ascii="Arial" w:eastAsia="Calibri" w:hAnsi="Arial" w:cs="Arial"/>
          <w:bCs/>
        </w:rPr>
        <w:t>46.7% (14/30 actors),</w:t>
      </w:r>
      <w:r w:rsidRPr="0026771D">
        <w:rPr>
          <w:rFonts w:ascii="Arial" w:eastAsia="Calibri" w:hAnsi="Arial" w:cs="Arial"/>
          <w:bCs/>
          <w:i/>
          <w:iCs/>
        </w:rPr>
        <w:t xml:space="preserve"> Afzelia africana </w:t>
      </w:r>
      <w:r w:rsidRPr="0026771D">
        <w:rPr>
          <w:rFonts w:ascii="Arial" w:eastAsia="Calibri" w:hAnsi="Arial" w:cs="Arial"/>
          <w:bCs/>
        </w:rPr>
        <w:t>20% (6/30 actors),</w:t>
      </w:r>
      <w:r w:rsidRPr="0026771D">
        <w:rPr>
          <w:rFonts w:ascii="Arial" w:eastAsia="Calibri" w:hAnsi="Arial" w:cs="Arial"/>
          <w:bCs/>
          <w:i/>
          <w:iCs/>
        </w:rPr>
        <w:t xml:space="preserve"> Parkia biglobosa </w:t>
      </w:r>
      <w:r w:rsidRPr="0026771D">
        <w:rPr>
          <w:rFonts w:ascii="Arial" w:eastAsia="Calibri" w:hAnsi="Arial" w:cs="Arial"/>
          <w:bCs/>
        </w:rPr>
        <w:t>16.7% (5/30 actors),</w:t>
      </w:r>
      <w:r w:rsidRPr="0026771D">
        <w:rPr>
          <w:rFonts w:ascii="Arial" w:eastAsia="Calibri" w:hAnsi="Arial" w:cs="Arial"/>
          <w:bCs/>
          <w:i/>
          <w:iCs/>
        </w:rPr>
        <w:t xml:space="preserve"> Combretum nigricans </w:t>
      </w:r>
      <w:r w:rsidRPr="0026771D">
        <w:rPr>
          <w:rFonts w:ascii="Arial" w:eastAsia="Calibri" w:hAnsi="Arial" w:cs="Arial"/>
          <w:bCs/>
        </w:rPr>
        <w:t>10% (3/30 actors),</w:t>
      </w:r>
      <w:r w:rsidRPr="0026771D">
        <w:rPr>
          <w:rFonts w:ascii="Arial" w:eastAsia="Calibri" w:hAnsi="Arial" w:cs="Arial"/>
          <w:bCs/>
          <w:i/>
          <w:iCs/>
        </w:rPr>
        <w:t xml:space="preserve"> </w:t>
      </w:r>
      <w:r w:rsidR="00A13EE0">
        <w:rPr>
          <w:rFonts w:ascii="Arial" w:eastAsia="Calibri" w:hAnsi="Arial" w:cs="Arial"/>
          <w:bCs/>
          <w:i/>
          <w:iCs/>
        </w:rPr>
        <w:t xml:space="preserve">   </w:t>
      </w:r>
      <w:r w:rsidRPr="0026771D">
        <w:rPr>
          <w:rFonts w:ascii="Arial" w:eastAsia="Calibri" w:hAnsi="Arial" w:cs="Arial"/>
          <w:bCs/>
          <w:i/>
          <w:iCs/>
        </w:rPr>
        <w:t xml:space="preserve">Icacina oliviformis, Khaya senegalensis and Xylopia aethiopum </w:t>
      </w:r>
      <w:r w:rsidRPr="0026771D">
        <w:rPr>
          <w:rFonts w:ascii="Arial" w:eastAsia="Calibri" w:hAnsi="Arial" w:cs="Arial"/>
          <w:bCs/>
        </w:rPr>
        <w:t>6.67% (2/30 actors),</w:t>
      </w:r>
      <w:r w:rsidRPr="0026771D">
        <w:rPr>
          <w:rFonts w:ascii="Arial" w:eastAsia="Calibri" w:hAnsi="Arial" w:cs="Arial"/>
          <w:bCs/>
          <w:i/>
          <w:iCs/>
        </w:rPr>
        <w:t xml:space="preserve"> </w:t>
      </w:r>
      <w:r w:rsidRPr="0026771D">
        <w:rPr>
          <w:rFonts w:ascii="Arial" w:eastAsia="Calibri" w:hAnsi="Arial" w:cs="Arial"/>
          <w:bCs/>
        </w:rPr>
        <w:t xml:space="preserve">all other species in the list were cited by a single actor, resulting in a frequency of 3.33%. </w:t>
      </w:r>
    </w:p>
    <w:p w14:paraId="32219407" w14:textId="4E02C3D6"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Table 1 shows</w:t>
      </w:r>
      <w:r w:rsidRPr="0026771D">
        <w:rPr>
          <w:rFonts w:ascii="Arial" w:eastAsia="Calibri" w:hAnsi="Arial" w:cs="Arial"/>
          <w:b/>
        </w:rPr>
        <w:t xml:space="preserve"> </w:t>
      </w:r>
      <w:r w:rsidRPr="0026771D">
        <w:rPr>
          <w:rFonts w:ascii="Arial" w:eastAsia="Calibri" w:hAnsi="Arial" w:cs="Arial"/>
          <w:bCs/>
        </w:rPr>
        <w:t>the citation frequencies.</w:t>
      </w:r>
    </w:p>
    <w:p w14:paraId="32EBEA31" w14:textId="149EF599" w:rsidR="0071728C" w:rsidRPr="0026771D" w:rsidRDefault="00BB3F3D" w:rsidP="00A13EE0">
      <w:pPr>
        <w:autoSpaceDE w:val="0"/>
        <w:autoSpaceDN w:val="0"/>
        <w:adjustRightInd w:val="0"/>
        <w:spacing w:before="120" w:after="120" w:line="360" w:lineRule="auto"/>
        <w:jc w:val="both"/>
        <w:rPr>
          <w:rFonts w:ascii="Arial" w:eastAsia="Calibri" w:hAnsi="Arial" w:cs="Arial"/>
          <w:b/>
        </w:rPr>
      </w:pPr>
      <w:r w:rsidRPr="0026771D">
        <w:rPr>
          <w:rFonts w:ascii="Arial" w:eastAsia="Calibri" w:hAnsi="Arial" w:cs="Arial"/>
          <w:b/>
        </w:rPr>
        <w:t>Table.1. The citation of frequencies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3978"/>
        <w:gridCol w:w="1984"/>
        <w:gridCol w:w="2405"/>
      </w:tblGrid>
      <w:tr w:rsidR="0071728C" w:rsidRPr="0071728C" w14:paraId="49538536" w14:textId="77777777" w:rsidTr="00100D6A">
        <w:trPr>
          <w:trHeight w:val="289"/>
        </w:trPr>
        <w:tc>
          <w:tcPr>
            <w:tcW w:w="984" w:type="dxa"/>
            <w:tcBorders>
              <w:top w:val="single" w:sz="4" w:space="0" w:color="auto"/>
              <w:bottom w:val="single" w:sz="4" w:space="0" w:color="auto"/>
            </w:tcBorders>
            <w:noWrap/>
            <w:hideMark/>
          </w:tcPr>
          <w:p w14:paraId="2E0E68A1" w14:textId="62DAEA61"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noProof/>
              </w:rPr>
              <w:tab/>
            </w:r>
            <w:r w:rsidRPr="0071728C">
              <w:rPr>
                <w:rFonts w:ascii="Arial" w:eastAsia="Calibri" w:hAnsi="Arial" w:cs="Arial"/>
                <w:i/>
                <w:noProof/>
              </w:rPr>
              <w:t> </w:t>
            </w:r>
          </w:p>
        </w:tc>
        <w:tc>
          <w:tcPr>
            <w:tcW w:w="3978" w:type="dxa"/>
            <w:tcBorders>
              <w:top w:val="single" w:sz="4" w:space="0" w:color="auto"/>
              <w:bottom w:val="single" w:sz="4" w:space="0" w:color="auto"/>
            </w:tcBorders>
            <w:noWrap/>
            <w:hideMark/>
          </w:tcPr>
          <w:p w14:paraId="79D0C19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b/>
                <w:bCs/>
                <w:noProof/>
                <w:lang w:val="fr-FR"/>
              </w:rPr>
              <w:t>Latin binomial</w:t>
            </w:r>
          </w:p>
        </w:tc>
        <w:tc>
          <w:tcPr>
            <w:tcW w:w="1984" w:type="dxa"/>
            <w:tcBorders>
              <w:top w:val="single" w:sz="4" w:space="0" w:color="auto"/>
              <w:bottom w:val="single" w:sz="4" w:space="0" w:color="auto"/>
            </w:tcBorders>
            <w:noWrap/>
            <w:hideMark/>
          </w:tcPr>
          <w:p w14:paraId="589F237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b/>
                <w:bCs/>
                <w:noProof/>
                <w:lang w:val="fr-FR"/>
              </w:rPr>
              <w:t>Parts used</w:t>
            </w:r>
          </w:p>
        </w:tc>
        <w:tc>
          <w:tcPr>
            <w:tcW w:w="2405" w:type="dxa"/>
            <w:tcBorders>
              <w:top w:val="single" w:sz="4" w:space="0" w:color="auto"/>
              <w:bottom w:val="single" w:sz="4" w:space="0" w:color="auto"/>
            </w:tcBorders>
            <w:noWrap/>
            <w:hideMark/>
          </w:tcPr>
          <w:p w14:paraId="6C2101EB" w14:textId="50C24DAF"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26771D">
              <w:rPr>
                <w:rFonts w:ascii="Arial" w:eastAsia="Calibri" w:hAnsi="Arial" w:cs="Arial"/>
                <w:b/>
                <w:bCs/>
                <w:noProof/>
                <w:lang w:val="fr-FR"/>
              </w:rPr>
              <w:t>Preparations</w:t>
            </w:r>
          </w:p>
        </w:tc>
      </w:tr>
      <w:tr w:rsidR="0071728C" w:rsidRPr="0071728C" w14:paraId="03209004" w14:textId="77777777" w:rsidTr="00100D6A">
        <w:trPr>
          <w:trHeight w:val="375"/>
        </w:trPr>
        <w:tc>
          <w:tcPr>
            <w:tcW w:w="984" w:type="dxa"/>
            <w:tcBorders>
              <w:top w:val="single" w:sz="4" w:space="0" w:color="auto"/>
            </w:tcBorders>
            <w:noWrap/>
            <w:hideMark/>
          </w:tcPr>
          <w:p w14:paraId="242A57B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w:t>
            </w:r>
          </w:p>
        </w:tc>
        <w:tc>
          <w:tcPr>
            <w:tcW w:w="3978" w:type="dxa"/>
            <w:tcBorders>
              <w:top w:val="single" w:sz="4" w:space="0" w:color="auto"/>
            </w:tcBorders>
            <w:noWrap/>
            <w:hideMark/>
          </w:tcPr>
          <w:p w14:paraId="0774AF7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Afzelia africana (</w:t>
            </w:r>
            <w:r w:rsidRPr="0071728C">
              <w:rPr>
                <w:rFonts w:ascii="Arial" w:eastAsia="Calibri" w:hAnsi="Arial" w:cs="Arial"/>
                <w:noProof/>
              </w:rPr>
              <w:t>Annonaceae</w:t>
            </w:r>
            <w:r w:rsidRPr="0071728C">
              <w:rPr>
                <w:rFonts w:ascii="Arial" w:eastAsia="Calibri" w:hAnsi="Arial" w:cs="Arial"/>
                <w:i/>
                <w:noProof/>
              </w:rPr>
              <w:t xml:space="preserve">) </w:t>
            </w:r>
          </w:p>
        </w:tc>
        <w:tc>
          <w:tcPr>
            <w:tcW w:w="1984" w:type="dxa"/>
            <w:tcBorders>
              <w:top w:val="single" w:sz="4" w:space="0" w:color="auto"/>
            </w:tcBorders>
            <w:noWrap/>
            <w:hideMark/>
          </w:tcPr>
          <w:p w14:paraId="227B94B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Stem</w:t>
            </w:r>
          </w:p>
        </w:tc>
        <w:tc>
          <w:tcPr>
            <w:tcW w:w="2405" w:type="dxa"/>
            <w:tcBorders>
              <w:top w:val="single" w:sz="4" w:space="0" w:color="auto"/>
            </w:tcBorders>
            <w:noWrap/>
            <w:hideMark/>
          </w:tcPr>
          <w:p w14:paraId="7A03E97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3AE5EAA0" w14:textId="77777777" w:rsidTr="00100D6A">
        <w:trPr>
          <w:trHeight w:val="300"/>
        </w:trPr>
        <w:tc>
          <w:tcPr>
            <w:tcW w:w="984" w:type="dxa"/>
            <w:noWrap/>
            <w:hideMark/>
          </w:tcPr>
          <w:p w14:paraId="1341A0D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2</w:t>
            </w:r>
          </w:p>
        </w:tc>
        <w:tc>
          <w:tcPr>
            <w:tcW w:w="3978" w:type="dxa"/>
            <w:noWrap/>
            <w:hideMark/>
          </w:tcPr>
          <w:p w14:paraId="57C3A16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Bridelia micrantha (</w:t>
            </w:r>
            <w:r w:rsidRPr="0071728C">
              <w:rPr>
                <w:rFonts w:ascii="Arial" w:eastAsia="Calibri" w:hAnsi="Arial" w:cs="Arial"/>
                <w:noProof/>
              </w:rPr>
              <w:t>Euphorbiaceae</w:t>
            </w:r>
            <w:r w:rsidRPr="0071728C">
              <w:rPr>
                <w:rFonts w:ascii="Arial" w:eastAsia="Calibri" w:hAnsi="Arial" w:cs="Arial"/>
                <w:i/>
                <w:noProof/>
              </w:rPr>
              <w:t>)</w:t>
            </w:r>
          </w:p>
        </w:tc>
        <w:tc>
          <w:tcPr>
            <w:tcW w:w="1984" w:type="dxa"/>
            <w:noWrap/>
            <w:hideMark/>
          </w:tcPr>
          <w:p w14:paraId="0714131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282BFF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45840CDF" w14:textId="77777777" w:rsidTr="00100D6A">
        <w:trPr>
          <w:trHeight w:val="300"/>
        </w:trPr>
        <w:tc>
          <w:tcPr>
            <w:tcW w:w="984" w:type="dxa"/>
            <w:noWrap/>
            <w:hideMark/>
          </w:tcPr>
          <w:p w14:paraId="2166CAB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3</w:t>
            </w:r>
          </w:p>
        </w:tc>
        <w:tc>
          <w:tcPr>
            <w:tcW w:w="3978" w:type="dxa"/>
            <w:noWrap/>
            <w:hideMark/>
          </w:tcPr>
          <w:p w14:paraId="7F7C09C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Calycobolus africana </w:t>
            </w:r>
            <w:r w:rsidRPr="0071728C">
              <w:rPr>
                <w:rFonts w:ascii="Arial" w:eastAsia="Calibri" w:hAnsi="Arial" w:cs="Arial"/>
                <w:noProof/>
              </w:rPr>
              <w:t>(Convolvulaceae)</w:t>
            </w:r>
          </w:p>
        </w:tc>
        <w:tc>
          <w:tcPr>
            <w:tcW w:w="1984" w:type="dxa"/>
            <w:noWrap/>
            <w:hideMark/>
          </w:tcPr>
          <w:p w14:paraId="5490DB3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5436631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2E876720" w14:textId="77777777" w:rsidTr="00100D6A">
        <w:trPr>
          <w:trHeight w:val="300"/>
        </w:trPr>
        <w:tc>
          <w:tcPr>
            <w:tcW w:w="984" w:type="dxa"/>
            <w:noWrap/>
            <w:hideMark/>
          </w:tcPr>
          <w:p w14:paraId="75EEA49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4</w:t>
            </w:r>
          </w:p>
        </w:tc>
        <w:tc>
          <w:tcPr>
            <w:tcW w:w="3978" w:type="dxa"/>
            <w:noWrap/>
            <w:hideMark/>
          </w:tcPr>
          <w:p w14:paraId="5F2D566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Carica papaya (</w:t>
            </w:r>
            <w:r w:rsidRPr="0071728C">
              <w:rPr>
                <w:rFonts w:ascii="Arial" w:eastAsia="Calibri" w:hAnsi="Arial" w:cs="Arial"/>
                <w:noProof/>
              </w:rPr>
              <w:t>Caricaceae</w:t>
            </w:r>
            <w:r w:rsidRPr="0071728C">
              <w:rPr>
                <w:rFonts w:ascii="Arial" w:eastAsia="Calibri" w:hAnsi="Arial" w:cs="Arial"/>
                <w:i/>
                <w:noProof/>
              </w:rPr>
              <w:t>)</w:t>
            </w:r>
          </w:p>
        </w:tc>
        <w:tc>
          <w:tcPr>
            <w:tcW w:w="1984" w:type="dxa"/>
            <w:noWrap/>
            <w:hideMark/>
          </w:tcPr>
          <w:p w14:paraId="6958789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Unripe fruit</w:t>
            </w:r>
          </w:p>
        </w:tc>
        <w:tc>
          <w:tcPr>
            <w:tcW w:w="2405" w:type="dxa"/>
            <w:noWrap/>
            <w:hideMark/>
          </w:tcPr>
          <w:p w14:paraId="02165A0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7F746D23" w14:textId="77777777" w:rsidTr="00100D6A">
        <w:trPr>
          <w:trHeight w:val="375"/>
        </w:trPr>
        <w:tc>
          <w:tcPr>
            <w:tcW w:w="984" w:type="dxa"/>
            <w:noWrap/>
            <w:hideMark/>
          </w:tcPr>
          <w:p w14:paraId="1B8C082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5</w:t>
            </w:r>
          </w:p>
        </w:tc>
        <w:tc>
          <w:tcPr>
            <w:tcW w:w="3978" w:type="dxa"/>
            <w:noWrap/>
            <w:hideMark/>
          </w:tcPr>
          <w:p w14:paraId="66217C4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Combretum molle (</w:t>
            </w:r>
            <w:r w:rsidRPr="0071728C">
              <w:rPr>
                <w:rFonts w:ascii="Arial" w:eastAsia="Calibri" w:hAnsi="Arial" w:cs="Arial"/>
                <w:noProof/>
              </w:rPr>
              <w:t>Combretaceae</w:t>
            </w:r>
            <w:r w:rsidRPr="0071728C">
              <w:rPr>
                <w:rFonts w:ascii="Arial" w:eastAsia="Calibri" w:hAnsi="Arial" w:cs="Arial"/>
                <w:i/>
                <w:noProof/>
              </w:rPr>
              <w:t>)</w:t>
            </w:r>
          </w:p>
        </w:tc>
        <w:tc>
          <w:tcPr>
            <w:tcW w:w="1984" w:type="dxa"/>
            <w:noWrap/>
            <w:hideMark/>
          </w:tcPr>
          <w:p w14:paraId="2DA8E3B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Dead leaves</w:t>
            </w:r>
          </w:p>
        </w:tc>
        <w:tc>
          <w:tcPr>
            <w:tcW w:w="2405" w:type="dxa"/>
            <w:noWrap/>
            <w:hideMark/>
          </w:tcPr>
          <w:p w14:paraId="4335BBD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Maceration </w:t>
            </w:r>
          </w:p>
        </w:tc>
      </w:tr>
      <w:tr w:rsidR="0071728C" w:rsidRPr="0071728C" w14:paraId="0A58A0BD" w14:textId="77777777" w:rsidTr="00100D6A">
        <w:trPr>
          <w:trHeight w:val="300"/>
        </w:trPr>
        <w:tc>
          <w:tcPr>
            <w:tcW w:w="984" w:type="dxa"/>
            <w:noWrap/>
            <w:hideMark/>
          </w:tcPr>
          <w:p w14:paraId="308BDAD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6</w:t>
            </w:r>
          </w:p>
        </w:tc>
        <w:tc>
          <w:tcPr>
            <w:tcW w:w="3978" w:type="dxa"/>
            <w:noWrap/>
            <w:hideMark/>
          </w:tcPr>
          <w:p w14:paraId="00573F2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Combretum nigricans </w:t>
            </w:r>
            <w:r w:rsidRPr="0071728C">
              <w:rPr>
                <w:rFonts w:ascii="Arial" w:eastAsia="Calibri" w:hAnsi="Arial" w:cs="Arial"/>
                <w:noProof/>
              </w:rPr>
              <w:t>(Combretaceae)</w:t>
            </w:r>
          </w:p>
        </w:tc>
        <w:tc>
          <w:tcPr>
            <w:tcW w:w="1984" w:type="dxa"/>
            <w:noWrap/>
            <w:hideMark/>
          </w:tcPr>
          <w:p w14:paraId="2E1E74D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617616E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Maceration </w:t>
            </w:r>
          </w:p>
        </w:tc>
      </w:tr>
      <w:tr w:rsidR="0071728C" w:rsidRPr="0071728C" w14:paraId="68DE4A8A" w14:textId="77777777" w:rsidTr="00100D6A">
        <w:trPr>
          <w:trHeight w:val="375"/>
        </w:trPr>
        <w:tc>
          <w:tcPr>
            <w:tcW w:w="984" w:type="dxa"/>
            <w:noWrap/>
            <w:hideMark/>
          </w:tcPr>
          <w:p w14:paraId="051B34D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lastRenderedPageBreak/>
              <w:t>7</w:t>
            </w:r>
          </w:p>
        </w:tc>
        <w:tc>
          <w:tcPr>
            <w:tcW w:w="3978" w:type="dxa"/>
            <w:noWrap/>
            <w:hideMark/>
          </w:tcPr>
          <w:p w14:paraId="7FC6450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Cordyla pinnata </w:t>
            </w:r>
            <w:r w:rsidRPr="0071728C">
              <w:rPr>
                <w:rFonts w:ascii="Arial" w:eastAsia="Calibri" w:hAnsi="Arial" w:cs="Arial"/>
                <w:noProof/>
              </w:rPr>
              <w:t>(Annonaceae)</w:t>
            </w:r>
          </w:p>
        </w:tc>
        <w:tc>
          <w:tcPr>
            <w:tcW w:w="1984" w:type="dxa"/>
            <w:noWrap/>
            <w:hideMark/>
          </w:tcPr>
          <w:p w14:paraId="745367E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3EC6BA1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B894C03" w14:textId="77777777" w:rsidTr="00100D6A">
        <w:trPr>
          <w:trHeight w:val="300"/>
        </w:trPr>
        <w:tc>
          <w:tcPr>
            <w:tcW w:w="984" w:type="dxa"/>
            <w:noWrap/>
            <w:hideMark/>
          </w:tcPr>
          <w:p w14:paraId="32DE7A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8</w:t>
            </w:r>
          </w:p>
        </w:tc>
        <w:tc>
          <w:tcPr>
            <w:tcW w:w="3978" w:type="dxa"/>
            <w:noWrap/>
            <w:hideMark/>
          </w:tcPr>
          <w:p w14:paraId="1C1B0A0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Ficus exasperata </w:t>
            </w:r>
            <w:r w:rsidRPr="0071728C">
              <w:rPr>
                <w:rFonts w:ascii="Arial" w:eastAsia="Calibri" w:hAnsi="Arial" w:cs="Arial"/>
                <w:noProof/>
              </w:rPr>
              <w:t>(Moraceae)</w:t>
            </w:r>
          </w:p>
        </w:tc>
        <w:tc>
          <w:tcPr>
            <w:tcW w:w="1984" w:type="dxa"/>
            <w:noWrap/>
            <w:hideMark/>
          </w:tcPr>
          <w:p w14:paraId="545CA7C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Dead leaf</w:t>
            </w:r>
          </w:p>
        </w:tc>
        <w:tc>
          <w:tcPr>
            <w:tcW w:w="2405" w:type="dxa"/>
            <w:noWrap/>
            <w:hideMark/>
          </w:tcPr>
          <w:p w14:paraId="019D53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4B87C4D9" w14:textId="77777777" w:rsidTr="00100D6A">
        <w:trPr>
          <w:trHeight w:val="375"/>
        </w:trPr>
        <w:tc>
          <w:tcPr>
            <w:tcW w:w="984" w:type="dxa"/>
            <w:noWrap/>
            <w:hideMark/>
          </w:tcPr>
          <w:p w14:paraId="2D35BA7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9</w:t>
            </w:r>
          </w:p>
        </w:tc>
        <w:tc>
          <w:tcPr>
            <w:tcW w:w="3978" w:type="dxa"/>
            <w:noWrap/>
            <w:hideMark/>
          </w:tcPr>
          <w:p w14:paraId="013F9F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Icacina oliviformis </w:t>
            </w:r>
            <w:r w:rsidRPr="0071728C">
              <w:rPr>
                <w:rFonts w:ascii="Arial" w:eastAsia="Calibri" w:hAnsi="Arial" w:cs="Arial"/>
                <w:noProof/>
              </w:rPr>
              <w:t>(Icacinaceae)</w:t>
            </w:r>
          </w:p>
        </w:tc>
        <w:tc>
          <w:tcPr>
            <w:tcW w:w="1984" w:type="dxa"/>
            <w:noWrap/>
            <w:hideMark/>
          </w:tcPr>
          <w:p w14:paraId="00E2EDA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Leaf</w:t>
            </w:r>
          </w:p>
        </w:tc>
        <w:tc>
          <w:tcPr>
            <w:tcW w:w="2405" w:type="dxa"/>
            <w:noWrap/>
            <w:hideMark/>
          </w:tcPr>
          <w:p w14:paraId="1CC4F8C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304D8BB3" w14:textId="77777777" w:rsidTr="00100D6A">
        <w:trPr>
          <w:trHeight w:val="375"/>
        </w:trPr>
        <w:tc>
          <w:tcPr>
            <w:tcW w:w="984" w:type="dxa"/>
            <w:noWrap/>
            <w:hideMark/>
          </w:tcPr>
          <w:p w14:paraId="32979FA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10</w:t>
            </w:r>
          </w:p>
        </w:tc>
        <w:tc>
          <w:tcPr>
            <w:tcW w:w="3978" w:type="dxa"/>
            <w:noWrap/>
            <w:hideMark/>
          </w:tcPr>
          <w:p w14:paraId="7DD3EBC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Khaya senegalensis (</w:t>
            </w:r>
            <w:r w:rsidRPr="0071728C">
              <w:rPr>
                <w:rFonts w:ascii="Arial" w:eastAsia="Calibri" w:hAnsi="Arial" w:cs="Arial"/>
                <w:noProof/>
              </w:rPr>
              <w:t>Meliaceae)</w:t>
            </w:r>
          </w:p>
        </w:tc>
        <w:tc>
          <w:tcPr>
            <w:tcW w:w="1984" w:type="dxa"/>
            <w:noWrap/>
            <w:hideMark/>
          </w:tcPr>
          <w:p w14:paraId="4609410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6C0FAC3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Maceration </w:t>
            </w:r>
          </w:p>
        </w:tc>
      </w:tr>
      <w:tr w:rsidR="0071728C" w:rsidRPr="0071728C" w14:paraId="3A8F6FF4" w14:textId="77777777" w:rsidTr="00100D6A">
        <w:trPr>
          <w:trHeight w:val="375"/>
        </w:trPr>
        <w:tc>
          <w:tcPr>
            <w:tcW w:w="984" w:type="dxa"/>
            <w:noWrap/>
            <w:hideMark/>
          </w:tcPr>
          <w:p w14:paraId="29F518F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11</w:t>
            </w:r>
          </w:p>
        </w:tc>
        <w:tc>
          <w:tcPr>
            <w:tcW w:w="3978" w:type="dxa"/>
            <w:noWrap/>
            <w:hideMark/>
          </w:tcPr>
          <w:p w14:paraId="3ACC55E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Parkia biglobosa </w:t>
            </w:r>
            <w:r w:rsidRPr="0071728C">
              <w:rPr>
                <w:rFonts w:ascii="Arial" w:eastAsia="Calibri" w:hAnsi="Arial" w:cs="Arial"/>
                <w:noProof/>
              </w:rPr>
              <w:t>(Mimosaceae)</w:t>
            </w:r>
          </w:p>
        </w:tc>
        <w:tc>
          <w:tcPr>
            <w:tcW w:w="1984" w:type="dxa"/>
            <w:noWrap/>
            <w:hideMark/>
          </w:tcPr>
          <w:p w14:paraId="4C08A7B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Dry leaf</w:t>
            </w:r>
          </w:p>
        </w:tc>
        <w:tc>
          <w:tcPr>
            <w:tcW w:w="2405" w:type="dxa"/>
            <w:noWrap/>
            <w:hideMark/>
          </w:tcPr>
          <w:p w14:paraId="031793D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1C118D87" w14:textId="77777777" w:rsidTr="00100D6A">
        <w:trPr>
          <w:trHeight w:val="533"/>
        </w:trPr>
        <w:tc>
          <w:tcPr>
            <w:tcW w:w="984" w:type="dxa"/>
            <w:noWrap/>
            <w:hideMark/>
          </w:tcPr>
          <w:p w14:paraId="2BC6BD1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12</w:t>
            </w:r>
          </w:p>
        </w:tc>
        <w:tc>
          <w:tcPr>
            <w:tcW w:w="3978" w:type="dxa"/>
            <w:noWrap/>
            <w:hideMark/>
          </w:tcPr>
          <w:p w14:paraId="0251A10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Psorospermum senegalense </w:t>
            </w:r>
            <w:r w:rsidRPr="0071728C">
              <w:rPr>
                <w:rFonts w:ascii="Arial" w:eastAsia="Calibri" w:hAnsi="Arial" w:cs="Arial"/>
                <w:noProof/>
              </w:rPr>
              <w:t>(Annonaceae)</w:t>
            </w:r>
          </w:p>
        </w:tc>
        <w:tc>
          <w:tcPr>
            <w:tcW w:w="1984" w:type="dxa"/>
            <w:noWrap/>
            <w:hideMark/>
          </w:tcPr>
          <w:p w14:paraId="109A884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136B726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8F1B392" w14:textId="77777777" w:rsidTr="00100D6A">
        <w:trPr>
          <w:trHeight w:val="375"/>
        </w:trPr>
        <w:tc>
          <w:tcPr>
            <w:tcW w:w="984" w:type="dxa"/>
            <w:noWrap/>
            <w:hideMark/>
          </w:tcPr>
          <w:p w14:paraId="686F23E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13</w:t>
            </w:r>
          </w:p>
        </w:tc>
        <w:tc>
          <w:tcPr>
            <w:tcW w:w="3978" w:type="dxa"/>
            <w:noWrap/>
            <w:hideMark/>
          </w:tcPr>
          <w:p w14:paraId="0AC1F13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Pterocarpus erinaceus </w:t>
            </w:r>
            <w:r w:rsidRPr="0071728C">
              <w:rPr>
                <w:rFonts w:ascii="Arial" w:eastAsia="Calibri" w:hAnsi="Arial" w:cs="Arial"/>
                <w:noProof/>
              </w:rPr>
              <w:t>(Fabaceae)</w:t>
            </w:r>
          </w:p>
        </w:tc>
        <w:tc>
          <w:tcPr>
            <w:tcW w:w="1984" w:type="dxa"/>
            <w:noWrap/>
            <w:hideMark/>
          </w:tcPr>
          <w:p w14:paraId="4D4EEA8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6788DF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661C41CC" w14:textId="77777777" w:rsidTr="00100D6A">
        <w:trPr>
          <w:trHeight w:val="375"/>
        </w:trPr>
        <w:tc>
          <w:tcPr>
            <w:tcW w:w="984" w:type="dxa"/>
            <w:noWrap/>
            <w:hideMark/>
          </w:tcPr>
          <w:p w14:paraId="3B82ABA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14</w:t>
            </w:r>
          </w:p>
        </w:tc>
        <w:tc>
          <w:tcPr>
            <w:tcW w:w="3978" w:type="dxa"/>
            <w:noWrap/>
            <w:hideMark/>
          </w:tcPr>
          <w:p w14:paraId="1EFEEC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Cassia undulata </w:t>
            </w:r>
            <w:r w:rsidRPr="0071728C">
              <w:rPr>
                <w:rFonts w:ascii="Arial" w:eastAsia="Calibri" w:hAnsi="Arial" w:cs="Arial"/>
                <w:noProof/>
              </w:rPr>
              <w:t>(Simaroubaceae)</w:t>
            </w:r>
          </w:p>
        </w:tc>
        <w:tc>
          <w:tcPr>
            <w:tcW w:w="1984" w:type="dxa"/>
            <w:noWrap/>
            <w:hideMark/>
          </w:tcPr>
          <w:p w14:paraId="34D00A0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2C1CC0C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1C823E4A" w14:textId="77777777" w:rsidTr="00100D6A">
        <w:trPr>
          <w:trHeight w:val="375"/>
        </w:trPr>
        <w:tc>
          <w:tcPr>
            <w:tcW w:w="984" w:type="dxa"/>
            <w:noWrap/>
            <w:hideMark/>
          </w:tcPr>
          <w:p w14:paraId="65150F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15</w:t>
            </w:r>
          </w:p>
        </w:tc>
        <w:tc>
          <w:tcPr>
            <w:tcW w:w="3978" w:type="dxa"/>
            <w:noWrap/>
            <w:hideMark/>
          </w:tcPr>
          <w:p w14:paraId="73F0D95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Sarcocephalus latifolius (</w:t>
            </w:r>
            <w:r w:rsidRPr="0071728C">
              <w:rPr>
                <w:rFonts w:ascii="Arial" w:eastAsia="Calibri" w:hAnsi="Arial" w:cs="Arial"/>
                <w:noProof/>
              </w:rPr>
              <w:t>Rubiaceae)</w:t>
            </w:r>
          </w:p>
        </w:tc>
        <w:tc>
          <w:tcPr>
            <w:tcW w:w="1984" w:type="dxa"/>
            <w:noWrap/>
            <w:hideMark/>
          </w:tcPr>
          <w:p w14:paraId="79CEE5B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Leaves</w:t>
            </w:r>
          </w:p>
        </w:tc>
        <w:tc>
          <w:tcPr>
            <w:tcW w:w="2405" w:type="dxa"/>
            <w:noWrap/>
            <w:hideMark/>
          </w:tcPr>
          <w:p w14:paraId="114EF10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7A477D5F" w14:textId="77777777" w:rsidTr="00100D6A">
        <w:trPr>
          <w:trHeight w:val="375"/>
        </w:trPr>
        <w:tc>
          <w:tcPr>
            <w:tcW w:w="984" w:type="dxa"/>
            <w:noWrap/>
            <w:hideMark/>
          </w:tcPr>
          <w:p w14:paraId="4B9C6A0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16</w:t>
            </w:r>
          </w:p>
        </w:tc>
        <w:tc>
          <w:tcPr>
            <w:tcW w:w="3978" w:type="dxa"/>
            <w:noWrap/>
            <w:hideMark/>
          </w:tcPr>
          <w:p w14:paraId="4A9D9EB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Terminalia macroptera </w:t>
            </w:r>
            <w:r w:rsidRPr="0071728C">
              <w:rPr>
                <w:rFonts w:ascii="Arial" w:eastAsia="Calibri" w:hAnsi="Arial" w:cs="Arial"/>
                <w:noProof/>
              </w:rPr>
              <w:t>(Combretaceae)</w:t>
            </w:r>
          </w:p>
        </w:tc>
        <w:tc>
          <w:tcPr>
            <w:tcW w:w="1984" w:type="dxa"/>
            <w:noWrap/>
            <w:hideMark/>
          </w:tcPr>
          <w:p w14:paraId="1BDF71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661622F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2CE778DE" w14:textId="77777777" w:rsidTr="00100D6A">
        <w:trPr>
          <w:trHeight w:val="375"/>
        </w:trPr>
        <w:tc>
          <w:tcPr>
            <w:tcW w:w="984" w:type="dxa"/>
            <w:noWrap/>
            <w:hideMark/>
          </w:tcPr>
          <w:p w14:paraId="23A18F1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17</w:t>
            </w:r>
          </w:p>
        </w:tc>
        <w:tc>
          <w:tcPr>
            <w:tcW w:w="3978" w:type="dxa"/>
            <w:noWrap/>
            <w:hideMark/>
          </w:tcPr>
          <w:p w14:paraId="07FB16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Vitex doniana </w:t>
            </w:r>
            <w:r w:rsidRPr="0071728C">
              <w:rPr>
                <w:rFonts w:ascii="Arial" w:eastAsia="Calibri" w:hAnsi="Arial" w:cs="Arial"/>
                <w:noProof/>
              </w:rPr>
              <w:t>(Verbenaceae)</w:t>
            </w:r>
          </w:p>
        </w:tc>
        <w:tc>
          <w:tcPr>
            <w:tcW w:w="1984" w:type="dxa"/>
            <w:noWrap/>
            <w:hideMark/>
          </w:tcPr>
          <w:p w14:paraId="4692B97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Leaf</w:t>
            </w:r>
          </w:p>
        </w:tc>
        <w:tc>
          <w:tcPr>
            <w:tcW w:w="2405" w:type="dxa"/>
            <w:noWrap/>
            <w:hideMark/>
          </w:tcPr>
          <w:p w14:paraId="05E13C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0A27521" w14:textId="77777777" w:rsidTr="00100D6A">
        <w:trPr>
          <w:trHeight w:val="375"/>
        </w:trPr>
        <w:tc>
          <w:tcPr>
            <w:tcW w:w="984" w:type="dxa"/>
            <w:noWrap/>
            <w:hideMark/>
          </w:tcPr>
          <w:p w14:paraId="4714AD0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18</w:t>
            </w:r>
          </w:p>
        </w:tc>
        <w:tc>
          <w:tcPr>
            <w:tcW w:w="3978" w:type="dxa"/>
            <w:noWrap/>
            <w:hideMark/>
          </w:tcPr>
          <w:p w14:paraId="7F3F7B6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Ximenia americana </w:t>
            </w:r>
            <w:r w:rsidRPr="0071728C">
              <w:rPr>
                <w:rFonts w:ascii="Arial" w:eastAsia="Calibri" w:hAnsi="Arial" w:cs="Arial"/>
                <w:noProof/>
              </w:rPr>
              <w:t>(Olacaceae)</w:t>
            </w:r>
          </w:p>
        </w:tc>
        <w:tc>
          <w:tcPr>
            <w:tcW w:w="1984" w:type="dxa"/>
            <w:noWrap/>
            <w:hideMark/>
          </w:tcPr>
          <w:p w14:paraId="416CFFC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0D9DFA9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64F67720" w14:textId="77777777" w:rsidTr="00100D6A">
        <w:trPr>
          <w:trHeight w:val="375"/>
        </w:trPr>
        <w:tc>
          <w:tcPr>
            <w:tcW w:w="984" w:type="dxa"/>
            <w:tcBorders>
              <w:bottom w:val="single" w:sz="4" w:space="0" w:color="auto"/>
            </w:tcBorders>
            <w:noWrap/>
            <w:hideMark/>
          </w:tcPr>
          <w:p w14:paraId="73742E6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19</w:t>
            </w:r>
          </w:p>
        </w:tc>
        <w:tc>
          <w:tcPr>
            <w:tcW w:w="3978" w:type="dxa"/>
            <w:tcBorders>
              <w:bottom w:val="single" w:sz="4" w:space="0" w:color="auto"/>
            </w:tcBorders>
            <w:noWrap/>
            <w:hideMark/>
          </w:tcPr>
          <w:p w14:paraId="4B25273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Xylopia aethiopum </w:t>
            </w:r>
            <w:r w:rsidRPr="0071728C">
              <w:rPr>
                <w:rFonts w:ascii="Arial" w:eastAsia="Calibri" w:hAnsi="Arial" w:cs="Arial"/>
                <w:noProof/>
              </w:rPr>
              <w:t>(Annonaceae)</w:t>
            </w:r>
          </w:p>
        </w:tc>
        <w:tc>
          <w:tcPr>
            <w:tcW w:w="1984" w:type="dxa"/>
            <w:tcBorders>
              <w:bottom w:val="single" w:sz="4" w:space="0" w:color="auto"/>
            </w:tcBorders>
            <w:noWrap/>
            <w:hideMark/>
          </w:tcPr>
          <w:p w14:paraId="6B5D7F4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tcBorders>
              <w:bottom w:val="single" w:sz="4" w:space="0" w:color="auto"/>
            </w:tcBorders>
            <w:noWrap/>
            <w:hideMark/>
          </w:tcPr>
          <w:p w14:paraId="7CE7D57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bl>
    <w:p w14:paraId="47CED12D" w14:textId="4A4AE2CC"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p>
    <w:p w14:paraId="41B3E6CB" w14:textId="58FC7638" w:rsidR="00D54D20" w:rsidRPr="0026771D" w:rsidRDefault="00D54D20"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 xml:space="preserve">In Sine Saloum, 28 plants were cited (Table </w:t>
      </w:r>
      <w:r w:rsidR="00501589">
        <w:rPr>
          <w:rFonts w:ascii="Arial" w:eastAsia="Calibri" w:hAnsi="Arial" w:cs="Arial"/>
          <w:bCs/>
        </w:rPr>
        <w:t>2</w:t>
      </w:r>
      <w:r w:rsidRPr="0026771D">
        <w:rPr>
          <w:rFonts w:ascii="Arial" w:eastAsia="Calibri" w:hAnsi="Arial" w:cs="Arial"/>
          <w:bCs/>
        </w:rPr>
        <w:t xml:space="preserve">), with the following frequencies of citation: </w:t>
      </w:r>
      <w:r w:rsidRPr="0026771D">
        <w:rPr>
          <w:rFonts w:ascii="Arial" w:eastAsia="Calibri" w:hAnsi="Arial" w:cs="Arial"/>
          <w:bCs/>
          <w:i/>
          <w:iCs/>
        </w:rPr>
        <w:t>Pterocarpus erinaceus</w:t>
      </w:r>
      <w:r w:rsidRPr="0026771D">
        <w:rPr>
          <w:rFonts w:ascii="Arial" w:eastAsia="Calibri" w:hAnsi="Arial" w:cs="Arial"/>
          <w:bCs/>
        </w:rPr>
        <w:t xml:space="preserve"> 34.78% (16/46 actors), </w:t>
      </w:r>
      <w:r w:rsidRPr="0026771D">
        <w:rPr>
          <w:rFonts w:ascii="Arial" w:eastAsia="Calibri" w:hAnsi="Arial" w:cs="Arial"/>
          <w:bCs/>
          <w:i/>
          <w:iCs/>
        </w:rPr>
        <w:t>Lannea acida</w:t>
      </w:r>
      <w:r w:rsidRPr="0026771D">
        <w:rPr>
          <w:rFonts w:ascii="Arial" w:eastAsia="Calibri" w:hAnsi="Arial" w:cs="Arial"/>
          <w:bCs/>
        </w:rPr>
        <w:t xml:space="preserve"> 19.5% (9/46), </w:t>
      </w:r>
      <w:r w:rsidRPr="0026771D">
        <w:rPr>
          <w:rFonts w:ascii="Arial" w:eastAsia="Calibri" w:hAnsi="Arial" w:cs="Arial"/>
          <w:bCs/>
          <w:i/>
          <w:iCs/>
        </w:rPr>
        <w:t>Ficus thonningii</w:t>
      </w:r>
      <w:r w:rsidRPr="0026771D">
        <w:rPr>
          <w:rFonts w:ascii="Arial" w:eastAsia="Calibri" w:hAnsi="Arial" w:cs="Arial"/>
          <w:bCs/>
        </w:rPr>
        <w:t xml:space="preserve"> and </w:t>
      </w:r>
      <w:r w:rsidRPr="0026771D">
        <w:rPr>
          <w:rFonts w:ascii="Arial" w:eastAsia="Calibri" w:hAnsi="Arial" w:cs="Arial"/>
          <w:bCs/>
          <w:i/>
          <w:iCs/>
        </w:rPr>
        <w:t>Prosopis africana</w:t>
      </w:r>
      <w:r w:rsidRPr="0026771D">
        <w:rPr>
          <w:rFonts w:ascii="Arial" w:eastAsia="Calibri" w:hAnsi="Arial" w:cs="Arial"/>
          <w:bCs/>
        </w:rPr>
        <w:t xml:space="preserve"> 15.21% (7/46), </w:t>
      </w:r>
      <w:r w:rsidRPr="0026771D">
        <w:rPr>
          <w:rFonts w:ascii="Arial" w:eastAsia="Calibri" w:hAnsi="Arial" w:cs="Arial"/>
          <w:bCs/>
          <w:i/>
          <w:iCs/>
        </w:rPr>
        <w:t>Ficus sycomorus</w:t>
      </w:r>
      <w:r w:rsidRPr="0026771D">
        <w:rPr>
          <w:rFonts w:ascii="Arial" w:eastAsia="Calibri" w:hAnsi="Arial" w:cs="Arial"/>
          <w:bCs/>
        </w:rPr>
        <w:t xml:space="preserve"> 13.04% (6/46), </w:t>
      </w:r>
      <w:r w:rsidRPr="0026771D">
        <w:rPr>
          <w:rFonts w:ascii="Arial" w:eastAsia="Calibri" w:hAnsi="Arial" w:cs="Arial"/>
          <w:bCs/>
          <w:i/>
          <w:iCs/>
        </w:rPr>
        <w:t>Hibiscus sabdariffa</w:t>
      </w:r>
      <w:r w:rsidRPr="0026771D">
        <w:rPr>
          <w:rFonts w:ascii="Arial" w:eastAsia="Calibri" w:hAnsi="Arial" w:cs="Arial"/>
          <w:bCs/>
        </w:rPr>
        <w:t xml:space="preserve"> 6.52% (3/46), </w:t>
      </w:r>
      <w:r w:rsidRPr="0026771D">
        <w:rPr>
          <w:rFonts w:ascii="Arial" w:eastAsia="Calibri" w:hAnsi="Arial" w:cs="Arial"/>
          <w:bCs/>
          <w:i/>
          <w:iCs/>
        </w:rPr>
        <w:t>Cochlospermum tinctorium</w:t>
      </w:r>
      <w:r w:rsidRPr="0026771D">
        <w:rPr>
          <w:rFonts w:ascii="Arial" w:eastAsia="Calibri" w:hAnsi="Arial" w:cs="Arial"/>
          <w:bCs/>
        </w:rPr>
        <w:t xml:space="preserve">, </w:t>
      </w:r>
      <w:r w:rsidRPr="0026771D">
        <w:rPr>
          <w:rFonts w:ascii="Arial" w:eastAsia="Calibri" w:hAnsi="Arial" w:cs="Arial"/>
          <w:bCs/>
          <w:i/>
          <w:iCs/>
        </w:rPr>
        <w:t>Combretum micrantum</w:t>
      </w:r>
      <w:r w:rsidRPr="0026771D">
        <w:rPr>
          <w:rFonts w:ascii="Arial" w:eastAsia="Calibri" w:hAnsi="Arial" w:cs="Arial"/>
          <w:bCs/>
        </w:rPr>
        <w:t xml:space="preserve">, </w:t>
      </w:r>
      <w:r w:rsidRPr="0026771D">
        <w:rPr>
          <w:rFonts w:ascii="Arial" w:eastAsia="Calibri" w:hAnsi="Arial" w:cs="Arial"/>
          <w:bCs/>
          <w:i/>
          <w:iCs/>
        </w:rPr>
        <w:t>Khaya senegalensis</w:t>
      </w:r>
      <w:r w:rsidRPr="0026771D">
        <w:rPr>
          <w:rFonts w:ascii="Arial" w:eastAsia="Calibri" w:hAnsi="Arial" w:cs="Arial"/>
          <w:bCs/>
        </w:rPr>
        <w:t xml:space="preserve">, </w:t>
      </w:r>
      <w:r w:rsidRPr="0026771D">
        <w:rPr>
          <w:rFonts w:ascii="Arial" w:eastAsia="Calibri" w:hAnsi="Arial" w:cs="Arial"/>
          <w:bCs/>
          <w:i/>
          <w:iCs/>
        </w:rPr>
        <w:t>Lepisanthes senegalensis</w:t>
      </w:r>
      <w:r w:rsidRPr="0026771D">
        <w:rPr>
          <w:rFonts w:ascii="Arial" w:eastAsia="Calibri" w:hAnsi="Arial" w:cs="Arial"/>
          <w:bCs/>
        </w:rPr>
        <w:t xml:space="preserve"> and </w:t>
      </w:r>
      <w:r w:rsidRPr="0026771D">
        <w:rPr>
          <w:rFonts w:ascii="Arial" w:eastAsia="Calibri" w:hAnsi="Arial" w:cs="Arial"/>
          <w:bCs/>
          <w:i/>
          <w:iCs/>
        </w:rPr>
        <w:t>Sclerocarya birrea</w:t>
      </w:r>
      <w:r w:rsidRPr="0026771D">
        <w:rPr>
          <w:rFonts w:ascii="Arial" w:eastAsia="Calibri" w:hAnsi="Arial" w:cs="Arial"/>
          <w:bCs/>
        </w:rPr>
        <w:t xml:space="preserve"> 4.34% (2/46), all other species in the list were mentioned by only one actor, giving a frequency of 2.17%.</w:t>
      </w:r>
    </w:p>
    <w:p w14:paraId="78AF74AE" w14:textId="5D565230" w:rsidR="0071728C" w:rsidRPr="0026771D" w:rsidRDefault="00D54D20"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i/>
          <w:iCs/>
        </w:rPr>
        <w:lastRenderedPageBreak/>
        <w:t>Pterocarpus erinaceus</w:t>
      </w:r>
      <w:r w:rsidRPr="0026771D">
        <w:rPr>
          <w:rFonts w:ascii="Arial" w:eastAsia="Calibri" w:hAnsi="Arial" w:cs="Arial"/>
          <w:bCs/>
        </w:rPr>
        <w:t xml:space="preserve">, </w:t>
      </w:r>
      <w:r w:rsidRPr="0026771D">
        <w:rPr>
          <w:rFonts w:ascii="Arial" w:eastAsia="Calibri" w:hAnsi="Arial" w:cs="Arial"/>
          <w:bCs/>
          <w:i/>
          <w:iCs/>
        </w:rPr>
        <w:t>Khaya senegalensis</w:t>
      </w:r>
      <w:r w:rsidRPr="0026771D">
        <w:rPr>
          <w:rFonts w:ascii="Arial" w:eastAsia="Calibri" w:hAnsi="Arial" w:cs="Arial"/>
          <w:bCs/>
        </w:rPr>
        <w:t xml:space="preserve"> and </w:t>
      </w:r>
      <w:r w:rsidRPr="0026771D">
        <w:rPr>
          <w:rFonts w:ascii="Arial" w:eastAsia="Calibri" w:hAnsi="Arial" w:cs="Arial"/>
          <w:bCs/>
          <w:i/>
          <w:iCs/>
        </w:rPr>
        <w:t>Ximenia americana</w:t>
      </w:r>
      <w:r w:rsidRPr="0026771D">
        <w:rPr>
          <w:rFonts w:ascii="Arial" w:eastAsia="Calibri" w:hAnsi="Arial" w:cs="Arial"/>
          <w:bCs/>
        </w:rPr>
        <w:t xml:space="preserve"> are the only species cited as anti-anaemic in both Casamance and Sine-Saloum (Table 2).</w:t>
      </w:r>
    </w:p>
    <w:p w14:paraId="6EF242A1" w14:textId="19FA011B" w:rsidR="0071728C" w:rsidRPr="0026771D" w:rsidRDefault="00D54D20" w:rsidP="00A13EE0">
      <w:pPr>
        <w:autoSpaceDE w:val="0"/>
        <w:autoSpaceDN w:val="0"/>
        <w:adjustRightInd w:val="0"/>
        <w:spacing w:before="120" w:after="120" w:line="360" w:lineRule="auto"/>
        <w:jc w:val="both"/>
        <w:rPr>
          <w:rFonts w:ascii="Arial" w:eastAsia="Calibri" w:hAnsi="Arial" w:cs="Arial"/>
          <w:b/>
        </w:rPr>
      </w:pPr>
      <w:r w:rsidRPr="0026771D">
        <w:rPr>
          <w:rFonts w:ascii="Arial" w:eastAsia="Calibri" w:hAnsi="Arial" w:cs="Arial"/>
          <w:b/>
        </w:rPr>
        <w:t>Table 2.</w:t>
      </w:r>
      <w:r w:rsidRPr="0026771D">
        <w:rPr>
          <w:rFonts w:ascii="Arial" w:hAnsi="Arial" w:cs="Arial"/>
          <w:b/>
        </w:rPr>
        <w:t xml:space="preserve"> </w:t>
      </w:r>
      <w:r w:rsidRPr="0026771D">
        <w:rPr>
          <w:rFonts w:ascii="Arial" w:eastAsia="Calibri" w:hAnsi="Arial" w:cs="Arial"/>
          <w:b/>
        </w:rPr>
        <w:t>Repertory of plants cited for treating anaemia in Sine-Saloum</w:t>
      </w:r>
    </w:p>
    <w:tbl>
      <w:tblPr>
        <w:tblW w:w="5329" w:type="pct"/>
        <w:tblBorders>
          <w:top w:val="single" w:sz="4" w:space="0" w:color="auto"/>
          <w:bottom w:val="single" w:sz="4" w:space="0" w:color="auto"/>
        </w:tblBorders>
        <w:tblLayout w:type="fixed"/>
        <w:tblLook w:val="04A0" w:firstRow="1" w:lastRow="0" w:firstColumn="1" w:lastColumn="0" w:noHBand="0" w:noVBand="1"/>
      </w:tblPr>
      <w:tblGrid>
        <w:gridCol w:w="555"/>
        <w:gridCol w:w="3840"/>
        <w:gridCol w:w="2128"/>
        <w:gridCol w:w="3140"/>
      </w:tblGrid>
      <w:tr w:rsidR="0071728C" w:rsidRPr="0071728C" w14:paraId="7B3689EB" w14:textId="77777777" w:rsidTr="00100D6A">
        <w:trPr>
          <w:trHeight w:val="426"/>
        </w:trPr>
        <w:tc>
          <w:tcPr>
            <w:tcW w:w="287" w:type="pct"/>
            <w:tcBorders>
              <w:top w:val="single" w:sz="4" w:space="0" w:color="auto"/>
              <w:bottom w:val="single" w:sz="4" w:space="0" w:color="auto"/>
            </w:tcBorders>
            <w:noWrap/>
            <w:hideMark/>
          </w:tcPr>
          <w:p w14:paraId="5EF305A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p>
        </w:tc>
        <w:tc>
          <w:tcPr>
            <w:tcW w:w="1987" w:type="pct"/>
            <w:tcBorders>
              <w:top w:val="single" w:sz="4" w:space="0" w:color="auto"/>
              <w:bottom w:val="single" w:sz="4" w:space="0" w:color="auto"/>
            </w:tcBorders>
            <w:noWrap/>
            <w:hideMark/>
          </w:tcPr>
          <w:p w14:paraId="2C2C0E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71728C">
              <w:rPr>
                <w:rFonts w:ascii="Arial" w:eastAsia="Calibri" w:hAnsi="Arial" w:cs="Arial"/>
                <w:b/>
                <w:bCs/>
                <w:lang w:val="fr-FR"/>
              </w:rPr>
              <w:t>Latin binomial</w:t>
            </w:r>
          </w:p>
        </w:tc>
        <w:tc>
          <w:tcPr>
            <w:tcW w:w="1101" w:type="pct"/>
            <w:tcBorders>
              <w:top w:val="single" w:sz="4" w:space="0" w:color="auto"/>
              <w:bottom w:val="single" w:sz="4" w:space="0" w:color="auto"/>
            </w:tcBorders>
            <w:noWrap/>
            <w:hideMark/>
          </w:tcPr>
          <w:p w14:paraId="3133B35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71728C">
              <w:rPr>
                <w:rFonts w:ascii="Arial" w:eastAsia="Calibri" w:hAnsi="Arial" w:cs="Arial"/>
                <w:b/>
                <w:bCs/>
                <w:lang w:val="fr-FR"/>
              </w:rPr>
              <w:t>Parts used</w:t>
            </w:r>
          </w:p>
        </w:tc>
        <w:tc>
          <w:tcPr>
            <w:tcW w:w="1625" w:type="pct"/>
            <w:tcBorders>
              <w:top w:val="single" w:sz="4" w:space="0" w:color="auto"/>
              <w:bottom w:val="single" w:sz="4" w:space="0" w:color="auto"/>
            </w:tcBorders>
            <w:noWrap/>
            <w:hideMark/>
          </w:tcPr>
          <w:p w14:paraId="2772D3DD" w14:textId="77EA4C82"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26771D">
              <w:rPr>
                <w:rFonts w:ascii="Arial" w:eastAsia="Calibri" w:hAnsi="Arial" w:cs="Arial"/>
                <w:b/>
                <w:bCs/>
                <w:lang w:val="fr-FR"/>
              </w:rPr>
              <w:t>Preparations</w:t>
            </w:r>
          </w:p>
        </w:tc>
      </w:tr>
      <w:tr w:rsidR="0071728C" w:rsidRPr="0071728C" w14:paraId="3C0F895A" w14:textId="77777777" w:rsidTr="00100D6A">
        <w:trPr>
          <w:trHeight w:val="300"/>
        </w:trPr>
        <w:tc>
          <w:tcPr>
            <w:tcW w:w="287" w:type="pct"/>
            <w:tcBorders>
              <w:top w:val="single" w:sz="4" w:space="0" w:color="auto"/>
            </w:tcBorders>
            <w:noWrap/>
            <w:hideMark/>
          </w:tcPr>
          <w:p w14:paraId="7655E4E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w:t>
            </w:r>
          </w:p>
        </w:tc>
        <w:tc>
          <w:tcPr>
            <w:tcW w:w="1987" w:type="pct"/>
            <w:tcBorders>
              <w:top w:val="single" w:sz="4" w:space="0" w:color="auto"/>
            </w:tcBorders>
            <w:noWrap/>
            <w:hideMark/>
          </w:tcPr>
          <w:p w14:paraId="583B0E0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Anacardium occidentale</w:t>
            </w:r>
            <w:r w:rsidRPr="0071728C">
              <w:rPr>
                <w:rFonts w:ascii="Arial" w:eastAsia="Calibri" w:hAnsi="Arial" w:cs="Arial"/>
                <w:bCs/>
                <w:lang w:val="fr-FR"/>
              </w:rPr>
              <w:t xml:space="preserve"> (Anacardiaceae)  </w:t>
            </w:r>
          </w:p>
        </w:tc>
        <w:tc>
          <w:tcPr>
            <w:tcW w:w="1101" w:type="pct"/>
            <w:tcBorders>
              <w:top w:val="single" w:sz="4" w:space="0" w:color="auto"/>
            </w:tcBorders>
            <w:noWrap/>
            <w:hideMark/>
          </w:tcPr>
          <w:p w14:paraId="6C958DC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tcBorders>
              <w:top w:val="single" w:sz="4" w:space="0" w:color="auto"/>
            </w:tcBorders>
            <w:noWrap/>
            <w:hideMark/>
          </w:tcPr>
          <w:p w14:paraId="406D4C2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388BA2C2" w14:textId="77777777" w:rsidTr="00100D6A">
        <w:trPr>
          <w:trHeight w:val="300"/>
        </w:trPr>
        <w:tc>
          <w:tcPr>
            <w:tcW w:w="287" w:type="pct"/>
            <w:noWrap/>
            <w:hideMark/>
          </w:tcPr>
          <w:p w14:paraId="3B150DF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w:t>
            </w:r>
          </w:p>
        </w:tc>
        <w:tc>
          <w:tcPr>
            <w:tcW w:w="1987" w:type="pct"/>
            <w:noWrap/>
            <w:hideMark/>
          </w:tcPr>
          <w:p w14:paraId="31C5DFD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Lannea acida</w:t>
            </w:r>
            <w:r w:rsidRPr="0071728C">
              <w:rPr>
                <w:rFonts w:ascii="Arial" w:eastAsia="Calibri" w:hAnsi="Arial" w:cs="Arial"/>
                <w:bCs/>
                <w:lang w:val="fr-FR"/>
              </w:rPr>
              <w:t xml:space="preserve"> (Anacardiaceae)  </w:t>
            </w:r>
          </w:p>
        </w:tc>
        <w:tc>
          <w:tcPr>
            <w:tcW w:w="1101" w:type="pct"/>
            <w:noWrap/>
            <w:hideMark/>
          </w:tcPr>
          <w:p w14:paraId="0F29723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410189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0C018C86" w14:textId="77777777" w:rsidTr="00100D6A">
        <w:trPr>
          <w:trHeight w:val="300"/>
        </w:trPr>
        <w:tc>
          <w:tcPr>
            <w:tcW w:w="287" w:type="pct"/>
            <w:noWrap/>
            <w:hideMark/>
          </w:tcPr>
          <w:p w14:paraId="5FEFC0C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3</w:t>
            </w:r>
          </w:p>
        </w:tc>
        <w:tc>
          <w:tcPr>
            <w:tcW w:w="1987" w:type="pct"/>
            <w:noWrap/>
            <w:hideMark/>
          </w:tcPr>
          <w:p w14:paraId="0BC32CA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Ozoroa benguellensis</w:t>
            </w:r>
            <w:r w:rsidRPr="0071728C">
              <w:rPr>
                <w:rFonts w:ascii="Arial" w:eastAsia="Calibri" w:hAnsi="Arial" w:cs="Arial"/>
                <w:bCs/>
                <w:lang w:val="fr-FR"/>
              </w:rPr>
              <w:t xml:space="preserve"> (Anacardiaceae)  </w:t>
            </w:r>
          </w:p>
        </w:tc>
        <w:tc>
          <w:tcPr>
            <w:tcW w:w="1101" w:type="pct"/>
            <w:noWrap/>
            <w:hideMark/>
          </w:tcPr>
          <w:p w14:paraId="5995739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557F342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51A4270C" w14:textId="77777777" w:rsidTr="00100D6A">
        <w:trPr>
          <w:trHeight w:val="300"/>
        </w:trPr>
        <w:tc>
          <w:tcPr>
            <w:tcW w:w="287" w:type="pct"/>
            <w:noWrap/>
            <w:hideMark/>
          </w:tcPr>
          <w:p w14:paraId="3278B2E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4</w:t>
            </w:r>
          </w:p>
        </w:tc>
        <w:tc>
          <w:tcPr>
            <w:tcW w:w="1987" w:type="pct"/>
            <w:noWrap/>
            <w:hideMark/>
          </w:tcPr>
          <w:p w14:paraId="5B74AAB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Sclerocarya birrea</w:t>
            </w:r>
            <w:r w:rsidRPr="0071728C">
              <w:rPr>
                <w:rFonts w:ascii="Arial" w:eastAsia="Calibri" w:hAnsi="Arial" w:cs="Arial"/>
                <w:bCs/>
                <w:lang w:val="fr-FR"/>
              </w:rPr>
              <w:t xml:space="preserve"> (Anacardiaceae)  </w:t>
            </w:r>
          </w:p>
        </w:tc>
        <w:tc>
          <w:tcPr>
            <w:tcW w:w="1101" w:type="pct"/>
            <w:noWrap/>
            <w:hideMark/>
          </w:tcPr>
          <w:p w14:paraId="25C674B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979685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205D75D0" w14:textId="77777777" w:rsidTr="00100D6A">
        <w:trPr>
          <w:trHeight w:val="300"/>
        </w:trPr>
        <w:tc>
          <w:tcPr>
            <w:tcW w:w="287" w:type="pct"/>
            <w:noWrap/>
            <w:hideMark/>
          </w:tcPr>
          <w:p w14:paraId="217ACA9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5</w:t>
            </w:r>
          </w:p>
        </w:tc>
        <w:tc>
          <w:tcPr>
            <w:tcW w:w="1987" w:type="pct"/>
            <w:noWrap/>
            <w:hideMark/>
          </w:tcPr>
          <w:p w14:paraId="7EBB6E9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Adansonia digitata</w:t>
            </w:r>
            <w:r w:rsidRPr="0071728C">
              <w:rPr>
                <w:rFonts w:ascii="Arial" w:eastAsia="Calibri" w:hAnsi="Arial" w:cs="Arial"/>
                <w:bCs/>
                <w:lang w:val="fr-FR"/>
              </w:rPr>
              <w:t xml:space="preserve"> (Bombacaceae)</w:t>
            </w:r>
          </w:p>
        </w:tc>
        <w:tc>
          <w:tcPr>
            <w:tcW w:w="1101" w:type="pct"/>
            <w:noWrap/>
            <w:hideMark/>
          </w:tcPr>
          <w:p w14:paraId="778E0E8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1FD097D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21AA7BCE" w14:textId="77777777" w:rsidTr="00100D6A">
        <w:trPr>
          <w:trHeight w:val="300"/>
        </w:trPr>
        <w:tc>
          <w:tcPr>
            <w:tcW w:w="287" w:type="pct"/>
            <w:noWrap/>
            <w:hideMark/>
          </w:tcPr>
          <w:p w14:paraId="3C7D5F3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6</w:t>
            </w:r>
          </w:p>
        </w:tc>
        <w:tc>
          <w:tcPr>
            <w:tcW w:w="1987" w:type="pct"/>
            <w:noWrap/>
            <w:hideMark/>
          </w:tcPr>
          <w:p w14:paraId="30BA92B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Cassia absus</w:t>
            </w:r>
            <w:r w:rsidRPr="0071728C">
              <w:rPr>
                <w:rFonts w:ascii="Arial" w:eastAsia="Calibri" w:hAnsi="Arial" w:cs="Arial"/>
                <w:bCs/>
                <w:lang w:val="fr-FR"/>
              </w:rPr>
              <w:t xml:space="preserve"> (Caesalpiniaceae)</w:t>
            </w:r>
          </w:p>
        </w:tc>
        <w:tc>
          <w:tcPr>
            <w:tcW w:w="1101" w:type="pct"/>
            <w:noWrap/>
            <w:hideMark/>
          </w:tcPr>
          <w:p w14:paraId="009BC9E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Whole plant</w:t>
            </w:r>
          </w:p>
        </w:tc>
        <w:tc>
          <w:tcPr>
            <w:tcW w:w="1625" w:type="pct"/>
            <w:noWrap/>
            <w:hideMark/>
          </w:tcPr>
          <w:p w14:paraId="739E799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C99EF27" w14:textId="77777777" w:rsidTr="00100D6A">
        <w:trPr>
          <w:trHeight w:val="300"/>
        </w:trPr>
        <w:tc>
          <w:tcPr>
            <w:tcW w:w="287" w:type="pct"/>
            <w:noWrap/>
            <w:hideMark/>
          </w:tcPr>
          <w:p w14:paraId="245C61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7</w:t>
            </w:r>
          </w:p>
        </w:tc>
        <w:tc>
          <w:tcPr>
            <w:tcW w:w="1987" w:type="pct"/>
            <w:noWrap/>
            <w:hideMark/>
          </w:tcPr>
          <w:p w14:paraId="0721F3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Cassia sieberiana</w:t>
            </w:r>
            <w:r w:rsidRPr="0071728C">
              <w:rPr>
                <w:rFonts w:ascii="Arial" w:eastAsia="Calibri" w:hAnsi="Arial" w:cs="Arial"/>
                <w:bCs/>
                <w:lang w:val="fr-FR"/>
              </w:rPr>
              <w:t xml:space="preserve"> (Caesalpiniaceae)</w:t>
            </w:r>
          </w:p>
        </w:tc>
        <w:tc>
          <w:tcPr>
            <w:tcW w:w="1101" w:type="pct"/>
            <w:noWrap/>
            <w:hideMark/>
          </w:tcPr>
          <w:p w14:paraId="3C8B693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B50FA2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1B025F12" w14:textId="77777777" w:rsidTr="00100D6A">
        <w:trPr>
          <w:trHeight w:val="300"/>
        </w:trPr>
        <w:tc>
          <w:tcPr>
            <w:tcW w:w="287" w:type="pct"/>
            <w:noWrap/>
            <w:hideMark/>
          </w:tcPr>
          <w:p w14:paraId="387899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8</w:t>
            </w:r>
          </w:p>
        </w:tc>
        <w:tc>
          <w:tcPr>
            <w:tcW w:w="1987" w:type="pct"/>
            <w:noWrap/>
            <w:hideMark/>
          </w:tcPr>
          <w:p w14:paraId="05A42C1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Detarium microcarpum</w:t>
            </w:r>
            <w:r w:rsidRPr="0071728C">
              <w:rPr>
                <w:rFonts w:ascii="Arial" w:eastAsia="Calibri" w:hAnsi="Arial" w:cs="Arial"/>
                <w:bCs/>
                <w:lang w:val="fr-FR"/>
              </w:rPr>
              <w:t xml:space="preserve"> (Caesalpiniaceae)</w:t>
            </w:r>
          </w:p>
        </w:tc>
        <w:tc>
          <w:tcPr>
            <w:tcW w:w="1101" w:type="pct"/>
            <w:noWrap/>
            <w:hideMark/>
          </w:tcPr>
          <w:p w14:paraId="063C619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5578EBF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7EB8470" w14:textId="77777777" w:rsidTr="00100D6A">
        <w:trPr>
          <w:trHeight w:val="300"/>
        </w:trPr>
        <w:tc>
          <w:tcPr>
            <w:tcW w:w="287" w:type="pct"/>
            <w:noWrap/>
            <w:hideMark/>
          </w:tcPr>
          <w:p w14:paraId="4505E95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9</w:t>
            </w:r>
          </w:p>
        </w:tc>
        <w:tc>
          <w:tcPr>
            <w:tcW w:w="1987" w:type="pct"/>
            <w:noWrap/>
            <w:hideMark/>
          </w:tcPr>
          <w:p w14:paraId="0ED48F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Detarium senegalense</w:t>
            </w:r>
            <w:r w:rsidRPr="0071728C">
              <w:rPr>
                <w:rFonts w:ascii="Arial" w:eastAsia="Calibri" w:hAnsi="Arial" w:cs="Arial"/>
                <w:bCs/>
                <w:lang w:val="fr-FR"/>
              </w:rPr>
              <w:t xml:space="preserve"> (Caesalpiniaceae)</w:t>
            </w:r>
          </w:p>
        </w:tc>
        <w:tc>
          <w:tcPr>
            <w:tcW w:w="1101" w:type="pct"/>
            <w:noWrap/>
            <w:hideMark/>
          </w:tcPr>
          <w:p w14:paraId="0B961C9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18D3297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Infuse</w:t>
            </w:r>
          </w:p>
        </w:tc>
      </w:tr>
      <w:tr w:rsidR="0071728C" w:rsidRPr="0071728C" w14:paraId="248F4DF0" w14:textId="77777777" w:rsidTr="00100D6A">
        <w:trPr>
          <w:trHeight w:val="300"/>
        </w:trPr>
        <w:tc>
          <w:tcPr>
            <w:tcW w:w="287" w:type="pct"/>
            <w:noWrap/>
            <w:hideMark/>
          </w:tcPr>
          <w:p w14:paraId="2144A95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10</w:t>
            </w:r>
          </w:p>
        </w:tc>
        <w:tc>
          <w:tcPr>
            <w:tcW w:w="1987" w:type="pct"/>
            <w:noWrap/>
            <w:hideMark/>
          </w:tcPr>
          <w:p w14:paraId="62210A6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 xml:space="preserve">Piliostigma </w:t>
            </w:r>
            <w:proofErr w:type="gramStart"/>
            <w:r w:rsidRPr="0071728C">
              <w:rPr>
                <w:rFonts w:ascii="Arial" w:eastAsia="Calibri" w:hAnsi="Arial" w:cs="Arial"/>
                <w:bCs/>
                <w:i/>
                <w:lang w:val="fr-FR"/>
              </w:rPr>
              <w:t>reticulatum</w:t>
            </w:r>
            <w:r w:rsidRPr="0071728C">
              <w:rPr>
                <w:rFonts w:ascii="Arial" w:eastAsia="Calibri" w:hAnsi="Arial" w:cs="Arial"/>
                <w:bCs/>
                <w:lang w:val="fr-FR"/>
              </w:rPr>
              <w:t>(</w:t>
            </w:r>
            <w:proofErr w:type="gramEnd"/>
            <w:r w:rsidRPr="0071728C">
              <w:rPr>
                <w:rFonts w:ascii="Arial" w:eastAsia="Calibri" w:hAnsi="Arial" w:cs="Arial"/>
                <w:bCs/>
                <w:lang w:val="fr-FR"/>
              </w:rPr>
              <w:t>Caesalpiniaceae)</w:t>
            </w:r>
          </w:p>
        </w:tc>
        <w:tc>
          <w:tcPr>
            <w:tcW w:w="1101" w:type="pct"/>
            <w:noWrap/>
            <w:hideMark/>
          </w:tcPr>
          <w:p w14:paraId="2898FA2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FC21AE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6B444384" w14:textId="77777777" w:rsidTr="00100D6A">
        <w:trPr>
          <w:trHeight w:val="300"/>
        </w:trPr>
        <w:tc>
          <w:tcPr>
            <w:tcW w:w="287" w:type="pct"/>
            <w:noWrap/>
            <w:hideMark/>
          </w:tcPr>
          <w:p w14:paraId="28ADBC3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11</w:t>
            </w:r>
          </w:p>
        </w:tc>
        <w:tc>
          <w:tcPr>
            <w:tcW w:w="1987" w:type="pct"/>
            <w:noWrap/>
            <w:hideMark/>
          </w:tcPr>
          <w:p w14:paraId="2C1B580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Boscia senegalensis</w:t>
            </w:r>
            <w:r w:rsidRPr="0071728C">
              <w:rPr>
                <w:rFonts w:ascii="Arial" w:eastAsia="Calibri" w:hAnsi="Arial" w:cs="Arial"/>
                <w:bCs/>
                <w:lang w:val="fr-FR"/>
              </w:rPr>
              <w:t xml:space="preserve"> (Capparidaceae)</w:t>
            </w:r>
          </w:p>
        </w:tc>
        <w:tc>
          <w:tcPr>
            <w:tcW w:w="1101" w:type="pct"/>
            <w:noWrap/>
            <w:hideMark/>
          </w:tcPr>
          <w:p w14:paraId="300C3B7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6053006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3E1E8AC4" w14:textId="77777777" w:rsidTr="00100D6A">
        <w:trPr>
          <w:trHeight w:val="300"/>
        </w:trPr>
        <w:tc>
          <w:tcPr>
            <w:tcW w:w="287" w:type="pct"/>
            <w:noWrap/>
            <w:hideMark/>
          </w:tcPr>
          <w:p w14:paraId="34DF0AB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lastRenderedPageBreak/>
              <w:t>12</w:t>
            </w:r>
          </w:p>
        </w:tc>
        <w:tc>
          <w:tcPr>
            <w:tcW w:w="1987" w:type="pct"/>
            <w:noWrap/>
            <w:hideMark/>
          </w:tcPr>
          <w:p w14:paraId="6BAA56A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Cochlospermum tinctorium</w:t>
            </w:r>
            <w:r w:rsidRPr="0071728C">
              <w:rPr>
                <w:rFonts w:ascii="Arial" w:eastAsia="Calibri" w:hAnsi="Arial" w:cs="Arial"/>
                <w:bCs/>
                <w:lang w:val="fr-FR"/>
              </w:rPr>
              <w:t xml:space="preserve"> (Cochlospermaceae)</w:t>
            </w:r>
          </w:p>
        </w:tc>
        <w:tc>
          <w:tcPr>
            <w:tcW w:w="1101" w:type="pct"/>
            <w:noWrap/>
            <w:hideMark/>
          </w:tcPr>
          <w:p w14:paraId="00CB5EE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150363F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3ADDD491" w14:textId="77777777" w:rsidTr="00100D6A">
        <w:trPr>
          <w:trHeight w:val="300"/>
        </w:trPr>
        <w:tc>
          <w:tcPr>
            <w:tcW w:w="287" w:type="pct"/>
            <w:noWrap/>
            <w:hideMark/>
          </w:tcPr>
          <w:p w14:paraId="34BE619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13</w:t>
            </w:r>
          </w:p>
        </w:tc>
        <w:tc>
          <w:tcPr>
            <w:tcW w:w="1987" w:type="pct"/>
            <w:noWrap/>
            <w:hideMark/>
          </w:tcPr>
          <w:p w14:paraId="06B30B6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Combretum glutinosum</w:t>
            </w:r>
            <w:r w:rsidRPr="0071728C">
              <w:rPr>
                <w:rFonts w:ascii="Arial" w:eastAsia="Calibri" w:hAnsi="Arial" w:cs="Arial"/>
                <w:bCs/>
                <w:lang w:val="fr-FR"/>
              </w:rPr>
              <w:t xml:space="preserve"> (Combretaceae)</w:t>
            </w:r>
          </w:p>
        </w:tc>
        <w:tc>
          <w:tcPr>
            <w:tcW w:w="1101" w:type="pct"/>
            <w:noWrap/>
            <w:hideMark/>
          </w:tcPr>
          <w:p w14:paraId="1DC8C8E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3ACF398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5ED9170" w14:textId="77777777" w:rsidTr="00100D6A">
        <w:trPr>
          <w:trHeight w:val="300"/>
        </w:trPr>
        <w:tc>
          <w:tcPr>
            <w:tcW w:w="287" w:type="pct"/>
            <w:noWrap/>
            <w:hideMark/>
          </w:tcPr>
          <w:p w14:paraId="6B309C2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14</w:t>
            </w:r>
          </w:p>
        </w:tc>
        <w:tc>
          <w:tcPr>
            <w:tcW w:w="1987" w:type="pct"/>
            <w:noWrap/>
            <w:hideMark/>
          </w:tcPr>
          <w:p w14:paraId="42E4AB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Combretum micranthum</w:t>
            </w:r>
            <w:r w:rsidRPr="0071728C">
              <w:rPr>
                <w:rFonts w:ascii="Arial" w:eastAsia="Calibri" w:hAnsi="Arial" w:cs="Arial"/>
                <w:bCs/>
                <w:lang w:val="fr-FR"/>
              </w:rPr>
              <w:t xml:space="preserve"> (Combretaceae)</w:t>
            </w:r>
          </w:p>
        </w:tc>
        <w:tc>
          <w:tcPr>
            <w:tcW w:w="1101" w:type="pct"/>
            <w:noWrap/>
            <w:hideMark/>
          </w:tcPr>
          <w:p w14:paraId="598C053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6BB18FF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62D5D4B7" w14:textId="77777777" w:rsidTr="00100D6A">
        <w:trPr>
          <w:trHeight w:val="300"/>
        </w:trPr>
        <w:tc>
          <w:tcPr>
            <w:tcW w:w="287" w:type="pct"/>
            <w:noWrap/>
            <w:hideMark/>
          </w:tcPr>
          <w:p w14:paraId="55F135E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15</w:t>
            </w:r>
          </w:p>
        </w:tc>
        <w:tc>
          <w:tcPr>
            <w:tcW w:w="1987" w:type="pct"/>
            <w:noWrap/>
            <w:hideMark/>
          </w:tcPr>
          <w:p w14:paraId="21ADABF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Terminalia avicennoides</w:t>
            </w:r>
            <w:r w:rsidRPr="0071728C">
              <w:rPr>
                <w:rFonts w:ascii="Arial" w:eastAsia="Calibri" w:hAnsi="Arial" w:cs="Arial"/>
                <w:bCs/>
                <w:lang w:val="fr-FR"/>
              </w:rPr>
              <w:t xml:space="preserve"> (Combretaceae)</w:t>
            </w:r>
          </w:p>
        </w:tc>
        <w:tc>
          <w:tcPr>
            <w:tcW w:w="1101" w:type="pct"/>
            <w:noWrap/>
            <w:hideMark/>
          </w:tcPr>
          <w:p w14:paraId="1EAA324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2571BE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8185541" w14:textId="77777777" w:rsidTr="00100D6A">
        <w:trPr>
          <w:trHeight w:val="285"/>
        </w:trPr>
        <w:tc>
          <w:tcPr>
            <w:tcW w:w="287" w:type="pct"/>
            <w:noWrap/>
            <w:hideMark/>
          </w:tcPr>
          <w:p w14:paraId="404E56F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16</w:t>
            </w:r>
          </w:p>
        </w:tc>
        <w:tc>
          <w:tcPr>
            <w:tcW w:w="1987" w:type="pct"/>
            <w:noWrap/>
            <w:hideMark/>
          </w:tcPr>
          <w:p w14:paraId="186BDE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Pterocarpus erinaceus</w:t>
            </w:r>
            <w:r w:rsidRPr="0071728C">
              <w:rPr>
                <w:rFonts w:ascii="Arial" w:eastAsia="Calibri" w:hAnsi="Arial" w:cs="Arial"/>
                <w:bCs/>
                <w:lang w:val="fr-FR"/>
              </w:rPr>
              <w:t xml:space="preserve"> (Fabaceae)</w:t>
            </w:r>
          </w:p>
        </w:tc>
        <w:tc>
          <w:tcPr>
            <w:tcW w:w="1101" w:type="pct"/>
            <w:noWrap/>
            <w:hideMark/>
          </w:tcPr>
          <w:p w14:paraId="7D47D11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or leaves</w:t>
            </w:r>
          </w:p>
        </w:tc>
        <w:tc>
          <w:tcPr>
            <w:tcW w:w="1625" w:type="pct"/>
            <w:noWrap/>
            <w:hideMark/>
          </w:tcPr>
          <w:p w14:paraId="472CADE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34748E3" w14:textId="77777777" w:rsidTr="00100D6A">
        <w:trPr>
          <w:trHeight w:val="300"/>
        </w:trPr>
        <w:tc>
          <w:tcPr>
            <w:tcW w:w="287" w:type="pct"/>
            <w:noWrap/>
            <w:hideMark/>
          </w:tcPr>
          <w:p w14:paraId="788B6C6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17</w:t>
            </w:r>
          </w:p>
        </w:tc>
        <w:tc>
          <w:tcPr>
            <w:tcW w:w="1987" w:type="pct"/>
            <w:noWrap/>
            <w:hideMark/>
          </w:tcPr>
          <w:p w14:paraId="17CA00A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Hibiscus sabdariffa</w:t>
            </w:r>
            <w:r w:rsidRPr="0071728C">
              <w:rPr>
                <w:rFonts w:ascii="Arial" w:eastAsia="Calibri" w:hAnsi="Arial" w:cs="Arial"/>
                <w:bCs/>
                <w:lang w:val="fr-FR"/>
              </w:rPr>
              <w:t xml:space="preserve"> (Malvaceae)</w:t>
            </w:r>
          </w:p>
        </w:tc>
        <w:tc>
          <w:tcPr>
            <w:tcW w:w="1101" w:type="pct"/>
            <w:noWrap/>
            <w:hideMark/>
          </w:tcPr>
          <w:p w14:paraId="3B872BA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Petals</w:t>
            </w:r>
          </w:p>
        </w:tc>
        <w:tc>
          <w:tcPr>
            <w:tcW w:w="1625" w:type="pct"/>
            <w:noWrap/>
            <w:hideMark/>
          </w:tcPr>
          <w:p w14:paraId="4BA1A5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6F8D19B2" w14:textId="77777777" w:rsidTr="00100D6A">
        <w:trPr>
          <w:trHeight w:val="300"/>
        </w:trPr>
        <w:tc>
          <w:tcPr>
            <w:tcW w:w="287" w:type="pct"/>
            <w:noWrap/>
            <w:hideMark/>
          </w:tcPr>
          <w:p w14:paraId="30C3E4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18</w:t>
            </w:r>
          </w:p>
        </w:tc>
        <w:tc>
          <w:tcPr>
            <w:tcW w:w="1987" w:type="pct"/>
            <w:noWrap/>
            <w:hideMark/>
          </w:tcPr>
          <w:p w14:paraId="66280A1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Khaya senegalensis</w:t>
            </w:r>
            <w:r w:rsidRPr="0071728C">
              <w:rPr>
                <w:rFonts w:ascii="Arial" w:eastAsia="Calibri" w:hAnsi="Arial" w:cs="Arial"/>
                <w:bCs/>
                <w:lang w:val="fr-FR"/>
              </w:rPr>
              <w:t xml:space="preserve"> (Meliaceae)</w:t>
            </w:r>
          </w:p>
        </w:tc>
        <w:tc>
          <w:tcPr>
            <w:tcW w:w="1101" w:type="pct"/>
            <w:noWrap/>
            <w:hideMark/>
          </w:tcPr>
          <w:p w14:paraId="29175D3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05FA01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 or macerate</w:t>
            </w:r>
          </w:p>
        </w:tc>
      </w:tr>
      <w:tr w:rsidR="0071728C" w:rsidRPr="0071728C" w14:paraId="57748E6F" w14:textId="77777777" w:rsidTr="00100D6A">
        <w:trPr>
          <w:trHeight w:val="300"/>
        </w:trPr>
        <w:tc>
          <w:tcPr>
            <w:tcW w:w="287" w:type="pct"/>
            <w:noWrap/>
            <w:hideMark/>
          </w:tcPr>
          <w:p w14:paraId="131FBA3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19</w:t>
            </w:r>
          </w:p>
        </w:tc>
        <w:tc>
          <w:tcPr>
            <w:tcW w:w="1987" w:type="pct"/>
            <w:noWrap/>
            <w:hideMark/>
          </w:tcPr>
          <w:p w14:paraId="43380EF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i/>
                <w:lang w:val="fr-FR"/>
              </w:rPr>
            </w:pPr>
            <w:r w:rsidRPr="0071728C">
              <w:rPr>
                <w:rFonts w:ascii="Arial" w:eastAsia="Calibri" w:hAnsi="Arial" w:cs="Arial"/>
                <w:bCs/>
                <w:i/>
                <w:lang w:val="fr-FR"/>
              </w:rPr>
              <w:t xml:space="preserve">Acacia seyal </w:t>
            </w:r>
            <w:r w:rsidRPr="0071728C">
              <w:rPr>
                <w:rFonts w:ascii="Arial" w:eastAsia="Calibri" w:hAnsi="Arial" w:cs="Arial"/>
                <w:bCs/>
                <w:lang w:val="fr-FR"/>
              </w:rPr>
              <w:t>(Mimosaceae)</w:t>
            </w:r>
          </w:p>
        </w:tc>
        <w:tc>
          <w:tcPr>
            <w:tcW w:w="1101" w:type="pct"/>
            <w:noWrap/>
            <w:hideMark/>
          </w:tcPr>
          <w:p w14:paraId="58A3405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9E9552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D3BAB92" w14:textId="77777777" w:rsidTr="00100D6A">
        <w:trPr>
          <w:trHeight w:val="300"/>
        </w:trPr>
        <w:tc>
          <w:tcPr>
            <w:tcW w:w="287" w:type="pct"/>
            <w:noWrap/>
            <w:hideMark/>
          </w:tcPr>
          <w:p w14:paraId="2D892D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20</w:t>
            </w:r>
          </w:p>
        </w:tc>
        <w:tc>
          <w:tcPr>
            <w:tcW w:w="1987" w:type="pct"/>
            <w:noWrap/>
            <w:hideMark/>
          </w:tcPr>
          <w:p w14:paraId="029B381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Prosopis africana</w:t>
            </w:r>
            <w:r w:rsidRPr="0071728C">
              <w:rPr>
                <w:rFonts w:ascii="Arial" w:eastAsia="Calibri" w:hAnsi="Arial" w:cs="Arial"/>
                <w:bCs/>
                <w:lang w:val="fr-FR"/>
              </w:rPr>
              <w:t xml:space="preserve"> (Mimosaceae)</w:t>
            </w:r>
          </w:p>
        </w:tc>
        <w:tc>
          <w:tcPr>
            <w:tcW w:w="1101" w:type="pct"/>
            <w:noWrap/>
            <w:hideMark/>
          </w:tcPr>
          <w:p w14:paraId="17C48E4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and leaves</w:t>
            </w:r>
          </w:p>
        </w:tc>
        <w:tc>
          <w:tcPr>
            <w:tcW w:w="1625" w:type="pct"/>
            <w:noWrap/>
            <w:hideMark/>
          </w:tcPr>
          <w:p w14:paraId="6A92CF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 or macerate</w:t>
            </w:r>
          </w:p>
        </w:tc>
      </w:tr>
      <w:tr w:rsidR="0071728C" w:rsidRPr="0071728C" w14:paraId="15948390" w14:textId="77777777" w:rsidTr="00100D6A">
        <w:trPr>
          <w:trHeight w:val="300"/>
        </w:trPr>
        <w:tc>
          <w:tcPr>
            <w:tcW w:w="287" w:type="pct"/>
            <w:noWrap/>
            <w:hideMark/>
          </w:tcPr>
          <w:p w14:paraId="1531B25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21</w:t>
            </w:r>
          </w:p>
        </w:tc>
        <w:tc>
          <w:tcPr>
            <w:tcW w:w="1987" w:type="pct"/>
            <w:noWrap/>
            <w:hideMark/>
          </w:tcPr>
          <w:p w14:paraId="2E92A2B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glumosa</w:t>
            </w:r>
            <w:r w:rsidRPr="0071728C">
              <w:rPr>
                <w:rFonts w:ascii="Arial" w:eastAsia="Calibri" w:hAnsi="Arial" w:cs="Arial"/>
                <w:bCs/>
                <w:lang w:val="fr-FR"/>
              </w:rPr>
              <w:t xml:space="preserve"> (Moraceae)</w:t>
            </w:r>
          </w:p>
        </w:tc>
        <w:tc>
          <w:tcPr>
            <w:tcW w:w="1101" w:type="pct"/>
            <w:noWrap/>
            <w:hideMark/>
          </w:tcPr>
          <w:p w14:paraId="4A78554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056BD9F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82EFE69" w14:textId="77777777" w:rsidTr="00100D6A">
        <w:trPr>
          <w:trHeight w:val="300"/>
        </w:trPr>
        <w:tc>
          <w:tcPr>
            <w:tcW w:w="287" w:type="pct"/>
            <w:noWrap/>
            <w:hideMark/>
          </w:tcPr>
          <w:p w14:paraId="7D87E7B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22</w:t>
            </w:r>
          </w:p>
        </w:tc>
        <w:tc>
          <w:tcPr>
            <w:tcW w:w="1987" w:type="pct"/>
            <w:noWrap/>
            <w:hideMark/>
          </w:tcPr>
          <w:p w14:paraId="61D0CD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lutea</w:t>
            </w:r>
            <w:r w:rsidRPr="0071728C">
              <w:rPr>
                <w:rFonts w:ascii="Arial" w:eastAsia="Calibri" w:hAnsi="Arial" w:cs="Arial"/>
                <w:bCs/>
                <w:lang w:val="fr-FR"/>
              </w:rPr>
              <w:t xml:space="preserve"> (Moraceae)</w:t>
            </w:r>
          </w:p>
        </w:tc>
        <w:tc>
          <w:tcPr>
            <w:tcW w:w="1101" w:type="pct"/>
            <w:noWrap/>
            <w:hideMark/>
          </w:tcPr>
          <w:p w14:paraId="226ED48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10DC8D8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46C06749" w14:textId="77777777" w:rsidTr="00100D6A">
        <w:trPr>
          <w:trHeight w:val="300"/>
        </w:trPr>
        <w:tc>
          <w:tcPr>
            <w:tcW w:w="287" w:type="pct"/>
            <w:noWrap/>
            <w:hideMark/>
          </w:tcPr>
          <w:p w14:paraId="3DE2F81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23</w:t>
            </w:r>
          </w:p>
        </w:tc>
        <w:tc>
          <w:tcPr>
            <w:tcW w:w="1987" w:type="pct"/>
            <w:noWrap/>
            <w:hideMark/>
          </w:tcPr>
          <w:p w14:paraId="475413D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sycomorus</w:t>
            </w:r>
            <w:r w:rsidRPr="0071728C">
              <w:rPr>
                <w:rFonts w:ascii="Arial" w:eastAsia="Calibri" w:hAnsi="Arial" w:cs="Arial"/>
                <w:bCs/>
                <w:lang w:val="fr-FR"/>
              </w:rPr>
              <w:t xml:space="preserve"> (Moraceae)</w:t>
            </w:r>
          </w:p>
        </w:tc>
        <w:tc>
          <w:tcPr>
            <w:tcW w:w="1101" w:type="pct"/>
            <w:noWrap/>
            <w:hideMark/>
          </w:tcPr>
          <w:p w14:paraId="7F8B2E7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or roots</w:t>
            </w:r>
          </w:p>
        </w:tc>
        <w:tc>
          <w:tcPr>
            <w:tcW w:w="1625" w:type="pct"/>
            <w:noWrap/>
            <w:hideMark/>
          </w:tcPr>
          <w:p w14:paraId="1982B75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 or macerate</w:t>
            </w:r>
          </w:p>
        </w:tc>
      </w:tr>
      <w:tr w:rsidR="0071728C" w:rsidRPr="0071728C" w14:paraId="2573B33F" w14:textId="77777777" w:rsidTr="00100D6A">
        <w:trPr>
          <w:trHeight w:val="300"/>
        </w:trPr>
        <w:tc>
          <w:tcPr>
            <w:tcW w:w="287" w:type="pct"/>
            <w:noWrap/>
            <w:hideMark/>
          </w:tcPr>
          <w:p w14:paraId="5E473DD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24</w:t>
            </w:r>
          </w:p>
        </w:tc>
        <w:tc>
          <w:tcPr>
            <w:tcW w:w="1987" w:type="pct"/>
            <w:noWrap/>
            <w:hideMark/>
          </w:tcPr>
          <w:p w14:paraId="6E1BAD7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thonningii</w:t>
            </w:r>
            <w:r w:rsidRPr="0071728C">
              <w:rPr>
                <w:rFonts w:ascii="Arial" w:eastAsia="Calibri" w:hAnsi="Arial" w:cs="Arial"/>
                <w:bCs/>
                <w:lang w:val="fr-FR"/>
              </w:rPr>
              <w:t xml:space="preserve"> (Moraceae)</w:t>
            </w:r>
          </w:p>
        </w:tc>
        <w:tc>
          <w:tcPr>
            <w:tcW w:w="1101" w:type="pct"/>
            <w:noWrap/>
            <w:hideMark/>
          </w:tcPr>
          <w:p w14:paraId="36DB1BC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EC48D7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 or macerate</w:t>
            </w:r>
          </w:p>
        </w:tc>
      </w:tr>
      <w:tr w:rsidR="0071728C" w:rsidRPr="0071728C" w14:paraId="14B4C4A2" w14:textId="77777777" w:rsidTr="00100D6A">
        <w:trPr>
          <w:trHeight w:val="300"/>
        </w:trPr>
        <w:tc>
          <w:tcPr>
            <w:tcW w:w="287" w:type="pct"/>
            <w:noWrap/>
            <w:hideMark/>
          </w:tcPr>
          <w:p w14:paraId="62B0476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25</w:t>
            </w:r>
          </w:p>
        </w:tc>
        <w:tc>
          <w:tcPr>
            <w:tcW w:w="1987" w:type="pct"/>
            <w:noWrap/>
            <w:hideMark/>
          </w:tcPr>
          <w:p w14:paraId="1FAF70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Ximenia americana</w:t>
            </w:r>
            <w:r w:rsidRPr="0071728C">
              <w:rPr>
                <w:rFonts w:ascii="Arial" w:eastAsia="Calibri" w:hAnsi="Arial" w:cs="Arial"/>
                <w:bCs/>
                <w:lang w:val="fr-FR"/>
              </w:rPr>
              <w:t xml:space="preserve"> (Olacaceae)</w:t>
            </w:r>
          </w:p>
        </w:tc>
        <w:tc>
          <w:tcPr>
            <w:tcW w:w="1101" w:type="pct"/>
            <w:noWrap/>
            <w:hideMark/>
          </w:tcPr>
          <w:p w14:paraId="286BF50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50A2E84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6104DCC7" w14:textId="77777777" w:rsidTr="00100D6A">
        <w:trPr>
          <w:trHeight w:val="300"/>
        </w:trPr>
        <w:tc>
          <w:tcPr>
            <w:tcW w:w="287" w:type="pct"/>
            <w:noWrap/>
            <w:hideMark/>
          </w:tcPr>
          <w:p w14:paraId="75E8251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26</w:t>
            </w:r>
          </w:p>
        </w:tc>
        <w:tc>
          <w:tcPr>
            <w:tcW w:w="1987" w:type="pct"/>
            <w:noWrap/>
            <w:hideMark/>
          </w:tcPr>
          <w:p w14:paraId="65E48E1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Ziziphus mauritiana</w:t>
            </w:r>
            <w:r w:rsidRPr="0071728C">
              <w:rPr>
                <w:rFonts w:ascii="Arial" w:eastAsia="Calibri" w:hAnsi="Arial" w:cs="Arial"/>
                <w:bCs/>
                <w:lang w:val="fr-FR"/>
              </w:rPr>
              <w:t xml:space="preserve"> (Rhamnaceae)</w:t>
            </w:r>
          </w:p>
        </w:tc>
        <w:tc>
          <w:tcPr>
            <w:tcW w:w="1101" w:type="pct"/>
            <w:noWrap/>
            <w:hideMark/>
          </w:tcPr>
          <w:p w14:paraId="0C2C105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Fruit</w:t>
            </w:r>
          </w:p>
        </w:tc>
        <w:tc>
          <w:tcPr>
            <w:tcW w:w="1625" w:type="pct"/>
            <w:noWrap/>
            <w:hideMark/>
          </w:tcPr>
          <w:p w14:paraId="117C1A2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Consume when ripe</w:t>
            </w:r>
          </w:p>
        </w:tc>
      </w:tr>
      <w:tr w:rsidR="0071728C" w:rsidRPr="0071728C" w14:paraId="1D0F4225" w14:textId="77777777" w:rsidTr="00100D6A">
        <w:trPr>
          <w:trHeight w:val="300"/>
        </w:trPr>
        <w:tc>
          <w:tcPr>
            <w:tcW w:w="287" w:type="pct"/>
            <w:noWrap/>
            <w:hideMark/>
          </w:tcPr>
          <w:p w14:paraId="1296B37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27</w:t>
            </w:r>
          </w:p>
        </w:tc>
        <w:tc>
          <w:tcPr>
            <w:tcW w:w="1987" w:type="pct"/>
            <w:noWrap/>
            <w:hideMark/>
          </w:tcPr>
          <w:p w14:paraId="3A7052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Gardenia ternifolia</w:t>
            </w:r>
            <w:r w:rsidRPr="0071728C">
              <w:rPr>
                <w:rFonts w:ascii="Arial" w:eastAsia="Calibri" w:hAnsi="Arial" w:cs="Arial"/>
                <w:bCs/>
                <w:lang w:val="fr-FR"/>
              </w:rPr>
              <w:t xml:space="preserve"> (Rubiaceae)</w:t>
            </w:r>
          </w:p>
        </w:tc>
        <w:tc>
          <w:tcPr>
            <w:tcW w:w="1101" w:type="pct"/>
            <w:noWrap/>
            <w:hideMark/>
          </w:tcPr>
          <w:p w14:paraId="022613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9CD1E4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AF12102" w14:textId="77777777" w:rsidTr="00100D6A">
        <w:trPr>
          <w:trHeight w:val="300"/>
        </w:trPr>
        <w:tc>
          <w:tcPr>
            <w:tcW w:w="287" w:type="pct"/>
            <w:noWrap/>
            <w:hideMark/>
          </w:tcPr>
          <w:p w14:paraId="6D69405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lastRenderedPageBreak/>
              <w:t>28</w:t>
            </w:r>
          </w:p>
        </w:tc>
        <w:tc>
          <w:tcPr>
            <w:tcW w:w="1987" w:type="pct"/>
            <w:noWrap/>
            <w:hideMark/>
          </w:tcPr>
          <w:p w14:paraId="79D5984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Lepisanthes senegalensis</w:t>
            </w:r>
            <w:r w:rsidRPr="0071728C">
              <w:rPr>
                <w:rFonts w:ascii="Arial" w:eastAsia="Calibri" w:hAnsi="Arial" w:cs="Arial"/>
                <w:bCs/>
                <w:lang w:val="fr-FR"/>
              </w:rPr>
              <w:t xml:space="preserve"> (Sapindaceae)</w:t>
            </w:r>
          </w:p>
        </w:tc>
        <w:tc>
          <w:tcPr>
            <w:tcW w:w="1101" w:type="pct"/>
            <w:noWrap/>
            <w:hideMark/>
          </w:tcPr>
          <w:p w14:paraId="123F3E5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1F47A77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bl>
    <w:p w14:paraId="7C8E3332" w14:textId="2141A8B7" w:rsidR="00D54D20" w:rsidRPr="0026771D" w:rsidRDefault="00D54D20" w:rsidP="00A13EE0">
      <w:pPr>
        <w:autoSpaceDE w:val="0"/>
        <w:autoSpaceDN w:val="0"/>
        <w:adjustRightInd w:val="0"/>
        <w:spacing w:before="120" w:after="120" w:line="360" w:lineRule="auto"/>
        <w:jc w:val="both"/>
        <w:rPr>
          <w:rFonts w:ascii="Arial" w:eastAsia="Calibri" w:hAnsi="Arial" w:cs="Arial"/>
          <w:bCs/>
        </w:rPr>
      </w:pPr>
    </w:p>
    <w:p w14:paraId="35B19988" w14:textId="4ACA9214" w:rsidR="002A7E67" w:rsidRPr="0026771D" w:rsidRDefault="001755A2"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For all of the plants listed, we noted greater use of the barks (41%) leaves (21%) and roots (21%). Other parts of plants used include root and/or trunk bark, fruit, petals, the whole plant, sap or juice (17%). The figure 5 shows the distribution according to the parts of plants used.</w:t>
      </w:r>
    </w:p>
    <w:p w14:paraId="4B239DD1" w14:textId="2B7DC93A" w:rsidR="001755A2" w:rsidRPr="0026771D" w:rsidRDefault="001755A2"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noProof/>
        </w:rPr>
        <w:drawing>
          <wp:inline distT="0" distB="0" distL="0" distR="0" wp14:anchorId="7A3B416A" wp14:editId="0FDD2345">
            <wp:extent cx="4584700" cy="2444750"/>
            <wp:effectExtent l="0" t="0" r="6350" b="0"/>
            <wp:docPr id="184466439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444750"/>
                    </a:xfrm>
                    <a:prstGeom prst="rect">
                      <a:avLst/>
                    </a:prstGeom>
                    <a:noFill/>
                    <a:ln>
                      <a:noFill/>
                    </a:ln>
                  </pic:spPr>
                </pic:pic>
              </a:graphicData>
            </a:graphic>
          </wp:inline>
        </w:drawing>
      </w:r>
    </w:p>
    <w:p w14:paraId="7D2BFE94" w14:textId="7A9AFC69" w:rsidR="000D52F4" w:rsidRPr="00A13EE0" w:rsidRDefault="000D52F4" w:rsidP="00A13EE0">
      <w:pPr>
        <w:autoSpaceDE w:val="0"/>
        <w:autoSpaceDN w:val="0"/>
        <w:adjustRightInd w:val="0"/>
        <w:spacing w:before="120" w:after="120" w:line="360" w:lineRule="auto"/>
        <w:jc w:val="both"/>
        <w:rPr>
          <w:rFonts w:ascii="Arial" w:eastAsia="Calibri" w:hAnsi="Arial" w:cs="Arial"/>
          <w:b/>
        </w:rPr>
      </w:pPr>
      <w:r w:rsidRPr="00A13EE0">
        <w:rPr>
          <w:rFonts w:ascii="Arial" w:eastAsia="Calibri" w:hAnsi="Arial" w:cs="Arial"/>
          <w:b/>
        </w:rPr>
        <w:t>Fig.5. Distribution according to the parts of plants used.</w:t>
      </w:r>
    </w:p>
    <w:p w14:paraId="2427F5AF" w14:textId="0A27D857" w:rsidR="000D52F4" w:rsidRPr="0026771D" w:rsidRDefault="000D52F4"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With regard to preparations, decoctions (43%) was used most frequently, followed by infusions</w:t>
      </w:r>
      <w:r w:rsidR="00EA7736" w:rsidRPr="0026771D">
        <w:rPr>
          <w:rFonts w:ascii="Arial" w:eastAsia="Calibri" w:hAnsi="Arial" w:cs="Arial"/>
          <w:bCs/>
        </w:rPr>
        <w:t xml:space="preserve"> (36%)</w:t>
      </w:r>
      <w:r w:rsidRPr="0026771D">
        <w:rPr>
          <w:rFonts w:ascii="Arial" w:eastAsia="Calibri" w:hAnsi="Arial" w:cs="Arial"/>
          <w:bCs/>
        </w:rPr>
        <w:t>, then macerations</w:t>
      </w:r>
      <w:r w:rsidR="00EA7736" w:rsidRPr="0026771D">
        <w:rPr>
          <w:rFonts w:ascii="Arial" w:eastAsia="Calibri" w:hAnsi="Arial" w:cs="Arial"/>
          <w:bCs/>
        </w:rPr>
        <w:t xml:space="preserve"> (19%)</w:t>
      </w:r>
      <w:r w:rsidRPr="0026771D">
        <w:rPr>
          <w:rFonts w:ascii="Arial" w:eastAsia="Calibri" w:hAnsi="Arial" w:cs="Arial"/>
          <w:bCs/>
        </w:rPr>
        <w:t>, and finally other methods</w:t>
      </w:r>
      <w:r w:rsidR="00EA7736" w:rsidRPr="0026771D">
        <w:rPr>
          <w:rFonts w:ascii="Arial" w:eastAsia="Calibri" w:hAnsi="Arial" w:cs="Arial"/>
          <w:bCs/>
        </w:rPr>
        <w:t xml:space="preserve"> (2%)</w:t>
      </w:r>
      <w:r w:rsidRPr="0026771D">
        <w:rPr>
          <w:rFonts w:ascii="Arial" w:eastAsia="Calibri" w:hAnsi="Arial" w:cs="Arial"/>
          <w:bCs/>
        </w:rPr>
        <w:t>.</w:t>
      </w:r>
      <w:r w:rsidR="00EA7736" w:rsidRPr="0026771D">
        <w:rPr>
          <w:rFonts w:ascii="Arial" w:eastAsia="Calibri" w:hAnsi="Arial" w:cs="Arial"/>
          <w:bCs/>
        </w:rPr>
        <w:t xml:space="preserve"> The figure 6 shows the distribution tu the parts of plants used.</w:t>
      </w:r>
    </w:p>
    <w:p w14:paraId="145A4BA8" w14:textId="77777777" w:rsidR="000D52F4" w:rsidRPr="0026771D" w:rsidRDefault="000D52F4" w:rsidP="00A13EE0">
      <w:pPr>
        <w:autoSpaceDE w:val="0"/>
        <w:autoSpaceDN w:val="0"/>
        <w:adjustRightInd w:val="0"/>
        <w:spacing w:before="120" w:after="120" w:line="360" w:lineRule="auto"/>
        <w:jc w:val="both"/>
        <w:rPr>
          <w:rFonts w:ascii="Arial" w:eastAsia="Calibri" w:hAnsi="Arial" w:cs="Arial"/>
          <w:bCs/>
        </w:rPr>
      </w:pPr>
      <w:r w:rsidRPr="0026771D">
        <w:rPr>
          <w:rFonts w:ascii="Arial" w:hAnsi="Arial" w:cs="Arial"/>
          <w:noProof/>
        </w:rPr>
        <w:drawing>
          <wp:inline distT="0" distB="0" distL="0" distR="0" wp14:anchorId="711C95F3" wp14:editId="27E1DABA">
            <wp:extent cx="4502150" cy="2413000"/>
            <wp:effectExtent l="0" t="0" r="12700" b="6350"/>
            <wp:docPr id="27747774" name="Graphique 1">
              <a:extLst xmlns:a="http://schemas.openxmlformats.org/drawingml/2006/main">
                <a:ext uri="{FF2B5EF4-FFF2-40B4-BE49-F238E27FC236}">
                  <a16:creationId xmlns:a16="http://schemas.microsoft.com/office/drawing/2014/main" id="{01E17FC3-D5FC-AA4C-A5F9-B109A941DF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6771D">
        <w:rPr>
          <w:rFonts w:ascii="Arial" w:eastAsia="Calibri" w:hAnsi="Arial" w:cs="Arial"/>
          <w:bCs/>
        </w:rPr>
        <w:t xml:space="preserve"> </w:t>
      </w:r>
    </w:p>
    <w:p w14:paraId="0B822621" w14:textId="2EAE9E25" w:rsidR="000D52F4" w:rsidRPr="00A13EE0" w:rsidRDefault="000D52F4" w:rsidP="00A13EE0">
      <w:pPr>
        <w:autoSpaceDE w:val="0"/>
        <w:autoSpaceDN w:val="0"/>
        <w:adjustRightInd w:val="0"/>
        <w:spacing w:before="120" w:after="120" w:line="360" w:lineRule="auto"/>
        <w:jc w:val="both"/>
        <w:rPr>
          <w:rFonts w:ascii="Arial" w:eastAsia="Calibri" w:hAnsi="Arial" w:cs="Arial"/>
          <w:b/>
        </w:rPr>
      </w:pPr>
      <w:r w:rsidRPr="00A13EE0">
        <w:rPr>
          <w:rFonts w:ascii="Arial" w:eastAsia="Calibri" w:hAnsi="Arial" w:cs="Arial"/>
          <w:b/>
        </w:rPr>
        <w:t>Fig. 6. Distribution according to the parts of plants used.</w:t>
      </w:r>
    </w:p>
    <w:p w14:paraId="37D6D0C8" w14:textId="1AFD81C7" w:rsidR="000D52F4" w:rsidRPr="0026771D" w:rsidRDefault="000D52F4" w:rsidP="00A13EE0">
      <w:pPr>
        <w:autoSpaceDE w:val="0"/>
        <w:autoSpaceDN w:val="0"/>
        <w:adjustRightInd w:val="0"/>
        <w:spacing w:before="120" w:after="120" w:line="360" w:lineRule="auto"/>
        <w:jc w:val="both"/>
        <w:rPr>
          <w:rFonts w:ascii="Arial" w:eastAsia="Calibri" w:hAnsi="Arial" w:cs="Arial"/>
          <w:b/>
        </w:rPr>
      </w:pPr>
    </w:p>
    <w:p w14:paraId="6A302EA9" w14:textId="2A5C5649" w:rsidR="00F940FF" w:rsidRPr="0026771D" w:rsidRDefault="00556597" w:rsidP="00A13EE0">
      <w:pPr>
        <w:pStyle w:val="ListParagraph"/>
        <w:numPr>
          <w:ilvl w:val="0"/>
          <w:numId w:val="15"/>
        </w:numPr>
        <w:spacing w:line="360" w:lineRule="auto"/>
        <w:rPr>
          <w:rFonts w:ascii="Arial" w:hAnsi="Arial" w:cs="Arial"/>
          <w:b/>
          <w:bCs/>
          <w:sz w:val="24"/>
          <w:szCs w:val="24"/>
        </w:rPr>
      </w:pPr>
      <w:r w:rsidRPr="0026771D">
        <w:rPr>
          <w:rFonts w:ascii="Arial" w:hAnsi="Arial" w:cs="Arial"/>
          <w:b/>
          <w:bCs/>
          <w:sz w:val="24"/>
          <w:szCs w:val="24"/>
        </w:rPr>
        <w:t>Discussion</w:t>
      </w:r>
    </w:p>
    <w:p w14:paraId="6B4B2864" w14:textId="77777777" w:rsidR="00E779B8" w:rsidRPr="0026771D" w:rsidRDefault="00E779B8" w:rsidP="00A13EE0">
      <w:pPr>
        <w:autoSpaceDE w:val="0"/>
        <w:autoSpaceDN w:val="0"/>
        <w:adjustRightInd w:val="0"/>
        <w:spacing w:before="120" w:after="120" w:line="360" w:lineRule="auto"/>
        <w:jc w:val="both"/>
        <w:rPr>
          <w:rFonts w:ascii="Arial" w:eastAsia="Calibri" w:hAnsi="Arial" w:cs="Arial"/>
        </w:rPr>
      </w:pPr>
      <w:r w:rsidRPr="0026771D">
        <w:rPr>
          <w:rFonts w:ascii="Arial" w:eastAsia="Calibri" w:hAnsi="Arial" w:cs="Arial"/>
        </w:rPr>
        <w:t xml:space="preserve">Our survey was conducted in the regions of Casamance, Fatick and Kaolack. </w:t>
      </w:r>
    </w:p>
    <w:p w14:paraId="34E54E88" w14:textId="2184168F" w:rsidR="008F5A82" w:rsidRPr="0026771D" w:rsidRDefault="00E779B8" w:rsidP="00A13EE0">
      <w:pPr>
        <w:autoSpaceDE w:val="0"/>
        <w:autoSpaceDN w:val="0"/>
        <w:adjustRightInd w:val="0"/>
        <w:spacing w:before="120" w:after="120" w:line="360" w:lineRule="auto"/>
        <w:jc w:val="both"/>
        <w:rPr>
          <w:rFonts w:ascii="Arial" w:eastAsia="Calibri" w:hAnsi="Arial" w:cs="Arial"/>
        </w:rPr>
      </w:pPr>
      <w:r w:rsidRPr="0026771D">
        <w:rPr>
          <w:rFonts w:ascii="Arial" w:eastAsia="Calibri" w:hAnsi="Arial" w:cs="Arial"/>
        </w:rPr>
        <w:t>This study reports that 98% of respondents were men. The same predominance is found in surveys conducted by Diatta (2024)</w:t>
      </w:r>
      <w:r w:rsidR="0071728C" w:rsidRPr="0026771D">
        <w:rPr>
          <w:rFonts w:ascii="Arial" w:eastAsia="Calibri" w:hAnsi="Arial" w:cs="Arial"/>
        </w:rPr>
        <w:t xml:space="preserve"> </w:t>
      </w:r>
      <w:r w:rsidR="0071728C" w:rsidRPr="0026771D">
        <w:rPr>
          <w:rFonts w:ascii="Arial" w:eastAsia="Calibri" w:hAnsi="Arial" w:cs="Arial"/>
          <w:noProof/>
          <w:lang w:val="fr-FR"/>
        </w:rPr>
        <w:t>[10</w:t>
      </w:r>
      <w:proofErr w:type="gramStart"/>
      <w:r w:rsidR="0071728C" w:rsidRPr="0026771D">
        <w:rPr>
          <w:rFonts w:ascii="Arial" w:eastAsia="Calibri" w:hAnsi="Arial" w:cs="Arial"/>
          <w:noProof/>
          <w:lang w:val="fr-FR"/>
        </w:rPr>
        <w:t>]</w:t>
      </w:r>
      <w:r w:rsidR="0071728C" w:rsidRPr="0026771D">
        <w:rPr>
          <w:rFonts w:ascii="Arial" w:eastAsia="Calibri" w:hAnsi="Arial" w:cs="Arial"/>
        </w:rPr>
        <w:t xml:space="preserve"> </w:t>
      </w:r>
      <w:r w:rsidRPr="0026771D">
        <w:rPr>
          <w:rFonts w:ascii="Arial" w:eastAsia="Calibri" w:hAnsi="Arial" w:cs="Arial"/>
        </w:rPr>
        <w:t>,</w:t>
      </w:r>
      <w:proofErr w:type="gramEnd"/>
      <w:r w:rsidRPr="0026771D">
        <w:rPr>
          <w:rFonts w:ascii="Arial" w:eastAsia="Calibri" w:hAnsi="Arial" w:cs="Arial"/>
        </w:rPr>
        <w:t xml:space="preserve"> who recorded 72% men in his study population. This can be explained by the fact that it is rare for women to inherit traditional knowledge. </w:t>
      </w:r>
    </w:p>
    <w:p w14:paraId="269D8717" w14:textId="001A77F1" w:rsidR="00053623" w:rsidRPr="0026771D" w:rsidRDefault="006341CF" w:rsidP="00A13EE0">
      <w:pPr>
        <w:autoSpaceDE w:val="0"/>
        <w:autoSpaceDN w:val="0"/>
        <w:adjustRightInd w:val="0"/>
        <w:spacing w:before="120" w:after="120" w:line="360" w:lineRule="auto"/>
        <w:jc w:val="both"/>
        <w:rPr>
          <w:rStyle w:val="y2iqfc"/>
          <w:rFonts w:ascii="Arial" w:eastAsia="Calibri" w:hAnsi="Arial" w:cs="Arial"/>
        </w:rPr>
      </w:pPr>
      <w:r w:rsidRPr="0026771D">
        <w:rPr>
          <w:rFonts w:ascii="Arial" w:eastAsia="Calibri" w:hAnsi="Arial" w:cs="Arial"/>
        </w:rPr>
        <w:t>With regard to the actors, whether herbalists or traditional practitioners, all age groups were represented, with a minimum age of 24 and a maximum age of 91. The majority of traditional practitioners were over 40 years old. A study conducted by Diatta (2024)</w:t>
      </w:r>
      <w:r w:rsidR="0009013B" w:rsidRPr="0026771D">
        <w:rPr>
          <w:rFonts w:ascii="Arial" w:eastAsia="Calibri" w:hAnsi="Arial" w:cs="Arial"/>
        </w:rPr>
        <w:t xml:space="preserve"> </w:t>
      </w:r>
      <w:r w:rsidR="0009013B" w:rsidRPr="0026771D">
        <w:rPr>
          <w:rFonts w:ascii="Arial" w:eastAsia="Calibri" w:hAnsi="Arial" w:cs="Arial"/>
          <w:noProof/>
          <w:lang w:val="fr-FR"/>
        </w:rPr>
        <w:t>[10</w:t>
      </w:r>
      <w:proofErr w:type="gramStart"/>
      <w:r w:rsidR="0009013B" w:rsidRPr="0026771D">
        <w:rPr>
          <w:rFonts w:ascii="Arial" w:eastAsia="Calibri" w:hAnsi="Arial" w:cs="Arial"/>
          <w:noProof/>
          <w:lang w:val="fr-FR"/>
        </w:rPr>
        <w:t>]</w:t>
      </w:r>
      <w:r w:rsidR="0009013B" w:rsidRPr="0026771D">
        <w:rPr>
          <w:rFonts w:ascii="Arial" w:eastAsia="Calibri" w:hAnsi="Arial" w:cs="Arial"/>
        </w:rPr>
        <w:t xml:space="preserve"> </w:t>
      </w:r>
      <w:r w:rsidRPr="0026771D">
        <w:rPr>
          <w:rFonts w:ascii="Arial" w:eastAsia="Calibri" w:hAnsi="Arial" w:cs="Arial"/>
        </w:rPr>
        <w:t xml:space="preserve"> on</w:t>
      </w:r>
      <w:proofErr w:type="gramEnd"/>
      <w:r w:rsidRPr="0026771D">
        <w:rPr>
          <w:rFonts w:ascii="Arial" w:eastAsia="Calibri" w:hAnsi="Arial" w:cs="Arial"/>
        </w:rPr>
        <w:t xml:space="preserve"> antidiabetic plants reveals a predominance of people over 40 years of age, accounting for 46.66%. This shows that the transmission of traditional knowledge and authorisation to practise occur late in life, as they often only take effect after the death of the legator or in old age. The study showed that </w:t>
      </w:r>
      <w:r w:rsidRPr="0026771D">
        <w:rPr>
          <w:rFonts w:ascii="Arial" w:eastAsia="Calibri" w:hAnsi="Arial" w:cs="Arial"/>
          <w:i/>
          <w:iCs/>
        </w:rPr>
        <w:t>Pterocarpus erinaceus</w:t>
      </w:r>
      <w:r w:rsidRPr="0026771D">
        <w:rPr>
          <w:rFonts w:ascii="Arial" w:eastAsia="Calibri" w:hAnsi="Arial" w:cs="Arial"/>
        </w:rPr>
        <w:t xml:space="preserve"> was the most commonly used plant for treating anaemia, cited by 14 out of 30 respondents in Casamance and 16 out of 46 respondents in Sine-Saloum.</w:t>
      </w:r>
      <w:r w:rsidR="00207AAE" w:rsidRPr="0026771D">
        <w:rPr>
          <w:rFonts w:ascii="Arial" w:hAnsi="Arial" w:cs="Arial"/>
        </w:rPr>
        <w:t xml:space="preserve"> </w:t>
      </w:r>
      <w:r w:rsidR="00207AAE" w:rsidRPr="0026771D">
        <w:rPr>
          <w:rFonts w:ascii="Arial" w:eastAsia="Calibri" w:hAnsi="Arial" w:cs="Arial"/>
        </w:rPr>
        <w:t xml:space="preserve">Oral administration of 250 and 500mg/kg body weight of aqueous and ethanolic extract of </w:t>
      </w:r>
      <w:r w:rsidR="00207AAE" w:rsidRPr="00A13EE0">
        <w:rPr>
          <w:rFonts w:ascii="Arial" w:eastAsia="Calibri" w:hAnsi="Arial" w:cs="Arial"/>
          <w:i/>
          <w:iCs/>
        </w:rPr>
        <w:t>Pterocarpus erinaceus</w:t>
      </w:r>
      <w:r w:rsidR="00207AAE" w:rsidRPr="0026771D">
        <w:rPr>
          <w:rFonts w:ascii="Arial" w:eastAsia="Calibri" w:hAnsi="Arial" w:cs="Arial"/>
        </w:rPr>
        <w:t xml:space="preserve"> stem bark shows significant increase (p&gt;0.05) in haematological parameters, haematological indices and immunological parameters </w:t>
      </w:r>
      <w:r w:rsidR="0009013B" w:rsidRPr="0026771D">
        <w:rPr>
          <w:rFonts w:ascii="Arial" w:eastAsia="Calibri" w:hAnsi="Arial" w:cs="Arial"/>
          <w:noProof/>
          <w:lang w:val="fr-FR"/>
        </w:rPr>
        <w:t>[11]</w:t>
      </w:r>
      <w:r w:rsidR="00603CE2" w:rsidRPr="0026771D">
        <w:rPr>
          <w:rFonts w:ascii="Arial" w:eastAsia="Calibri" w:hAnsi="Arial" w:cs="Arial"/>
        </w:rPr>
        <w:t xml:space="preserve">, </w:t>
      </w:r>
      <w:r w:rsidR="00207AAE" w:rsidRPr="0026771D">
        <w:rPr>
          <w:rFonts w:ascii="Arial" w:eastAsia="Calibri" w:hAnsi="Arial" w:cs="Arial"/>
          <w:bCs/>
        </w:rPr>
        <w:t xml:space="preserve">which shows that </w:t>
      </w:r>
      <w:r w:rsidR="00207AAE" w:rsidRPr="0026771D">
        <w:rPr>
          <w:rFonts w:ascii="Arial" w:eastAsia="Calibri" w:hAnsi="Arial" w:cs="Arial"/>
          <w:bCs/>
          <w:i/>
          <w:iCs/>
        </w:rPr>
        <w:t>Pterocarpus erinaceus</w:t>
      </w:r>
      <w:r w:rsidR="00207AAE" w:rsidRPr="0026771D">
        <w:rPr>
          <w:rFonts w:ascii="Arial" w:eastAsia="Calibri" w:hAnsi="Arial" w:cs="Arial"/>
          <w:bCs/>
        </w:rPr>
        <w:t xml:space="preserve"> may have anti-anaemic properties</w:t>
      </w:r>
      <w:r w:rsidR="00FB4C3E" w:rsidRPr="0026771D">
        <w:rPr>
          <w:rFonts w:ascii="Arial" w:eastAsia="Calibri" w:hAnsi="Arial" w:cs="Arial"/>
          <w:bCs/>
        </w:rPr>
        <w:t>.</w:t>
      </w:r>
      <w:r w:rsidR="00BA282A" w:rsidRPr="0026771D">
        <w:rPr>
          <w:rFonts w:ascii="Arial" w:eastAsia="Calibri" w:hAnsi="Arial" w:cs="Arial"/>
          <w:bCs/>
        </w:rPr>
        <w:t xml:space="preserve"> </w:t>
      </w:r>
      <w:r w:rsidR="00207AAE" w:rsidRPr="0026771D">
        <w:rPr>
          <w:rFonts w:ascii="Arial" w:eastAsia="Calibri" w:hAnsi="Arial" w:cs="Arial"/>
          <w:bCs/>
        </w:rPr>
        <w:t xml:space="preserve">In vivo studies in an anemic rat model demonstrated restoration of hematological parameters and improvement in organ histology, suggesting the efficacy of the developed PHF through erythropoiesis, iron regulation, and oxidative stress reduction </w:t>
      </w:r>
      <w:r w:rsidR="0009013B" w:rsidRPr="0026771D">
        <w:rPr>
          <w:rFonts w:ascii="Arial" w:eastAsia="Calibri" w:hAnsi="Arial" w:cs="Arial"/>
          <w:noProof/>
          <w:lang w:val="fr-FR"/>
        </w:rPr>
        <w:t>[12]</w:t>
      </w:r>
      <w:r w:rsidR="00603CE2" w:rsidRPr="0026771D">
        <w:rPr>
          <w:rFonts w:ascii="Arial" w:eastAsia="Calibri" w:hAnsi="Arial" w:cs="Arial"/>
        </w:rPr>
        <w:t>.</w:t>
      </w:r>
    </w:p>
    <w:p w14:paraId="3A5A0733" w14:textId="4C8ABA7B" w:rsidR="00C43F68" w:rsidRPr="0026771D" w:rsidRDefault="00C43F68" w:rsidP="00A13EE0">
      <w:pPr>
        <w:pStyle w:val="HTMLPreformatted"/>
        <w:spacing w:line="360" w:lineRule="auto"/>
        <w:jc w:val="both"/>
        <w:rPr>
          <w:rStyle w:val="y2iqfc"/>
          <w:rFonts w:ascii="Arial" w:hAnsi="Arial" w:cs="Arial"/>
          <w:color w:val="202124"/>
          <w:sz w:val="24"/>
          <w:szCs w:val="24"/>
          <w:lang w:val="fr-FR"/>
        </w:rPr>
      </w:pPr>
      <w:bookmarkStart w:id="5" w:name="_Hlk209190857"/>
      <w:bookmarkStart w:id="6" w:name="_Hlk209189982"/>
      <w:r w:rsidRPr="0026771D">
        <w:rPr>
          <w:rStyle w:val="y2iqfc"/>
          <w:rFonts w:ascii="Arial" w:hAnsi="Arial" w:cs="Arial"/>
          <w:color w:val="202124"/>
          <w:sz w:val="24"/>
          <w:szCs w:val="24"/>
          <w:lang w:val="fr-FR"/>
        </w:rPr>
        <w:t xml:space="preserve">However, anaemia in HIV infection is often inflammatory in nature </w:t>
      </w:r>
      <w:r w:rsidR="0009013B" w:rsidRPr="0026771D">
        <w:rPr>
          <w:rFonts w:ascii="Arial" w:eastAsia="Calibri" w:hAnsi="Arial" w:cs="Arial"/>
          <w:noProof/>
          <w:sz w:val="24"/>
          <w:szCs w:val="24"/>
          <w:lang w:val="fr-FR"/>
        </w:rPr>
        <w:t>[13</w:t>
      </w:r>
      <w:r w:rsidR="00603CE2" w:rsidRPr="0026771D">
        <w:rPr>
          <w:rFonts w:ascii="Arial" w:eastAsia="Calibri" w:hAnsi="Arial" w:cs="Arial"/>
          <w:noProof/>
          <w:sz w:val="24"/>
          <w:szCs w:val="24"/>
          <w:lang w:val="fr-FR"/>
        </w:rPr>
        <w:t xml:space="preserve">. </w:t>
      </w:r>
      <w:r w:rsidRPr="0026771D">
        <w:rPr>
          <w:rStyle w:val="y2iqfc"/>
          <w:rFonts w:ascii="Arial" w:hAnsi="Arial" w:cs="Arial"/>
          <w:color w:val="202124"/>
          <w:sz w:val="24"/>
          <w:szCs w:val="24"/>
          <w:lang w:val="fr-FR"/>
        </w:rPr>
        <w:t xml:space="preserve">The anti-anaemic action of </w:t>
      </w:r>
      <w:r w:rsidRPr="0026771D">
        <w:rPr>
          <w:rStyle w:val="y2iqfc"/>
          <w:rFonts w:ascii="Arial" w:hAnsi="Arial" w:cs="Arial"/>
          <w:i/>
          <w:iCs/>
          <w:color w:val="202124"/>
          <w:sz w:val="24"/>
          <w:szCs w:val="24"/>
          <w:lang w:val="fr-FR"/>
        </w:rPr>
        <w:t>Pterocarpus erinaceus</w:t>
      </w:r>
      <w:r w:rsidRPr="0026771D">
        <w:rPr>
          <w:rStyle w:val="y2iqfc"/>
          <w:rFonts w:ascii="Arial" w:hAnsi="Arial" w:cs="Arial"/>
          <w:color w:val="202124"/>
          <w:sz w:val="24"/>
          <w:szCs w:val="24"/>
          <w:lang w:val="fr-FR"/>
        </w:rPr>
        <w:t xml:space="preserve"> could therefore be explained by its anti-inflammatory properties. </w:t>
      </w:r>
    </w:p>
    <w:p w14:paraId="7730F135" w14:textId="2F62BE0D" w:rsidR="00D55289" w:rsidRPr="0026771D" w:rsidRDefault="00C43F68" w:rsidP="00A13EE0">
      <w:pPr>
        <w:pStyle w:val="HTMLPreformatted"/>
        <w:spacing w:line="360" w:lineRule="auto"/>
        <w:jc w:val="both"/>
        <w:rPr>
          <w:rFonts w:ascii="Arial" w:hAnsi="Arial" w:cs="Arial"/>
          <w:color w:val="FF0000"/>
          <w:sz w:val="24"/>
          <w:szCs w:val="24"/>
        </w:rPr>
      </w:pPr>
      <w:bookmarkStart w:id="7" w:name="_Hlk209190291"/>
      <w:bookmarkEnd w:id="5"/>
      <w:bookmarkEnd w:id="6"/>
      <w:r w:rsidRPr="00A13EE0">
        <w:rPr>
          <w:rFonts w:ascii="Arial" w:hAnsi="Arial" w:cs="Arial"/>
          <w:bCs/>
          <w:i/>
          <w:iCs/>
          <w:color w:val="202124"/>
          <w:sz w:val="24"/>
          <w:szCs w:val="24"/>
        </w:rPr>
        <w:t>Khaya senegalensis</w:t>
      </w:r>
      <w:r w:rsidRPr="0026771D">
        <w:rPr>
          <w:rFonts w:ascii="Arial" w:hAnsi="Arial" w:cs="Arial"/>
          <w:bCs/>
          <w:color w:val="202124"/>
          <w:sz w:val="24"/>
          <w:szCs w:val="24"/>
        </w:rPr>
        <w:t xml:space="preserve"> and </w:t>
      </w:r>
      <w:r w:rsidRPr="00A13EE0">
        <w:rPr>
          <w:rFonts w:ascii="Arial" w:hAnsi="Arial" w:cs="Arial"/>
          <w:bCs/>
          <w:i/>
          <w:iCs/>
          <w:color w:val="202124"/>
          <w:sz w:val="24"/>
          <w:szCs w:val="24"/>
        </w:rPr>
        <w:t>Ximenia americana</w:t>
      </w:r>
      <w:r w:rsidRPr="0026771D">
        <w:rPr>
          <w:rFonts w:ascii="Arial" w:hAnsi="Arial" w:cs="Arial"/>
          <w:bCs/>
          <w:color w:val="202124"/>
          <w:sz w:val="24"/>
          <w:szCs w:val="24"/>
        </w:rPr>
        <w:t xml:space="preserve">, although only mentioned by one actor in each area, are, along with Pterocarpus erinaceus, the three species described as having anti-anaemic properties in both Casamance and Sine-Saloum. </w:t>
      </w:r>
      <w:r w:rsidR="00A13EE0">
        <w:rPr>
          <w:rFonts w:ascii="Arial" w:hAnsi="Arial" w:cs="Arial"/>
          <w:bCs/>
          <w:color w:val="202124"/>
          <w:sz w:val="24"/>
          <w:szCs w:val="24"/>
        </w:rPr>
        <w:t xml:space="preserve">                       </w:t>
      </w:r>
      <w:r w:rsidRPr="00A13EE0">
        <w:rPr>
          <w:rFonts w:ascii="Arial" w:hAnsi="Arial" w:cs="Arial"/>
          <w:bCs/>
          <w:i/>
          <w:iCs/>
          <w:color w:val="202124"/>
          <w:sz w:val="24"/>
          <w:szCs w:val="24"/>
        </w:rPr>
        <w:t>Khaya senegalensis</w:t>
      </w:r>
      <w:r w:rsidRPr="0026771D">
        <w:rPr>
          <w:rFonts w:ascii="Arial" w:hAnsi="Arial" w:cs="Arial"/>
          <w:bCs/>
          <w:color w:val="202124"/>
          <w:sz w:val="24"/>
          <w:szCs w:val="24"/>
        </w:rPr>
        <w:t xml:space="preserve"> is known to have several pharmacological properties, including anti-inflammatory properties, particularly in its bark </w:t>
      </w:r>
      <w:r w:rsidR="0009013B" w:rsidRPr="0026771D">
        <w:rPr>
          <w:rFonts w:ascii="Arial" w:eastAsia="Calibri" w:hAnsi="Arial" w:cs="Arial"/>
          <w:bCs/>
          <w:noProof/>
          <w:sz w:val="24"/>
          <w:szCs w:val="24"/>
          <w:lang w:val="fr-FR"/>
        </w:rPr>
        <w:t>[14</w:t>
      </w:r>
      <w:r w:rsidR="00A13EE0" w:rsidRPr="0026771D">
        <w:rPr>
          <w:rFonts w:ascii="Arial" w:eastAsia="Calibri" w:hAnsi="Arial" w:cs="Arial"/>
          <w:bCs/>
          <w:noProof/>
          <w:sz w:val="24"/>
          <w:szCs w:val="24"/>
          <w:lang w:val="fr-FR"/>
        </w:rPr>
        <w:t>]</w:t>
      </w:r>
      <w:r w:rsidRPr="0026771D">
        <w:rPr>
          <w:rFonts w:ascii="Arial" w:hAnsi="Arial" w:cs="Arial"/>
          <w:bCs/>
          <w:color w:val="202124"/>
          <w:sz w:val="24"/>
          <w:szCs w:val="24"/>
        </w:rPr>
        <w:t>.</w:t>
      </w:r>
      <w:r w:rsidRPr="0026771D">
        <w:rPr>
          <w:rFonts w:ascii="Arial" w:hAnsi="Arial" w:cs="Arial"/>
          <w:bCs/>
          <w:i/>
          <w:iCs/>
          <w:color w:val="202124"/>
          <w:sz w:val="24"/>
          <w:szCs w:val="24"/>
        </w:rPr>
        <w:t xml:space="preserve"> </w:t>
      </w:r>
      <w:r w:rsidR="00A5700B" w:rsidRPr="0026771D">
        <w:rPr>
          <w:rFonts w:ascii="Arial" w:hAnsi="Arial" w:cs="Arial"/>
          <w:sz w:val="24"/>
          <w:szCs w:val="24"/>
        </w:rPr>
        <w:t xml:space="preserve">Similarly, the aqueous extract of </w:t>
      </w:r>
      <w:r w:rsidR="00A5700B" w:rsidRPr="00A13EE0">
        <w:rPr>
          <w:rFonts w:ascii="Arial" w:hAnsi="Arial" w:cs="Arial"/>
          <w:i/>
          <w:iCs/>
          <w:sz w:val="24"/>
          <w:szCs w:val="24"/>
        </w:rPr>
        <w:t>Ximenia americana</w:t>
      </w:r>
      <w:r w:rsidR="00A5700B" w:rsidRPr="0026771D">
        <w:rPr>
          <w:rFonts w:ascii="Arial" w:hAnsi="Arial" w:cs="Arial"/>
          <w:sz w:val="24"/>
          <w:szCs w:val="24"/>
        </w:rPr>
        <w:t xml:space="preserve"> bark contains anti-inflammatory properties </w:t>
      </w:r>
      <w:r w:rsidR="0009013B" w:rsidRPr="0026771D">
        <w:rPr>
          <w:rFonts w:ascii="Arial" w:eastAsia="Calibri" w:hAnsi="Arial" w:cs="Arial"/>
          <w:bCs/>
          <w:noProof/>
          <w:sz w:val="24"/>
          <w:szCs w:val="24"/>
          <w:lang w:val="fr-FR"/>
        </w:rPr>
        <w:t>[15]</w:t>
      </w:r>
      <w:r w:rsidR="00603CE2" w:rsidRPr="0026771D">
        <w:rPr>
          <w:rFonts w:ascii="Arial" w:eastAsia="Calibri" w:hAnsi="Arial" w:cs="Arial"/>
          <w:bCs/>
          <w:sz w:val="24"/>
          <w:szCs w:val="24"/>
        </w:rPr>
        <w:t>.</w:t>
      </w:r>
    </w:p>
    <w:bookmarkEnd w:id="7"/>
    <w:p w14:paraId="0E6652D5" w14:textId="6A01AE3B" w:rsidR="00AF5FF4" w:rsidRPr="0026771D" w:rsidRDefault="00AF5FF4" w:rsidP="00A13EE0">
      <w:pPr>
        <w:pStyle w:val="HTMLPreformatted"/>
        <w:spacing w:line="360" w:lineRule="auto"/>
        <w:jc w:val="both"/>
        <w:rPr>
          <w:rFonts w:ascii="Arial" w:hAnsi="Arial" w:cs="Arial"/>
          <w:sz w:val="24"/>
          <w:szCs w:val="24"/>
        </w:rPr>
      </w:pPr>
      <w:r w:rsidRPr="0026771D">
        <w:rPr>
          <w:rFonts w:ascii="Arial" w:hAnsi="Arial" w:cs="Arial"/>
          <w:sz w:val="24"/>
          <w:szCs w:val="24"/>
        </w:rPr>
        <w:lastRenderedPageBreak/>
        <w:t>Indeed, studies by Gaichu et al. 2019</w:t>
      </w:r>
      <w:r w:rsidR="00F27BCF" w:rsidRPr="0026771D">
        <w:rPr>
          <w:rFonts w:ascii="Arial" w:hAnsi="Arial" w:cs="Arial"/>
          <w:sz w:val="24"/>
          <w:szCs w:val="24"/>
        </w:rPr>
        <w:t xml:space="preserve"> </w:t>
      </w:r>
      <w:r w:rsidR="00F27BCF" w:rsidRPr="0026771D">
        <w:rPr>
          <w:rFonts w:ascii="Arial" w:eastAsia="Calibri" w:hAnsi="Arial" w:cs="Arial"/>
          <w:bCs/>
          <w:noProof/>
          <w:sz w:val="24"/>
          <w:szCs w:val="24"/>
          <w:lang w:val="fr-FR"/>
        </w:rPr>
        <w:t>[16]</w:t>
      </w:r>
      <w:r w:rsidR="00F27BCF" w:rsidRPr="0026771D">
        <w:rPr>
          <w:rFonts w:ascii="Arial" w:eastAsia="Calibri" w:hAnsi="Arial" w:cs="Arial"/>
          <w:bCs/>
          <w:sz w:val="24"/>
          <w:szCs w:val="24"/>
        </w:rPr>
        <w:t xml:space="preserve"> </w:t>
      </w:r>
      <w:r w:rsidR="00F27BCF" w:rsidRPr="0026771D">
        <w:rPr>
          <w:rFonts w:ascii="Arial" w:hAnsi="Arial" w:cs="Arial"/>
          <w:sz w:val="24"/>
          <w:szCs w:val="24"/>
        </w:rPr>
        <w:t xml:space="preserve"> </w:t>
      </w:r>
      <w:r w:rsidRPr="0026771D">
        <w:rPr>
          <w:rFonts w:ascii="Arial" w:hAnsi="Arial" w:cs="Arial"/>
          <w:sz w:val="24"/>
          <w:szCs w:val="24"/>
        </w:rPr>
        <w:t xml:space="preserve"> have shown that the anti-inflammatory properties of </w:t>
      </w:r>
      <w:r w:rsidRPr="0026771D">
        <w:rPr>
          <w:rFonts w:ascii="Arial" w:hAnsi="Arial" w:cs="Arial"/>
          <w:i/>
          <w:iCs/>
          <w:sz w:val="24"/>
          <w:szCs w:val="24"/>
        </w:rPr>
        <w:t>Ximenia americana</w:t>
      </w:r>
      <w:r w:rsidRPr="0026771D">
        <w:rPr>
          <w:rFonts w:ascii="Arial" w:hAnsi="Arial" w:cs="Arial"/>
          <w:sz w:val="24"/>
          <w:szCs w:val="24"/>
        </w:rPr>
        <w:t xml:space="preserve"> are linked to the presence of flavonoids, alkaloids and saponins. </w:t>
      </w:r>
    </w:p>
    <w:p w14:paraId="78F55248" w14:textId="77777777" w:rsidR="00AF5FF4" w:rsidRPr="0026771D" w:rsidRDefault="00AF5FF4" w:rsidP="00A13EE0">
      <w:pPr>
        <w:pStyle w:val="HTMLPreformatted"/>
        <w:spacing w:line="360" w:lineRule="auto"/>
        <w:jc w:val="both"/>
        <w:rPr>
          <w:rFonts w:ascii="Arial" w:hAnsi="Arial" w:cs="Arial"/>
          <w:sz w:val="24"/>
          <w:szCs w:val="24"/>
        </w:rPr>
      </w:pPr>
      <w:r w:rsidRPr="0026771D">
        <w:rPr>
          <w:rFonts w:ascii="Arial" w:hAnsi="Arial" w:cs="Arial"/>
          <w:sz w:val="24"/>
          <w:szCs w:val="24"/>
        </w:rPr>
        <w:t xml:space="preserve">The other plants cited in anti-anaemic phytotherapy in order of importance were                    </w:t>
      </w:r>
      <w:r w:rsidRPr="0026771D">
        <w:rPr>
          <w:rFonts w:ascii="Arial" w:hAnsi="Arial" w:cs="Arial"/>
          <w:i/>
          <w:iCs/>
          <w:sz w:val="24"/>
          <w:szCs w:val="24"/>
        </w:rPr>
        <w:t>Afzelia africana</w:t>
      </w:r>
      <w:r w:rsidRPr="0026771D">
        <w:rPr>
          <w:rFonts w:ascii="Arial" w:hAnsi="Arial" w:cs="Arial"/>
          <w:sz w:val="24"/>
          <w:szCs w:val="24"/>
        </w:rPr>
        <w:t xml:space="preserve"> (6/30 actors), </w:t>
      </w:r>
      <w:r w:rsidRPr="0026771D">
        <w:rPr>
          <w:rFonts w:ascii="Arial" w:hAnsi="Arial" w:cs="Arial"/>
          <w:i/>
          <w:iCs/>
          <w:sz w:val="24"/>
          <w:szCs w:val="24"/>
        </w:rPr>
        <w:t>Parkia biglobosa</w:t>
      </w:r>
      <w:r w:rsidRPr="0026771D">
        <w:rPr>
          <w:rFonts w:ascii="Arial" w:hAnsi="Arial" w:cs="Arial"/>
          <w:sz w:val="24"/>
          <w:szCs w:val="24"/>
        </w:rPr>
        <w:t xml:space="preserve"> (5/30 practitioners), </w:t>
      </w:r>
      <w:r w:rsidRPr="0026771D">
        <w:rPr>
          <w:rFonts w:ascii="Arial" w:hAnsi="Arial" w:cs="Arial"/>
          <w:i/>
          <w:iCs/>
          <w:sz w:val="24"/>
          <w:szCs w:val="24"/>
        </w:rPr>
        <w:t>Combretum nigricans</w:t>
      </w:r>
      <w:r w:rsidRPr="0026771D">
        <w:rPr>
          <w:rFonts w:ascii="Arial" w:hAnsi="Arial" w:cs="Arial"/>
          <w:sz w:val="24"/>
          <w:szCs w:val="24"/>
        </w:rPr>
        <w:t xml:space="preserve"> (3/30 practitioners), </w:t>
      </w:r>
      <w:r w:rsidRPr="0026771D">
        <w:rPr>
          <w:rFonts w:ascii="Arial" w:hAnsi="Arial" w:cs="Arial"/>
          <w:i/>
          <w:iCs/>
          <w:sz w:val="24"/>
          <w:szCs w:val="24"/>
        </w:rPr>
        <w:t>Icacina oliviformis</w:t>
      </w:r>
      <w:r w:rsidRPr="0026771D">
        <w:rPr>
          <w:rFonts w:ascii="Arial" w:hAnsi="Arial" w:cs="Arial"/>
          <w:sz w:val="24"/>
          <w:szCs w:val="24"/>
        </w:rPr>
        <w:t xml:space="preserve">, </w:t>
      </w:r>
      <w:r w:rsidRPr="0026771D">
        <w:rPr>
          <w:rFonts w:ascii="Arial" w:hAnsi="Arial" w:cs="Arial"/>
          <w:i/>
          <w:iCs/>
          <w:sz w:val="24"/>
          <w:szCs w:val="24"/>
        </w:rPr>
        <w:t>Khaya senegalensis</w:t>
      </w:r>
      <w:r w:rsidRPr="0026771D">
        <w:rPr>
          <w:rFonts w:ascii="Arial" w:hAnsi="Arial" w:cs="Arial"/>
          <w:sz w:val="24"/>
          <w:szCs w:val="24"/>
        </w:rPr>
        <w:t xml:space="preserve"> and </w:t>
      </w:r>
      <w:r w:rsidRPr="0026771D">
        <w:rPr>
          <w:rFonts w:ascii="Arial" w:hAnsi="Arial" w:cs="Arial"/>
          <w:i/>
          <w:iCs/>
          <w:sz w:val="24"/>
          <w:szCs w:val="24"/>
        </w:rPr>
        <w:t>Xylopia aethiopum</w:t>
      </w:r>
      <w:r w:rsidRPr="0026771D">
        <w:rPr>
          <w:rFonts w:ascii="Arial" w:hAnsi="Arial" w:cs="Arial"/>
          <w:sz w:val="24"/>
          <w:szCs w:val="24"/>
        </w:rPr>
        <w:t xml:space="preserve"> (2/30 practitioners), </w:t>
      </w:r>
      <w:r w:rsidRPr="0026771D">
        <w:rPr>
          <w:rFonts w:ascii="Arial" w:hAnsi="Arial" w:cs="Arial"/>
          <w:i/>
          <w:iCs/>
          <w:sz w:val="24"/>
          <w:szCs w:val="24"/>
        </w:rPr>
        <w:t>Lannea acida</w:t>
      </w:r>
      <w:r w:rsidRPr="0026771D">
        <w:rPr>
          <w:rFonts w:ascii="Arial" w:hAnsi="Arial" w:cs="Arial"/>
          <w:sz w:val="24"/>
          <w:szCs w:val="24"/>
        </w:rPr>
        <w:t xml:space="preserve"> (9/46), </w:t>
      </w:r>
      <w:r w:rsidRPr="0026771D">
        <w:rPr>
          <w:rFonts w:ascii="Arial" w:hAnsi="Arial" w:cs="Arial"/>
          <w:i/>
          <w:iCs/>
          <w:sz w:val="24"/>
          <w:szCs w:val="24"/>
        </w:rPr>
        <w:t>Ficus thonningii</w:t>
      </w:r>
      <w:r w:rsidRPr="0026771D">
        <w:rPr>
          <w:rFonts w:ascii="Arial" w:hAnsi="Arial" w:cs="Arial"/>
          <w:sz w:val="24"/>
          <w:szCs w:val="24"/>
        </w:rPr>
        <w:t xml:space="preserve"> and </w:t>
      </w:r>
      <w:r w:rsidRPr="0026771D">
        <w:rPr>
          <w:rFonts w:ascii="Arial" w:hAnsi="Arial" w:cs="Arial"/>
          <w:i/>
          <w:iCs/>
          <w:sz w:val="24"/>
          <w:szCs w:val="24"/>
        </w:rPr>
        <w:t>Prosopis africana</w:t>
      </w:r>
      <w:r w:rsidRPr="0026771D">
        <w:rPr>
          <w:rFonts w:ascii="Arial" w:hAnsi="Arial" w:cs="Arial"/>
          <w:sz w:val="24"/>
          <w:szCs w:val="24"/>
        </w:rPr>
        <w:t xml:space="preserve"> (7/46),                  </w:t>
      </w:r>
      <w:r w:rsidRPr="0026771D">
        <w:rPr>
          <w:rFonts w:ascii="Arial" w:hAnsi="Arial" w:cs="Arial"/>
          <w:i/>
          <w:iCs/>
          <w:sz w:val="24"/>
          <w:szCs w:val="24"/>
        </w:rPr>
        <w:t>Ficus sycomorus</w:t>
      </w:r>
      <w:r w:rsidRPr="0026771D">
        <w:rPr>
          <w:rFonts w:ascii="Arial" w:hAnsi="Arial" w:cs="Arial"/>
          <w:sz w:val="24"/>
          <w:szCs w:val="24"/>
        </w:rPr>
        <w:t xml:space="preserve"> (6/46), </w:t>
      </w:r>
      <w:r w:rsidRPr="0026771D">
        <w:rPr>
          <w:rFonts w:ascii="Arial" w:hAnsi="Arial" w:cs="Arial"/>
          <w:i/>
          <w:iCs/>
          <w:sz w:val="24"/>
          <w:szCs w:val="24"/>
        </w:rPr>
        <w:t>Hibiscus sabdariffa</w:t>
      </w:r>
      <w:r w:rsidRPr="0026771D">
        <w:rPr>
          <w:rFonts w:ascii="Arial" w:hAnsi="Arial" w:cs="Arial"/>
          <w:sz w:val="24"/>
          <w:szCs w:val="24"/>
        </w:rPr>
        <w:t xml:space="preserve"> (3/46), </w:t>
      </w:r>
      <w:r w:rsidRPr="0026771D">
        <w:rPr>
          <w:rFonts w:ascii="Arial" w:hAnsi="Arial" w:cs="Arial"/>
          <w:i/>
          <w:iCs/>
          <w:sz w:val="24"/>
          <w:szCs w:val="24"/>
        </w:rPr>
        <w:t>Cochlospermum tinctorium</w:t>
      </w:r>
      <w:r w:rsidRPr="0026771D">
        <w:rPr>
          <w:rFonts w:ascii="Arial" w:hAnsi="Arial" w:cs="Arial"/>
          <w:sz w:val="24"/>
          <w:szCs w:val="24"/>
        </w:rPr>
        <w:t xml:space="preserve">,        </w:t>
      </w:r>
      <w:r w:rsidRPr="0026771D">
        <w:rPr>
          <w:rFonts w:ascii="Arial" w:hAnsi="Arial" w:cs="Arial"/>
          <w:i/>
          <w:iCs/>
          <w:sz w:val="24"/>
          <w:szCs w:val="24"/>
        </w:rPr>
        <w:t>Combretum micrantum</w:t>
      </w:r>
      <w:r w:rsidRPr="0026771D">
        <w:rPr>
          <w:rFonts w:ascii="Arial" w:hAnsi="Arial" w:cs="Arial"/>
          <w:sz w:val="24"/>
          <w:szCs w:val="24"/>
        </w:rPr>
        <w:t xml:space="preserve">, </w:t>
      </w:r>
      <w:r w:rsidRPr="0026771D">
        <w:rPr>
          <w:rFonts w:ascii="Arial" w:hAnsi="Arial" w:cs="Arial"/>
          <w:i/>
          <w:iCs/>
          <w:sz w:val="24"/>
          <w:szCs w:val="24"/>
        </w:rPr>
        <w:t>Khaya senegalensis</w:t>
      </w:r>
      <w:r w:rsidRPr="0026771D">
        <w:rPr>
          <w:rFonts w:ascii="Arial" w:hAnsi="Arial" w:cs="Arial"/>
          <w:sz w:val="24"/>
          <w:szCs w:val="24"/>
        </w:rPr>
        <w:t xml:space="preserve">, </w:t>
      </w:r>
      <w:r w:rsidRPr="0026771D">
        <w:rPr>
          <w:rFonts w:ascii="Arial" w:hAnsi="Arial" w:cs="Arial"/>
          <w:i/>
          <w:iCs/>
          <w:sz w:val="24"/>
          <w:szCs w:val="24"/>
        </w:rPr>
        <w:t>Lepisanthes senegalensis</w:t>
      </w:r>
      <w:r w:rsidRPr="0026771D">
        <w:rPr>
          <w:rFonts w:ascii="Arial" w:hAnsi="Arial" w:cs="Arial"/>
          <w:sz w:val="24"/>
          <w:szCs w:val="24"/>
        </w:rPr>
        <w:t xml:space="preserve"> and </w:t>
      </w:r>
      <w:r w:rsidRPr="0026771D">
        <w:rPr>
          <w:rFonts w:ascii="Arial" w:hAnsi="Arial" w:cs="Arial"/>
          <w:i/>
          <w:iCs/>
          <w:sz w:val="24"/>
          <w:szCs w:val="24"/>
        </w:rPr>
        <w:t>Sclerocarya birrea</w:t>
      </w:r>
      <w:r w:rsidRPr="0026771D">
        <w:rPr>
          <w:rFonts w:ascii="Arial" w:hAnsi="Arial" w:cs="Arial"/>
          <w:sz w:val="24"/>
          <w:szCs w:val="24"/>
        </w:rPr>
        <w:t xml:space="preserve"> (2/46).</w:t>
      </w:r>
    </w:p>
    <w:p w14:paraId="1DE707C0" w14:textId="2191CDC6" w:rsidR="005153A9" w:rsidRPr="0026771D" w:rsidRDefault="005153A9" w:rsidP="00A13EE0">
      <w:pPr>
        <w:pStyle w:val="HTMLPreformatted"/>
        <w:spacing w:line="360" w:lineRule="auto"/>
        <w:jc w:val="both"/>
        <w:rPr>
          <w:rStyle w:val="y2iqfc"/>
          <w:rFonts w:ascii="Arial" w:hAnsi="Arial" w:cs="Arial"/>
          <w:i/>
          <w:iCs/>
          <w:color w:val="202124"/>
          <w:sz w:val="24"/>
          <w:szCs w:val="24"/>
          <w:lang w:val="fr-FR"/>
        </w:rPr>
      </w:pPr>
      <w:r w:rsidRPr="0026771D">
        <w:rPr>
          <w:rStyle w:val="y2iqfc"/>
          <w:rFonts w:ascii="Arial" w:hAnsi="Arial" w:cs="Arial"/>
          <w:i/>
          <w:iCs/>
          <w:color w:val="202124"/>
          <w:sz w:val="24"/>
          <w:szCs w:val="24"/>
          <w:lang w:val="fr-FR"/>
        </w:rPr>
        <w:t xml:space="preserve">The results of studies on Afzelia africana leaf extract have shown anti-inflammatory properties </w:t>
      </w:r>
      <w:r w:rsidR="00F27BCF" w:rsidRPr="0026771D">
        <w:rPr>
          <w:rFonts w:ascii="Arial" w:eastAsia="Calibri" w:hAnsi="Arial" w:cs="Arial"/>
          <w:bCs/>
          <w:noProof/>
          <w:sz w:val="24"/>
          <w:szCs w:val="24"/>
          <w:lang w:val="fr-FR"/>
        </w:rPr>
        <w:t>[17</w:t>
      </w:r>
      <w:proofErr w:type="gramStart"/>
      <w:r w:rsidR="00F27BCF" w:rsidRPr="0026771D">
        <w:rPr>
          <w:rFonts w:ascii="Arial" w:eastAsia="Calibri" w:hAnsi="Arial" w:cs="Arial"/>
          <w:bCs/>
          <w:noProof/>
          <w:sz w:val="24"/>
          <w:szCs w:val="24"/>
          <w:lang w:val="fr-FR"/>
        </w:rPr>
        <w:t>]</w:t>
      </w:r>
      <w:r w:rsidR="00F27BCF" w:rsidRPr="0026771D">
        <w:rPr>
          <w:rFonts w:ascii="Arial" w:eastAsia="Calibri" w:hAnsi="Arial" w:cs="Arial"/>
          <w:bCs/>
          <w:sz w:val="24"/>
          <w:szCs w:val="24"/>
        </w:rPr>
        <w:t xml:space="preserve"> </w:t>
      </w:r>
      <w:r w:rsidR="00A13EE0">
        <w:rPr>
          <w:rStyle w:val="y2iqfc"/>
          <w:rFonts w:ascii="Arial" w:hAnsi="Arial" w:cs="Arial"/>
          <w:i/>
          <w:iCs/>
          <w:color w:val="202124"/>
          <w:sz w:val="24"/>
          <w:szCs w:val="24"/>
          <w:lang w:val="fr-FR"/>
        </w:rPr>
        <w:t>,</w:t>
      </w:r>
      <w:proofErr w:type="gramEnd"/>
      <w:r w:rsidR="00A13EE0">
        <w:rPr>
          <w:rStyle w:val="y2iqfc"/>
          <w:rFonts w:ascii="Arial" w:hAnsi="Arial" w:cs="Arial"/>
          <w:i/>
          <w:iCs/>
          <w:color w:val="202124"/>
          <w:sz w:val="24"/>
          <w:szCs w:val="24"/>
          <w:lang w:val="fr-FR"/>
        </w:rPr>
        <w:t xml:space="preserve"> </w:t>
      </w:r>
      <w:r w:rsidRPr="0026771D">
        <w:rPr>
          <w:rStyle w:val="y2iqfc"/>
          <w:rFonts w:ascii="Arial" w:hAnsi="Arial" w:cs="Arial"/>
          <w:i/>
          <w:iCs/>
          <w:color w:val="202124"/>
          <w:sz w:val="24"/>
          <w:szCs w:val="24"/>
          <w:lang w:val="fr-FR"/>
        </w:rPr>
        <w:t>as have the bark of Lannea acida stems</w:t>
      </w:r>
      <w:r w:rsidR="00F27BCF" w:rsidRPr="0026771D">
        <w:rPr>
          <w:rFonts w:ascii="Arial" w:eastAsia="Calibri" w:hAnsi="Arial" w:cs="Arial"/>
          <w:bCs/>
          <w:noProof/>
          <w:sz w:val="24"/>
          <w:szCs w:val="24"/>
          <w:lang w:val="fr-FR"/>
        </w:rPr>
        <w:t>[18]</w:t>
      </w:r>
      <w:r w:rsidR="00603CE2" w:rsidRPr="0026771D">
        <w:rPr>
          <w:rFonts w:ascii="Arial" w:eastAsia="Calibri" w:hAnsi="Arial" w:cs="Arial"/>
          <w:bCs/>
          <w:noProof/>
          <w:sz w:val="24"/>
          <w:szCs w:val="24"/>
          <w:lang w:val="fr-FR"/>
        </w:rPr>
        <w:t>.</w:t>
      </w:r>
    </w:p>
    <w:p w14:paraId="08637DE1" w14:textId="4E760A21" w:rsidR="00C76C35" w:rsidRPr="0026771D" w:rsidRDefault="007661EA" w:rsidP="00A13EE0">
      <w:pPr>
        <w:pStyle w:val="HTMLPreformatted"/>
        <w:spacing w:line="360" w:lineRule="auto"/>
        <w:jc w:val="both"/>
        <w:rPr>
          <w:rStyle w:val="y2iqfc"/>
          <w:rFonts w:ascii="Arial" w:hAnsi="Arial" w:cs="Arial"/>
          <w:color w:val="202124"/>
          <w:sz w:val="24"/>
          <w:szCs w:val="24"/>
          <w:lang w:val="fr-FR"/>
        </w:rPr>
      </w:pPr>
      <w:r w:rsidRPr="0026771D">
        <w:rPr>
          <w:rStyle w:val="y2iqfc"/>
          <w:rFonts w:ascii="Arial" w:hAnsi="Arial" w:cs="Arial"/>
          <w:color w:val="202124"/>
          <w:sz w:val="24"/>
          <w:szCs w:val="24"/>
          <w:lang w:val="fr-FR"/>
        </w:rPr>
        <w:t>Pectin derived from Parkia biglobosa pulp has demonstrated anti-inflammatory activity by inhibiting the production of pro-inflammatory cytokines and NO (nitric oxide)</w:t>
      </w:r>
      <w:r w:rsidR="00C76C35" w:rsidRPr="0026771D">
        <w:rPr>
          <w:rStyle w:val="y2iqfc"/>
          <w:rFonts w:ascii="Arial" w:hAnsi="Arial" w:cs="Arial"/>
          <w:color w:val="202124"/>
          <w:sz w:val="24"/>
          <w:szCs w:val="24"/>
          <w:lang w:val="fr-FR"/>
        </w:rPr>
        <w:t xml:space="preserve"> </w:t>
      </w:r>
      <w:r w:rsidR="000A07EC" w:rsidRPr="0026771D">
        <w:rPr>
          <w:rFonts w:ascii="Arial" w:eastAsia="Calibri" w:hAnsi="Arial" w:cs="Arial"/>
          <w:bCs/>
          <w:noProof/>
          <w:sz w:val="24"/>
          <w:szCs w:val="24"/>
          <w:lang w:val="fr-FR"/>
        </w:rPr>
        <w:t>[19</w:t>
      </w:r>
      <w:r w:rsidR="00A13EE0" w:rsidRPr="0026771D">
        <w:rPr>
          <w:rFonts w:ascii="Arial" w:eastAsia="Calibri" w:hAnsi="Arial" w:cs="Arial"/>
          <w:bCs/>
          <w:noProof/>
          <w:sz w:val="24"/>
          <w:szCs w:val="24"/>
          <w:lang w:val="fr-FR"/>
        </w:rPr>
        <w:t>]</w:t>
      </w:r>
      <w:r w:rsidR="00A13EE0" w:rsidRPr="0026771D">
        <w:rPr>
          <w:rFonts w:ascii="Arial" w:eastAsia="Calibri" w:hAnsi="Arial" w:cs="Arial"/>
          <w:bCs/>
          <w:sz w:val="24"/>
          <w:szCs w:val="24"/>
        </w:rPr>
        <w:t>.</w:t>
      </w:r>
      <w:r w:rsidR="00A13EE0" w:rsidRPr="0026771D">
        <w:rPr>
          <w:rStyle w:val="y2iqfc"/>
          <w:rFonts w:ascii="Arial" w:hAnsi="Arial" w:cs="Arial"/>
          <w:color w:val="202124"/>
          <w:sz w:val="24"/>
          <w:szCs w:val="24"/>
          <w:lang w:val="fr-FR"/>
        </w:rPr>
        <w:t xml:space="preserve"> The</w:t>
      </w:r>
      <w:r w:rsidR="00C76C35" w:rsidRPr="0026771D">
        <w:rPr>
          <w:rStyle w:val="y2iqfc"/>
          <w:rFonts w:ascii="Arial" w:hAnsi="Arial" w:cs="Arial"/>
          <w:color w:val="202124"/>
          <w:sz w:val="24"/>
          <w:szCs w:val="24"/>
          <w:lang w:val="fr-FR"/>
        </w:rPr>
        <w:t xml:space="preserve"> plants most frequently cited in this study as effective against anaemia are plants with anti-inflammatory properties. </w:t>
      </w:r>
    </w:p>
    <w:p w14:paraId="06396054" w14:textId="67A0D8A1" w:rsidR="00C76C35" w:rsidRPr="0026771D" w:rsidRDefault="00C76C35" w:rsidP="00A13EE0">
      <w:pPr>
        <w:pStyle w:val="HTMLPreformatted"/>
        <w:spacing w:line="360" w:lineRule="auto"/>
        <w:jc w:val="both"/>
        <w:rPr>
          <w:rStyle w:val="y2iqfc"/>
          <w:rFonts w:ascii="Arial" w:hAnsi="Arial" w:cs="Arial"/>
          <w:color w:val="202124"/>
          <w:sz w:val="24"/>
          <w:szCs w:val="24"/>
          <w:lang w:val="fr-FR"/>
        </w:rPr>
      </w:pPr>
      <w:r w:rsidRPr="0026771D">
        <w:rPr>
          <w:rStyle w:val="y2iqfc"/>
          <w:rFonts w:ascii="Arial" w:hAnsi="Arial" w:cs="Arial"/>
          <w:color w:val="202124"/>
          <w:sz w:val="24"/>
          <w:szCs w:val="24"/>
          <w:lang w:val="fr-FR"/>
        </w:rPr>
        <w:t xml:space="preserve">As anaemia in HIV infection is inflammatory and/or deficiency-related </w:t>
      </w:r>
      <w:r w:rsidR="000A07EC" w:rsidRPr="0026771D">
        <w:rPr>
          <w:rFonts w:ascii="Arial" w:eastAsia="Calibri" w:hAnsi="Arial" w:cs="Arial"/>
          <w:bCs/>
          <w:noProof/>
          <w:sz w:val="24"/>
          <w:szCs w:val="24"/>
          <w:lang w:val="fr-FR"/>
        </w:rPr>
        <w:t>[</w:t>
      </w:r>
      <w:r w:rsidR="00603CE2" w:rsidRPr="0026771D">
        <w:rPr>
          <w:rFonts w:ascii="Arial" w:eastAsia="Calibri" w:hAnsi="Arial" w:cs="Arial"/>
          <w:bCs/>
          <w:noProof/>
          <w:sz w:val="24"/>
          <w:szCs w:val="24"/>
          <w:lang w:val="fr-FR"/>
        </w:rPr>
        <w:t>20</w:t>
      </w:r>
      <w:r w:rsidR="000A07EC" w:rsidRPr="0026771D">
        <w:rPr>
          <w:rFonts w:ascii="Arial" w:eastAsia="Calibri" w:hAnsi="Arial" w:cs="Arial"/>
          <w:bCs/>
          <w:noProof/>
          <w:sz w:val="24"/>
          <w:szCs w:val="24"/>
          <w:lang w:val="fr-FR"/>
        </w:rPr>
        <w:t>]</w:t>
      </w:r>
      <w:r w:rsidRPr="0026771D">
        <w:rPr>
          <w:rStyle w:val="y2iqfc"/>
          <w:rFonts w:ascii="Arial" w:hAnsi="Arial" w:cs="Arial"/>
          <w:color w:val="202124"/>
          <w:sz w:val="24"/>
          <w:szCs w:val="24"/>
          <w:lang w:val="fr-FR"/>
        </w:rPr>
        <w:t xml:space="preserve">, the action of the plants cited in this study against anaemia would therefore be due to their anti-inflammatory properties, thus inducing an anti-anaemic action. </w:t>
      </w:r>
    </w:p>
    <w:p w14:paraId="298FE54B" w14:textId="15C9A3AA" w:rsidR="00957D4E" w:rsidRPr="0026771D" w:rsidRDefault="00957D4E" w:rsidP="00A13EE0">
      <w:pPr>
        <w:pStyle w:val="HTMLPreformatted"/>
        <w:numPr>
          <w:ilvl w:val="0"/>
          <w:numId w:val="15"/>
        </w:numPr>
        <w:spacing w:line="360" w:lineRule="auto"/>
        <w:jc w:val="both"/>
        <w:rPr>
          <w:rFonts w:ascii="Arial" w:hAnsi="Arial" w:cs="Arial"/>
          <w:b/>
          <w:bCs/>
          <w:color w:val="202124"/>
          <w:sz w:val="24"/>
          <w:szCs w:val="24"/>
          <w:lang w:val="fr-FR"/>
        </w:rPr>
      </w:pPr>
      <w:r w:rsidRPr="0026771D">
        <w:rPr>
          <w:rFonts w:ascii="Arial" w:hAnsi="Arial" w:cs="Arial"/>
          <w:b/>
          <w:bCs/>
          <w:color w:val="202124"/>
          <w:sz w:val="24"/>
          <w:szCs w:val="24"/>
          <w:lang w:val="fr-FR"/>
        </w:rPr>
        <w:t>CONCLUSION</w:t>
      </w:r>
    </w:p>
    <w:p w14:paraId="0248429E" w14:textId="77777777" w:rsidR="00C76C35" w:rsidRPr="0026771D" w:rsidRDefault="00C76C35" w:rsidP="00A13EE0">
      <w:pPr>
        <w:spacing w:line="360" w:lineRule="auto"/>
        <w:jc w:val="both"/>
        <w:rPr>
          <w:rFonts w:ascii="Arial" w:eastAsia="PalatinoLinotype-Roman" w:hAnsi="Arial" w:cs="Arial"/>
        </w:rPr>
      </w:pPr>
      <w:r w:rsidRPr="0026771D">
        <w:rPr>
          <w:rFonts w:ascii="Arial" w:eastAsia="PalatinoLinotype-Roman" w:hAnsi="Arial" w:cs="Arial"/>
        </w:rPr>
        <w:t>This ethnobotanical study is a first step in identifying medicinal plants used locally to treat anaemia in people living with HIV in Senegal.</w:t>
      </w:r>
    </w:p>
    <w:p w14:paraId="29305CC0" w14:textId="77777777" w:rsidR="00C76C35" w:rsidRPr="0026771D" w:rsidRDefault="00C76C35" w:rsidP="00A13EE0">
      <w:pPr>
        <w:spacing w:line="360" w:lineRule="auto"/>
        <w:jc w:val="both"/>
        <w:rPr>
          <w:rFonts w:ascii="Arial" w:eastAsia="PalatinoLinotype-Roman" w:hAnsi="Arial" w:cs="Arial"/>
        </w:rPr>
      </w:pPr>
      <w:r w:rsidRPr="0026771D">
        <w:rPr>
          <w:rFonts w:ascii="Arial" w:eastAsia="PalatinoLinotype-Roman" w:hAnsi="Arial" w:cs="Arial"/>
        </w:rPr>
        <w:t xml:space="preserve">As anaemia is often inflammatory in nature in this context, plants with anti-inflammatory properties such as </w:t>
      </w:r>
      <w:r w:rsidRPr="00A13EE0">
        <w:rPr>
          <w:rFonts w:ascii="Arial" w:eastAsia="PalatinoLinotype-Roman" w:hAnsi="Arial" w:cs="Arial"/>
          <w:i/>
          <w:iCs/>
        </w:rPr>
        <w:t>Pterocarpus erinaceus</w:t>
      </w:r>
      <w:r w:rsidRPr="0026771D">
        <w:rPr>
          <w:rFonts w:ascii="Arial" w:eastAsia="PalatinoLinotype-Roman" w:hAnsi="Arial" w:cs="Arial"/>
        </w:rPr>
        <w:t xml:space="preserve"> may have potential therapeutic benefits. The latter was also the plant most frequently cited by traditional practitioners.</w:t>
      </w:r>
    </w:p>
    <w:p w14:paraId="14B245D2" w14:textId="3F62F1D1" w:rsidR="00921525" w:rsidRDefault="00C76C35" w:rsidP="00A13EE0">
      <w:pPr>
        <w:spacing w:line="360" w:lineRule="auto"/>
        <w:jc w:val="both"/>
        <w:rPr>
          <w:rFonts w:ascii="Arial" w:eastAsia="PalatinoLinotype-Roman" w:hAnsi="Arial" w:cs="Arial"/>
        </w:rPr>
      </w:pPr>
      <w:r w:rsidRPr="0026771D">
        <w:rPr>
          <w:rFonts w:ascii="Arial" w:eastAsia="PalatinoLinotype-Roman" w:hAnsi="Arial" w:cs="Arial"/>
        </w:rPr>
        <w:t>Further pharmacological and clinical investigations are needed to scientifically validate the efficacy and safety of these plants and potentially integrate them into appropriate therapeutic protocols.</w:t>
      </w:r>
    </w:p>
    <w:p w14:paraId="4CF7F9BF" w14:textId="77777777" w:rsidR="0032441E" w:rsidRDefault="0032441E" w:rsidP="00A13EE0">
      <w:pPr>
        <w:spacing w:line="360" w:lineRule="auto"/>
        <w:jc w:val="both"/>
        <w:rPr>
          <w:rFonts w:ascii="Arial" w:eastAsia="PalatinoLinotype-Roman" w:hAnsi="Arial" w:cs="Arial"/>
        </w:rPr>
      </w:pPr>
    </w:p>
    <w:p w14:paraId="4EBF5831" w14:textId="77777777" w:rsidR="0032441E" w:rsidRPr="0032441E" w:rsidRDefault="0032441E" w:rsidP="0032441E">
      <w:pPr>
        <w:spacing w:after="200" w:line="276" w:lineRule="auto"/>
        <w:jc w:val="both"/>
        <w:outlineLvl w:val="0"/>
        <w:rPr>
          <w:rFonts w:ascii="Arial" w:hAnsi="Arial" w:cs="Arial"/>
          <w:sz w:val="22"/>
          <w:szCs w:val="22"/>
          <w:lang w:val="en-GB" w:eastAsia="en-GB"/>
        </w:rPr>
      </w:pPr>
      <w:r w:rsidRPr="0032441E">
        <w:rPr>
          <w:rFonts w:ascii="Arial" w:hAnsi="Arial" w:cs="Arial"/>
          <w:b/>
          <w:bCs/>
          <w:sz w:val="22"/>
          <w:szCs w:val="22"/>
          <w:lang w:val="en-GB" w:eastAsia="en-GB"/>
        </w:rPr>
        <w:t>COMPETING INTERESTS DISCLAIMER:</w:t>
      </w:r>
    </w:p>
    <w:p w14:paraId="1DA741D8" w14:textId="77777777" w:rsidR="0032441E" w:rsidRPr="0032441E" w:rsidRDefault="0032441E" w:rsidP="0032441E">
      <w:pPr>
        <w:spacing w:after="200" w:line="276" w:lineRule="auto"/>
        <w:rPr>
          <w:rFonts w:ascii="Calibri" w:hAnsi="Calibri"/>
          <w:sz w:val="22"/>
          <w:szCs w:val="22"/>
          <w:lang w:val="en-GB" w:eastAsia="en-GB"/>
        </w:rPr>
      </w:pPr>
      <w:r w:rsidRPr="0032441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B7E4367" w14:textId="77777777" w:rsidR="0032441E" w:rsidRPr="0026771D" w:rsidRDefault="0032441E" w:rsidP="00A13EE0">
      <w:pPr>
        <w:spacing w:line="360" w:lineRule="auto"/>
        <w:jc w:val="both"/>
        <w:rPr>
          <w:rFonts w:ascii="Arial" w:hAnsi="Arial" w:cs="Arial"/>
        </w:rPr>
      </w:pPr>
    </w:p>
    <w:p w14:paraId="27A44F58" w14:textId="77777777" w:rsidR="00C76C35" w:rsidRPr="0026771D" w:rsidRDefault="00C76C35" w:rsidP="00A13EE0">
      <w:pPr>
        <w:spacing w:line="360" w:lineRule="auto"/>
        <w:jc w:val="both"/>
        <w:rPr>
          <w:rFonts w:ascii="Arial" w:hAnsi="Arial" w:cs="Arial"/>
          <w:b/>
          <w:bCs/>
        </w:rPr>
      </w:pPr>
    </w:p>
    <w:p w14:paraId="23B9ED1C" w14:textId="5C32DD32" w:rsidR="008C398D" w:rsidRPr="0026771D" w:rsidRDefault="008A30F3" w:rsidP="00A13EE0">
      <w:pPr>
        <w:pStyle w:val="ListParagraph"/>
        <w:numPr>
          <w:ilvl w:val="0"/>
          <w:numId w:val="15"/>
        </w:numPr>
        <w:spacing w:line="360" w:lineRule="auto"/>
        <w:jc w:val="both"/>
        <w:rPr>
          <w:rFonts w:ascii="Arial" w:hAnsi="Arial" w:cs="Arial"/>
          <w:b/>
          <w:bCs/>
          <w:sz w:val="24"/>
          <w:szCs w:val="24"/>
        </w:rPr>
      </w:pPr>
      <w:r w:rsidRPr="0026771D">
        <w:rPr>
          <w:rFonts w:ascii="Arial" w:hAnsi="Arial" w:cs="Arial"/>
          <w:b/>
          <w:bCs/>
          <w:sz w:val="24"/>
          <w:szCs w:val="24"/>
        </w:rPr>
        <w:t>REFERENCES</w:t>
      </w:r>
      <w:r w:rsidR="00053623" w:rsidRPr="0026771D">
        <w:rPr>
          <w:rFonts w:ascii="Arial" w:hAnsi="Arial" w:cs="Arial"/>
          <w:b/>
          <w:bCs/>
          <w:sz w:val="24"/>
          <w:szCs w:val="24"/>
        </w:rPr>
        <w:t xml:space="preserve"> </w:t>
      </w:r>
    </w:p>
    <w:p w14:paraId="18F5BD97"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bookmarkStart w:id="8" w:name="_Hlk209189946"/>
      <w:bookmarkStart w:id="9" w:name="_Hlk209191893"/>
      <w:r w:rsidRPr="00B8359E">
        <w:rPr>
          <w:rFonts w:ascii="Arial" w:hAnsi="Arial" w:cs="Arial"/>
        </w:rPr>
        <w:t xml:space="preserve">Programme commun des Nations Unies sur le VIH/sida. (2020). Rapport mondial actualisé sur le SIDA 2020 – Agissons maintenant – Pour combattre les profondes inégalités et mettre fin aux pandémies. </w:t>
      </w:r>
      <w:hyperlink r:id="rId13" w:history="1">
        <w:r w:rsidRPr="00DA757C">
          <w:rPr>
            <w:rStyle w:val="Hyperlink"/>
            <w:rFonts w:ascii="Arial" w:hAnsi="Arial" w:cs="Arial"/>
          </w:rPr>
          <w:t>https://www.unaids.org/fr/resources/documents/2020/global-aids-update-2020</w:t>
        </w:r>
      </w:hyperlink>
      <w:r>
        <w:rPr>
          <w:rFonts w:ascii="Arial" w:hAnsi="Arial" w:cs="Arial"/>
        </w:rPr>
        <w:t xml:space="preserve"> </w:t>
      </w:r>
    </w:p>
    <w:p w14:paraId="5E4A4FBF"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Agence Nationale de la Statistique et de la Démographie (ANSD) [Sénégal], et ICF. (2018). Sénégal : Enquête Démographique et de Santé Continue (EDS-Continue 2017). </w:t>
      </w:r>
      <w:hyperlink r:id="rId14" w:history="1">
        <w:r w:rsidRPr="00DA757C">
          <w:rPr>
            <w:rStyle w:val="Hyperlink"/>
            <w:rFonts w:ascii="Arial" w:hAnsi="Arial" w:cs="Arial"/>
          </w:rPr>
          <w:t>https://dhsprogram.com/publications/publication-FR345-DHS-Final-Reports.cfm</w:t>
        </w:r>
      </w:hyperlink>
      <w:r>
        <w:rPr>
          <w:rFonts w:ascii="Arial" w:hAnsi="Arial" w:cs="Arial"/>
        </w:rPr>
        <w:t xml:space="preserve"> </w:t>
      </w:r>
    </w:p>
    <w:p w14:paraId="6E3B7930"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Agence Nationale de la Statistique et de la Démographie. (2018). Situation Economique et Sociale de la Région de Ziguinchor, édition 2017-2018. </w:t>
      </w:r>
      <w:hyperlink r:id="rId15" w:history="1">
        <w:r w:rsidRPr="00DA757C">
          <w:rPr>
            <w:rStyle w:val="Hyperlink"/>
            <w:rFonts w:ascii="Arial" w:hAnsi="Arial" w:cs="Arial"/>
          </w:rPr>
          <w:t>https://core.ac.uk/download/pdf/442646955.pdf</w:t>
        </w:r>
      </w:hyperlink>
      <w:r>
        <w:rPr>
          <w:rFonts w:ascii="Arial" w:hAnsi="Arial" w:cs="Arial"/>
        </w:rPr>
        <w:t xml:space="preserve"> </w:t>
      </w:r>
    </w:p>
    <w:p w14:paraId="42178794" w14:textId="78A50847" w:rsidR="008E66FD" w:rsidRPr="008E66FD" w:rsidRDefault="008E66FD" w:rsidP="008E66FD">
      <w:pPr>
        <w:pStyle w:val="ListParagraph"/>
        <w:numPr>
          <w:ilvl w:val="0"/>
          <w:numId w:val="16"/>
        </w:numPr>
        <w:spacing w:before="100" w:beforeAutospacing="1" w:after="100" w:afterAutospacing="1" w:line="360" w:lineRule="auto"/>
        <w:jc w:val="both"/>
        <w:rPr>
          <w:rFonts w:ascii="Arial" w:hAnsi="Arial" w:cs="Arial"/>
        </w:rPr>
      </w:pPr>
      <w:r w:rsidRPr="008E66FD">
        <w:rPr>
          <w:rFonts w:ascii="Arial" w:hAnsi="Arial" w:cs="Arial"/>
        </w:rPr>
        <w:t>Coulibaly O. Study of anemia associated with HIV/AIDS in the infectious diseases department of the Point “G” University Hospital. Doctoral dissertation, Medical thesis, Faculty of Medicine and Odontostomatology of Mali, USTTB, 2020. 49 p.</w:t>
      </w:r>
    </w:p>
    <w:p w14:paraId="508039B6"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Kushwaha, H., Joshi, A., Malviya, S., &amp; Kharia, A. (2017). Anti-Anemic activity of Hydro-alcoholic extract of Calotropis procera flower on phenylhydrazine-induced anaemic rats. *International Journal of Comprehensive and Advanced Pharmacology*, *2*(1), 6-10. </w:t>
      </w:r>
      <w:hyperlink r:id="rId16" w:history="1">
        <w:r w:rsidRPr="00DA757C">
          <w:rPr>
            <w:rStyle w:val="Hyperlink"/>
            <w:rFonts w:ascii="Arial" w:hAnsi="Arial" w:cs="Arial"/>
          </w:rPr>
          <w:t>https://www.innovativepublication.com/journal-archive/IJCAAP</w:t>
        </w:r>
      </w:hyperlink>
      <w:r>
        <w:rPr>
          <w:rFonts w:ascii="Arial" w:hAnsi="Arial" w:cs="Arial"/>
        </w:rPr>
        <w:t xml:space="preserve"> </w:t>
      </w:r>
    </w:p>
    <w:p w14:paraId="24B62E31"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Srinivasan, S., Thenmozhi, M., &amp; Vijayalakshmi, S. (2022). Finest medicinal plants governing Hematinic Property – Review. International Journal of Food and Nutritional Sciences, 11(7), 1-13. </w:t>
      </w:r>
      <w:hyperlink r:id="rId17" w:history="1">
        <w:r w:rsidRPr="00DA757C">
          <w:rPr>
            <w:rStyle w:val="Hyperlink"/>
            <w:rFonts w:ascii="Arial" w:hAnsi="Arial" w:cs="Arial"/>
          </w:rPr>
          <w:t>https://www.ijfans.org/volume-11-issue-7-2022/finest-medicinal-plants-governing-hematinic-property-review/</w:t>
        </w:r>
      </w:hyperlink>
      <w:r>
        <w:rPr>
          <w:rFonts w:ascii="Arial" w:hAnsi="Arial" w:cs="Arial"/>
        </w:rPr>
        <w:t xml:space="preserve"> </w:t>
      </w:r>
    </w:p>
    <w:p w14:paraId="616C75D1" w14:textId="77777777" w:rsidR="00B8359E" w:rsidRDefault="00B8359E" w:rsidP="008E66FD">
      <w:pPr>
        <w:pStyle w:val="ListParagraph"/>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Martinez-Torres, V., Torres, N., Davis, J. A., &amp; Corrales-Medina, F. F. (2023). Anemia and Associated Risk Factors in Pediatric Patients. Pediatric Health, Medicine and Therapeutics, 14, 267-280. </w:t>
      </w:r>
      <w:hyperlink r:id="rId18" w:history="1">
        <w:r w:rsidRPr="00DA757C">
          <w:rPr>
            <w:rStyle w:val="Hyperlink"/>
            <w:rFonts w:ascii="Arial" w:hAnsi="Arial" w:cs="Arial"/>
          </w:rPr>
          <w:t>https://doi.org/10.2147/PHMT.S389105</w:t>
        </w:r>
      </w:hyperlink>
      <w:r>
        <w:rPr>
          <w:rFonts w:ascii="Arial" w:hAnsi="Arial" w:cs="Arial"/>
        </w:rPr>
        <w:t xml:space="preserve"> </w:t>
      </w:r>
    </w:p>
    <w:p w14:paraId="50B852AE"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Abubakar, A. M., &amp; Ibrahim, R. B. (2019). Review of medicinal plants with antianaemic activity found in Nigeria. Scholars International Journal of Biochemistry, 2(8), 225-229. </w:t>
      </w:r>
      <w:hyperlink r:id="rId19" w:history="1">
        <w:r w:rsidRPr="00DA757C">
          <w:rPr>
            <w:rStyle w:val="Hyperlink"/>
            <w:rFonts w:ascii="Arial" w:hAnsi="Arial" w:cs="Arial"/>
          </w:rPr>
          <w:t>https://doi.org/10.21276/sijb.2019.2.8.3</w:t>
        </w:r>
      </w:hyperlink>
      <w:r>
        <w:rPr>
          <w:rFonts w:ascii="Arial" w:hAnsi="Arial" w:cs="Arial"/>
        </w:rPr>
        <w:t xml:space="preserve"> </w:t>
      </w:r>
    </w:p>
    <w:p w14:paraId="5DEF8B84"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Agence Nationale de la Statistique et de la Démographie. (2023). Situation Economique et Sociale de la Région de Ziguinchor, Édition 2022-2023. ANSD. </w:t>
      </w:r>
      <w:hyperlink r:id="rId20" w:history="1">
        <w:r w:rsidRPr="00DA757C">
          <w:rPr>
            <w:rStyle w:val="Hyperlink"/>
            <w:rFonts w:ascii="Arial" w:hAnsi="Arial" w:cs="Arial"/>
          </w:rPr>
          <w:t>https://www.ansd.sn/publications/ses-regionales/ses-regionale-ziguinchor-2022-2023-24-mar-2025</w:t>
        </w:r>
      </w:hyperlink>
      <w:r>
        <w:rPr>
          <w:rFonts w:ascii="Arial" w:hAnsi="Arial" w:cs="Arial"/>
        </w:rPr>
        <w:t xml:space="preserve"> </w:t>
      </w:r>
    </w:p>
    <w:p w14:paraId="62197F89" w14:textId="000F16EF" w:rsidR="008E66FD" w:rsidRPr="008E66FD" w:rsidRDefault="008E66FD" w:rsidP="008E66FD">
      <w:pPr>
        <w:pStyle w:val="ListParagraph"/>
        <w:numPr>
          <w:ilvl w:val="0"/>
          <w:numId w:val="16"/>
        </w:numPr>
        <w:spacing w:before="100" w:beforeAutospacing="1" w:after="100" w:afterAutospacing="1" w:line="360" w:lineRule="auto"/>
        <w:jc w:val="both"/>
        <w:rPr>
          <w:rFonts w:ascii="Arial" w:hAnsi="Arial" w:cs="Arial"/>
        </w:rPr>
      </w:pPr>
      <w:r w:rsidRPr="008E66FD">
        <w:rPr>
          <w:rFonts w:ascii="Arial" w:hAnsi="Arial" w:cs="Arial"/>
        </w:rPr>
        <w:t>National Agency for Statistics and Demography (ANSD) [Senegal]. Economic and Social Situation of the Kaolack and Fatick Regions, 2023.</w:t>
      </w:r>
    </w:p>
    <w:p w14:paraId="4FDA306E"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lastRenderedPageBreak/>
        <w:t>Diatta, K., Diatta, W., Mbaye, A. I., Sarr, A., Dieng, S. I. M., Seck, A., &amp; Fall, A. D. (2024). Phytotherapy Anti-</w:t>
      </w:r>
      <w:proofErr w:type="gramStart"/>
      <w:r w:rsidRPr="00C94F8D">
        <w:rPr>
          <w:rFonts w:ascii="Arial" w:hAnsi="Arial" w:cs="Arial"/>
        </w:rPr>
        <w:t>Diabetic:</w:t>
      </w:r>
      <w:proofErr w:type="gramEnd"/>
      <w:r w:rsidRPr="00C94F8D">
        <w:rPr>
          <w:rFonts w:ascii="Arial" w:hAnsi="Arial" w:cs="Arial"/>
        </w:rPr>
        <w:t xml:space="preserve"> Ethnobotanical Surveys among in the District of Mbour (Senegal). *Asian Journal of Research in Botany*, *7*(2), 286-297. </w:t>
      </w:r>
      <w:hyperlink r:id="rId21" w:history="1">
        <w:r w:rsidRPr="00DA757C">
          <w:rPr>
            <w:rStyle w:val="Hyperlink"/>
            <w:rFonts w:ascii="Arial" w:hAnsi="Arial" w:cs="Arial"/>
          </w:rPr>
          <w:t>https://journalajrib.com/index.php/AJRIB/article/view/228</w:t>
        </w:r>
      </w:hyperlink>
      <w:r>
        <w:rPr>
          <w:rFonts w:ascii="Arial" w:hAnsi="Arial" w:cs="Arial"/>
        </w:rPr>
        <w:t xml:space="preserve"> </w:t>
      </w:r>
    </w:p>
    <w:p w14:paraId="05A89861" w14:textId="566084F9" w:rsidR="008E66FD" w:rsidRPr="008E66FD" w:rsidRDefault="008E66FD" w:rsidP="008E66FD">
      <w:pPr>
        <w:pStyle w:val="ListParagraph"/>
        <w:numPr>
          <w:ilvl w:val="0"/>
          <w:numId w:val="16"/>
        </w:numPr>
        <w:spacing w:before="100" w:beforeAutospacing="1" w:after="100" w:afterAutospacing="1" w:line="360" w:lineRule="auto"/>
        <w:jc w:val="both"/>
        <w:rPr>
          <w:rFonts w:ascii="Arial" w:hAnsi="Arial" w:cs="Arial"/>
        </w:rPr>
      </w:pPr>
      <w:r w:rsidRPr="008E66FD">
        <w:rPr>
          <w:rFonts w:ascii="Arial" w:hAnsi="Arial" w:cs="Arial"/>
        </w:rPr>
        <w:t xml:space="preserve">Ibrahim Mohammed, Hauwa’u Shuaibu Mohammed, Modibbo Abdullahi Abubakar. Effect of Pterocarpus erinaceus Stem Bark Extracts on Haematological Parameters in Malaria Induced Anaemic Mice. American Journal of Chemical and Biochemical Engineering. </w:t>
      </w:r>
      <w:proofErr w:type="gramStart"/>
      <w:r w:rsidRPr="008E66FD">
        <w:rPr>
          <w:rFonts w:ascii="Arial" w:hAnsi="Arial" w:cs="Arial"/>
        </w:rPr>
        <w:t>2021;</w:t>
      </w:r>
      <w:proofErr w:type="gramEnd"/>
      <w:r w:rsidRPr="008E66FD">
        <w:rPr>
          <w:rFonts w:ascii="Arial" w:hAnsi="Arial" w:cs="Arial"/>
        </w:rPr>
        <w:t xml:space="preserve"> 5(1): 21-25. https://doi.org/10.11648/j.ajcbe.20210501.13</w:t>
      </w:r>
    </w:p>
    <w:p w14:paraId="379C0956"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Bharati, D., Nirhali, S., Puri, A., Mohite, P., &amp; Singh, S. (2025). Development, Molecular Docking, and Anti-Anemia Potential of Polyherbal Formulation. *Biology*, *14*(8), 1052. </w:t>
      </w:r>
      <w:hyperlink r:id="rId22" w:history="1">
        <w:r w:rsidRPr="00DA757C">
          <w:rPr>
            <w:rStyle w:val="Hyperlink"/>
            <w:rFonts w:ascii="Arial" w:hAnsi="Arial" w:cs="Arial"/>
          </w:rPr>
          <w:t>https://doi.org/10.3390/biology14081052</w:t>
        </w:r>
      </w:hyperlink>
      <w:r>
        <w:rPr>
          <w:rFonts w:ascii="Arial" w:hAnsi="Arial" w:cs="Arial"/>
        </w:rPr>
        <w:t xml:space="preserve"> </w:t>
      </w:r>
    </w:p>
    <w:bookmarkEnd w:id="8"/>
    <w:bookmarkEnd w:id="9"/>
    <w:p w14:paraId="3BDB7599"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Attinsounon, C. A., Dovonou, C. A., Alassani, C. A., Gomina, M., Agbodandé, K. A., Wanvoegbe, F. A., Bokpé, R., Ahanhanzo-Glele, R., Azon-Kouanou, A., &amp; Zannou, D. M. (2017). Prévalence et facteurs associés à l’anémie chez les adultes infectés par le VIH à l’initiation du traitement antirétroviral. *Médecine et Maladies Infectieuses*, *47*(4), S135-S136. </w:t>
      </w:r>
      <w:hyperlink r:id="rId23" w:history="1">
        <w:r w:rsidRPr="00DA757C">
          <w:rPr>
            <w:rStyle w:val="Hyperlink"/>
            <w:rFonts w:ascii="Arial" w:hAnsi="Arial" w:cs="Arial"/>
          </w:rPr>
          <w:t>https://doi.org/10.1016/j.medmal.2017.03.327</w:t>
        </w:r>
      </w:hyperlink>
      <w:r>
        <w:rPr>
          <w:rFonts w:ascii="Arial" w:hAnsi="Arial" w:cs="Arial"/>
        </w:rPr>
        <w:t xml:space="preserve"> </w:t>
      </w:r>
    </w:p>
    <w:p w14:paraId="0752E87B"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Ouédraogo, S., Yoda, J., Belemnaba, L., Ouédraogo, G. G., Ilboudo, S., Ouédraogo, N., Kini, F., Lompo, M., &amp; Ouédraogo, S. (2020). Etude des propriétés physicochimiques et de la qualité microbienne de matières premières à base d'écorces de tronc de khaya senegalensis A. Juss (Meliaceae) utilisées dans la production de crème et gel anti inflammatoires. International Journal of Innovation and Applied Studies, 28(3), 617-629. </w:t>
      </w:r>
      <w:hyperlink r:id="rId24" w:history="1">
        <w:r w:rsidRPr="00DA757C">
          <w:rPr>
            <w:rStyle w:val="Hyperlink"/>
            <w:rFonts w:ascii="Arial" w:hAnsi="Arial" w:cs="Arial"/>
          </w:rPr>
          <w:t>http://www.ijias.issr-journals.org/abstract.php?article=IJIAS-19-302-02</w:t>
        </w:r>
      </w:hyperlink>
      <w:r>
        <w:rPr>
          <w:rFonts w:ascii="Arial" w:hAnsi="Arial" w:cs="Arial"/>
        </w:rPr>
        <w:t xml:space="preserve"> </w:t>
      </w:r>
    </w:p>
    <w:p w14:paraId="61123EC5" w14:textId="4A284E5B" w:rsidR="008E66FD" w:rsidRPr="008E66FD" w:rsidRDefault="008E66FD" w:rsidP="008E66FD">
      <w:pPr>
        <w:pStyle w:val="ListParagraph"/>
        <w:numPr>
          <w:ilvl w:val="0"/>
          <w:numId w:val="16"/>
        </w:numPr>
        <w:spacing w:before="100" w:beforeAutospacing="1" w:after="100" w:afterAutospacing="1" w:line="360" w:lineRule="auto"/>
        <w:jc w:val="both"/>
        <w:rPr>
          <w:rFonts w:ascii="Arial" w:hAnsi="Arial" w:cs="Arial"/>
        </w:rPr>
      </w:pPr>
      <w:proofErr w:type="gramStart"/>
      <w:r w:rsidRPr="008E66FD">
        <w:rPr>
          <w:rFonts w:ascii="Arial" w:hAnsi="Arial" w:cs="Arial"/>
        </w:rPr>
        <w:t>da</w:t>
      </w:r>
      <w:proofErr w:type="gramEnd"/>
      <w:r w:rsidRPr="008E66FD">
        <w:rPr>
          <w:rFonts w:ascii="Arial" w:hAnsi="Arial" w:cs="Arial"/>
        </w:rPr>
        <w:t xml:space="preserve"> Silva BAF, Pessoa RT, da Costa RHS, de Oliveira MRC, Ramos AGB, de Lima Silva MG, da Silva LYS, Medeiros CR, Florencio SGL, Ribeiro-Filho J, Coutinho HDM, Raposo A, Yoo S, Han H, de Menezes IRA, Quinor Jútans Jútanis L.J. and anti-inflammatory properties of Ximenia americana L. (Olacaceae) bark extract in experimental models of inflammation. Biomed Pharmacother.</w:t>
      </w:r>
      <w:proofErr w:type="gramStart"/>
      <w:r w:rsidRPr="008E66FD">
        <w:rPr>
          <w:rFonts w:ascii="Arial" w:hAnsi="Arial" w:cs="Arial"/>
        </w:rPr>
        <w:t>2023;</w:t>
      </w:r>
      <w:proofErr w:type="gramEnd"/>
      <w:r w:rsidRPr="008E66FD">
        <w:rPr>
          <w:rFonts w:ascii="Arial" w:hAnsi="Arial" w:cs="Arial"/>
        </w:rPr>
        <w:t xml:space="preserve">166:115249. </w:t>
      </w:r>
      <w:proofErr w:type="gramStart"/>
      <w:r w:rsidRPr="008E66FD">
        <w:rPr>
          <w:rFonts w:ascii="Arial" w:hAnsi="Arial" w:cs="Arial"/>
        </w:rPr>
        <w:t>doi:</w:t>
      </w:r>
      <w:proofErr w:type="gramEnd"/>
      <w:r w:rsidRPr="008E66FD">
        <w:rPr>
          <w:rFonts w:ascii="Arial" w:hAnsi="Arial" w:cs="Arial"/>
        </w:rPr>
        <w:t xml:space="preserve"> 10.1016/j.biopha.2023.115249. </w:t>
      </w:r>
      <w:proofErr w:type="gramStart"/>
      <w:r w:rsidRPr="008E66FD">
        <w:rPr>
          <w:rFonts w:ascii="Arial" w:hAnsi="Arial" w:cs="Arial"/>
        </w:rPr>
        <w:t>PMID:</w:t>
      </w:r>
      <w:proofErr w:type="gramEnd"/>
      <w:r w:rsidRPr="008E66FD">
        <w:rPr>
          <w:rFonts w:ascii="Arial" w:hAnsi="Arial" w:cs="Arial"/>
        </w:rPr>
        <w:t xml:space="preserve"> 37597323.</w:t>
      </w:r>
    </w:p>
    <w:p w14:paraId="31EF3917"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Gaichu, D. M., Mathabe, P., &amp; Ngugi, M. P. (2023). Evaluation of cardiopreventive effects of Ximenia americana (Linn.) and Pappea capensis (Eckl. </w:t>
      </w:r>
      <w:proofErr w:type="gramStart"/>
      <w:r w:rsidRPr="00C94F8D">
        <w:rPr>
          <w:rFonts w:ascii="Arial" w:hAnsi="Arial" w:cs="Arial"/>
        </w:rPr>
        <w:t>and</w:t>
      </w:r>
      <w:proofErr w:type="gramEnd"/>
      <w:r w:rsidRPr="00C94F8D">
        <w:rPr>
          <w:rFonts w:ascii="Arial" w:hAnsi="Arial" w:cs="Arial"/>
        </w:rPr>
        <w:t xml:space="preserve"> Zeyh.) leaf aqueous extracts in rat models with myocardial infarction. Future Journal of Pharmaceutical Sciences. </w:t>
      </w:r>
      <w:hyperlink r:id="rId25" w:history="1">
        <w:r w:rsidRPr="00DA757C">
          <w:rPr>
            <w:rStyle w:val="Hyperlink"/>
            <w:rFonts w:ascii="Arial" w:hAnsi="Arial" w:cs="Arial"/>
          </w:rPr>
          <w:t>https://doi.org/10.1186/s43094-023-00491-3</w:t>
        </w:r>
      </w:hyperlink>
      <w:r>
        <w:rPr>
          <w:rFonts w:ascii="Arial" w:hAnsi="Arial" w:cs="Arial"/>
        </w:rPr>
        <w:t xml:space="preserve"> </w:t>
      </w:r>
    </w:p>
    <w:p w14:paraId="3CEB16C8"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Kengne Kamkui, L., Tebue, R., Pondy Bias, M. A., Foutse, Y., Djoko, E., Wona, J. P., Dimo, T., &amp; Wouessidjewe, D. (2023). P2 Investigation of the phytochemical composition and anti-inflammatory properties of Afzelia africana leaves. Journal </w:t>
      </w:r>
      <w:r w:rsidRPr="00C94F8D">
        <w:rPr>
          <w:rFonts w:ascii="Arial" w:hAnsi="Arial" w:cs="Arial"/>
        </w:rPr>
        <w:lastRenderedPageBreak/>
        <w:t xml:space="preserve">Africain de Technologie Pharmaceutique et Biopharmacie (JATPB), 2(3). </w:t>
      </w:r>
      <w:hyperlink r:id="rId26" w:history="1">
        <w:r w:rsidRPr="00DA757C">
          <w:rPr>
            <w:rStyle w:val="Hyperlink"/>
            <w:rFonts w:ascii="Arial" w:hAnsi="Arial" w:cs="Arial"/>
          </w:rPr>
          <w:t>https://doi.org/10.57220/jatpb.v2i3.132</w:t>
        </w:r>
      </w:hyperlink>
      <w:r>
        <w:rPr>
          <w:rFonts w:ascii="Arial" w:hAnsi="Arial" w:cs="Arial"/>
        </w:rPr>
        <w:t xml:space="preserve"> </w:t>
      </w:r>
    </w:p>
    <w:p w14:paraId="0D9551AE" w14:textId="77777777" w:rsidR="00C94F8D"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Owusu, G., &amp; Ofori-Amoah, J. (2017). Anti-inflammatory and Analgesic Effects of an Aqueous Extract of Lannea acida Stem Bark. British Journal of Pharmaceutical Research, 16(6), 1-8. </w:t>
      </w:r>
      <w:hyperlink r:id="rId27" w:history="1">
        <w:r w:rsidRPr="00DA757C">
          <w:rPr>
            <w:rStyle w:val="Hyperlink"/>
            <w:rFonts w:ascii="Arial" w:hAnsi="Arial" w:cs="Arial"/>
          </w:rPr>
          <w:t>https://doi.org/10.9734/BJPR/2017/33266</w:t>
        </w:r>
      </w:hyperlink>
      <w:r>
        <w:rPr>
          <w:rFonts w:ascii="Arial" w:hAnsi="Arial" w:cs="Arial"/>
        </w:rPr>
        <w:t xml:space="preserve"> </w:t>
      </w:r>
    </w:p>
    <w:p w14:paraId="26CFBD3B" w14:textId="77777777" w:rsidR="006D0C9B"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Ibraheem, S. A., Abdulameed, H. T., Jaafar, M., Tanimu, F. B., Anchau, H. G., Micah, M. M., Bashir, S. O., Barminas, J. T., &amp; Sabiu, S. (2022). Functional characterization and biological properties of pectin from Parkia biglobosa pulp. Bioactive Carbohydrates and Dietary Fibre, 27, 100300. </w:t>
      </w:r>
      <w:hyperlink r:id="rId28" w:history="1">
        <w:r w:rsidRPr="00DA757C">
          <w:rPr>
            <w:rStyle w:val="Hyperlink"/>
            <w:rFonts w:ascii="Arial" w:hAnsi="Arial" w:cs="Arial"/>
          </w:rPr>
          <w:t>https://doi.org/10.1016/j.bcdf.2021.100300</w:t>
        </w:r>
      </w:hyperlink>
      <w:r>
        <w:rPr>
          <w:rFonts w:ascii="Arial" w:hAnsi="Arial" w:cs="Arial"/>
        </w:rPr>
        <w:t xml:space="preserve"> </w:t>
      </w:r>
    </w:p>
    <w:p w14:paraId="445DAA63" w14:textId="27CAB6B3" w:rsidR="008E66FD" w:rsidRPr="006D0C9B" w:rsidRDefault="00C94F8D" w:rsidP="008E66FD">
      <w:pPr>
        <w:pStyle w:val="ListParagraph"/>
        <w:numPr>
          <w:ilvl w:val="0"/>
          <w:numId w:val="16"/>
        </w:numPr>
        <w:spacing w:before="100" w:beforeAutospacing="1" w:after="100" w:afterAutospacing="1" w:line="360" w:lineRule="auto"/>
        <w:jc w:val="both"/>
        <w:rPr>
          <w:rFonts w:ascii="Arial" w:hAnsi="Arial" w:cs="Arial"/>
        </w:rPr>
      </w:pPr>
      <w:r w:rsidRPr="006D0C9B">
        <w:rPr>
          <w:rFonts w:ascii="Arial" w:hAnsi="Arial" w:cs="Arial"/>
        </w:rPr>
        <w:t xml:space="preserve">Araújo-Pereira, M., Sheikh, V., Sereti, I., Barreto-Duarte, B., Arriaga, M. I. B., Tibúrcio, R., Vinhaes, C. L., Pinto-de-Almeida, M., Wang, J., Rupert, A., Roby, G., Shaffer, D., Ananworanich, J., Phanuphak, N., Sawe, F., &amp; Andrade, B. B. (2022). Association between severe anaemia and inflammation, risk of IRIS and death in persons with </w:t>
      </w:r>
      <w:proofErr w:type="gramStart"/>
      <w:r w:rsidRPr="006D0C9B">
        <w:rPr>
          <w:rFonts w:ascii="Arial" w:hAnsi="Arial" w:cs="Arial"/>
        </w:rPr>
        <w:t>HIV:</w:t>
      </w:r>
      <w:proofErr w:type="gramEnd"/>
      <w:r w:rsidRPr="006D0C9B">
        <w:rPr>
          <w:rFonts w:ascii="Arial" w:hAnsi="Arial" w:cs="Arial"/>
        </w:rPr>
        <w:t xml:space="preserve"> A multinational cohort study. eBioMedicine, 85, 104309. </w:t>
      </w:r>
      <w:hyperlink r:id="rId29" w:history="1">
        <w:r w:rsidRPr="006D0C9B">
          <w:rPr>
            <w:rStyle w:val="Hyperlink"/>
            <w:rFonts w:ascii="Arial" w:hAnsi="Arial" w:cs="Arial"/>
          </w:rPr>
          <w:t>https://doi.org/10.1016/j.ebiom.2022.104309</w:t>
        </w:r>
      </w:hyperlink>
      <w:r w:rsidRPr="006D0C9B">
        <w:rPr>
          <w:rFonts w:ascii="Arial" w:hAnsi="Arial" w:cs="Arial"/>
        </w:rPr>
        <w:t xml:space="preserve"> </w:t>
      </w:r>
    </w:p>
    <w:p w14:paraId="2EA5AD3E" w14:textId="77777777" w:rsidR="00C94F8D" w:rsidRPr="00EC09B2" w:rsidRDefault="00C94F8D" w:rsidP="008E66FD">
      <w:pPr>
        <w:spacing w:before="100" w:beforeAutospacing="1" w:after="100" w:afterAutospacing="1" w:line="360" w:lineRule="auto"/>
        <w:jc w:val="both"/>
        <w:rPr>
          <w:rFonts w:ascii="Arial" w:hAnsi="Arial" w:cs="Arial"/>
          <w:lang w:val="en-IN"/>
        </w:rPr>
      </w:pPr>
    </w:p>
    <w:sectPr w:rsidR="00C94F8D" w:rsidRPr="00EC09B2" w:rsidSect="00066680">
      <w:headerReference w:type="even" r:id="rId30"/>
      <w:headerReference w:type="default" r:id="rId31"/>
      <w:footerReference w:type="even" r:id="rId32"/>
      <w:footerReference w:type="default" r:id="rId33"/>
      <w:headerReference w:type="first" r:id="rId34"/>
      <w:footerReference w:type="first" r:id="rId3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F844" w14:textId="77777777" w:rsidR="00692C8A" w:rsidRDefault="00692C8A" w:rsidP="00B41C44">
      <w:r>
        <w:separator/>
      </w:r>
    </w:p>
  </w:endnote>
  <w:endnote w:type="continuationSeparator" w:id="0">
    <w:p w14:paraId="2CE9449F" w14:textId="77777777" w:rsidR="00692C8A" w:rsidRDefault="00692C8A" w:rsidP="00B4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08D2" w14:textId="77777777" w:rsidR="001407C3" w:rsidRDefault="00140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567157"/>
      <w:docPartObj>
        <w:docPartGallery w:val="Page Numbers (Bottom of Page)"/>
        <w:docPartUnique/>
      </w:docPartObj>
    </w:sdtPr>
    <w:sdtEndPr>
      <w:rPr>
        <w:rFonts w:ascii="Arial" w:hAnsi="Arial" w:cs="Arial"/>
        <w:b/>
        <w:bCs/>
        <w:sz w:val="24"/>
        <w:szCs w:val="24"/>
      </w:rPr>
    </w:sdtEndPr>
    <w:sdtContent>
      <w:p w14:paraId="6043E71F" w14:textId="51CE28C4" w:rsidR="00A13EE0" w:rsidRPr="00A13EE0" w:rsidRDefault="00A13EE0">
        <w:pPr>
          <w:pStyle w:val="Footer"/>
          <w:jc w:val="center"/>
          <w:rPr>
            <w:rFonts w:ascii="Arial" w:hAnsi="Arial" w:cs="Arial"/>
            <w:b/>
            <w:bCs/>
            <w:sz w:val="24"/>
            <w:szCs w:val="24"/>
          </w:rPr>
        </w:pPr>
        <w:r w:rsidRPr="00A13EE0">
          <w:rPr>
            <w:rFonts w:ascii="Arial" w:hAnsi="Arial" w:cs="Arial"/>
            <w:b/>
            <w:bCs/>
            <w:sz w:val="24"/>
            <w:szCs w:val="24"/>
          </w:rPr>
          <w:fldChar w:fldCharType="begin"/>
        </w:r>
        <w:r w:rsidRPr="00A13EE0">
          <w:rPr>
            <w:rFonts w:ascii="Arial" w:hAnsi="Arial" w:cs="Arial"/>
            <w:b/>
            <w:bCs/>
            <w:sz w:val="24"/>
            <w:szCs w:val="24"/>
          </w:rPr>
          <w:instrText>PAGE   \* MERGEFORMAT</w:instrText>
        </w:r>
        <w:r w:rsidRPr="00A13EE0">
          <w:rPr>
            <w:rFonts w:ascii="Arial" w:hAnsi="Arial" w:cs="Arial"/>
            <w:b/>
            <w:bCs/>
            <w:sz w:val="24"/>
            <w:szCs w:val="24"/>
          </w:rPr>
          <w:fldChar w:fldCharType="separate"/>
        </w:r>
        <w:r w:rsidRPr="00A13EE0">
          <w:rPr>
            <w:rFonts w:ascii="Arial" w:hAnsi="Arial" w:cs="Arial"/>
            <w:b/>
            <w:bCs/>
            <w:sz w:val="24"/>
            <w:szCs w:val="24"/>
          </w:rPr>
          <w:t>2</w:t>
        </w:r>
        <w:r w:rsidRPr="00A13EE0">
          <w:rPr>
            <w:rFonts w:ascii="Arial" w:hAnsi="Arial" w:cs="Arial"/>
            <w:b/>
            <w:bCs/>
            <w:sz w:val="24"/>
            <w:szCs w:val="24"/>
          </w:rPr>
          <w:fldChar w:fldCharType="end"/>
        </w:r>
      </w:p>
    </w:sdtContent>
  </w:sdt>
  <w:p w14:paraId="451A3BD3" w14:textId="77777777" w:rsidR="00A13EE0" w:rsidRDefault="00A13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D89B" w14:textId="77777777" w:rsidR="001407C3" w:rsidRDefault="0014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E9DD" w14:textId="77777777" w:rsidR="00692C8A" w:rsidRDefault="00692C8A" w:rsidP="00B41C44">
      <w:r>
        <w:separator/>
      </w:r>
    </w:p>
  </w:footnote>
  <w:footnote w:type="continuationSeparator" w:id="0">
    <w:p w14:paraId="10904C3C" w14:textId="77777777" w:rsidR="00692C8A" w:rsidRDefault="00692C8A" w:rsidP="00B4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3EB3" w14:textId="51EC32EE" w:rsidR="001407C3" w:rsidRDefault="001407C3">
    <w:pPr>
      <w:pStyle w:val="Header"/>
    </w:pPr>
    <w:r>
      <w:rPr>
        <w:noProof/>
      </w:rPr>
      <w:pict w14:anchorId="1427B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2"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5E84" w14:textId="22DD2F41" w:rsidR="001407C3" w:rsidRDefault="001407C3">
    <w:pPr>
      <w:pStyle w:val="Header"/>
    </w:pPr>
    <w:r>
      <w:rPr>
        <w:noProof/>
      </w:rPr>
      <w:pict w14:anchorId="71353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3"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B596" w14:textId="58D1D644" w:rsidR="001407C3" w:rsidRDefault="001407C3">
    <w:pPr>
      <w:pStyle w:val="Header"/>
    </w:pPr>
    <w:r>
      <w:rPr>
        <w:noProof/>
      </w:rPr>
      <w:pict w14:anchorId="4A131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1"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C92"/>
    <w:multiLevelType w:val="hybridMultilevel"/>
    <w:tmpl w:val="F7AE76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44B3C"/>
    <w:multiLevelType w:val="multilevel"/>
    <w:tmpl w:val="73E69B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F80768"/>
    <w:multiLevelType w:val="hybridMultilevel"/>
    <w:tmpl w:val="4FF49FDA"/>
    <w:lvl w:ilvl="0" w:tplc="FAFACC3A">
      <w:start w:val="1"/>
      <w:numFmt w:val="decimal"/>
      <w:lvlText w:val="%1."/>
      <w:lvlJc w:val="left"/>
      <w:pPr>
        <w:ind w:left="360" w:hanging="360"/>
      </w:pPr>
      <w:rPr>
        <w:b/>
      </w:rPr>
    </w:lvl>
    <w:lvl w:ilvl="1" w:tplc="A4B89F56">
      <w:start w:val="1"/>
      <w:numFmt w:val="lowerLetter"/>
      <w:lvlText w:val="%2."/>
      <w:lvlJc w:val="left"/>
      <w:pPr>
        <w:ind w:left="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89A3005"/>
    <w:multiLevelType w:val="hybridMultilevel"/>
    <w:tmpl w:val="DB74B486"/>
    <w:lvl w:ilvl="0" w:tplc="040C000F">
      <w:start w:val="1"/>
      <w:numFmt w:val="decimal"/>
      <w:lvlText w:val="%1."/>
      <w:lvlJc w:val="left"/>
      <w:pPr>
        <w:ind w:left="742" w:hanging="360"/>
      </w:pPr>
    </w:lvl>
    <w:lvl w:ilvl="1" w:tplc="040C0019" w:tentative="1">
      <w:start w:val="1"/>
      <w:numFmt w:val="lowerLetter"/>
      <w:lvlText w:val="%2."/>
      <w:lvlJc w:val="left"/>
      <w:pPr>
        <w:ind w:left="1462" w:hanging="360"/>
      </w:pPr>
    </w:lvl>
    <w:lvl w:ilvl="2" w:tplc="040C001B" w:tentative="1">
      <w:start w:val="1"/>
      <w:numFmt w:val="lowerRoman"/>
      <w:lvlText w:val="%3."/>
      <w:lvlJc w:val="right"/>
      <w:pPr>
        <w:ind w:left="2182" w:hanging="180"/>
      </w:pPr>
    </w:lvl>
    <w:lvl w:ilvl="3" w:tplc="040C000F" w:tentative="1">
      <w:start w:val="1"/>
      <w:numFmt w:val="decimal"/>
      <w:lvlText w:val="%4."/>
      <w:lvlJc w:val="left"/>
      <w:pPr>
        <w:ind w:left="2902" w:hanging="360"/>
      </w:pPr>
    </w:lvl>
    <w:lvl w:ilvl="4" w:tplc="040C0019" w:tentative="1">
      <w:start w:val="1"/>
      <w:numFmt w:val="lowerLetter"/>
      <w:lvlText w:val="%5."/>
      <w:lvlJc w:val="left"/>
      <w:pPr>
        <w:ind w:left="3622" w:hanging="360"/>
      </w:pPr>
    </w:lvl>
    <w:lvl w:ilvl="5" w:tplc="040C001B" w:tentative="1">
      <w:start w:val="1"/>
      <w:numFmt w:val="lowerRoman"/>
      <w:lvlText w:val="%6."/>
      <w:lvlJc w:val="right"/>
      <w:pPr>
        <w:ind w:left="4342" w:hanging="180"/>
      </w:pPr>
    </w:lvl>
    <w:lvl w:ilvl="6" w:tplc="040C000F" w:tentative="1">
      <w:start w:val="1"/>
      <w:numFmt w:val="decimal"/>
      <w:lvlText w:val="%7."/>
      <w:lvlJc w:val="left"/>
      <w:pPr>
        <w:ind w:left="5062" w:hanging="360"/>
      </w:pPr>
    </w:lvl>
    <w:lvl w:ilvl="7" w:tplc="040C0019" w:tentative="1">
      <w:start w:val="1"/>
      <w:numFmt w:val="lowerLetter"/>
      <w:lvlText w:val="%8."/>
      <w:lvlJc w:val="left"/>
      <w:pPr>
        <w:ind w:left="5782" w:hanging="360"/>
      </w:pPr>
    </w:lvl>
    <w:lvl w:ilvl="8" w:tplc="040C001B" w:tentative="1">
      <w:start w:val="1"/>
      <w:numFmt w:val="lowerRoman"/>
      <w:lvlText w:val="%9."/>
      <w:lvlJc w:val="right"/>
      <w:pPr>
        <w:ind w:left="6502" w:hanging="180"/>
      </w:pPr>
    </w:lvl>
  </w:abstractNum>
  <w:abstractNum w:abstractNumId="4" w15:restartNumberingAfterBreak="0">
    <w:nsid w:val="09577470"/>
    <w:multiLevelType w:val="multilevel"/>
    <w:tmpl w:val="C2DE7A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040020"/>
    <w:multiLevelType w:val="hybridMultilevel"/>
    <w:tmpl w:val="B97EB8BC"/>
    <w:lvl w:ilvl="0" w:tplc="040C000B">
      <w:start w:val="1"/>
      <w:numFmt w:val="bullet"/>
      <w:lvlText w:val=""/>
      <w:lvlJc w:val="left"/>
      <w:pPr>
        <w:ind w:left="720" w:hanging="360"/>
      </w:pPr>
      <w:rPr>
        <w:rFonts w:ascii="Wingdings" w:hAnsi="Wingdings"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55C00"/>
    <w:multiLevelType w:val="hybridMultilevel"/>
    <w:tmpl w:val="5518D920"/>
    <w:lvl w:ilvl="0" w:tplc="953A68E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F7D25"/>
    <w:multiLevelType w:val="hybridMultilevel"/>
    <w:tmpl w:val="8EEA3DAA"/>
    <w:lvl w:ilvl="0" w:tplc="040C000B">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3120D3"/>
    <w:multiLevelType w:val="hybridMultilevel"/>
    <w:tmpl w:val="E4FACB8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E6C1556"/>
    <w:multiLevelType w:val="hybridMultilevel"/>
    <w:tmpl w:val="E9144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FC47DE"/>
    <w:multiLevelType w:val="hybridMultilevel"/>
    <w:tmpl w:val="07DA7D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0062C7"/>
    <w:multiLevelType w:val="hybridMultilevel"/>
    <w:tmpl w:val="4AC6194A"/>
    <w:lvl w:ilvl="0" w:tplc="9DC882FE">
      <w:start w:val="1"/>
      <w:numFmt w:val="decimal"/>
      <w:lvlText w:val="%1."/>
      <w:lvlJc w:val="left"/>
      <w:pPr>
        <w:ind w:left="360" w:hanging="360"/>
      </w:pPr>
      <w:rPr>
        <w:rFonts w:hint="default"/>
        <w:b/>
        <w:bCs/>
      </w:rPr>
    </w:lvl>
    <w:lvl w:ilvl="1" w:tplc="040C0019" w:tentative="1">
      <w:start w:val="1"/>
      <w:numFmt w:val="lowerLetter"/>
      <w:lvlText w:val="%2."/>
      <w:lvlJc w:val="left"/>
      <w:pPr>
        <w:ind w:left="338" w:hanging="360"/>
      </w:pPr>
    </w:lvl>
    <w:lvl w:ilvl="2" w:tplc="040C001B" w:tentative="1">
      <w:start w:val="1"/>
      <w:numFmt w:val="lowerRoman"/>
      <w:lvlText w:val="%3."/>
      <w:lvlJc w:val="right"/>
      <w:pPr>
        <w:ind w:left="1058" w:hanging="180"/>
      </w:pPr>
    </w:lvl>
    <w:lvl w:ilvl="3" w:tplc="040C000F" w:tentative="1">
      <w:start w:val="1"/>
      <w:numFmt w:val="decimal"/>
      <w:lvlText w:val="%4."/>
      <w:lvlJc w:val="left"/>
      <w:pPr>
        <w:ind w:left="1778" w:hanging="360"/>
      </w:pPr>
    </w:lvl>
    <w:lvl w:ilvl="4" w:tplc="040C0019" w:tentative="1">
      <w:start w:val="1"/>
      <w:numFmt w:val="lowerLetter"/>
      <w:lvlText w:val="%5."/>
      <w:lvlJc w:val="left"/>
      <w:pPr>
        <w:ind w:left="2498" w:hanging="360"/>
      </w:pPr>
    </w:lvl>
    <w:lvl w:ilvl="5" w:tplc="040C001B" w:tentative="1">
      <w:start w:val="1"/>
      <w:numFmt w:val="lowerRoman"/>
      <w:lvlText w:val="%6."/>
      <w:lvlJc w:val="right"/>
      <w:pPr>
        <w:ind w:left="3218" w:hanging="180"/>
      </w:pPr>
    </w:lvl>
    <w:lvl w:ilvl="6" w:tplc="040C000F" w:tentative="1">
      <w:start w:val="1"/>
      <w:numFmt w:val="decimal"/>
      <w:lvlText w:val="%7."/>
      <w:lvlJc w:val="left"/>
      <w:pPr>
        <w:ind w:left="3938" w:hanging="360"/>
      </w:pPr>
    </w:lvl>
    <w:lvl w:ilvl="7" w:tplc="040C0019" w:tentative="1">
      <w:start w:val="1"/>
      <w:numFmt w:val="lowerLetter"/>
      <w:lvlText w:val="%8."/>
      <w:lvlJc w:val="left"/>
      <w:pPr>
        <w:ind w:left="4658" w:hanging="360"/>
      </w:pPr>
    </w:lvl>
    <w:lvl w:ilvl="8" w:tplc="040C001B" w:tentative="1">
      <w:start w:val="1"/>
      <w:numFmt w:val="lowerRoman"/>
      <w:lvlText w:val="%9."/>
      <w:lvlJc w:val="right"/>
      <w:pPr>
        <w:ind w:left="5378" w:hanging="180"/>
      </w:pPr>
    </w:lvl>
  </w:abstractNum>
  <w:abstractNum w:abstractNumId="12" w15:restartNumberingAfterBreak="0">
    <w:nsid w:val="60543DFC"/>
    <w:multiLevelType w:val="hybridMultilevel"/>
    <w:tmpl w:val="DE564580"/>
    <w:lvl w:ilvl="0" w:tplc="123AC0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A306FA"/>
    <w:multiLevelType w:val="hybridMultilevel"/>
    <w:tmpl w:val="9BE4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525EA"/>
    <w:multiLevelType w:val="multilevel"/>
    <w:tmpl w:val="040C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CC15D7"/>
    <w:multiLevelType w:val="hybridMultilevel"/>
    <w:tmpl w:val="9D160150"/>
    <w:lvl w:ilvl="0" w:tplc="040C000F">
      <w:start w:val="1"/>
      <w:numFmt w:val="decimal"/>
      <w:lvlText w:val="%1."/>
      <w:lvlJc w:val="left"/>
      <w:pPr>
        <w:ind w:left="360" w:hanging="360"/>
      </w:pPr>
      <w:rPr>
        <w:rFonts w:hint="default"/>
        <w:color w:val="21212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10"/>
  </w:num>
  <w:num w:numId="3">
    <w:abstractNumId w:val="1"/>
  </w:num>
  <w:num w:numId="4">
    <w:abstractNumId w:val="7"/>
  </w:num>
  <w:num w:numId="5">
    <w:abstractNumId w:val="11"/>
  </w:num>
  <w:num w:numId="6">
    <w:abstractNumId w:val="15"/>
  </w:num>
  <w:num w:numId="7">
    <w:abstractNumId w:val="12"/>
  </w:num>
  <w:num w:numId="8">
    <w:abstractNumId w:val="3"/>
  </w:num>
  <w:num w:numId="9">
    <w:abstractNumId w:val="0"/>
  </w:num>
  <w:num w:numId="10">
    <w:abstractNumId w:val="6"/>
  </w:num>
  <w:num w:numId="11">
    <w:abstractNumId w:val="5"/>
  </w:num>
  <w:num w:numId="12">
    <w:abstractNumId w:val="9"/>
  </w:num>
  <w:num w:numId="13">
    <w:abstractNumId w:val="8"/>
  </w:num>
  <w:num w:numId="14">
    <w:abstractNumId w:val="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42"/>
    <w:rsid w:val="00002AD2"/>
    <w:rsid w:val="00006916"/>
    <w:rsid w:val="00030347"/>
    <w:rsid w:val="000310F7"/>
    <w:rsid w:val="00032ACD"/>
    <w:rsid w:val="000410B5"/>
    <w:rsid w:val="00046C6D"/>
    <w:rsid w:val="00050D90"/>
    <w:rsid w:val="00053091"/>
    <w:rsid w:val="00053623"/>
    <w:rsid w:val="00053AD0"/>
    <w:rsid w:val="00065E8C"/>
    <w:rsid w:val="00066680"/>
    <w:rsid w:val="00072539"/>
    <w:rsid w:val="0008344F"/>
    <w:rsid w:val="00087BEE"/>
    <w:rsid w:val="0009013B"/>
    <w:rsid w:val="000A07EC"/>
    <w:rsid w:val="000C3865"/>
    <w:rsid w:val="000C6635"/>
    <w:rsid w:val="000D24B7"/>
    <w:rsid w:val="000D52F4"/>
    <w:rsid w:val="000E4772"/>
    <w:rsid w:val="000E5C0E"/>
    <w:rsid w:val="001043FC"/>
    <w:rsid w:val="00104E94"/>
    <w:rsid w:val="00114A76"/>
    <w:rsid w:val="0012530F"/>
    <w:rsid w:val="00136901"/>
    <w:rsid w:val="001407C3"/>
    <w:rsid w:val="001717D6"/>
    <w:rsid w:val="00171C07"/>
    <w:rsid w:val="001755A2"/>
    <w:rsid w:val="001805AD"/>
    <w:rsid w:val="00180C9C"/>
    <w:rsid w:val="001A0614"/>
    <w:rsid w:val="001B529A"/>
    <w:rsid w:val="001B6723"/>
    <w:rsid w:val="001C1DE8"/>
    <w:rsid w:val="001D0969"/>
    <w:rsid w:val="001E140C"/>
    <w:rsid w:val="001E487D"/>
    <w:rsid w:val="00207AAE"/>
    <w:rsid w:val="00211B69"/>
    <w:rsid w:val="0022573C"/>
    <w:rsid w:val="00226C0D"/>
    <w:rsid w:val="00243C42"/>
    <w:rsid w:val="00262389"/>
    <w:rsid w:val="0026771D"/>
    <w:rsid w:val="002742BF"/>
    <w:rsid w:val="00282B81"/>
    <w:rsid w:val="00294C8E"/>
    <w:rsid w:val="002A7E67"/>
    <w:rsid w:val="002D4056"/>
    <w:rsid w:val="002D6C21"/>
    <w:rsid w:val="002E120F"/>
    <w:rsid w:val="002E30DC"/>
    <w:rsid w:val="002E6395"/>
    <w:rsid w:val="00313D5F"/>
    <w:rsid w:val="0032429C"/>
    <w:rsid w:val="0032441E"/>
    <w:rsid w:val="00334702"/>
    <w:rsid w:val="003464BC"/>
    <w:rsid w:val="00367727"/>
    <w:rsid w:val="00371364"/>
    <w:rsid w:val="00371B60"/>
    <w:rsid w:val="00372237"/>
    <w:rsid w:val="00376A8C"/>
    <w:rsid w:val="003854FC"/>
    <w:rsid w:val="00396E31"/>
    <w:rsid w:val="003A6AE1"/>
    <w:rsid w:val="003C5DB7"/>
    <w:rsid w:val="003D4BEC"/>
    <w:rsid w:val="00400435"/>
    <w:rsid w:val="00423578"/>
    <w:rsid w:val="00425D31"/>
    <w:rsid w:val="00430567"/>
    <w:rsid w:val="00431AD4"/>
    <w:rsid w:val="004329CB"/>
    <w:rsid w:val="00432BE5"/>
    <w:rsid w:val="0043306B"/>
    <w:rsid w:val="00460276"/>
    <w:rsid w:val="004621BF"/>
    <w:rsid w:val="00464D69"/>
    <w:rsid w:val="00464E38"/>
    <w:rsid w:val="004760C4"/>
    <w:rsid w:val="00490CCE"/>
    <w:rsid w:val="004A030E"/>
    <w:rsid w:val="004A3D69"/>
    <w:rsid w:val="004D0112"/>
    <w:rsid w:val="004D35E5"/>
    <w:rsid w:val="004F713B"/>
    <w:rsid w:val="00501589"/>
    <w:rsid w:val="00502EA7"/>
    <w:rsid w:val="00504FCF"/>
    <w:rsid w:val="005153A9"/>
    <w:rsid w:val="00542336"/>
    <w:rsid w:val="00544B19"/>
    <w:rsid w:val="00547343"/>
    <w:rsid w:val="005563A2"/>
    <w:rsid w:val="00556597"/>
    <w:rsid w:val="005571BD"/>
    <w:rsid w:val="00557556"/>
    <w:rsid w:val="0056157F"/>
    <w:rsid w:val="00565BDE"/>
    <w:rsid w:val="00571695"/>
    <w:rsid w:val="00577717"/>
    <w:rsid w:val="005A117B"/>
    <w:rsid w:val="005A768F"/>
    <w:rsid w:val="005C6D1D"/>
    <w:rsid w:val="005E062A"/>
    <w:rsid w:val="00600BE4"/>
    <w:rsid w:val="00603CE2"/>
    <w:rsid w:val="00610055"/>
    <w:rsid w:val="006225C9"/>
    <w:rsid w:val="006341CF"/>
    <w:rsid w:val="00634C22"/>
    <w:rsid w:val="00635D6A"/>
    <w:rsid w:val="00636D46"/>
    <w:rsid w:val="006702C1"/>
    <w:rsid w:val="00672E86"/>
    <w:rsid w:val="00674DDC"/>
    <w:rsid w:val="00680115"/>
    <w:rsid w:val="00683700"/>
    <w:rsid w:val="00683F56"/>
    <w:rsid w:val="00685C2A"/>
    <w:rsid w:val="00692C8A"/>
    <w:rsid w:val="006A6A8B"/>
    <w:rsid w:val="006C3264"/>
    <w:rsid w:val="006D0C9B"/>
    <w:rsid w:val="006F1BBB"/>
    <w:rsid w:val="006F3A9E"/>
    <w:rsid w:val="0071728C"/>
    <w:rsid w:val="0072717D"/>
    <w:rsid w:val="00731FB1"/>
    <w:rsid w:val="007454A4"/>
    <w:rsid w:val="00752361"/>
    <w:rsid w:val="007661EA"/>
    <w:rsid w:val="007720E9"/>
    <w:rsid w:val="0078603F"/>
    <w:rsid w:val="00786AF6"/>
    <w:rsid w:val="007A06B0"/>
    <w:rsid w:val="007A1500"/>
    <w:rsid w:val="007C0EE9"/>
    <w:rsid w:val="007C3536"/>
    <w:rsid w:val="007C49BB"/>
    <w:rsid w:val="007C57CE"/>
    <w:rsid w:val="007E0562"/>
    <w:rsid w:val="0081365F"/>
    <w:rsid w:val="00813F0E"/>
    <w:rsid w:val="008161B4"/>
    <w:rsid w:val="00816635"/>
    <w:rsid w:val="008319F0"/>
    <w:rsid w:val="00852F92"/>
    <w:rsid w:val="00854D78"/>
    <w:rsid w:val="00863FCE"/>
    <w:rsid w:val="00883B57"/>
    <w:rsid w:val="00885E6B"/>
    <w:rsid w:val="008A30F3"/>
    <w:rsid w:val="008C398D"/>
    <w:rsid w:val="008D59AC"/>
    <w:rsid w:val="008E66FD"/>
    <w:rsid w:val="008F0159"/>
    <w:rsid w:val="008F5A82"/>
    <w:rsid w:val="00907E4E"/>
    <w:rsid w:val="00921525"/>
    <w:rsid w:val="00925206"/>
    <w:rsid w:val="009536C1"/>
    <w:rsid w:val="00955558"/>
    <w:rsid w:val="00957D4E"/>
    <w:rsid w:val="00957F42"/>
    <w:rsid w:val="009605EE"/>
    <w:rsid w:val="009732EE"/>
    <w:rsid w:val="009A15B8"/>
    <w:rsid w:val="009A32EF"/>
    <w:rsid w:val="009A4B7A"/>
    <w:rsid w:val="009D67F9"/>
    <w:rsid w:val="009D7729"/>
    <w:rsid w:val="009F13FE"/>
    <w:rsid w:val="009F5CCC"/>
    <w:rsid w:val="00A022AA"/>
    <w:rsid w:val="00A045D3"/>
    <w:rsid w:val="00A13EE0"/>
    <w:rsid w:val="00A1667F"/>
    <w:rsid w:val="00A17240"/>
    <w:rsid w:val="00A46244"/>
    <w:rsid w:val="00A51B89"/>
    <w:rsid w:val="00A54802"/>
    <w:rsid w:val="00A54F76"/>
    <w:rsid w:val="00A5700B"/>
    <w:rsid w:val="00A60267"/>
    <w:rsid w:val="00A735C5"/>
    <w:rsid w:val="00A80879"/>
    <w:rsid w:val="00A84666"/>
    <w:rsid w:val="00A93774"/>
    <w:rsid w:val="00AA2FD4"/>
    <w:rsid w:val="00AC64DC"/>
    <w:rsid w:val="00AC7370"/>
    <w:rsid w:val="00AE02A2"/>
    <w:rsid w:val="00AE51D9"/>
    <w:rsid w:val="00AF00F3"/>
    <w:rsid w:val="00AF32A6"/>
    <w:rsid w:val="00AF4140"/>
    <w:rsid w:val="00AF55BA"/>
    <w:rsid w:val="00AF5FF4"/>
    <w:rsid w:val="00B03E78"/>
    <w:rsid w:val="00B2190D"/>
    <w:rsid w:val="00B328DC"/>
    <w:rsid w:val="00B36325"/>
    <w:rsid w:val="00B41C44"/>
    <w:rsid w:val="00B61020"/>
    <w:rsid w:val="00B64CE0"/>
    <w:rsid w:val="00B81A2B"/>
    <w:rsid w:val="00B81B9C"/>
    <w:rsid w:val="00B81C2C"/>
    <w:rsid w:val="00B81D19"/>
    <w:rsid w:val="00B8359E"/>
    <w:rsid w:val="00BA282A"/>
    <w:rsid w:val="00BB3F3D"/>
    <w:rsid w:val="00BB6D76"/>
    <w:rsid w:val="00BD4B3C"/>
    <w:rsid w:val="00BE32DC"/>
    <w:rsid w:val="00BF5005"/>
    <w:rsid w:val="00C0602A"/>
    <w:rsid w:val="00C142D9"/>
    <w:rsid w:val="00C1792F"/>
    <w:rsid w:val="00C22EDA"/>
    <w:rsid w:val="00C233BB"/>
    <w:rsid w:val="00C43F68"/>
    <w:rsid w:val="00C45552"/>
    <w:rsid w:val="00C626BC"/>
    <w:rsid w:val="00C660E5"/>
    <w:rsid w:val="00C67E0B"/>
    <w:rsid w:val="00C740AD"/>
    <w:rsid w:val="00C76C35"/>
    <w:rsid w:val="00C94F8D"/>
    <w:rsid w:val="00CA08C5"/>
    <w:rsid w:val="00CA12C3"/>
    <w:rsid w:val="00CB4561"/>
    <w:rsid w:val="00CB5F94"/>
    <w:rsid w:val="00CB7928"/>
    <w:rsid w:val="00CC77E7"/>
    <w:rsid w:val="00CC7FB5"/>
    <w:rsid w:val="00CD3FA8"/>
    <w:rsid w:val="00CD7991"/>
    <w:rsid w:val="00CE1204"/>
    <w:rsid w:val="00CF247D"/>
    <w:rsid w:val="00CF5322"/>
    <w:rsid w:val="00D47065"/>
    <w:rsid w:val="00D54D20"/>
    <w:rsid w:val="00D55289"/>
    <w:rsid w:val="00D569A9"/>
    <w:rsid w:val="00D56C56"/>
    <w:rsid w:val="00D65518"/>
    <w:rsid w:val="00D9541C"/>
    <w:rsid w:val="00DA104F"/>
    <w:rsid w:val="00DB60E7"/>
    <w:rsid w:val="00DC703C"/>
    <w:rsid w:val="00DD4F32"/>
    <w:rsid w:val="00DD4FAB"/>
    <w:rsid w:val="00DE0389"/>
    <w:rsid w:val="00DF0884"/>
    <w:rsid w:val="00E067E7"/>
    <w:rsid w:val="00E06E3D"/>
    <w:rsid w:val="00E120BA"/>
    <w:rsid w:val="00E2484C"/>
    <w:rsid w:val="00E25F46"/>
    <w:rsid w:val="00E26A37"/>
    <w:rsid w:val="00E2745A"/>
    <w:rsid w:val="00E36DE0"/>
    <w:rsid w:val="00E50B84"/>
    <w:rsid w:val="00E51AF9"/>
    <w:rsid w:val="00E531CC"/>
    <w:rsid w:val="00E56FEC"/>
    <w:rsid w:val="00E71258"/>
    <w:rsid w:val="00E779B8"/>
    <w:rsid w:val="00E80336"/>
    <w:rsid w:val="00E9179E"/>
    <w:rsid w:val="00EA1ECB"/>
    <w:rsid w:val="00EA350D"/>
    <w:rsid w:val="00EA7736"/>
    <w:rsid w:val="00EC09B2"/>
    <w:rsid w:val="00EC6B8B"/>
    <w:rsid w:val="00EE15DC"/>
    <w:rsid w:val="00EE2D9B"/>
    <w:rsid w:val="00EE64FB"/>
    <w:rsid w:val="00EF1E17"/>
    <w:rsid w:val="00F00505"/>
    <w:rsid w:val="00F227E1"/>
    <w:rsid w:val="00F27BCF"/>
    <w:rsid w:val="00F322B6"/>
    <w:rsid w:val="00F46C3B"/>
    <w:rsid w:val="00F56E4E"/>
    <w:rsid w:val="00F66501"/>
    <w:rsid w:val="00F7291F"/>
    <w:rsid w:val="00F940FF"/>
    <w:rsid w:val="00F9716D"/>
    <w:rsid w:val="00FA3B18"/>
    <w:rsid w:val="00FB0A6E"/>
    <w:rsid w:val="00FB0AB4"/>
    <w:rsid w:val="00FB4466"/>
    <w:rsid w:val="00FB4C3E"/>
    <w:rsid w:val="00FC3336"/>
    <w:rsid w:val="00FE7FA7"/>
  </w:rsids>
  <m:mathPr>
    <m:mathFont m:val="Cambria Math"/>
    <m:brkBin m:val="before"/>
    <m:brkBinSub m:val="--"/>
    <m:smallFrac m:val="0"/>
    <m:dispDef/>
    <m:lMargin m:val="0"/>
    <m:rMargin m:val="0"/>
    <m:defJc m:val="centerGroup"/>
    <m:wrapIndent m:val="1440"/>
    <m:intLim m:val="subSup"/>
    <m:naryLim m:val="undOvr"/>
  </m:mathPr>
  <w:themeFontLang w:val="fr-S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3B3D28"/>
  <w15:chartTrackingRefBased/>
  <w15:docId w15:val="{122BA744-9580-8F41-A7E8-ADDDC6D3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BEC"/>
    <w:rPr>
      <w:rFonts w:ascii="Times New Roman" w:eastAsia="Times New Roman" w:hAnsi="Times New Roman" w:cs="Times New Roman"/>
      <w:lang w:eastAsia="fr-FR"/>
    </w:rPr>
  </w:style>
  <w:style w:type="paragraph" w:styleId="Heading1">
    <w:name w:val="heading 1"/>
    <w:basedOn w:val="Normal"/>
    <w:link w:val="Heading1Char"/>
    <w:uiPriority w:val="9"/>
    <w:qFormat/>
    <w:rsid w:val="004D011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C42"/>
    <w:pPr>
      <w:spacing w:after="200" w:line="276" w:lineRule="auto"/>
      <w:ind w:left="720"/>
      <w:contextualSpacing/>
    </w:pPr>
    <w:rPr>
      <w:rFonts w:asciiTheme="minorHAnsi" w:eastAsiaTheme="minorHAnsi" w:hAnsiTheme="minorHAnsi" w:cstheme="minorBidi"/>
      <w:sz w:val="22"/>
      <w:szCs w:val="22"/>
      <w:lang w:val="fr-FR" w:eastAsia="en-US"/>
    </w:rPr>
  </w:style>
  <w:style w:type="table" w:customStyle="1" w:styleId="Tramemoyenne1-Accent11">
    <w:name w:val="Trame moyenne 1 - Accent 11"/>
    <w:basedOn w:val="TableNormal"/>
    <w:uiPriority w:val="63"/>
    <w:rsid w:val="00243C42"/>
    <w:rPr>
      <w:sz w:val="22"/>
      <w:szCs w:val="22"/>
      <w:lang w:val="fr-F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78603F"/>
    <w:pPr>
      <w:spacing w:before="100" w:beforeAutospacing="1" w:after="100" w:afterAutospacing="1"/>
    </w:pPr>
  </w:style>
  <w:style w:type="character" w:customStyle="1" w:styleId="apple-converted-space">
    <w:name w:val="apple-converted-space"/>
    <w:basedOn w:val="DefaultParagraphFont"/>
    <w:rsid w:val="007C3536"/>
  </w:style>
  <w:style w:type="paragraph" w:styleId="Header">
    <w:name w:val="header"/>
    <w:basedOn w:val="Normal"/>
    <w:link w:val="HeaderChar"/>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HeaderChar">
    <w:name w:val="Header Char"/>
    <w:basedOn w:val="DefaultParagraphFont"/>
    <w:link w:val="Header"/>
    <w:uiPriority w:val="99"/>
    <w:rsid w:val="00B41C44"/>
    <w:rPr>
      <w:sz w:val="22"/>
      <w:szCs w:val="22"/>
      <w:lang w:val="fr-FR"/>
    </w:rPr>
  </w:style>
  <w:style w:type="paragraph" w:styleId="Footer">
    <w:name w:val="footer"/>
    <w:basedOn w:val="Normal"/>
    <w:link w:val="FooterChar"/>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FooterChar">
    <w:name w:val="Footer Char"/>
    <w:basedOn w:val="DefaultParagraphFont"/>
    <w:link w:val="Footer"/>
    <w:uiPriority w:val="99"/>
    <w:rsid w:val="00B41C44"/>
    <w:rPr>
      <w:sz w:val="22"/>
      <w:szCs w:val="22"/>
      <w:lang w:val="fr-FR"/>
    </w:rPr>
  </w:style>
  <w:style w:type="paragraph" w:styleId="HTMLPreformatted">
    <w:name w:val="HTML Preformatted"/>
    <w:basedOn w:val="Normal"/>
    <w:link w:val="HTMLPreformattedChar"/>
    <w:uiPriority w:val="99"/>
    <w:semiHidden/>
    <w:unhideWhenUsed/>
    <w:rsid w:val="00E50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50B84"/>
    <w:rPr>
      <w:rFonts w:ascii="Courier New" w:eastAsia="Times New Roman" w:hAnsi="Courier New" w:cs="Courier New"/>
      <w:sz w:val="20"/>
      <w:szCs w:val="20"/>
      <w:lang w:eastAsia="fr-FR"/>
    </w:rPr>
  </w:style>
  <w:style w:type="character" w:customStyle="1" w:styleId="y2iqfc">
    <w:name w:val="y2iqfc"/>
    <w:basedOn w:val="DefaultParagraphFont"/>
    <w:rsid w:val="00E50B84"/>
  </w:style>
  <w:style w:type="table" w:styleId="TableGrid">
    <w:name w:val="Table Grid"/>
    <w:basedOn w:val="TableNormal"/>
    <w:uiPriority w:val="39"/>
    <w:rsid w:val="00C66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0112"/>
    <w:rPr>
      <w:rFonts w:ascii="Times New Roman" w:eastAsia="Times New Roman" w:hAnsi="Times New Roman" w:cs="Times New Roman"/>
      <w:b/>
      <w:bCs/>
      <w:kern w:val="36"/>
      <w:sz w:val="48"/>
      <w:szCs w:val="48"/>
      <w:lang w:eastAsia="fr-FR"/>
    </w:rPr>
  </w:style>
  <w:style w:type="character" w:styleId="CommentReference">
    <w:name w:val="annotation reference"/>
    <w:basedOn w:val="DefaultParagraphFont"/>
    <w:uiPriority w:val="99"/>
    <w:semiHidden/>
    <w:unhideWhenUsed/>
    <w:rsid w:val="004A3D69"/>
    <w:rPr>
      <w:sz w:val="16"/>
      <w:szCs w:val="16"/>
    </w:rPr>
  </w:style>
  <w:style w:type="paragraph" w:styleId="CommentText">
    <w:name w:val="annotation text"/>
    <w:basedOn w:val="Normal"/>
    <w:link w:val="CommentTextChar"/>
    <w:uiPriority w:val="99"/>
    <w:semiHidden/>
    <w:unhideWhenUsed/>
    <w:rsid w:val="004A3D69"/>
    <w:rPr>
      <w:sz w:val="20"/>
      <w:szCs w:val="20"/>
    </w:rPr>
  </w:style>
  <w:style w:type="character" w:customStyle="1" w:styleId="CommentTextChar">
    <w:name w:val="Comment Text Char"/>
    <w:basedOn w:val="DefaultParagraphFont"/>
    <w:link w:val="CommentText"/>
    <w:uiPriority w:val="99"/>
    <w:semiHidden/>
    <w:rsid w:val="004A3D69"/>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4A3D69"/>
    <w:rPr>
      <w:b/>
      <w:bCs/>
    </w:rPr>
  </w:style>
  <w:style w:type="character" w:customStyle="1" w:styleId="CommentSubjectChar">
    <w:name w:val="Comment Subject Char"/>
    <w:basedOn w:val="CommentTextChar"/>
    <w:link w:val="CommentSubject"/>
    <w:uiPriority w:val="99"/>
    <w:semiHidden/>
    <w:rsid w:val="004A3D69"/>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F00505"/>
    <w:rPr>
      <w:color w:val="0563C1" w:themeColor="hyperlink"/>
      <w:u w:val="single"/>
    </w:rPr>
  </w:style>
  <w:style w:type="character" w:styleId="UnresolvedMention">
    <w:name w:val="Unresolved Mention"/>
    <w:basedOn w:val="DefaultParagraphFont"/>
    <w:uiPriority w:val="99"/>
    <w:semiHidden/>
    <w:unhideWhenUsed/>
    <w:rsid w:val="00F00505"/>
    <w:rPr>
      <w:color w:val="605E5C"/>
      <w:shd w:val="clear" w:color="auto" w:fill="E1DFDD"/>
    </w:rPr>
  </w:style>
  <w:style w:type="character" w:styleId="Emphasis">
    <w:name w:val="Emphasis"/>
    <w:basedOn w:val="DefaultParagraphFont"/>
    <w:uiPriority w:val="20"/>
    <w:qFormat/>
    <w:rsid w:val="00634C22"/>
    <w:rPr>
      <w:i/>
      <w:iCs/>
    </w:rPr>
  </w:style>
  <w:style w:type="paragraph" w:customStyle="1" w:styleId="p1">
    <w:name w:val="p1"/>
    <w:basedOn w:val="Normal"/>
    <w:rsid w:val="00504FCF"/>
    <w:rPr>
      <w:color w:val="000000"/>
      <w:sz w:val="18"/>
      <w:szCs w:val="18"/>
      <w:lang w:val="fr-FR"/>
    </w:rPr>
  </w:style>
  <w:style w:type="character" w:styleId="FollowedHyperlink">
    <w:name w:val="FollowedHyperlink"/>
    <w:basedOn w:val="DefaultParagraphFont"/>
    <w:uiPriority w:val="99"/>
    <w:semiHidden/>
    <w:unhideWhenUsed/>
    <w:rsid w:val="001C1DE8"/>
    <w:rPr>
      <w:color w:val="954F72" w:themeColor="followedHyperlink"/>
      <w:u w:val="single"/>
    </w:rPr>
  </w:style>
  <w:style w:type="paragraph" w:styleId="Caption">
    <w:name w:val="caption"/>
    <w:basedOn w:val="Normal"/>
    <w:next w:val="Normal"/>
    <w:uiPriority w:val="35"/>
    <w:unhideWhenUsed/>
    <w:qFormat/>
    <w:rsid w:val="00EE15DC"/>
    <w:pPr>
      <w:spacing w:after="200"/>
      <w:jc w:val="center"/>
    </w:pPr>
    <w:rPr>
      <w:rFonts w:eastAsiaTheme="minorEastAsia" w:cstheme="minorBidi"/>
      <w:b/>
      <w:bCs/>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7044">
      <w:bodyDiv w:val="1"/>
      <w:marLeft w:val="0"/>
      <w:marRight w:val="0"/>
      <w:marTop w:val="0"/>
      <w:marBottom w:val="0"/>
      <w:divBdr>
        <w:top w:val="none" w:sz="0" w:space="0" w:color="auto"/>
        <w:left w:val="none" w:sz="0" w:space="0" w:color="auto"/>
        <w:bottom w:val="none" w:sz="0" w:space="0" w:color="auto"/>
        <w:right w:val="none" w:sz="0" w:space="0" w:color="auto"/>
      </w:divBdr>
    </w:div>
    <w:div w:id="297344229">
      <w:bodyDiv w:val="1"/>
      <w:marLeft w:val="0"/>
      <w:marRight w:val="0"/>
      <w:marTop w:val="0"/>
      <w:marBottom w:val="0"/>
      <w:divBdr>
        <w:top w:val="none" w:sz="0" w:space="0" w:color="auto"/>
        <w:left w:val="none" w:sz="0" w:space="0" w:color="auto"/>
        <w:bottom w:val="none" w:sz="0" w:space="0" w:color="auto"/>
        <w:right w:val="none" w:sz="0" w:space="0" w:color="auto"/>
      </w:divBdr>
    </w:div>
    <w:div w:id="392461531">
      <w:bodyDiv w:val="1"/>
      <w:marLeft w:val="0"/>
      <w:marRight w:val="0"/>
      <w:marTop w:val="0"/>
      <w:marBottom w:val="0"/>
      <w:divBdr>
        <w:top w:val="none" w:sz="0" w:space="0" w:color="auto"/>
        <w:left w:val="none" w:sz="0" w:space="0" w:color="auto"/>
        <w:bottom w:val="none" w:sz="0" w:space="0" w:color="auto"/>
        <w:right w:val="none" w:sz="0" w:space="0" w:color="auto"/>
      </w:divBdr>
    </w:div>
    <w:div w:id="425810518">
      <w:bodyDiv w:val="1"/>
      <w:marLeft w:val="0"/>
      <w:marRight w:val="0"/>
      <w:marTop w:val="0"/>
      <w:marBottom w:val="0"/>
      <w:divBdr>
        <w:top w:val="none" w:sz="0" w:space="0" w:color="auto"/>
        <w:left w:val="none" w:sz="0" w:space="0" w:color="auto"/>
        <w:bottom w:val="none" w:sz="0" w:space="0" w:color="auto"/>
        <w:right w:val="none" w:sz="0" w:space="0" w:color="auto"/>
      </w:divBdr>
      <w:divsChild>
        <w:div w:id="399064242">
          <w:marLeft w:val="0"/>
          <w:marRight w:val="0"/>
          <w:marTop w:val="0"/>
          <w:marBottom w:val="0"/>
          <w:divBdr>
            <w:top w:val="none" w:sz="0" w:space="0" w:color="auto"/>
            <w:left w:val="none" w:sz="0" w:space="0" w:color="auto"/>
            <w:bottom w:val="none" w:sz="0" w:space="0" w:color="auto"/>
            <w:right w:val="none" w:sz="0" w:space="0" w:color="auto"/>
          </w:divBdr>
          <w:divsChild>
            <w:div w:id="1973517121">
              <w:marLeft w:val="0"/>
              <w:marRight w:val="0"/>
              <w:marTop w:val="0"/>
              <w:marBottom w:val="0"/>
              <w:divBdr>
                <w:top w:val="none" w:sz="0" w:space="0" w:color="auto"/>
                <w:left w:val="none" w:sz="0" w:space="0" w:color="auto"/>
                <w:bottom w:val="none" w:sz="0" w:space="0" w:color="auto"/>
                <w:right w:val="none" w:sz="0" w:space="0" w:color="auto"/>
              </w:divBdr>
              <w:divsChild>
                <w:div w:id="16657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3206">
      <w:bodyDiv w:val="1"/>
      <w:marLeft w:val="0"/>
      <w:marRight w:val="0"/>
      <w:marTop w:val="0"/>
      <w:marBottom w:val="0"/>
      <w:divBdr>
        <w:top w:val="none" w:sz="0" w:space="0" w:color="auto"/>
        <w:left w:val="none" w:sz="0" w:space="0" w:color="auto"/>
        <w:bottom w:val="none" w:sz="0" w:space="0" w:color="auto"/>
        <w:right w:val="none" w:sz="0" w:space="0" w:color="auto"/>
      </w:divBdr>
    </w:div>
    <w:div w:id="714426945">
      <w:bodyDiv w:val="1"/>
      <w:marLeft w:val="0"/>
      <w:marRight w:val="0"/>
      <w:marTop w:val="0"/>
      <w:marBottom w:val="0"/>
      <w:divBdr>
        <w:top w:val="none" w:sz="0" w:space="0" w:color="auto"/>
        <w:left w:val="none" w:sz="0" w:space="0" w:color="auto"/>
        <w:bottom w:val="none" w:sz="0" w:space="0" w:color="auto"/>
        <w:right w:val="none" w:sz="0" w:space="0" w:color="auto"/>
      </w:divBdr>
    </w:div>
    <w:div w:id="724186820">
      <w:bodyDiv w:val="1"/>
      <w:marLeft w:val="0"/>
      <w:marRight w:val="0"/>
      <w:marTop w:val="0"/>
      <w:marBottom w:val="0"/>
      <w:divBdr>
        <w:top w:val="none" w:sz="0" w:space="0" w:color="auto"/>
        <w:left w:val="none" w:sz="0" w:space="0" w:color="auto"/>
        <w:bottom w:val="none" w:sz="0" w:space="0" w:color="auto"/>
        <w:right w:val="none" w:sz="0" w:space="0" w:color="auto"/>
      </w:divBdr>
      <w:divsChild>
        <w:div w:id="571936967">
          <w:marLeft w:val="0"/>
          <w:marRight w:val="0"/>
          <w:marTop w:val="0"/>
          <w:marBottom w:val="0"/>
          <w:divBdr>
            <w:top w:val="none" w:sz="0" w:space="0" w:color="auto"/>
            <w:left w:val="none" w:sz="0" w:space="0" w:color="auto"/>
            <w:bottom w:val="none" w:sz="0" w:space="0" w:color="auto"/>
            <w:right w:val="none" w:sz="0" w:space="0" w:color="auto"/>
          </w:divBdr>
          <w:divsChild>
            <w:div w:id="61026478">
              <w:marLeft w:val="0"/>
              <w:marRight w:val="0"/>
              <w:marTop w:val="0"/>
              <w:marBottom w:val="0"/>
              <w:divBdr>
                <w:top w:val="none" w:sz="0" w:space="0" w:color="auto"/>
                <w:left w:val="none" w:sz="0" w:space="0" w:color="auto"/>
                <w:bottom w:val="none" w:sz="0" w:space="0" w:color="auto"/>
                <w:right w:val="none" w:sz="0" w:space="0" w:color="auto"/>
              </w:divBdr>
              <w:divsChild>
                <w:div w:id="1047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7887">
      <w:bodyDiv w:val="1"/>
      <w:marLeft w:val="0"/>
      <w:marRight w:val="0"/>
      <w:marTop w:val="0"/>
      <w:marBottom w:val="0"/>
      <w:divBdr>
        <w:top w:val="none" w:sz="0" w:space="0" w:color="auto"/>
        <w:left w:val="none" w:sz="0" w:space="0" w:color="auto"/>
        <w:bottom w:val="none" w:sz="0" w:space="0" w:color="auto"/>
        <w:right w:val="none" w:sz="0" w:space="0" w:color="auto"/>
      </w:divBdr>
    </w:div>
    <w:div w:id="789737283">
      <w:bodyDiv w:val="1"/>
      <w:marLeft w:val="0"/>
      <w:marRight w:val="0"/>
      <w:marTop w:val="0"/>
      <w:marBottom w:val="0"/>
      <w:divBdr>
        <w:top w:val="none" w:sz="0" w:space="0" w:color="auto"/>
        <w:left w:val="none" w:sz="0" w:space="0" w:color="auto"/>
        <w:bottom w:val="none" w:sz="0" w:space="0" w:color="auto"/>
        <w:right w:val="none" w:sz="0" w:space="0" w:color="auto"/>
      </w:divBdr>
    </w:div>
    <w:div w:id="889341260">
      <w:bodyDiv w:val="1"/>
      <w:marLeft w:val="0"/>
      <w:marRight w:val="0"/>
      <w:marTop w:val="0"/>
      <w:marBottom w:val="0"/>
      <w:divBdr>
        <w:top w:val="none" w:sz="0" w:space="0" w:color="auto"/>
        <w:left w:val="none" w:sz="0" w:space="0" w:color="auto"/>
        <w:bottom w:val="none" w:sz="0" w:space="0" w:color="auto"/>
        <w:right w:val="none" w:sz="0" w:space="0" w:color="auto"/>
      </w:divBdr>
    </w:div>
    <w:div w:id="948855282">
      <w:bodyDiv w:val="1"/>
      <w:marLeft w:val="0"/>
      <w:marRight w:val="0"/>
      <w:marTop w:val="0"/>
      <w:marBottom w:val="0"/>
      <w:divBdr>
        <w:top w:val="none" w:sz="0" w:space="0" w:color="auto"/>
        <w:left w:val="none" w:sz="0" w:space="0" w:color="auto"/>
        <w:bottom w:val="none" w:sz="0" w:space="0" w:color="auto"/>
        <w:right w:val="none" w:sz="0" w:space="0" w:color="auto"/>
      </w:divBdr>
      <w:divsChild>
        <w:div w:id="1741320665">
          <w:marLeft w:val="0"/>
          <w:marRight w:val="0"/>
          <w:marTop w:val="0"/>
          <w:marBottom w:val="0"/>
          <w:divBdr>
            <w:top w:val="none" w:sz="0" w:space="0" w:color="auto"/>
            <w:left w:val="none" w:sz="0" w:space="0" w:color="auto"/>
            <w:bottom w:val="none" w:sz="0" w:space="0" w:color="auto"/>
            <w:right w:val="none" w:sz="0" w:space="0" w:color="auto"/>
          </w:divBdr>
          <w:divsChild>
            <w:div w:id="266541154">
              <w:marLeft w:val="0"/>
              <w:marRight w:val="0"/>
              <w:marTop w:val="0"/>
              <w:marBottom w:val="0"/>
              <w:divBdr>
                <w:top w:val="none" w:sz="0" w:space="0" w:color="auto"/>
                <w:left w:val="none" w:sz="0" w:space="0" w:color="auto"/>
                <w:bottom w:val="none" w:sz="0" w:space="0" w:color="auto"/>
                <w:right w:val="none" w:sz="0" w:space="0" w:color="auto"/>
              </w:divBdr>
              <w:divsChild>
                <w:div w:id="587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8912">
      <w:bodyDiv w:val="1"/>
      <w:marLeft w:val="0"/>
      <w:marRight w:val="0"/>
      <w:marTop w:val="0"/>
      <w:marBottom w:val="0"/>
      <w:divBdr>
        <w:top w:val="none" w:sz="0" w:space="0" w:color="auto"/>
        <w:left w:val="none" w:sz="0" w:space="0" w:color="auto"/>
        <w:bottom w:val="none" w:sz="0" w:space="0" w:color="auto"/>
        <w:right w:val="none" w:sz="0" w:space="0" w:color="auto"/>
      </w:divBdr>
      <w:divsChild>
        <w:div w:id="2050717736">
          <w:marLeft w:val="0"/>
          <w:marRight w:val="0"/>
          <w:marTop w:val="0"/>
          <w:marBottom w:val="0"/>
          <w:divBdr>
            <w:top w:val="none" w:sz="0" w:space="0" w:color="auto"/>
            <w:left w:val="none" w:sz="0" w:space="0" w:color="auto"/>
            <w:bottom w:val="none" w:sz="0" w:space="0" w:color="auto"/>
            <w:right w:val="none" w:sz="0" w:space="0" w:color="auto"/>
          </w:divBdr>
        </w:div>
      </w:divsChild>
    </w:div>
    <w:div w:id="1424371973">
      <w:bodyDiv w:val="1"/>
      <w:marLeft w:val="0"/>
      <w:marRight w:val="0"/>
      <w:marTop w:val="0"/>
      <w:marBottom w:val="0"/>
      <w:divBdr>
        <w:top w:val="none" w:sz="0" w:space="0" w:color="auto"/>
        <w:left w:val="none" w:sz="0" w:space="0" w:color="auto"/>
        <w:bottom w:val="none" w:sz="0" w:space="0" w:color="auto"/>
        <w:right w:val="none" w:sz="0" w:space="0" w:color="auto"/>
      </w:divBdr>
    </w:div>
    <w:div w:id="1529175462">
      <w:bodyDiv w:val="1"/>
      <w:marLeft w:val="0"/>
      <w:marRight w:val="0"/>
      <w:marTop w:val="0"/>
      <w:marBottom w:val="0"/>
      <w:divBdr>
        <w:top w:val="none" w:sz="0" w:space="0" w:color="auto"/>
        <w:left w:val="none" w:sz="0" w:space="0" w:color="auto"/>
        <w:bottom w:val="none" w:sz="0" w:space="0" w:color="auto"/>
        <w:right w:val="none" w:sz="0" w:space="0" w:color="auto"/>
      </w:divBdr>
    </w:div>
    <w:div w:id="1718704103">
      <w:bodyDiv w:val="1"/>
      <w:marLeft w:val="0"/>
      <w:marRight w:val="0"/>
      <w:marTop w:val="0"/>
      <w:marBottom w:val="0"/>
      <w:divBdr>
        <w:top w:val="none" w:sz="0" w:space="0" w:color="auto"/>
        <w:left w:val="none" w:sz="0" w:space="0" w:color="auto"/>
        <w:bottom w:val="none" w:sz="0" w:space="0" w:color="auto"/>
        <w:right w:val="none" w:sz="0" w:space="0" w:color="auto"/>
      </w:divBdr>
    </w:div>
    <w:div w:id="1748111850">
      <w:bodyDiv w:val="1"/>
      <w:marLeft w:val="0"/>
      <w:marRight w:val="0"/>
      <w:marTop w:val="0"/>
      <w:marBottom w:val="0"/>
      <w:divBdr>
        <w:top w:val="none" w:sz="0" w:space="0" w:color="auto"/>
        <w:left w:val="none" w:sz="0" w:space="0" w:color="auto"/>
        <w:bottom w:val="none" w:sz="0" w:space="0" w:color="auto"/>
        <w:right w:val="none" w:sz="0" w:space="0" w:color="auto"/>
      </w:divBdr>
    </w:div>
    <w:div w:id="1806510189">
      <w:bodyDiv w:val="1"/>
      <w:marLeft w:val="0"/>
      <w:marRight w:val="0"/>
      <w:marTop w:val="0"/>
      <w:marBottom w:val="0"/>
      <w:divBdr>
        <w:top w:val="none" w:sz="0" w:space="0" w:color="auto"/>
        <w:left w:val="none" w:sz="0" w:space="0" w:color="auto"/>
        <w:bottom w:val="none" w:sz="0" w:space="0" w:color="auto"/>
        <w:right w:val="none" w:sz="0" w:space="0" w:color="auto"/>
      </w:divBdr>
    </w:div>
    <w:div w:id="1826126104">
      <w:bodyDiv w:val="1"/>
      <w:marLeft w:val="0"/>
      <w:marRight w:val="0"/>
      <w:marTop w:val="0"/>
      <w:marBottom w:val="0"/>
      <w:divBdr>
        <w:top w:val="none" w:sz="0" w:space="0" w:color="auto"/>
        <w:left w:val="none" w:sz="0" w:space="0" w:color="auto"/>
        <w:bottom w:val="none" w:sz="0" w:space="0" w:color="auto"/>
        <w:right w:val="none" w:sz="0" w:space="0" w:color="auto"/>
      </w:divBdr>
    </w:div>
    <w:div w:id="1969312744">
      <w:bodyDiv w:val="1"/>
      <w:marLeft w:val="0"/>
      <w:marRight w:val="0"/>
      <w:marTop w:val="0"/>
      <w:marBottom w:val="0"/>
      <w:divBdr>
        <w:top w:val="none" w:sz="0" w:space="0" w:color="auto"/>
        <w:left w:val="none" w:sz="0" w:space="0" w:color="auto"/>
        <w:bottom w:val="none" w:sz="0" w:space="0" w:color="auto"/>
        <w:right w:val="none" w:sz="0" w:space="0" w:color="auto"/>
      </w:divBdr>
    </w:div>
    <w:div w:id="1971594287">
      <w:bodyDiv w:val="1"/>
      <w:marLeft w:val="0"/>
      <w:marRight w:val="0"/>
      <w:marTop w:val="0"/>
      <w:marBottom w:val="0"/>
      <w:divBdr>
        <w:top w:val="none" w:sz="0" w:space="0" w:color="auto"/>
        <w:left w:val="none" w:sz="0" w:space="0" w:color="auto"/>
        <w:bottom w:val="none" w:sz="0" w:space="0" w:color="auto"/>
        <w:right w:val="none" w:sz="0" w:space="0" w:color="auto"/>
      </w:divBdr>
      <w:divsChild>
        <w:div w:id="663163475">
          <w:marLeft w:val="0"/>
          <w:marRight w:val="0"/>
          <w:marTop w:val="0"/>
          <w:marBottom w:val="0"/>
          <w:divBdr>
            <w:top w:val="none" w:sz="0" w:space="0" w:color="auto"/>
            <w:left w:val="none" w:sz="0" w:space="0" w:color="auto"/>
            <w:bottom w:val="none" w:sz="0" w:space="0" w:color="auto"/>
            <w:right w:val="none" w:sz="0" w:space="0" w:color="auto"/>
          </w:divBdr>
          <w:divsChild>
            <w:div w:id="276986930">
              <w:marLeft w:val="0"/>
              <w:marRight w:val="0"/>
              <w:marTop w:val="0"/>
              <w:marBottom w:val="0"/>
              <w:divBdr>
                <w:top w:val="none" w:sz="0" w:space="0" w:color="auto"/>
                <w:left w:val="none" w:sz="0" w:space="0" w:color="auto"/>
                <w:bottom w:val="none" w:sz="0" w:space="0" w:color="auto"/>
                <w:right w:val="none" w:sz="0" w:space="0" w:color="auto"/>
              </w:divBdr>
              <w:divsChild>
                <w:div w:id="9933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8415">
      <w:bodyDiv w:val="1"/>
      <w:marLeft w:val="0"/>
      <w:marRight w:val="0"/>
      <w:marTop w:val="0"/>
      <w:marBottom w:val="0"/>
      <w:divBdr>
        <w:top w:val="none" w:sz="0" w:space="0" w:color="auto"/>
        <w:left w:val="none" w:sz="0" w:space="0" w:color="auto"/>
        <w:bottom w:val="none" w:sz="0" w:space="0" w:color="auto"/>
        <w:right w:val="none" w:sz="0" w:space="0" w:color="auto"/>
      </w:divBdr>
      <w:divsChild>
        <w:div w:id="1424377444">
          <w:marLeft w:val="0"/>
          <w:marRight w:val="0"/>
          <w:marTop w:val="0"/>
          <w:marBottom w:val="0"/>
          <w:divBdr>
            <w:top w:val="none" w:sz="0" w:space="0" w:color="auto"/>
            <w:left w:val="none" w:sz="0" w:space="0" w:color="auto"/>
            <w:bottom w:val="none" w:sz="0" w:space="0" w:color="auto"/>
            <w:right w:val="none" w:sz="0" w:space="0" w:color="auto"/>
          </w:divBdr>
          <w:divsChild>
            <w:div w:id="989747989">
              <w:marLeft w:val="0"/>
              <w:marRight w:val="0"/>
              <w:marTop w:val="0"/>
              <w:marBottom w:val="0"/>
              <w:divBdr>
                <w:top w:val="none" w:sz="0" w:space="0" w:color="auto"/>
                <w:left w:val="none" w:sz="0" w:space="0" w:color="auto"/>
                <w:bottom w:val="none" w:sz="0" w:space="0" w:color="auto"/>
                <w:right w:val="none" w:sz="0" w:space="0" w:color="auto"/>
              </w:divBdr>
              <w:divsChild>
                <w:div w:id="14359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aids.org/fr/resources/documents/2020/global-aids-update-2020" TargetMode="External"/><Relationship Id="rId18" Type="http://schemas.openxmlformats.org/officeDocument/2006/relationships/hyperlink" Target="https://doi.org/10.2147/PHMT.S389105" TargetMode="External"/><Relationship Id="rId26" Type="http://schemas.openxmlformats.org/officeDocument/2006/relationships/hyperlink" Target="https://doi.org/10.57220/jatpb.v2i3.132" TargetMode="External"/><Relationship Id="rId21" Type="http://schemas.openxmlformats.org/officeDocument/2006/relationships/hyperlink" Target="https://journalajrib.com/index.php/AJRIB/article/view/228"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s://www.ijfans.org/volume-11-issue-7-2022/finest-medicinal-plants-governing-hematinic-property-review/" TargetMode="External"/><Relationship Id="rId25" Type="http://schemas.openxmlformats.org/officeDocument/2006/relationships/hyperlink" Target="https://doi.org/10.1186/s43094-023-00491-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nnovativepublication.com/journal-archive/IJCAAP" TargetMode="External"/><Relationship Id="rId20" Type="http://schemas.openxmlformats.org/officeDocument/2006/relationships/hyperlink" Target="https://www.ansd.sn/publications/ses-regionales/ses-regionale-ziguinchor-2022-2023-24-mar-2025" TargetMode="External"/><Relationship Id="rId29" Type="http://schemas.openxmlformats.org/officeDocument/2006/relationships/hyperlink" Target="https://doi.org/10.1016/j.ebiom.2022.1043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ijias.issr-journals.org/abstract.php?article=IJIAS-19-302-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e.ac.uk/download/pdf/442646955.pdf" TargetMode="External"/><Relationship Id="rId23" Type="http://schemas.openxmlformats.org/officeDocument/2006/relationships/hyperlink" Target="https://doi.org/10.1016/j.medmal.2017.03.327" TargetMode="External"/><Relationship Id="rId28" Type="http://schemas.openxmlformats.org/officeDocument/2006/relationships/hyperlink" Target="https://doi.org/10.1016/j.bcdf.2021.100300" TargetMode="Externa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doi.org/10.21276/sijb.2019.2.8.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hsprogram.com/publications/publication-FR345-DHS-Final-Reports.cfm" TargetMode="External"/><Relationship Id="rId22" Type="http://schemas.openxmlformats.org/officeDocument/2006/relationships/hyperlink" Target="https://doi.org/10.3390/biology14081052" TargetMode="External"/><Relationship Id="rId27" Type="http://schemas.openxmlformats.org/officeDocument/2006/relationships/hyperlink" Target="https://doi.org/10.9734/BJPR/2017/3326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Users\marieleakabou\Desktop\Classeur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Feuil1!$C$18</c:f>
              <c:strCache>
                <c:ptCount val="1"/>
                <c:pt idx="0">
                  <c:v>ziguinchor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Feuil1!$D$17:$G$17</c:f>
              <c:strCache>
                <c:ptCount val="4"/>
                <c:pt idx="0">
                  <c:v>20-40</c:v>
                </c:pt>
                <c:pt idx="1">
                  <c:v>40-60</c:v>
                </c:pt>
                <c:pt idx="2">
                  <c:v>60-80</c:v>
                </c:pt>
                <c:pt idx="3">
                  <c:v>80-100</c:v>
                </c:pt>
              </c:strCache>
            </c:strRef>
          </c:cat>
          <c:val>
            <c:numRef>
              <c:f>Feuil1!$D$18:$G$18</c:f>
              <c:numCache>
                <c:formatCode>0%</c:formatCode>
                <c:ptCount val="4"/>
                <c:pt idx="0">
                  <c:v>0.06</c:v>
                </c:pt>
                <c:pt idx="1">
                  <c:v>0.4</c:v>
                </c:pt>
                <c:pt idx="2">
                  <c:v>0.49</c:v>
                </c:pt>
                <c:pt idx="3">
                  <c:v>0.05</c:v>
                </c:pt>
              </c:numCache>
            </c:numRef>
          </c:val>
          <c:extLst>
            <c:ext xmlns:c16="http://schemas.microsoft.com/office/drawing/2014/chart" uri="{C3380CC4-5D6E-409C-BE32-E72D297353CC}">
              <c16:uniqueId val="{00000000-EE6E-47E6-B189-E5AC2B6CE24F}"/>
            </c:ext>
          </c:extLst>
        </c:ser>
        <c:ser>
          <c:idx val="1"/>
          <c:order val="1"/>
          <c:tx>
            <c:strRef>
              <c:f>Feuil1!$C$19</c:f>
              <c:strCache>
                <c:ptCount val="1"/>
                <c:pt idx="0">
                  <c:v>Kaolack- Fatick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Feuil1!$D$17:$G$17</c:f>
              <c:strCache>
                <c:ptCount val="4"/>
                <c:pt idx="0">
                  <c:v>20-40</c:v>
                </c:pt>
                <c:pt idx="1">
                  <c:v>40-60</c:v>
                </c:pt>
                <c:pt idx="2">
                  <c:v>60-80</c:v>
                </c:pt>
                <c:pt idx="3">
                  <c:v>80-100</c:v>
                </c:pt>
              </c:strCache>
            </c:strRef>
          </c:cat>
          <c:val>
            <c:numRef>
              <c:f>Feuil1!$D$19:$G$19</c:f>
              <c:numCache>
                <c:formatCode>0%</c:formatCode>
                <c:ptCount val="4"/>
                <c:pt idx="0">
                  <c:v>0.11</c:v>
                </c:pt>
                <c:pt idx="1">
                  <c:v>0.34</c:v>
                </c:pt>
                <c:pt idx="2">
                  <c:v>0.47</c:v>
                </c:pt>
                <c:pt idx="3">
                  <c:v>0.08</c:v>
                </c:pt>
              </c:numCache>
            </c:numRef>
          </c:val>
          <c:extLst>
            <c:ext xmlns:c16="http://schemas.microsoft.com/office/drawing/2014/chart" uri="{C3380CC4-5D6E-409C-BE32-E72D297353CC}">
              <c16:uniqueId val="{00000001-EE6E-47E6-B189-E5AC2B6CE24F}"/>
            </c:ext>
          </c:extLst>
        </c:ser>
        <c:dLbls>
          <c:dLblPos val="outEnd"/>
          <c:showLegendKey val="0"/>
          <c:showVal val="1"/>
          <c:showCatName val="0"/>
          <c:showSerName val="0"/>
          <c:showPercent val="0"/>
          <c:showBubbleSize val="0"/>
        </c:dLbls>
        <c:gapWidth val="100"/>
        <c:overlap val="-24"/>
        <c:axId val="756827024"/>
        <c:axId val="756286192"/>
      </c:barChart>
      <c:catAx>
        <c:axId val="756827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286192"/>
        <c:crosses val="autoZero"/>
        <c:auto val="1"/>
        <c:lblAlgn val="ctr"/>
        <c:lblOffset val="100"/>
        <c:noMultiLvlLbl val="0"/>
      </c:catAx>
      <c:valAx>
        <c:axId val="75628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82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5"/>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FBC-4D9F-9CBE-02D678AE4A34}"/>
              </c:ext>
            </c:extLst>
          </c:dPt>
          <c:dPt>
            <c:idx val="1"/>
            <c:bubble3D val="0"/>
            <c:explosion val="4"/>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FBC-4D9F-9CBE-02D678AE4A34}"/>
              </c:ext>
            </c:extLst>
          </c:dPt>
          <c:dPt>
            <c:idx val="2"/>
            <c:bubble3D val="0"/>
            <c:explosion val="3"/>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FBC-4D9F-9CBE-02D678AE4A3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FBC-4D9F-9CBE-02D678AE4A3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Feuil1!$C$33:$F$33</c:f>
              <c:strCache>
                <c:ptCount val="4"/>
                <c:pt idx="0">
                  <c:v>Infusion</c:v>
                </c:pt>
                <c:pt idx="1">
                  <c:v>Maceration </c:v>
                </c:pt>
                <c:pt idx="2">
                  <c:v>Decoction</c:v>
                </c:pt>
                <c:pt idx="3">
                  <c:v>Other</c:v>
                </c:pt>
              </c:strCache>
            </c:strRef>
          </c:cat>
          <c:val>
            <c:numRef>
              <c:f>Feuil1!$C$34:$F$34</c:f>
              <c:numCache>
                <c:formatCode>0.00%</c:formatCode>
                <c:ptCount val="4"/>
                <c:pt idx="0">
                  <c:v>0.36199999999999999</c:v>
                </c:pt>
                <c:pt idx="1">
                  <c:v>0.192</c:v>
                </c:pt>
                <c:pt idx="2">
                  <c:v>0.42499999999999999</c:v>
                </c:pt>
                <c:pt idx="3">
                  <c:v>2.1000000000000001E-2</c:v>
                </c:pt>
              </c:numCache>
            </c:numRef>
          </c:val>
          <c:extLst>
            <c:ext xmlns:c16="http://schemas.microsoft.com/office/drawing/2014/chart" uri="{C3380CC4-5D6E-409C-BE32-E72D297353CC}">
              <c16:uniqueId val="{00000008-0FBC-4D9F-9CBE-02D678AE4A3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721</TotalTime>
  <Pages>15</Pages>
  <Words>3783</Words>
  <Characters>21565</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32</cp:revision>
  <cp:lastPrinted>2025-09-19T15:25:00Z</cp:lastPrinted>
  <dcterms:created xsi:type="dcterms:W3CDTF">2025-12-19T01:13:00Z</dcterms:created>
  <dcterms:modified xsi:type="dcterms:W3CDTF">2025-12-23T11:35:00Z</dcterms:modified>
</cp:coreProperties>
</file>