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F3FE5" w14:textId="77777777" w:rsidR="00A169A6" w:rsidRDefault="00A169A6" w:rsidP="00E85A72">
      <w:pPr>
        <w:spacing w:line="240" w:lineRule="auto"/>
        <w:rPr>
          <w:rFonts w:ascii="Arial" w:hAnsi="Arial" w:cs="Arial"/>
          <w:b/>
          <w:bCs/>
          <w:sz w:val="24"/>
          <w:szCs w:val="24"/>
        </w:rPr>
      </w:pPr>
      <w:r w:rsidRPr="00A169A6">
        <w:rPr>
          <w:rFonts w:ascii="Arial" w:hAnsi="Arial" w:cs="Arial"/>
          <w:b/>
          <w:bCs/>
          <w:sz w:val="24"/>
          <w:szCs w:val="24"/>
        </w:rPr>
        <w:t xml:space="preserve">Case report </w:t>
      </w:r>
    </w:p>
    <w:p w14:paraId="068176FB" w14:textId="219969DE" w:rsidR="00316BAA" w:rsidRPr="004A6510" w:rsidRDefault="00A827D5" w:rsidP="00E85A72">
      <w:pPr>
        <w:spacing w:line="240" w:lineRule="auto"/>
        <w:rPr>
          <w:rFonts w:ascii="Arial" w:hAnsi="Arial" w:cs="Arial"/>
          <w:b/>
          <w:bCs/>
          <w:sz w:val="24"/>
          <w:szCs w:val="24"/>
        </w:rPr>
      </w:pPr>
      <w:r w:rsidRPr="004A6510">
        <w:rPr>
          <w:rFonts w:ascii="Arial" w:hAnsi="Arial" w:cs="Arial"/>
          <w:b/>
          <w:bCs/>
          <w:sz w:val="24"/>
          <w:szCs w:val="24"/>
        </w:rPr>
        <w:t xml:space="preserve">Cefixime induced cutaneous hypersensitivity vasculitis: </w:t>
      </w:r>
      <w:r w:rsidR="0039184C" w:rsidRPr="004A6510">
        <w:rPr>
          <w:rFonts w:ascii="Arial" w:hAnsi="Arial" w:cs="Arial"/>
          <w:b/>
          <w:bCs/>
          <w:sz w:val="24"/>
          <w:szCs w:val="24"/>
        </w:rPr>
        <w:t>A</w:t>
      </w:r>
      <w:r w:rsidRPr="004A6510">
        <w:rPr>
          <w:rFonts w:ascii="Arial" w:hAnsi="Arial" w:cs="Arial"/>
          <w:b/>
          <w:bCs/>
          <w:sz w:val="24"/>
          <w:szCs w:val="24"/>
        </w:rPr>
        <w:t xml:space="preserve"> case report </w:t>
      </w:r>
    </w:p>
    <w:p w14:paraId="71407625" w14:textId="77777777" w:rsidR="00F24C58" w:rsidRPr="004A6510" w:rsidRDefault="00F24C58" w:rsidP="00E85A72">
      <w:pPr>
        <w:spacing w:line="240" w:lineRule="auto"/>
        <w:rPr>
          <w:rFonts w:ascii="Arial" w:hAnsi="Arial" w:cs="Arial"/>
          <w:b/>
          <w:bCs/>
          <w:sz w:val="24"/>
          <w:szCs w:val="24"/>
        </w:rPr>
      </w:pPr>
    </w:p>
    <w:p w14:paraId="35EBF73F" w14:textId="3F112C41" w:rsidR="005F3F94" w:rsidRPr="004A6510" w:rsidRDefault="00497A45" w:rsidP="00E85A72">
      <w:pPr>
        <w:spacing w:line="240" w:lineRule="auto"/>
        <w:rPr>
          <w:rFonts w:ascii="Arial" w:hAnsi="Arial" w:cs="Arial"/>
          <w:b/>
          <w:bCs/>
          <w:sz w:val="24"/>
          <w:szCs w:val="24"/>
        </w:rPr>
      </w:pPr>
      <w:r w:rsidRPr="004A6510">
        <w:rPr>
          <w:rFonts w:ascii="Arial" w:hAnsi="Arial" w:cs="Arial"/>
          <w:b/>
          <w:bCs/>
          <w:sz w:val="24"/>
          <w:szCs w:val="24"/>
        </w:rPr>
        <w:t>A</w:t>
      </w:r>
      <w:r w:rsidR="00195533" w:rsidRPr="004A6510">
        <w:rPr>
          <w:rFonts w:ascii="Arial" w:hAnsi="Arial" w:cs="Arial"/>
          <w:b/>
          <w:bCs/>
          <w:sz w:val="24"/>
          <w:szCs w:val="24"/>
        </w:rPr>
        <w:t>BSTRACT</w:t>
      </w:r>
    </w:p>
    <w:p w14:paraId="374CDB44" w14:textId="77777777" w:rsidR="00440084" w:rsidRPr="004A6510" w:rsidRDefault="00440084" w:rsidP="00440084">
      <w:pPr>
        <w:spacing w:line="240" w:lineRule="auto"/>
        <w:jc w:val="both"/>
        <w:rPr>
          <w:rFonts w:ascii="Arial" w:hAnsi="Arial" w:cs="Arial"/>
          <w:sz w:val="24"/>
          <w:szCs w:val="24"/>
        </w:rPr>
      </w:pPr>
      <w:r w:rsidRPr="004A6510">
        <w:rPr>
          <w:rFonts w:ascii="Arial" w:hAnsi="Arial" w:cs="Arial"/>
          <w:sz w:val="24"/>
          <w:szCs w:val="24"/>
        </w:rPr>
        <w:t>Cutaneous hypersensitivity vasculitis (CHV) is a small-vessel inflammatory condition often triggered by medications. Although antibiotics are common culprits, Cefixime, a third-generation cephalosporin, is rarely associated with CHV. This case describes the initiation of palpable purpura and ulcerative skin lesions following a short course of Cefixime. Therefore, identifying the cause, withdrawing the causative agent, and providing supportive care are essential to improve the patient's condition. It also highlights the need for clinician awareness regarding rare but significant cutaneous adverse reactions to Cefixime and other cephalosporins.</w:t>
      </w:r>
    </w:p>
    <w:p w14:paraId="34EBFDB3" w14:textId="4C94F9B0" w:rsidR="00E2465B" w:rsidRPr="004A6510" w:rsidRDefault="00E2465B" w:rsidP="00E85A72">
      <w:pPr>
        <w:spacing w:line="240" w:lineRule="auto"/>
        <w:jc w:val="both"/>
        <w:rPr>
          <w:rFonts w:ascii="Arial" w:hAnsi="Arial" w:cs="Arial"/>
          <w:b/>
          <w:bCs/>
          <w:sz w:val="24"/>
          <w:szCs w:val="24"/>
        </w:rPr>
      </w:pPr>
      <w:r w:rsidRPr="004A6510">
        <w:rPr>
          <w:rFonts w:ascii="Arial" w:hAnsi="Arial" w:cs="Arial"/>
          <w:b/>
          <w:bCs/>
          <w:sz w:val="24"/>
          <w:szCs w:val="24"/>
        </w:rPr>
        <w:t>K</w:t>
      </w:r>
      <w:r w:rsidR="00195533" w:rsidRPr="004A6510">
        <w:rPr>
          <w:rFonts w:ascii="Arial" w:hAnsi="Arial" w:cs="Arial"/>
          <w:b/>
          <w:bCs/>
          <w:sz w:val="24"/>
          <w:szCs w:val="24"/>
        </w:rPr>
        <w:t>EYWORDS</w:t>
      </w:r>
      <w:r w:rsidRPr="004A6510">
        <w:rPr>
          <w:rFonts w:ascii="Arial" w:hAnsi="Arial" w:cs="Arial"/>
          <w:b/>
          <w:bCs/>
          <w:sz w:val="24"/>
          <w:szCs w:val="24"/>
        </w:rPr>
        <w:t xml:space="preserve">: </w:t>
      </w:r>
      <w:r w:rsidRPr="004A6510">
        <w:rPr>
          <w:rFonts w:ascii="Arial" w:hAnsi="Arial" w:cs="Arial"/>
          <w:i/>
          <w:iCs/>
          <w:sz w:val="24"/>
          <w:szCs w:val="24"/>
        </w:rPr>
        <w:t>Cefixime, Cutaneous hypersensitivity vasculitis, Drug induced vasculitis, Cephalosporin adverse reaction</w:t>
      </w:r>
    </w:p>
    <w:p w14:paraId="2E4498BD" w14:textId="4204D6A7" w:rsidR="00A32B9B" w:rsidRPr="004A6510" w:rsidRDefault="00195533" w:rsidP="00E85A72">
      <w:pPr>
        <w:spacing w:line="240" w:lineRule="auto"/>
        <w:jc w:val="both"/>
        <w:rPr>
          <w:rFonts w:ascii="Arial" w:hAnsi="Arial" w:cs="Arial"/>
          <w:b/>
          <w:sz w:val="24"/>
          <w:szCs w:val="24"/>
        </w:rPr>
      </w:pPr>
      <w:r w:rsidRPr="004A6510">
        <w:rPr>
          <w:rFonts w:ascii="Arial" w:hAnsi="Arial" w:cs="Arial"/>
          <w:b/>
          <w:sz w:val="24"/>
          <w:szCs w:val="24"/>
        </w:rPr>
        <w:t>1.</w:t>
      </w:r>
      <w:r w:rsidR="00497A45" w:rsidRPr="004A6510">
        <w:rPr>
          <w:rFonts w:ascii="Arial" w:hAnsi="Arial" w:cs="Arial"/>
          <w:b/>
          <w:sz w:val="24"/>
          <w:szCs w:val="24"/>
        </w:rPr>
        <w:t>I</w:t>
      </w:r>
      <w:r w:rsidRPr="004A6510">
        <w:rPr>
          <w:rFonts w:ascii="Arial" w:hAnsi="Arial" w:cs="Arial"/>
          <w:b/>
          <w:sz w:val="24"/>
          <w:szCs w:val="24"/>
        </w:rPr>
        <w:t>NTRODUCTION</w:t>
      </w:r>
    </w:p>
    <w:p w14:paraId="7F7D6CE2" w14:textId="77777777" w:rsidR="00440084" w:rsidRPr="004A6510" w:rsidRDefault="00440084" w:rsidP="004A6510">
      <w:pPr>
        <w:spacing w:line="240" w:lineRule="auto"/>
        <w:jc w:val="both"/>
        <w:rPr>
          <w:rFonts w:ascii="Arial" w:hAnsi="Arial" w:cs="Arial"/>
          <w:sz w:val="24"/>
          <w:szCs w:val="24"/>
        </w:rPr>
      </w:pPr>
      <w:r w:rsidRPr="004A6510">
        <w:rPr>
          <w:rFonts w:ascii="Arial" w:hAnsi="Arial" w:cs="Arial"/>
          <w:sz w:val="24"/>
          <w:szCs w:val="24"/>
        </w:rPr>
        <w:t>Cutaneous vasculitis, also termed hypersensitivity vasculitis, is a condition causing inflammation and damage to the blood vessels, especially within the skin. It presents with cutaneous symptoms such as clinically evident palpable purpura predominantly on the lower extremities in symmetrical fashion and may occasionally involve bullae, vesicles, and ulcerations (</w:t>
      </w:r>
      <w:proofErr w:type="spellStart"/>
      <w:r w:rsidRPr="004A6510">
        <w:rPr>
          <w:rFonts w:ascii="Arial" w:hAnsi="Arial" w:cs="Arial"/>
          <w:sz w:val="24"/>
          <w:szCs w:val="24"/>
        </w:rPr>
        <w:t>Alpsoy</w:t>
      </w:r>
      <w:proofErr w:type="spellEnd"/>
      <w:r w:rsidRPr="004A6510">
        <w:rPr>
          <w:rFonts w:ascii="Arial" w:hAnsi="Arial" w:cs="Arial"/>
          <w:sz w:val="24"/>
          <w:szCs w:val="24"/>
        </w:rPr>
        <w:t xml:space="preserve"> E., 2022; Tang W et al., 2022). It affects males and females equally and has an annual incidence rate of about 30 cases per million (</w:t>
      </w:r>
      <w:proofErr w:type="spellStart"/>
      <w:r w:rsidRPr="004A6510">
        <w:rPr>
          <w:rFonts w:ascii="Arial" w:hAnsi="Arial" w:cs="Arial"/>
          <w:sz w:val="24"/>
          <w:szCs w:val="24"/>
        </w:rPr>
        <w:t>Almasoudi</w:t>
      </w:r>
      <w:proofErr w:type="spellEnd"/>
      <w:r w:rsidRPr="004A6510">
        <w:rPr>
          <w:rFonts w:ascii="Arial" w:hAnsi="Arial" w:cs="Arial"/>
          <w:sz w:val="24"/>
          <w:szCs w:val="24"/>
        </w:rPr>
        <w:t xml:space="preserve"> AA et al., 2022). This condition occurs due to numerous </w:t>
      </w:r>
      <w:proofErr w:type="spellStart"/>
      <w:r w:rsidRPr="004A6510">
        <w:rPr>
          <w:rFonts w:ascii="Arial" w:hAnsi="Arial" w:cs="Arial"/>
          <w:sz w:val="24"/>
          <w:szCs w:val="24"/>
        </w:rPr>
        <w:t>etiologies</w:t>
      </w:r>
      <w:proofErr w:type="spellEnd"/>
      <w:r w:rsidRPr="004A6510">
        <w:rPr>
          <w:rFonts w:ascii="Arial" w:hAnsi="Arial" w:cs="Arial"/>
          <w:sz w:val="24"/>
          <w:szCs w:val="24"/>
        </w:rPr>
        <w:t xml:space="preserve">, including infections, carcinomas, autoimmune diseases, and drugs. Drug-induced cutaneous vasculitis reactions occur where antibiotics like </w:t>
      </w:r>
      <w:proofErr w:type="spellStart"/>
      <w:r w:rsidRPr="004A6510">
        <w:rPr>
          <w:rFonts w:ascii="Arial" w:hAnsi="Arial" w:cs="Arial"/>
          <w:sz w:val="24"/>
          <w:szCs w:val="24"/>
        </w:rPr>
        <w:t>penicillins</w:t>
      </w:r>
      <w:proofErr w:type="spellEnd"/>
      <w:r w:rsidRPr="004A6510">
        <w:rPr>
          <w:rFonts w:ascii="Arial" w:hAnsi="Arial" w:cs="Arial"/>
          <w:sz w:val="24"/>
          <w:szCs w:val="24"/>
        </w:rPr>
        <w:t>, trimethoprim-sulfamethoxazole and diuretics like hydrochlorothiazide play a major role, whereas the incidence of cephalosporin-induced adverse reactions is less frequently reported (Tang W et al., 2022, Kumar J et al., 2025). Here we report a case of cutaneous hypersensitivity vasculitis in a patient induced by cefixime, a third-generation cephalosporin, which is rarely associated with this condition as a trigger.</w:t>
      </w:r>
    </w:p>
    <w:p w14:paraId="7600D08C" w14:textId="7A24461C" w:rsidR="00AF324F" w:rsidRPr="004A6510" w:rsidRDefault="00195533" w:rsidP="004A6510">
      <w:pPr>
        <w:spacing w:line="240" w:lineRule="auto"/>
        <w:jc w:val="both"/>
        <w:rPr>
          <w:rFonts w:ascii="Arial" w:eastAsia="Times New Roman" w:hAnsi="Arial" w:cs="Arial"/>
          <w:b/>
          <w:sz w:val="24"/>
          <w:szCs w:val="24"/>
          <w:lang w:eastAsia="en-IN"/>
        </w:rPr>
      </w:pPr>
      <w:r w:rsidRPr="004A6510">
        <w:rPr>
          <w:rFonts w:ascii="Arial" w:eastAsia="Times New Roman" w:hAnsi="Arial" w:cs="Arial"/>
          <w:b/>
          <w:sz w:val="24"/>
          <w:szCs w:val="24"/>
          <w:lang w:eastAsia="en-IN"/>
        </w:rPr>
        <w:t>2.</w:t>
      </w:r>
      <w:r w:rsidR="00497A45" w:rsidRPr="004A6510">
        <w:rPr>
          <w:rFonts w:ascii="Arial" w:eastAsia="Times New Roman" w:hAnsi="Arial" w:cs="Arial"/>
          <w:b/>
          <w:sz w:val="24"/>
          <w:szCs w:val="24"/>
          <w:lang w:eastAsia="en-IN"/>
        </w:rPr>
        <w:t>C</w:t>
      </w:r>
      <w:r w:rsidRPr="004A6510">
        <w:rPr>
          <w:rFonts w:ascii="Arial" w:eastAsia="Times New Roman" w:hAnsi="Arial" w:cs="Arial"/>
          <w:b/>
          <w:sz w:val="24"/>
          <w:szCs w:val="24"/>
          <w:lang w:eastAsia="en-IN"/>
        </w:rPr>
        <w:t>ASE PRESENTATION</w:t>
      </w:r>
    </w:p>
    <w:p w14:paraId="660745AA" w14:textId="5F673712" w:rsidR="00E2151A" w:rsidRDefault="00E2151A"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A 46-year-old male reported to the department of dermatology with the complaints of multiple purpuric lesions, ulceration with pain, mild itching and burning sensation over both lower extremities from the past 15 days, as shown in figure 1. The patient had no history of swelling, infections, discharge of pus or fluids from the skin lesions, fever, joint pains, systemic symptoms, or previous similar episodes. 5 days prior to the onset of symptoms, cefixime 200 mg twice daily was prescribed for an upper respiratory tract infection. Clinical examination showed multiple erythematous to violaceous palpable purpura and crusted ulcers over the bilateral lower limbs (pretibial region), and the laboratory data during admission is shown in Table 1. The patient consumed cefixime 200 mg for 5 days (total dose of 2 g) and lactulose 15 ml once daily for constipation. No lymphadenopathy was observed. Vital signs were stable.</w:t>
      </w:r>
    </w:p>
    <w:p w14:paraId="15B8929F" w14:textId="64DD9282" w:rsidR="00EA07E7" w:rsidRDefault="00EA07E7" w:rsidP="004A6510">
      <w:pPr>
        <w:spacing w:before="100" w:beforeAutospacing="1" w:after="100" w:afterAutospacing="1" w:line="240" w:lineRule="auto"/>
        <w:jc w:val="both"/>
        <w:rPr>
          <w:rFonts w:ascii="Arial" w:eastAsia="Times New Roman" w:hAnsi="Arial" w:cs="Arial"/>
          <w:sz w:val="24"/>
          <w:szCs w:val="24"/>
          <w:lang w:eastAsia="en-IN"/>
        </w:rPr>
      </w:pPr>
    </w:p>
    <w:p w14:paraId="234A80A3" w14:textId="77777777" w:rsidR="00EA07E7" w:rsidRPr="004A6510" w:rsidRDefault="00EA07E7" w:rsidP="004A6510">
      <w:pPr>
        <w:spacing w:before="100" w:beforeAutospacing="1" w:after="100" w:afterAutospacing="1" w:line="240" w:lineRule="auto"/>
        <w:jc w:val="both"/>
        <w:rPr>
          <w:rFonts w:ascii="Arial" w:eastAsia="Times New Roman" w:hAnsi="Arial" w:cs="Arial"/>
          <w:sz w:val="24"/>
          <w:szCs w:val="24"/>
          <w:lang w:eastAsia="en-IN"/>
        </w:rPr>
      </w:pPr>
    </w:p>
    <w:p w14:paraId="29C7398C" w14:textId="77777777" w:rsidR="00683FC8" w:rsidRPr="004A6510" w:rsidRDefault="00683FC8" w:rsidP="00683FC8">
      <w:pPr>
        <w:spacing w:before="100" w:beforeAutospacing="1" w:after="100" w:afterAutospacing="1" w:line="240" w:lineRule="auto"/>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Table 1. Laboratory tests (on admission)</w:t>
      </w:r>
    </w:p>
    <w:tbl>
      <w:tblPr>
        <w:tblStyle w:val="TableGrid"/>
        <w:tblpPr w:leftFromText="180" w:rightFromText="180" w:vertAnchor="text" w:horzAnchor="margin" w:tblpY="62"/>
        <w:tblW w:w="0" w:type="auto"/>
        <w:tblLook w:val="04A0" w:firstRow="1" w:lastRow="0" w:firstColumn="1" w:lastColumn="0" w:noHBand="0" w:noVBand="1"/>
      </w:tblPr>
      <w:tblGrid>
        <w:gridCol w:w="2479"/>
        <w:gridCol w:w="2531"/>
        <w:gridCol w:w="2243"/>
        <w:gridCol w:w="1763"/>
      </w:tblGrid>
      <w:tr w:rsidR="00A0285B" w:rsidRPr="004A6510" w14:paraId="645B733B" w14:textId="73A065B7" w:rsidTr="00A0285B">
        <w:tc>
          <w:tcPr>
            <w:tcW w:w="2493" w:type="dxa"/>
          </w:tcPr>
          <w:p w14:paraId="5AF773E5" w14:textId="77777777"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Lab Parameters</w:t>
            </w:r>
          </w:p>
        </w:tc>
        <w:tc>
          <w:tcPr>
            <w:tcW w:w="2545" w:type="dxa"/>
          </w:tcPr>
          <w:p w14:paraId="6225EF55" w14:textId="77777777"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Values</w:t>
            </w:r>
          </w:p>
        </w:tc>
        <w:tc>
          <w:tcPr>
            <w:tcW w:w="2251" w:type="dxa"/>
          </w:tcPr>
          <w:p w14:paraId="017CD53B" w14:textId="0FFBB83C"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Reference range</w:t>
            </w:r>
          </w:p>
        </w:tc>
        <w:tc>
          <w:tcPr>
            <w:tcW w:w="1727" w:type="dxa"/>
          </w:tcPr>
          <w:p w14:paraId="6B6B2613" w14:textId="63D9FD87"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 xml:space="preserve">Interpretation </w:t>
            </w:r>
          </w:p>
        </w:tc>
      </w:tr>
      <w:tr w:rsidR="00A0285B" w:rsidRPr="004A6510" w14:paraId="1C11D5F3" w14:textId="08A085D7" w:rsidTr="00A0285B">
        <w:tc>
          <w:tcPr>
            <w:tcW w:w="2493" w:type="dxa"/>
          </w:tcPr>
          <w:p w14:paraId="23609918"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WBC</w:t>
            </w:r>
          </w:p>
        </w:tc>
        <w:tc>
          <w:tcPr>
            <w:tcW w:w="2545" w:type="dxa"/>
          </w:tcPr>
          <w:p w14:paraId="4BDDEE75" w14:textId="6CDB0EC5"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12.9 K/Cumm</w:t>
            </w:r>
            <w:r w:rsidR="00723A8E" w:rsidRPr="004A6510">
              <w:rPr>
                <w:rFonts w:ascii="Arial" w:eastAsia="Times New Roman" w:hAnsi="Arial" w:cs="Arial"/>
                <w:sz w:val="24"/>
                <w:szCs w:val="24"/>
                <w:vertAlign w:val="superscript"/>
                <w:lang w:eastAsia="en-IN"/>
              </w:rPr>
              <w:t>a</w:t>
            </w:r>
            <w:r w:rsidR="00723A8E" w:rsidRPr="004A6510">
              <w:rPr>
                <w:rFonts w:ascii="Arial" w:eastAsia="Times New Roman" w:hAnsi="Arial" w:cs="Arial"/>
                <w:sz w:val="24"/>
                <w:szCs w:val="24"/>
                <w:lang w:eastAsia="en-IN"/>
              </w:rPr>
              <w:t xml:space="preserve"> </w:t>
            </w:r>
            <w:r w:rsidRPr="004A6510">
              <w:rPr>
                <w:rFonts w:ascii="Arial" w:eastAsia="Times New Roman" w:hAnsi="Arial" w:cs="Arial"/>
                <w:sz w:val="24"/>
                <w:szCs w:val="24"/>
                <w:lang w:eastAsia="en-IN"/>
              </w:rPr>
              <w:t>(mild leucocytosis)</w:t>
            </w:r>
          </w:p>
        </w:tc>
        <w:tc>
          <w:tcPr>
            <w:tcW w:w="2251" w:type="dxa"/>
          </w:tcPr>
          <w:p w14:paraId="64167791" w14:textId="3CE00EBE"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4,000– 11,000/Cumm</w:t>
            </w:r>
          </w:p>
        </w:tc>
        <w:tc>
          <w:tcPr>
            <w:tcW w:w="1727" w:type="dxa"/>
          </w:tcPr>
          <w:p w14:paraId="113B41FB" w14:textId="3562702C"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Mild elevation</w:t>
            </w:r>
          </w:p>
        </w:tc>
      </w:tr>
      <w:tr w:rsidR="00A0285B" w:rsidRPr="004A6510" w14:paraId="5A892EE7" w14:textId="295EE87E" w:rsidTr="00A0285B">
        <w:tc>
          <w:tcPr>
            <w:tcW w:w="2493" w:type="dxa"/>
          </w:tcPr>
          <w:p w14:paraId="73497DC7"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Monocytes</w:t>
            </w:r>
          </w:p>
        </w:tc>
        <w:tc>
          <w:tcPr>
            <w:tcW w:w="2545" w:type="dxa"/>
          </w:tcPr>
          <w:p w14:paraId="656B2577"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10.6%</w:t>
            </w:r>
          </w:p>
        </w:tc>
        <w:tc>
          <w:tcPr>
            <w:tcW w:w="2251" w:type="dxa"/>
          </w:tcPr>
          <w:p w14:paraId="0E253125" w14:textId="70284461"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2–8%</w:t>
            </w:r>
          </w:p>
        </w:tc>
        <w:tc>
          <w:tcPr>
            <w:tcW w:w="1727" w:type="dxa"/>
          </w:tcPr>
          <w:p w14:paraId="3909E6FE" w14:textId="5A8A5F76"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0FC4F41A" w14:textId="4BEF611C" w:rsidTr="00A0285B">
        <w:tc>
          <w:tcPr>
            <w:tcW w:w="2493" w:type="dxa"/>
          </w:tcPr>
          <w:p w14:paraId="5BD94A9A"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Basophils</w:t>
            </w:r>
          </w:p>
        </w:tc>
        <w:tc>
          <w:tcPr>
            <w:tcW w:w="2545" w:type="dxa"/>
          </w:tcPr>
          <w:p w14:paraId="3A0FEB5C"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0.1%</w:t>
            </w:r>
          </w:p>
        </w:tc>
        <w:tc>
          <w:tcPr>
            <w:tcW w:w="2251" w:type="dxa"/>
          </w:tcPr>
          <w:p w14:paraId="47A3EE2D" w14:textId="5263CA01"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&lt;1%</w:t>
            </w:r>
          </w:p>
        </w:tc>
        <w:tc>
          <w:tcPr>
            <w:tcW w:w="1727" w:type="dxa"/>
          </w:tcPr>
          <w:p w14:paraId="396D49E9" w14:textId="557EE582"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normal</w:t>
            </w:r>
          </w:p>
        </w:tc>
      </w:tr>
      <w:tr w:rsidR="00A0285B" w:rsidRPr="004A6510" w14:paraId="20AC6897" w14:textId="30B94836" w:rsidTr="00A0285B">
        <w:tc>
          <w:tcPr>
            <w:tcW w:w="2493" w:type="dxa"/>
          </w:tcPr>
          <w:p w14:paraId="11D54E75"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ESR</w:t>
            </w:r>
          </w:p>
        </w:tc>
        <w:tc>
          <w:tcPr>
            <w:tcW w:w="2545" w:type="dxa"/>
          </w:tcPr>
          <w:p w14:paraId="3F2F9D25" w14:textId="2AD2824B"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20 mm/</w:t>
            </w:r>
            <w:proofErr w:type="spellStart"/>
            <w:r w:rsidRPr="004A6510">
              <w:rPr>
                <w:rFonts w:ascii="Arial" w:eastAsia="Times New Roman" w:hAnsi="Arial" w:cs="Arial"/>
                <w:sz w:val="24"/>
                <w:szCs w:val="24"/>
                <w:lang w:eastAsia="en-IN"/>
              </w:rPr>
              <w:t>hr</w:t>
            </w:r>
            <w:r w:rsidR="00723A8E" w:rsidRPr="004A6510">
              <w:rPr>
                <w:rFonts w:ascii="Arial" w:eastAsia="Times New Roman" w:hAnsi="Arial" w:cs="Arial"/>
                <w:sz w:val="24"/>
                <w:szCs w:val="24"/>
                <w:vertAlign w:val="superscript"/>
                <w:lang w:eastAsia="en-IN"/>
              </w:rPr>
              <w:t>b</w:t>
            </w:r>
            <w:proofErr w:type="spellEnd"/>
          </w:p>
        </w:tc>
        <w:tc>
          <w:tcPr>
            <w:tcW w:w="2251" w:type="dxa"/>
          </w:tcPr>
          <w:p w14:paraId="3513B7BF" w14:textId="24BD7D2A"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0 – 15 mm/hr</w:t>
            </w:r>
          </w:p>
        </w:tc>
        <w:tc>
          <w:tcPr>
            <w:tcW w:w="1727" w:type="dxa"/>
          </w:tcPr>
          <w:p w14:paraId="4F140DEB" w14:textId="64D54F92"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7A63D398" w14:textId="4F66C317" w:rsidTr="00A0285B">
        <w:tc>
          <w:tcPr>
            <w:tcW w:w="2493" w:type="dxa"/>
          </w:tcPr>
          <w:p w14:paraId="11351BA9"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CRP</w:t>
            </w:r>
          </w:p>
        </w:tc>
        <w:tc>
          <w:tcPr>
            <w:tcW w:w="2545" w:type="dxa"/>
          </w:tcPr>
          <w:p w14:paraId="3D72DBB7" w14:textId="68DD5248"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18.1 mg/L</w:t>
            </w:r>
            <w:r w:rsidR="00723A8E" w:rsidRPr="004A6510">
              <w:rPr>
                <w:rFonts w:ascii="Arial" w:eastAsia="Times New Roman" w:hAnsi="Arial" w:cs="Arial"/>
                <w:sz w:val="24"/>
                <w:szCs w:val="24"/>
                <w:vertAlign w:val="superscript"/>
                <w:lang w:eastAsia="en-IN"/>
              </w:rPr>
              <w:t>c</w:t>
            </w:r>
          </w:p>
        </w:tc>
        <w:tc>
          <w:tcPr>
            <w:tcW w:w="2251" w:type="dxa"/>
          </w:tcPr>
          <w:p w14:paraId="6084D6DA" w14:textId="190EF729"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 5 mg/L</w:t>
            </w:r>
          </w:p>
        </w:tc>
        <w:tc>
          <w:tcPr>
            <w:tcW w:w="1727" w:type="dxa"/>
          </w:tcPr>
          <w:p w14:paraId="34573793" w14:textId="1BE41F9D"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17862169" w14:textId="10FBE3AA" w:rsidTr="00A0285B">
        <w:tc>
          <w:tcPr>
            <w:tcW w:w="2493" w:type="dxa"/>
          </w:tcPr>
          <w:p w14:paraId="62B95F6F"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TSH</w:t>
            </w:r>
          </w:p>
        </w:tc>
        <w:tc>
          <w:tcPr>
            <w:tcW w:w="2545" w:type="dxa"/>
          </w:tcPr>
          <w:p w14:paraId="7C8F10D8" w14:textId="0DAA8899"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9.15 µIU/</w:t>
            </w:r>
            <w:proofErr w:type="spellStart"/>
            <w:r w:rsidRPr="004A6510">
              <w:rPr>
                <w:rFonts w:ascii="Arial" w:eastAsia="Times New Roman" w:hAnsi="Arial" w:cs="Arial"/>
                <w:sz w:val="24"/>
                <w:szCs w:val="24"/>
                <w:lang w:eastAsia="en-IN"/>
              </w:rPr>
              <w:t>mL</w:t>
            </w:r>
            <w:r w:rsidR="00723A8E" w:rsidRPr="004A6510">
              <w:rPr>
                <w:rFonts w:ascii="Arial" w:eastAsia="Times New Roman" w:hAnsi="Arial" w:cs="Arial"/>
                <w:sz w:val="24"/>
                <w:szCs w:val="24"/>
                <w:vertAlign w:val="superscript"/>
                <w:lang w:eastAsia="en-IN"/>
              </w:rPr>
              <w:t>d</w:t>
            </w:r>
            <w:proofErr w:type="spellEnd"/>
          </w:p>
        </w:tc>
        <w:tc>
          <w:tcPr>
            <w:tcW w:w="2251" w:type="dxa"/>
          </w:tcPr>
          <w:p w14:paraId="4054C54E" w14:textId="122B93AC"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0.4 – 4.0 µIU/mL</w:t>
            </w:r>
          </w:p>
        </w:tc>
        <w:tc>
          <w:tcPr>
            <w:tcW w:w="1727" w:type="dxa"/>
          </w:tcPr>
          <w:p w14:paraId="2A599B65" w14:textId="28B47151"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3CCFE4DA" w14:textId="4AAB32BB" w:rsidTr="00A0285B">
        <w:tc>
          <w:tcPr>
            <w:tcW w:w="2493" w:type="dxa"/>
          </w:tcPr>
          <w:p w14:paraId="0FBC8533"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HDL</w:t>
            </w:r>
          </w:p>
        </w:tc>
        <w:tc>
          <w:tcPr>
            <w:tcW w:w="2545" w:type="dxa"/>
          </w:tcPr>
          <w:p w14:paraId="4E4EB704" w14:textId="62471365"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30mg/</w:t>
            </w:r>
            <w:proofErr w:type="spellStart"/>
            <w:r w:rsidRPr="004A6510">
              <w:rPr>
                <w:rFonts w:ascii="Arial" w:eastAsia="Times New Roman" w:hAnsi="Arial" w:cs="Arial"/>
                <w:sz w:val="24"/>
                <w:szCs w:val="24"/>
                <w:lang w:eastAsia="en-IN"/>
              </w:rPr>
              <w:t>dL</w:t>
            </w:r>
            <w:r w:rsidR="00723A8E" w:rsidRPr="004A6510">
              <w:rPr>
                <w:rFonts w:ascii="Arial" w:eastAsia="Times New Roman" w:hAnsi="Arial" w:cs="Arial"/>
                <w:sz w:val="24"/>
                <w:szCs w:val="24"/>
                <w:vertAlign w:val="superscript"/>
                <w:lang w:eastAsia="en-IN"/>
              </w:rPr>
              <w:t>e</w:t>
            </w:r>
            <w:proofErr w:type="spellEnd"/>
          </w:p>
        </w:tc>
        <w:tc>
          <w:tcPr>
            <w:tcW w:w="2251" w:type="dxa"/>
          </w:tcPr>
          <w:p w14:paraId="29376D81" w14:textId="65F5AE49"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&gt; 40 mg/dL</w:t>
            </w:r>
          </w:p>
        </w:tc>
        <w:tc>
          <w:tcPr>
            <w:tcW w:w="1727" w:type="dxa"/>
          </w:tcPr>
          <w:p w14:paraId="24C5FCE3" w14:textId="53329C3B"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reduced</w:t>
            </w:r>
          </w:p>
        </w:tc>
      </w:tr>
      <w:tr w:rsidR="00A0285B" w:rsidRPr="004A6510" w14:paraId="44A90184" w14:textId="5A8358D8" w:rsidTr="00A0285B">
        <w:tc>
          <w:tcPr>
            <w:tcW w:w="2493" w:type="dxa"/>
          </w:tcPr>
          <w:p w14:paraId="0E8B5537"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 xml:space="preserve"> LDL</w:t>
            </w:r>
          </w:p>
        </w:tc>
        <w:tc>
          <w:tcPr>
            <w:tcW w:w="2545" w:type="dxa"/>
          </w:tcPr>
          <w:p w14:paraId="1250E68A" w14:textId="5BC00446"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104mg/</w:t>
            </w:r>
            <w:proofErr w:type="spellStart"/>
            <w:r w:rsidRPr="004A6510">
              <w:rPr>
                <w:rFonts w:ascii="Arial" w:eastAsia="Times New Roman" w:hAnsi="Arial" w:cs="Arial"/>
                <w:sz w:val="24"/>
                <w:szCs w:val="24"/>
                <w:lang w:eastAsia="en-IN"/>
              </w:rPr>
              <w:t>dL</w:t>
            </w:r>
            <w:r w:rsidR="00723A8E" w:rsidRPr="004A6510">
              <w:rPr>
                <w:rFonts w:ascii="Arial" w:eastAsia="Times New Roman" w:hAnsi="Arial" w:cs="Arial"/>
                <w:sz w:val="24"/>
                <w:szCs w:val="24"/>
                <w:vertAlign w:val="superscript"/>
                <w:lang w:eastAsia="en-IN"/>
              </w:rPr>
              <w:t>f</w:t>
            </w:r>
            <w:proofErr w:type="spellEnd"/>
          </w:p>
        </w:tc>
        <w:tc>
          <w:tcPr>
            <w:tcW w:w="2251" w:type="dxa"/>
          </w:tcPr>
          <w:p w14:paraId="57C6D4C5" w14:textId="05319A4D"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 100 mg/dL</w:t>
            </w:r>
          </w:p>
        </w:tc>
        <w:tc>
          <w:tcPr>
            <w:tcW w:w="1727" w:type="dxa"/>
          </w:tcPr>
          <w:p w14:paraId="7BF44223" w14:textId="5ADD914C"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Mild elevated</w:t>
            </w:r>
          </w:p>
        </w:tc>
      </w:tr>
      <w:tr w:rsidR="00A0285B" w:rsidRPr="004A6510" w14:paraId="0A7EAA1D" w14:textId="649A3997" w:rsidTr="00A0285B">
        <w:tc>
          <w:tcPr>
            <w:tcW w:w="2493" w:type="dxa"/>
          </w:tcPr>
          <w:p w14:paraId="22AC0670"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Total cholesterol / HDLC</w:t>
            </w:r>
          </w:p>
        </w:tc>
        <w:tc>
          <w:tcPr>
            <w:tcW w:w="2545" w:type="dxa"/>
          </w:tcPr>
          <w:p w14:paraId="3C7FB63A"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5.4</w:t>
            </w:r>
          </w:p>
        </w:tc>
        <w:tc>
          <w:tcPr>
            <w:tcW w:w="2251" w:type="dxa"/>
          </w:tcPr>
          <w:p w14:paraId="24BCE425" w14:textId="174F19FE"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 3.5</w:t>
            </w:r>
          </w:p>
        </w:tc>
        <w:tc>
          <w:tcPr>
            <w:tcW w:w="1727" w:type="dxa"/>
          </w:tcPr>
          <w:p w14:paraId="0BA03FE2" w14:textId="1A4F61FB"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bl>
    <w:p w14:paraId="3850C23F" w14:textId="16BAA25E" w:rsidR="00683FC8" w:rsidRPr="004A6510" w:rsidRDefault="00723A8E" w:rsidP="00683FC8">
      <w:pPr>
        <w:spacing w:before="100" w:beforeAutospacing="1" w:after="100" w:afterAutospacing="1" w:line="240" w:lineRule="auto"/>
        <w:jc w:val="both"/>
        <w:rPr>
          <w:rFonts w:ascii="Arial" w:eastAsia="Times New Roman" w:hAnsi="Arial" w:cs="Arial"/>
          <w:sz w:val="24"/>
          <w:szCs w:val="24"/>
          <w:lang w:eastAsia="en-IN"/>
        </w:rPr>
      </w:pPr>
      <w:proofErr w:type="spellStart"/>
      <w:r w:rsidRPr="004A6510">
        <w:rPr>
          <w:rFonts w:ascii="Arial" w:eastAsia="Times New Roman" w:hAnsi="Arial" w:cs="Arial"/>
          <w:sz w:val="24"/>
          <w:szCs w:val="24"/>
          <w:vertAlign w:val="superscript"/>
          <w:lang w:eastAsia="en-IN"/>
        </w:rPr>
        <w:t>a</w:t>
      </w:r>
      <w:r w:rsidR="00683FC8" w:rsidRPr="004A6510">
        <w:rPr>
          <w:rFonts w:ascii="Arial" w:eastAsia="Times New Roman" w:hAnsi="Arial" w:cs="Arial"/>
          <w:sz w:val="24"/>
          <w:szCs w:val="24"/>
          <w:lang w:eastAsia="en-IN"/>
        </w:rPr>
        <w:t>WBC</w:t>
      </w:r>
      <w:proofErr w:type="spellEnd"/>
      <w:r w:rsidR="00683FC8" w:rsidRPr="004A6510">
        <w:rPr>
          <w:rFonts w:ascii="Arial" w:eastAsia="Times New Roman" w:hAnsi="Arial" w:cs="Arial"/>
          <w:sz w:val="24"/>
          <w:szCs w:val="24"/>
          <w:lang w:eastAsia="en-IN"/>
        </w:rPr>
        <w:t xml:space="preserve">- White blood cells, </w:t>
      </w:r>
      <w:proofErr w:type="spellStart"/>
      <w:r w:rsidRPr="004A6510">
        <w:rPr>
          <w:rFonts w:ascii="Arial" w:eastAsia="Times New Roman" w:hAnsi="Arial" w:cs="Arial"/>
          <w:sz w:val="24"/>
          <w:szCs w:val="24"/>
          <w:vertAlign w:val="superscript"/>
          <w:lang w:eastAsia="en-IN"/>
        </w:rPr>
        <w:t>b</w:t>
      </w:r>
      <w:r w:rsidR="00683FC8" w:rsidRPr="004A6510">
        <w:rPr>
          <w:rFonts w:ascii="Arial" w:eastAsia="Times New Roman" w:hAnsi="Arial" w:cs="Arial"/>
          <w:sz w:val="24"/>
          <w:szCs w:val="24"/>
          <w:lang w:eastAsia="en-IN"/>
        </w:rPr>
        <w:t>ESR</w:t>
      </w:r>
      <w:proofErr w:type="spellEnd"/>
      <w:r w:rsidR="00683FC8" w:rsidRPr="004A6510">
        <w:rPr>
          <w:rFonts w:ascii="Arial" w:eastAsia="Times New Roman" w:hAnsi="Arial" w:cs="Arial"/>
          <w:sz w:val="24"/>
          <w:szCs w:val="24"/>
          <w:lang w:eastAsia="en-IN"/>
        </w:rPr>
        <w:t xml:space="preserve">- Erythrocyte sedimentation rate, </w:t>
      </w:r>
      <w:proofErr w:type="spellStart"/>
      <w:r w:rsidRPr="004A6510">
        <w:rPr>
          <w:rFonts w:ascii="Arial" w:eastAsia="Times New Roman" w:hAnsi="Arial" w:cs="Arial"/>
          <w:sz w:val="24"/>
          <w:szCs w:val="24"/>
          <w:vertAlign w:val="superscript"/>
          <w:lang w:eastAsia="en-IN"/>
        </w:rPr>
        <w:t>c</w:t>
      </w:r>
      <w:r w:rsidR="00683FC8" w:rsidRPr="004A6510">
        <w:rPr>
          <w:rFonts w:ascii="Arial" w:eastAsia="Times New Roman" w:hAnsi="Arial" w:cs="Arial"/>
          <w:sz w:val="24"/>
          <w:szCs w:val="24"/>
          <w:lang w:eastAsia="en-IN"/>
        </w:rPr>
        <w:t>CRP</w:t>
      </w:r>
      <w:proofErr w:type="spellEnd"/>
      <w:r w:rsidR="00683FC8" w:rsidRPr="004A6510">
        <w:rPr>
          <w:rFonts w:ascii="Arial" w:eastAsia="Times New Roman" w:hAnsi="Arial" w:cs="Arial"/>
          <w:sz w:val="24"/>
          <w:szCs w:val="24"/>
          <w:lang w:eastAsia="en-IN"/>
        </w:rPr>
        <w:t xml:space="preserve">- C- reactive </w:t>
      </w:r>
      <w:proofErr w:type="gramStart"/>
      <w:r w:rsidR="00683FC8" w:rsidRPr="004A6510">
        <w:rPr>
          <w:rFonts w:ascii="Arial" w:eastAsia="Times New Roman" w:hAnsi="Arial" w:cs="Arial"/>
          <w:sz w:val="24"/>
          <w:szCs w:val="24"/>
          <w:lang w:eastAsia="en-IN"/>
        </w:rPr>
        <w:t xml:space="preserve">protein,   </w:t>
      </w:r>
      <w:proofErr w:type="gramEnd"/>
      <w:r w:rsidR="00683FC8" w:rsidRPr="004A6510">
        <w:rPr>
          <w:rFonts w:ascii="Arial" w:eastAsia="Times New Roman" w:hAnsi="Arial" w:cs="Arial"/>
          <w:sz w:val="24"/>
          <w:szCs w:val="24"/>
          <w:lang w:eastAsia="en-IN"/>
        </w:rPr>
        <w:t xml:space="preserve">     </w:t>
      </w:r>
      <w:proofErr w:type="spellStart"/>
      <w:r w:rsidRPr="004A6510">
        <w:rPr>
          <w:rFonts w:ascii="Arial" w:eastAsia="Times New Roman" w:hAnsi="Arial" w:cs="Arial"/>
          <w:sz w:val="24"/>
          <w:szCs w:val="24"/>
          <w:vertAlign w:val="superscript"/>
          <w:lang w:eastAsia="en-IN"/>
        </w:rPr>
        <w:t>d</w:t>
      </w:r>
      <w:r w:rsidR="00683FC8" w:rsidRPr="004A6510">
        <w:rPr>
          <w:rFonts w:ascii="Arial" w:eastAsia="Times New Roman" w:hAnsi="Arial" w:cs="Arial"/>
          <w:sz w:val="24"/>
          <w:szCs w:val="24"/>
          <w:lang w:eastAsia="en-IN"/>
        </w:rPr>
        <w:t>TSH</w:t>
      </w:r>
      <w:proofErr w:type="spellEnd"/>
      <w:r w:rsidR="00683FC8" w:rsidRPr="004A6510">
        <w:rPr>
          <w:rFonts w:ascii="Arial" w:eastAsia="Times New Roman" w:hAnsi="Arial" w:cs="Arial"/>
          <w:sz w:val="24"/>
          <w:szCs w:val="24"/>
          <w:lang w:eastAsia="en-IN"/>
        </w:rPr>
        <w:t xml:space="preserve">- Thyroid stimulating hormone, </w:t>
      </w:r>
      <w:proofErr w:type="spellStart"/>
      <w:r w:rsidRPr="004A6510">
        <w:rPr>
          <w:rFonts w:ascii="Arial" w:eastAsia="Times New Roman" w:hAnsi="Arial" w:cs="Arial"/>
          <w:sz w:val="24"/>
          <w:szCs w:val="24"/>
          <w:vertAlign w:val="superscript"/>
          <w:lang w:eastAsia="en-IN"/>
        </w:rPr>
        <w:t>e</w:t>
      </w:r>
      <w:r w:rsidR="00683FC8" w:rsidRPr="004A6510">
        <w:rPr>
          <w:rFonts w:ascii="Arial" w:eastAsia="Times New Roman" w:hAnsi="Arial" w:cs="Arial"/>
          <w:sz w:val="24"/>
          <w:szCs w:val="24"/>
          <w:lang w:eastAsia="en-IN"/>
        </w:rPr>
        <w:t>HDL</w:t>
      </w:r>
      <w:proofErr w:type="spellEnd"/>
      <w:r w:rsidR="00683FC8" w:rsidRPr="004A6510">
        <w:rPr>
          <w:rFonts w:ascii="Arial" w:eastAsia="Times New Roman" w:hAnsi="Arial" w:cs="Arial"/>
          <w:sz w:val="24"/>
          <w:szCs w:val="24"/>
          <w:lang w:eastAsia="en-IN"/>
        </w:rPr>
        <w:t xml:space="preserve">- High density lipoproteins, </w:t>
      </w:r>
      <w:proofErr w:type="spellStart"/>
      <w:r w:rsidRPr="004A6510">
        <w:rPr>
          <w:rFonts w:ascii="Arial" w:eastAsia="Times New Roman" w:hAnsi="Arial" w:cs="Arial"/>
          <w:sz w:val="24"/>
          <w:szCs w:val="24"/>
          <w:vertAlign w:val="superscript"/>
          <w:lang w:eastAsia="en-IN"/>
        </w:rPr>
        <w:t>f</w:t>
      </w:r>
      <w:r w:rsidR="00683FC8" w:rsidRPr="004A6510">
        <w:rPr>
          <w:rFonts w:ascii="Arial" w:eastAsia="Times New Roman" w:hAnsi="Arial" w:cs="Arial"/>
          <w:sz w:val="24"/>
          <w:szCs w:val="24"/>
          <w:lang w:eastAsia="en-IN"/>
        </w:rPr>
        <w:t>LDL</w:t>
      </w:r>
      <w:proofErr w:type="spellEnd"/>
      <w:r w:rsidR="00683FC8" w:rsidRPr="004A6510">
        <w:rPr>
          <w:rFonts w:ascii="Arial" w:eastAsia="Times New Roman" w:hAnsi="Arial" w:cs="Arial"/>
          <w:sz w:val="24"/>
          <w:szCs w:val="24"/>
          <w:lang w:eastAsia="en-IN"/>
        </w:rPr>
        <w:t>- Low density lipoproteins.</w:t>
      </w:r>
    </w:p>
    <w:p w14:paraId="3D6DB0E6" w14:textId="61CB3377" w:rsidR="00E24596" w:rsidRPr="004A6510" w:rsidRDefault="00E24596" w:rsidP="00683FC8">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Figure 1. Multiple purpuric lesions</w:t>
      </w:r>
      <w:r w:rsidRPr="004A6510">
        <w:rPr>
          <w:rFonts w:ascii="Arial" w:eastAsia="Times New Roman" w:hAnsi="Arial" w:cs="Arial"/>
          <w:noProof/>
          <w:sz w:val="24"/>
          <w:szCs w:val="24"/>
          <w:lang w:eastAsia="en-IN"/>
        </w:rPr>
        <w:t xml:space="preserve"> during first Visit.</w:t>
      </w:r>
    </w:p>
    <w:p w14:paraId="49FC2D4D" w14:textId="561D35BC" w:rsidR="008210BF" w:rsidRPr="004A6510" w:rsidRDefault="008210BF" w:rsidP="00683FC8">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hAnsi="Arial" w:cs="Arial"/>
          <w:noProof/>
        </w:rPr>
        <w:lastRenderedPageBreak/>
        <w:drawing>
          <wp:inline distT="0" distB="0" distL="0" distR="0" wp14:anchorId="15DA8603" wp14:editId="58FE1296">
            <wp:extent cx="4411980" cy="3139440"/>
            <wp:effectExtent l="0" t="0" r="7620" b="3810"/>
            <wp:docPr id="45017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1980" cy="3139440"/>
                    </a:xfrm>
                    <a:prstGeom prst="rect">
                      <a:avLst/>
                    </a:prstGeom>
                    <a:noFill/>
                    <a:ln>
                      <a:noFill/>
                    </a:ln>
                  </pic:spPr>
                </pic:pic>
              </a:graphicData>
            </a:graphic>
          </wp:inline>
        </w:drawing>
      </w:r>
    </w:p>
    <w:p w14:paraId="604FB3A4" w14:textId="79DCB10A" w:rsidR="008210BF" w:rsidRPr="004A6510" w:rsidRDefault="00E24596"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 xml:space="preserve">Legend 1 </w:t>
      </w:r>
      <w:r w:rsidR="008210BF" w:rsidRPr="004A6510">
        <w:rPr>
          <w:rFonts w:ascii="Arial" w:eastAsia="Times New Roman" w:hAnsi="Arial" w:cs="Arial"/>
          <w:sz w:val="24"/>
          <w:szCs w:val="24"/>
          <w:lang w:eastAsia="en-IN"/>
        </w:rPr>
        <w:t xml:space="preserve">- </w:t>
      </w:r>
      <w:r w:rsidRPr="004A6510">
        <w:rPr>
          <w:rFonts w:ascii="Arial" w:eastAsia="Times New Roman" w:hAnsi="Arial" w:cs="Arial"/>
          <w:sz w:val="24"/>
          <w:szCs w:val="24"/>
          <w:lang w:eastAsia="en-IN"/>
        </w:rPr>
        <w:t>Multiple palpable purpuric lesions were observed on the lower limbs, consistent with cutaneous vasculitis</w:t>
      </w:r>
    </w:p>
    <w:p w14:paraId="2339CD26" w14:textId="77777777" w:rsidR="00E2151A" w:rsidRPr="004A6510" w:rsidRDefault="00E2151A"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A diagnosis of cutaneous hypersensitivity vasculitis associated with cefixime was determined based on clinical features and a temporal correlation with cefixime intake, which was confirmed with the Causality Assessment: Naranjo scale.</w:t>
      </w:r>
    </w:p>
    <w:p w14:paraId="7B7FF641" w14:textId="77777777" w:rsidR="00E2151A" w:rsidRPr="004A6510" w:rsidRDefault="00E2151A"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The patient discontinued cefixime one day prior to the hospital visit. Upon hospital admission, the patient was managed with Inj Dexamethasone 8 mg and Inj Pheniramine Maleate 22.75 mg (2 ml), including local wound care. However, rechallenge was not performed. Over one week, the patient showed significant resolution of symptoms with no new lesions (Figure 2).</w:t>
      </w:r>
    </w:p>
    <w:p w14:paraId="31D688CE" w14:textId="704BBFE2" w:rsidR="00BB66FA" w:rsidRPr="004A6510" w:rsidRDefault="00BB66FA" w:rsidP="00BB66FA">
      <w:pPr>
        <w:spacing w:before="100" w:beforeAutospacing="1" w:after="100" w:afterAutospacing="1" w:line="240" w:lineRule="auto"/>
        <w:rPr>
          <w:rFonts w:ascii="Arial" w:eastAsia="Times New Roman" w:hAnsi="Arial" w:cs="Arial"/>
          <w:sz w:val="24"/>
          <w:szCs w:val="24"/>
          <w:lang w:eastAsia="en-IN"/>
        </w:rPr>
      </w:pPr>
      <w:r w:rsidRPr="004A6510">
        <w:rPr>
          <w:rFonts w:ascii="Arial" w:eastAsia="Times New Roman" w:hAnsi="Arial" w:cs="Arial"/>
          <w:sz w:val="24"/>
          <w:szCs w:val="24"/>
          <w:lang w:eastAsia="en-IN"/>
        </w:rPr>
        <w:t>Figure 2 - Multiple purpuric lesions improvement after treatment.</w:t>
      </w:r>
    </w:p>
    <w:p w14:paraId="39992219" w14:textId="441ED1E5" w:rsidR="0038740F" w:rsidRPr="004A6510" w:rsidRDefault="008210BF" w:rsidP="00E85A72">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hAnsi="Arial" w:cs="Arial"/>
          <w:noProof/>
        </w:rPr>
        <w:lastRenderedPageBreak/>
        <w:drawing>
          <wp:inline distT="0" distB="0" distL="0" distR="0" wp14:anchorId="76297A82" wp14:editId="055640BC">
            <wp:extent cx="4838700" cy="3589020"/>
            <wp:effectExtent l="0" t="0" r="0" b="0"/>
            <wp:docPr id="202615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8700" cy="3589020"/>
                    </a:xfrm>
                    <a:prstGeom prst="rect">
                      <a:avLst/>
                    </a:prstGeom>
                    <a:noFill/>
                    <a:ln>
                      <a:noFill/>
                    </a:ln>
                  </pic:spPr>
                </pic:pic>
              </a:graphicData>
            </a:graphic>
          </wp:inline>
        </w:drawing>
      </w:r>
    </w:p>
    <w:p w14:paraId="06DA32BE" w14:textId="03E3225D" w:rsidR="00BB66FA" w:rsidRPr="004A6510" w:rsidRDefault="00BB66FA" w:rsidP="00E85A72">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Legend 2- Multiple palpable purpuric lesions over the lower extremities demonstrating significant resolution following treatment, consistent with clinical improvement in drug-induced vasculitis.</w:t>
      </w:r>
    </w:p>
    <w:p w14:paraId="6D288CC7" w14:textId="643CBDDB" w:rsidR="003B2FB8" w:rsidRPr="004A6510" w:rsidRDefault="00195533" w:rsidP="00E85A72">
      <w:pPr>
        <w:spacing w:before="100" w:beforeAutospacing="1" w:after="100" w:afterAutospacing="1" w:line="240" w:lineRule="auto"/>
        <w:rPr>
          <w:rFonts w:ascii="Arial" w:eastAsia="Times New Roman" w:hAnsi="Arial" w:cs="Arial"/>
          <w:b/>
          <w:sz w:val="24"/>
          <w:szCs w:val="24"/>
          <w:lang w:eastAsia="en-IN"/>
        </w:rPr>
      </w:pPr>
      <w:r w:rsidRPr="004A6510">
        <w:rPr>
          <w:rFonts w:ascii="Arial" w:eastAsia="Times New Roman" w:hAnsi="Arial" w:cs="Arial"/>
          <w:b/>
          <w:sz w:val="24"/>
          <w:szCs w:val="24"/>
          <w:lang w:eastAsia="en-IN"/>
        </w:rPr>
        <w:t>3.DISCUSSION</w:t>
      </w:r>
    </w:p>
    <w:p w14:paraId="2F6A9AF1" w14:textId="77777777" w:rsidR="00E2151A" w:rsidRPr="004A6510" w:rsidRDefault="00E2151A" w:rsidP="00E2151A">
      <w:pPr>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Cutaneous hypersensitivity vasculitis (CHV) is a kind of small-vessel vasculitis predominantly involving the skin, which is commonly triggered by an illness or medication. An immune complex-mediated mechanism is thought to be responsible for the majority of the cases of hypersensitivity vasculitis (Type III hypersensitivity reaction) (MacLeod B et al., 2021; Imboden JB et al., 2013; Princess J. G. et al., 2024). Clinically, it manifests as palpable purpura, which is localized to the lower limbs.</w:t>
      </w:r>
    </w:p>
    <w:p w14:paraId="27C6D7DC" w14:textId="77777777" w:rsidR="00E2151A" w:rsidRPr="004A6510" w:rsidRDefault="00E2151A" w:rsidP="00E2151A">
      <w:pPr>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However, drug-induced cutaneous hypersensitivity vasculitis contributes to a major portion of reported cases; reports of cephalosporin-induced hypersensitivity reactions remain infrequent and underreported (Kumar J et al., 2025). Cefixime inhibits bacterial cell wall synthesis, causing cell death. It is usually well-tolerated, but in some people, it can act as a hapten, forming antigenic complexes that settle in small blood vessels and cause an immune response that leads to inflammation and vasculitis (Pichler WJ et al., 2011). As of the current scenario, reports of cefixime-induced cutaneous hypersensitivity vasculitis are rare.</w:t>
      </w:r>
    </w:p>
    <w:p w14:paraId="7E5D179C" w14:textId="77777777"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t xml:space="preserve">Symptoms appearing days to weeks after cefixime align with our patient’s timeline. Mild </w:t>
      </w:r>
      <w:proofErr w:type="spellStart"/>
      <w:r w:rsidRPr="004A6510">
        <w:rPr>
          <w:rFonts w:ascii="Arial" w:hAnsi="Arial" w:cs="Arial"/>
          <w:sz w:val="24"/>
          <w:szCs w:val="24"/>
        </w:rPr>
        <w:t>leukocytosis</w:t>
      </w:r>
      <w:proofErr w:type="spellEnd"/>
      <w:r w:rsidRPr="004A6510">
        <w:rPr>
          <w:rFonts w:ascii="Arial" w:hAnsi="Arial" w:cs="Arial"/>
          <w:sz w:val="24"/>
          <w:szCs w:val="24"/>
        </w:rPr>
        <w:t xml:space="preserve"> and </w:t>
      </w:r>
      <w:proofErr w:type="spellStart"/>
      <w:r w:rsidRPr="004A6510">
        <w:rPr>
          <w:rFonts w:ascii="Arial" w:hAnsi="Arial" w:cs="Arial"/>
          <w:sz w:val="24"/>
          <w:szCs w:val="24"/>
        </w:rPr>
        <w:t>monocytosis</w:t>
      </w:r>
      <w:proofErr w:type="spellEnd"/>
      <w:r w:rsidRPr="004A6510">
        <w:rPr>
          <w:rFonts w:ascii="Arial" w:hAnsi="Arial" w:cs="Arial"/>
          <w:sz w:val="24"/>
          <w:szCs w:val="24"/>
        </w:rPr>
        <w:t xml:space="preserve"> suggest a nonspecific inflammatory response. Normal neutrophil levels do not rule out leukocytoclastic vasculitis, which primarily affects small skin vessels.</w:t>
      </w:r>
    </w:p>
    <w:p w14:paraId="545FC4F1" w14:textId="77777777"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t>In clinical practice, a diagnosis of cutaneous vasculitis can be made in most cases based on clinical presentation, supportive laboratory evidence, and a time-dependent link with drug exposure.</w:t>
      </w:r>
    </w:p>
    <w:p w14:paraId="79132265" w14:textId="735EADCD"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lastRenderedPageBreak/>
        <w:t>Cefixime has been identified as the causative agent in this case by the strong temporal correlation between cefixime consumption and symptom onset, the lack of other alternative causes, and a Naranjo adverse drug reactions probability scale score, which indicates a probable drug reaction (</w:t>
      </w:r>
      <w:r w:rsidR="000771F5">
        <w:rPr>
          <w:rFonts w:ascii="Arial" w:hAnsi="Arial" w:cs="Arial"/>
          <w:sz w:val="24"/>
          <w:szCs w:val="24"/>
        </w:rPr>
        <w:t>TABLE 2</w:t>
      </w:r>
      <w:r w:rsidRPr="004A6510">
        <w:rPr>
          <w:rFonts w:ascii="Arial" w:hAnsi="Arial" w:cs="Arial"/>
          <w:sz w:val="24"/>
          <w:szCs w:val="24"/>
        </w:rPr>
        <w:t>). This diagnosis is further strengthened by the patient's significant clinical improvement after withdrawal of cefixime and starting systemic corticosteroids.</w:t>
      </w:r>
    </w:p>
    <w:p w14:paraId="16C73D27" w14:textId="55F28D97" w:rsidR="00A01843" w:rsidRPr="004A6510" w:rsidRDefault="000771F5" w:rsidP="00E85A72">
      <w:pPr>
        <w:spacing w:line="240" w:lineRule="auto"/>
        <w:jc w:val="both"/>
        <w:rPr>
          <w:rFonts w:ascii="Arial" w:hAnsi="Arial" w:cs="Arial"/>
          <w:sz w:val="24"/>
          <w:szCs w:val="24"/>
        </w:rPr>
      </w:pPr>
      <w:r>
        <w:rPr>
          <w:rFonts w:ascii="Arial" w:hAnsi="Arial" w:cs="Arial"/>
          <w:sz w:val="24"/>
          <w:szCs w:val="24"/>
        </w:rPr>
        <w:t xml:space="preserve">TABLE </w:t>
      </w:r>
      <w:r w:rsidR="00A01843" w:rsidRPr="004A6510">
        <w:rPr>
          <w:rFonts w:ascii="Arial" w:hAnsi="Arial" w:cs="Arial"/>
          <w:sz w:val="24"/>
          <w:szCs w:val="24"/>
        </w:rPr>
        <w:t xml:space="preserve"> </w:t>
      </w:r>
      <w:r>
        <w:rPr>
          <w:rFonts w:ascii="Arial" w:hAnsi="Arial" w:cs="Arial"/>
          <w:sz w:val="24"/>
          <w:szCs w:val="24"/>
        </w:rPr>
        <w:t>2</w:t>
      </w:r>
      <w:r w:rsidR="00A01843" w:rsidRPr="004A6510">
        <w:rPr>
          <w:rFonts w:ascii="Arial" w:hAnsi="Arial" w:cs="Arial"/>
          <w:sz w:val="24"/>
          <w:szCs w:val="24"/>
        </w:rPr>
        <w:t>: Naranjo Adverse Drug Reaction Probability Scale</w:t>
      </w:r>
    </w:p>
    <w:tbl>
      <w:tblPr>
        <w:tblStyle w:val="TableGrid0"/>
        <w:tblW w:w="10435" w:type="dxa"/>
        <w:tblInd w:w="-426" w:type="dxa"/>
        <w:tblCellMar>
          <w:top w:w="44" w:type="dxa"/>
          <w:left w:w="108" w:type="dxa"/>
          <w:right w:w="80" w:type="dxa"/>
        </w:tblCellMar>
        <w:tblLook w:val="04A0" w:firstRow="1" w:lastRow="0" w:firstColumn="1" w:lastColumn="0" w:noHBand="0" w:noVBand="1"/>
      </w:tblPr>
      <w:tblGrid>
        <w:gridCol w:w="7427"/>
        <w:gridCol w:w="602"/>
        <w:gridCol w:w="622"/>
        <w:gridCol w:w="968"/>
        <w:gridCol w:w="816"/>
      </w:tblGrid>
      <w:tr w:rsidR="00A01843" w:rsidRPr="004A6510" w14:paraId="4716ED9E" w14:textId="77777777" w:rsidTr="00A01843">
        <w:trPr>
          <w:trHeight w:val="610"/>
        </w:trPr>
        <w:tc>
          <w:tcPr>
            <w:tcW w:w="9699" w:type="dxa"/>
            <w:gridSpan w:val="4"/>
            <w:tcBorders>
              <w:top w:val="nil"/>
              <w:left w:val="nil"/>
              <w:bottom w:val="nil"/>
              <w:right w:val="nil"/>
            </w:tcBorders>
            <w:shd w:val="clear" w:color="auto" w:fill="000000"/>
          </w:tcPr>
          <w:p w14:paraId="103A943A" w14:textId="77777777" w:rsidR="00A01843" w:rsidRPr="004A6510" w:rsidRDefault="00A01843" w:rsidP="003E61CE">
            <w:pPr>
              <w:spacing w:after="52"/>
              <w:ind w:left="72"/>
              <w:rPr>
                <w:rFonts w:ascii="Arial" w:hAnsi="Arial" w:cs="Arial"/>
                <w:sz w:val="24"/>
                <w:szCs w:val="24"/>
              </w:rPr>
            </w:pPr>
          </w:p>
          <w:p w14:paraId="32552553" w14:textId="77777777" w:rsidR="00A01843" w:rsidRPr="004A6510" w:rsidRDefault="00A01843" w:rsidP="003E61CE">
            <w:pPr>
              <w:ind w:left="1751"/>
              <w:rPr>
                <w:rFonts w:ascii="Arial" w:hAnsi="Arial" w:cs="Arial"/>
                <w:sz w:val="24"/>
                <w:szCs w:val="24"/>
              </w:rPr>
            </w:pPr>
            <w:r w:rsidRPr="004A6510">
              <w:rPr>
                <w:rFonts w:ascii="Arial" w:eastAsia="Calibri" w:hAnsi="Arial" w:cs="Arial"/>
                <w:b/>
                <w:color w:val="FFFFFF"/>
                <w:sz w:val="24"/>
                <w:szCs w:val="24"/>
              </w:rPr>
              <w:t xml:space="preserve">Naranjo Adverse Drug Reaction Probability Scale </w:t>
            </w:r>
          </w:p>
          <w:p w14:paraId="0785BA19" w14:textId="77777777" w:rsidR="00A01843" w:rsidRPr="004A6510" w:rsidRDefault="00A01843" w:rsidP="003E61CE">
            <w:pPr>
              <w:ind w:left="72"/>
              <w:rPr>
                <w:rFonts w:ascii="Arial" w:hAnsi="Arial" w:cs="Arial"/>
                <w:sz w:val="24"/>
                <w:szCs w:val="24"/>
              </w:rPr>
            </w:pPr>
            <w:r w:rsidRPr="004A6510">
              <w:rPr>
                <w:rFonts w:ascii="Arial" w:eastAsia="Calibri" w:hAnsi="Arial" w:cs="Arial"/>
                <w:b/>
                <w:color w:val="FFFFFF"/>
                <w:sz w:val="24"/>
                <w:szCs w:val="24"/>
              </w:rPr>
              <w:t xml:space="preserve"> </w:t>
            </w:r>
          </w:p>
        </w:tc>
        <w:tc>
          <w:tcPr>
            <w:tcW w:w="736" w:type="dxa"/>
            <w:tcBorders>
              <w:top w:val="nil"/>
              <w:left w:val="nil"/>
              <w:bottom w:val="nil"/>
              <w:right w:val="nil"/>
            </w:tcBorders>
            <w:shd w:val="clear" w:color="auto" w:fill="000000"/>
          </w:tcPr>
          <w:p w14:paraId="3040F580" w14:textId="77777777" w:rsidR="00A01843" w:rsidRPr="004A6510" w:rsidRDefault="00A01843" w:rsidP="003E61CE">
            <w:pPr>
              <w:spacing w:after="160"/>
              <w:rPr>
                <w:rFonts w:ascii="Arial" w:hAnsi="Arial" w:cs="Arial"/>
                <w:sz w:val="24"/>
                <w:szCs w:val="24"/>
              </w:rPr>
            </w:pPr>
          </w:p>
        </w:tc>
      </w:tr>
      <w:tr w:rsidR="00A01843" w:rsidRPr="004A6510" w14:paraId="7B6BBC5F" w14:textId="77777777" w:rsidTr="00A01843">
        <w:trPr>
          <w:trHeight w:val="539"/>
        </w:trPr>
        <w:tc>
          <w:tcPr>
            <w:tcW w:w="7540" w:type="dxa"/>
            <w:tcBorders>
              <w:top w:val="nil"/>
              <w:left w:val="single" w:sz="4" w:space="0" w:color="000000"/>
              <w:bottom w:val="single" w:sz="4" w:space="0" w:color="000000"/>
              <w:right w:val="single" w:sz="4" w:space="0" w:color="000000"/>
            </w:tcBorders>
          </w:tcPr>
          <w:p w14:paraId="55A69020" w14:textId="77777777" w:rsidR="00A01843" w:rsidRPr="004A6510" w:rsidRDefault="00A01843" w:rsidP="003E61CE">
            <w:pPr>
              <w:rPr>
                <w:rFonts w:ascii="Arial" w:hAnsi="Arial" w:cs="Arial"/>
                <w:sz w:val="24"/>
                <w:szCs w:val="24"/>
              </w:rPr>
            </w:pPr>
            <w:r w:rsidRPr="004A6510">
              <w:rPr>
                <w:rFonts w:ascii="Arial" w:eastAsia="Calibri" w:hAnsi="Arial" w:cs="Arial"/>
                <w:b/>
                <w:sz w:val="24"/>
                <w:szCs w:val="24"/>
              </w:rPr>
              <w:t xml:space="preserve">       Question</w:t>
            </w:r>
            <w:r w:rsidRPr="004A6510">
              <w:rPr>
                <w:rFonts w:ascii="Arial" w:eastAsia="Calibri" w:hAnsi="Arial" w:cs="Arial"/>
                <w:sz w:val="24"/>
                <w:szCs w:val="24"/>
              </w:rPr>
              <w:t xml:space="preserve"> </w:t>
            </w:r>
          </w:p>
        </w:tc>
        <w:tc>
          <w:tcPr>
            <w:tcW w:w="562" w:type="dxa"/>
            <w:tcBorders>
              <w:top w:val="nil"/>
              <w:left w:val="single" w:sz="4" w:space="0" w:color="000000"/>
              <w:bottom w:val="single" w:sz="4" w:space="0" w:color="000000"/>
              <w:right w:val="single" w:sz="4" w:space="0" w:color="000000"/>
            </w:tcBorders>
          </w:tcPr>
          <w:p w14:paraId="71F411A2"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 xml:space="preserve">Yes </w:t>
            </w:r>
          </w:p>
        </w:tc>
        <w:tc>
          <w:tcPr>
            <w:tcW w:w="625" w:type="dxa"/>
            <w:tcBorders>
              <w:top w:val="nil"/>
              <w:left w:val="single" w:sz="4" w:space="0" w:color="000000"/>
              <w:bottom w:val="single" w:sz="4" w:space="0" w:color="000000"/>
              <w:right w:val="single" w:sz="4" w:space="0" w:color="000000"/>
            </w:tcBorders>
          </w:tcPr>
          <w:p w14:paraId="3B557747"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 xml:space="preserve">No </w:t>
            </w:r>
          </w:p>
        </w:tc>
        <w:tc>
          <w:tcPr>
            <w:tcW w:w="972" w:type="dxa"/>
            <w:tcBorders>
              <w:top w:val="nil"/>
              <w:left w:val="single" w:sz="4" w:space="0" w:color="000000"/>
              <w:bottom w:val="single" w:sz="4" w:space="0" w:color="000000"/>
              <w:right w:val="single" w:sz="4" w:space="0" w:color="000000"/>
            </w:tcBorders>
          </w:tcPr>
          <w:p w14:paraId="58CDA958"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 xml:space="preserve">Do Not Know </w:t>
            </w:r>
          </w:p>
        </w:tc>
        <w:tc>
          <w:tcPr>
            <w:tcW w:w="736" w:type="dxa"/>
            <w:tcBorders>
              <w:top w:val="nil"/>
              <w:left w:val="single" w:sz="4" w:space="0" w:color="000000"/>
              <w:bottom w:val="single" w:sz="4" w:space="0" w:color="000000"/>
              <w:right w:val="single" w:sz="4" w:space="0" w:color="000000"/>
            </w:tcBorders>
          </w:tcPr>
          <w:p w14:paraId="64E68AE7" w14:textId="77777777" w:rsidR="00A01843" w:rsidRPr="004A6510" w:rsidRDefault="00A01843" w:rsidP="003E61CE">
            <w:pPr>
              <w:ind w:left="1"/>
              <w:rPr>
                <w:rFonts w:ascii="Arial" w:hAnsi="Arial" w:cs="Arial"/>
                <w:sz w:val="24"/>
                <w:szCs w:val="24"/>
              </w:rPr>
            </w:pPr>
            <w:r w:rsidRPr="004A6510">
              <w:rPr>
                <w:rFonts w:ascii="Arial" w:eastAsia="Calibri" w:hAnsi="Arial" w:cs="Arial"/>
                <w:sz w:val="24"/>
                <w:szCs w:val="24"/>
              </w:rPr>
              <w:t xml:space="preserve">Score </w:t>
            </w:r>
          </w:p>
        </w:tc>
      </w:tr>
      <w:tr w:rsidR="00A01843" w:rsidRPr="004A6510" w14:paraId="42CBC3D4"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6F267D66"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1.</w:t>
            </w:r>
            <w:r w:rsidRPr="004A6510">
              <w:rPr>
                <w:rFonts w:ascii="Arial" w:eastAsia="Arial" w:hAnsi="Arial" w:cs="Arial"/>
                <w:sz w:val="24"/>
                <w:szCs w:val="24"/>
              </w:rPr>
              <w:t xml:space="preserve"> </w:t>
            </w:r>
            <w:r w:rsidRPr="004A6510">
              <w:rPr>
                <w:rFonts w:ascii="Arial" w:eastAsia="Calibri" w:hAnsi="Arial" w:cs="Arial"/>
                <w:sz w:val="24"/>
                <w:szCs w:val="24"/>
              </w:rPr>
              <w:t xml:space="preserve">Are there previous conclusive reports on this reaction? </w:t>
            </w:r>
          </w:p>
        </w:tc>
        <w:tc>
          <w:tcPr>
            <w:tcW w:w="562" w:type="dxa"/>
            <w:tcBorders>
              <w:top w:val="single" w:sz="4" w:space="0" w:color="000000"/>
              <w:left w:val="single" w:sz="4" w:space="0" w:color="000000"/>
              <w:bottom w:val="single" w:sz="4" w:space="0" w:color="000000"/>
              <w:right w:val="single" w:sz="4" w:space="0" w:color="000000"/>
            </w:tcBorders>
            <w:vAlign w:val="center"/>
          </w:tcPr>
          <w:p w14:paraId="32A599AF"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vAlign w:val="center"/>
          </w:tcPr>
          <w:p w14:paraId="16058A25" w14:textId="77777777" w:rsidR="00A01843" w:rsidRPr="004A6510" w:rsidRDefault="00A01843" w:rsidP="003E61CE">
            <w:pPr>
              <w:ind w:right="28"/>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vAlign w:val="center"/>
          </w:tcPr>
          <w:p w14:paraId="6D91706D"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7F92EE45"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0BD13D53"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1E24721C"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2.</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adverse event appear after the suspected drug was administered? </w:t>
            </w:r>
          </w:p>
        </w:tc>
        <w:tc>
          <w:tcPr>
            <w:tcW w:w="562" w:type="dxa"/>
            <w:tcBorders>
              <w:top w:val="single" w:sz="4" w:space="0" w:color="000000"/>
              <w:left w:val="single" w:sz="4" w:space="0" w:color="000000"/>
              <w:bottom w:val="single" w:sz="4" w:space="0" w:color="000000"/>
              <w:right w:val="single" w:sz="4" w:space="0" w:color="000000"/>
            </w:tcBorders>
            <w:vAlign w:val="center"/>
          </w:tcPr>
          <w:p w14:paraId="773A6AB2"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+2 </w:t>
            </w:r>
          </w:p>
        </w:tc>
        <w:tc>
          <w:tcPr>
            <w:tcW w:w="625" w:type="dxa"/>
            <w:tcBorders>
              <w:top w:val="single" w:sz="4" w:space="0" w:color="000000"/>
              <w:left w:val="single" w:sz="4" w:space="0" w:color="000000"/>
              <w:bottom w:val="single" w:sz="4" w:space="0" w:color="000000"/>
              <w:right w:val="single" w:sz="4" w:space="0" w:color="000000"/>
            </w:tcBorders>
            <w:vAlign w:val="center"/>
          </w:tcPr>
          <w:p w14:paraId="171C164B" w14:textId="77777777" w:rsidR="00A01843" w:rsidRPr="004A6510" w:rsidRDefault="00A01843" w:rsidP="003E61CE">
            <w:pPr>
              <w:ind w:right="27"/>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14:paraId="2B8FF6D1"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4CFC72E9"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+2</w:t>
            </w:r>
          </w:p>
        </w:tc>
      </w:tr>
      <w:tr w:rsidR="00A01843" w:rsidRPr="004A6510" w14:paraId="6310AB07" w14:textId="77777777" w:rsidTr="00A01843">
        <w:trPr>
          <w:trHeight w:val="787"/>
        </w:trPr>
        <w:tc>
          <w:tcPr>
            <w:tcW w:w="7540" w:type="dxa"/>
            <w:tcBorders>
              <w:top w:val="single" w:sz="4" w:space="0" w:color="000000"/>
              <w:left w:val="single" w:sz="4" w:space="0" w:color="000000"/>
              <w:bottom w:val="single" w:sz="4" w:space="0" w:color="000000"/>
              <w:right w:val="single" w:sz="4" w:space="0" w:color="000000"/>
            </w:tcBorders>
            <w:vAlign w:val="center"/>
          </w:tcPr>
          <w:p w14:paraId="752A431C" w14:textId="77777777" w:rsidR="00A01843" w:rsidRPr="004A6510" w:rsidRDefault="00A01843" w:rsidP="003E61CE">
            <w:pPr>
              <w:ind w:left="361" w:hanging="361"/>
              <w:rPr>
                <w:rFonts w:ascii="Arial" w:hAnsi="Arial" w:cs="Arial"/>
                <w:sz w:val="24"/>
                <w:szCs w:val="24"/>
              </w:rPr>
            </w:pPr>
            <w:r w:rsidRPr="004A6510">
              <w:rPr>
                <w:rFonts w:ascii="Arial" w:eastAsia="Calibri" w:hAnsi="Arial" w:cs="Arial"/>
                <w:sz w:val="24"/>
                <w:szCs w:val="24"/>
              </w:rPr>
              <w:t>3.</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adverse reaction improve when the drug was discontinued or a specific antagonist was administered? </w:t>
            </w:r>
          </w:p>
        </w:tc>
        <w:tc>
          <w:tcPr>
            <w:tcW w:w="562" w:type="dxa"/>
            <w:tcBorders>
              <w:top w:val="single" w:sz="4" w:space="0" w:color="000000"/>
              <w:left w:val="single" w:sz="4" w:space="0" w:color="000000"/>
              <w:bottom w:val="single" w:sz="4" w:space="0" w:color="000000"/>
              <w:right w:val="single" w:sz="4" w:space="0" w:color="000000"/>
            </w:tcBorders>
          </w:tcPr>
          <w:p w14:paraId="715D7E95"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2ACE0C3F"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3DB898F0"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6DD01709"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+1</w:t>
            </w:r>
          </w:p>
        </w:tc>
      </w:tr>
      <w:tr w:rsidR="00A01843" w:rsidRPr="004A6510" w14:paraId="4E23A782"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117E2801"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4.</w:t>
            </w:r>
            <w:r w:rsidRPr="004A6510">
              <w:rPr>
                <w:rFonts w:ascii="Arial" w:eastAsia="Arial" w:hAnsi="Arial" w:cs="Arial"/>
                <w:sz w:val="24"/>
                <w:szCs w:val="24"/>
              </w:rPr>
              <w:t xml:space="preserve"> </w:t>
            </w:r>
            <w:r w:rsidRPr="004A6510">
              <w:rPr>
                <w:rFonts w:ascii="Arial" w:eastAsia="Calibri" w:hAnsi="Arial" w:cs="Arial"/>
                <w:sz w:val="24"/>
                <w:szCs w:val="24"/>
              </w:rPr>
              <w:t>Did the adverse event reappear when the drug was re</w:t>
            </w:r>
            <w:r w:rsidRPr="004A6510">
              <w:rPr>
                <w:rFonts w:ascii="Cambria Math" w:eastAsia="Calibri" w:hAnsi="Cambria Math" w:cs="Cambria Math"/>
                <w:sz w:val="24"/>
                <w:szCs w:val="24"/>
              </w:rPr>
              <w:t>‐</w:t>
            </w:r>
            <w:r w:rsidRPr="004A6510">
              <w:rPr>
                <w:rFonts w:ascii="Arial" w:eastAsia="Calibri" w:hAnsi="Arial" w:cs="Arial"/>
                <w:sz w:val="24"/>
                <w:szCs w:val="24"/>
              </w:rPr>
              <w:t xml:space="preserve">administered? </w:t>
            </w:r>
          </w:p>
        </w:tc>
        <w:tc>
          <w:tcPr>
            <w:tcW w:w="562" w:type="dxa"/>
            <w:tcBorders>
              <w:top w:val="single" w:sz="4" w:space="0" w:color="000000"/>
              <w:left w:val="single" w:sz="4" w:space="0" w:color="000000"/>
              <w:bottom w:val="single" w:sz="4" w:space="0" w:color="000000"/>
              <w:right w:val="single" w:sz="4" w:space="0" w:color="000000"/>
            </w:tcBorders>
            <w:vAlign w:val="center"/>
          </w:tcPr>
          <w:p w14:paraId="2FD15687"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+2 </w:t>
            </w:r>
          </w:p>
        </w:tc>
        <w:tc>
          <w:tcPr>
            <w:tcW w:w="625" w:type="dxa"/>
            <w:tcBorders>
              <w:top w:val="single" w:sz="4" w:space="0" w:color="000000"/>
              <w:left w:val="single" w:sz="4" w:space="0" w:color="000000"/>
              <w:bottom w:val="single" w:sz="4" w:space="0" w:color="000000"/>
              <w:right w:val="single" w:sz="4" w:space="0" w:color="000000"/>
            </w:tcBorders>
            <w:vAlign w:val="center"/>
          </w:tcPr>
          <w:p w14:paraId="0CF13A4F" w14:textId="77777777" w:rsidR="00A01843" w:rsidRPr="004A6510" w:rsidRDefault="00A01843" w:rsidP="003E61CE">
            <w:pPr>
              <w:ind w:right="27"/>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14:paraId="1D56A432"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1FE5CE2F"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62C20117" w14:textId="77777777" w:rsidTr="00A01843">
        <w:trPr>
          <w:trHeight w:val="560"/>
        </w:trPr>
        <w:tc>
          <w:tcPr>
            <w:tcW w:w="7540" w:type="dxa"/>
            <w:tcBorders>
              <w:top w:val="single" w:sz="4" w:space="0" w:color="000000"/>
              <w:left w:val="single" w:sz="4" w:space="0" w:color="000000"/>
              <w:bottom w:val="single" w:sz="4" w:space="0" w:color="000000"/>
              <w:right w:val="single" w:sz="4" w:space="0" w:color="000000"/>
            </w:tcBorders>
            <w:vAlign w:val="center"/>
          </w:tcPr>
          <w:p w14:paraId="48DDF62D"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5.</w:t>
            </w:r>
            <w:r w:rsidRPr="004A6510">
              <w:rPr>
                <w:rFonts w:ascii="Arial" w:eastAsia="Arial" w:hAnsi="Arial" w:cs="Arial"/>
                <w:sz w:val="24"/>
                <w:szCs w:val="24"/>
              </w:rPr>
              <w:t xml:space="preserve"> </w:t>
            </w:r>
            <w:r w:rsidRPr="004A6510">
              <w:rPr>
                <w:rFonts w:ascii="Arial" w:eastAsia="Calibri" w:hAnsi="Arial" w:cs="Arial"/>
                <w:sz w:val="24"/>
                <w:szCs w:val="24"/>
              </w:rPr>
              <w:t xml:space="preserve">Are there alternative causes (other than the drug) that could on their own have caused the reaction? </w:t>
            </w:r>
          </w:p>
        </w:tc>
        <w:tc>
          <w:tcPr>
            <w:tcW w:w="562" w:type="dxa"/>
            <w:tcBorders>
              <w:top w:val="single" w:sz="4" w:space="0" w:color="000000"/>
              <w:left w:val="single" w:sz="4" w:space="0" w:color="000000"/>
              <w:bottom w:val="single" w:sz="4" w:space="0" w:color="000000"/>
              <w:right w:val="single" w:sz="4" w:space="0" w:color="000000"/>
            </w:tcBorders>
          </w:tcPr>
          <w:p w14:paraId="0639EEEC" w14:textId="77777777" w:rsidR="00A01843" w:rsidRPr="004A6510" w:rsidRDefault="00A01843" w:rsidP="003E61CE">
            <w:pPr>
              <w:ind w:right="29"/>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778F8DA7" w14:textId="77777777" w:rsidR="00A01843" w:rsidRPr="004A6510" w:rsidRDefault="00A01843" w:rsidP="003E61CE">
            <w:pPr>
              <w:ind w:right="29"/>
              <w:jc w:val="center"/>
              <w:rPr>
                <w:rFonts w:ascii="Arial" w:hAnsi="Arial" w:cs="Arial"/>
                <w:sz w:val="24"/>
                <w:szCs w:val="24"/>
              </w:rPr>
            </w:pPr>
            <w:r w:rsidRPr="004A6510">
              <w:rPr>
                <w:rFonts w:ascii="Arial" w:eastAsia="Calibri" w:hAnsi="Arial" w:cs="Arial"/>
                <w:sz w:val="24"/>
                <w:szCs w:val="24"/>
              </w:rPr>
              <w:t xml:space="preserve">+2 </w:t>
            </w:r>
          </w:p>
        </w:tc>
        <w:tc>
          <w:tcPr>
            <w:tcW w:w="972" w:type="dxa"/>
            <w:tcBorders>
              <w:top w:val="single" w:sz="4" w:space="0" w:color="000000"/>
              <w:left w:val="single" w:sz="4" w:space="0" w:color="000000"/>
              <w:bottom w:val="single" w:sz="4" w:space="0" w:color="000000"/>
              <w:right w:val="single" w:sz="4" w:space="0" w:color="000000"/>
            </w:tcBorders>
          </w:tcPr>
          <w:p w14:paraId="593A292A"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274A26DF" w14:textId="77777777" w:rsidR="00A01843" w:rsidRPr="004A6510" w:rsidRDefault="00A01843" w:rsidP="003E61CE">
            <w:pPr>
              <w:ind w:left="22"/>
              <w:jc w:val="center"/>
              <w:rPr>
                <w:rFonts w:ascii="Arial" w:hAnsi="Arial" w:cs="Arial"/>
                <w:sz w:val="24"/>
                <w:szCs w:val="24"/>
              </w:rPr>
            </w:pPr>
            <w:r w:rsidRPr="004A6510">
              <w:rPr>
                <w:rFonts w:ascii="Arial" w:eastAsia="Calibri" w:hAnsi="Arial" w:cs="Arial"/>
                <w:i/>
                <w:sz w:val="24"/>
                <w:szCs w:val="24"/>
              </w:rPr>
              <w:t>+2</w:t>
            </w:r>
          </w:p>
        </w:tc>
      </w:tr>
      <w:tr w:rsidR="00A01843" w:rsidRPr="004A6510" w14:paraId="11241B02"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47B0C584"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6.</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reaction reappear when a placebo was given? </w:t>
            </w:r>
          </w:p>
        </w:tc>
        <w:tc>
          <w:tcPr>
            <w:tcW w:w="562" w:type="dxa"/>
            <w:tcBorders>
              <w:top w:val="single" w:sz="4" w:space="0" w:color="000000"/>
              <w:left w:val="single" w:sz="4" w:space="0" w:color="000000"/>
              <w:bottom w:val="single" w:sz="4" w:space="0" w:color="000000"/>
              <w:right w:val="single" w:sz="4" w:space="0" w:color="000000"/>
            </w:tcBorders>
            <w:vAlign w:val="center"/>
          </w:tcPr>
          <w:p w14:paraId="639643F3" w14:textId="77777777" w:rsidR="00A01843" w:rsidRPr="004A6510" w:rsidRDefault="00A01843" w:rsidP="003E61CE">
            <w:pPr>
              <w:ind w:right="29"/>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vAlign w:val="center"/>
          </w:tcPr>
          <w:p w14:paraId="16B9A9CE" w14:textId="77777777" w:rsidR="00A01843" w:rsidRPr="004A6510" w:rsidRDefault="00A01843" w:rsidP="003E61CE">
            <w:pPr>
              <w:ind w:right="29"/>
              <w:jc w:val="center"/>
              <w:rPr>
                <w:rFonts w:ascii="Arial" w:hAnsi="Arial" w:cs="Arial"/>
                <w:sz w:val="24"/>
                <w:szCs w:val="24"/>
              </w:rPr>
            </w:pPr>
            <w:r w:rsidRPr="004A6510">
              <w:rPr>
                <w:rFonts w:ascii="Arial" w:eastAsia="Calibri" w:hAnsi="Arial" w:cs="Arial"/>
                <w:sz w:val="24"/>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14:paraId="6BB40638"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745F8FFF"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61667290" w14:textId="77777777" w:rsidTr="00A01843">
        <w:trPr>
          <w:trHeight w:val="553"/>
        </w:trPr>
        <w:tc>
          <w:tcPr>
            <w:tcW w:w="7540" w:type="dxa"/>
            <w:tcBorders>
              <w:top w:val="single" w:sz="4" w:space="0" w:color="000000"/>
              <w:left w:val="single" w:sz="4" w:space="0" w:color="000000"/>
              <w:bottom w:val="single" w:sz="4" w:space="0" w:color="000000"/>
              <w:right w:val="single" w:sz="4" w:space="0" w:color="000000"/>
            </w:tcBorders>
            <w:vAlign w:val="center"/>
          </w:tcPr>
          <w:p w14:paraId="312CC876"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7.</w:t>
            </w:r>
            <w:r w:rsidRPr="004A6510">
              <w:rPr>
                <w:rFonts w:ascii="Arial" w:eastAsia="Arial" w:hAnsi="Arial" w:cs="Arial"/>
                <w:sz w:val="24"/>
                <w:szCs w:val="24"/>
              </w:rPr>
              <w:t xml:space="preserve"> </w:t>
            </w:r>
            <w:r w:rsidRPr="004A6510">
              <w:rPr>
                <w:rFonts w:ascii="Arial" w:eastAsia="Calibri" w:hAnsi="Arial" w:cs="Arial"/>
                <w:sz w:val="24"/>
                <w:szCs w:val="24"/>
              </w:rPr>
              <w:t xml:space="preserve">Was the drug detected in blood (or other fluids) in concentrations known to be toxic? </w:t>
            </w:r>
          </w:p>
        </w:tc>
        <w:tc>
          <w:tcPr>
            <w:tcW w:w="562" w:type="dxa"/>
            <w:tcBorders>
              <w:top w:val="single" w:sz="4" w:space="0" w:color="000000"/>
              <w:left w:val="single" w:sz="4" w:space="0" w:color="000000"/>
              <w:bottom w:val="single" w:sz="4" w:space="0" w:color="000000"/>
              <w:right w:val="single" w:sz="4" w:space="0" w:color="000000"/>
            </w:tcBorders>
          </w:tcPr>
          <w:p w14:paraId="1E131B34"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5E07668A"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5CF5B55E"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593BACF1"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45A54B50" w14:textId="77777777" w:rsidTr="00A01843">
        <w:trPr>
          <w:trHeight w:val="787"/>
        </w:trPr>
        <w:tc>
          <w:tcPr>
            <w:tcW w:w="7540" w:type="dxa"/>
            <w:tcBorders>
              <w:top w:val="single" w:sz="4" w:space="0" w:color="000000"/>
              <w:left w:val="single" w:sz="4" w:space="0" w:color="000000"/>
              <w:bottom w:val="single" w:sz="4" w:space="0" w:color="000000"/>
              <w:right w:val="single" w:sz="4" w:space="0" w:color="000000"/>
            </w:tcBorders>
            <w:vAlign w:val="center"/>
          </w:tcPr>
          <w:p w14:paraId="3245F66C"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8.</w:t>
            </w:r>
            <w:r w:rsidRPr="004A6510">
              <w:rPr>
                <w:rFonts w:ascii="Arial" w:eastAsia="Arial" w:hAnsi="Arial" w:cs="Arial"/>
                <w:sz w:val="24"/>
                <w:szCs w:val="24"/>
              </w:rPr>
              <w:t xml:space="preserve"> </w:t>
            </w:r>
            <w:r w:rsidRPr="004A6510">
              <w:rPr>
                <w:rFonts w:ascii="Arial" w:eastAsia="Calibri" w:hAnsi="Arial" w:cs="Arial"/>
                <w:sz w:val="24"/>
                <w:szCs w:val="24"/>
              </w:rPr>
              <w:t xml:space="preserve">Was the reaction more severe when the dose was increased or less severe when the dose was decreased? </w:t>
            </w:r>
          </w:p>
        </w:tc>
        <w:tc>
          <w:tcPr>
            <w:tcW w:w="562" w:type="dxa"/>
            <w:tcBorders>
              <w:top w:val="single" w:sz="4" w:space="0" w:color="000000"/>
              <w:left w:val="single" w:sz="4" w:space="0" w:color="000000"/>
              <w:bottom w:val="single" w:sz="4" w:space="0" w:color="000000"/>
              <w:right w:val="single" w:sz="4" w:space="0" w:color="000000"/>
            </w:tcBorders>
          </w:tcPr>
          <w:p w14:paraId="410B6D98"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6E782A52" w14:textId="77777777" w:rsidR="00A01843" w:rsidRPr="004A6510" w:rsidRDefault="00A01843" w:rsidP="003E61CE">
            <w:pPr>
              <w:ind w:right="28"/>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12FC7E48"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7B85589C"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0F480063" w14:textId="77777777" w:rsidTr="00A01843">
        <w:trPr>
          <w:trHeight w:val="279"/>
        </w:trPr>
        <w:tc>
          <w:tcPr>
            <w:tcW w:w="7540" w:type="dxa"/>
            <w:tcBorders>
              <w:top w:val="single" w:sz="4" w:space="0" w:color="000000"/>
              <w:left w:val="single" w:sz="4" w:space="0" w:color="000000"/>
              <w:bottom w:val="single" w:sz="4" w:space="0" w:color="000000"/>
              <w:right w:val="single" w:sz="4" w:space="0" w:color="000000"/>
            </w:tcBorders>
            <w:vAlign w:val="center"/>
          </w:tcPr>
          <w:p w14:paraId="7147129A"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9.</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patient have a similar reaction to the same or similar drugs in any previous exposure? </w:t>
            </w:r>
          </w:p>
        </w:tc>
        <w:tc>
          <w:tcPr>
            <w:tcW w:w="562" w:type="dxa"/>
            <w:tcBorders>
              <w:top w:val="single" w:sz="4" w:space="0" w:color="000000"/>
              <w:left w:val="single" w:sz="4" w:space="0" w:color="000000"/>
              <w:bottom w:val="single" w:sz="4" w:space="0" w:color="000000"/>
              <w:right w:val="single" w:sz="4" w:space="0" w:color="000000"/>
            </w:tcBorders>
          </w:tcPr>
          <w:p w14:paraId="4EA19648"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280F1735"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65FA17EE"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4674F0D5"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4A4368BB" w14:textId="77777777" w:rsidTr="00A01843">
        <w:trPr>
          <w:trHeight w:val="520"/>
        </w:trPr>
        <w:tc>
          <w:tcPr>
            <w:tcW w:w="7540" w:type="dxa"/>
            <w:tcBorders>
              <w:top w:val="single" w:sz="4" w:space="0" w:color="000000"/>
              <w:left w:val="single" w:sz="4" w:space="0" w:color="000000"/>
              <w:bottom w:val="single" w:sz="4" w:space="0" w:color="000000"/>
              <w:right w:val="single" w:sz="4" w:space="0" w:color="000000"/>
            </w:tcBorders>
            <w:vAlign w:val="center"/>
          </w:tcPr>
          <w:p w14:paraId="584383BF"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10.</w:t>
            </w:r>
            <w:r w:rsidRPr="004A6510">
              <w:rPr>
                <w:rFonts w:ascii="Arial" w:eastAsia="Arial" w:hAnsi="Arial" w:cs="Arial"/>
                <w:sz w:val="24"/>
                <w:szCs w:val="24"/>
              </w:rPr>
              <w:t xml:space="preserve"> </w:t>
            </w:r>
            <w:r w:rsidRPr="004A6510">
              <w:rPr>
                <w:rFonts w:ascii="Arial" w:eastAsia="Calibri" w:hAnsi="Arial" w:cs="Arial"/>
                <w:sz w:val="24"/>
                <w:szCs w:val="24"/>
              </w:rPr>
              <w:t xml:space="preserve">Was the adverse event confirmed by any objective evidence? </w:t>
            </w:r>
          </w:p>
        </w:tc>
        <w:tc>
          <w:tcPr>
            <w:tcW w:w="562" w:type="dxa"/>
            <w:tcBorders>
              <w:top w:val="single" w:sz="4" w:space="0" w:color="000000"/>
              <w:left w:val="single" w:sz="4" w:space="0" w:color="000000"/>
              <w:bottom w:val="single" w:sz="4" w:space="0" w:color="000000"/>
              <w:right w:val="single" w:sz="4" w:space="0" w:color="000000"/>
            </w:tcBorders>
            <w:vAlign w:val="center"/>
          </w:tcPr>
          <w:p w14:paraId="31220F8D"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vAlign w:val="center"/>
          </w:tcPr>
          <w:p w14:paraId="02BB73E9"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vAlign w:val="center"/>
          </w:tcPr>
          <w:p w14:paraId="6C5A6365"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62A40AE9"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+1</w:t>
            </w:r>
          </w:p>
        </w:tc>
      </w:tr>
      <w:tr w:rsidR="00A01843" w:rsidRPr="004A6510" w14:paraId="3D48BCFF" w14:textId="77777777" w:rsidTr="00A01843">
        <w:trPr>
          <w:trHeight w:val="26"/>
        </w:trPr>
        <w:tc>
          <w:tcPr>
            <w:tcW w:w="9699" w:type="dxa"/>
            <w:gridSpan w:val="4"/>
            <w:tcBorders>
              <w:top w:val="single" w:sz="4" w:space="0" w:color="000000"/>
              <w:left w:val="single" w:sz="4" w:space="0" w:color="000000"/>
              <w:bottom w:val="single" w:sz="4" w:space="0" w:color="000000"/>
              <w:right w:val="single" w:sz="4" w:space="0" w:color="000000"/>
            </w:tcBorders>
            <w:shd w:val="clear" w:color="auto" w:fill="000000"/>
          </w:tcPr>
          <w:p w14:paraId="1715B0D7" w14:textId="77777777" w:rsidR="00A01843" w:rsidRPr="004A6510" w:rsidRDefault="00A01843" w:rsidP="003E61CE">
            <w:pPr>
              <w:spacing w:after="11"/>
              <w:rPr>
                <w:rFonts w:ascii="Arial" w:hAnsi="Arial" w:cs="Arial"/>
                <w:sz w:val="24"/>
                <w:szCs w:val="24"/>
              </w:rPr>
            </w:pPr>
            <w:r w:rsidRPr="004A6510">
              <w:rPr>
                <w:rFonts w:ascii="Arial" w:eastAsia="Calibri" w:hAnsi="Arial" w:cs="Arial"/>
                <w:b/>
                <w:color w:val="FFFFFF"/>
                <w:sz w:val="24"/>
                <w:szCs w:val="24"/>
              </w:rPr>
              <w:t xml:space="preserve">                                                                                                                                                        TOTAL SCORE:</w:t>
            </w:r>
          </w:p>
          <w:p w14:paraId="362DF8F4" w14:textId="77777777" w:rsidR="00A01843" w:rsidRPr="004A6510" w:rsidRDefault="00A01843" w:rsidP="003E61CE">
            <w:pPr>
              <w:rPr>
                <w:rFonts w:ascii="Arial" w:hAnsi="Arial" w:cs="Arial"/>
                <w:sz w:val="24"/>
                <w:szCs w:val="24"/>
              </w:rPr>
            </w:pPr>
            <w:r w:rsidRPr="004A6510">
              <w:rPr>
                <w:rFonts w:ascii="Arial" w:eastAsia="Calibri" w:hAnsi="Arial" w:cs="Arial"/>
                <w:b/>
                <w:color w:val="FFFFFF"/>
                <w:sz w:val="24"/>
                <w:szCs w:val="24"/>
              </w:rPr>
              <w:t xml:space="preserve">                                                                                                                                                </w:t>
            </w:r>
          </w:p>
        </w:tc>
        <w:tc>
          <w:tcPr>
            <w:tcW w:w="736" w:type="dxa"/>
            <w:tcBorders>
              <w:top w:val="single" w:sz="4" w:space="0" w:color="000000"/>
              <w:left w:val="single" w:sz="4" w:space="0" w:color="000000"/>
              <w:bottom w:val="single" w:sz="4" w:space="0" w:color="000000"/>
              <w:right w:val="single" w:sz="4" w:space="0" w:color="000000"/>
            </w:tcBorders>
          </w:tcPr>
          <w:p w14:paraId="1CB4821C" w14:textId="77777777" w:rsidR="00A01843" w:rsidRPr="004A6510" w:rsidRDefault="00A01843" w:rsidP="003E61CE">
            <w:pPr>
              <w:ind w:left="1"/>
              <w:jc w:val="center"/>
              <w:rPr>
                <w:rFonts w:ascii="Arial" w:eastAsia="Calibri" w:hAnsi="Arial" w:cs="Arial"/>
                <w:i/>
                <w:sz w:val="24"/>
                <w:szCs w:val="24"/>
              </w:rPr>
            </w:pPr>
            <w:r w:rsidRPr="004A6510">
              <w:rPr>
                <w:rFonts w:ascii="Arial" w:eastAsia="Calibri" w:hAnsi="Arial" w:cs="Arial"/>
                <w:i/>
                <w:sz w:val="24"/>
                <w:szCs w:val="24"/>
              </w:rPr>
              <w:t>6</w:t>
            </w:r>
          </w:p>
          <w:p w14:paraId="53F01B00" w14:textId="77777777" w:rsidR="00A01843" w:rsidRPr="004A6510" w:rsidRDefault="00A01843" w:rsidP="003E61CE">
            <w:pPr>
              <w:ind w:left="1"/>
              <w:jc w:val="center"/>
              <w:rPr>
                <w:rFonts w:ascii="Arial" w:hAnsi="Arial" w:cs="Arial"/>
                <w:sz w:val="24"/>
                <w:szCs w:val="24"/>
              </w:rPr>
            </w:pPr>
          </w:p>
        </w:tc>
      </w:tr>
    </w:tbl>
    <w:p w14:paraId="4661DAF0" w14:textId="2AD23A66" w:rsidR="00A01843" w:rsidRPr="004A6510" w:rsidRDefault="00A01843" w:rsidP="00A01843">
      <w:pPr>
        <w:spacing w:line="240" w:lineRule="auto"/>
        <w:ind w:left="-5"/>
        <w:jc w:val="both"/>
        <w:rPr>
          <w:rFonts w:ascii="Arial" w:hAnsi="Arial" w:cs="Arial"/>
          <w:sz w:val="24"/>
          <w:szCs w:val="24"/>
        </w:rPr>
      </w:pPr>
      <w:r w:rsidRPr="004A6510">
        <w:rPr>
          <w:rFonts w:ascii="Arial" w:hAnsi="Arial" w:cs="Arial"/>
          <w:sz w:val="24"/>
          <w:szCs w:val="24"/>
        </w:rPr>
        <w:t>Legend 2: Score ≥9 = Definite drug reaction, 5–8 = Probable drug reaction, 1–4 = Possible drug reaction, and ≤0 = Doubtful drug reaction. Modified</w:t>
      </w:r>
      <w:r w:rsidRPr="004A6510">
        <w:rPr>
          <w:rFonts w:ascii="Arial" w:eastAsia="Cambria" w:hAnsi="Arial" w:cs="Arial"/>
          <w:sz w:val="24"/>
          <w:szCs w:val="24"/>
        </w:rPr>
        <w:t xml:space="preserve"> </w:t>
      </w:r>
      <w:r w:rsidRPr="004A6510">
        <w:rPr>
          <w:rFonts w:ascii="Arial" w:hAnsi="Arial" w:cs="Arial"/>
          <w:sz w:val="24"/>
          <w:szCs w:val="24"/>
        </w:rPr>
        <w:t>from:</w:t>
      </w:r>
      <w:r w:rsidRPr="004A6510">
        <w:rPr>
          <w:rFonts w:ascii="Arial" w:eastAsia="Cambria" w:hAnsi="Arial" w:cs="Arial"/>
          <w:sz w:val="24"/>
          <w:szCs w:val="24"/>
        </w:rPr>
        <w:t xml:space="preserve">   </w:t>
      </w:r>
      <w:r w:rsidRPr="004A6510">
        <w:rPr>
          <w:rFonts w:ascii="Arial" w:hAnsi="Arial" w:cs="Arial"/>
          <w:sz w:val="24"/>
          <w:szCs w:val="24"/>
        </w:rPr>
        <w:t>Naranjo</w:t>
      </w:r>
      <w:r w:rsidRPr="004A6510">
        <w:rPr>
          <w:rFonts w:ascii="Arial" w:eastAsia="Cambria" w:hAnsi="Arial" w:cs="Arial"/>
          <w:sz w:val="24"/>
          <w:szCs w:val="24"/>
        </w:rPr>
        <w:t xml:space="preserve"> </w:t>
      </w:r>
      <w:r w:rsidRPr="004A6510">
        <w:rPr>
          <w:rFonts w:ascii="Arial" w:hAnsi="Arial" w:cs="Arial"/>
          <w:sz w:val="24"/>
          <w:szCs w:val="24"/>
        </w:rPr>
        <w:t>CA</w:t>
      </w:r>
      <w:r w:rsidRPr="004A6510">
        <w:rPr>
          <w:rFonts w:ascii="Arial" w:eastAsia="Cambria" w:hAnsi="Arial" w:cs="Arial"/>
          <w:sz w:val="24"/>
          <w:szCs w:val="24"/>
        </w:rPr>
        <w:t xml:space="preserve"> </w:t>
      </w:r>
      <w:r w:rsidRPr="004A6510">
        <w:rPr>
          <w:rFonts w:ascii="Arial" w:hAnsi="Arial" w:cs="Arial"/>
          <w:sz w:val="24"/>
          <w:szCs w:val="24"/>
        </w:rPr>
        <w:t>et</w:t>
      </w:r>
      <w:r w:rsidRPr="004A6510">
        <w:rPr>
          <w:rFonts w:ascii="Arial" w:eastAsia="Cambria" w:hAnsi="Arial" w:cs="Arial"/>
          <w:sz w:val="24"/>
          <w:szCs w:val="24"/>
        </w:rPr>
        <w:t xml:space="preserve"> </w:t>
      </w:r>
      <w:r w:rsidRPr="004A6510">
        <w:rPr>
          <w:rFonts w:ascii="Arial" w:hAnsi="Arial" w:cs="Arial"/>
          <w:sz w:val="24"/>
          <w:szCs w:val="24"/>
        </w:rPr>
        <w:t>al.</w:t>
      </w:r>
      <w:r w:rsidRPr="004A6510">
        <w:rPr>
          <w:rFonts w:ascii="Arial" w:eastAsia="Cambria" w:hAnsi="Arial" w:cs="Arial"/>
          <w:sz w:val="24"/>
          <w:szCs w:val="24"/>
        </w:rPr>
        <w:t xml:space="preserve">  </w:t>
      </w:r>
      <w:r w:rsidRPr="004A6510">
        <w:rPr>
          <w:rFonts w:ascii="Arial" w:hAnsi="Arial" w:cs="Arial"/>
          <w:sz w:val="24"/>
          <w:szCs w:val="24"/>
        </w:rPr>
        <w:t>A</w:t>
      </w:r>
      <w:r w:rsidRPr="004A6510">
        <w:rPr>
          <w:rFonts w:ascii="Arial" w:eastAsia="Cambria" w:hAnsi="Arial" w:cs="Arial"/>
          <w:sz w:val="24"/>
          <w:szCs w:val="24"/>
        </w:rPr>
        <w:t xml:space="preserve"> </w:t>
      </w:r>
      <w:r w:rsidRPr="004A6510">
        <w:rPr>
          <w:rFonts w:ascii="Arial" w:hAnsi="Arial" w:cs="Arial"/>
          <w:sz w:val="24"/>
          <w:szCs w:val="24"/>
        </w:rPr>
        <w:t>method</w:t>
      </w:r>
      <w:r w:rsidRPr="004A6510">
        <w:rPr>
          <w:rFonts w:ascii="Arial" w:eastAsia="Cambria" w:hAnsi="Arial" w:cs="Arial"/>
          <w:sz w:val="24"/>
          <w:szCs w:val="24"/>
        </w:rPr>
        <w:t xml:space="preserve"> </w:t>
      </w:r>
      <w:r w:rsidRPr="004A6510">
        <w:rPr>
          <w:rFonts w:ascii="Arial" w:hAnsi="Arial" w:cs="Arial"/>
          <w:sz w:val="24"/>
          <w:szCs w:val="24"/>
        </w:rPr>
        <w:t>for</w:t>
      </w:r>
      <w:r w:rsidRPr="004A6510">
        <w:rPr>
          <w:rFonts w:ascii="Arial" w:eastAsia="Cambria" w:hAnsi="Arial" w:cs="Arial"/>
          <w:sz w:val="24"/>
          <w:szCs w:val="24"/>
        </w:rPr>
        <w:t xml:space="preserve"> </w:t>
      </w:r>
      <w:r w:rsidRPr="004A6510">
        <w:rPr>
          <w:rFonts w:ascii="Arial" w:hAnsi="Arial" w:cs="Arial"/>
          <w:sz w:val="24"/>
          <w:szCs w:val="24"/>
        </w:rPr>
        <w:t>estimating</w:t>
      </w:r>
      <w:r w:rsidRPr="004A6510">
        <w:rPr>
          <w:rFonts w:ascii="Arial" w:eastAsia="Cambria" w:hAnsi="Arial" w:cs="Arial"/>
          <w:sz w:val="24"/>
          <w:szCs w:val="24"/>
        </w:rPr>
        <w:t xml:space="preserve"> </w:t>
      </w:r>
      <w:r w:rsidRPr="004A6510">
        <w:rPr>
          <w:rFonts w:ascii="Arial" w:hAnsi="Arial" w:cs="Arial"/>
          <w:sz w:val="24"/>
          <w:szCs w:val="24"/>
        </w:rPr>
        <w:t>the</w:t>
      </w:r>
      <w:r w:rsidRPr="004A6510">
        <w:rPr>
          <w:rFonts w:ascii="Arial" w:eastAsia="Cambria" w:hAnsi="Arial" w:cs="Arial"/>
          <w:sz w:val="24"/>
          <w:szCs w:val="24"/>
        </w:rPr>
        <w:t xml:space="preserve"> </w:t>
      </w:r>
      <w:r w:rsidRPr="004A6510">
        <w:rPr>
          <w:rFonts w:ascii="Arial" w:hAnsi="Arial" w:cs="Arial"/>
          <w:sz w:val="24"/>
          <w:szCs w:val="24"/>
        </w:rPr>
        <w:t>probability</w:t>
      </w:r>
      <w:r w:rsidRPr="004A6510">
        <w:rPr>
          <w:rFonts w:ascii="Arial" w:eastAsia="Cambria" w:hAnsi="Arial" w:cs="Arial"/>
          <w:sz w:val="24"/>
          <w:szCs w:val="24"/>
        </w:rPr>
        <w:t xml:space="preserve"> </w:t>
      </w:r>
      <w:r w:rsidRPr="004A6510">
        <w:rPr>
          <w:rFonts w:ascii="Arial" w:hAnsi="Arial" w:cs="Arial"/>
          <w:sz w:val="24"/>
          <w:szCs w:val="24"/>
        </w:rPr>
        <w:t>of</w:t>
      </w:r>
      <w:r w:rsidRPr="004A6510">
        <w:rPr>
          <w:rFonts w:ascii="Arial" w:eastAsia="Cambria" w:hAnsi="Arial" w:cs="Arial"/>
          <w:sz w:val="24"/>
          <w:szCs w:val="24"/>
        </w:rPr>
        <w:t xml:space="preserve"> </w:t>
      </w:r>
      <w:r w:rsidRPr="004A6510">
        <w:rPr>
          <w:rFonts w:ascii="Arial" w:hAnsi="Arial" w:cs="Arial"/>
          <w:sz w:val="24"/>
          <w:szCs w:val="24"/>
        </w:rPr>
        <w:t>adverse</w:t>
      </w:r>
      <w:r w:rsidRPr="004A6510">
        <w:rPr>
          <w:rFonts w:ascii="Arial" w:eastAsia="Cambria" w:hAnsi="Arial" w:cs="Arial"/>
          <w:sz w:val="24"/>
          <w:szCs w:val="24"/>
        </w:rPr>
        <w:t xml:space="preserve"> </w:t>
      </w:r>
      <w:r w:rsidRPr="004A6510">
        <w:rPr>
          <w:rFonts w:ascii="Arial" w:hAnsi="Arial" w:cs="Arial"/>
          <w:sz w:val="24"/>
          <w:szCs w:val="24"/>
        </w:rPr>
        <w:t>drug</w:t>
      </w:r>
      <w:r w:rsidRPr="004A6510">
        <w:rPr>
          <w:rFonts w:ascii="Arial" w:eastAsia="Cambria" w:hAnsi="Arial" w:cs="Arial"/>
          <w:sz w:val="24"/>
          <w:szCs w:val="24"/>
        </w:rPr>
        <w:t xml:space="preserve"> </w:t>
      </w:r>
      <w:r w:rsidRPr="004A6510">
        <w:rPr>
          <w:rFonts w:ascii="Arial" w:hAnsi="Arial" w:cs="Arial"/>
          <w:sz w:val="24"/>
          <w:szCs w:val="24"/>
        </w:rPr>
        <w:t>reactions.</w:t>
      </w:r>
      <w:r w:rsidRPr="004A6510">
        <w:rPr>
          <w:rFonts w:ascii="Arial" w:eastAsia="Cambria" w:hAnsi="Arial" w:cs="Arial"/>
          <w:sz w:val="24"/>
          <w:szCs w:val="24"/>
        </w:rPr>
        <w:t xml:space="preserve">  </w:t>
      </w:r>
      <w:r w:rsidRPr="004A6510">
        <w:rPr>
          <w:rFonts w:ascii="Arial" w:hAnsi="Arial" w:cs="Arial"/>
          <w:sz w:val="24"/>
          <w:szCs w:val="24"/>
        </w:rPr>
        <w:t>Clin</w:t>
      </w:r>
      <w:r w:rsidRPr="004A6510">
        <w:rPr>
          <w:rFonts w:ascii="Arial" w:eastAsia="Cambria" w:hAnsi="Arial" w:cs="Arial"/>
          <w:sz w:val="24"/>
          <w:szCs w:val="24"/>
        </w:rPr>
        <w:t xml:space="preserve"> </w:t>
      </w:r>
      <w:proofErr w:type="spellStart"/>
      <w:r w:rsidRPr="004A6510">
        <w:rPr>
          <w:rFonts w:ascii="Arial" w:hAnsi="Arial" w:cs="Arial"/>
          <w:sz w:val="24"/>
          <w:szCs w:val="24"/>
        </w:rPr>
        <w:t>Pharmacol</w:t>
      </w:r>
      <w:proofErr w:type="spellEnd"/>
      <w:r w:rsidRPr="004A6510">
        <w:rPr>
          <w:rFonts w:ascii="Arial" w:eastAsia="Cambria" w:hAnsi="Arial" w:cs="Arial"/>
          <w:sz w:val="24"/>
          <w:szCs w:val="24"/>
        </w:rPr>
        <w:t xml:space="preserve"> </w:t>
      </w:r>
      <w:proofErr w:type="spellStart"/>
      <w:r w:rsidRPr="004A6510">
        <w:rPr>
          <w:rFonts w:ascii="Arial" w:hAnsi="Arial" w:cs="Arial"/>
          <w:sz w:val="24"/>
          <w:szCs w:val="24"/>
        </w:rPr>
        <w:t>Ther</w:t>
      </w:r>
      <w:proofErr w:type="spellEnd"/>
      <w:r w:rsidRPr="004A6510">
        <w:rPr>
          <w:rFonts w:ascii="Arial" w:eastAsia="Cambria" w:hAnsi="Arial" w:cs="Arial"/>
          <w:sz w:val="24"/>
          <w:szCs w:val="24"/>
        </w:rPr>
        <w:t xml:space="preserve"> </w:t>
      </w:r>
      <w:r w:rsidRPr="004A6510">
        <w:rPr>
          <w:rFonts w:ascii="Arial" w:hAnsi="Arial" w:cs="Arial"/>
          <w:sz w:val="24"/>
          <w:szCs w:val="24"/>
        </w:rPr>
        <w:t>1981;</w:t>
      </w:r>
      <w:r w:rsidRPr="004A6510">
        <w:rPr>
          <w:rFonts w:ascii="Arial" w:eastAsia="Cambria" w:hAnsi="Arial" w:cs="Arial"/>
          <w:sz w:val="24"/>
          <w:szCs w:val="24"/>
        </w:rPr>
        <w:t xml:space="preserve"> </w:t>
      </w:r>
      <w:r w:rsidRPr="004A6510">
        <w:rPr>
          <w:rFonts w:ascii="Arial" w:hAnsi="Arial" w:cs="Arial"/>
          <w:sz w:val="24"/>
          <w:szCs w:val="24"/>
        </w:rPr>
        <w:t>30:</w:t>
      </w:r>
      <w:r w:rsidRPr="004A6510">
        <w:rPr>
          <w:rFonts w:ascii="Arial" w:eastAsia="Cambria" w:hAnsi="Arial" w:cs="Arial"/>
          <w:sz w:val="24"/>
          <w:szCs w:val="24"/>
        </w:rPr>
        <w:t xml:space="preserve"> </w:t>
      </w:r>
      <w:r w:rsidRPr="004A6510">
        <w:rPr>
          <w:rFonts w:ascii="Arial" w:hAnsi="Arial" w:cs="Arial"/>
          <w:sz w:val="24"/>
          <w:szCs w:val="24"/>
        </w:rPr>
        <w:t>239</w:t>
      </w:r>
      <w:r w:rsidRPr="004A6510">
        <w:rPr>
          <w:rFonts w:ascii="Arial" w:eastAsia="Cambria" w:hAnsi="Arial" w:cs="Arial"/>
          <w:sz w:val="24"/>
          <w:szCs w:val="24"/>
        </w:rPr>
        <w:t>­</w:t>
      </w:r>
      <w:r w:rsidRPr="004A6510">
        <w:rPr>
          <w:rFonts w:ascii="Arial" w:hAnsi="Arial" w:cs="Arial"/>
          <w:sz w:val="24"/>
          <w:szCs w:val="24"/>
        </w:rPr>
        <w:t>245.</w:t>
      </w:r>
      <w:r w:rsidRPr="004A6510">
        <w:rPr>
          <w:rFonts w:ascii="Arial" w:eastAsia="Cambria" w:hAnsi="Arial" w:cs="Arial"/>
          <w:sz w:val="24"/>
          <w:szCs w:val="24"/>
        </w:rPr>
        <w:t xml:space="preserve"> </w:t>
      </w:r>
    </w:p>
    <w:p w14:paraId="51E25DF2" w14:textId="77777777"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t xml:space="preserve">This case contributes to the limited but growing evidence showing cephalosporin-induced CHV, particularly caused by cefixime. Early recognition and withdrawal of the offending drug are critical to prevent progression and complications. As demonstrated by this patient's </w:t>
      </w:r>
      <w:proofErr w:type="spellStart"/>
      <w:r w:rsidRPr="004A6510">
        <w:rPr>
          <w:rFonts w:ascii="Arial" w:hAnsi="Arial" w:cs="Arial"/>
          <w:sz w:val="24"/>
          <w:szCs w:val="24"/>
        </w:rPr>
        <w:t>favorable</w:t>
      </w:r>
      <w:proofErr w:type="spellEnd"/>
      <w:r w:rsidRPr="004A6510">
        <w:rPr>
          <w:rFonts w:ascii="Arial" w:hAnsi="Arial" w:cs="Arial"/>
          <w:sz w:val="24"/>
          <w:szCs w:val="24"/>
        </w:rPr>
        <w:t xml:space="preserve"> outcome, supportive treatment and corticosteroids are usually prescribed in these situations.</w:t>
      </w:r>
    </w:p>
    <w:p w14:paraId="743AF31D" w14:textId="33FC851E" w:rsidR="00E2151A" w:rsidRPr="004A6510" w:rsidRDefault="00195533" w:rsidP="00195533">
      <w:pPr>
        <w:spacing w:line="240" w:lineRule="auto"/>
        <w:jc w:val="both"/>
        <w:rPr>
          <w:rFonts w:ascii="Arial" w:hAnsi="Arial" w:cs="Arial"/>
          <w:b/>
          <w:bCs/>
          <w:sz w:val="24"/>
          <w:szCs w:val="24"/>
        </w:rPr>
      </w:pPr>
      <w:r w:rsidRPr="004A6510">
        <w:rPr>
          <w:rFonts w:ascii="Arial" w:hAnsi="Arial" w:cs="Arial"/>
          <w:b/>
          <w:bCs/>
          <w:sz w:val="24"/>
          <w:szCs w:val="24"/>
        </w:rPr>
        <w:lastRenderedPageBreak/>
        <w:t>4.CONCLUSION</w:t>
      </w:r>
    </w:p>
    <w:p w14:paraId="148D9673" w14:textId="77777777"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t>Cutaneous Hypersensitivity Vasculitis is a rare but important adverse reaction to cephalosporins like cefixime. Early recognition, withdrawal of the offending drug, and corticosteroid treatment can lead to rapid clinical improvement and prevent complications. Pharmacovigilance and clinical judgment are necessary in such situations. Awareness of such drug reactions is essential for early diagnosis and effective patient care.</w:t>
      </w:r>
    </w:p>
    <w:p w14:paraId="5561252E" w14:textId="65F58E6F" w:rsidR="001F5E1B" w:rsidRPr="004A6510" w:rsidRDefault="009845EA" w:rsidP="00D861A0">
      <w:pPr>
        <w:spacing w:line="240" w:lineRule="auto"/>
        <w:jc w:val="both"/>
        <w:rPr>
          <w:rFonts w:ascii="Arial" w:hAnsi="Arial" w:cs="Arial"/>
          <w:sz w:val="24"/>
          <w:szCs w:val="24"/>
        </w:rPr>
      </w:pPr>
      <w:bookmarkStart w:id="0" w:name="_GoBack"/>
      <w:bookmarkEnd w:id="0"/>
      <w:r w:rsidRPr="004A6510">
        <w:rPr>
          <w:rFonts w:ascii="Arial" w:hAnsi="Arial" w:cs="Arial"/>
          <w:b/>
          <w:bCs/>
          <w:sz w:val="24"/>
          <w:szCs w:val="24"/>
        </w:rPr>
        <w:t>DISCLAIMER (ARTIFICIAL INTELLIGENCE)</w:t>
      </w:r>
      <w:r w:rsidR="001F5E1B" w:rsidRPr="004A6510">
        <w:rPr>
          <w:rFonts w:ascii="Arial" w:hAnsi="Arial" w:cs="Arial"/>
          <w:b/>
          <w:bCs/>
          <w:sz w:val="24"/>
          <w:szCs w:val="24"/>
        </w:rPr>
        <w:t xml:space="preserve">: </w:t>
      </w:r>
      <w:r w:rsidR="001F5E1B" w:rsidRPr="004A6510">
        <w:rPr>
          <w:rFonts w:ascii="Arial" w:hAnsi="Arial" w:cs="Arial"/>
          <w:sz w:val="24"/>
          <w:szCs w:val="24"/>
        </w:rPr>
        <w:t>Authors hereby declare that any use of AI assistance was limited to language editing and authors retain full responsibility for the accuracy and integrity of the manuscript.</w:t>
      </w:r>
    </w:p>
    <w:p w14:paraId="50ED206B" w14:textId="24669890" w:rsidR="00B82719" w:rsidRPr="004A6510" w:rsidRDefault="009845EA" w:rsidP="00B82719">
      <w:pPr>
        <w:jc w:val="both"/>
        <w:rPr>
          <w:rFonts w:ascii="Arial" w:hAnsi="Arial" w:cs="Arial"/>
          <w:sz w:val="24"/>
          <w:szCs w:val="24"/>
        </w:rPr>
      </w:pPr>
      <w:r w:rsidRPr="004A6510">
        <w:rPr>
          <w:rFonts w:ascii="Arial" w:hAnsi="Arial" w:cs="Arial"/>
          <w:b/>
          <w:bCs/>
          <w:sz w:val="24"/>
          <w:szCs w:val="24"/>
        </w:rPr>
        <w:t>CONSENT:</w:t>
      </w:r>
      <w:r w:rsidR="00B82719" w:rsidRPr="004A6510">
        <w:rPr>
          <w:rFonts w:ascii="Arial" w:hAnsi="Arial" w:cs="Arial"/>
          <w:sz w:val="24"/>
          <w:szCs w:val="24"/>
        </w:rPr>
        <w:t xml:space="preserve"> </w:t>
      </w:r>
      <w:r w:rsidR="00075667" w:rsidRPr="004A6510">
        <w:rPr>
          <w:rFonts w:ascii="Arial" w:hAnsi="Arial" w:cs="Arial"/>
          <w:sz w:val="24"/>
          <w:szCs w:val="24"/>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14:paraId="5B3D6778" w14:textId="26C1AC1A" w:rsidR="007E3575" w:rsidRPr="004A6510" w:rsidRDefault="009845EA" w:rsidP="00B82719">
      <w:pPr>
        <w:jc w:val="both"/>
        <w:rPr>
          <w:rFonts w:ascii="Arial" w:hAnsi="Arial" w:cs="Arial"/>
          <w:sz w:val="24"/>
          <w:szCs w:val="24"/>
        </w:rPr>
      </w:pPr>
      <w:r w:rsidRPr="004A6510">
        <w:rPr>
          <w:rFonts w:ascii="Arial" w:hAnsi="Arial" w:cs="Arial"/>
          <w:b/>
          <w:bCs/>
          <w:sz w:val="24"/>
          <w:szCs w:val="24"/>
        </w:rPr>
        <w:t>ETHICAL APPROVAL:</w:t>
      </w:r>
      <w:r w:rsidRPr="004A6510">
        <w:rPr>
          <w:rFonts w:ascii="Arial" w:hAnsi="Arial" w:cs="Arial"/>
          <w:sz w:val="24"/>
          <w:szCs w:val="24"/>
        </w:rPr>
        <w:t xml:space="preserve"> </w:t>
      </w:r>
      <w:r w:rsidR="007E3575" w:rsidRPr="004A6510">
        <w:rPr>
          <w:rFonts w:ascii="Arial" w:hAnsi="Arial" w:cs="Arial"/>
          <w:sz w:val="24"/>
          <w:szCs w:val="24"/>
        </w:rPr>
        <w:t>not applicable</w:t>
      </w:r>
      <w:r w:rsidR="001F5E1B" w:rsidRPr="004A6510">
        <w:rPr>
          <w:rFonts w:ascii="Arial" w:hAnsi="Arial" w:cs="Arial"/>
          <w:sz w:val="24"/>
          <w:szCs w:val="24"/>
        </w:rPr>
        <w:t>.</w:t>
      </w:r>
    </w:p>
    <w:p w14:paraId="6B9843B9" w14:textId="2A20365E" w:rsidR="00A32B9B" w:rsidRPr="004A6510" w:rsidRDefault="009845EA" w:rsidP="00E85A72">
      <w:pPr>
        <w:spacing w:line="240" w:lineRule="auto"/>
        <w:rPr>
          <w:rFonts w:ascii="Arial" w:hAnsi="Arial" w:cs="Arial"/>
          <w:b/>
          <w:sz w:val="24"/>
          <w:szCs w:val="24"/>
        </w:rPr>
      </w:pPr>
      <w:r w:rsidRPr="004A6510">
        <w:rPr>
          <w:rFonts w:ascii="Arial" w:hAnsi="Arial" w:cs="Arial"/>
          <w:b/>
          <w:sz w:val="24"/>
          <w:szCs w:val="24"/>
        </w:rPr>
        <w:t xml:space="preserve">REFERENCES </w:t>
      </w:r>
    </w:p>
    <w:p w14:paraId="4B6AEE62" w14:textId="2791AAF3" w:rsidR="00A32B9B" w:rsidRPr="004A6510" w:rsidRDefault="00C03120" w:rsidP="00E85A72">
      <w:pPr>
        <w:pStyle w:val="ListParagraph"/>
        <w:numPr>
          <w:ilvl w:val="0"/>
          <w:numId w:val="2"/>
        </w:numPr>
        <w:spacing w:after="0" w:line="240" w:lineRule="auto"/>
        <w:jc w:val="both"/>
        <w:rPr>
          <w:rFonts w:ascii="Arial" w:hAnsi="Arial" w:cs="Arial"/>
          <w:sz w:val="24"/>
          <w:szCs w:val="24"/>
        </w:rPr>
      </w:pPr>
      <w:proofErr w:type="spellStart"/>
      <w:r w:rsidRPr="00C03120">
        <w:rPr>
          <w:rFonts w:ascii="Arial" w:hAnsi="Arial" w:cs="Arial"/>
          <w:color w:val="1B1B1B"/>
          <w:sz w:val="24"/>
          <w:szCs w:val="24"/>
          <w:shd w:val="clear" w:color="auto" w:fill="FFFFFF"/>
        </w:rPr>
        <w:t>Alpsoy</w:t>
      </w:r>
      <w:proofErr w:type="spellEnd"/>
      <w:r w:rsidRPr="00C03120">
        <w:rPr>
          <w:rFonts w:ascii="Arial" w:hAnsi="Arial" w:cs="Arial"/>
          <w:color w:val="1B1B1B"/>
          <w:sz w:val="24"/>
          <w:szCs w:val="24"/>
          <w:shd w:val="clear" w:color="auto" w:fill="FFFFFF"/>
        </w:rPr>
        <w:t>, E. (2022). Cutaneous vasculitis; An algorithmic approach to diagnosis. Front Med (Lausanne). https://doi.org/10.3389/fmed.2022.1012554</w:t>
      </w:r>
      <w:r w:rsidR="00FF6637" w:rsidRPr="004A6510">
        <w:rPr>
          <w:rFonts w:ascii="Arial" w:hAnsi="Arial" w:cs="Arial"/>
          <w:color w:val="1B1B1B"/>
          <w:sz w:val="24"/>
          <w:szCs w:val="24"/>
          <w:shd w:val="clear" w:color="auto" w:fill="FFFFFF"/>
        </w:rPr>
        <w:t>.</w:t>
      </w:r>
    </w:p>
    <w:p w14:paraId="6047FC97" w14:textId="4CA7B4DA" w:rsidR="00AA4518" w:rsidRPr="004A6510" w:rsidRDefault="00C03120"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C03120">
        <w:rPr>
          <w:rFonts w:ascii="Arial" w:hAnsi="Arial" w:cs="Arial"/>
          <w:color w:val="1B1B1B"/>
          <w:sz w:val="24"/>
          <w:szCs w:val="24"/>
          <w:shd w:val="clear" w:color="auto" w:fill="FFFFFF"/>
        </w:rPr>
        <w:t>Tang, W., &amp; Tan, J. (2022). Cephalexin-Induced Leukocytoclastic Vasculitis. Cureus, 14(7), e26545. https://doi.org/10.7759/cureus.26545</w:t>
      </w:r>
      <w:r w:rsidR="00AA4518" w:rsidRPr="004A6510">
        <w:rPr>
          <w:rFonts w:ascii="Arial" w:hAnsi="Arial" w:cs="Arial"/>
          <w:color w:val="1B1B1B"/>
          <w:sz w:val="24"/>
          <w:szCs w:val="24"/>
          <w:shd w:val="clear" w:color="auto" w:fill="FFFFFF"/>
        </w:rPr>
        <w:t>.</w:t>
      </w:r>
    </w:p>
    <w:p w14:paraId="00E866A9" w14:textId="7C141373" w:rsidR="00C03120" w:rsidRPr="00C03120" w:rsidRDefault="00C03120" w:rsidP="00E85A72">
      <w:pPr>
        <w:pStyle w:val="ListParagraph"/>
        <w:numPr>
          <w:ilvl w:val="0"/>
          <w:numId w:val="2"/>
        </w:numPr>
        <w:spacing w:line="240" w:lineRule="auto"/>
        <w:jc w:val="both"/>
        <w:rPr>
          <w:rFonts w:ascii="Arial" w:hAnsi="Arial" w:cs="Arial"/>
          <w:color w:val="1B1B1B"/>
          <w:sz w:val="24"/>
          <w:szCs w:val="24"/>
          <w:shd w:val="clear" w:color="auto" w:fill="FFFFFF"/>
        </w:rPr>
      </w:pPr>
      <w:proofErr w:type="spellStart"/>
      <w:r w:rsidRPr="00C03120">
        <w:rPr>
          <w:rFonts w:ascii="Arial" w:eastAsia="Times New Roman" w:hAnsi="Arial" w:cs="Arial"/>
          <w:sz w:val="24"/>
          <w:szCs w:val="24"/>
          <w:lang w:eastAsia="en-IN"/>
        </w:rPr>
        <w:t>Almasoudi</w:t>
      </w:r>
      <w:proofErr w:type="spellEnd"/>
      <w:r w:rsidRPr="00C03120">
        <w:rPr>
          <w:rFonts w:ascii="Arial" w:eastAsia="Times New Roman" w:hAnsi="Arial" w:cs="Arial"/>
          <w:sz w:val="24"/>
          <w:szCs w:val="24"/>
          <w:lang w:eastAsia="en-IN"/>
        </w:rPr>
        <w:t xml:space="preserve">, A. A., </w:t>
      </w:r>
      <w:proofErr w:type="spellStart"/>
      <w:r w:rsidRPr="00C03120">
        <w:rPr>
          <w:rFonts w:ascii="Arial" w:eastAsia="Times New Roman" w:hAnsi="Arial" w:cs="Arial"/>
          <w:sz w:val="24"/>
          <w:szCs w:val="24"/>
          <w:lang w:eastAsia="en-IN"/>
        </w:rPr>
        <w:t>Bablghaith</w:t>
      </w:r>
      <w:proofErr w:type="spellEnd"/>
      <w:r w:rsidRPr="00C03120">
        <w:rPr>
          <w:rFonts w:ascii="Arial" w:eastAsia="Times New Roman" w:hAnsi="Arial" w:cs="Arial"/>
          <w:sz w:val="24"/>
          <w:szCs w:val="24"/>
          <w:lang w:eastAsia="en-IN"/>
        </w:rPr>
        <w:t xml:space="preserve">, E. S., </w:t>
      </w:r>
      <w:proofErr w:type="spellStart"/>
      <w:r w:rsidRPr="00C03120">
        <w:rPr>
          <w:rFonts w:ascii="Arial" w:eastAsia="Times New Roman" w:hAnsi="Arial" w:cs="Arial"/>
          <w:sz w:val="24"/>
          <w:szCs w:val="24"/>
          <w:lang w:eastAsia="en-IN"/>
        </w:rPr>
        <w:t>Alaauldeen</w:t>
      </w:r>
      <w:proofErr w:type="spellEnd"/>
      <w:r w:rsidRPr="00C03120">
        <w:rPr>
          <w:rFonts w:ascii="Arial" w:eastAsia="Times New Roman" w:hAnsi="Arial" w:cs="Arial"/>
          <w:sz w:val="24"/>
          <w:szCs w:val="24"/>
          <w:lang w:eastAsia="en-IN"/>
        </w:rPr>
        <w:t xml:space="preserve">, S. I., </w:t>
      </w:r>
      <w:proofErr w:type="spellStart"/>
      <w:r w:rsidRPr="00C03120">
        <w:rPr>
          <w:rFonts w:ascii="Arial" w:eastAsia="Times New Roman" w:hAnsi="Arial" w:cs="Arial"/>
          <w:sz w:val="24"/>
          <w:szCs w:val="24"/>
          <w:lang w:eastAsia="en-IN"/>
        </w:rPr>
        <w:t>Falemban</w:t>
      </w:r>
      <w:proofErr w:type="spellEnd"/>
      <w:r w:rsidRPr="00C03120">
        <w:rPr>
          <w:rFonts w:ascii="Arial" w:eastAsia="Times New Roman" w:hAnsi="Arial" w:cs="Arial"/>
          <w:sz w:val="24"/>
          <w:szCs w:val="24"/>
          <w:lang w:eastAsia="en-IN"/>
        </w:rPr>
        <w:t xml:space="preserve">, A. M., </w:t>
      </w:r>
      <w:proofErr w:type="spellStart"/>
      <w:r w:rsidRPr="00C03120">
        <w:rPr>
          <w:rFonts w:ascii="Arial" w:eastAsia="Times New Roman" w:hAnsi="Arial" w:cs="Arial"/>
          <w:sz w:val="24"/>
          <w:szCs w:val="24"/>
          <w:lang w:eastAsia="en-IN"/>
        </w:rPr>
        <w:t>Sherbeeni</w:t>
      </w:r>
      <w:proofErr w:type="spellEnd"/>
      <w:r w:rsidRPr="00C03120">
        <w:rPr>
          <w:rFonts w:ascii="Arial" w:eastAsia="Times New Roman" w:hAnsi="Arial" w:cs="Arial"/>
          <w:sz w:val="24"/>
          <w:szCs w:val="24"/>
          <w:lang w:eastAsia="en-IN"/>
        </w:rPr>
        <w:t xml:space="preserve">, A. A., &amp; </w:t>
      </w:r>
      <w:proofErr w:type="spellStart"/>
      <w:r w:rsidRPr="00C03120">
        <w:rPr>
          <w:rFonts w:ascii="Arial" w:eastAsia="Times New Roman" w:hAnsi="Arial" w:cs="Arial"/>
          <w:sz w:val="24"/>
          <w:szCs w:val="24"/>
          <w:lang w:eastAsia="en-IN"/>
        </w:rPr>
        <w:t>Bulkhi</w:t>
      </w:r>
      <w:proofErr w:type="spellEnd"/>
      <w:r w:rsidRPr="00C03120">
        <w:rPr>
          <w:rFonts w:ascii="Arial" w:eastAsia="Times New Roman" w:hAnsi="Arial" w:cs="Arial"/>
          <w:sz w:val="24"/>
          <w:szCs w:val="24"/>
          <w:lang w:eastAsia="en-IN"/>
        </w:rPr>
        <w:t xml:space="preserve">, A. A. (2022). Ceftriaxone-induced leukocytoclastic vasculitis: a case report and literature review of antibiotic-induced leukocytoclastic vasculitis. Journal of International Medical Research, 50(5). </w:t>
      </w:r>
      <w:hyperlink r:id="rId9" w:history="1">
        <w:r w:rsidRPr="00B67EC7">
          <w:rPr>
            <w:rStyle w:val="Hyperlink"/>
            <w:rFonts w:ascii="Arial" w:eastAsia="Times New Roman" w:hAnsi="Arial" w:cs="Arial"/>
            <w:sz w:val="24"/>
            <w:szCs w:val="24"/>
            <w:lang w:eastAsia="en-IN"/>
          </w:rPr>
          <w:t>https://doi.org/10.1177/03000605221097768</w:t>
        </w:r>
      </w:hyperlink>
    </w:p>
    <w:p w14:paraId="199EF899" w14:textId="6DA63089" w:rsidR="00C03120" w:rsidRPr="00C03120" w:rsidRDefault="00C03120"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C03120">
        <w:rPr>
          <w:rFonts w:ascii="Arial" w:hAnsi="Arial" w:cs="Arial"/>
          <w:sz w:val="24"/>
          <w:szCs w:val="24"/>
          <w:shd w:val="clear" w:color="auto" w:fill="FFFFFF"/>
        </w:rPr>
        <w:t xml:space="preserve">Kumar, J., &amp; Prakash, M. (2025). Hydrochlorothiazide induced cutaneous vasculitis – a case report. South Eastern European Journal of Public Health. </w:t>
      </w:r>
      <w:hyperlink r:id="rId10" w:history="1">
        <w:r w:rsidRPr="00B67EC7">
          <w:rPr>
            <w:rStyle w:val="Hyperlink"/>
            <w:rFonts w:ascii="Arial" w:hAnsi="Arial" w:cs="Arial"/>
            <w:sz w:val="24"/>
            <w:szCs w:val="24"/>
            <w:shd w:val="clear" w:color="auto" w:fill="FFFFFF"/>
          </w:rPr>
          <w:t>https://doi.org/10.70135/seejph.vi.5426</w:t>
        </w:r>
      </w:hyperlink>
    </w:p>
    <w:p w14:paraId="1F2DC661" w14:textId="339BC7AC" w:rsidR="00C03120" w:rsidRDefault="00C03120"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C03120">
        <w:rPr>
          <w:rFonts w:ascii="Arial" w:hAnsi="Arial" w:cs="Arial"/>
          <w:color w:val="1B1B1B"/>
          <w:sz w:val="24"/>
          <w:szCs w:val="24"/>
          <w:shd w:val="clear" w:color="auto" w:fill="FFFFFF"/>
        </w:rPr>
        <w:t xml:space="preserve">MacLeod, B., &amp; Koponen, M. (2021). Educational Case: Hypersensitivity Vasculitis. Academic Pathology. </w:t>
      </w:r>
      <w:hyperlink r:id="rId11" w:history="1">
        <w:r w:rsidRPr="00B67EC7">
          <w:rPr>
            <w:rStyle w:val="Hyperlink"/>
            <w:rFonts w:ascii="Arial" w:hAnsi="Arial" w:cs="Arial"/>
            <w:sz w:val="24"/>
            <w:szCs w:val="24"/>
            <w:shd w:val="clear" w:color="auto" w:fill="FFFFFF"/>
          </w:rPr>
          <w:t>https://doi.org/10.1177/23742895211030650</w:t>
        </w:r>
      </w:hyperlink>
    </w:p>
    <w:p w14:paraId="3180291C" w14:textId="42D723FE" w:rsidR="00C03120" w:rsidRPr="00C03120" w:rsidRDefault="00C03120" w:rsidP="00FB6060">
      <w:pPr>
        <w:pStyle w:val="ListParagraph"/>
        <w:numPr>
          <w:ilvl w:val="0"/>
          <w:numId w:val="2"/>
        </w:numPr>
        <w:spacing w:line="240" w:lineRule="auto"/>
        <w:jc w:val="both"/>
        <w:rPr>
          <w:rFonts w:ascii="Arial" w:hAnsi="Arial" w:cs="Arial"/>
          <w:color w:val="1B1B1B"/>
          <w:sz w:val="24"/>
          <w:szCs w:val="24"/>
          <w:shd w:val="clear" w:color="auto" w:fill="FFFFFF"/>
        </w:rPr>
      </w:pPr>
      <w:r w:rsidRPr="00C03120">
        <w:rPr>
          <w:rFonts w:ascii="Arial" w:hAnsi="Arial" w:cs="Arial"/>
          <w:color w:val="444444"/>
          <w:sz w:val="24"/>
          <w:szCs w:val="24"/>
          <w:shd w:val="clear" w:color="auto" w:fill="F9F9F9"/>
        </w:rPr>
        <w:t xml:space="preserve">Stone, J. H. (2013). Hypersensitivity vasculitis. In J. B. Imboden, D. B. Hellmann, &amp; J. H. Stone (Eds.), CURRENT Diagnosis &amp; Treatment: Rheumatology (3rd ed., Chapter 37). McGraw-Hill. </w:t>
      </w:r>
      <w:hyperlink r:id="rId12" w:history="1">
        <w:r w:rsidRPr="00B67EC7">
          <w:rPr>
            <w:rStyle w:val="Hyperlink"/>
            <w:rFonts w:ascii="Arial" w:hAnsi="Arial" w:cs="Arial"/>
            <w:sz w:val="24"/>
            <w:szCs w:val="24"/>
            <w:shd w:val="clear" w:color="auto" w:fill="F9F9F9"/>
          </w:rPr>
          <w:t>https://accessmedicine.mhmedical.com/content.aspx?bookid=506&amp;sectionid=42584923</w:t>
        </w:r>
      </w:hyperlink>
    </w:p>
    <w:p w14:paraId="16F7D44A" w14:textId="38E3AE4D" w:rsidR="00C03120" w:rsidRPr="00C03120" w:rsidRDefault="00C03120" w:rsidP="00FB6060">
      <w:pPr>
        <w:pStyle w:val="ListParagraph"/>
        <w:numPr>
          <w:ilvl w:val="0"/>
          <w:numId w:val="2"/>
        </w:numPr>
        <w:spacing w:line="240" w:lineRule="auto"/>
        <w:jc w:val="both"/>
        <w:rPr>
          <w:rFonts w:ascii="Arial" w:hAnsi="Arial" w:cs="Arial"/>
          <w:color w:val="1B1B1B"/>
          <w:sz w:val="24"/>
          <w:szCs w:val="24"/>
          <w:shd w:val="clear" w:color="auto" w:fill="FFFFFF"/>
        </w:rPr>
      </w:pPr>
      <w:r w:rsidRPr="00C03120">
        <w:rPr>
          <w:rFonts w:ascii="Arial" w:hAnsi="Arial" w:cs="Arial"/>
          <w:sz w:val="24"/>
          <w:szCs w:val="24"/>
        </w:rPr>
        <w:t xml:space="preserve">Princess, J. G., Bhushan, A., &amp; </w:t>
      </w:r>
      <w:proofErr w:type="spellStart"/>
      <w:r w:rsidRPr="00C03120">
        <w:rPr>
          <w:rFonts w:ascii="Arial" w:hAnsi="Arial" w:cs="Arial"/>
          <w:sz w:val="24"/>
          <w:szCs w:val="24"/>
        </w:rPr>
        <w:t>Naikwad</w:t>
      </w:r>
      <w:proofErr w:type="spellEnd"/>
      <w:r w:rsidRPr="00C03120">
        <w:rPr>
          <w:rFonts w:ascii="Arial" w:hAnsi="Arial" w:cs="Arial"/>
          <w:sz w:val="24"/>
          <w:szCs w:val="24"/>
        </w:rPr>
        <w:t xml:space="preserve">, H. M. (2024). AMIKACIN- INDUCED CUTANEOUS SMALL VESSEL VASCULITIS. World Journal of Pharmaceutical Research, 13(12). </w:t>
      </w:r>
      <w:hyperlink r:id="rId13" w:history="1">
        <w:r w:rsidRPr="00B67EC7">
          <w:rPr>
            <w:rStyle w:val="Hyperlink"/>
            <w:rFonts w:ascii="Arial" w:hAnsi="Arial" w:cs="Arial"/>
            <w:sz w:val="24"/>
            <w:szCs w:val="24"/>
          </w:rPr>
          <w:t>https://doi.org/10.20959/wjpr202412-33122</w:t>
        </w:r>
      </w:hyperlink>
    </w:p>
    <w:p w14:paraId="6F0261A5" w14:textId="0A88A14E" w:rsidR="00C03120" w:rsidRPr="00C03120" w:rsidRDefault="00C03120" w:rsidP="00C03120">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r w:rsidRPr="00C03120">
        <w:rPr>
          <w:rFonts w:ascii="Arial" w:hAnsi="Arial" w:cs="Arial"/>
          <w:color w:val="212121"/>
          <w:sz w:val="24"/>
          <w:szCs w:val="24"/>
          <w:shd w:val="clear" w:color="auto" w:fill="FFFFFF"/>
        </w:rPr>
        <w:t xml:space="preserve">Pichler, W. J., Naisbitt, D. J., &amp; Park, B. K. (2011). Immune </w:t>
      </w:r>
      <w:proofErr w:type="spellStart"/>
      <w:r w:rsidRPr="00C03120">
        <w:rPr>
          <w:rFonts w:ascii="Arial" w:hAnsi="Arial" w:cs="Arial"/>
          <w:color w:val="212121"/>
          <w:sz w:val="24"/>
          <w:szCs w:val="24"/>
          <w:shd w:val="clear" w:color="auto" w:fill="FFFFFF"/>
        </w:rPr>
        <w:t>pathomechanism</w:t>
      </w:r>
      <w:proofErr w:type="spellEnd"/>
      <w:r w:rsidRPr="00C03120">
        <w:rPr>
          <w:rFonts w:ascii="Arial" w:hAnsi="Arial" w:cs="Arial"/>
          <w:color w:val="212121"/>
          <w:sz w:val="24"/>
          <w:szCs w:val="24"/>
          <w:shd w:val="clear" w:color="auto" w:fill="FFFFFF"/>
        </w:rPr>
        <w:t xml:space="preserve"> of drug hypersensitivity reactions. Journal of Allergy and Clinical Immunology, 127(3 </w:t>
      </w:r>
      <w:proofErr w:type="spellStart"/>
      <w:r w:rsidRPr="00C03120">
        <w:rPr>
          <w:rFonts w:ascii="Arial" w:hAnsi="Arial" w:cs="Arial"/>
          <w:color w:val="212121"/>
          <w:sz w:val="24"/>
          <w:szCs w:val="24"/>
          <w:shd w:val="clear" w:color="auto" w:fill="FFFFFF"/>
        </w:rPr>
        <w:t>Suppl</w:t>
      </w:r>
      <w:proofErr w:type="spellEnd"/>
      <w:r w:rsidRPr="00C03120">
        <w:rPr>
          <w:rFonts w:ascii="Arial" w:hAnsi="Arial" w:cs="Arial"/>
          <w:color w:val="212121"/>
          <w:sz w:val="24"/>
          <w:szCs w:val="24"/>
          <w:shd w:val="clear" w:color="auto" w:fill="FFFFFF"/>
        </w:rPr>
        <w:t xml:space="preserve">), S74–S81. </w:t>
      </w:r>
      <w:hyperlink r:id="rId14" w:history="1">
        <w:r w:rsidRPr="00C03120">
          <w:rPr>
            <w:rStyle w:val="Hyperlink"/>
            <w:rFonts w:ascii="Arial" w:hAnsi="Arial" w:cs="Arial"/>
            <w:sz w:val="24"/>
            <w:szCs w:val="24"/>
            <w:shd w:val="clear" w:color="auto" w:fill="FFFFFF"/>
          </w:rPr>
          <w:t>https://doi.org/10.1016/j.jaci.2010.11.048</w:t>
        </w:r>
      </w:hyperlink>
    </w:p>
    <w:p w14:paraId="596A7326" w14:textId="5AF7C9B7" w:rsidR="007E3575" w:rsidRPr="004A6510" w:rsidRDefault="007E3575" w:rsidP="007E3575">
      <w:pPr>
        <w:tabs>
          <w:tab w:val="left" w:pos="2544"/>
        </w:tabs>
        <w:spacing w:line="240" w:lineRule="auto"/>
        <w:jc w:val="both"/>
        <w:rPr>
          <w:rFonts w:ascii="Arial" w:hAnsi="Arial" w:cs="Arial"/>
          <w:b/>
          <w:bCs/>
          <w:color w:val="1B1B1B"/>
          <w:sz w:val="24"/>
          <w:szCs w:val="24"/>
          <w:shd w:val="clear" w:color="auto" w:fill="FFFFFF"/>
        </w:rPr>
      </w:pPr>
      <w:r w:rsidRPr="004A6510">
        <w:rPr>
          <w:rFonts w:ascii="Arial" w:hAnsi="Arial" w:cs="Arial"/>
          <w:b/>
          <w:bCs/>
          <w:color w:val="1B1B1B"/>
          <w:sz w:val="24"/>
          <w:szCs w:val="24"/>
          <w:shd w:val="clear" w:color="auto" w:fill="FFFFFF"/>
        </w:rPr>
        <w:t>ABBREVIATIONS:</w:t>
      </w:r>
      <w:r w:rsidRPr="004A6510">
        <w:rPr>
          <w:rFonts w:ascii="Arial" w:hAnsi="Arial" w:cs="Arial"/>
          <w:b/>
          <w:bCs/>
          <w:color w:val="1B1B1B"/>
          <w:sz w:val="24"/>
          <w:szCs w:val="24"/>
          <w:shd w:val="clear" w:color="auto" w:fill="FFFFFF"/>
        </w:rPr>
        <w:tab/>
      </w:r>
    </w:p>
    <w:p w14:paraId="013C2683" w14:textId="0D58F0D8" w:rsidR="007E3575" w:rsidRPr="004A6510" w:rsidRDefault="007E3575" w:rsidP="00FB6060">
      <w:pPr>
        <w:tabs>
          <w:tab w:val="left" w:pos="2544"/>
        </w:tabs>
        <w:spacing w:line="240" w:lineRule="auto"/>
        <w:jc w:val="both"/>
        <w:rPr>
          <w:rFonts w:ascii="Arial" w:hAnsi="Arial" w:cs="Arial"/>
          <w:sz w:val="24"/>
          <w:szCs w:val="24"/>
        </w:rPr>
      </w:pPr>
      <w:r w:rsidRPr="004A6510">
        <w:rPr>
          <w:rFonts w:ascii="Arial" w:hAnsi="Arial" w:cs="Arial"/>
          <w:sz w:val="24"/>
          <w:szCs w:val="24"/>
        </w:rPr>
        <w:t xml:space="preserve">CHV - Cutaneous hypersensitivity vasculitis </w:t>
      </w:r>
    </w:p>
    <w:p w14:paraId="3BB62A6A" w14:textId="6DF9E850"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WBC- White blood cells</w:t>
      </w:r>
    </w:p>
    <w:p w14:paraId="3789B32D" w14:textId="273E11B2"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lastRenderedPageBreak/>
        <w:t>ESR- Erythrocyte sedimentation rate</w:t>
      </w:r>
    </w:p>
    <w:p w14:paraId="712780F8" w14:textId="6E816941"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CRP- C- reactive protein</w:t>
      </w:r>
    </w:p>
    <w:p w14:paraId="1F69CD19" w14:textId="1D441E2A"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TSH- Thyroid stimulating hormone</w:t>
      </w:r>
    </w:p>
    <w:p w14:paraId="3111A5E9" w14:textId="38070CB5"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HDL- High density lipoproteins</w:t>
      </w:r>
    </w:p>
    <w:p w14:paraId="123275F8" w14:textId="2020DFD0" w:rsidR="00DB2DA2" w:rsidRDefault="00FB6060" w:rsidP="00DB2DA2">
      <w:pPr>
        <w:tabs>
          <w:tab w:val="left" w:pos="2544"/>
        </w:tabs>
        <w:spacing w:line="240" w:lineRule="auto"/>
        <w:rPr>
          <w:rFonts w:ascii="Arial" w:hAnsi="Arial" w:cs="Arial"/>
          <w:b/>
          <w:bCs/>
          <w:sz w:val="24"/>
          <w:szCs w:val="24"/>
        </w:rPr>
      </w:pPr>
      <w:r w:rsidRPr="004A6510">
        <w:rPr>
          <w:rFonts w:ascii="Arial" w:eastAsia="Times New Roman" w:hAnsi="Arial" w:cs="Arial"/>
          <w:sz w:val="24"/>
          <w:szCs w:val="24"/>
          <w:lang w:eastAsia="en-IN"/>
        </w:rPr>
        <w:t>L</w:t>
      </w:r>
      <w:r w:rsidR="007E3575" w:rsidRPr="004A6510">
        <w:rPr>
          <w:rFonts w:ascii="Arial" w:eastAsia="Times New Roman" w:hAnsi="Arial" w:cs="Arial"/>
          <w:sz w:val="24"/>
          <w:szCs w:val="24"/>
          <w:lang w:eastAsia="en-IN"/>
        </w:rPr>
        <w:t xml:space="preserve">DL- </w:t>
      </w:r>
      <w:r w:rsidRPr="004A6510">
        <w:rPr>
          <w:rFonts w:ascii="Arial" w:eastAsia="Times New Roman" w:hAnsi="Arial" w:cs="Arial"/>
          <w:sz w:val="24"/>
          <w:szCs w:val="24"/>
          <w:lang w:eastAsia="en-IN"/>
        </w:rPr>
        <w:t>Low</w:t>
      </w:r>
      <w:r w:rsidR="007E3575" w:rsidRPr="004A6510">
        <w:rPr>
          <w:rFonts w:ascii="Arial" w:eastAsia="Times New Roman" w:hAnsi="Arial" w:cs="Arial"/>
          <w:sz w:val="24"/>
          <w:szCs w:val="24"/>
          <w:lang w:eastAsia="en-IN"/>
        </w:rPr>
        <w:t xml:space="preserve"> density lipoproteins</w:t>
      </w:r>
      <w:r w:rsidR="00DB2DA2" w:rsidRPr="004A6510">
        <w:rPr>
          <w:rFonts w:ascii="Arial" w:hAnsi="Arial" w:cs="Arial"/>
          <w:b/>
          <w:bCs/>
          <w:sz w:val="24"/>
          <w:szCs w:val="24"/>
        </w:rPr>
        <w:t xml:space="preserve"> </w:t>
      </w:r>
    </w:p>
    <w:p w14:paraId="7D261E2E" w14:textId="77777777" w:rsidR="00A32B9B" w:rsidRPr="004A6510" w:rsidRDefault="00A32B9B" w:rsidP="00E85A72">
      <w:pPr>
        <w:spacing w:line="240" w:lineRule="auto"/>
        <w:rPr>
          <w:rFonts w:ascii="Arial" w:hAnsi="Arial" w:cs="Arial"/>
          <w:sz w:val="24"/>
          <w:szCs w:val="24"/>
        </w:rPr>
      </w:pPr>
    </w:p>
    <w:p w14:paraId="3A60CD29" w14:textId="77777777" w:rsidR="00592AEC" w:rsidRPr="00683FC8" w:rsidRDefault="00592AEC" w:rsidP="00E85A72">
      <w:pPr>
        <w:spacing w:line="240" w:lineRule="auto"/>
        <w:rPr>
          <w:rFonts w:ascii="Times New Roman" w:hAnsi="Times New Roman" w:cs="Times New Roman"/>
          <w:sz w:val="24"/>
          <w:szCs w:val="24"/>
        </w:rPr>
      </w:pPr>
    </w:p>
    <w:p w14:paraId="4A9363C0" w14:textId="77777777" w:rsidR="005F3F94" w:rsidRPr="00683FC8" w:rsidRDefault="005F3F94" w:rsidP="00E85A72">
      <w:pPr>
        <w:spacing w:line="240" w:lineRule="auto"/>
        <w:rPr>
          <w:rFonts w:ascii="Times New Roman" w:hAnsi="Times New Roman" w:cs="Times New Roman"/>
          <w:sz w:val="24"/>
          <w:szCs w:val="24"/>
        </w:rPr>
      </w:pPr>
    </w:p>
    <w:p w14:paraId="603EE0F3" w14:textId="77777777" w:rsidR="005F3F94" w:rsidRPr="00683FC8" w:rsidRDefault="005F3F94" w:rsidP="00E85A72">
      <w:pPr>
        <w:spacing w:line="240" w:lineRule="auto"/>
        <w:rPr>
          <w:rFonts w:ascii="Times New Roman" w:hAnsi="Times New Roman" w:cs="Times New Roman"/>
          <w:sz w:val="24"/>
          <w:szCs w:val="24"/>
        </w:rPr>
      </w:pPr>
    </w:p>
    <w:p w14:paraId="566D1717" w14:textId="77777777" w:rsidR="00EC18F7" w:rsidRPr="00683FC8" w:rsidRDefault="00EC18F7" w:rsidP="00E85A72">
      <w:pPr>
        <w:spacing w:line="240" w:lineRule="auto"/>
        <w:rPr>
          <w:rFonts w:ascii="Times New Roman" w:hAnsi="Times New Roman" w:cs="Times New Roman"/>
          <w:sz w:val="24"/>
          <w:szCs w:val="24"/>
        </w:rPr>
      </w:pPr>
    </w:p>
    <w:sectPr w:rsidR="00EC18F7" w:rsidRPr="00683FC8" w:rsidSect="0007419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DB13E" w14:textId="77777777" w:rsidR="008E452C" w:rsidRDefault="008E452C" w:rsidP="00E421D9">
      <w:pPr>
        <w:spacing w:after="0" w:line="240" w:lineRule="auto"/>
      </w:pPr>
      <w:r>
        <w:separator/>
      </w:r>
    </w:p>
  </w:endnote>
  <w:endnote w:type="continuationSeparator" w:id="0">
    <w:p w14:paraId="7C442AC2" w14:textId="77777777" w:rsidR="008E452C" w:rsidRDefault="008E452C" w:rsidP="00E4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B91D" w14:textId="77777777" w:rsidR="00EA07E7" w:rsidRDefault="00EA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35723"/>
      <w:docPartObj>
        <w:docPartGallery w:val="Page Numbers (Bottom of Page)"/>
        <w:docPartUnique/>
      </w:docPartObj>
    </w:sdtPr>
    <w:sdtEndPr>
      <w:rPr>
        <w:noProof/>
      </w:rPr>
    </w:sdtEndPr>
    <w:sdtContent>
      <w:p w14:paraId="7259E944" w14:textId="4F1A08B8" w:rsidR="002C7D34" w:rsidRDefault="002C7D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C39BA" w14:textId="77777777" w:rsidR="002C7D34" w:rsidRDefault="002C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2409" w14:textId="77777777" w:rsidR="00EA07E7" w:rsidRDefault="00EA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90C7" w14:textId="77777777" w:rsidR="008E452C" w:rsidRDefault="008E452C" w:rsidP="00E421D9">
      <w:pPr>
        <w:spacing w:after="0" w:line="240" w:lineRule="auto"/>
      </w:pPr>
      <w:r>
        <w:separator/>
      </w:r>
    </w:p>
  </w:footnote>
  <w:footnote w:type="continuationSeparator" w:id="0">
    <w:p w14:paraId="6B389329" w14:textId="77777777" w:rsidR="008E452C" w:rsidRDefault="008E452C" w:rsidP="00E42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784C" w14:textId="4C2D24B9" w:rsidR="00EA07E7" w:rsidRDefault="00EA07E7">
    <w:pPr>
      <w:pStyle w:val="Header"/>
    </w:pPr>
    <w:r>
      <w:rPr>
        <w:noProof/>
      </w:rPr>
      <w:pict w14:anchorId="07EDE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2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CD47" w14:textId="2DD58DA5" w:rsidR="00D0704A" w:rsidRDefault="00EA07E7">
    <w:pPr>
      <w:pStyle w:val="Header"/>
      <w:jc w:val="right"/>
    </w:pPr>
    <w:r>
      <w:rPr>
        <w:noProof/>
      </w:rPr>
      <w:pict w14:anchorId="41F9F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2361"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6A53C73" w14:textId="77777777" w:rsidR="00D0704A" w:rsidRDefault="00D07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F04D" w14:textId="212333D2" w:rsidR="00EA07E7" w:rsidRDefault="00EA07E7">
    <w:pPr>
      <w:pStyle w:val="Header"/>
    </w:pPr>
    <w:r>
      <w:rPr>
        <w:noProof/>
      </w:rPr>
      <w:pict w14:anchorId="3EA02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2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1DD"/>
    <w:multiLevelType w:val="multilevel"/>
    <w:tmpl w:val="877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12C5D"/>
    <w:multiLevelType w:val="hybridMultilevel"/>
    <w:tmpl w:val="5B22C400"/>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D1525E"/>
    <w:multiLevelType w:val="hybridMultilevel"/>
    <w:tmpl w:val="2654B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1D6138"/>
    <w:multiLevelType w:val="hybridMultilevel"/>
    <w:tmpl w:val="F626A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3640DA"/>
    <w:multiLevelType w:val="hybridMultilevel"/>
    <w:tmpl w:val="1134745C"/>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AF3F78"/>
    <w:multiLevelType w:val="hybridMultilevel"/>
    <w:tmpl w:val="34F874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9"/>
    <w:rsid w:val="000165A0"/>
    <w:rsid w:val="00043FA4"/>
    <w:rsid w:val="0004665A"/>
    <w:rsid w:val="00071973"/>
    <w:rsid w:val="0007419F"/>
    <w:rsid w:val="00075667"/>
    <w:rsid w:val="000771F5"/>
    <w:rsid w:val="000865FD"/>
    <w:rsid w:val="00095837"/>
    <w:rsid w:val="000C154D"/>
    <w:rsid w:val="000C491E"/>
    <w:rsid w:val="000E2045"/>
    <w:rsid w:val="001353C4"/>
    <w:rsid w:val="00143652"/>
    <w:rsid w:val="00184E32"/>
    <w:rsid w:val="00195533"/>
    <w:rsid w:val="001C23B0"/>
    <w:rsid w:val="001D30DD"/>
    <w:rsid w:val="001E7ECC"/>
    <w:rsid w:val="001F14D8"/>
    <w:rsid w:val="001F5E1B"/>
    <w:rsid w:val="00225A1D"/>
    <w:rsid w:val="00247FA9"/>
    <w:rsid w:val="0029029D"/>
    <w:rsid w:val="002B10A5"/>
    <w:rsid w:val="002B5E12"/>
    <w:rsid w:val="002C341D"/>
    <w:rsid w:val="002C7D34"/>
    <w:rsid w:val="002E2EC2"/>
    <w:rsid w:val="00316BAA"/>
    <w:rsid w:val="00385DC3"/>
    <w:rsid w:val="0038740F"/>
    <w:rsid w:val="0039184C"/>
    <w:rsid w:val="003A5EEC"/>
    <w:rsid w:val="003B2FB8"/>
    <w:rsid w:val="003B2FC2"/>
    <w:rsid w:val="00412639"/>
    <w:rsid w:val="00427DD6"/>
    <w:rsid w:val="00433599"/>
    <w:rsid w:val="00440084"/>
    <w:rsid w:val="00470F31"/>
    <w:rsid w:val="00497703"/>
    <w:rsid w:val="00497A45"/>
    <w:rsid w:val="004A038C"/>
    <w:rsid w:val="004A6510"/>
    <w:rsid w:val="004B2804"/>
    <w:rsid w:val="005103D7"/>
    <w:rsid w:val="005142CC"/>
    <w:rsid w:val="005324A8"/>
    <w:rsid w:val="00541180"/>
    <w:rsid w:val="005616B5"/>
    <w:rsid w:val="005762B3"/>
    <w:rsid w:val="00576D4A"/>
    <w:rsid w:val="00592AEC"/>
    <w:rsid w:val="00593D32"/>
    <w:rsid w:val="005951E6"/>
    <w:rsid w:val="005B63DB"/>
    <w:rsid w:val="005E5709"/>
    <w:rsid w:val="005F2466"/>
    <w:rsid w:val="005F3F94"/>
    <w:rsid w:val="006328B7"/>
    <w:rsid w:val="00633D59"/>
    <w:rsid w:val="00635E42"/>
    <w:rsid w:val="00647EDF"/>
    <w:rsid w:val="00652037"/>
    <w:rsid w:val="006520F7"/>
    <w:rsid w:val="00683FC8"/>
    <w:rsid w:val="006B18CB"/>
    <w:rsid w:val="006B5B55"/>
    <w:rsid w:val="006B7E87"/>
    <w:rsid w:val="006C4592"/>
    <w:rsid w:val="00723A8E"/>
    <w:rsid w:val="00745135"/>
    <w:rsid w:val="007A162F"/>
    <w:rsid w:val="007A2593"/>
    <w:rsid w:val="007B2F6B"/>
    <w:rsid w:val="007C7327"/>
    <w:rsid w:val="007E3575"/>
    <w:rsid w:val="007E684E"/>
    <w:rsid w:val="007F5BDC"/>
    <w:rsid w:val="007F5D6D"/>
    <w:rsid w:val="0080390E"/>
    <w:rsid w:val="00805595"/>
    <w:rsid w:val="008210BF"/>
    <w:rsid w:val="00821BFE"/>
    <w:rsid w:val="0082795C"/>
    <w:rsid w:val="0086784C"/>
    <w:rsid w:val="008A3BF2"/>
    <w:rsid w:val="008D2E44"/>
    <w:rsid w:val="008E452C"/>
    <w:rsid w:val="00922E9D"/>
    <w:rsid w:val="00927BB0"/>
    <w:rsid w:val="00936A30"/>
    <w:rsid w:val="009519BD"/>
    <w:rsid w:val="00952534"/>
    <w:rsid w:val="00954987"/>
    <w:rsid w:val="00960DCD"/>
    <w:rsid w:val="009845EA"/>
    <w:rsid w:val="00992576"/>
    <w:rsid w:val="009A55FE"/>
    <w:rsid w:val="009B5C95"/>
    <w:rsid w:val="009D30BF"/>
    <w:rsid w:val="00A01843"/>
    <w:rsid w:val="00A0285B"/>
    <w:rsid w:val="00A05A5C"/>
    <w:rsid w:val="00A1160E"/>
    <w:rsid w:val="00A169A6"/>
    <w:rsid w:val="00A26BC5"/>
    <w:rsid w:val="00A279AD"/>
    <w:rsid w:val="00A32B9B"/>
    <w:rsid w:val="00A339C1"/>
    <w:rsid w:val="00A827D5"/>
    <w:rsid w:val="00AA4518"/>
    <w:rsid w:val="00AF324F"/>
    <w:rsid w:val="00B0162D"/>
    <w:rsid w:val="00B20965"/>
    <w:rsid w:val="00B314DB"/>
    <w:rsid w:val="00B40E2F"/>
    <w:rsid w:val="00B42DED"/>
    <w:rsid w:val="00B713D6"/>
    <w:rsid w:val="00B82719"/>
    <w:rsid w:val="00B86630"/>
    <w:rsid w:val="00B97B5D"/>
    <w:rsid w:val="00BB66FA"/>
    <w:rsid w:val="00BE4E39"/>
    <w:rsid w:val="00BF28AA"/>
    <w:rsid w:val="00BF59F3"/>
    <w:rsid w:val="00BF7B9B"/>
    <w:rsid w:val="00C020BA"/>
    <w:rsid w:val="00C03120"/>
    <w:rsid w:val="00C50A84"/>
    <w:rsid w:val="00C52FF0"/>
    <w:rsid w:val="00C629B0"/>
    <w:rsid w:val="00C90019"/>
    <w:rsid w:val="00CA03AE"/>
    <w:rsid w:val="00CB43BD"/>
    <w:rsid w:val="00CC00BB"/>
    <w:rsid w:val="00CD0A1A"/>
    <w:rsid w:val="00CE386B"/>
    <w:rsid w:val="00CE6DE1"/>
    <w:rsid w:val="00CF036D"/>
    <w:rsid w:val="00D0704A"/>
    <w:rsid w:val="00D12427"/>
    <w:rsid w:val="00D17403"/>
    <w:rsid w:val="00D17D10"/>
    <w:rsid w:val="00D25686"/>
    <w:rsid w:val="00D353F9"/>
    <w:rsid w:val="00D469B8"/>
    <w:rsid w:val="00D6069B"/>
    <w:rsid w:val="00D61EEE"/>
    <w:rsid w:val="00D644F2"/>
    <w:rsid w:val="00D80666"/>
    <w:rsid w:val="00D861A0"/>
    <w:rsid w:val="00DA7A5F"/>
    <w:rsid w:val="00DB2DA2"/>
    <w:rsid w:val="00DB2DDC"/>
    <w:rsid w:val="00DD085A"/>
    <w:rsid w:val="00DD727C"/>
    <w:rsid w:val="00E06668"/>
    <w:rsid w:val="00E11D17"/>
    <w:rsid w:val="00E2151A"/>
    <w:rsid w:val="00E24596"/>
    <w:rsid w:val="00E2465B"/>
    <w:rsid w:val="00E421D9"/>
    <w:rsid w:val="00E446F5"/>
    <w:rsid w:val="00E76174"/>
    <w:rsid w:val="00E76EE0"/>
    <w:rsid w:val="00E851AD"/>
    <w:rsid w:val="00E85A72"/>
    <w:rsid w:val="00EA07E7"/>
    <w:rsid w:val="00EA4623"/>
    <w:rsid w:val="00EC18F7"/>
    <w:rsid w:val="00ED3D6C"/>
    <w:rsid w:val="00ED7773"/>
    <w:rsid w:val="00EE572C"/>
    <w:rsid w:val="00EF1BCF"/>
    <w:rsid w:val="00EF4FF5"/>
    <w:rsid w:val="00EF602B"/>
    <w:rsid w:val="00F24C58"/>
    <w:rsid w:val="00F474D5"/>
    <w:rsid w:val="00F819B2"/>
    <w:rsid w:val="00F85E35"/>
    <w:rsid w:val="00FA5221"/>
    <w:rsid w:val="00FB6060"/>
    <w:rsid w:val="00FD2826"/>
    <w:rsid w:val="00FD67B5"/>
    <w:rsid w:val="00FD6B0C"/>
    <w:rsid w:val="00FE649E"/>
    <w:rsid w:val="00FF66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983927"/>
  <w15:chartTrackingRefBased/>
  <w15:docId w15:val="{F9F5C6E4-C4FE-4249-876B-08BAE7F3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9B"/>
    <w:rPr>
      <w:color w:val="0000FF"/>
      <w:u w:val="single"/>
    </w:rPr>
  </w:style>
  <w:style w:type="table" w:styleId="TableGrid">
    <w:name w:val="Table Grid"/>
    <w:basedOn w:val="TableNormal"/>
    <w:uiPriority w:val="39"/>
    <w:rsid w:val="0029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62F"/>
    <w:pPr>
      <w:ind w:left="720"/>
      <w:contextualSpacing/>
    </w:pPr>
  </w:style>
  <w:style w:type="character" w:customStyle="1" w:styleId="amacitation">
    <w:name w:val="amacitation"/>
    <w:basedOn w:val="DefaultParagraphFont"/>
    <w:rsid w:val="007A162F"/>
  </w:style>
  <w:style w:type="character" w:customStyle="1" w:styleId="editor">
    <w:name w:val="editor"/>
    <w:basedOn w:val="DefaultParagraphFont"/>
    <w:rsid w:val="007A162F"/>
  </w:style>
  <w:style w:type="character" w:styleId="Emphasis">
    <w:name w:val="Emphasis"/>
    <w:basedOn w:val="DefaultParagraphFont"/>
    <w:uiPriority w:val="20"/>
    <w:qFormat/>
    <w:rsid w:val="007A162F"/>
    <w:rPr>
      <w:i/>
      <w:iCs/>
    </w:rPr>
  </w:style>
  <w:style w:type="character" w:customStyle="1" w:styleId="urllink">
    <w:name w:val="urllink"/>
    <w:basedOn w:val="DefaultParagraphFont"/>
    <w:rsid w:val="007A162F"/>
  </w:style>
  <w:style w:type="table" w:customStyle="1" w:styleId="TableGrid0">
    <w:name w:val="TableGrid"/>
    <w:rsid w:val="00F819B2"/>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E42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1D9"/>
  </w:style>
  <w:style w:type="paragraph" w:styleId="Footer">
    <w:name w:val="footer"/>
    <w:basedOn w:val="Normal"/>
    <w:link w:val="FooterChar"/>
    <w:uiPriority w:val="99"/>
    <w:unhideWhenUsed/>
    <w:rsid w:val="00E42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1D9"/>
  </w:style>
  <w:style w:type="character" w:styleId="LineNumber">
    <w:name w:val="line number"/>
    <w:basedOn w:val="DefaultParagraphFont"/>
    <w:uiPriority w:val="99"/>
    <w:semiHidden/>
    <w:unhideWhenUsed/>
    <w:rsid w:val="00EE572C"/>
  </w:style>
  <w:style w:type="paragraph" w:styleId="NormalWeb">
    <w:name w:val="Normal (Web)"/>
    <w:basedOn w:val="Normal"/>
    <w:uiPriority w:val="99"/>
    <w:semiHidden/>
    <w:unhideWhenUsed/>
    <w:rsid w:val="00B8271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B6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311">
      <w:bodyDiv w:val="1"/>
      <w:marLeft w:val="0"/>
      <w:marRight w:val="0"/>
      <w:marTop w:val="0"/>
      <w:marBottom w:val="0"/>
      <w:divBdr>
        <w:top w:val="none" w:sz="0" w:space="0" w:color="auto"/>
        <w:left w:val="none" w:sz="0" w:space="0" w:color="auto"/>
        <w:bottom w:val="none" w:sz="0" w:space="0" w:color="auto"/>
        <w:right w:val="none" w:sz="0" w:space="0" w:color="auto"/>
      </w:divBdr>
    </w:div>
    <w:div w:id="248275238">
      <w:bodyDiv w:val="1"/>
      <w:marLeft w:val="0"/>
      <w:marRight w:val="0"/>
      <w:marTop w:val="0"/>
      <w:marBottom w:val="0"/>
      <w:divBdr>
        <w:top w:val="none" w:sz="0" w:space="0" w:color="auto"/>
        <w:left w:val="none" w:sz="0" w:space="0" w:color="auto"/>
        <w:bottom w:val="none" w:sz="0" w:space="0" w:color="auto"/>
        <w:right w:val="none" w:sz="0" w:space="0" w:color="auto"/>
      </w:divBdr>
    </w:div>
    <w:div w:id="324741983">
      <w:bodyDiv w:val="1"/>
      <w:marLeft w:val="0"/>
      <w:marRight w:val="0"/>
      <w:marTop w:val="0"/>
      <w:marBottom w:val="0"/>
      <w:divBdr>
        <w:top w:val="none" w:sz="0" w:space="0" w:color="auto"/>
        <w:left w:val="none" w:sz="0" w:space="0" w:color="auto"/>
        <w:bottom w:val="none" w:sz="0" w:space="0" w:color="auto"/>
        <w:right w:val="none" w:sz="0" w:space="0" w:color="auto"/>
      </w:divBdr>
    </w:div>
    <w:div w:id="346374129">
      <w:bodyDiv w:val="1"/>
      <w:marLeft w:val="0"/>
      <w:marRight w:val="0"/>
      <w:marTop w:val="0"/>
      <w:marBottom w:val="0"/>
      <w:divBdr>
        <w:top w:val="none" w:sz="0" w:space="0" w:color="auto"/>
        <w:left w:val="none" w:sz="0" w:space="0" w:color="auto"/>
        <w:bottom w:val="none" w:sz="0" w:space="0" w:color="auto"/>
        <w:right w:val="none" w:sz="0" w:space="0" w:color="auto"/>
      </w:divBdr>
    </w:div>
    <w:div w:id="916669817">
      <w:bodyDiv w:val="1"/>
      <w:marLeft w:val="0"/>
      <w:marRight w:val="0"/>
      <w:marTop w:val="0"/>
      <w:marBottom w:val="0"/>
      <w:divBdr>
        <w:top w:val="none" w:sz="0" w:space="0" w:color="auto"/>
        <w:left w:val="none" w:sz="0" w:space="0" w:color="auto"/>
        <w:bottom w:val="none" w:sz="0" w:space="0" w:color="auto"/>
        <w:right w:val="none" w:sz="0" w:space="0" w:color="auto"/>
      </w:divBdr>
    </w:div>
    <w:div w:id="1465351336">
      <w:bodyDiv w:val="1"/>
      <w:marLeft w:val="0"/>
      <w:marRight w:val="0"/>
      <w:marTop w:val="0"/>
      <w:marBottom w:val="0"/>
      <w:divBdr>
        <w:top w:val="none" w:sz="0" w:space="0" w:color="auto"/>
        <w:left w:val="none" w:sz="0" w:space="0" w:color="auto"/>
        <w:bottom w:val="none" w:sz="0" w:space="0" w:color="auto"/>
        <w:right w:val="none" w:sz="0" w:space="0" w:color="auto"/>
      </w:divBdr>
      <w:divsChild>
        <w:div w:id="1351418699">
          <w:marLeft w:val="0"/>
          <w:marRight w:val="0"/>
          <w:marTop w:val="0"/>
          <w:marBottom w:val="0"/>
          <w:divBdr>
            <w:top w:val="none" w:sz="0" w:space="0" w:color="auto"/>
            <w:left w:val="none" w:sz="0" w:space="0" w:color="auto"/>
            <w:bottom w:val="none" w:sz="0" w:space="0" w:color="auto"/>
            <w:right w:val="none" w:sz="0" w:space="0" w:color="auto"/>
          </w:divBdr>
        </w:div>
        <w:div w:id="1786342526">
          <w:marLeft w:val="0"/>
          <w:marRight w:val="0"/>
          <w:marTop w:val="0"/>
          <w:marBottom w:val="0"/>
          <w:divBdr>
            <w:top w:val="none" w:sz="0" w:space="0" w:color="auto"/>
            <w:left w:val="none" w:sz="0" w:space="0" w:color="auto"/>
            <w:bottom w:val="none" w:sz="0" w:space="0" w:color="auto"/>
            <w:right w:val="none" w:sz="0" w:space="0" w:color="auto"/>
          </w:divBdr>
        </w:div>
      </w:divsChild>
    </w:div>
    <w:div w:id="1606839293">
      <w:bodyDiv w:val="1"/>
      <w:marLeft w:val="0"/>
      <w:marRight w:val="0"/>
      <w:marTop w:val="0"/>
      <w:marBottom w:val="0"/>
      <w:divBdr>
        <w:top w:val="none" w:sz="0" w:space="0" w:color="auto"/>
        <w:left w:val="none" w:sz="0" w:space="0" w:color="auto"/>
        <w:bottom w:val="none" w:sz="0" w:space="0" w:color="auto"/>
        <w:right w:val="none" w:sz="0" w:space="0" w:color="auto"/>
      </w:divBdr>
    </w:div>
    <w:div w:id="1820002589">
      <w:bodyDiv w:val="1"/>
      <w:marLeft w:val="0"/>
      <w:marRight w:val="0"/>
      <w:marTop w:val="0"/>
      <w:marBottom w:val="0"/>
      <w:divBdr>
        <w:top w:val="none" w:sz="0" w:space="0" w:color="auto"/>
        <w:left w:val="none" w:sz="0" w:space="0" w:color="auto"/>
        <w:bottom w:val="none" w:sz="0" w:space="0" w:color="auto"/>
        <w:right w:val="none" w:sz="0" w:space="0" w:color="auto"/>
      </w:divBdr>
    </w:div>
    <w:div w:id="2083794560">
      <w:bodyDiv w:val="1"/>
      <w:marLeft w:val="0"/>
      <w:marRight w:val="0"/>
      <w:marTop w:val="0"/>
      <w:marBottom w:val="0"/>
      <w:divBdr>
        <w:top w:val="none" w:sz="0" w:space="0" w:color="auto"/>
        <w:left w:val="none" w:sz="0" w:space="0" w:color="auto"/>
        <w:bottom w:val="none" w:sz="0" w:space="0" w:color="auto"/>
        <w:right w:val="none" w:sz="0" w:space="0" w:color="auto"/>
      </w:divBdr>
    </w:div>
    <w:div w:id="20999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0959/wjpr202412-3312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accessmedicine.mhmedical.com/content.aspx?bookid=506&amp;sectionid=425849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37428952110306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70135/seejph.vi.542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77/03000605221097768" TargetMode="External"/><Relationship Id="rId14" Type="http://schemas.openxmlformats.org/officeDocument/2006/relationships/hyperlink" Target="https://doi.org/10.1016/j.jaci.2010.11.0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2231</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dc:creator>
  <cp:keywords/>
  <dc:description/>
  <cp:lastModifiedBy>SDI 1084</cp:lastModifiedBy>
  <cp:revision>94</cp:revision>
  <dcterms:created xsi:type="dcterms:W3CDTF">2025-10-06T05:38:00Z</dcterms:created>
  <dcterms:modified xsi:type="dcterms:W3CDTF">2025-12-08T06:57:00Z</dcterms:modified>
</cp:coreProperties>
</file>