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426A" w14:textId="77777777" w:rsidR="0048506E" w:rsidRDefault="0048506E" w:rsidP="00C33E11">
      <w:pPr>
        <w:jc w:val="both"/>
        <w:rPr>
          <w:rFonts w:ascii="Arial" w:hAnsi="Arial" w:cs="Arial"/>
          <w:b/>
          <w:bCs/>
          <w:sz w:val="24"/>
          <w:szCs w:val="24"/>
        </w:rPr>
      </w:pPr>
      <w:r w:rsidRPr="0048506E">
        <w:rPr>
          <w:rFonts w:ascii="Arial" w:hAnsi="Arial" w:cs="Arial"/>
          <w:b/>
          <w:bCs/>
          <w:sz w:val="24"/>
          <w:szCs w:val="24"/>
        </w:rPr>
        <w:t>Original Research Article</w:t>
      </w:r>
    </w:p>
    <w:p w14:paraId="28E758E6" w14:textId="77777777" w:rsidR="007A1A2F" w:rsidRDefault="007A1A2F" w:rsidP="00C33E11">
      <w:pPr>
        <w:jc w:val="both"/>
        <w:rPr>
          <w:rFonts w:ascii="Arial" w:hAnsi="Arial" w:cs="Arial"/>
          <w:b/>
          <w:bCs/>
          <w:sz w:val="24"/>
          <w:szCs w:val="24"/>
        </w:rPr>
      </w:pPr>
    </w:p>
    <w:p w14:paraId="0E68A381" w14:textId="48A3734E" w:rsidR="00063E3F" w:rsidRPr="00846CE9" w:rsidRDefault="00C33E11" w:rsidP="00C33E11">
      <w:pPr>
        <w:jc w:val="both"/>
        <w:rPr>
          <w:rFonts w:ascii="Arial" w:hAnsi="Arial" w:cs="Arial"/>
          <w:b/>
          <w:bCs/>
          <w:sz w:val="24"/>
          <w:szCs w:val="24"/>
        </w:rPr>
      </w:pPr>
      <w:r w:rsidRPr="00846CE9">
        <w:rPr>
          <w:rFonts w:ascii="Arial" w:hAnsi="Arial" w:cs="Arial"/>
          <w:b/>
          <w:bCs/>
          <w:sz w:val="24"/>
          <w:szCs w:val="24"/>
        </w:rPr>
        <w:t>IDENTIFICATION OF IRON-TOLERANT RICE GENOTYPES USING MORPHOPHYSIOLOGICAL PARAMETERS DURING GERMINATION AND EARLY SEEDLING GROWTH</w:t>
      </w:r>
    </w:p>
    <w:p w14:paraId="0BC2E114" w14:textId="77777777" w:rsidR="00360A5A" w:rsidRPr="00360A5A" w:rsidRDefault="00360A5A" w:rsidP="00360A5A">
      <w:pPr>
        <w:jc w:val="center"/>
        <w:rPr>
          <w:rFonts w:ascii="Times New Roman" w:hAnsi="Times New Roman" w:cs="Times New Roman"/>
          <w:b/>
          <w:bCs/>
          <w:i/>
          <w:iCs/>
          <w:sz w:val="24"/>
          <w:szCs w:val="24"/>
        </w:rPr>
      </w:pPr>
    </w:p>
    <w:p w14:paraId="486C05E0" w14:textId="77777777" w:rsidR="00360A5A" w:rsidRPr="00DD227E" w:rsidRDefault="00360A5A" w:rsidP="00925B79">
      <w:pPr>
        <w:jc w:val="center"/>
        <w:rPr>
          <w:rFonts w:ascii="Times New Roman" w:hAnsi="Times New Roman" w:cs="Times New Roman"/>
          <w:b/>
          <w:bCs/>
          <w:i/>
          <w:iCs/>
          <w:sz w:val="24"/>
          <w:szCs w:val="24"/>
        </w:rPr>
      </w:pPr>
    </w:p>
    <w:p w14:paraId="231C178D" w14:textId="57307447" w:rsidR="00CA229D" w:rsidRPr="004778D3" w:rsidRDefault="00C33E11" w:rsidP="008B6C62">
      <w:pPr>
        <w:jc w:val="both"/>
        <w:rPr>
          <w:rFonts w:ascii="Arial" w:hAnsi="Arial" w:cs="Arial"/>
          <w:b/>
          <w:bCs/>
        </w:rPr>
      </w:pPr>
      <w:r w:rsidRPr="004778D3">
        <w:rPr>
          <w:rFonts w:ascii="Arial" w:hAnsi="Arial" w:cs="Arial"/>
          <w:b/>
          <w:bCs/>
        </w:rPr>
        <w:t>ABSTRACT</w:t>
      </w:r>
    </w:p>
    <w:p w14:paraId="7F61B9B6" w14:textId="3E0E1093" w:rsidR="00CA229D" w:rsidRPr="00CA229D" w:rsidRDefault="00CA229D" w:rsidP="00C33E11">
      <w:pPr>
        <w:rPr>
          <w:rFonts w:ascii="Arial" w:hAnsi="Arial" w:cs="Arial"/>
        </w:rPr>
      </w:pPr>
      <w:r w:rsidRPr="00CA229D">
        <w:rPr>
          <w:rFonts w:ascii="Arial" w:hAnsi="Arial" w:cs="Arial"/>
          <w:color w:val="0F1115"/>
          <w:shd w:val="clear" w:color="auto" w:fill="FFFFFF"/>
        </w:rPr>
        <w:t>Iron toxicity is a major abiotic stress that significantly limits rice production in lowland ecosystems. The early germination stage is highly vulnerable to this stress, making it a critical phase for screening tolerant genotypes. This study aimed to identify iron-tolerant rice genotypes through morpho-physiological assessment during germination and early seedling growth. Twelve rice genotypes were evaluated under controlled iron stress conditions (0, 300, 450, and 600 mg/L Fe²</w:t>
      </w:r>
      <w:r w:rsidRPr="00CA229D">
        <w:rPr>
          <w:rFonts w:ascii="Cambria Math" w:hAnsi="Cambria Math" w:cs="Cambria Math"/>
          <w:color w:val="0F1115"/>
          <w:shd w:val="clear" w:color="auto" w:fill="FFFFFF"/>
        </w:rPr>
        <w:t>⁺</w:t>
      </w:r>
      <w:r w:rsidRPr="00CA229D">
        <w:rPr>
          <w:rFonts w:ascii="Arial" w:hAnsi="Arial" w:cs="Arial"/>
          <w:color w:val="0F1115"/>
          <w:shd w:val="clear" w:color="auto" w:fill="FFFFFF"/>
        </w:rPr>
        <w:t xml:space="preserve">). The experimental design was a completely randomized design with three replications. Morpho-physiological parameters, including final germination percentage, plumule length, radicle length, and seedling vigour index, were measured following standard protocols. Data were analyzed using ANOVA, and mean separation was done with Tukey's HSD test at </w:t>
      </w:r>
      <w:r w:rsidR="00C33E11" w:rsidRPr="00385A04">
        <w:rPr>
          <w:rFonts w:ascii="Arial" w:hAnsi="Arial" w:cs="Arial"/>
          <w:i/>
          <w:iCs/>
          <w:color w:val="0F1115"/>
          <w:shd w:val="clear" w:color="auto" w:fill="FFFFFF"/>
        </w:rPr>
        <w:t>P</w:t>
      </w:r>
      <w:r w:rsidRPr="00385A04">
        <w:rPr>
          <w:rFonts w:ascii="Arial" w:hAnsi="Arial" w:cs="Arial"/>
          <w:i/>
          <w:iCs/>
          <w:color w:val="0F1115"/>
          <w:shd w:val="clear" w:color="auto" w:fill="FFFFFF"/>
        </w:rPr>
        <w:t xml:space="preserve"> ≤ 0.05</w:t>
      </w:r>
      <w:r w:rsidRPr="00CA229D">
        <w:rPr>
          <w:rFonts w:ascii="Arial" w:hAnsi="Arial" w:cs="Arial"/>
          <w:color w:val="0F1115"/>
          <w:shd w:val="clear" w:color="auto" w:fill="FFFFFF"/>
        </w:rPr>
        <w:t>. The results revealed significant (</w:t>
      </w:r>
      <w:r w:rsidR="00C33E11" w:rsidRPr="00CA229D">
        <w:rPr>
          <w:rFonts w:ascii="Arial" w:hAnsi="Arial" w:cs="Arial"/>
          <w:i/>
          <w:iCs/>
          <w:color w:val="0F1115"/>
          <w:shd w:val="clear" w:color="auto" w:fill="FFFFFF"/>
        </w:rPr>
        <w:t>P</w:t>
      </w:r>
      <w:r w:rsidRPr="00CA229D">
        <w:rPr>
          <w:rFonts w:ascii="Arial" w:hAnsi="Arial" w:cs="Arial"/>
          <w:i/>
          <w:iCs/>
          <w:color w:val="0F1115"/>
          <w:shd w:val="clear" w:color="auto" w:fill="FFFFFF"/>
        </w:rPr>
        <w:t xml:space="preserve"> &lt; 0.01</w:t>
      </w:r>
      <w:r w:rsidRPr="00CA229D">
        <w:rPr>
          <w:rFonts w:ascii="Arial" w:hAnsi="Arial" w:cs="Arial"/>
          <w:color w:val="0F1115"/>
          <w:shd w:val="clear" w:color="auto" w:fill="FFFFFF"/>
        </w:rPr>
        <w:t>) genotypic variation in response to iron toxicity. Iron stress caused dose-dependent suppression of all growth parameters, with the most severe inhibition observed at 600 mg/L Fe. The genotypes FARO 52 and FARO 50 demonstrated exceptional tolerance, maintaining the highest values for</w:t>
      </w:r>
      <w:r w:rsidR="002979F3">
        <w:rPr>
          <w:rFonts w:ascii="Arial" w:hAnsi="Arial" w:cs="Arial"/>
          <w:color w:val="0F1115"/>
          <w:shd w:val="clear" w:color="auto" w:fill="FFFFFF"/>
        </w:rPr>
        <w:t xml:space="preserve"> final germination percentage (85 % and 83 %)</w:t>
      </w:r>
      <w:r w:rsidR="00440373">
        <w:rPr>
          <w:rFonts w:ascii="Arial" w:hAnsi="Arial" w:cs="Arial"/>
          <w:color w:val="0F1115"/>
          <w:shd w:val="clear" w:color="auto" w:fill="FFFFFF"/>
        </w:rPr>
        <w:t>,</w:t>
      </w:r>
      <w:r w:rsidRPr="00CA229D">
        <w:rPr>
          <w:rFonts w:ascii="Arial" w:hAnsi="Arial" w:cs="Arial"/>
          <w:color w:val="0F1115"/>
          <w:shd w:val="clear" w:color="auto" w:fill="FFFFFF"/>
        </w:rPr>
        <w:t xml:space="preserve"> plumule length (5.27 cm and 5.12 cm), radicle length (4.62 cm and 5.02 cm), and seedling vigour index (841.55 and 842.15) at the highest stress level. In contrast, FARO 33 showed extreme sensitivity with the lowest values across all parameters. FARO 26 displayed moderate tolerance, particularly in maintaining seedling vigour index under stress conditions</w:t>
      </w:r>
      <w:r>
        <w:rPr>
          <w:rFonts w:ascii="Segoe UI" w:hAnsi="Segoe UI" w:cs="Segoe UI"/>
          <w:color w:val="0F1115"/>
          <w:shd w:val="clear" w:color="auto" w:fill="FFFFFF"/>
        </w:rPr>
        <w:t xml:space="preserve">. </w:t>
      </w:r>
      <w:r w:rsidRPr="00CA229D">
        <w:rPr>
          <w:rFonts w:ascii="Arial" w:hAnsi="Arial" w:cs="Arial"/>
          <w:color w:val="0F1115"/>
          <w:shd w:val="clear" w:color="auto" w:fill="FFFFFF"/>
        </w:rPr>
        <w:t>This study successfully identifies FARO 52 and FARO 50 as elite iron-tolerant rice genotypes based on their superior morpho-physiological performance during germination. These genotypes are recommended for direct cultivation in iron-toxic soils and as valuable donor parents in breeding programs aimed at enhancing iron tolerance in rice.</w:t>
      </w:r>
    </w:p>
    <w:p w14:paraId="3B7EF587" w14:textId="674E1DCD" w:rsidR="00CA229D" w:rsidRDefault="00CA229D" w:rsidP="008B6C62">
      <w:pPr>
        <w:jc w:val="both"/>
        <w:rPr>
          <w:rFonts w:ascii="Arial" w:hAnsi="Arial" w:cs="Arial"/>
        </w:rPr>
      </w:pPr>
      <w:r w:rsidRPr="00CA3F8C">
        <w:rPr>
          <w:rFonts w:ascii="Arial" w:hAnsi="Arial" w:cs="Arial"/>
          <w:b/>
          <w:bCs/>
        </w:rPr>
        <w:t>Keywords</w:t>
      </w:r>
      <w:r>
        <w:rPr>
          <w:rFonts w:ascii="Arial" w:hAnsi="Arial" w:cs="Arial"/>
        </w:rPr>
        <w:t xml:space="preserve">: </w:t>
      </w:r>
      <w:r w:rsidR="002979F3" w:rsidRPr="00836B20">
        <w:rPr>
          <w:rFonts w:ascii="Arial" w:hAnsi="Arial" w:cs="Arial"/>
          <w:i/>
          <w:iCs/>
          <w:sz w:val="20"/>
          <w:szCs w:val="20"/>
        </w:rPr>
        <w:t xml:space="preserve">Abiotic stress, germination, iron stress, seedling growth, </w:t>
      </w:r>
      <w:r w:rsidR="00CA3F8C" w:rsidRPr="00836B20">
        <w:rPr>
          <w:rFonts w:ascii="Arial" w:hAnsi="Arial" w:cs="Arial"/>
          <w:i/>
          <w:iCs/>
          <w:sz w:val="20"/>
          <w:szCs w:val="20"/>
        </w:rPr>
        <w:t>rice genotypes</w:t>
      </w:r>
    </w:p>
    <w:p w14:paraId="3A1212A5" w14:textId="5E77610C" w:rsidR="00C154D0" w:rsidRPr="00CA3F8C" w:rsidRDefault="00774AC7" w:rsidP="008B6C62">
      <w:pPr>
        <w:jc w:val="both"/>
        <w:rPr>
          <w:rFonts w:ascii="Arial" w:hAnsi="Arial" w:cs="Arial"/>
          <w:b/>
          <w:bCs/>
        </w:rPr>
      </w:pPr>
      <w:r>
        <w:rPr>
          <w:rFonts w:ascii="Arial" w:hAnsi="Arial" w:cs="Arial"/>
          <w:b/>
          <w:bCs/>
        </w:rPr>
        <w:t xml:space="preserve">1.0 </w:t>
      </w:r>
      <w:r w:rsidR="00C33E11" w:rsidRPr="00CA3F8C">
        <w:rPr>
          <w:rFonts w:ascii="Arial" w:hAnsi="Arial" w:cs="Arial"/>
          <w:b/>
          <w:bCs/>
        </w:rPr>
        <w:t>INTRODUCTION</w:t>
      </w:r>
    </w:p>
    <w:p w14:paraId="3B895045" w14:textId="574C2B4C"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t>Rice (</w:t>
      </w:r>
      <w:r w:rsidR="00CA3F8C" w:rsidRPr="00836B20">
        <w:rPr>
          <w:rFonts w:ascii="Arial" w:hAnsi="Arial" w:cs="Arial"/>
          <w:i/>
          <w:iCs/>
          <w:color w:val="0F1115"/>
          <w:sz w:val="20"/>
          <w:szCs w:val="20"/>
        </w:rPr>
        <w:t>Oryza</w:t>
      </w:r>
      <w:r w:rsidR="00CA3F8C" w:rsidRPr="00836B20">
        <w:rPr>
          <w:rFonts w:ascii="Arial" w:hAnsi="Arial" w:cs="Arial"/>
          <w:color w:val="0F1115"/>
          <w:sz w:val="20"/>
          <w:szCs w:val="20"/>
        </w:rPr>
        <w:t xml:space="preserve"> </w:t>
      </w:r>
      <w:r w:rsidRPr="00836B20">
        <w:rPr>
          <w:rFonts w:ascii="Arial" w:hAnsi="Arial" w:cs="Arial"/>
          <w:i/>
          <w:iCs/>
          <w:color w:val="0F1115"/>
          <w:sz w:val="20"/>
          <w:szCs w:val="20"/>
        </w:rPr>
        <w:t>sativa</w:t>
      </w:r>
      <w:r w:rsidRPr="00836B20">
        <w:rPr>
          <w:rFonts w:ascii="Arial" w:hAnsi="Arial" w:cs="Arial"/>
          <w:color w:val="0F1115"/>
          <w:sz w:val="20"/>
          <w:szCs w:val="20"/>
        </w:rPr>
        <w:t xml:space="preserve"> L.) serves as the principal food source for over half of the global population, making its production crucial for food security, particularly in developing nations (</w:t>
      </w:r>
      <w:r w:rsidR="002A4263" w:rsidRPr="00836B20">
        <w:rPr>
          <w:rFonts w:ascii="Arial" w:hAnsi="Arial" w:cs="Arial"/>
          <w:color w:val="0F1115"/>
          <w:sz w:val="20"/>
          <w:szCs w:val="20"/>
        </w:rPr>
        <w:t>Muller</w:t>
      </w:r>
      <w:r w:rsidRPr="00836B20">
        <w:rPr>
          <w:rFonts w:ascii="Arial" w:hAnsi="Arial" w:cs="Arial"/>
          <w:color w:val="0F1115"/>
          <w:sz w:val="20"/>
          <w:szCs w:val="20"/>
        </w:rPr>
        <w:t xml:space="preserve"> </w:t>
      </w:r>
      <w:r w:rsidRPr="00836B20">
        <w:rPr>
          <w:rFonts w:ascii="Arial" w:hAnsi="Arial" w:cs="Arial"/>
          <w:i/>
          <w:iCs/>
          <w:color w:val="0F1115"/>
          <w:sz w:val="20"/>
          <w:szCs w:val="20"/>
        </w:rPr>
        <w:t>et al</w:t>
      </w:r>
      <w:r w:rsidRPr="00836B20">
        <w:rPr>
          <w:rFonts w:ascii="Arial" w:hAnsi="Arial" w:cs="Arial"/>
          <w:color w:val="0F1115"/>
          <w:sz w:val="20"/>
          <w:szCs w:val="20"/>
        </w:rPr>
        <w:t>., 201</w:t>
      </w:r>
      <w:r w:rsidR="002A4263" w:rsidRPr="00836B20">
        <w:rPr>
          <w:rFonts w:ascii="Arial" w:hAnsi="Arial" w:cs="Arial"/>
          <w:color w:val="0F1115"/>
          <w:sz w:val="20"/>
          <w:szCs w:val="20"/>
        </w:rPr>
        <w:t>5</w:t>
      </w:r>
      <w:r w:rsidRPr="00836B20">
        <w:rPr>
          <w:rFonts w:ascii="Arial" w:hAnsi="Arial" w:cs="Arial"/>
          <w:color w:val="0F1115"/>
          <w:sz w:val="20"/>
          <w:szCs w:val="20"/>
        </w:rPr>
        <w:t>). However, rice cultivation faces significant challenges from abiotic stresses, with iron toxicity emerging as a major constraint in lowland production systems (</w:t>
      </w:r>
      <w:r w:rsidR="002A4263" w:rsidRPr="00836B20">
        <w:rPr>
          <w:rFonts w:ascii="Arial" w:hAnsi="Arial" w:cs="Arial"/>
          <w:color w:val="0F1115"/>
          <w:sz w:val="20"/>
          <w:szCs w:val="20"/>
        </w:rPr>
        <w:t xml:space="preserve">Onaga </w:t>
      </w:r>
      <w:r w:rsidR="002A4263" w:rsidRPr="00836B20">
        <w:rPr>
          <w:rFonts w:ascii="Arial" w:hAnsi="Arial" w:cs="Arial"/>
          <w:i/>
          <w:iCs/>
          <w:color w:val="0F1115"/>
          <w:sz w:val="20"/>
          <w:szCs w:val="20"/>
        </w:rPr>
        <w:t>et al</w:t>
      </w:r>
      <w:r w:rsidR="002A4263" w:rsidRPr="00836B20">
        <w:rPr>
          <w:rFonts w:ascii="Arial" w:hAnsi="Arial" w:cs="Arial"/>
          <w:color w:val="0F1115"/>
          <w:sz w:val="20"/>
          <w:szCs w:val="20"/>
        </w:rPr>
        <w:t>.</w:t>
      </w:r>
      <w:r w:rsidRPr="00836B20">
        <w:rPr>
          <w:rFonts w:ascii="Arial" w:hAnsi="Arial" w:cs="Arial"/>
          <w:color w:val="0F1115"/>
          <w:sz w:val="20"/>
          <w:szCs w:val="20"/>
        </w:rPr>
        <w:t>, 20</w:t>
      </w:r>
      <w:r w:rsidR="002A4263" w:rsidRPr="00836B20">
        <w:rPr>
          <w:rFonts w:ascii="Arial" w:hAnsi="Arial" w:cs="Arial"/>
          <w:color w:val="0F1115"/>
          <w:sz w:val="20"/>
          <w:szCs w:val="20"/>
        </w:rPr>
        <w:t>16</w:t>
      </w:r>
      <w:r w:rsidRPr="00836B20">
        <w:rPr>
          <w:rFonts w:ascii="Arial" w:hAnsi="Arial" w:cs="Arial"/>
          <w:color w:val="0F1115"/>
          <w:sz w:val="20"/>
          <w:szCs w:val="20"/>
        </w:rPr>
        <w:t xml:space="preserve">). Under anaerobic conditions typical of flooded soils, ferric iron reduces to soluble ferrous iron, reaching concentrations that become phytotoxic and severely inhibit rice growth (Becker &amp; Asch, 2005). The expanding prevalence of iron-toxic soils due to changing climate patterns underscores the urgent need to identify tolerant genotypes for sustainable rice production (Dwivedi </w:t>
      </w:r>
      <w:r w:rsidRPr="00836B20">
        <w:rPr>
          <w:rFonts w:ascii="Arial" w:hAnsi="Arial" w:cs="Arial"/>
          <w:i/>
          <w:iCs/>
          <w:color w:val="0F1115"/>
          <w:sz w:val="20"/>
          <w:szCs w:val="20"/>
        </w:rPr>
        <w:t>et al</w:t>
      </w:r>
      <w:r w:rsidRPr="00836B20">
        <w:rPr>
          <w:rFonts w:ascii="Arial" w:hAnsi="Arial" w:cs="Arial"/>
          <w:color w:val="0F1115"/>
          <w:sz w:val="20"/>
          <w:szCs w:val="20"/>
        </w:rPr>
        <w:t>., 2022).</w:t>
      </w:r>
    </w:p>
    <w:p w14:paraId="1DD93DB0" w14:textId="2EBE0BA7"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lastRenderedPageBreak/>
        <w:t xml:space="preserve">The germination and early seedling stages represent the most critical window for evaluating iron toxicity tolerance in rice (Islam </w:t>
      </w:r>
      <w:r w:rsidRPr="00836B20">
        <w:rPr>
          <w:rFonts w:ascii="Arial" w:hAnsi="Arial" w:cs="Arial"/>
          <w:i/>
          <w:iCs/>
          <w:color w:val="0F1115"/>
          <w:sz w:val="20"/>
          <w:szCs w:val="20"/>
        </w:rPr>
        <w:t>et al.</w:t>
      </w:r>
      <w:r w:rsidRPr="00836B20">
        <w:rPr>
          <w:rFonts w:ascii="Arial" w:hAnsi="Arial" w:cs="Arial"/>
          <w:color w:val="0F1115"/>
          <w:sz w:val="20"/>
          <w:szCs w:val="20"/>
        </w:rPr>
        <w:t>, 202</w:t>
      </w:r>
      <w:r w:rsidR="003C6350" w:rsidRPr="00836B20">
        <w:rPr>
          <w:rFonts w:ascii="Arial" w:hAnsi="Arial" w:cs="Arial"/>
          <w:color w:val="0F1115"/>
          <w:sz w:val="20"/>
          <w:szCs w:val="20"/>
        </w:rPr>
        <w:t>5</w:t>
      </w:r>
      <w:r w:rsidRPr="00836B20">
        <w:rPr>
          <w:rFonts w:ascii="Arial" w:hAnsi="Arial" w:cs="Arial"/>
          <w:color w:val="0F1115"/>
          <w:sz w:val="20"/>
          <w:szCs w:val="20"/>
        </w:rPr>
        <w:t xml:space="preserve">). During these developmental phases, excess ferrous iron uptake triggers oxidative stress through Fenton reactions, leading to cellular damage and growth inhibition (Wu </w:t>
      </w:r>
      <w:r w:rsidRPr="00836B20">
        <w:rPr>
          <w:rFonts w:ascii="Arial" w:hAnsi="Arial" w:cs="Arial"/>
          <w:i/>
          <w:iCs/>
          <w:color w:val="0F1115"/>
          <w:sz w:val="20"/>
          <w:szCs w:val="20"/>
        </w:rPr>
        <w:t>et al</w:t>
      </w:r>
      <w:r w:rsidRPr="00836B20">
        <w:rPr>
          <w:rFonts w:ascii="Arial" w:hAnsi="Arial" w:cs="Arial"/>
          <w:color w:val="0F1115"/>
          <w:sz w:val="20"/>
          <w:szCs w:val="20"/>
        </w:rPr>
        <w:t xml:space="preserve">., 2014). This damage manifests in measurable morphophysiological parameters, including reduced plumule and radicle elongation and decreased seedling vigour (Abdul-Baki &amp; Anderson, 1973). These parameters provide reliable screening criteria for early selection of iron-tolerant genotypes, offering a rapid and efficient alternative to field evaluations (Majerus </w:t>
      </w:r>
      <w:r w:rsidRPr="00836B20">
        <w:rPr>
          <w:rFonts w:ascii="Arial" w:hAnsi="Arial" w:cs="Arial"/>
          <w:i/>
          <w:iCs/>
          <w:color w:val="0F1115"/>
          <w:sz w:val="20"/>
          <w:szCs w:val="20"/>
        </w:rPr>
        <w:t>et al</w:t>
      </w:r>
      <w:r w:rsidRPr="00836B20">
        <w:rPr>
          <w:rFonts w:ascii="Arial" w:hAnsi="Arial" w:cs="Arial"/>
          <w:color w:val="0F1115"/>
          <w:sz w:val="20"/>
          <w:szCs w:val="20"/>
        </w:rPr>
        <w:t>., 2007).</w:t>
      </w:r>
    </w:p>
    <w:p w14:paraId="32203B84" w14:textId="77777777"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t xml:space="preserve">Significant genotypic variation exists in rice germplasm regarding iron tolerance mechanisms, including rhizosphere oxidation, iron plaque formation, and enhanced antioxidant activity (Audebert &amp; Fofana, 2009). Previous studies have demonstrated that tolerant genotypes maintain better growth under iron stress through superior morphological development and physiological resilience (Wu </w:t>
      </w:r>
      <w:r w:rsidRPr="00836B20">
        <w:rPr>
          <w:rFonts w:ascii="Arial" w:hAnsi="Arial" w:cs="Arial"/>
          <w:i/>
          <w:iCs/>
          <w:color w:val="0F1115"/>
          <w:sz w:val="20"/>
          <w:szCs w:val="20"/>
        </w:rPr>
        <w:t>et al</w:t>
      </w:r>
      <w:r w:rsidRPr="00836B20">
        <w:rPr>
          <w:rFonts w:ascii="Arial" w:hAnsi="Arial" w:cs="Arial"/>
          <w:color w:val="0F1115"/>
          <w:sz w:val="20"/>
          <w:szCs w:val="20"/>
        </w:rPr>
        <w:t xml:space="preserve">., 2017). However, comprehensive screening of diverse germplasm using multiple morphophysiological parameters during germination remains limited, despite its potential for identifying superior breeding material (Stein </w:t>
      </w:r>
      <w:r w:rsidRPr="00836B20">
        <w:rPr>
          <w:rFonts w:ascii="Arial" w:hAnsi="Arial" w:cs="Arial"/>
          <w:i/>
          <w:iCs/>
          <w:color w:val="0F1115"/>
          <w:sz w:val="20"/>
          <w:szCs w:val="20"/>
        </w:rPr>
        <w:t>et al</w:t>
      </w:r>
      <w:r w:rsidRPr="00836B20">
        <w:rPr>
          <w:rFonts w:ascii="Arial" w:hAnsi="Arial" w:cs="Arial"/>
          <w:color w:val="0F1115"/>
          <w:sz w:val="20"/>
          <w:szCs w:val="20"/>
        </w:rPr>
        <w:t>., 2019).</w:t>
      </w:r>
    </w:p>
    <w:p w14:paraId="199801BC" w14:textId="56D99047" w:rsidR="008B6C62" w:rsidRPr="008B6C62"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836B20">
        <w:rPr>
          <w:rFonts w:ascii="Arial" w:hAnsi="Arial" w:cs="Arial"/>
          <w:color w:val="0F1115"/>
          <w:sz w:val="20"/>
          <w:szCs w:val="20"/>
        </w:rPr>
        <w:t xml:space="preserve">This study aims to identify iron-tolerant rice genotypes through systematic evaluation of morphophysiological parameters during germination and early seedling growth. Specifically, this study aims to assess the impact of increasing iron concentrations on the germination percentage, plumule length, radicle length, and seedling vigour index; </w:t>
      </w:r>
      <w:r w:rsidR="00985A59" w:rsidRPr="00836B20">
        <w:rPr>
          <w:rFonts w:ascii="Arial" w:hAnsi="Arial" w:cs="Arial"/>
          <w:color w:val="0F1115"/>
          <w:sz w:val="20"/>
          <w:szCs w:val="20"/>
        </w:rPr>
        <w:t>and to</w:t>
      </w:r>
      <w:r w:rsidRPr="00836B20">
        <w:rPr>
          <w:rFonts w:ascii="Arial" w:hAnsi="Arial" w:cs="Arial"/>
          <w:color w:val="0F1115"/>
          <w:sz w:val="20"/>
          <w:szCs w:val="20"/>
        </w:rPr>
        <w:t xml:space="preserve"> identify high-performing genotypes with consistent tolerance across multiple iron stress levels. The findings will provide valuable genetic resources for breeding programs targeting iron-toxic environments and contribute to developing resilient rice varieties for sustainable production</w:t>
      </w:r>
      <w:r w:rsidRPr="008B6C62">
        <w:rPr>
          <w:rFonts w:ascii="Arial" w:hAnsi="Arial" w:cs="Arial"/>
          <w:color w:val="0F1115"/>
          <w:sz w:val="22"/>
          <w:szCs w:val="22"/>
        </w:rPr>
        <w:t>.</w:t>
      </w:r>
    </w:p>
    <w:p w14:paraId="3E876669" w14:textId="45A59723" w:rsidR="008B6C62" w:rsidRPr="004778D3" w:rsidRDefault="00774AC7" w:rsidP="008B6C62">
      <w:pPr>
        <w:jc w:val="both"/>
        <w:rPr>
          <w:rFonts w:ascii="Arial" w:hAnsi="Arial" w:cs="Arial"/>
          <w:b/>
          <w:bCs/>
        </w:rPr>
      </w:pPr>
      <w:r>
        <w:rPr>
          <w:rFonts w:ascii="Arial" w:hAnsi="Arial" w:cs="Arial"/>
          <w:b/>
          <w:bCs/>
        </w:rPr>
        <w:t xml:space="preserve">2.0 </w:t>
      </w:r>
      <w:r w:rsidR="00836B20" w:rsidRPr="004778D3">
        <w:rPr>
          <w:rFonts w:ascii="Arial" w:hAnsi="Arial" w:cs="Arial"/>
          <w:b/>
          <w:bCs/>
        </w:rPr>
        <w:t>MATERIALS AND METHODS</w:t>
      </w:r>
    </w:p>
    <w:p w14:paraId="7AB652E4" w14:textId="20C440DB"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2.1 </w:t>
      </w:r>
      <w:r w:rsidR="004778D3" w:rsidRPr="00836B20">
        <w:rPr>
          <w:rFonts w:ascii="Arial" w:hAnsi="Arial" w:cs="Arial"/>
          <w:b/>
          <w:bCs/>
          <w:sz w:val="20"/>
          <w:szCs w:val="20"/>
        </w:rPr>
        <w:t>Study Location</w:t>
      </w:r>
      <w:r w:rsidR="004778D3" w:rsidRPr="00836B20">
        <w:rPr>
          <w:rFonts w:ascii="Arial" w:hAnsi="Arial" w:cs="Arial"/>
          <w:sz w:val="20"/>
          <w:szCs w:val="20"/>
        </w:rPr>
        <w:t>: The experiment was conducted at the Laboratory of the Crop Production Department, Federal University of Technology (09° 53´N, 06° 45´E), Minna, Niger State, Nigeria.</w:t>
      </w:r>
    </w:p>
    <w:p w14:paraId="3F96E047" w14:textId="46153D38"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2.2 </w:t>
      </w:r>
      <w:r w:rsidR="004778D3" w:rsidRPr="00836B20">
        <w:rPr>
          <w:rFonts w:ascii="Arial" w:hAnsi="Arial" w:cs="Arial"/>
          <w:b/>
          <w:bCs/>
          <w:sz w:val="20"/>
          <w:szCs w:val="20"/>
        </w:rPr>
        <w:t>Source of Seed</w:t>
      </w:r>
      <w:r w:rsidR="004778D3" w:rsidRPr="00836B20">
        <w:rPr>
          <w:rFonts w:ascii="Arial" w:hAnsi="Arial" w:cs="Arial"/>
          <w:sz w:val="20"/>
          <w:szCs w:val="20"/>
        </w:rPr>
        <w:t>: The rice genotypes used in this study were obtained from the Africa Rice Centre, International Institute of Tropical Agriculture, Ibadan, Nigeria, and National Cereals Research Institute (NCRI), Baddegi, Niger State, Nigeria.</w:t>
      </w:r>
    </w:p>
    <w:p w14:paraId="1A26C98E" w14:textId="717231D7"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2.3 </w:t>
      </w:r>
      <w:r w:rsidR="004778D3" w:rsidRPr="00836B20">
        <w:rPr>
          <w:rFonts w:ascii="Arial" w:hAnsi="Arial" w:cs="Arial"/>
          <w:b/>
          <w:bCs/>
          <w:sz w:val="20"/>
          <w:szCs w:val="20"/>
        </w:rPr>
        <w:t>Experimental Design:</w:t>
      </w:r>
      <w:r w:rsidR="004778D3" w:rsidRPr="00836B20">
        <w:rPr>
          <w:rFonts w:ascii="Arial" w:hAnsi="Arial" w:cs="Arial"/>
          <w:sz w:val="20"/>
          <w:szCs w:val="20"/>
        </w:rPr>
        <w:t xml:space="preserve"> The experiment was laid out in a Completely Randomized Design (CRD), arranged in a 12 x 4 factorial, replicated four times, and repeated twice.</w:t>
      </w:r>
    </w:p>
    <w:p w14:paraId="5D0F042E" w14:textId="2BC1A54E"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lastRenderedPageBreak/>
        <w:t xml:space="preserve">2.4 </w:t>
      </w:r>
      <w:r w:rsidR="004778D3" w:rsidRPr="00836B20">
        <w:rPr>
          <w:rFonts w:ascii="Arial" w:hAnsi="Arial" w:cs="Arial"/>
          <w:b/>
          <w:bCs/>
          <w:sz w:val="20"/>
          <w:szCs w:val="20"/>
        </w:rPr>
        <w:t xml:space="preserve">Treatment: </w:t>
      </w:r>
      <w:r w:rsidR="004778D3" w:rsidRPr="00836B20">
        <w:rPr>
          <w:rFonts w:ascii="Arial" w:hAnsi="Arial" w:cs="Arial"/>
          <w:sz w:val="20"/>
          <w:szCs w:val="20"/>
        </w:rPr>
        <w:t>The rice seeds were treated with four different concentrations of FeSO</w:t>
      </w:r>
      <w:r w:rsidR="004778D3" w:rsidRPr="00836B20">
        <w:rPr>
          <w:rFonts w:ascii="Arial" w:hAnsi="Arial" w:cs="Arial"/>
          <w:sz w:val="20"/>
          <w:szCs w:val="20"/>
          <w:vertAlign w:val="subscript"/>
        </w:rPr>
        <w:t>4</w:t>
      </w:r>
      <w:r w:rsidR="004778D3" w:rsidRPr="00836B20">
        <w:rPr>
          <w:rFonts w:ascii="Arial" w:hAnsi="Arial" w:cs="Arial"/>
          <w:sz w:val="20"/>
          <w:szCs w:val="20"/>
        </w:rPr>
        <w:t>.7H</w:t>
      </w:r>
      <w:r w:rsidR="004778D3" w:rsidRPr="00836B20">
        <w:rPr>
          <w:rFonts w:ascii="Arial" w:hAnsi="Arial" w:cs="Arial"/>
          <w:sz w:val="20"/>
          <w:szCs w:val="20"/>
          <w:vertAlign w:val="subscript"/>
        </w:rPr>
        <w:t>2</w:t>
      </w:r>
      <w:r w:rsidR="004778D3" w:rsidRPr="00836B20">
        <w:rPr>
          <w:rFonts w:ascii="Arial" w:hAnsi="Arial" w:cs="Arial"/>
          <w:sz w:val="20"/>
          <w:szCs w:val="20"/>
        </w:rPr>
        <w:t>O solution [0 (control), 300, 450, and 600 mg/L].</w:t>
      </w:r>
    </w:p>
    <w:p w14:paraId="24205060" w14:textId="6CC8256A"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2.5 </w:t>
      </w:r>
      <w:r w:rsidR="004778D3" w:rsidRPr="00836B20">
        <w:rPr>
          <w:rFonts w:ascii="Arial" w:hAnsi="Arial" w:cs="Arial"/>
          <w:b/>
          <w:bCs/>
          <w:sz w:val="20"/>
          <w:szCs w:val="20"/>
        </w:rPr>
        <w:t>Experimental Procedure:</w:t>
      </w:r>
      <w:r w:rsidR="004778D3" w:rsidRPr="00836B20">
        <w:rPr>
          <w:rFonts w:ascii="Arial" w:hAnsi="Arial" w:cs="Arial"/>
          <w:sz w:val="20"/>
          <w:szCs w:val="20"/>
        </w:rPr>
        <w:t xml:space="preserve"> Rice seeds were soaked in water, and only the seeds that sank were used after surface sterilization with 10% H</w:t>
      </w:r>
      <w:r w:rsidR="004778D3" w:rsidRPr="00836B20">
        <w:rPr>
          <w:rFonts w:ascii="Arial" w:hAnsi="Arial" w:cs="Arial"/>
          <w:sz w:val="20"/>
          <w:szCs w:val="20"/>
          <w:vertAlign w:val="subscript"/>
        </w:rPr>
        <w:t>2</w:t>
      </w:r>
      <w:r w:rsidR="004778D3" w:rsidRPr="00836B20">
        <w:rPr>
          <w:rFonts w:ascii="Arial" w:hAnsi="Arial" w:cs="Arial"/>
          <w:sz w:val="20"/>
          <w:szCs w:val="20"/>
        </w:rPr>
        <w:t>O</w:t>
      </w:r>
      <w:r w:rsidR="004778D3" w:rsidRPr="00836B20">
        <w:rPr>
          <w:rFonts w:ascii="Arial" w:hAnsi="Arial" w:cs="Arial"/>
          <w:sz w:val="20"/>
          <w:szCs w:val="20"/>
          <w:vertAlign w:val="subscript"/>
        </w:rPr>
        <w:t>2</w:t>
      </w:r>
      <w:r w:rsidR="004778D3" w:rsidRPr="00836B20">
        <w:rPr>
          <w:rFonts w:ascii="Arial" w:hAnsi="Arial" w:cs="Arial"/>
          <w:sz w:val="20"/>
          <w:szCs w:val="20"/>
        </w:rPr>
        <w:t xml:space="preserve"> for 10 minutes twice, followed by subsequent thorough rinsing with distilled water. Hundred seeds of each variety were then placed in Petri dishes on two layers of filter paper (Whatman #1) and kept in the Germination chambers (Saint Petersburg Solar radiation chamber KSR 2 2700 000 ₽) at a temperature of 27°C.  After sowing, daily observations were made on seed germination for 7 days. Seeds with a 2 mm radicle were considered to have successfully germinated.</w:t>
      </w:r>
    </w:p>
    <w:p w14:paraId="79B03B6E" w14:textId="77777777" w:rsidR="00774AC7" w:rsidRDefault="00774AC7" w:rsidP="004778D3">
      <w:pPr>
        <w:jc w:val="both"/>
        <w:rPr>
          <w:rFonts w:ascii="Arial" w:hAnsi="Arial" w:cs="Arial"/>
          <w:b/>
          <w:bCs/>
          <w:sz w:val="20"/>
          <w:szCs w:val="20"/>
        </w:rPr>
      </w:pPr>
      <w:r>
        <w:rPr>
          <w:rFonts w:ascii="Arial" w:hAnsi="Arial" w:cs="Arial"/>
          <w:b/>
          <w:bCs/>
          <w:sz w:val="20"/>
          <w:szCs w:val="20"/>
        </w:rPr>
        <w:t xml:space="preserve">2.6 </w:t>
      </w:r>
      <w:r w:rsidR="004778D3" w:rsidRPr="00836B20">
        <w:rPr>
          <w:rFonts w:ascii="Arial" w:hAnsi="Arial" w:cs="Arial"/>
          <w:b/>
          <w:bCs/>
          <w:sz w:val="20"/>
          <w:szCs w:val="20"/>
        </w:rPr>
        <w:t xml:space="preserve">Data Collection: </w:t>
      </w:r>
    </w:p>
    <w:p w14:paraId="06B8296D" w14:textId="0BEF62DC" w:rsidR="004778D3" w:rsidRPr="00836B20" w:rsidRDefault="004778D3" w:rsidP="004778D3">
      <w:pPr>
        <w:jc w:val="both"/>
        <w:rPr>
          <w:rFonts w:ascii="Arial" w:hAnsi="Arial" w:cs="Arial"/>
          <w:sz w:val="20"/>
          <w:szCs w:val="20"/>
        </w:rPr>
      </w:pPr>
      <w:r w:rsidRPr="00836B20">
        <w:rPr>
          <w:rFonts w:ascii="Arial" w:hAnsi="Arial" w:cs="Arial"/>
          <w:sz w:val="20"/>
          <w:szCs w:val="20"/>
        </w:rPr>
        <w:t>The following data were collected:</w:t>
      </w:r>
    </w:p>
    <w:p w14:paraId="6219F710" w14:textId="5D835F4A" w:rsidR="004778D3" w:rsidRPr="00774AC7" w:rsidRDefault="004778D3" w:rsidP="00774AC7">
      <w:pPr>
        <w:pStyle w:val="ListParagraph"/>
        <w:numPr>
          <w:ilvl w:val="2"/>
          <w:numId w:val="3"/>
        </w:numPr>
        <w:jc w:val="both"/>
        <w:rPr>
          <w:rFonts w:ascii="Arial" w:hAnsi="Arial" w:cs="Arial"/>
          <w:sz w:val="20"/>
          <w:szCs w:val="20"/>
        </w:rPr>
      </w:pPr>
      <w:r w:rsidRPr="00774AC7">
        <w:rPr>
          <w:rFonts w:ascii="Arial" w:hAnsi="Arial" w:cs="Arial"/>
          <w:sz w:val="20"/>
          <w:szCs w:val="20"/>
        </w:rPr>
        <w:t>Final Germination Percentage (%) =</w:t>
      </w:r>
    </w:p>
    <w:p w14:paraId="1928110F" w14:textId="77777777" w:rsidR="004778D3" w:rsidRPr="00836B20" w:rsidRDefault="004778D3" w:rsidP="004778D3">
      <w:pPr>
        <w:pStyle w:val="ListParagraph"/>
        <w:jc w:val="both"/>
        <w:rPr>
          <w:rFonts w:ascii="Arial" w:hAnsi="Arial" w:cs="Arial"/>
          <w:sz w:val="20"/>
          <w:szCs w:val="20"/>
        </w:rPr>
      </w:pPr>
      <w:r w:rsidRPr="00836B20">
        <w:rPr>
          <w:rFonts w:ascii="Arial" w:hAnsi="Arial" w:cs="Arial"/>
          <w:sz w:val="20"/>
          <w:szCs w:val="20"/>
        </w:rPr>
        <w:t xml:space="preserve"> </w:t>
      </w:r>
      <w:r w:rsidRPr="00836B20">
        <w:rPr>
          <w:rFonts w:ascii="Arial" w:hAnsi="Arial" w:cs="Arial"/>
          <w:i/>
          <w:sz w:val="20"/>
          <w:szCs w:val="20"/>
        </w:rPr>
        <w:br/>
      </w:r>
      <m:oMathPara>
        <m:oMath>
          <m:f>
            <m:fPr>
              <m:ctrlPr>
                <w:rPr>
                  <w:rFonts w:ascii="Cambria Math" w:hAnsi="Cambria Math" w:cs="Arial"/>
                  <w:i/>
                  <w:sz w:val="20"/>
                  <w:szCs w:val="20"/>
                </w:rPr>
              </m:ctrlPr>
            </m:fPr>
            <m:num>
              <m:r>
                <w:rPr>
                  <w:rFonts w:ascii="Cambria Math" w:hAnsi="Cambria Math" w:cs="Arial"/>
                  <w:sz w:val="20"/>
                  <w:szCs w:val="20"/>
                </w:rPr>
                <m:t xml:space="preserve">Number of final germinated seeds on the 10th day   </m:t>
              </m:r>
            </m:num>
            <m:den>
              <m:r>
                <m:rPr>
                  <m:sty m:val="p"/>
                </m:rPr>
                <w:rPr>
                  <w:rFonts w:ascii="Cambria Math" w:hAnsi="Cambria Math" w:cs="Arial"/>
                  <w:sz w:val="20"/>
                  <w:szCs w:val="20"/>
                </w:rPr>
                <m:t>Total number of seeds sown</m:t>
              </m:r>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1</m:t>
              </m:r>
            </m:den>
          </m:f>
        </m:oMath>
      </m:oMathPara>
    </w:p>
    <w:p w14:paraId="1C3CB826" w14:textId="77777777" w:rsidR="004778D3" w:rsidRPr="00836B20" w:rsidRDefault="004778D3" w:rsidP="004778D3">
      <w:pPr>
        <w:pStyle w:val="ListParagraph"/>
        <w:spacing w:line="480" w:lineRule="auto"/>
        <w:jc w:val="both"/>
        <w:rPr>
          <w:rFonts w:ascii="Arial" w:hAnsi="Arial" w:cs="Arial"/>
          <w:sz w:val="20"/>
          <w:szCs w:val="20"/>
        </w:rPr>
      </w:pPr>
    </w:p>
    <w:p w14:paraId="73245BAC" w14:textId="21F7AA6A"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 xml:space="preserve">Seedling Vigour Index (Hellal </w:t>
      </w:r>
      <w:r w:rsidRPr="00774AC7">
        <w:rPr>
          <w:rFonts w:ascii="Arial" w:hAnsi="Arial" w:cs="Arial"/>
          <w:i/>
          <w:iCs/>
          <w:sz w:val="20"/>
          <w:szCs w:val="20"/>
        </w:rPr>
        <w:t>et al</w:t>
      </w:r>
      <w:r w:rsidRPr="00774AC7">
        <w:rPr>
          <w:rFonts w:ascii="Arial" w:hAnsi="Arial" w:cs="Arial"/>
          <w:sz w:val="20"/>
          <w:szCs w:val="20"/>
        </w:rPr>
        <w:t xml:space="preserve">., 2018; Udo </w:t>
      </w:r>
      <w:r w:rsidRPr="00774AC7">
        <w:rPr>
          <w:rFonts w:ascii="Arial" w:hAnsi="Arial" w:cs="Arial"/>
          <w:i/>
          <w:iCs/>
          <w:sz w:val="20"/>
          <w:szCs w:val="20"/>
        </w:rPr>
        <w:t>et al</w:t>
      </w:r>
      <w:r w:rsidRPr="00774AC7">
        <w:rPr>
          <w:rFonts w:ascii="Arial" w:hAnsi="Arial" w:cs="Arial"/>
          <w:sz w:val="20"/>
          <w:szCs w:val="20"/>
        </w:rPr>
        <w:t>., 2025</w:t>
      </w:r>
      <w:r w:rsidR="00053A1F">
        <w:rPr>
          <w:rFonts w:ascii="Arial" w:hAnsi="Arial" w:cs="Arial"/>
          <w:sz w:val="20"/>
          <w:szCs w:val="20"/>
        </w:rPr>
        <w:t>a</w:t>
      </w:r>
      <w:r w:rsidRPr="00774AC7">
        <w:rPr>
          <w:rFonts w:ascii="Arial" w:hAnsi="Arial" w:cs="Arial"/>
          <w:sz w:val="20"/>
          <w:szCs w:val="20"/>
        </w:rPr>
        <w:t xml:space="preserve">) = </w:t>
      </w:r>
      <m:oMath>
        <m:d>
          <m:dPr>
            <m:begChr m:val="["/>
            <m:endChr m:val="]"/>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Mean plumule length +Mean radicle length</m:t>
                </m:r>
              </m:e>
            </m:d>
            <m:r>
              <w:rPr>
                <w:rFonts w:ascii="Cambria Math" w:hAnsi="Cambria Math" w:cs="Arial"/>
                <w:sz w:val="20"/>
                <w:szCs w:val="20"/>
              </w:rPr>
              <m:t xml:space="preserve"> ×Final germination percentage</m:t>
            </m:r>
          </m:e>
        </m:d>
      </m:oMath>
    </w:p>
    <w:p w14:paraId="54DDD23D" w14:textId="39A04956"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Radicle length (cm): It was measured with the aid of a meter rule</w:t>
      </w:r>
    </w:p>
    <w:p w14:paraId="5CD758A2" w14:textId="48AC4E50"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Plumule length (cm): It was measured with the aid of a meter rule</w:t>
      </w:r>
    </w:p>
    <w:p w14:paraId="1BB658AE" w14:textId="77777777" w:rsidR="00774AC7" w:rsidRDefault="00774AC7" w:rsidP="004778D3">
      <w:pPr>
        <w:spacing w:line="480" w:lineRule="auto"/>
        <w:jc w:val="both"/>
        <w:rPr>
          <w:rFonts w:ascii="Arial" w:hAnsi="Arial" w:cs="Arial"/>
          <w:b/>
          <w:bCs/>
          <w:sz w:val="20"/>
          <w:szCs w:val="20"/>
        </w:rPr>
      </w:pPr>
      <w:r>
        <w:rPr>
          <w:rFonts w:ascii="Arial" w:hAnsi="Arial" w:cs="Arial"/>
          <w:b/>
          <w:bCs/>
          <w:sz w:val="20"/>
          <w:szCs w:val="20"/>
        </w:rPr>
        <w:t xml:space="preserve">2.7 </w:t>
      </w:r>
      <w:r w:rsidR="004778D3" w:rsidRPr="00836B20">
        <w:rPr>
          <w:rFonts w:ascii="Arial" w:hAnsi="Arial" w:cs="Arial"/>
          <w:b/>
          <w:bCs/>
          <w:sz w:val="20"/>
          <w:szCs w:val="20"/>
        </w:rPr>
        <w:t xml:space="preserve">Data Analysis: </w:t>
      </w:r>
    </w:p>
    <w:p w14:paraId="4C701CF6" w14:textId="3706D216" w:rsidR="004778D3" w:rsidRPr="00836B20" w:rsidRDefault="004778D3" w:rsidP="004778D3">
      <w:pPr>
        <w:spacing w:line="480" w:lineRule="auto"/>
        <w:jc w:val="both"/>
        <w:rPr>
          <w:rFonts w:ascii="Arial" w:hAnsi="Arial" w:cs="Arial"/>
          <w:b/>
          <w:bCs/>
          <w:sz w:val="20"/>
          <w:szCs w:val="20"/>
        </w:rPr>
      </w:pPr>
      <w:r w:rsidRPr="00836B20">
        <w:rPr>
          <w:rFonts w:ascii="Arial" w:hAnsi="Arial" w:cs="Arial"/>
          <w:sz w:val="20"/>
          <w:szCs w:val="20"/>
        </w:rPr>
        <w:t>The data collected were subjected to the analysis of variance using Statistical Tool for Agricultural Research (STAR), and means were separated using Tukey’s Honest Significant Difference (HSD) Test at 5% probability level.</w:t>
      </w:r>
    </w:p>
    <w:p w14:paraId="6A6AEDD5" w14:textId="23796590" w:rsidR="00CC1ECA" w:rsidRPr="00783413" w:rsidRDefault="00774AC7" w:rsidP="008B6C62">
      <w:pPr>
        <w:jc w:val="both"/>
        <w:rPr>
          <w:rFonts w:ascii="Arial" w:hAnsi="Arial" w:cs="Arial"/>
          <w:b/>
          <w:bCs/>
        </w:rPr>
      </w:pPr>
      <w:r w:rsidRPr="00783413">
        <w:rPr>
          <w:rFonts w:ascii="Arial" w:hAnsi="Arial" w:cs="Arial"/>
          <w:b/>
          <w:bCs/>
        </w:rPr>
        <w:t>3.0 RESULTS AND DISCUSSION</w:t>
      </w:r>
    </w:p>
    <w:p w14:paraId="033A0B99" w14:textId="6C42D40C" w:rsidR="00783413" w:rsidRPr="00836B20" w:rsidRDefault="00783413" w:rsidP="008B6C62">
      <w:pPr>
        <w:jc w:val="both"/>
        <w:rPr>
          <w:rFonts w:ascii="Arial" w:hAnsi="Arial" w:cs="Arial"/>
          <w:b/>
          <w:bCs/>
          <w:sz w:val="20"/>
          <w:szCs w:val="20"/>
        </w:rPr>
      </w:pPr>
      <w:r>
        <w:rPr>
          <w:rFonts w:ascii="Arial" w:hAnsi="Arial" w:cs="Arial"/>
          <w:b/>
          <w:bCs/>
          <w:sz w:val="20"/>
          <w:szCs w:val="20"/>
        </w:rPr>
        <w:t xml:space="preserve">3.1 </w:t>
      </w:r>
      <w:r w:rsidRPr="00783413">
        <w:rPr>
          <w:rFonts w:ascii="Arial" w:hAnsi="Arial" w:cs="Arial"/>
          <w:b/>
          <w:bCs/>
        </w:rPr>
        <w:t>Results</w:t>
      </w:r>
    </w:p>
    <w:p w14:paraId="49FACB2C" w14:textId="3BC7670E" w:rsidR="00C57180" w:rsidRPr="00836B20" w:rsidRDefault="00C57180" w:rsidP="00C57180">
      <w:pPr>
        <w:spacing w:line="480" w:lineRule="auto"/>
        <w:jc w:val="both"/>
        <w:rPr>
          <w:rFonts w:ascii="Arial" w:hAnsi="Arial" w:cs="Arial"/>
          <w:sz w:val="20"/>
          <w:szCs w:val="20"/>
        </w:rPr>
      </w:pPr>
      <w:r w:rsidRPr="00836B20">
        <w:rPr>
          <w:rFonts w:ascii="Arial" w:hAnsi="Arial" w:cs="Arial"/>
          <w:sz w:val="20"/>
          <w:szCs w:val="20"/>
        </w:rPr>
        <w:t xml:space="preserve">The main effect of genotype and Fe level, as well as the two-way interaction effect of the two factors (genotype x Fe level), revealed a highly significant </w:t>
      </w:r>
      <w:r w:rsidRPr="00CC456C">
        <w:rPr>
          <w:rFonts w:ascii="Arial" w:hAnsi="Arial" w:cs="Arial"/>
          <w:i/>
          <w:iCs/>
          <w:sz w:val="20"/>
          <w:szCs w:val="20"/>
        </w:rPr>
        <w:t>(</w:t>
      </w:r>
      <w:r w:rsidR="00CC456C" w:rsidRPr="00CC456C">
        <w:rPr>
          <w:rFonts w:ascii="Arial" w:hAnsi="Arial" w:cs="Arial"/>
          <w:i/>
          <w:iCs/>
          <w:sz w:val="20"/>
          <w:szCs w:val="20"/>
        </w:rPr>
        <w:t>P</w:t>
      </w:r>
      <w:r w:rsidRPr="00836B20">
        <w:rPr>
          <w:rFonts w:ascii="Arial" w:hAnsi="Arial" w:cs="Arial"/>
          <w:i/>
          <w:iCs/>
          <w:sz w:val="20"/>
          <w:szCs w:val="20"/>
        </w:rPr>
        <w:t>≤0.01</w:t>
      </w:r>
      <w:r w:rsidRPr="00836B20">
        <w:rPr>
          <w:rFonts w:ascii="Arial" w:hAnsi="Arial" w:cs="Arial"/>
          <w:sz w:val="20"/>
          <w:szCs w:val="20"/>
        </w:rPr>
        <w:t xml:space="preserve">) effect on the tested germination and seedling traits (Table 1). </w:t>
      </w:r>
    </w:p>
    <w:p w14:paraId="086616CC" w14:textId="46EFDC03" w:rsidR="0012329C" w:rsidRPr="00CC456C" w:rsidRDefault="00783413" w:rsidP="0012329C">
      <w:pPr>
        <w:jc w:val="both"/>
        <w:rPr>
          <w:rFonts w:ascii="Arial" w:hAnsi="Arial" w:cs="Arial"/>
          <w:b/>
          <w:bCs/>
          <w:sz w:val="20"/>
          <w:szCs w:val="20"/>
        </w:rPr>
      </w:pPr>
      <w:r>
        <w:rPr>
          <w:rFonts w:ascii="Arial" w:hAnsi="Arial" w:cs="Arial"/>
          <w:b/>
          <w:bCs/>
          <w:sz w:val="20"/>
          <w:szCs w:val="20"/>
        </w:rPr>
        <w:t xml:space="preserve">3.1.1 </w:t>
      </w:r>
      <w:r w:rsidR="0012329C" w:rsidRPr="00CC456C">
        <w:rPr>
          <w:rFonts w:ascii="Arial" w:hAnsi="Arial" w:cs="Arial"/>
          <w:b/>
          <w:bCs/>
          <w:sz w:val="20"/>
          <w:szCs w:val="20"/>
        </w:rPr>
        <w:t>Final Germination Percentage (%)</w:t>
      </w:r>
    </w:p>
    <w:p w14:paraId="4F8539EB" w14:textId="7F5CFCED" w:rsidR="0012329C" w:rsidRPr="00CC456C" w:rsidRDefault="0012329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showed significant variation (p≤0.01) for the final germination percentage (</w:t>
      </w:r>
      <w:r w:rsidR="00335AE3" w:rsidRPr="00CC456C">
        <w:rPr>
          <w:rFonts w:ascii="Arial" w:hAnsi="Arial" w:cs="Arial"/>
          <w:sz w:val="20"/>
          <w:szCs w:val="20"/>
        </w:rPr>
        <w:t>Table 2</w:t>
      </w:r>
      <w:r w:rsidRPr="00CC456C">
        <w:rPr>
          <w:rFonts w:ascii="Arial" w:hAnsi="Arial" w:cs="Arial"/>
          <w:sz w:val="20"/>
          <w:szCs w:val="20"/>
        </w:rPr>
        <w:t xml:space="preserve">). Under non-toxic conditions (control), FARO 50 and FARO 52 (97%) had the maximum final germination percentage, which was closely followed by FARO 26 </w:t>
      </w:r>
      <w:r w:rsidRPr="00CC456C">
        <w:rPr>
          <w:rFonts w:ascii="Arial" w:hAnsi="Arial" w:cs="Arial"/>
          <w:sz w:val="20"/>
          <w:szCs w:val="20"/>
        </w:rPr>
        <w:lastRenderedPageBreak/>
        <w:t xml:space="preserve">(91%); conversely, FARO 33 and FARO 57 (21%) had the minimum final germination percentage. At 300 mg/L Fe concentration, FARO 50 (97%) had the maximum final germination percentage, which was not substantially different from FARO 52 (93%), while FARO 33 and FARO 57 had the minimum final germination percentage. At 450 mg/L Fe concentration, FARO 52 (93%) had the maximum final germination percentage, while FARO 33 (13%) had the minimum final germination percentage, which was statistically similar to FARO 57 (15%). At 600 mg/L Fe concentration, FARO 52 (85%) had the maximum final germination percentage, which was statistically similar to FARO 50 (83%), whereas FARO 33 and FARO 57 (9%) had </w:t>
      </w:r>
      <w:r w:rsidR="00B42DBA" w:rsidRPr="00CC456C">
        <w:rPr>
          <w:rFonts w:ascii="Arial" w:hAnsi="Arial" w:cs="Arial"/>
          <w:sz w:val="20"/>
          <w:szCs w:val="20"/>
        </w:rPr>
        <w:t xml:space="preserve">the </w:t>
      </w:r>
      <w:r w:rsidRPr="00CC456C">
        <w:rPr>
          <w:rFonts w:ascii="Arial" w:hAnsi="Arial" w:cs="Arial"/>
          <w:sz w:val="20"/>
          <w:szCs w:val="20"/>
        </w:rPr>
        <w:t>minimum values.</w:t>
      </w:r>
    </w:p>
    <w:p w14:paraId="60C18F29" w14:textId="39618078" w:rsidR="00F04481" w:rsidRDefault="00F04481" w:rsidP="00F04481">
      <w:pPr>
        <w:spacing w:line="240" w:lineRule="auto"/>
        <w:rPr>
          <w:rFonts w:ascii="Times New Roman" w:hAnsi="Times New Roman" w:cs="Times New Roman"/>
          <w:b/>
          <w:bCs/>
          <w:sz w:val="24"/>
          <w:szCs w:val="24"/>
        </w:rPr>
      </w:pPr>
    </w:p>
    <w:p w14:paraId="6C8A4DA3" w14:textId="10D16273" w:rsidR="000F25CF" w:rsidRDefault="000F25CF" w:rsidP="00F04481">
      <w:pPr>
        <w:spacing w:line="240" w:lineRule="auto"/>
        <w:rPr>
          <w:rFonts w:ascii="Times New Roman" w:hAnsi="Times New Roman" w:cs="Times New Roman"/>
          <w:b/>
          <w:bCs/>
          <w:sz w:val="24"/>
          <w:szCs w:val="24"/>
        </w:rPr>
      </w:pPr>
    </w:p>
    <w:p w14:paraId="4BBA8F8C" w14:textId="4F21C96C" w:rsidR="000F25CF" w:rsidRDefault="000F25CF" w:rsidP="00F04481">
      <w:pPr>
        <w:spacing w:line="240" w:lineRule="auto"/>
        <w:rPr>
          <w:rFonts w:ascii="Times New Roman" w:hAnsi="Times New Roman" w:cs="Times New Roman"/>
          <w:b/>
          <w:bCs/>
          <w:sz w:val="24"/>
          <w:szCs w:val="24"/>
        </w:rPr>
      </w:pPr>
    </w:p>
    <w:p w14:paraId="5E390CB9" w14:textId="4DAA02E7" w:rsidR="000F25CF" w:rsidRDefault="000F25CF" w:rsidP="00F04481">
      <w:pPr>
        <w:spacing w:line="240" w:lineRule="auto"/>
        <w:rPr>
          <w:rFonts w:ascii="Times New Roman" w:hAnsi="Times New Roman" w:cs="Times New Roman"/>
          <w:b/>
          <w:bCs/>
          <w:sz w:val="24"/>
          <w:szCs w:val="24"/>
        </w:rPr>
      </w:pPr>
    </w:p>
    <w:p w14:paraId="0E3E2EC3" w14:textId="0294B653" w:rsidR="000F25CF" w:rsidRDefault="000F25CF" w:rsidP="00F04481">
      <w:pPr>
        <w:spacing w:line="240" w:lineRule="auto"/>
        <w:rPr>
          <w:rFonts w:ascii="Times New Roman" w:hAnsi="Times New Roman" w:cs="Times New Roman"/>
          <w:b/>
          <w:bCs/>
          <w:sz w:val="24"/>
          <w:szCs w:val="24"/>
        </w:rPr>
      </w:pPr>
    </w:p>
    <w:p w14:paraId="1E234C92" w14:textId="4B3D3C48" w:rsidR="000F25CF" w:rsidRDefault="000F25CF" w:rsidP="00F04481">
      <w:pPr>
        <w:spacing w:line="240" w:lineRule="auto"/>
        <w:rPr>
          <w:rFonts w:ascii="Times New Roman" w:hAnsi="Times New Roman" w:cs="Times New Roman"/>
          <w:b/>
          <w:bCs/>
          <w:sz w:val="24"/>
          <w:szCs w:val="24"/>
        </w:rPr>
      </w:pPr>
    </w:p>
    <w:p w14:paraId="073E6C54" w14:textId="00CE81A6" w:rsidR="000F25CF" w:rsidRDefault="000F25CF" w:rsidP="00F04481">
      <w:pPr>
        <w:spacing w:line="240" w:lineRule="auto"/>
        <w:rPr>
          <w:rFonts w:ascii="Times New Roman" w:hAnsi="Times New Roman" w:cs="Times New Roman"/>
          <w:b/>
          <w:bCs/>
          <w:sz w:val="24"/>
          <w:szCs w:val="24"/>
        </w:rPr>
      </w:pPr>
    </w:p>
    <w:p w14:paraId="0D507A73" w14:textId="77777777" w:rsidR="000F25CF" w:rsidRDefault="000F25CF" w:rsidP="00F04481">
      <w:pPr>
        <w:spacing w:line="240" w:lineRule="auto"/>
        <w:rPr>
          <w:rFonts w:ascii="Times New Roman" w:hAnsi="Times New Roman" w:cs="Times New Roman"/>
          <w:b/>
          <w:bCs/>
          <w:sz w:val="24"/>
          <w:szCs w:val="24"/>
        </w:rPr>
      </w:pPr>
    </w:p>
    <w:p w14:paraId="4BF4294D" w14:textId="77777777" w:rsidR="000F25CF" w:rsidRDefault="000F25CF" w:rsidP="00F04481">
      <w:pPr>
        <w:spacing w:line="240" w:lineRule="auto"/>
        <w:rPr>
          <w:rFonts w:ascii="Times New Roman" w:hAnsi="Times New Roman" w:cs="Times New Roman"/>
          <w:b/>
          <w:bCs/>
          <w:sz w:val="24"/>
          <w:szCs w:val="24"/>
        </w:rPr>
      </w:pPr>
    </w:p>
    <w:p w14:paraId="0FA46EDD" w14:textId="77777777" w:rsidR="000F25CF" w:rsidRDefault="000F25CF" w:rsidP="00F04481">
      <w:pPr>
        <w:spacing w:line="240" w:lineRule="auto"/>
        <w:rPr>
          <w:rFonts w:ascii="Times New Roman" w:hAnsi="Times New Roman" w:cs="Times New Roman"/>
          <w:b/>
          <w:bCs/>
          <w:sz w:val="24"/>
          <w:szCs w:val="24"/>
        </w:rPr>
      </w:pPr>
    </w:p>
    <w:p w14:paraId="097B3A9E" w14:textId="77777777" w:rsidR="000F25CF" w:rsidRDefault="000F25CF" w:rsidP="00F04481">
      <w:pPr>
        <w:spacing w:line="240" w:lineRule="auto"/>
        <w:rPr>
          <w:rFonts w:ascii="Times New Roman" w:hAnsi="Times New Roman" w:cs="Times New Roman"/>
          <w:b/>
          <w:bCs/>
          <w:sz w:val="24"/>
          <w:szCs w:val="24"/>
        </w:rPr>
      </w:pPr>
    </w:p>
    <w:p w14:paraId="0D2CA496" w14:textId="77777777" w:rsidR="000F25CF" w:rsidRDefault="000F25CF" w:rsidP="00F04481">
      <w:pPr>
        <w:spacing w:line="240" w:lineRule="auto"/>
        <w:rPr>
          <w:rFonts w:ascii="Times New Roman" w:hAnsi="Times New Roman" w:cs="Times New Roman"/>
          <w:b/>
          <w:bCs/>
          <w:sz w:val="24"/>
          <w:szCs w:val="24"/>
        </w:rPr>
      </w:pPr>
    </w:p>
    <w:p w14:paraId="22E33D69" w14:textId="77777777" w:rsidR="000F25CF" w:rsidRDefault="000F25CF" w:rsidP="00F04481">
      <w:pPr>
        <w:spacing w:line="240" w:lineRule="auto"/>
        <w:rPr>
          <w:rFonts w:ascii="Times New Roman" w:hAnsi="Times New Roman" w:cs="Times New Roman"/>
          <w:b/>
          <w:bCs/>
          <w:sz w:val="24"/>
          <w:szCs w:val="24"/>
        </w:rPr>
        <w:sectPr w:rsidR="000F25CF" w:rsidSect="000F25CF">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900" w:header="720" w:footer="720" w:gutter="0"/>
          <w:cols w:space="720"/>
          <w:docGrid w:linePitch="360"/>
        </w:sectPr>
      </w:pPr>
    </w:p>
    <w:p w14:paraId="6DD31FC2" w14:textId="73551A6A" w:rsidR="00F04481" w:rsidRPr="005D7219" w:rsidRDefault="00693659" w:rsidP="00F04481">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F04481" w:rsidRPr="005D7219">
        <w:rPr>
          <w:rFonts w:ascii="Times New Roman" w:hAnsi="Times New Roman" w:cs="Times New Roman"/>
          <w:b/>
          <w:bCs/>
          <w:sz w:val="24"/>
          <w:szCs w:val="24"/>
        </w:rPr>
        <w:t xml:space="preserve">able </w:t>
      </w:r>
      <w:r w:rsidR="00F04481">
        <w:rPr>
          <w:rFonts w:ascii="Times New Roman" w:hAnsi="Times New Roman" w:cs="Times New Roman"/>
          <w:b/>
          <w:bCs/>
          <w:sz w:val="24"/>
          <w:szCs w:val="24"/>
        </w:rPr>
        <w:t>1</w:t>
      </w:r>
      <w:r w:rsidR="00F04481" w:rsidRPr="005D7219">
        <w:rPr>
          <w:rFonts w:ascii="Times New Roman" w:hAnsi="Times New Roman" w:cs="Times New Roman"/>
          <w:b/>
          <w:bCs/>
          <w:sz w:val="24"/>
          <w:szCs w:val="24"/>
        </w:rPr>
        <w:t>: Effect of iron toxicity on the seedling growth of some genotypes of rice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52"/>
        <w:gridCol w:w="2943"/>
        <w:gridCol w:w="2925"/>
        <w:gridCol w:w="2324"/>
      </w:tblGrid>
      <w:tr w:rsidR="00F04481" w14:paraId="74F02684" w14:textId="77777777" w:rsidTr="00800258">
        <w:tc>
          <w:tcPr>
            <w:tcW w:w="2610" w:type="dxa"/>
            <w:tcBorders>
              <w:top w:val="single" w:sz="4" w:space="0" w:color="auto"/>
              <w:bottom w:val="single" w:sz="4" w:space="0" w:color="auto"/>
            </w:tcBorders>
          </w:tcPr>
          <w:p w14:paraId="57765408" w14:textId="77777777" w:rsidR="00F04481" w:rsidRPr="00F7017D" w:rsidRDefault="00F04481" w:rsidP="00800258">
            <w:pPr>
              <w:spacing w:line="360" w:lineRule="auto"/>
              <w:rPr>
                <w:rFonts w:ascii="Times New Roman" w:hAnsi="Times New Roman" w:cs="Times New Roman"/>
                <w:b/>
                <w:bCs/>
                <w:sz w:val="24"/>
                <w:szCs w:val="24"/>
              </w:rPr>
            </w:pPr>
            <w:r w:rsidRPr="00F7017D">
              <w:rPr>
                <w:rFonts w:ascii="Times New Roman" w:hAnsi="Times New Roman" w:cs="Times New Roman"/>
                <w:b/>
                <w:bCs/>
                <w:sz w:val="24"/>
                <w:szCs w:val="24"/>
              </w:rPr>
              <w:t xml:space="preserve">Genotype </w:t>
            </w:r>
          </w:p>
        </w:tc>
        <w:tc>
          <w:tcPr>
            <w:tcW w:w="2752" w:type="dxa"/>
            <w:tcBorders>
              <w:top w:val="single" w:sz="4" w:space="0" w:color="auto"/>
              <w:bottom w:val="single" w:sz="4" w:space="0" w:color="auto"/>
            </w:tcBorders>
          </w:tcPr>
          <w:p w14:paraId="718288CD" w14:textId="77777777" w:rsidR="00F04481" w:rsidRPr="005D7219" w:rsidRDefault="00F04481" w:rsidP="00800258">
            <w:pPr>
              <w:spacing w:line="360" w:lineRule="auto"/>
              <w:rPr>
                <w:rFonts w:ascii="Times New Roman" w:hAnsi="Times New Roman" w:cs="Times New Roman"/>
                <w:b/>
                <w:bCs/>
                <w:sz w:val="24"/>
                <w:szCs w:val="24"/>
              </w:rPr>
            </w:pPr>
            <w:r>
              <w:rPr>
                <w:rFonts w:ascii="Times New Roman" w:hAnsi="Times New Roman" w:cs="Times New Roman"/>
                <w:b/>
                <w:bCs/>
                <w:sz w:val="24"/>
                <w:szCs w:val="24"/>
              </w:rPr>
              <w:t>Final Germination Percentage (%)</w:t>
            </w:r>
          </w:p>
        </w:tc>
        <w:tc>
          <w:tcPr>
            <w:tcW w:w="2943" w:type="dxa"/>
            <w:tcBorders>
              <w:top w:val="single" w:sz="4" w:space="0" w:color="auto"/>
              <w:bottom w:val="single" w:sz="4" w:space="0" w:color="auto"/>
            </w:tcBorders>
          </w:tcPr>
          <w:p w14:paraId="37C70EC5"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Plumule length (cm)</w:t>
            </w:r>
          </w:p>
        </w:tc>
        <w:tc>
          <w:tcPr>
            <w:tcW w:w="2925" w:type="dxa"/>
            <w:tcBorders>
              <w:top w:val="single" w:sz="4" w:space="0" w:color="auto"/>
              <w:bottom w:val="single" w:sz="4" w:space="0" w:color="auto"/>
            </w:tcBorders>
          </w:tcPr>
          <w:p w14:paraId="6A8E5D6D"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Radicle length (cm)</w:t>
            </w:r>
          </w:p>
        </w:tc>
        <w:tc>
          <w:tcPr>
            <w:tcW w:w="2324" w:type="dxa"/>
            <w:tcBorders>
              <w:top w:val="single" w:sz="4" w:space="0" w:color="auto"/>
              <w:bottom w:val="single" w:sz="4" w:space="0" w:color="auto"/>
            </w:tcBorders>
          </w:tcPr>
          <w:p w14:paraId="72A311D6"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Seedling Vigour Index</w:t>
            </w:r>
          </w:p>
        </w:tc>
      </w:tr>
      <w:tr w:rsidR="00F04481" w14:paraId="68C235CC" w14:textId="77777777" w:rsidTr="00800258">
        <w:tc>
          <w:tcPr>
            <w:tcW w:w="2610" w:type="dxa"/>
            <w:tcBorders>
              <w:top w:val="single" w:sz="4" w:space="0" w:color="auto"/>
            </w:tcBorders>
          </w:tcPr>
          <w:p w14:paraId="3C0285D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52" w:type="dxa"/>
            <w:tcBorders>
              <w:top w:val="single" w:sz="4" w:space="0" w:color="auto"/>
            </w:tcBorders>
          </w:tcPr>
          <w:p w14:paraId="47D4AA7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31.50f</w:t>
            </w:r>
          </w:p>
        </w:tc>
        <w:tc>
          <w:tcPr>
            <w:tcW w:w="2943" w:type="dxa"/>
            <w:tcBorders>
              <w:top w:val="single" w:sz="4" w:space="0" w:color="auto"/>
            </w:tcBorders>
          </w:tcPr>
          <w:p w14:paraId="449CADF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5.00cd</w:t>
            </w:r>
          </w:p>
        </w:tc>
        <w:tc>
          <w:tcPr>
            <w:tcW w:w="2925" w:type="dxa"/>
            <w:tcBorders>
              <w:top w:val="single" w:sz="4" w:space="0" w:color="auto"/>
            </w:tcBorders>
          </w:tcPr>
          <w:p w14:paraId="49CB881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5.18b</w:t>
            </w:r>
          </w:p>
        </w:tc>
        <w:tc>
          <w:tcPr>
            <w:tcW w:w="2324" w:type="dxa"/>
            <w:tcBorders>
              <w:top w:val="single" w:sz="4" w:space="0" w:color="auto"/>
            </w:tcBorders>
          </w:tcPr>
          <w:p w14:paraId="202FE71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342.58e</w:t>
            </w:r>
          </w:p>
        </w:tc>
      </w:tr>
      <w:tr w:rsidR="00F04481" w14:paraId="2144A8EB" w14:textId="77777777" w:rsidTr="00800258">
        <w:tc>
          <w:tcPr>
            <w:tcW w:w="2610" w:type="dxa"/>
          </w:tcPr>
          <w:p w14:paraId="7D96D36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52" w:type="dxa"/>
          </w:tcPr>
          <w:p w14:paraId="1E38559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33.50e</w:t>
            </w:r>
          </w:p>
        </w:tc>
        <w:tc>
          <w:tcPr>
            <w:tcW w:w="2943" w:type="dxa"/>
          </w:tcPr>
          <w:p w14:paraId="7238F0A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5.41b</w:t>
            </w:r>
          </w:p>
        </w:tc>
        <w:tc>
          <w:tcPr>
            <w:tcW w:w="2925" w:type="dxa"/>
          </w:tcPr>
          <w:p w14:paraId="0D750C3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5E63446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376.84d</w:t>
            </w:r>
          </w:p>
        </w:tc>
      </w:tr>
      <w:tr w:rsidR="00F04481" w14:paraId="4F3FC55E" w14:textId="77777777" w:rsidTr="00800258">
        <w:tc>
          <w:tcPr>
            <w:tcW w:w="2610" w:type="dxa"/>
          </w:tcPr>
          <w:p w14:paraId="6211165C"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52" w:type="dxa"/>
          </w:tcPr>
          <w:p w14:paraId="4493C33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29.00g</w:t>
            </w:r>
          </w:p>
        </w:tc>
        <w:tc>
          <w:tcPr>
            <w:tcW w:w="2943" w:type="dxa"/>
          </w:tcPr>
          <w:p w14:paraId="73B47E6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5.38bc</w:t>
            </w:r>
          </w:p>
        </w:tc>
        <w:tc>
          <w:tcPr>
            <w:tcW w:w="2925" w:type="dxa"/>
          </w:tcPr>
          <w:p w14:paraId="6E6301F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674EA5E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332.61e</w:t>
            </w:r>
          </w:p>
        </w:tc>
      </w:tr>
      <w:tr w:rsidR="00F04481" w14:paraId="331BA21A" w14:textId="77777777" w:rsidTr="00800258">
        <w:tc>
          <w:tcPr>
            <w:tcW w:w="2610" w:type="dxa"/>
          </w:tcPr>
          <w:p w14:paraId="5C838C4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52" w:type="dxa"/>
          </w:tcPr>
          <w:p w14:paraId="3DAA480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32.50e</w:t>
            </w:r>
          </w:p>
        </w:tc>
        <w:tc>
          <w:tcPr>
            <w:tcW w:w="2943" w:type="dxa"/>
          </w:tcPr>
          <w:p w14:paraId="489B120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5.26bc</w:t>
            </w:r>
          </w:p>
        </w:tc>
        <w:tc>
          <w:tcPr>
            <w:tcW w:w="2925" w:type="dxa"/>
          </w:tcPr>
          <w:p w14:paraId="000EB72A"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5.08b</w:t>
            </w:r>
          </w:p>
        </w:tc>
        <w:tc>
          <w:tcPr>
            <w:tcW w:w="2324" w:type="dxa"/>
          </w:tcPr>
          <w:p w14:paraId="4F9570F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357.38de</w:t>
            </w:r>
          </w:p>
        </w:tc>
      </w:tr>
      <w:tr w:rsidR="00F04481" w14:paraId="264DB6CC" w14:textId="77777777" w:rsidTr="00800258">
        <w:tc>
          <w:tcPr>
            <w:tcW w:w="2610" w:type="dxa"/>
          </w:tcPr>
          <w:p w14:paraId="462695EA"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52" w:type="dxa"/>
          </w:tcPr>
          <w:p w14:paraId="5151FD0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943" w:type="dxa"/>
          </w:tcPr>
          <w:p w14:paraId="51642F1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7.31a</w:t>
            </w:r>
          </w:p>
        </w:tc>
        <w:tc>
          <w:tcPr>
            <w:tcW w:w="2925" w:type="dxa"/>
          </w:tcPr>
          <w:p w14:paraId="0B7028E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6.08a</w:t>
            </w:r>
          </w:p>
        </w:tc>
        <w:tc>
          <w:tcPr>
            <w:tcW w:w="2324" w:type="dxa"/>
          </w:tcPr>
          <w:p w14:paraId="68DDF6B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1247.56a</w:t>
            </w:r>
          </w:p>
        </w:tc>
      </w:tr>
      <w:tr w:rsidR="00F04481" w14:paraId="6EAD2A7E" w14:textId="77777777" w:rsidTr="00800258">
        <w:tc>
          <w:tcPr>
            <w:tcW w:w="2610" w:type="dxa"/>
          </w:tcPr>
          <w:p w14:paraId="0E6A896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52" w:type="dxa"/>
          </w:tcPr>
          <w:p w14:paraId="2826E1D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24.50h</w:t>
            </w:r>
          </w:p>
        </w:tc>
        <w:tc>
          <w:tcPr>
            <w:tcW w:w="2943" w:type="dxa"/>
          </w:tcPr>
          <w:p w14:paraId="76B35E6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5.15bd</w:t>
            </w:r>
          </w:p>
        </w:tc>
        <w:tc>
          <w:tcPr>
            <w:tcW w:w="2925" w:type="dxa"/>
          </w:tcPr>
          <w:p w14:paraId="5A3A93E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5.14b</w:t>
            </w:r>
          </w:p>
        </w:tc>
        <w:tc>
          <w:tcPr>
            <w:tcW w:w="2324" w:type="dxa"/>
          </w:tcPr>
          <w:p w14:paraId="1449CF9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271.10f</w:t>
            </w:r>
          </w:p>
        </w:tc>
      </w:tr>
      <w:tr w:rsidR="00F04481" w14:paraId="5916278B" w14:textId="77777777" w:rsidTr="00800258">
        <w:tc>
          <w:tcPr>
            <w:tcW w:w="2610" w:type="dxa"/>
          </w:tcPr>
          <w:p w14:paraId="044419CA"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52" w:type="dxa"/>
          </w:tcPr>
          <w:p w14:paraId="439E112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943" w:type="dxa"/>
          </w:tcPr>
          <w:p w14:paraId="2204FCE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7.24a</w:t>
            </w:r>
          </w:p>
        </w:tc>
        <w:tc>
          <w:tcPr>
            <w:tcW w:w="2925" w:type="dxa"/>
          </w:tcPr>
          <w:p w14:paraId="34670DC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6.23a</w:t>
            </w:r>
          </w:p>
        </w:tc>
        <w:tc>
          <w:tcPr>
            <w:tcW w:w="2324" w:type="dxa"/>
          </w:tcPr>
          <w:p w14:paraId="708929D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1252.30a</w:t>
            </w:r>
          </w:p>
        </w:tc>
      </w:tr>
      <w:tr w:rsidR="00F04481" w14:paraId="23785D53" w14:textId="77777777" w:rsidTr="00800258">
        <w:tc>
          <w:tcPr>
            <w:tcW w:w="2610" w:type="dxa"/>
          </w:tcPr>
          <w:p w14:paraId="41F7D9A3"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52" w:type="dxa"/>
          </w:tcPr>
          <w:p w14:paraId="5C650965"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36.00d</w:t>
            </w:r>
          </w:p>
        </w:tc>
        <w:tc>
          <w:tcPr>
            <w:tcW w:w="2943" w:type="dxa"/>
          </w:tcPr>
          <w:p w14:paraId="2B2656F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5.10bd</w:t>
            </w:r>
          </w:p>
        </w:tc>
        <w:tc>
          <w:tcPr>
            <w:tcW w:w="2925" w:type="dxa"/>
          </w:tcPr>
          <w:p w14:paraId="78E2EB1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4.61c</w:t>
            </w:r>
          </w:p>
        </w:tc>
        <w:tc>
          <w:tcPr>
            <w:tcW w:w="2324" w:type="dxa"/>
          </w:tcPr>
          <w:p w14:paraId="3461B56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362.58de</w:t>
            </w:r>
          </w:p>
        </w:tc>
      </w:tr>
      <w:tr w:rsidR="00F04481" w14:paraId="40304434" w14:textId="77777777" w:rsidTr="00800258">
        <w:tc>
          <w:tcPr>
            <w:tcW w:w="2610" w:type="dxa"/>
          </w:tcPr>
          <w:p w14:paraId="5BA1022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52" w:type="dxa"/>
          </w:tcPr>
          <w:p w14:paraId="4ADBA90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40.50c</w:t>
            </w:r>
          </w:p>
        </w:tc>
        <w:tc>
          <w:tcPr>
            <w:tcW w:w="2943" w:type="dxa"/>
          </w:tcPr>
          <w:p w14:paraId="67F0EAE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5.44b</w:t>
            </w:r>
          </w:p>
        </w:tc>
        <w:tc>
          <w:tcPr>
            <w:tcW w:w="2925" w:type="dxa"/>
          </w:tcPr>
          <w:p w14:paraId="20708CF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18DBB80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448.84c</w:t>
            </w:r>
          </w:p>
        </w:tc>
      </w:tr>
      <w:tr w:rsidR="00F04481" w14:paraId="6ADAD3AD" w14:textId="77777777" w:rsidTr="00800258">
        <w:tc>
          <w:tcPr>
            <w:tcW w:w="2610" w:type="dxa"/>
          </w:tcPr>
          <w:p w14:paraId="16B5604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52" w:type="dxa"/>
          </w:tcPr>
          <w:p w14:paraId="473C228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15.00i</w:t>
            </w:r>
          </w:p>
        </w:tc>
        <w:tc>
          <w:tcPr>
            <w:tcW w:w="2943" w:type="dxa"/>
          </w:tcPr>
          <w:p w14:paraId="69060DA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3.41f</w:t>
            </w:r>
          </w:p>
        </w:tc>
        <w:tc>
          <w:tcPr>
            <w:tcW w:w="2925" w:type="dxa"/>
          </w:tcPr>
          <w:p w14:paraId="2846B3B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3.07e</w:t>
            </w:r>
          </w:p>
        </w:tc>
        <w:tc>
          <w:tcPr>
            <w:tcW w:w="2324" w:type="dxa"/>
          </w:tcPr>
          <w:p w14:paraId="3B69F4A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105.99h</w:t>
            </w:r>
          </w:p>
        </w:tc>
      </w:tr>
      <w:tr w:rsidR="00F04481" w14:paraId="4C6CDB29" w14:textId="77777777" w:rsidTr="00800258">
        <w:tc>
          <w:tcPr>
            <w:tcW w:w="2610" w:type="dxa"/>
          </w:tcPr>
          <w:p w14:paraId="67F7721B"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52" w:type="dxa"/>
          </w:tcPr>
          <w:p w14:paraId="1AE1632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15.50i</w:t>
            </w:r>
          </w:p>
        </w:tc>
        <w:tc>
          <w:tcPr>
            <w:tcW w:w="2943" w:type="dxa"/>
          </w:tcPr>
          <w:p w14:paraId="53A4C35A"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4.81d</w:t>
            </w:r>
          </w:p>
        </w:tc>
        <w:tc>
          <w:tcPr>
            <w:tcW w:w="2925" w:type="dxa"/>
          </w:tcPr>
          <w:p w14:paraId="72E72FC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3.78d</w:t>
            </w:r>
          </w:p>
        </w:tc>
        <w:tc>
          <w:tcPr>
            <w:tcW w:w="2324" w:type="dxa"/>
          </w:tcPr>
          <w:p w14:paraId="2A20EE9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143.59g</w:t>
            </w:r>
          </w:p>
        </w:tc>
      </w:tr>
      <w:tr w:rsidR="00F04481" w14:paraId="065DEDAC" w14:textId="77777777" w:rsidTr="00800258">
        <w:tc>
          <w:tcPr>
            <w:tcW w:w="2610" w:type="dxa"/>
          </w:tcPr>
          <w:p w14:paraId="07208D5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52" w:type="dxa"/>
          </w:tcPr>
          <w:p w14:paraId="06DBD79F"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83.00b</w:t>
            </w:r>
          </w:p>
        </w:tc>
        <w:tc>
          <w:tcPr>
            <w:tcW w:w="2943" w:type="dxa"/>
          </w:tcPr>
          <w:p w14:paraId="3AEB900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4.19e</w:t>
            </w:r>
          </w:p>
        </w:tc>
        <w:tc>
          <w:tcPr>
            <w:tcW w:w="2925" w:type="dxa"/>
          </w:tcPr>
          <w:p w14:paraId="7A014F4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3.60d</w:t>
            </w:r>
          </w:p>
        </w:tc>
        <w:tc>
          <w:tcPr>
            <w:tcW w:w="2324" w:type="dxa"/>
          </w:tcPr>
          <w:p w14:paraId="1F4A745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653.79b</w:t>
            </w:r>
          </w:p>
        </w:tc>
      </w:tr>
      <w:tr w:rsidR="00F04481" w14:paraId="03690D1F" w14:textId="77777777" w:rsidTr="00800258">
        <w:tc>
          <w:tcPr>
            <w:tcW w:w="2610" w:type="dxa"/>
          </w:tcPr>
          <w:p w14:paraId="5C739E93" w14:textId="77777777" w:rsidR="00F04481" w:rsidRDefault="00F04481" w:rsidP="00800258">
            <w:pPr>
              <w:spacing w:line="360" w:lineRule="auto"/>
              <w:rPr>
                <w:rFonts w:ascii="Times New Roman" w:hAnsi="Times New Roman" w:cs="Times New Roman"/>
                <w:sz w:val="24"/>
                <w:szCs w:val="24"/>
              </w:rPr>
            </w:pPr>
            <w:r w:rsidRPr="00BC2BA6">
              <w:rPr>
                <w:rFonts w:ascii="Times New Roman" w:hAnsi="Times New Roman" w:cs="Times New Roman"/>
                <w:b/>
                <w:bCs/>
                <w:sz w:val="24"/>
                <w:szCs w:val="24"/>
                <w:u w:val="single"/>
              </w:rPr>
              <w:t>Fe level (Fe, mg/L)</w:t>
            </w:r>
          </w:p>
        </w:tc>
        <w:tc>
          <w:tcPr>
            <w:tcW w:w="2752" w:type="dxa"/>
          </w:tcPr>
          <w:p w14:paraId="5A9744FE" w14:textId="77777777" w:rsidR="00F04481" w:rsidRDefault="00F04481" w:rsidP="00800258">
            <w:pPr>
              <w:spacing w:line="360" w:lineRule="auto"/>
              <w:rPr>
                <w:rFonts w:ascii="Times New Roman" w:hAnsi="Times New Roman" w:cs="Times New Roman"/>
                <w:sz w:val="24"/>
                <w:szCs w:val="24"/>
              </w:rPr>
            </w:pPr>
          </w:p>
        </w:tc>
        <w:tc>
          <w:tcPr>
            <w:tcW w:w="2943" w:type="dxa"/>
          </w:tcPr>
          <w:p w14:paraId="783EAB12" w14:textId="77777777" w:rsidR="00F04481" w:rsidRDefault="00F04481" w:rsidP="00800258">
            <w:pPr>
              <w:spacing w:line="360" w:lineRule="auto"/>
              <w:rPr>
                <w:rFonts w:ascii="Times New Roman" w:hAnsi="Times New Roman" w:cs="Times New Roman"/>
                <w:sz w:val="24"/>
                <w:szCs w:val="24"/>
              </w:rPr>
            </w:pPr>
          </w:p>
        </w:tc>
        <w:tc>
          <w:tcPr>
            <w:tcW w:w="2925" w:type="dxa"/>
          </w:tcPr>
          <w:p w14:paraId="1735D9D6" w14:textId="77777777" w:rsidR="00F04481" w:rsidRDefault="00F04481" w:rsidP="00800258">
            <w:pPr>
              <w:spacing w:line="360" w:lineRule="auto"/>
              <w:rPr>
                <w:rFonts w:ascii="Times New Roman" w:hAnsi="Times New Roman" w:cs="Times New Roman"/>
                <w:sz w:val="24"/>
                <w:szCs w:val="24"/>
              </w:rPr>
            </w:pPr>
          </w:p>
        </w:tc>
        <w:tc>
          <w:tcPr>
            <w:tcW w:w="2324" w:type="dxa"/>
          </w:tcPr>
          <w:p w14:paraId="07F2A9CF" w14:textId="77777777" w:rsidR="00F04481" w:rsidRDefault="00F04481" w:rsidP="00800258">
            <w:pPr>
              <w:spacing w:line="360" w:lineRule="auto"/>
              <w:rPr>
                <w:rFonts w:ascii="Times New Roman" w:hAnsi="Times New Roman" w:cs="Times New Roman"/>
                <w:sz w:val="24"/>
                <w:szCs w:val="24"/>
              </w:rPr>
            </w:pPr>
          </w:p>
        </w:tc>
      </w:tr>
      <w:tr w:rsidR="00F04481" w14:paraId="5D7105E5" w14:textId="77777777" w:rsidTr="00800258">
        <w:tc>
          <w:tcPr>
            <w:tcW w:w="2610" w:type="dxa"/>
          </w:tcPr>
          <w:p w14:paraId="70290419"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 xml:space="preserve">0 (Control) </w:t>
            </w:r>
          </w:p>
        </w:tc>
        <w:tc>
          <w:tcPr>
            <w:tcW w:w="2752" w:type="dxa"/>
          </w:tcPr>
          <w:p w14:paraId="708F28D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52.16a</w:t>
            </w:r>
          </w:p>
        </w:tc>
        <w:tc>
          <w:tcPr>
            <w:tcW w:w="2943" w:type="dxa"/>
          </w:tcPr>
          <w:p w14:paraId="3F1FBB2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7.42a</w:t>
            </w:r>
          </w:p>
        </w:tc>
        <w:tc>
          <w:tcPr>
            <w:tcW w:w="2925" w:type="dxa"/>
          </w:tcPr>
          <w:p w14:paraId="3F5C377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6.94a</w:t>
            </w:r>
          </w:p>
        </w:tc>
        <w:tc>
          <w:tcPr>
            <w:tcW w:w="2324" w:type="dxa"/>
          </w:tcPr>
          <w:p w14:paraId="4FC897B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781.85a</w:t>
            </w:r>
          </w:p>
        </w:tc>
      </w:tr>
      <w:tr w:rsidR="00F04481" w14:paraId="66E130B8" w14:textId="77777777" w:rsidTr="00800258">
        <w:tc>
          <w:tcPr>
            <w:tcW w:w="2610" w:type="dxa"/>
          </w:tcPr>
          <w:p w14:paraId="53FC07CB"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150</w:t>
            </w:r>
          </w:p>
        </w:tc>
        <w:tc>
          <w:tcPr>
            <w:tcW w:w="2752" w:type="dxa"/>
          </w:tcPr>
          <w:p w14:paraId="06C3DC4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45.16b</w:t>
            </w:r>
          </w:p>
        </w:tc>
        <w:tc>
          <w:tcPr>
            <w:tcW w:w="2943" w:type="dxa"/>
          </w:tcPr>
          <w:p w14:paraId="22E647F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5.53b</w:t>
            </w:r>
          </w:p>
        </w:tc>
        <w:tc>
          <w:tcPr>
            <w:tcW w:w="2925" w:type="dxa"/>
          </w:tcPr>
          <w:p w14:paraId="7764979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5.17b</w:t>
            </w:r>
          </w:p>
        </w:tc>
        <w:tc>
          <w:tcPr>
            <w:tcW w:w="2324" w:type="dxa"/>
          </w:tcPr>
          <w:p w14:paraId="69185E2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515.19b</w:t>
            </w:r>
          </w:p>
        </w:tc>
      </w:tr>
      <w:tr w:rsidR="00F04481" w14:paraId="784C7777" w14:textId="77777777" w:rsidTr="00800258">
        <w:tc>
          <w:tcPr>
            <w:tcW w:w="2610" w:type="dxa"/>
          </w:tcPr>
          <w:p w14:paraId="6816FD46"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300</w:t>
            </w:r>
          </w:p>
        </w:tc>
        <w:tc>
          <w:tcPr>
            <w:tcW w:w="2752" w:type="dxa"/>
          </w:tcPr>
          <w:p w14:paraId="54FF5EF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41.83c</w:t>
            </w:r>
          </w:p>
        </w:tc>
        <w:tc>
          <w:tcPr>
            <w:tcW w:w="2943" w:type="dxa"/>
          </w:tcPr>
          <w:p w14:paraId="63EBF3B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4.44c</w:t>
            </w:r>
          </w:p>
        </w:tc>
        <w:tc>
          <w:tcPr>
            <w:tcW w:w="2925" w:type="dxa"/>
          </w:tcPr>
          <w:p w14:paraId="6DF18B3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4.16c</w:t>
            </w:r>
          </w:p>
        </w:tc>
        <w:tc>
          <w:tcPr>
            <w:tcW w:w="2324" w:type="dxa"/>
          </w:tcPr>
          <w:p w14:paraId="6676D81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385.08c</w:t>
            </w:r>
          </w:p>
        </w:tc>
      </w:tr>
      <w:tr w:rsidR="00F04481" w14:paraId="4AF5E1B4" w14:textId="77777777" w:rsidTr="00800258">
        <w:tc>
          <w:tcPr>
            <w:tcW w:w="2610" w:type="dxa"/>
          </w:tcPr>
          <w:p w14:paraId="28900844"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450</w:t>
            </w:r>
          </w:p>
        </w:tc>
        <w:tc>
          <w:tcPr>
            <w:tcW w:w="2752" w:type="dxa"/>
          </w:tcPr>
          <w:p w14:paraId="3899F23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35.83d</w:t>
            </w:r>
          </w:p>
        </w:tc>
        <w:tc>
          <w:tcPr>
            <w:tcW w:w="2943" w:type="dxa"/>
          </w:tcPr>
          <w:p w14:paraId="04EF10B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3.85d</w:t>
            </w:r>
          </w:p>
        </w:tc>
        <w:tc>
          <w:tcPr>
            <w:tcW w:w="2925" w:type="dxa"/>
          </w:tcPr>
          <w:p w14:paraId="625FF37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3.12d</w:t>
            </w:r>
          </w:p>
        </w:tc>
        <w:tc>
          <w:tcPr>
            <w:tcW w:w="2324" w:type="dxa"/>
          </w:tcPr>
          <w:p w14:paraId="160B4F8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282.91d</w:t>
            </w:r>
          </w:p>
        </w:tc>
      </w:tr>
      <w:tr w:rsidR="00F04481" w14:paraId="77BC52D2" w14:textId="77777777" w:rsidTr="00800258">
        <w:tc>
          <w:tcPr>
            <w:tcW w:w="2610" w:type="dxa"/>
          </w:tcPr>
          <w:p w14:paraId="55E08810"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G</w:t>
            </w:r>
          </w:p>
        </w:tc>
        <w:tc>
          <w:tcPr>
            <w:tcW w:w="2752" w:type="dxa"/>
          </w:tcPr>
          <w:p w14:paraId="21D0A73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5CAB441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3160FEA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711618A5"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04481" w14:paraId="1A569793" w14:textId="77777777" w:rsidTr="00800258">
        <w:tc>
          <w:tcPr>
            <w:tcW w:w="2610" w:type="dxa"/>
          </w:tcPr>
          <w:p w14:paraId="0EC23D40"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Fe</w:t>
            </w:r>
          </w:p>
        </w:tc>
        <w:tc>
          <w:tcPr>
            <w:tcW w:w="2752" w:type="dxa"/>
          </w:tcPr>
          <w:p w14:paraId="4CB4769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4235B35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212D73C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67BEB5F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04481" w14:paraId="1A8F865D" w14:textId="77777777" w:rsidTr="00800258">
        <w:tc>
          <w:tcPr>
            <w:tcW w:w="2610" w:type="dxa"/>
          </w:tcPr>
          <w:p w14:paraId="07019EA6"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G x Fe</w:t>
            </w:r>
          </w:p>
        </w:tc>
        <w:tc>
          <w:tcPr>
            <w:tcW w:w="2752" w:type="dxa"/>
          </w:tcPr>
          <w:p w14:paraId="642FFB4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1FC7BCB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4CA098B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480FA09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0F224D4B" w14:textId="1C347D62" w:rsidR="00F04481" w:rsidRDefault="00F04481" w:rsidP="00F044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Mean values with the letter (s) within column are not significantly different (</w:t>
      </w:r>
      <w:r w:rsidRPr="00FC4615">
        <w:rPr>
          <w:rFonts w:ascii="Times New Roman" w:hAnsi="Times New Roman" w:cs="Times New Roman"/>
          <w:i/>
          <w:iCs/>
          <w:sz w:val="24"/>
          <w:szCs w:val="24"/>
        </w:rPr>
        <w:t>p≤0.05</w:t>
      </w:r>
      <w:r>
        <w:rPr>
          <w:rFonts w:ascii="Times New Roman" w:hAnsi="Times New Roman" w:cs="Times New Roman"/>
          <w:sz w:val="24"/>
          <w:szCs w:val="24"/>
        </w:rPr>
        <w:t xml:space="preserve">) using Tukey’s Honest Significant Difference (HSD) Test.                                  ** = Highly </w:t>
      </w:r>
      <w:r w:rsidR="00B42DBA">
        <w:rPr>
          <w:rFonts w:ascii="Times New Roman" w:hAnsi="Times New Roman" w:cs="Times New Roman"/>
          <w:sz w:val="24"/>
          <w:szCs w:val="24"/>
        </w:rPr>
        <w:t>significant</w:t>
      </w:r>
      <w:r>
        <w:rPr>
          <w:rFonts w:ascii="Times New Roman" w:hAnsi="Times New Roman" w:cs="Times New Roman"/>
          <w:sz w:val="24"/>
          <w:szCs w:val="24"/>
        </w:rPr>
        <w:t xml:space="preserve"> difference (</w:t>
      </w:r>
      <w:r w:rsidRPr="00FC4615">
        <w:rPr>
          <w:rFonts w:ascii="Times New Roman" w:hAnsi="Times New Roman" w:cs="Times New Roman"/>
          <w:i/>
          <w:iCs/>
          <w:sz w:val="24"/>
          <w:szCs w:val="24"/>
        </w:rPr>
        <w:t>p≤0.05</w:t>
      </w:r>
      <w:r>
        <w:rPr>
          <w:rFonts w:ascii="Times New Roman" w:hAnsi="Times New Roman" w:cs="Times New Roman"/>
          <w:sz w:val="24"/>
          <w:szCs w:val="24"/>
        </w:rPr>
        <w:t>)</w:t>
      </w:r>
    </w:p>
    <w:p w14:paraId="31FBEFDE" w14:textId="77777777" w:rsidR="00F04481" w:rsidRDefault="00F04481" w:rsidP="00F04481">
      <w:pPr>
        <w:jc w:val="both"/>
        <w:rPr>
          <w:rFonts w:ascii="Arial" w:hAnsi="Arial" w:cs="Arial"/>
          <w:b/>
          <w:bCs/>
        </w:rPr>
        <w:sectPr w:rsidR="00F04481" w:rsidSect="000F25CF">
          <w:pgSz w:w="16838" w:h="11906" w:orient="landscape" w:code="9"/>
          <w:pgMar w:top="630" w:right="1440" w:bottom="1080" w:left="1440" w:header="720" w:footer="720" w:gutter="0"/>
          <w:cols w:space="720"/>
          <w:docGrid w:linePitch="360"/>
        </w:sectPr>
      </w:pPr>
    </w:p>
    <w:p w14:paraId="559662B7" w14:textId="7006E8A7" w:rsidR="00AC4576" w:rsidRPr="005D7219" w:rsidRDefault="00AC4576" w:rsidP="00AC4576">
      <w:pPr>
        <w:spacing w:line="240" w:lineRule="auto"/>
        <w:rPr>
          <w:rFonts w:ascii="Times New Roman" w:hAnsi="Times New Roman" w:cs="Times New Roman"/>
          <w:b/>
          <w:bCs/>
          <w:sz w:val="24"/>
          <w:szCs w:val="24"/>
        </w:rPr>
      </w:pPr>
      <w:r w:rsidRPr="005D721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5D7219">
        <w:rPr>
          <w:rFonts w:ascii="Times New Roman" w:hAnsi="Times New Roman" w:cs="Times New Roman"/>
          <w:b/>
          <w:bCs/>
          <w:sz w:val="24"/>
          <w:szCs w:val="24"/>
        </w:rPr>
        <w:t>: Interaction effect of iron toxicity and rice genotypes on the Final Germination Percentage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748"/>
        <w:gridCol w:w="2748"/>
        <w:gridCol w:w="2748"/>
        <w:gridCol w:w="1959"/>
      </w:tblGrid>
      <w:tr w:rsidR="00AC4576" w14:paraId="760435FB" w14:textId="77777777" w:rsidTr="00800258">
        <w:tc>
          <w:tcPr>
            <w:tcW w:w="2789" w:type="dxa"/>
            <w:tcBorders>
              <w:top w:val="single" w:sz="4" w:space="0" w:color="auto"/>
              <w:bottom w:val="single" w:sz="4" w:space="0" w:color="auto"/>
            </w:tcBorders>
          </w:tcPr>
          <w:p w14:paraId="0555E63E" w14:textId="77777777" w:rsidR="00AC4576" w:rsidRPr="005D7219" w:rsidRDefault="00AC4576" w:rsidP="00800258">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4B6E9CB5" w14:textId="77777777" w:rsidR="00AC4576" w:rsidRPr="005D7219" w:rsidRDefault="00AC4576" w:rsidP="00800258">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D7EB0D4"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3052B67E"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5D7219">
              <w:rPr>
                <w:rFonts w:ascii="Times New Roman" w:hAnsi="Times New Roman" w:cs="Times New Roman"/>
                <w:b/>
                <w:bCs/>
                <w:sz w:val="24"/>
                <w:szCs w:val="24"/>
              </w:rPr>
              <w:t>0 mg/L Fe</w:t>
            </w:r>
          </w:p>
        </w:tc>
        <w:tc>
          <w:tcPr>
            <w:tcW w:w="1982" w:type="dxa"/>
            <w:tcBorders>
              <w:top w:val="single" w:sz="4" w:space="0" w:color="auto"/>
              <w:bottom w:val="single" w:sz="4" w:space="0" w:color="auto"/>
            </w:tcBorders>
          </w:tcPr>
          <w:p w14:paraId="702FD4D0"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5D7219">
              <w:rPr>
                <w:rFonts w:ascii="Times New Roman" w:hAnsi="Times New Roman" w:cs="Times New Roman"/>
                <w:b/>
                <w:bCs/>
                <w:sz w:val="24"/>
                <w:szCs w:val="24"/>
              </w:rPr>
              <w:t>0 mg/L Fe</w:t>
            </w:r>
          </w:p>
        </w:tc>
      </w:tr>
      <w:tr w:rsidR="00AC4576" w14:paraId="19069C64" w14:textId="77777777" w:rsidTr="00800258">
        <w:tc>
          <w:tcPr>
            <w:tcW w:w="2789" w:type="dxa"/>
            <w:tcBorders>
              <w:top w:val="single" w:sz="4" w:space="0" w:color="auto"/>
            </w:tcBorders>
          </w:tcPr>
          <w:p w14:paraId="1A97D94B"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4E77D68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Borders>
              <w:top w:val="single" w:sz="4" w:space="0" w:color="auto"/>
            </w:tcBorders>
          </w:tcPr>
          <w:p w14:paraId="666CFEE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Borders>
              <w:top w:val="single" w:sz="4" w:space="0" w:color="auto"/>
            </w:tcBorders>
          </w:tcPr>
          <w:p w14:paraId="7E7C07A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Borders>
              <w:top w:val="single" w:sz="4" w:space="0" w:color="auto"/>
            </w:tcBorders>
          </w:tcPr>
          <w:p w14:paraId="773DCDA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23de</w:t>
            </w:r>
          </w:p>
        </w:tc>
      </w:tr>
      <w:tr w:rsidR="00AC4576" w14:paraId="64E48CE3" w14:textId="77777777" w:rsidTr="00800258">
        <w:tc>
          <w:tcPr>
            <w:tcW w:w="2789" w:type="dxa"/>
          </w:tcPr>
          <w:p w14:paraId="2DAA6865"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7D73A9C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5945353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33de</w:t>
            </w:r>
          </w:p>
        </w:tc>
        <w:tc>
          <w:tcPr>
            <w:tcW w:w="2790" w:type="dxa"/>
          </w:tcPr>
          <w:p w14:paraId="4F1898C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1982" w:type="dxa"/>
          </w:tcPr>
          <w:p w14:paraId="7DA959B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AC4576" w14:paraId="53940821" w14:textId="77777777" w:rsidTr="00800258">
        <w:tc>
          <w:tcPr>
            <w:tcW w:w="2789" w:type="dxa"/>
          </w:tcPr>
          <w:p w14:paraId="2EFDC997"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592B79A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41c</w:t>
            </w:r>
          </w:p>
        </w:tc>
        <w:tc>
          <w:tcPr>
            <w:tcW w:w="2790" w:type="dxa"/>
          </w:tcPr>
          <w:p w14:paraId="73E5CBC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51C8B87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25ef</w:t>
            </w:r>
          </w:p>
        </w:tc>
        <w:tc>
          <w:tcPr>
            <w:tcW w:w="1982" w:type="dxa"/>
          </w:tcPr>
          <w:p w14:paraId="1C5A69A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r>
      <w:tr w:rsidR="00AC4576" w14:paraId="5067E163" w14:textId="77777777" w:rsidTr="00800258">
        <w:tc>
          <w:tcPr>
            <w:tcW w:w="2789" w:type="dxa"/>
          </w:tcPr>
          <w:p w14:paraId="7108B95F"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76BC541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31F3DE3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Pr>
          <w:p w14:paraId="73A18DD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Pr>
          <w:p w14:paraId="17CA8BF5"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AC4576" w14:paraId="57D2B493" w14:textId="77777777" w:rsidTr="00800258">
        <w:tc>
          <w:tcPr>
            <w:tcW w:w="2789" w:type="dxa"/>
          </w:tcPr>
          <w:p w14:paraId="3C3E7353"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42DB014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66CC0D1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3D1F8D44"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1982" w:type="dxa"/>
          </w:tcPr>
          <w:p w14:paraId="7E7B35F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83ab</w:t>
            </w:r>
          </w:p>
        </w:tc>
      </w:tr>
      <w:tr w:rsidR="00AC4576" w14:paraId="70FEE665" w14:textId="77777777" w:rsidTr="00800258">
        <w:tc>
          <w:tcPr>
            <w:tcW w:w="2789" w:type="dxa"/>
          </w:tcPr>
          <w:p w14:paraId="496655E0"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5F9507B"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33d</w:t>
            </w:r>
          </w:p>
        </w:tc>
        <w:tc>
          <w:tcPr>
            <w:tcW w:w="2790" w:type="dxa"/>
          </w:tcPr>
          <w:p w14:paraId="7891844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018C92E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23f</w:t>
            </w:r>
          </w:p>
        </w:tc>
        <w:tc>
          <w:tcPr>
            <w:tcW w:w="1982" w:type="dxa"/>
          </w:tcPr>
          <w:p w14:paraId="08EC6C2E"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13f</w:t>
            </w:r>
          </w:p>
        </w:tc>
      </w:tr>
      <w:tr w:rsidR="00AC4576" w14:paraId="094DD7DD" w14:textId="77777777" w:rsidTr="00800258">
        <w:tc>
          <w:tcPr>
            <w:tcW w:w="2789" w:type="dxa"/>
          </w:tcPr>
          <w:p w14:paraId="7DD9932E"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1EF0564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0529CFE9"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2790" w:type="dxa"/>
          </w:tcPr>
          <w:p w14:paraId="3019DE6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1982" w:type="dxa"/>
          </w:tcPr>
          <w:p w14:paraId="6B752D0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85a</w:t>
            </w:r>
          </w:p>
        </w:tc>
      </w:tr>
      <w:tr w:rsidR="00AC4576" w14:paraId="42CE42D7" w14:textId="77777777" w:rsidTr="00800258">
        <w:tc>
          <w:tcPr>
            <w:tcW w:w="2789" w:type="dxa"/>
          </w:tcPr>
          <w:p w14:paraId="0A5EFD40"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79262A0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Pr>
          <w:p w14:paraId="482868E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37cd</w:t>
            </w:r>
          </w:p>
        </w:tc>
        <w:tc>
          <w:tcPr>
            <w:tcW w:w="2790" w:type="dxa"/>
          </w:tcPr>
          <w:p w14:paraId="514E201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35cd</w:t>
            </w:r>
          </w:p>
        </w:tc>
        <w:tc>
          <w:tcPr>
            <w:tcW w:w="1982" w:type="dxa"/>
          </w:tcPr>
          <w:p w14:paraId="3D3203F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29cd</w:t>
            </w:r>
          </w:p>
        </w:tc>
      </w:tr>
      <w:tr w:rsidR="00AC4576" w14:paraId="57A16C55" w14:textId="77777777" w:rsidTr="00800258">
        <w:tc>
          <w:tcPr>
            <w:tcW w:w="2789" w:type="dxa"/>
          </w:tcPr>
          <w:p w14:paraId="7DE70978"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236338DB"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49b</w:t>
            </w:r>
          </w:p>
        </w:tc>
        <w:tc>
          <w:tcPr>
            <w:tcW w:w="2790" w:type="dxa"/>
          </w:tcPr>
          <w:p w14:paraId="3088F19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43c</w:t>
            </w:r>
          </w:p>
        </w:tc>
        <w:tc>
          <w:tcPr>
            <w:tcW w:w="2790" w:type="dxa"/>
          </w:tcPr>
          <w:p w14:paraId="10A8108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39c</w:t>
            </w:r>
          </w:p>
        </w:tc>
        <w:tc>
          <w:tcPr>
            <w:tcW w:w="1982" w:type="dxa"/>
          </w:tcPr>
          <w:p w14:paraId="1A8E13F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31c</w:t>
            </w:r>
          </w:p>
        </w:tc>
      </w:tr>
      <w:tr w:rsidR="00AC4576" w14:paraId="4C937455" w14:textId="77777777" w:rsidTr="00800258">
        <w:tc>
          <w:tcPr>
            <w:tcW w:w="2789" w:type="dxa"/>
          </w:tcPr>
          <w:p w14:paraId="66C5E526"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50F4CEB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5AAA987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5DA72B1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13g</w:t>
            </w:r>
          </w:p>
        </w:tc>
        <w:tc>
          <w:tcPr>
            <w:tcW w:w="1982" w:type="dxa"/>
          </w:tcPr>
          <w:p w14:paraId="712C53B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AC4576" w14:paraId="3C6413FE" w14:textId="77777777" w:rsidTr="00800258">
        <w:tc>
          <w:tcPr>
            <w:tcW w:w="2789" w:type="dxa"/>
          </w:tcPr>
          <w:p w14:paraId="4FE2C236"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49416995"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6D7C5C6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56F1F57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15g</w:t>
            </w:r>
          </w:p>
        </w:tc>
        <w:tc>
          <w:tcPr>
            <w:tcW w:w="1982" w:type="dxa"/>
          </w:tcPr>
          <w:p w14:paraId="1B62E7D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AC4576" w14:paraId="1DECBBAC" w14:textId="77777777" w:rsidTr="00800258">
        <w:tc>
          <w:tcPr>
            <w:tcW w:w="2789" w:type="dxa"/>
          </w:tcPr>
          <w:p w14:paraId="665FD3A8"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0547D2D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2790" w:type="dxa"/>
          </w:tcPr>
          <w:p w14:paraId="2F6F35E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85b</w:t>
            </w:r>
          </w:p>
        </w:tc>
        <w:tc>
          <w:tcPr>
            <w:tcW w:w="2790" w:type="dxa"/>
          </w:tcPr>
          <w:p w14:paraId="5874A00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79b</w:t>
            </w:r>
          </w:p>
        </w:tc>
        <w:tc>
          <w:tcPr>
            <w:tcW w:w="1982" w:type="dxa"/>
          </w:tcPr>
          <w:p w14:paraId="0D2D4CE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77b</w:t>
            </w:r>
          </w:p>
        </w:tc>
      </w:tr>
      <w:tr w:rsidR="00AC4576" w14:paraId="22A51A39" w14:textId="77777777" w:rsidTr="00800258">
        <w:tc>
          <w:tcPr>
            <w:tcW w:w="2789" w:type="dxa"/>
          </w:tcPr>
          <w:p w14:paraId="1DE88955" w14:textId="77777777" w:rsidR="00AC4576" w:rsidRPr="006B220C" w:rsidRDefault="00AC4576" w:rsidP="00800258">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7CE93F2B"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B2944CB"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940D014"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1982" w:type="dxa"/>
          </w:tcPr>
          <w:p w14:paraId="667B48CF"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r>
    </w:tbl>
    <w:p w14:paraId="32EBBB33" w14:textId="49562CFB" w:rsidR="00AC4576" w:rsidRDefault="00AC4576" w:rsidP="00AC457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Mean values with the letter (s) within column are not significantly different (</w:t>
      </w:r>
      <w:r w:rsidR="00CF2EE1" w:rsidRPr="00836358">
        <w:rPr>
          <w:rFonts w:ascii="Times New Roman" w:hAnsi="Times New Roman" w:cs="Times New Roman"/>
          <w:i/>
          <w:iCs/>
          <w:sz w:val="24"/>
          <w:szCs w:val="24"/>
        </w:rPr>
        <w:t>P</w:t>
      </w:r>
      <w:r w:rsidRPr="00836358">
        <w:rPr>
          <w:rFonts w:ascii="Times New Roman" w:hAnsi="Times New Roman" w:cs="Times New Roman"/>
          <w:i/>
          <w:iCs/>
          <w:sz w:val="24"/>
          <w:szCs w:val="24"/>
        </w:rPr>
        <w:t>≤0.05</w:t>
      </w:r>
      <w:r>
        <w:rPr>
          <w:rFonts w:ascii="Times New Roman" w:hAnsi="Times New Roman" w:cs="Times New Roman"/>
          <w:sz w:val="24"/>
          <w:szCs w:val="24"/>
        </w:rPr>
        <w:t>) using Tukey</w:t>
      </w:r>
      <w:r w:rsidR="00F613F8">
        <w:rPr>
          <w:rFonts w:ascii="Times New Roman" w:hAnsi="Times New Roman" w:cs="Times New Roman"/>
          <w:sz w:val="24"/>
          <w:szCs w:val="24"/>
        </w:rPr>
        <w:t>’s</w:t>
      </w:r>
      <w:r>
        <w:rPr>
          <w:rFonts w:ascii="Times New Roman" w:hAnsi="Times New Roman" w:cs="Times New Roman"/>
          <w:sz w:val="24"/>
          <w:szCs w:val="24"/>
        </w:rPr>
        <w:t xml:space="preserve"> Honest Significant Difference (HSD) Test.</w:t>
      </w:r>
    </w:p>
    <w:p w14:paraId="59C569BD" w14:textId="3881719D" w:rsidR="00F04481" w:rsidRDefault="00F04481" w:rsidP="0071488C">
      <w:pPr>
        <w:jc w:val="both"/>
        <w:rPr>
          <w:rFonts w:ascii="Arial" w:hAnsi="Arial" w:cs="Arial"/>
          <w:b/>
          <w:bCs/>
        </w:rPr>
      </w:pPr>
    </w:p>
    <w:p w14:paraId="37E8930C" w14:textId="77777777" w:rsidR="008820E5" w:rsidRDefault="008820E5" w:rsidP="0071488C">
      <w:pPr>
        <w:jc w:val="both"/>
        <w:rPr>
          <w:rFonts w:ascii="Arial" w:hAnsi="Arial" w:cs="Arial"/>
          <w:b/>
          <w:bCs/>
        </w:rPr>
        <w:sectPr w:rsidR="008820E5" w:rsidSect="00F04481">
          <w:pgSz w:w="15840" w:h="12240" w:orient="landscape"/>
          <w:pgMar w:top="1440" w:right="1440" w:bottom="1440" w:left="1440" w:header="720" w:footer="720" w:gutter="0"/>
          <w:cols w:space="720"/>
          <w:docGrid w:linePitch="360"/>
        </w:sectPr>
      </w:pPr>
    </w:p>
    <w:p w14:paraId="3319771F" w14:textId="4ED9FF26" w:rsidR="0071488C" w:rsidRPr="00CC456C" w:rsidRDefault="00783413" w:rsidP="0071488C">
      <w:pPr>
        <w:jc w:val="both"/>
        <w:rPr>
          <w:rFonts w:ascii="Arial" w:hAnsi="Arial" w:cs="Arial"/>
          <w:b/>
          <w:bCs/>
          <w:sz w:val="20"/>
          <w:szCs w:val="20"/>
        </w:rPr>
      </w:pPr>
      <w:r>
        <w:rPr>
          <w:rFonts w:ascii="Arial" w:hAnsi="Arial" w:cs="Arial"/>
          <w:b/>
          <w:bCs/>
          <w:sz w:val="20"/>
          <w:szCs w:val="20"/>
        </w:rPr>
        <w:lastRenderedPageBreak/>
        <w:t xml:space="preserve">3.1.2 </w:t>
      </w:r>
      <w:r w:rsidR="0071488C" w:rsidRPr="00CC456C">
        <w:rPr>
          <w:rFonts w:ascii="Arial" w:hAnsi="Arial" w:cs="Arial"/>
          <w:b/>
          <w:bCs/>
          <w:sz w:val="20"/>
          <w:szCs w:val="20"/>
        </w:rPr>
        <w:t>Plumule Length (cm)</w:t>
      </w:r>
    </w:p>
    <w:p w14:paraId="72FBAE42" w14:textId="5746D02E" w:rsidR="0071488C" w:rsidRPr="00CC456C" w:rsidRDefault="0071488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revealed a highly significant variation (</w:t>
      </w:r>
      <w:r w:rsidR="00CC456C" w:rsidRPr="00CC456C">
        <w:rPr>
          <w:rFonts w:ascii="Arial" w:hAnsi="Arial" w:cs="Arial"/>
          <w:i/>
          <w:iCs/>
          <w:sz w:val="20"/>
          <w:szCs w:val="20"/>
        </w:rPr>
        <w:t>P</w:t>
      </w:r>
      <w:r w:rsidRPr="00CC456C">
        <w:rPr>
          <w:rFonts w:ascii="Arial" w:hAnsi="Arial" w:cs="Arial"/>
          <w:i/>
          <w:iCs/>
          <w:sz w:val="20"/>
          <w:szCs w:val="20"/>
        </w:rPr>
        <w:t>≤0.01</w:t>
      </w:r>
      <w:r w:rsidRPr="00CC456C">
        <w:rPr>
          <w:rFonts w:ascii="Arial" w:hAnsi="Arial" w:cs="Arial"/>
          <w:sz w:val="20"/>
          <w:szCs w:val="20"/>
        </w:rPr>
        <w:t>) for the plumule length (</w:t>
      </w:r>
      <w:r w:rsidR="00836358" w:rsidRPr="00CC456C">
        <w:rPr>
          <w:rFonts w:ascii="Arial" w:hAnsi="Arial" w:cs="Arial"/>
          <w:sz w:val="20"/>
          <w:szCs w:val="20"/>
        </w:rPr>
        <w:t>Table 3</w:t>
      </w:r>
      <w:r w:rsidRPr="00CC456C">
        <w:rPr>
          <w:rFonts w:ascii="Arial" w:hAnsi="Arial" w:cs="Arial"/>
          <w:sz w:val="20"/>
          <w:szCs w:val="20"/>
        </w:rPr>
        <w:t>). Under non-toxic conditions (control), FARO 50 (101.12 cm) and FARO 52 (9.85 cm) had the longest plumule length, which was statistically similar to SUAKOKO 8 (8.80 cm). Conversely, FARO 33 (4.30 cm) had the shortest plumule length, which was not substantially different from FARO 26 (4.85 cm). At a 300 mg/L Fe concentration, FARO 50 (8.30 cm) and FARO 52 (7.90 cm) had the longest plumule length, while FARO 33 (3.95 cm) had the shortest plumule length, which was not substantially different from FARO 26 (4.07 cm). At 450 mg/L Fe concentration, there was a sharp decline in the plumule length. FARO 52 (5.95 cm) had the longest plumule length, which was statistically similar to FARO 50 (5.72 cm), while FARO 33 (3.37 cm) had the shortest plumule length. At 600 mg/L Fe concentration, FARO 52 (5.27 cm) had the longest plumule length, whereas FARO 33 (2.5 cm) had the shortest plumule length.</w:t>
      </w:r>
    </w:p>
    <w:p w14:paraId="4D7519DB" w14:textId="77777777" w:rsidR="000B4A2C" w:rsidRDefault="000B4A2C" w:rsidP="0071488C">
      <w:pPr>
        <w:jc w:val="both"/>
        <w:rPr>
          <w:rFonts w:ascii="Times New Roman" w:hAnsi="Times New Roman" w:cs="Times New Roman"/>
          <w:b/>
          <w:bCs/>
          <w:sz w:val="24"/>
          <w:szCs w:val="24"/>
        </w:rPr>
      </w:pPr>
    </w:p>
    <w:p w14:paraId="3012EB3D" w14:textId="11D45EA2" w:rsidR="000B4A2C" w:rsidRDefault="000B4A2C" w:rsidP="0071488C">
      <w:pPr>
        <w:jc w:val="both"/>
        <w:rPr>
          <w:rFonts w:ascii="Times New Roman" w:hAnsi="Times New Roman" w:cs="Times New Roman"/>
          <w:b/>
          <w:bCs/>
          <w:sz w:val="24"/>
          <w:szCs w:val="24"/>
        </w:rPr>
      </w:pPr>
    </w:p>
    <w:p w14:paraId="415F7770" w14:textId="2DB2E59B" w:rsidR="000B4A2C" w:rsidRDefault="000B4A2C" w:rsidP="0071488C">
      <w:pPr>
        <w:jc w:val="both"/>
        <w:rPr>
          <w:rFonts w:ascii="Times New Roman" w:hAnsi="Times New Roman" w:cs="Times New Roman"/>
          <w:b/>
          <w:bCs/>
          <w:sz w:val="24"/>
          <w:szCs w:val="24"/>
        </w:rPr>
      </w:pPr>
    </w:p>
    <w:p w14:paraId="6CA245B4" w14:textId="77777777" w:rsidR="004E096C" w:rsidRDefault="004E096C" w:rsidP="0071488C">
      <w:pPr>
        <w:jc w:val="both"/>
        <w:rPr>
          <w:rFonts w:ascii="Times New Roman" w:hAnsi="Times New Roman" w:cs="Times New Roman"/>
          <w:b/>
          <w:bCs/>
          <w:sz w:val="24"/>
          <w:szCs w:val="24"/>
        </w:rPr>
      </w:pPr>
    </w:p>
    <w:p w14:paraId="5ED3B32E" w14:textId="77777777" w:rsidR="00F04481" w:rsidRDefault="00F04481" w:rsidP="0071488C">
      <w:pPr>
        <w:jc w:val="both"/>
        <w:rPr>
          <w:rFonts w:ascii="Times New Roman" w:hAnsi="Times New Roman" w:cs="Times New Roman"/>
          <w:b/>
          <w:bCs/>
          <w:sz w:val="24"/>
          <w:szCs w:val="24"/>
        </w:rPr>
      </w:pPr>
    </w:p>
    <w:p w14:paraId="2C8FDC02" w14:textId="77777777" w:rsidR="00F04481" w:rsidRDefault="00F04481" w:rsidP="0071488C">
      <w:pPr>
        <w:jc w:val="both"/>
        <w:rPr>
          <w:rFonts w:ascii="Times New Roman" w:hAnsi="Times New Roman" w:cs="Times New Roman"/>
          <w:b/>
          <w:bCs/>
          <w:sz w:val="24"/>
          <w:szCs w:val="24"/>
        </w:rPr>
      </w:pPr>
    </w:p>
    <w:p w14:paraId="35B13B98" w14:textId="77777777" w:rsidR="00F04481" w:rsidRDefault="00F04481" w:rsidP="0071488C">
      <w:pPr>
        <w:jc w:val="both"/>
        <w:rPr>
          <w:rFonts w:ascii="Times New Roman" w:hAnsi="Times New Roman" w:cs="Times New Roman"/>
          <w:b/>
          <w:bCs/>
          <w:sz w:val="24"/>
          <w:szCs w:val="24"/>
        </w:rPr>
      </w:pPr>
    </w:p>
    <w:p w14:paraId="462FA609" w14:textId="77777777" w:rsidR="00F04481" w:rsidRDefault="00F04481" w:rsidP="0071488C">
      <w:pPr>
        <w:jc w:val="both"/>
        <w:rPr>
          <w:rFonts w:ascii="Times New Roman" w:hAnsi="Times New Roman" w:cs="Times New Roman"/>
          <w:b/>
          <w:bCs/>
          <w:sz w:val="24"/>
          <w:szCs w:val="24"/>
        </w:rPr>
      </w:pPr>
    </w:p>
    <w:p w14:paraId="2E2A5C30" w14:textId="77777777" w:rsidR="00F04481" w:rsidRDefault="00F04481" w:rsidP="0071488C">
      <w:pPr>
        <w:jc w:val="both"/>
        <w:rPr>
          <w:rFonts w:ascii="Times New Roman" w:hAnsi="Times New Roman" w:cs="Times New Roman"/>
          <w:b/>
          <w:bCs/>
          <w:sz w:val="24"/>
          <w:szCs w:val="24"/>
        </w:rPr>
      </w:pPr>
    </w:p>
    <w:p w14:paraId="6360ECDF" w14:textId="77777777" w:rsidR="008820E5" w:rsidRDefault="008820E5" w:rsidP="00F04481">
      <w:pPr>
        <w:spacing w:line="240" w:lineRule="auto"/>
        <w:jc w:val="both"/>
        <w:rPr>
          <w:rFonts w:ascii="Times New Roman" w:hAnsi="Times New Roman" w:cs="Times New Roman"/>
          <w:b/>
          <w:bCs/>
          <w:sz w:val="24"/>
          <w:szCs w:val="24"/>
        </w:rPr>
      </w:pPr>
    </w:p>
    <w:p w14:paraId="02B9F940" w14:textId="77777777" w:rsidR="008820E5" w:rsidRDefault="008820E5" w:rsidP="00F04481">
      <w:pPr>
        <w:spacing w:line="240" w:lineRule="auto"/>
        <w:jc w:val="both"/>
        <w:rPr>
          <w:rFonts w:ascii="Times New Roman" w:hAnsi="Times New Roman" w:cs="Times New Roman"/>
          <w:b/>
          <w:bCs/>
          <w:sz w:val="24"/>
          <w:szCs w:val="24"/>
        </w:rPr>
      </w:pPr>
    </w:p>
    <w:p w14:paraId="78FA5589" w14:textId="77777777" w:rsidR="008820E5" w:rsidRDefault="008820E5" w:rsidP="00F04481">
      <w:pPr>
        <w:spacing w:line="240" w:lineRule="auto"/>
        <w:jc w:val="both"/>
        <w:rPr>
          <w:rFonts w:ascii="Times New Roman" w:hAnsi="Times New Roman" w:cs="Times New Roman"/>
          <w:b/>
          <w:bCs/>
          <w:sz w:val="24"/>
          <w:szCs w:val="24"/>
        </w:rPr>
      </w:pPr>
    </w:p>
    <w:p w14:paraId="26C6A0A7" w14:textId="77777777" w:rsidR="008820E5" w:rsidRDefault="008820E5" w:rsidP="00F04481">
      <w:pPr>
        <w:spacing w:line="240" w:lineRule="auto"/>
        <w:jc w:val="both"/>
        <w:rPr>
          <w:rFonts w:ascii="Times New Roman" w:hAnsi="Times New Roman" w:cs="Times New Roman"/>
          <w:b/>
          <w:bCs/>
          <w:sz w:val="24"/>
          <w:szCs w:val="24"/>
        </w:rPr>
      </w:pPr>
    </w:p>
    <w:p w14:paraId="0CD7712B" w14:textId="77777777" w:rsidR="008820E5" w:rsidRDefault="008820E5" w:rsidP="00F04481">
      <w:pPr>
        <w:spacing w:line="240" w:lineRule="auto"/>
        <w:jc w:val="both"/>
        <w:rPr>
          <w:rFonts w:ascii="Times New Roman" w:hAnsi="Times New Roman" w:cs="Times New Roman"/>
          <w:b/>
          <w:bCs/>
          <w:sz w:val="24"/>
          <w:szCs w:val="24"/>
        </w:rPr>
      </w:pPr>
    </w:p>
    <w:p w14:paraId="23570653" w14:textId="77777777" w:rsidR="008820E5" w:rsidRDefault="008820E5" w:rsidP="00F04481">
      <w:pPr>
        <w:spacing w:line="240" w:lineRule="auto"/>
        <w:jc w:val="both"/>
        <w:rPr>
          <w:rFonts w:ascii="Times New Roman" w:hAnsi="Times New Roman" w:cs="Times New Roman"/>
          <w:b/>
          <w:bCs/>
          <w:sz w:val="24"/>
          <w:szCs w:val="24"/>
        </w:rPr>
        <w:sectPr w:rsidR="008820E5" w:rsidSect="008820E5">
          <w:pgSz w:w="12240" w:h="15840"/>
          <w:pgMar w:top="1440" w:right="1440" w:bottom="1440" w:left="1440" w:header="720" w:footer="720" w:gutter="0"/>
          <w:cols w:space="720"/>
          <w:docGrid w:linePitch="360"/>
        </w:sectPr>
      </w:pPr>
    </w:p>
    <w:p w14:paraId="2CD506E8" w14:textId="3A3086DC" w:rsidR="00F04481" w:rsidRPr="006C1707" w:rsidRDefault="00F04481" w:rsidP="00F04481">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4152BC">
        <w:rPr>
          <w:rFonts w:ascii="Times New Roman" w:hAnsi="Times New Roman" w:cs="Times New Roman"/>
          <w:b/>
          <w:bCs/>
          <w:sz w:val="24"/>
          <w:szCs w:val="24"/>
        </w:rPr>
        <w:t>3</w:t>
      </w:r>
      <w:r w:rsidRPr="006C1707">
        <w:rPr>
          <w:rFonts w:ascii="Times New Roman" w:hAnsi="Times New Roman" w:cs="Times New Roman"/>
          <w:b/>
          <w:bCs/>
          <w:sz w:val="24"/>
          <w:szCs w:val="24"/>
        </w:rPr>
        <w:t>: Interaction effect of iron toxicity and rice genotypes on the Plumule length (cm)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2768"/>
        <w:gridCol w:w="2769"/>
        <w:gridCol w:w="2769"/>
        <w:gridCol w:w="1882"/>
      </w:tblGrid>
      <w:tr w:rsidR="00F04481" w:rsidRPr="006C1707" w14:paraId="02C29389" w14:textId="77777777" w:rsidTr="00800258">
        <w:tc>
          <w:tcPr>
            <w:tcW w:w="2789" w:type="dxa"/>
            <w:tcBorders>
              <w:top w:val="single" w:sz="4" w:space="0" w:color="auto"/>
              <w:bottom w:val="single" w:sz="4" w:space="0" w:color="auto"/>
            </w:tcBorders>
          </w:tcPr>
          <w:p w14:paraId="0376B5A5" w14:textId="77777777" w:rsidR="00F04481" w:rsidRPr="006C1707" w:rsidRDefault="00F04481"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7C2339BA" w14:textId="77777777" w:rsidR="00F04481" w:rsidRPr="006C1707" w:rsidRDefault="00F04481"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E6A9D03"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0B167374"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7757EA40"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F04481" w14:paraId="332F76E6" w14:textId="77777777" w:rsidTr="00800258">
        <w:tc>
          <w:tcPr>
            <w:tcW w:w="2789" w:type="dxa"/>
            <w:tcBorders>
              <w:top w:val="single" w:sz="4" w:space="0" w:color="auto"/>
            </w:tcBorders>
          </w:tcPr>
          <w:p w14:paraId="7DA2B307"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65BAFF9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7.37c</w:t>
            </w:r>
          </w:p>
        </w:tc>
        <w:tc>
          <w:tcPr>
            <w:tcW w:w="2790" w:type="dxa"/>
            <w:tcBorders>
              <w:top w:val="single" w:sz="4" w:space="0" w:color="auto"/>
            </w:tcBorders>
          </w:tcPr>
          <w:p w14:paraId="51EC31E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4.87cd</w:t>
            </w:r>
          </w:p>
        </w:tc>
        <w:tc>
          <w:tcPr>
            <w:tcW w:w="2790" w:type="dxa"/>
            <w:tcBorders>
              <w:top w:val="single" w:sz="4" w:space="0" w:color="auto"/>
            </w:tcBorders>
          </w:tcPr>
          <w:p w14:paraId="6D44246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4.02c</w:t>
            </w:r>
          </w:p>
        </w:tc>
        <w:tc>
          <w:tcPr>
            <w:tcW w:w="1892" w:type="dxa"/>
            <w:tcBorders>
              <w:top w:val="single" w:sz="4" w:space="0" w:color="auto"/>
            </w:tcBorders>
          </w:tcPr>
          <w:p w14:paraId="6A35F61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3.75c</w:t>
            </w:r>
          </w:p>
        </w:tc>
      </w:tr>
      <w:tr w:rsidR="00F04481" w14:paraId="5B16ED41" w14:textId="77777777" w:rsidTr="00800258">
        <w:tc>
          <w:tcPr>
            <w:tcW w:w="2789" w:type="dxa"/>
          </w:tcPr>
          <w:p w14:paraId="3EF13085"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45DF256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7.87bc</w:t>
            </w:r>
          </w:p>
        </w:tc>
        <w:tc>
          <w:tcPr>
            <w:tcW w:w="2790" w:type="dxa"/>
          </w:tcPr>
          <w:p w14:paraId="1CAB888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5.10bcd</w:t>
            </w:r>
          </w:p>
        </w:tc>
        <w:tc>
          <w:tcPr>
            <w:tcW w:w="2790" w:type="dxa"/>
          </w:tcPr>
          <w:p w14:paraId="7BA1C39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4.57bc</w:t>
            </w:r>
          </w:p>
        </w:tc>
        <w:tc>
          <w:tcPr>
            <w:tcW w:w="1892" w:type="dxa"/>
          </w:tcPr>
          <w:p w14:paraId="07DA41B2"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4.12abc</w:t>
            </w:r>
          </w:p>
        </w:tc>
      </w:tr>
      <w:tr w:rsidR="00F04481" w14:paraId="0543E005" w14:textId="77777777" w:rsidTr="00800258">
        <w:tc>
          <w:tcPr>
            <w:tcW w:w="2789" w:type="dxa"/>
          </w:tcPr>
          <w:p w14:paraId="1998BB2B"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13513152"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8.80ab</w:t>
            </w:r>
          </w:p>
        </w:tc>
        <w:tc>
          <w:tcPr>
            <w:tcW w:w="2790" w:type="dxa"/>
          </w:tcPr>
          <w:p w14:paraId="2CDDE251"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4.92cd</w:t>
            </w:r>
          </w:p>
        </w:tc>
        <w:tc>
          <w:tcPr>
            <w:tcW w:w="2790" w:type="dxa"/>
          </w:tcPr>
          <w:p w14:paraId="57401AD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4.05c</w:t>
            </w:r>
          </w:p>
        </w:tc>
        <w:tc>
          <w:tcPr>
            <w:tcW w:w="1892" w:type="dxa"/>
          </w:tcPr>
          <w:p w14:paraId="5153572B"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3.75c</w:t>
            </w:r>
          </w:p>
        </w:tc>
      </w:tr>
      <w:tr w:rsidR="00F04481" w14:paraId="4509DC7C" w14:textId="77777777" w:rsidTr="00800258">
        <w:tc>
          <w:tcPr>
            <w:tcW w:w="2789" w:type="dxa"/>
          </w:tcPr>
          <w:p w14:paraId="17F5D9AA"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4DAC0AE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7.62bc</w:t>
            </w:r>
          </w:p>
        </w:tc>
        <w:tc>
          <w:tcPr>
            <w:tcW w:w="2790" w:type="dxa"/>
          </w:tcPr>
          <w:p w14:paraId="5C2BFA7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5.50bc</w:t>
            </w:r>
          </w:p>
        </w:tc>
        <w:tc>
          <w:tcPr>
            <w:tcW w:w="2790" w:type="dxa"/>
          </w:tcPr>
          <w:p w14:paraId="1E34954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4.40bc</w:t>
            </w:r>
          </w:p>
        </w:tc>
        <w:tc>
          <w:tcPr>
            <w:tcW w:w="1892" w:type="dxa"/>
          </w:tcPr>
          <w:p w14:paraId="62507E4B"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3.55c</w:t>
            </w:r>
          </w:p>
        </w:tc>
      </w:tr>
      <w:tr w:rsidR="00F04481" w14:paraId="79337E4E" w14:textId="77777777" w:rsidTr="00800258">
        <w:tc>
          <w:tcPr>
            <w:tcW w:w="2789" w:type="dxa"/>
          </w:tcPr>
          <w:p w14:paraId="265C67B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4203120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10.12a</w:t>
            </w:r>
          </w:p>
        </w:tc>
        <w:tc>
          <w:tcPr>
            <w:tcW w:w="2790" w:type="dxa"/>
          </w:tcPr>
          <w:p w14:paraId="0AD73B6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8.30a</w:t>
            </w:r>
          </w:p>
        </w:tc>
        <w:tc>
          <w:tcPr>
            <w:tcW w:w="2790" w:type="dxa"/>
          </w:tcPr>
          <w:p w14:paraId="7E0EECB4"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5.72ab</w:t>
            </w:r>
          </w:p>
        </w:tc>
        <w:tc>
          <w:tcPr>
            <w:tcW w:w="1892" w:type="dxa"/>
          </w:tcPr>
          <w:p w14:paraId="1D9BB31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5.12ab</w:t>
            </w:r>
          </w:p>
        </w:tc>
      </w:tr>
      <w:tr w:rsidR="00F04481" w14:paraId="4F25DF75" w14:textId="77777777" w:rsidTr="00800258">
        <w:tc>
          <w:tcPr>
            <w:tcW w:w="2789" w:type="dxa"/>
          </w:tcPr>
          <w:p w14:paraId="47817291"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4C1504C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6.95c</w:t>
            </w:r>
          </w:p>
        </w:tc>
        <w:tc>
          <w:tcPr>
            <w:tcW w:w="2790" w:type="dxa"/>
          </w:tcPr>
          <w:p w14:paraId="5D6654C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5.50bc</w:t>
            </w:r>
          </w:p>
        </w:tc>
        <w:tc>
          <w:tcPr>
            <w:tcW w:w="2790" w:type="dxa"/>
          </w:tcPr>
          <w:p w14:paraId="39CE9555"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4.47bc</w:t>
            </w:r>
          </w:p>
        </w:tc>
        <w:tc>
          <w:tcPr>
            <w:tcW w:w="1892" w:type="dxa"/>
          </w:tcPr>
          <w:p w14:paraId="4543A53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3.70c</w:t>
            </w:r>
          </w:p>
        </w:tc>
      </w:tr>
      <w:tr w:rsidR="00F04481" w14:paraId="47A2E996" w14:textId="77777777" w:rsidTr="00800258">
        <w:tc>
          <w:tcPr>
            <w:tcW w:w="2789" w:type="dxa"/>
          </w:tcPr>
          <w:p w14:paraId="7AFA7958"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760E301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9.85a</w:t>
            </w:r>
          </w:p>
        </w:tc>
        <w:tc>
          <w:tcPr>
            <w:tcW w:w="2790" w:type="dxa"/>
          </w:tcPr>
          <w:p w14:paraId="195887D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7.90a</w:t>
            </w:r>
          </w:p>
        </w:tc>
        <w:tc>
          <w:tcPr>
            <w:tcW w:w="2790" w:type="dxa"/>
          </w:tcPr>
          <w:p w14:paraId="74607C6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5.95a</w:t>
            </w:r>
          </w:p>
        </w:tc>
        <w:tc>
          <w:tcPr>
            <w:tcW w:w="1892" w:type="dxa"/>
          </w:tcPr>
          <w:p w14:paraId="34915CD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5.27a</w:t>
            </w:r>
          </w:p>
        </w:tc>
      </w:tr>
      <w:tr w:rsidR="00F04481" w14:paraId="535AC30D" w14:textId="77777777" w:rsidTr="00800258">
        <w:tc>
          <w:tcPr>
            <w:tcW w:w="2789" w:type="dxa"/>
          </w:tcPr>
          <w:p w14:paraId="4FE7FEA7"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12211A5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7.47bc</w:t>
            </w:r>
          </w:p>
        </w:tc>
        <w:tc>
          <w:tcPr>
            <w:tcW w:w="2790" w:type="dxa"/>
          </w:tcPr>
          <w:p w14:paraId="1AFD6FD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5.15bcd</w:t>
            </w:r>
          </w:p>
        </w:tc>
        <w:tc>
          <w:tcPr>
            <w:tcW w:w="2790" w:type="dxa"/>
          </w:tcPr>
          <w:p w14:paraId="07B8C0A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4.25c</w:t>
            </w:r>
          </w:p>
        </w:tc>
        <w:tc>
          <w:tcPr>
            <w:tcW w:w="1892" w:type="dxa"/>
          </w:tcPr>
          <w:p w14:paraId="55C3CB4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3.55c</w:t>
            </w:r>
          </w:p>
        </w:tc>
      </w:tr>
      <w:tr w:rsidR="00F04481" w14:paraId="407B292A" w14:textId="77777777" w:rsidTr="00800258">
        <w:tc>
          <w:tcPr>
            <w:tcW w:w="2789" w:type="dxa"/>
          </w:tcPr>
          <w:p w14:paraId="5BF9BC8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16C1D1E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7.25c</w:t>
            </w:r>
          </w:p>
        </w:tc>
        <w:tc>
          <w:tcPr>
            <w:tcW w:w="2790" w:type="dxa"/>
          </w:tcPr>
          <w:p w14:paraId="249F068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6.40b</w:t>
            </w:r>
          </w:p>
        </w:tc>
        <w:tc>
          <w:tcPr>
            <w:tcW w:w="2790" w:type="dxa"/>
          </w:tcPr>
          <w:p w14:paraId="03CA40F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4.40bc</w:t>
            </w:r>
          </w:p>
        </w:tc>
        <w:tc>
          <w:tcPr>
            <w:tcW w:w="1892" w:type="dxa"/>
          </w:tcPr>
          <w:p w14:paraId="0129ED24"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3.72c</w:t>
            </w:r>
          </w:p>
        </w:tc>
      </w:tr>
      <w:tr w:rsidR="00F04481" w14:paraId="13F0E546" w14:textId="77777777" w:rsidTr="00800258">
        <w:tc>
          <w:tcPr>
            <w:tcW w:w="2789" w:type="dxa"/>
          </w:tcPr>
          <w:p w14:paraId="4FE6F4BE"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6A48031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4.30d</w:t>
            </w:r>
          </w:p>
        </w:tc>
        <w:tc>
          <w:tcPr>
            <w:tcW w:w="2790" w:type="dxa"/>
          </w:tcPr>
          <w:p w14:paraId="67AAD8E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3.95d</w:t>
            </w:r>
          </w:p>
        </w:tc>
        <w:tc>
          <w:tcPr>
            <w:tcW w:w="2790" w:type="dxa"/>
          </w:tcPr>
          <w:p w14:paraId="204EF59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3.37c</w:t>
            </w:r>
          </w:p>
        </w:tc>
        <w:tc>
          <w:tcPr>
            <w:tcW w:w="1892" w:type="dxa"/>
          </w:tcPr>
          <w:p w14:paraId="102FC6F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2.5d</w:t>
            </w:r>
          </w:p>
        </w:tc>
      </w:tr>
      <w:tr w:rsidR="00F04481" w14:paraId="4764FE7B" w14:textId="77777777" w:rsidTr="00800258">
        <w:tc>
          <w:tcPr>
            <w:tcW w:w="2789" w:type="dxa"/>
          </w:tcPr>
          <w:p w14:paraId="1B98655B"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40750D01"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6.60c</w:t>
            </w:r>
          </w:p>
        </w:tc>
        <w:tc>
          <w:tcPr>
            <w:tcW w:w="2790" w:type="dxa"/>
          </w:tcPr>
          <w:p w14:paraId="6580BB0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4.90cd</w:t>
            </w:r>
          </w:p>
        </w:tc>
        <w:tc>
          <w:tcPr>
            <w:tcW w:w="2790" w:type="dxa"/>
          </w:tcPr>
          <w:p w14:paraId="1692CE7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4.15c</w:t>
            </w:r>
          </w:p>
        </w:tc>
        <w:tc>
          <w:tcPr>
            <w:tcW w:w="1892" w:type="dxa"/>
          </w:tcPr>
          <w:p w14:paraId="19074815"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3.80bc</w:t>
            </w:r>
          </w:p>
        </w:tc>
      </w:tr>
      <w:tr w:rsidR="00F04481" w14:paraId="78C6CE79" w14:textId="77777777" w:rsidTr="00800258">
        <w:tc>
          <w:tcPr>
            <w:tcW w:w="2789" w:type="dxa"/>
          </w:tcPr>
          <w:p w14:paraId="08839F0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3C77DFE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4.85d</w:t>
            </w:r>
          </w:p>
        </w:tc>
        <w:tc>
          <w:tcPr>
            <w:tcW w:w="2790" w:type="dxa"/>
          </w:tcPr>
          <w:p w14:paraId="5DD5620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4.07d</w:t>
            </w:r>
          </w:p>
        </w:tc>
        <w:tc>
          <w:tcPr>
            <w:tcW w:w="2790" w:type="dxa"/>
          </w:tcPr>
          <w:p w14:paraId="5E1EA0D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4.00c</w:t>
            </w:r>
          </w:p>
        </w:tc>
        <w:tc>
          <w:tcPr>
            <w:tcW w:w="1892" w:type="dxa"/>
          </w:tcPr>
          <w:p w14:paraId="580CA94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3.85bc</w:t>
            </w:r>
          </w:p>
        </w:tc>
      </w:tr>
      <w:tr w:rsidR="00F04481" w14:paraId="1AAC0817" w14:textId="77777777" w:rsidTr="00800258">
        <w:tc>
          <w:tcPr>
            <w:tcW w:w="2789" w:type="dxa"/>
          </w:tcPr>
          <w:p w14:paraId="7DEBF54F" w14:textId="77777777" w:rsidR="00F04481" w:rsidRPr="006B220C" w:rsidRDefault="00F04481"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602ED38E"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7F76D229"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0C697E76"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4625293E"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54BF28A8" w14:textId="6894AB2E" w:rsidR="00F04481" w:rsidRDefault="00F04481" w:rsidP="00F04481">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00CC456C" w:rsidRPr="00836358">
        <w:rPr>
          <w:rFonts w:ascii="Times New Roman" w:hAnsi="Times New Roman" w:cs="Times New Roman"/>
          <w:i/>
          <w:iCs/>
          <w:sz w:val="24"/>
          <w:szCs w:val="24"/>
        </w:rPr>
        <w:t>P</w:t>
      </w:r>
      <w:r w:rsidRPr="00836358">
        <w:rPr>
          <w:rFonts w:ascii="Times New Roman" w:hAnsi="Times New Roman" w:cs="Times New Roman"/>
          <w:i/>
          <w:iCs/>
          <w:sz w:val="24"/>
          <w:szCs w:val="24"/>
        </w:rPr>
        <w:t>≤0.05</w:t>
      </w:r>
      <w:r>
        <w:rPr>
          <w:rFonts w:ascii="Times New Roman" w:hAnsi="Times New Roman" w:cs="Times New Roman"/>
          <w:sz w:val="24"/>
          <w:szCs w:val="24"/>
        </w:rPr>
        <w:t>) using Tukey</w:t>
      </w:r>
      <w:r w:rsidR="00836358">
        <w:rPr>
          <w:rFonts w:ascii="Times New Roman" w:hAnsi="Times New Roman" w:cs="Times New Roman"/>
          <w:sz w:val="24"/>
          <w:szCs w:val="24"/>
        </w:rPr>
        <w:t>’</w:t>
      </w:r>
      <w:r>
        <w:rPr>
          <w:rFonts w:ascii="Times New Roman" w:hAnsi="Times New Roman" w:cs="Times New Roman"/>
          <w:sz w:val="24"/>
          <w:szCs w:val="24"/>
        </w:rPr>
        <w:t>s Honest Significant Difference (HSD) Test.</w:t>
      </w:r>
    </w:p>
    <w:p w14:paraId="448787C1" w14:textId="77777777" w:rsidR="00F04481" w:rsidRDefault="00F04481" w:rsidP="00F04481">
      <w:pPr>
        <w:spacing w:line="360" w:lineRule="auto"/>
        <w:rPr>
          <w:rFonts w:ascii="Times New Roman" w:hAnsi="Times New Roman" w:cs="Times New Roman"/>
          <w:sz w:val="24"/>
          <w:szCs w:val="24"/>
        </w:rPr>
      </w:pPr>
    </w:p>
    <w:p w14:paraId="2C87221F" w14:textId="77777777" w:rsidR="008820E5" w:rsidRDefault="008820E5" w:rsidP="0071488C">
      <w:pPr>
        <w:jc w:val="both"/>
        <w:rPr>
          <w:rFonts w:ascii="Times New Roman" w:hAnsi="Times New Roman" w:cs="Times New Roman"/>
          <w:b/>
          <w:bCs/>
          <w:sz w:val="24"/>
          <w:szCs w:val="24"/>
        </w:rPr>
        <w:sectPr w:rsidR="008820E5" w:rsidSect="008820E5">
          <w:pgSz w:w="15840" w:h="12240" w:orient="landscape"/>
          <w:pgMar w:top="1440" w:right="1440" w:bottom="1440" w:left="1440" w:header="720" w:footer="720" w:gutter="0"/>
          <w:cols w:space="720"/>
          <w:docGrid w:linePitch="360"/>
        </w:sectPr>
      </w:pPr>
    </w:p>
    <w:p w14:paraId="3C591D8D" w14:textId="47AAD9A9" w:rsidR="0071488C" w:rsidRPr="00CC456C" w:rsidRDefault="00783413" w:rsidP="0071488C">
      <w:pPr>
        <w:jc w:val="both"/>
        <w:rPr>
          <w:rFonts w:ascii="Arial" w:hAnsi="Arial" w:cs="Arial"/>
          <w:b/>
          <w:bCs/>
          <w:sz w:val="20"/>
          <w:szCs w:val="20"/>
        </w:rPr>
      </w:pPr>
      <w:r>
        <w:rPr>
          <w:rFonts w:ascii="Arial" w:hAnsi="Arial" w:cs="Arial"/>
          <w:b/>
          <w:bCs/>
          <w:sz w:val="20"/>
          <w:szCs w:val="20"/>
        </w:rPr>
        <w:lastRenderedPageBreak/>
        <w:t xml:space="preserve">3.1.3 </w:t>
      </w:r>
      <w:r w:rsidR="0071488C" w:rsidRPr="00CC456C">
        <w:rPr>
          <w:rFonts w:ascii="Arial" w:hAnsi="Arial" w:cs="Arial"/>
          <w:b/>
          <w:bCs/>
          <w:sz w:val="20"/>
          <w:szCs w:val="20"/>
        </w:rPr>
        <w:t xml:space="preserve">Radicle Length (cm)  </w:t>
      </w:r>
    </w:p>
    <w:p w14:paraId="41CF8290" w14:textId="2661A791" w:rsidR="0071488C" w:rsidRPr="00CC456C" w:rsidRDefault="0071488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revealed a highly significant variation (</w:t>
      </w:r>
      <w:r w:rsidR="00CC456C" w:rsidRPr="00CC456C">
        <w:rPr>
          <w:rFonts w:ascii="Arial" w:hAnsi="Arial" w:cs="Arial"/>
          <w:i/>
          <w:iCs/>
          <w:sz w:val="20"/>
          <w:szCs w:val="20"/>
        </w:rPr>
        <w:t>P</w:t>
      </w:r>
      <w:r w:rsidRPr="00CC456C">
        <w:rPr>
          <w:rFonts w:ascii="Arial" w:hAnsi="Arial" w:cs="Arial"/>
          <w:i/>
          <w:iCs/>
          <w:sz w:val="20"/>
          <w:szCs w:val="20"/>
        </w:rPr>
        <w:t>≤0.01</w:t>
      </w:r>
      <w:r w:rsidRPr="00CC456C">
        <w:rPr>
          <w:rFonts w:ascii="Arial" w:hAnsi="Arial" w:cs="Arial"/>
          <w:sz w:val="20"/>
          <w:szCs w:val="20"/>
        </w:rPr>
        <w:t>) for the radicle length (</w:t>
      </w:r>
      <w:r w:rsidR="004152BC" w:rsidRPr="00CC456C">
        <w:rPr>
          <w:rFonts w:ascii="Arial" w:hAnsi="Arial" w:cs="Arial"/>
          <w:sz w:val="20"/>
          <w:szCs w:val="20"/>
        </w:rPr>
        <w:t>Table 4</w:t>
      </w:r>
      <w:r w:rsidRPr="00CC456C">
        <w:rPr>
          <w:rFonts w:ascii="Arial" w:hAnsi="Arial" w:cs="Arial"/>
          <w:sz w:val="20"/>
          <w:szCs w:val="20"/>
        </w:rPr>
        <w:t>). Under non-toxic conditions (control), FARO 52 (8.42 cm) had the longest radicle length. In contrast, FARO 33 (4.12 cm) had the shortest radicle length. At 300 mg/L Fe concentration, FARO 52 (6.37 cm) and FARO 15 (6.02 cm) had the longest radicle length, while FARO 26 (3.90 cm) had the shortest plumule length, which was not substantially different from FARO 33 (3.95 cm). At 450 mg/L Fe concentration, FARO 52 (5.52 cm) and FARO 50 (5.37 cm). In contrast, FARO 26 (3.02 cm) had the shortest radicle length. At 600 mg/L Fe concentration, FARO 50 (5.02 cm) had the longest radicle length, which was statistically similar to FARO 52 (4.62 cm), while FARO 33 (1.02 cm) and FARO 57 (1.77 cm) had the shortest radicle length, which was not substantially different from FARO 26 (2.27 cm).</w:t>
      </w:r>
    </w:p>
    <w:p w14:paraId="4E8E1F9F" w14:textId="77777777" w:rsidR="007B5E02" w:rsidRDefault="007B5E02" w:rsidP="0071488C">
      <w:pPr>
        <w:jc w:val="both"/>
        <w:rPr>
          <w:rFonts w:ascii="Times New Roman" w:hAnsi="Times New Roman" w:cs="Times New Roman"/>
          <w:b/>
          <w:bCs/>
          <w:sz w:val="24"/>
          <w:szCs w:val="24"/>
        </w:rPr>
      </w:pPr>
    </w:p>
    <w:p w14:paraId="2613C4CF" w14:textId="02874B4E" w:rsidR="007B5E02" w:rsidRDefault="007B5E02" w:rsidP="0071488C">
      <w:pPr>
        <w:jc w:val="both"/>
        <w:rPr>
          <w:rFonts w:ascii="Times New Roman" w:hAnsi="Times New Roman" w:cs="Times New Roman"/>
          <w:b/>
          <w:bCs/>
          <w:sz w:val="24"/>
          <w:szCs w:val="24"/>
        </w:rPr>
      </w:pPr>
    </w:p>
    <w:p w14:paraId="30B3F8F8" w14:textId="77777777" w:rsidR="007B5E02" w:rsidRDefault="007B5E02" w:rsidP="0071488C">
      <w:pPr>
        <w:jc w:val="both"/>
        <w:rPr>
          <w:rFonts w:ascii="Times New Roman" w:hAnsi="Times New Roman" w:cs="Times New Roman"/>
          <w:b/>
          <w:bCs/>
          <w:sz w:val="24"/>
          <w:szCs w:val="24"/>
        </w:rPr>
      </w:pPr>
    </w:p>
    <w:p w14:paraId="2B05B723" w14:textId="77777777" w:rsidR="00AC4576" w:rsidRDefault="00AC4576" w:rsidP="0071488C">
      <w:pPr>
        <w:jc w:val="both"/>
        <w:rPr>
          <w:rFonts w:ascii="Times New Roman" w:hAnsi="Times New Roman" w:cs="Times New Roman"/>
          <w:b/>
          <w:bCs/>
          <w:sz w:val="24"/>
          <w:szCs w:val="24"/>
        </w:rPr>
      </w:pPr>
    </w:p>
    <w:p w14:paraId="25AAB50E" w14:textId="77777777" w:rsidR="00AC4576" w:rsidRDefault="00AC4576" w:rsidP="0071488C">
      <w:pPr>
        <w:jc w:val="both"/>
        <w:rPr>
          <w:rFonts w:ascii="Times New Roman" w:hAnsi="Times New Roman" w:cs="Times New Roman"/>
          <w:b/>
          <w:bCs/>
          <w:sz w:val="24"/>
          <w:szCs w:val="24"/>
        </w:rPr>
      </w:pPr>
    </w:p>
    <w:p w14:paraId="47BCEBB0" w14:textId="77777777" w:rsidR="00AC4576" w:rsidRDefault="00AC4576" w:rsidP="0071488C">
      <w:pPr>
        <w:jc w:val="both"/>
        <w:rPr>
          <w:rFonts w:ascii="Times New Roman" w:hAnsi="Times New Roman" w:cs="Times New Roman"/>
          <w:b/>
          <w:bCs/>
          <w:sz w:val="24"/>
          <w:szCs w:val="24"/>
        </w:rPr>
      </w:pPr>
    </w:p>
    <w:p w14:paraId="6B427C9E" w14:textId="77777777" w:rsidR="00AC4576" w:rsidRDefault="00AC4576" w:rsidP="0071488C">
      <w:pPr>
        <w:jc w:val="both"/>
        <w:rPr>
          <w:rFonts w:ascii="Times New Roman" w:hAnsi="Times New Roman" w:cs="Times New Roman"/>
          <w:b/>
          <w:bCs/>
          <w:sz w:val="24"/>
          <w:szCs w:val="24"/>
        </w:rPr>
      </w:pPr>
    </w:p>
    <w:p w14:paraId="3937A274" w14:textId="5734BDAD" w:rsidR="00AC4576" w:rsidRDefault="00AC4576" w:rsidP="0071488C">
      <w:pPr>
        <w:jc w:val="both"/>
        <w:rPr>
          <w:rFonts w:ascii="Times New Roman" w:hAnsi="Times New Roman" w:cs="Times New Roman"/>
          <w:b/>
          <w:bCs/>
          <w:sz w:val="24"/>
          <w:szCs w:val="24"/>
        </w:rPr>
      </w:pPr>
    </w:p>
    <w:p w14:paraId="1D5D7B74" w14:textId="2655D04F" w:rsidR="008820E5" w:rsidRDefault="008820E5" w:rsidP="0071488C">
      <w:pPr>
        <w:jc w:val="both"/>
        <w:rPr>
          <w:rFonts w:ascii="Times New Roman" w:hAnsi="Times New Roman" w:cs="Times New Roman"/>
          <w:b/>
          <w:bCs/>
          <w:sz w:val="24"/>
          <w:szCs w:val="24"/>
        </w:rPr>
      </w:pPr>
    </w:p>
    <w:p w14:paraId="45251EE5" w14:textId="3C1F19DF" w:rsidR="008820E5" w:rsidRDefault="008820E5" w:rsidP="0071488C">
      <w:pPr>
        <w:jc w:val="both"/>
        <w:rPr>
          <w:rFonts w:ascii="Times New Roman" w:hAnsi="Times New Roman" w:cs="Times New Roman"/>
          <w:b/>
          <w:bCs/>
          <w:sz w:val="24"/>
          <w:szCs w:val="24"/>
        </w:rPr>
      </w:pPr>
    </w:p>
    <w:p w14:paraId="10306252" w14:textId="2B38A341" w:rsidR="008820E5" w:rsidRDefault="008820E5" w:rsidP="0071488C">
      <w:pPr>
        <w:jc w:val="both"/>
        <w:rPr>
          <w:rFonts w:ascii="Times New Roman" w:hAnsi="Times New Roman" w:cs="Times New Roman"/>
          <w:b/>
          <w:bCs/>
          <w:sz w:val="24"/>
          <w:szCs w:val="24"/>
        </w:rPr>
      </w:pPr>
    </w:p>
    <w:p w14:paraId="36DBC8AF" w14:textId="28AEB3C6" w:rsidR="008820E5" w:rsidRDefault="008820E5" w:rsidP="0071488C">
      <w:pPr>
        <w:jc w:val="both"/>
        <w:rPr>
          <w:rFonts w:ascii="Times New Roman" w:hAnsi="Times New Roman" w:cs="Times New Roman"/>
          <w:b/>
          <w:bCs/>
          <w:sz w:val="24"/>
          <w:szCs w:val="24"/>
        </w:rPr>
      </w:pPr>
    </w:p>
    <w:p w14:paraId="5133705F" w14:textId="3D6AC441" w:rsidR="008820E5" w:rsidRDefault="008820E5" w:rsidP="0071488C">
      <w:pPr>
        <w:jc w:val="both"/>
        <w:rPr>
          <w:rFonts w:ascii="Times New Roman" w:hAnsi="Times New Roman" w:cs="Times New Roman"/>
          <w:b/>
          <w:bCs/>
          <w:sz w:val="24"/>
          <w:szCs w:val="24"/>
        </w:rPr>
      </w:pPr>
    </w:p>
    <w:p w14:paraId="43F7BFFD" w14:textId="128D269A" w:rsidR="008820E5" w:rsidRDefault="008820E5" w:rsidP="0071488C">
      <w:pPr>
        <w:jc w:val="both"/>
        <w:rPr>
          <w:rFonts w:ascii="Times New Roman" w:hAnsi="Times New Roman" w:cs="Times New Roman"/>
          <w:b/>
          <w:bCs/>
          <w:sz w:val="24"/>
          <w:szCs w:val="24"/>
        </w:rPr>
      </w:pPr>
    </w:p>
    <w:p w14:paraId="62DC5CF1" w14:textId="77777777" w:rsidR="008820E5" w:rsidRDefault="008820E5" w:rsidP="00AC4576">
      <w:pPr>
        <w:spacing w:line="240" w:lineRule="auto"/>
        <w:jc w:val="both"/>
        <w:rPr>
          <w:rFonts w:ascii="Times New Roman" w:hAnsi="Times New Roman" w:cs="Times New Roman"/>
          <w:b/>
          <w:bCs/>
          <w:sz w:val="24"/>
          <w:szCs w:val="24"/>
        </w:rPr>
        <w:sectPr w:rsidR="008820E5" w:rsidSect="008820E5">
          <w:pgSz w:w="12240" w:h="15840"/>
          <w:pgMar w:top="1440" w:right="1440" w:bottom="1440" w:left="1440" w:header="720" w:footer="720" w:gutter="0"/>
          <w:cols w:space="720"/>
          <w:docGrid w:linePitch="360"/>
        </w:sectPr>
      </w:pPr>
    </w:p>
    <w:p w14:paraId="45FE63B2" w14:textId="106ADC94" w:rsidR="00AC4576" w:rsidRPr="006C1707" w:rsidRDefault="00AC4576" w:rsidP="00AC4576">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B46EDD">
        <w:rPr>
          <w:rFonts w:ascii="Times New Roman" w:hAnsi="Times New Roman" w:cs="Times New Roman"/>
          <w:b/>
          <w:bCs/>
          <w:sz w:val="24"/>
          <w:szCs w:val="24"/>
        </w:rPr>
        <w:t>4</w:t>
      </w:r>
      <w:r w:rsidRPr="006C1707">
        <w:rPr>
          <w:rFonts w:ascii="Times New Roman" w:hAnsi="Times New Roman" w:cs="Times New Roman"/>
          <w:b/>
          <w:bCs/>
          <w:sz w:val="24"/>
          <w:szCs w:val="24"/>
        </w:rPr>
        <w:t>: Interaction effect of iron toxicity and rice genotypes on the Radicle length (cm)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2768"/>
        <w:gridCol w:w="2769"/>
        <w:gridCol w:w="2769"/>
        <w:gridCol w:w="1882"/>
      </w:tblGrid>
      <w:tr w:rsidR="00AC4576" w:rsidRPr="006C1707" w14:paraId="64A8795B" w14:textId="77777777" w:rsidTr="00800258">
        <w:tc>
          <w:tcPr>
            <w:tcW w:w="2789" w:type="dxa"/>
            <w:tcBorders>
              <w:top w:val="single" w:sz="4" w:space="0" w:color="auto"/>
              <w:bottom w:val="single" w:sz="4" w:space="0" w:color="auto"/>
            </w:tcBorders>
          </w:tcPr>
          <w:p w14:paraId="4B438BE4"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795A76B4"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1E88BF2B"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7F1A9E1F"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3B3112BC"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AC4576" w14:paraId="12F05CB6" w14:textId="77777777" w:rsidTr="00800258">
        <w:tc>
          <w:tcPr>
            <w:tcW w:w="2789" w:type="dxa"/>
            <w:tcBorders>
              <w:top w:val="single" w:sz="4" w:space="0" w:color="auto"/>
            </w:tcBorders>
          </w:tcPr>
          <w:p w14:paraId="2E4487B4"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1616D09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7.62abc</w:t>
            </w:r>
          </w:p>
        </w:tc>
        <w:tc>
          <w:tcPr>
            <w:tcW w:w="2790" w:type="dxa"/>
            <w:tcBorders>
              <w:top w:val="single" w:sz="4" w:space="0" w:color="auto"/>
            </w:tcBorders>
          </w:tcPr>
          <w:p w14:paraId="044D26A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5.22abc</w:t>
            </w:r>
          </w:p>
        </w:tc>
        <w:tc>
          <w:tcPr>
            <w:tcW w:w="2790" w:type="dxa"/>
            <w:tcBorders>
              <w:top w:val="single" w:sz="4" w:space="0" w:color="auto"/>
            </w:tcBorders>
          </w:tcPr>
          <w:p w14:paraId="1ED0501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4.25abc</w:t>
            </w:r>
          </w:p>
        </w:tc>
        <w:tc>
          <w:tcPr>
            <w:tcW w:w="1892" w:type="dxa"/>
            <w:tcBorders>
              <w:top w:val="single" w:sz="4" w:space="0" w:color="auto"/>
            </w:tcBorders>
          </w:tcPr>
          <w:p w14:paraId="389DA5D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3.62bc</w:t>
            </w:r>
          </w:p>
        </w:tc>
      </w:tr>
      <w:tr w:rsidR="00AC4576" w14:paraId="62800AC9" w14:textId="77777777" w:rsidTr="00800258">
        <w:tc>
          <w:tcPr>
            <w:tcW w:w="2789" w:type="dxa"/>
          </w:tcPr>
          <w:p w14:paraId="2A2174A8"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60850FE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8.05ab</w:t>
            </w:r>
          </w:p>
        </w:tc>
        <w:tc>
          <w:tcPr>
            <w:tcW w:w="2790" w:type="dxa"/>
          </w:tcPr>
          <w:p w14:paraId="6BBFAD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5.20abc</w:t>
            </w:r>
          </w:p>
        </w:tc>
        <w:tc>
          <w:tcPr>
            <w:tcW w:w="2790" w:type="dxa"/>
          </w:tcPr>
          <w:p w14:paraId="3365F05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4.17abc</w:t>
            </w:r>
          </w:p>
        </w:tc>
        <w:tc>
          <w:tcPr>
            <w:tcW w:w="1892" w:type="dxa"/>
          </w:tcPr>
          <w:p w14:paraId="68C1810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3.10cd</w:t>
            </w:r>
          </w:p>
        </w:tc>
      </w:tr>
      <w:tr w:rsidR="00AC4576" w14:paraId="63361016" w14:textId="77777777" w:rsidTr="00800258">
        <w:tc>
          <w:tcPr>
            <w:tcW w:w="2789" w:type="dxa"/>
          </w:tcPr>
          <w:p w14:paraId="652ABD0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33A2809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7.97ab</w:t>
            </w:r>
          </w:p>
        </w:tc>
        <w:tc>
          <w:tcPr>
            <w:tcW w:w="2790" w:type="dxa"/>
          </w:tcPr>
          <w:p w14:paraId="7C2D2DB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5.02abc</w:t>
            </w:r>
          </w:p>
        </w:tc>
        <w:tc>
          <w:tcPr>
            <w:tcW w:w="2790" w:type="dxa"/>
          </w:tcPr>
          <w:p w14:paraId="6C40FE5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4.22abc</w:t>
            </w:r>
          </w:p>
        </w:tc>
        <w:tc>
          <w:tcPr>
            <w:tcW w:w="1892" w:type="dxa"/>
          </w:tcPr>
          <w:p w14:paraId="146AE09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3.30bc</w:t>
            </w:r>
          </w:p>
        </w:tc>
      </w:tr>
      <w:tr w:rsidR="00AC4576" w14:paraId="592B61FA" w14:textId="77777777" w:rsidTr="00800258">
        <w:tc>
          <w:tcPr>
            <w:tcW w:w="2789" w:type="dxa"/>
          </w:tcPr>
          <w:p w14:paraId="2C140E0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186B344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6.85bcd</w:t>
            </w:r>
          </w:p>
        </w:tc>
        <w:tc>
          <w:tcPr>
            <w:tcW w:w="2790" w:type="dxa"/>
          </w:tcPr>
          <w:p w14:paraId="63C16CC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5.77ab</w:t>
            </w:r>
          </w:p>
        </w:tc>
        <w:tc>
          <w:tcPr>
            <w:tcW w:w="2790" w:type="dxa"/>
          </w:tcPr>
          <w:p w14:paraId="0E77A24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4.45abc</w:t>
            </w:r>
          </w:p>
        </w:tc>
        <w:tc>
          <w:tcPr>
            <w:tcW w:w="1892" w:type="dxa"/>
          </w:tcPr>
          <w:p w14:paraId="1E9870C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3.25bc</w:t>
            </w:r>
          </w:p>
        </w:tc>
      </w:tr>
      <w:tr w:rsidR="00AC4576" w14:paraId="15394390" w14:textId="77777777" w:rsidTr="00800258">
        <w:tc>
          <w:tcPr>
            <w:tcW w:w="2789" w:type="dxa"/>
          </w:tcPr>
          <w:p w14:paraId="705A8BE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5CB741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8.05ab</w:t>
            </w:r>
          </w:p>
        </w:tc>
        <w:tc>
          <w:tcPr>
            <w:tcW w:w="2790" w:type="dxa"/>
          </w:tcPr>
          <w:p w14:paraId="7D47082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5.87ac</w:t>
            </w:r>
          </w:p>
        </w:tc>
        <w:tc>
          <w:tcPr>
            <w:tcW w:w="2790" w:type="dxa"/>
          </w:tcPr>
          <w:p w14:paraId="2910B31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5.37a</w:t>
            </w:r>
          </w:p>
        </w:tc>
        <w:tc>
          <w:tcPr>
            <w:tcW w:w="1892" w:type="dxa"/>
          </w:tcPr>
          <w:p w14:paraId="00B4053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5.02a</w:t>
            </w:r>
          </w:p>
        </w:tc>
      </w:tr>
      <w:tr w:rsidR="00AC4576" w14:paraId="18272EA0" w14:textId="77777777" w:rsidTr="00800258">
        <w:tc>
          <w:tcPr>
            <w:tcW w:w="2789" w:type="dxa"/>
          </w:tcPr>
          <w:p w14:paraId="50E1955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92B58D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7.55abc</w:t>
            </w:r>
          </w:p>
        </w:tc>
        <w:tc>
          <w:tcPr>
            <w:tcW w:w="2790" w:type="dxa"/>
          </w:tcPr>
          <w:p w14:paraId="0EFC795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5.20abc</w:t>
            </w:r>
          </w:p>
        </w:tc>
        <w:tc>
          <w:tcPr>
            <w:tcW w:w="2790" w:type="dxa"/>
          </w:tcPr>
          <w:p w14:paraId="06C8BA6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4.52ab</w:t>
            </w:r>
          </w:p>
        </w:tc>
        <w:tc>
          <w:tcPr>
            <w:tcW w:w="1892" w:type="dxa"/>
          </w:tcPr>
          <w:p w14:paraId="5DA4D9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3.30bc</w:t>
            </w:r>
          </w:p>
        </w:tc>
      </w:tr>
      <w:tr w:rsidR="00AC4576" w14:paraId="6472423D" w14:textId="77777777" w:rsidTr="00800258">
        <w:tc>
          <w:tcPr>
            <w:tcW w:w="2789" w:type="dxa"/>
          </w:tcPr>
          <w:p w14:paraId="3234695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1FBB32A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8.42a</w:t>
            </w:r>
          </w:p>
        </w:tc>
        <w:tc>
          <w:tcPr>
            <w:tcW w:w="2790" w:type="dxa"/>
          </w:tcPr>
          <w:p w14:paraId="6B934C5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6.37a</w:t>
            </w:r>
          </w:p>
        </w:tc>
        <w:tc>
          <w:tcPr>
            <w:tcW w:w="2790" w:type="dxa"/>
          </w:tcPr>
          <w:p w14:paraId="0CE59D3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5.52a</w:t>
            </w:r>
          </w:p>
        </w:tc>
        <w:tc>
          <w:tcPr>
            <w:tcW w:w="1892" w:type="dxa"/>
          </w:tcPr>
          <w:p w14:paraId="5FCD5CE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4.62ab</w:t>
            </w:r>
          </w:p>
        </w:tc>
      </w:tr>
      <w:tr w:rsidR="00AC4576" w14:paraId="350068F6" w14:textId="77777777" w:rsidTr="00800258">
        <w:tc>
          <w:tcPr>
            <w:tcW w:w="2789" w:type="dxa"/>
          </w:tcPr>
          <w:p w14:paraId="0E641812"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30FC325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6.25cde</w:t>
            </w:r>
          </w:p>
        </w:tc>
        <w:tc>
          <w:tcPr>
            <w:tcW w:w="2790" w:type="dxa"/>
          </w:tcPr>
          <w:p w14:paraId="56234E1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5.05abc</w:t>
            </w:r>
          </w:p>
        </w:tc>
        <w:tc>
          <w:tcPr>
            <w:tcW w:w="2790" w:type="dxa"/>
          </w:tcPr>
          <w:p w14:paraId="23772A6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3.87bc</w:t>
            </w:r>
          </w:p>
        </w:tc>
        <w:tc>
          <w:tcPr>
            <w:tcW w:w="1892" w:type="dxa"/>
          </w:tcPr>
          <w:p w14:paraId="2DA1D8A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3.27bc</w:t>
            </w:r>
          </w:p>
        </w:tc>
      </w:tr>
      <w:tr w:rsidR="00AC4576" w14:paraId="72449F24" w14:textId="77777777" w:rsidTr="00800258">
        <w:tc>
          <w:tcPr>
            <w:tcW w:w="2789" w:type="dxa"/>
          </w:tcPr>
          <w:p w14:paraId="6BC7825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5FE0A07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7.72ab</w:t>
            </w:r>
          </w:p>
        </w:tc>
        <w:tc>
          <w:tcPr>
            <w:tcW w:w="2790" w:type="dxa"/>
          </w:tcPr>
          <w:p w14:paraId="4779EDE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6.02a</w:t>
            </w:r>
          </w:p>
        </w:tc>
        <w:tc>
          <w:tcPr>
            <w:tcW w:w="2790" w:type="dxa"/>
          </w:tcPr>
          <w:p w14:paraId="2BA8482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3.92bc</w:t>
            </w:r>
          </w:p>
        </w:tc>
        <w:tc>
          <w:tcPr>
            <w:tcW w:w="1892" w:type="dxa"/>
          </w:tcPr>
          <w:p w14:paraId="71E4D17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2.87cd</w:t>
            </w:r>
          </w:p>
        </w:tc>
      </w:tr>
      <w:tr w:rsidR="00AC4576" w14:paraId="3DA283B5" w14:textId="77777777" w:rsidTr="00800258">
        <w:tc>
          <w:tcPr>
            <w:tcW w:w="2789" w:type="dxa"/>
          </w:tcPr>
          <w:p w14:paraId="4D9A0AE8"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29A1569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4.12f</w:t>
            </w:r>
          </w:p>
        </w:tc>
        <w:tc>
          <w:tcPr>
            <w:tcW w:w="2790" w:type="dxa"/>
          </w:tcPr>
          <w:p w14:paraId="2D84102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3.95c</w:t>
            </w:r>
          </w:p>
        </w:tc>
        <w:tc>
          <w:tcPr>
            <w:tcW w:w="2790" w:type="dxa"/>
          </w:tcPr>
          <w:p w14:paraId="3E6BDF6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3.20bc</w:t>
            </w:r>
          </w:p>
        </w:tc>
        <w:tc>
          <w:tcPr>
            <w:tcW w:w="1892" w:type="dxa"/>
          </w:tcPr>
          <w:p w14:paraId="4B66B10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1.02e</w:t>
            </w:r>
          </w:p>
        </w:tc>
      </w:tr>
      <w:tr w:rsidR="00AC4576" w14:paraId="2CF16093" w14:textId="77777777" w:rsidTr="00800258">
        <w:tc>
          <w:tcPr>
            <w:tcW w:w="2789" w:type="dxa"/>
          </w:tcPr>
          <w:p w14:paraId="1EA37DA3"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0117A99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5.47def</w:t>
            </w:r>
          </w:p>
        </w:tc>
        <w:tc>
          <w:tcPr>
            <w:tcW w:w="2790" w:type="dxa"/>
          </w:tcPr>
          <w:p w14:paraId="03D2A5E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4.47bc</w:t>
            </w:r>
          </w:p>
        </w:tc>
        <w:tc>
          <w:tcPr>
            <w:tcW w:w="2790" w:type="dxa"/>
          </w:tcPr>
          <w:p w14:paraId="43328B4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3.42bc</w:t>
            </w:r>
          </w:p>
        </w:tc>
        <w:tc>
          <w:tcPr>
            <w:tcW w:w="1892" w:type="dxa"/>
          </w:tcPr>
          <w:p w14:paraId="0515B5F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1.7de</w:t>
            </w:r>
          </w:p>
        </w:tc>
      </w:tr>
      <w:tr w:rsidR="00AC4576" w14:paraId="763394FC" w14:textId="77777777" w:rsidTr="00800258">
        <w:tc>
          <w:tcPr>
            <w:tcW w:w="2789" w:type="dxa"/>
          </w:tcPr>
          <w:p w14:paraId="4312BD92"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40FF5F8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5.20ef</w:t>
            </w:r>
          </w:p>
        </w:tc>
        <w:tc>
          <w:tcPr>
            <w:tcW w:w="2790" w:type="dxa"/>
          </w:tcPr>
          <w:p w14:paraId="2000C7E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3.90c</w:t>
            </w:r>
          </w:p>
        </w:tc>
        <w:tc>
          <w:tcPr>
            <w:tcW w:w="2790" w:type="dxa"/>
          </w:tcPr>
          <w:p w14:paraId="590217E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3.02c</w:t>
            </w:r>
          </w:p>
        </w:tc>
        <w:tc>
          <w:tcPr>
            <w:tcW w:w="1892" w:type="dxa"/>
          </w:tcPr>
          <w:p w14:paraId="405ACB3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2.27cde</w:t>
            </w:r>
          </w:p>
        </w:tc>
      </w:tr>
      <w:tr w:rsidR="00AC4576" w14:paraId="342A8AA3" w14:textId="77777777" w:rsidTr="00800258">
        <w:tc>
          <w:tcPr>
            <w:tcW w:w="2789" w:type="dxa"/>
          </w:tcPr>
          <w:p w14:paraId="33E77FBC" w14:textId="77777777" w:rsidR="00AC4576" w:rsidRPr="006B220C" w:rsidRDefault="00AC4576"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531C1042"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76A8A052"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3E1B5CA8"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3ABE5E0A"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5F15635C" w14:textId="54D29D2B" w:rsidR="00AC4576" w:rsidRDefault="00AC4576" w:rsidP="00AC4576">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836358">
        <w:rPr>
          <w:rFonts w:ascii="Times New Roman" w:hAnsi="Times New Roman" w:cs="Times New Roman"/>
          <w:i/>
          <w:iCs/>
          <w:sz w:val="24"/>
          <w:szCs w:val="24"/>
        </w:rPr>
        <w:t>p≤0.05</w:t>
      </w:r>
      <w:r>
        <w:rPr>
          <w:rFonts w:ascii="Times New Roman" w:hAnsi="Times New Roman" w:cs="Times New Roman"/>
          <w:sz w:val="24"/>
          <w:szCs w:val="24"/>
        </w:rPr>
        <w:t>) using Tukey</w:t>
      </w:r>
      <w:r w:rsidR="00EB7B5F">
        <w:rPr>
          <w:rFonts w:ascii="Times New Roman" w:hAnsi="Times New Roman" w:cs="Times New Roman"/>
          <w:sz w:val="24"/>
          <w:szCs w:val="24"/>
        </w:rPr>
        <w:t>’</w:t>
      </w:r>
      <w:r>
        <w:rPr>
          <w:rFonts w:ascii="Times New Roman" w:hAnsi="Times New Roman" w:cs="Times New Roman"/>
          <w:sz w:val="24"/>
          <w:szCs w:val="24"/>
        </w:rPr>
        <w:t>s Honest Significant Difference (HSD) Test.</w:t>
      </w:r>
    </w:p>
    <w:p w14:paraId="4D04A934" w14:textId="77777777" w:rsidR="00AC4576" w:rsidRDefault="00AC4576" w:rsidP="0071488C">
      <w:pPr>
        <w:jc w:val="both"/>
        <w:rPr>
          <w:rFonts w:ascii="Times New Roman" w:hAnsi="Times New Roman" w:cs="Times New Roman"/>
          <w:b/>
          <w:bCs/>
          <w:sz w:val="24"/>
          <w:szCs w:val="24"/>
        </w:rPr>
      </w:pPr>
    </w:p>
    <w:p w14:paraId="38314EF1" w14:textId="77777777" w:rsidR="008820E5" w:rsidRDefault="008820E5" w:rsidP="0071488C">
      <w:pPr>
        <w:jc w:val="both"/>
        <w:rPr>
          <w:rFonts w:ascii="Times New Roman" w:hAnsi="Times New Roman" w:cs="Times New Roman"/>
          <w:b/>
          <w:bCs/>
          <w:sz w:val="24"/>
          <w:szCs w:val="24"/>
        </w:rPr>
        <w:sectPr w:rsidR="008820E5" w:rsidSect="008820E5">
          <w:pgSz w:w="15840" w:h="12240" w:orient="landscape"/>
          <w:pgMar w:top="1440" w:right="1440" w:bottom="1440" w:left="1440" w:header="720" w:footer="720" w:gutter="0"/>
          <w:cols w:space="720"/>
          <w:docGrid w:linePitch="360"/>
        </w:sectPr>
      </w:pPr>
    </w:p>
    <w:p w14:paraId="50D0AE12" w14:textId="2ECE26E4" w:rsidR="0071488C" w:rsidRPr="00AE5106" w:rsidRDefault="00ED06EE" w:rsidP="0071488C">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3.1.4 </w:t>
      </w:r>
      <w:r w:rsidR="0071488C" w:rsidRPr="00AE5106">
        <w:rPr>
          <w:rFonts w:ascii="Times New Roman" w:hAnsi="Times New Roman" w:cs="Times New Roman"/>
          <w:b/>
          <w:bCs/>
          <w:sz w:val="24"/>
          <w:szCs w:val="24"/>
        </w:rPr>
        <w:t>Seedling Vigour Index (%)</w:t>
      </w:r>
    </w:p>
    <w:p w14:paraId="70B2C79F" w14:textId="18139D35" w:rsidR="0071488C" w:rsidRPr="00AE5106" w:rsidRDefault="0071488C" w:rsidP="00C83AEC">
      <w:pPr>
        <w:spacing w:line="480" w:lineRule="auto"/>
        <w:jc w:val="both"/>
        <w:rPr>
          <w:rFonts w:ascii="Times New Roman" w:hAnsi="Times New Roman" w:cs="Times New Roman"/>
          <w:sz w:val="24"/>
          <w:szCs w:val="24"/>
        </w:rPr>
      </w:pPr>
      <w:r w:rsidRPr="00AE5106">
        <w:rPr>
          <w:rFonts w:ascii="Times New Roman" w:hAnsi="Times New Roman" w:cs="Times New Roman"/>
          <w:sz w:val="24"/>
          <w:szCs w:val="24"/>
        </w:rPr>
        <w:t>The mean performance of all the genotypes across the four levels of the Fe concentrations revealed a highly significant variation (</w:t>
      </w:r>
      <w:r w:rsidR="00205E70" w:rsidRPr="006C655D">
        <w:rPr>
          <w:rFonts w:ascii="Times New Roman" w:hAnsi="Times New Roman" w:cs="Times New Roman"/>
          <w:i/>
          <w:iCs/>
          <w:sz w:val="24"/>
          <w:szCs w:val="24"/>
        </w:rPr>
        <w:t>P</w:t>
      </w:r>
      <w:r w:rsidRPr="006C655D">
        <w:rPr>
          <w:rFonts w:ascii="Times New Roman" w:hAnsi="Times New Roman" w:cs="Times New Roman"/>
          <w:i/>
          <w:iCs/>
          <w:sz w:val="24"/>
          <w:szCs w:val="24"/>
        </w:rPr>
        <w:t>≤0.01</w:t>
      </w:r>
      <w:r w:rsidRPr="00AE5106">
        <w:rPr>
          <w:rFonts w:ascii="Times New Roman" w:hAnsi="Times New Roman" w:cs="Times New Roman"/>
          <w:sz w:val="24"/>
          <w:szCs w:val="24"/>
        </w:rPr>
        <w:t>) for the seedling vigour index (</w:t>
      </w:r>
      <w:r w:rsidR="00B46EDD">
        <w:rPr>
          <w:rFonts w:ascii="Times New Roman" w:hAnsi="Times New Roman" w:cs="Times New Roman"/>
          <w:sz w:val="24"/>
          <w:szCs w:val="24"/>
        </w:rPr>
        <w:t>Table 5</w:t>
      </w:r>
      <w:r w:rsidRPr="00AE5106">
        <w:rPr>
          <w:rFonts w:ascii="Times New Roman" w:hAnsi="Times New Roman" w:cs="Times New Roman"/>
          <w:sz w:val="24"/>
          <w:szCs w:val="24"/>
        </w:rPr>
        <w:t>). Under non-toxic conditions (control), FARO 52 (1772.65%) and FARO 50 (1763.40%) had the maximum seedling vigour index, while FARO 33 (176.60%) had the minimum seedling vigour index, which was statistically similar to FARO 57 (253.55%). At 300 mg/L Fe concentration, FARO 50 (1375.25%) and FARO 52 (1327.65%) had the maximum seedling vigour index, which was not substantially different from FARO 57 (155.65%). At 450 mg/L Fe concentration, FARO 52 (1067.35%) had the maximum seedling vigour index, which was statistically similar to FARO 50 (1009.40%), whereas FARO 33 (85.30%) had the minimum seedling vigour index, which was not substantially different from FARO 57 (114.10%). At 600 mg/L Fe concentration, there was a sharp decline in the seedling vigour index. FARO 50 (842.15%) and FARO 52 (841.55%) maintained a moderate maximum seedling vigour index, while FARO 33 had the minimum value.</w:t>
      </w:r>
    </w:p>
    <w:p w14:paraId="777D1736" w14:textId="0C3F2881" w:rsidR="00CC1ECA" w:rsidRPr="008B6C62" w:rsidRDefault="00CC1ECA" w:rsidP="008B6C62">
      <w:pPr>
        <w:jc w:val="both"/>
        <w:rPr>
          <w:rFonts w:ascii="Arial" w:hAnsi="Arial" w:cs="Arial"/>
        </w:rPr>
      </w:pPr>
    </w:p>
    <w:p w14:paraId="1BB011E4" w14:textId="77777777" w:rsidR="001D177B" w:rsidRDefault="001D177B" w:rsidP="001D177B">
      <w:pPr>
        <w:spacing w:line="240" w:lineRule="auto"/>
        <w:rPr>
          <w:rFonts w:ascii="Times New Roman" w:hAnsi="Times New Roman" w:cs="Times New Roman"/>
          <w:b/>
          <w:bCs/>
          <w:sz w:val="24"/>
          <w:szCs w:val="24"/>
        </w:rPr>
        <w:sectPr w:rsidR="001D177B" w:rsidSect="008820E5">
          <w:pgSz w:w="12240" w:h="15840"/>
          <w:pgMar w:top="1440" w:right="1440" w:bottom="1440" w:left="1440" w:header="720" w:footer="720" w:gutter="0"/>
          <w:cols w:space="720"/>
          <w:docGrid w:linePitch="360"/>
        </w:sectPr>
      </w:pPr>
    </w:p>
    <w:p w14:paraId="429F0A2E" w14:textId="4C4EA1B3" w:rsidR="00AC4576" w:rsidRPr="006C1707" w:rsidRDefault="00AC4576" w:rsidP="00AC4576">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Table</w:t>
      </w:r>
      <w:r w:rsidR="00F26AC6">
        <w:rPr>
          <w:rFonts w:ascii="Times New Roman" w:hAnsi="Times New Roman" w:cs="Times New Roman"/>
          <w:b/>
          <w:bCs/>
          <w:sz w:val="24"/>
          <w:szCs w:val="24"/>
        </w:rPr>
        <w:t xml:space="preserve"> 5</w:t>
      </w:r>
      <w:r w:rsidRPr="006C1707">
        <w:rPr>
          <w:rFonts w:ascii="Times New Roman" w:hAnsi="Times New Roman" w:cs="Times New Roman"/>
          <w:b/>
          <w:bCs/>
          <w:sz w:val="24"/>
          <w:szCs w:val="24"/>
        </w:rPr>
        <w:t>: Interaction effect of iron toxicity and rice genotypes on the Seedling Vigour Index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90"/>
        <w:gridCol w:w="2790"/>
        <w:gridCol w:w="1892"/>
      </w:tblGrid>
      <w:tr w:rsidR="00AC4576" w:rsidRPr="006C1707" w14:paraId="7EBD03C2" w14:textId="77777777" w:rsidTr="00800258">
        <w:tc>
          <w:tcPr>
            <w:tcW w:w="2789" w:type="dxa"/>
            <w:tcBorders>
              <w:top w:val="single" w:sz="4" w:space="0" w:color="auto"/>
              <w:bottom w:val="single" w:sz="4" w:space="0" w:color="auto"/>
            </w:tcBorders>
          </w:tcPr>
          <w:p w14:paraId="6A5663B2"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0F3BA478"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7E214C48"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5E786B4D"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4CB960A2"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AC4576" w14:paraId="41C0873C" w14:textId="77777777" w:rsidTr="00800258">
        <w:tc>
          <w:tcPr>
            <w:tcW w:w="2789" w:type="dxa"/>
            <w:tcBorders>
              <w:top w:val="single" w:sz="4" w:space="0" w:color="auto"/>
            </w:tcBorders>
          </w:tcPr>
          <w:p w14:paraId="344632AC"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0412BA7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645.95cd</w:t>
            </w:r>
          </w:p>
        </w:tc>
        <w:tc>
          <w:tcPr>
            <w:tcW w:w="2790" w:type="dxa"/>
            <w:tcBorders>
              <w:top w:val="single" w:sz="4" w:space="0" w:color="auto"/>
            </w:tcBorders>
          </w:tcPr>
          <w:p w14:paraId="5D873F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314.25d</w:t>
            </w:r>
          </w:p>
        </w:tc>
        <w:tc>
          <w:tcPr>
            <w:tcW w:w="2790" w:type="dxa"/>
            <w:tcBorders>
              <w:top w:val="single" w:sz="4" w:space="0" w:color="auto"/>
            </w:tcBorders>
          </w:tcPr>
          <w:p w14:paraId="2891FE3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240.25cd</w:t>
            </w:r>
          </w:p>
        </w:tc>
        <w:tc>
          <w:tcPr>
            <w:tcW w:w="1892" w:type="dxa"/>
            <w:tcBorders>
              <w:top w:val="single" w:sz="4" w:space="0" w:color="auto"/>
            </w:tcBorders>
          </w:tcPr>
          <w:p w14:paraId="03D29C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169.85cd</w:t>
            </w:r>
          </w:p>
        </w:tc>
      </w:tr>
      <w:tr w:rsidR="00AC4576" w14:paraId="5E275A93" w14:textId="77777777" w:rsidTr="00800258">
        <w:tc>
          <w:tcPr>
            <w:tcW w:w="2789" w:type="dxa"/>
          </w:tcPr>
          <w:p w14:paraId="1210CFA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29FC199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716.20c</w:t>
            </w:r>
          </w:p>
        </w:tc>
        <w:tc>
          <w:tcPr>
            <w:tcW w:w="2790" w:type="dxa"/>
          </w:tcPr>
          <w:p w14:paraId="476F2F8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339.40d</w:t>
            </w:r>
          </w:p>
        </w:tc>
        <w:tc>
          <w:tcPr>
            <w:tcW w:w="2790" w:type="dxa"/>
          </w:tcPr>
          <w:p w14:paraId="0F7EBD7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271.25cd</w:t>
            </w:r>
          </w:p>
        </w:tc>
        <w:tc>
          <w:tcPr>
            <w:tcW w:w="1892" w:type="dxa"/>
          </w:tcPr>
          <w:p w14:paraId="0C38126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180.50cd</w:t>
            </w:r>
          </w:p>
        </w:tc>
      </w:tr>
      <w:tr w:rsidR="00AC4576" w14:paraId="0EF3C084" w14:textId="77777777" w:rsidTr="00800258">
        <w:tc>
          <w:tcPr>
            <w:tcW w:w="2789" w:type="dxa"/>
          </w:tcPr>
          <w:p w14:paraId="26CAB31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49452C3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687.85cd</w:t>
            </w:r>
          </w:p>
        </w:tc>
        <w:tc>
          <w:tcPr>
            <w:tcW w:w="2790" w:type="dxa"/>
          </w:tcPr>
          <w:p w14:paraId="7DBEBA1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288.55d</w:t>
            </w:r>
          </w:p>
        </w:tc>
        <w:tc>
          <w:tcPr>
            <w:tcW w:w="2790" w:type="dxa"/>
          </w:tcPr>
          <w:p w14:paraId="18F5B1F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206.55de</w:t>
            </w:r>
          </w:p>
        </w:tc>
        <w:tc>
          <w:tcPr>
            <w:tcW w:w="1892" w:type="dxa"/>
          </w:tcPr>
          <w:p w14:paraId="24BA023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147.50cde</w:t>
            </w:r>
          </w:p>
        </w:tc>
      </w:tr>
      <w:tr w:rsidR="00AC4576" w14:paraId="067DC214" w14:textId="77777777" w:rsidTr="00800258">
        <w:tc>
          <w:tcPr>
            <w:tcW w:w="2789" w:type="dxa"/>
          </w:tcPr>
          <w:p w14:paraId="382D34D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3950C80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651.70cd</w:t>
            </w:r>
          </w:p>
        </w:tc>
        <w:tc>
          <w:tcPr>
            <w:tcW w:w="2790" w:type="dxa"/>
          </w:tcPr>
          <w:p w14:paraId="6B1605D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350.10d</w:t>
            </w:r>
          </w:p>
        </w:tc>
        <w:tc>
          <w:tcPr>
            <w:tcW w:w="2790" w:type="dxa"/>
          </w:tcPr>
          <w:p w14:paraId="46EBC2E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257.10cd</w:t>
            </w:r>
          </w:p>
        </w:tc>
        <w:tc>
          <w:tcPr>
            <w:tcW w:w="1892" w:type="dxa"/>
          </w:tcPr>
          <w:p w14:paraId="5DA10D0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170.60c-d</w:t>
            </w:r>
          </w:p>
        </w:tc>
      </w:tr>
      <w:tr w:rsidR="00AC4576" w14:paraId="4E4F2A38" w14:textId="77777777" w:rsidTr="00800258">
        <w:tc>
          <w:tcPr>
            <w:tcW w:w="2789" w:type="dxa"/>
          </w:tcPr>
          <w:p w14:paraId="218B286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72998E3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1763.40a</w:t>
            </w:r>
          </w:p>
        </w:tc>
        <w:tc>
          <w:tcPr>
            <w:tcW w:w="2790" w:type="dxa"/>
          </w:tcPr>
          <w:p w14:paraId="07F0F66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1375.25a</w:t>
            </w:r>
          </w:p>
        </w:tc>
        <w:tc>
          <w:tcPr>
            <w:tcW w:w="2790" w:type="dxa"/>
          </w:tcPr>
          <w:p w14:paraId="42295FA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1009.40a</w:t>
            </w:r>
          </w:p>
        </w:tc>
        <w:tc>
          <w:tcPr>
            <w:tcW w:w="1892" w:type="dxa"/>
          </w:tcPr>
          <w:p w14:paraId="48465C4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842.15a</w:t>
            </w:r>
          </w:p>
        </w:tc>
      </w:tr>
      <w:tr w:rsidR="00AC4576" w14:paraId="58647E35" w14:textId="77777777" w:rsidTr="00800258">
        <w:tc>
          <w:tcPr>
            <w:tcW w:w="2789" w:type="dxa"/>
          </w:tcPr>
          <w:p w14:paraId="4E138E0B"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5F3D24D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476.00e</w:t>
            </w:r>
          </w:p>
        </w:tc>
        <w:tc>
          <w:tcPr>
            <w:tcW w:w="2790" w:type="dxa"/>
          </w:tcPr>
          <w:p w14:paraId="47BA6A8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310.15d</w:t>
            </w:r>
          </w:p>
        </w:tc>
        <w:tc>
          <w:tcPr>
            <w:tcW w:w="2790" w:type="dxa"/>
          </w:tcPr>
          <w:p w14:paraId="55966A0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207.25de</w:t>
            </w:r>
          </w:p>
        </w:tc>
        <w:tc>
          <w:tcPr>
            <w:tcW w:w="1892" w:type="dxa"/>
          </w:tcPr>
          <w:p w14:paraId="066E815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91.00def</w:t>
            </w:r>
          </w:p>
        </w:tc>
      </w:tr>
      <w:tr w:rsidR="00AC4576" w14:paraId="7998EAD6" w14:textId="77777777" w:rsidTr="00800258">
        <w:tc>
          <w:tcPr>
            <w:tcW w:w="2789" w:type="dxa"/>
          </w:tcPr>
          <w:p w14:paraId="224A996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22EC29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1772.65a</w:t>
            </w:r>
          </w:p>
        </w:tc>
        <w:tc>
          <w:tcPr>
            <w:tcW w:w="2790" w:type="dxa"/>
          </w:tcPr>
          <w:p w14:paraId="58EF1A9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1327.65a</w:t>
            </w:r>
          </w:p>
        </w:tc>
        <w:tc>
          <w:tcPr>
            <w:tcW w:w="2790" w:type="dxa"/>
          </w:tcPr>
          <w:p w14:paraId="67DB979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1067.35a</w:t>
            </w:r>
          </w:p>
        </w:tc>
        <w:tc>
          <w:tcPr>
            <w:tcW w:w="1892" w:type="dxa"/>
          </w:tcPr>
          <w:p w14:paraId="6E52CD3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841.55a</w:t>
            </w:r>
          </w:p>
        </w:tc>
      </w:tr>
      <w:tr w:rsidR="00AC4576" w14:paraId="5D0A8083" w14:textId="77777777" w:rsidTr="00800258">
        <w:tc>
          <w:tcPr>
            <w:tcW w:w="2789" w:type="dxa"/>
          </w:tcPr>
          <w:p w14:paraId="7A7604CE"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1CA356C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591.90d</w:t>
            </w:r>
          </w:p>
        </w:tc>
        <w:tc>
          <w:tcPr>
            <w:tcW w:w="2790" w:type="dxa"/>
          </w:tcPr>
          <w:p w14:paraId="414531E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377.35d</w:t>
            </w:r>
          </w:p>
        </w:tc>
        <w:tc>
          <w:tcPr>
            <w:tcW w:w="2790" w:type="dxa"/>
          </w:tcPr>
          <w:p w14:paraId="1698B02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283.95cd</w:t>
            </w:r>
          </w:p>
        </w:tc>
        <w:tc>
          <w:tcPr>
            <w:tcW w:w="1892" w:type="dxa"/>
          </w:tcPr>
          <w:p w14:paraId="7AA9BED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197.10cd</w:t>
            </w:r>
          </w:p>
        </w:tc>
      </w:tr>
      <w:tr w:rsidR="00AC4576" w14:paraId="7AAB2CF0" w14:textId="77777777" w:rsidTr="00800258">
        <w:tc>
          <w:tcPr>
            <w:tcW w:w="2789" w:type="dxa"/>
          </w:tcPr>
          <w:p w14:paraId="76F1161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19E9CE9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733.85c</w:t>
            </w:r>
          </w:p>
        </w:tc>
        <w:tc>
          <w:tcPr>
            <w:tcW w:w="2790" w:type="dxa"/>
          </w:tcPr>
          <w:p w14:paraId="39A76D7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533.90c</w:t>
            </w:r>
          </w:p>
        </w:tc>
        <w:tc>
          <w:tcPr>
            <w:tcW w:w="2790" w:type="dxa"/>
          </w:tcPr>
          <w:p w14:paraId="671F5CA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324.20c</w:t>
            </w:r>
          </w:p>
        </w:tc>
        <w:tc>
          <w:tcPr>
            <w:tcW w:w="1892" w:type="dxa"/>
          </w:tcPr>
          <w:p w14:paraId="393328A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203.40c</w:t>
            </w:r>
          </w:p>
        </w:tc>
      </w:tr>
      <w:tr w:rsidR="00AC4576" w14:paraId="1C33F985" w14:textId="77777777" w:rsidTr="00800258">
        <w:tc>
          <w:tcPr>
            <w:tcW w:w="2789" w:type="dxa"/>
          </w:tcPr>
          <w:p w14:paraId="13E7DBB7"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40E4BDF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176.60f</w:t>
            </w:r>
          </w:p>
        </w:tc>
        <w:tc>
          <w:tcPr>
            <w:tcW w:w="2790" w:type="dxa"/>
          </w:tcPr>
          <w:p w14:paraId="2257A4D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133.30e</w:t>
            </w:r>
          </w:p>
        </w:tc>
        <w:tc>
          <w:tcPr>
            <w:tcW w:w="2790" w:type="dxa"/>
          </w:tcPr>
          <w:p w14:paraId="175A865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85.30f</w:t>
            </w:r>
          </w:p>
        </w:tc>
        <w:tc>
          <w:tcPr>
            <w:tcW w:w="1892" w:type="dxa"/>
          </w:tcPr>
          <w:p w14:paraId="06E1B6F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28.75f</w:t>
            </w:r>
          </w:p>
        </w:tc>
      </w:tr>
      <w:tr w:rsidR="00AC4576" w14:paraId="3117258E" w14:textId="77777777" w:rsidTr="00800258">
        <w:tc>
          <w:tcPr>
            <w:tcW w:w="2789" w:type="dxa"/>
          </w:tcPr>
          <w:p w14:paraId="10F81F1D"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19CE4D1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253.55f</w:t>
            </w:r>
          </w:p>
        </w:tc>
        <w:tc>
          <w:tcPr>
            <w:tcW w:w="2790" w:type="dxa"/>
          </w:tcPr>
          <w:p w14:paraId="1A6F3B2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155.65e</w:t>
            </w:r>
          </w:p>
        </w:tc>
        <w:tc>
          <w:tcPr>
            <w:tcW w:w="2790" w:type="dxa"/>
          </w:tcPr>
          <w:p w14:paraId="383C0C1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114.10ef</w:t>
            </w:r>
          </w:p>
        </w:tc>
        <w:tc>
          <w:tcPr>
            <w:tcW w:w="1892" w:type="dxa"/>
          </w:tcPr>
          <w:p w14:paraId="72A7F96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51.05ef</w:t>
            </w:r>
          </w:p>
        </w:tc>
      </w:tr>
      <w:tr w:rsidR="00AC4576" w14:paraId="233E848F" w14:textId="77777777" w:rsidTr="00800258">
        <w:tc>
          <w:tcPr>
            <w:tcW w:w="2789" w:type="dxa"/>
          </w:tcPr>
          <w:p w14:paraId="6008834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41A18B6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912.55b</w:t>
            </w:r>
          </w:p>
        </w:tc>
        <w:tc>
          <w:tcPr>
            <w:tcW w:w="2790" w:type="dxa"/>
          </w:tcPr>
          <w:p w14:paraId="6D6D6F8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676.75b</w:t>
            </w:r>
          </w:p>
        </w:tc>
        <w:tc>
          <w:tcPr>
            <w:tcW w:w="2790" w:type="dxa"/>
          </w:tcPr>
          <w:p w14:paraId="1A5CF6C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554.35b</w:t>
            </w:r>
          </w:p>
        </w:tc>
        <w:tc>
          <w:tcPr>
            <w:tcW w:w="1892" w:type="dxa"/>
          </w:tcPr>
          <w:p w14:paraId="7B73C44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471.50b</w:t>
            </w:r>
          </w:p>
        </w:tc>
      </w:tr>
      <w:tr w:rsidR="00AC4576" w14:paraId="185079AE" w14:textId="77777777" w:rsidTr="00800258">
        <w:tc>
          <w:tcPr>
            <w:tcW w:w="2789" w:type="dxa"/>
          </w:tcPr>
          <w:p w14:paraId="3070199F" w14:textId="77777777" w:rsidR="00AC4576" w:rsidRPr="006B220C" w:rsidRDefault="00AC4576"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5793C107"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5A610255"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56A35A15"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53C3C459"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6258B88A" w14:textId="77777777" w:rsidR="00AC4576" w:rsidRDefault="00AC4576" w:rsidP="00AC4576">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A41405">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00AC660C" w14:textId="77777777" w:rsidR="00AC4576" w:rsidRDefault="00AC4576" w:rsidP="00AC4576">
      <w:pPr>
        <w:spacing w:line="360" w:lineRule="auto"/>
        <w:rPr>
          <w:rFonts w:ascii="Times New Roman" w:hAnsi="Times New Roman" w:cs="Times New Roman"/>
          <w:sz w:val="24"/>
          <w:szCs w:val="24"/>
        </w:rPr>
      </w:pPr>
    </w:p>
    <w:p w14:paraId="54A8DEEB" w14:textId="77777777" w:rsidR="00AC4576" w:rsidRDefault="00AC4576" w:rsidP="008B6C62">
      <w:pPr>
        <w:jc w:val="both"/>
        <w:rPr>
          <w:rFonts w:ascii="Arial" w:hAnsi="Arial" w:cs="Arial"/>
          <w:b/>
          <w:bCs/>
        </w:rPr>
      </w:pPr>
    </w:p>
    <w:p w14:paraId="686FF78A" w14:textId="77777777" w:rsidR="00AC4576" w:rsidRDefault="00AC4576" w:rsidP="008B6C62">
      <w:pPr>
        <w:jc w:val="both"/>
        <w:rPr>
          <w:rFonts w:ascii="Arial" w:hAnsi="Arial" w:cs="Arial"/>
          <w:b/>
          <w:bCs/>
        </w:rPr>
      </w:pPr>
    </w:p>
    <w:p w14:paraId="676565CF" w14:textId="77777777" w:rsidR="00AC4576" w:rsidRDefault="00AC4576" w:rsidP="008B6C62">
      <w:pPr>
        <w:jc w:val="both"/>
        <w:rPr>
          <w:rFonts w:ascii="Arial" w:hAnsi="Arial" w:cs="Arial"/>
          <w:b/>
          <w:bCs/>
        </w:rPr>
      </w:pPr>
    </w:p>
    <w:p w14:paraId="6370F2BE" w14:textId="77777777" w:rsidR="00EB7B5F" w:rsidRDefault="00EB7B5F" w:rsidP="008B6C62">
      <w:pPr>
        <w:jc w:val="both"/>
        <w:rPr>
          <w:rFonts w:ascii="Arial" w:hAnsi="Arial" w:cs="Arial"/>
          <w:b/>
          <w:bCs/>
        </w:rPr>
        <w:sectPr w:rsidR="00EB7B5F" w:rsidSect="008820E5">
          <w:pgSz w:w="16838" w:h="11906" w:orient="landscape" w:code="9"/>
          <w:pgMar w:top="630" w:right="1440" w:bottom="1080" w:left="1440" w:header="720" w:footer="720" w:gutter="0"/>
          <w:cols w:space="720"/>
          <w:docGrid w:linePitch="360"/>
        </w:sectPr>
      </w:pPr>
    </w:p>
    <w:p w14:paraId="23730AA4" w14:textId="45F4E945" w:rsidR="00CC1ECA" w:rsidRPr="00CA229D" w:rsidRDefault="00147A4C" w:rsidP="008B6C62">
      <w:pPr>
        <w:jc w:val="both"/>
        <w:rPr>
          <w:rFonts w:ascii="Arial" w:hAnsi="Arial" w:cs="Arial"/>
          <w:b/>
          <w:bCs/>
        </w:rPr>
      </w:pPr>
      <w:r>
        <w:rPr>
          <w:rFonts w:ascii="Arial" w:hAnsi="Arial" w:cs="Arial"/>
          <w:b/>
          <w:bCs/>
        </w:rPr>
        <w:lastRenderedPageBreak/>
        <w:t xml:space="preserve">3.2 </w:t>
      </w:r>
      <w:r w:rsidR="009D60F9" w:rsidRPr="00CA229D">
        <w:rPr>
          <w:rFonts w:ascii="Arial" w:hAnsi="Arial" w:cs="Arial"/>
          <w:b/>
          <w:bCs/>
        </w:rPr>
        <w:t>DISCUSSION</w:t>
      </w:r>
    </w:p>
    <w:p w14:paraId="6B04D8BB" w14:textId="1A325EE3"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 identification of iron-tolerant rice genotypes represents a crucial step toward sustainable rice production in iron-toxic environments. Our systematic investigation of twelve rice genotypes under controlled iron stress conditions has revealed substantial genotypic variation in iron tolerance during germination and early seedling growth. The morphophysiological parameters employed in this study</w:t>
      </w:r>
      <w:r w:rsidR="008B6C62" w:rsidRPr="009D60F9">
        <w:rPr>
          <w:rFonts w:ascii="Arial" w:hAnsi="Arial" w:cs="Arial"/>
          <w:color w:val="0F1115"/>
          <w:sz w:val="20"/>
          <w:szCs w:val="20"/>
        </w:rPr>
        <w:t xml:space="preserve">, final germination percentage, </w:t>
      </w:r>
      <w:r w:rsidRPr="009D60F9">
        <w:rPr>
          <w:rFonts w:ascii="Arial" w:hAnsi="Arial" w:cs="Arial"/>
          <w:color w:val="0F1115"/>
          <w:sz w:val="20"/>
          <w:szCs w:val="20"/>
        </w:rPr>
        <w:t>plumule length, radicle length, and seedling vigour index</w:t>
      </w:r>
      <w:r w:rsidR="008B6C62" w:rsidRPr="009D60F9">
        <w:rPr>
          <w:rFonts w:ascii="Arial" w:hAnsi="Arial" w:cs="Arial"/>
          <w:color w:val="0F1115"/>
          <w:sz w:val="20"/>
          <w:szCs w:val="20"/>
        </w:rPr>
        <w:t xml:space="preserve">, </w:t>
      </w:r>
      <w:r w:rsidRPr="009D60F9">
        <w:rPr>
          <w:rFonts w:ascii="Arial" w:hAnsi="Arial" w:cs="Arial"/>
          <w:color w:val="0F1115"/>
          <w:sz w:val="20"/>
          <w:szCs w:val="20"/>
        </w:rPr>
        <w:t>proved to be highly effective indicators for early screening and selection of iron-tolerant genotypes.</w:t>
      </w:r>
    </w:p>
    <w:p w14:paraId="33FB6E41" w14:textId="1C1A4B82"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 dose-dependent growth inhibition observed across all genotypes aligns with established patterns of iron toxicity response in rice.</w:t>
      </w:r>
      <w:r w:rsidR="00D56229" w:rsidRPr="009D60F9">
        <w:rPr>
          <w:rFonts w:ascii="Arial" w:hAnsi="Arial" w:cs="Arial"/>
          <w:color w:val="0F1115"/>
          <w:sz w:val="20"/>
          <w:szCs w:val="20"/>
        </w:rPr>
        <w:t xml:space="preserve"> </w:t>
      </w:r>
      <w:r w:rsidR="00D56229" w:rsidRPr="009D60F9">
        <w:rPr>
          <w:rFonts w:ascii="Arial" w:hAnsi="Arial" w:cs="Arial"/>
          <w:color w:val="0F1115"/>
          <w:sz w:val="20"/>
          <w:szCs w:val="20"/>
          <w:shd w:val="clear" w:color="auto" w:fill="FFFFFF"/>
        </w:rPr>
        <w:t>The genotypes FARO 26, FARO 52, and FARO 50 consistently exhibited exceptional tolerance, maintaining high germination speed, synchronization, and final germination percentage even at the extreme concentration of 600 mg/L Fe. Their ability to sustain vigorous germination under stress suggests the presence of efficient physiological mechanisms, such as enhanced antioxidant defense and iron sequestration, which protect the seeds from oxidative damage. Ahm</w:t>
      </w:r>
      <w:r w:rsidR="00F57995">
        <w:rPr>
          <w:rFonts w:ascii="Arial" w:hAnsi="Arial" w:cs="Arial"/>
          <w:color w:val="0F1115"/>
          <w:sz w:val="20"/>
          <w:szCs w:val="20"/>
          <w:shd w:val="clear" w:color="auto" w:fill="FFFFFF"/>
        </w:rPr>
        <w:t>e</w:t>
      </w:r>
      <w:r w:rsidR="00D56229" w:rsidRPr="009D60F9">
        <w:rPr>
          <w:rFonts w:ascii="Arial" w:hAnsi="Arial" w:cs="Arial"/>
          <w:color w:val="0F1115"/>
          <w:sz w:val="20"/>
          <w:szCs w:val="20"/>
          <w:shd w:val="clear" w:color="auto" w:fill="FFFFFF"/>
        </w:rPr>
        <w:t xml:space="preserve">d </w:t>
      </w:r>
      <w:r w:rsidR="00D56229" w:rsidRPr="009D60F9">
        <w:rPr>
          <w:rFonts w:ascii="Arial" w:hAnsi="Arial" w:cs="Arial"/>
          <w:i/>
          <w:iCs/>
          <w:color w:val="0F1115"/>
          <w:sz w:val="20"/>
          <w:szCs w:val="20"/>
          <w:shd w:val="clear" w:color="auto" w:fill="FFFFFF"/>
        </w:rPr>
        <w:t>et al</w:t>
      </w:r>
      <w:r w:rsidR="00D56229" w:rsidRPr="009D60F9">
        <w:rPr>
          <w:rFonts w:ascii="Arial" w:hAnsi="Arial" w:cs="Arial"/>
          <w:color w:val="0F1115"/>
          <w:sz w:val="20"/>
          <w:szCs w:val="20"/>
          <w:shd w:val="clear" w:color="auto" w:fill="FFFFFF"/>
        </w:rPr>
        <w:t>. (2023)</w:t>
      </w:r>
      <w:r w:rsidRPr="009D60F9">
        <w:rPr>
          <w:rFonts w:ascii="Arial" w:hAnsi="Arial" w:cs="Arial"/>
          <w:color w:val="0F1115"/>
          <w:sz w:val="20"/>
          <w:szCs w:val="20"/>
        </w:rPr>
        <w:t xml:space="preserve"> </w:t>
      </w:r>
      <w:r w:rsidR="00165630" w:rsidRPr="009D60F9">
        <w:rPr>
          <w:rFonts w:ascii="Arial" w:hAnsi="Arial" w:cs="Arial"/>
          <w:color w:val="0F1115"/>
          <w:sz w:val="20"/>
          <w:szCs w:val="20"/>
        </w:rPr>
        <w:t>reports</w:t>
      </w:r>
      <w:r w:rsidR="00D56229" w:rsidRPr="009D60F9">
        <w:rPr>
          <w:rFonts w:ascii="Arial" w:hAnsi="Arial" w:cs="Arial"/>
          <w:color w:val="0F1115"/>
          <w:sz w:val="20"/>
          <w:szCs w:val="20"/>
        </w:rPr>
        <w:t xml:space="preserve"> similar results in </w:t>
      </w:r>
      <w:r w:rsidR="007E49A8" w:rsidRPr="009D60F9">
        <w:rPr>
          <w:rFonts w:ascii="Arial" w:hAnsi="Arial" w:cs="Arial"/>
          <w:color w:val="0F1115"/>
          <w:sz w:val="20"/>
          <w:szCs w:val="20"/>
        </w:rPr>
        <w:t xml:space="preserve">RD85 rice genotype in the final germination percentage (84.5%) treated with 900 mg/L Fe. </w:t>
      </w:r>
      <w:r w:rsidRPr="009D60F9">
        <w:rPr>
          <w:rFonts w:ascii="Arial" w:hAnsi="Arial" w:cs="Arial"/>
          <w:color w:val="0F1115"/>
          <w:sz w:val="20"/>
          <w:szCs w:val="20"/>
        </w:rPr>
        <w:t xml:space="preserve">However, the exceptional performance of FARO 52 and FARO 50 across all stress levels demonstrates their superior tolerance mechanisms. Previous studies by Wu </w:t>
      </w:r>
      <w:r w:rsidRPr="009D60F9">
        <w:rPr>
          <w:rFonts w:ascii="Arial" w:hAnsi="Arial" w:cs="Arial"/>
          <w:i/>
          <w:iCs/>
          <w:color w:val="0F1115"/>
          <w:sz w:val="20"/>
          <w:szCs w:val="20"/>
        </w:rPr>
        <w:t>et al</w:t>
      </w:r>
      <w:r w:rsidRPr="009D60F9">
        <w:rPr>
          <w:rFonts w:ascii="Arial" w:hAnsi="Arial" w:cs="Arial"/>
          <w:color w:val="0F1115"/>
          <w:sz w:val="20"/>
          <w:szCs w:val="20"/>
        </w:rPr>
        <w:t xml:space="preserve">. (2017) reported similar growth suppression in sensitive genotypes, but the maintenance of plumule lengths exceeding 5 cm in FARO 52 and FARO 50 at 600 mg/L Fe represents a significant improvement </w:t>
      </w:r>
      <w:r w:rsidR="007E49A8" w:rsidRPr="009D60F9">
        <w:rPr>
          <w:rFonts w:ascii="Arial" w:hAnsi="Arial" w:cs="Arial"/>
          <w:color w:val="0F1115"/>
          <w:sz w:val="20"/>
          <w:szCs w:val="20"/>
        </w:rPr>
        <w:t>over previously documented tolerant genotype</w:t>
      </w:r>
      <w:r w:rsidRPr="009D60F9">
        <w:rPr>
          <w:rFonts w:ascii="Arial" w:hAnsi="Arial" w:cs="Arial"/>
          <w:color w:val="0F1115"/>
          <w:sz w:val="20"/>
          <w:szCs w:val="20"/>
        </w:rPr>
        <w:t>. This enhanced performance suggests the presence of more efficient defense mechanisms in these cultivars, possibly involving improved iron exclusion or compartmentalization.</w:t>
      </w:r>
      <w:r w:rsidR="000E4A25" w:rsidRPr="009D60F9">
        <w:rPr>
          <w:rFonts w:ascii="Arial" w:hAnsi="Arial" w:cs="Arial"/>
          <w:color w:val="0F1115"/>
          <w:sz w:val="20"/>
          <w:szCs w:val="20"/>
        </w:rPr>
        <w:t xml:space="preserve"> Similar results were reported by </w:t>
      </w:r>
      <w:r w:rsidR="00053A1F" w:rsidRPr="00A3049C">
        <w:rPr>
          <w:rFonts w:ascii="Arial" w:hAnsi="Arial" w:cs="Arial"/>
          <w:sz w:val="20"/>
          <w:szCs w:val="20"/>
        </w:rPr>
        <w:t>Roy and Sharma</w:t>
      </w:r>
      <w:r w:rsidR="00A711D3" w:rsidRPr="00A3049C">
        <w:rPr>
          <w:rFonts w:ascii="Arial" w:hAnsi="Arial" w:cs="Arial"/>
          <w:sz w:val="20"/>
          <w:szCs w:val="20"/>
        </w:rPr>
        <w:t xml:space="preserve"> (</w:t>
      </w:r>
      <w:r w:rsidR="000E4A25" w:rsidRPr="00A3049C">
        <w:rPr>
          <w:rFonts w:ascii="Arial" w:hAnsi="Arial" w:cs="Arial"/>
          <w:sz w:val="20"/>
          <w:szCs w:val="20"/>
        </w:rPr>
        <w:t>201</w:t>
      </w:r>
      <w:r w:rsidR="00A3049C" w:rsidRPr="00A3049C">
        <w:rPr>
          <w:rFonts w:ascii="Arial" w:hAnsi="Arial" w:cs="Arial"/>
          <w:sz w:val="20"/>
          <w:szCs w:val="20"/>
        </w:rPr>
        <w:t>4</w:t>
      </w:r>
      <w:r w:rsidR="000E4A25" w:rsidRPr="00A3049C">
        <w:rPr>
          <w:rFonts w:ascii="Arial" w:hAnsi="Arial" w:cs="Arial"/>
          <w:sz w:val="20"/>
          <w:szCs w:val="20"/>
        </w:rPr>
        <w:t xml:space="preserve">) </w:t>
      </w:r>
      <w:r w:rsidR="000E4A25" w:rsidRPr="009D60F9">
        <w:rPr>
          <w:rFonts w:ascii="Arial" w:hAnsi="Arial" w:cs="Arial"/>
          <w:color w:val="0F1115"/>
          <w:sz w:val="20"/>
          <w:szCs w:val="20"/>
        </w:rPr>
        <w:t xml:space="preserve">and Rout </w:t>
      </w:r>
      <w:r w:rsidR="000E4A25" w:rsidRPr="009D60F9">
        <w:rPr>
          <w:rFonts w:ascii="Arial" w:hAnsi="Arial" w:cs="Arial"/>
          <w:i/>
          <w:iCs/>
          <w:color w:val="0F1115"/>
          <w:sz w:val="20"/>
          <w:szCs w:val="20"/>
        </w:rPr>
        <w:t>et al</w:t>
      </w:r>
      <w:r w:rsidR="000E4A25" w:rsidRPr="009D60F9">
        <w:rPr>
          <w:rFonts w:ascii="Arial" w:hAnsi="Arial" w:cs="Arial"/>
          <w:color w:val="0F1115"/>
          <w:sz w:val="20"/>
          <w:szCs w:val="20"/>
        </w:rPr>
        <w:t xml:space="preserve">. (2014). However, Ahmed </w:t>
      </w:r>
      <w:r w:rsidR="00A711D3" w:rsidRPr="009D60F9">
        <w:rPr>
          <w:rFonts w:ascii="Arial" w:hAnsi="Arial" w:cs="Arial"/>
          <w:i/>
          <w:iCs/>
          <w:color w:val="0F1115"/>
          <w:sz w:val="20"/>
          <w:szCs w:val="20"/>
        </w:rPr>
        <w:t>et al</w:t>
      </w:r>
      <w:r w:rsidR="00A711D3" w:rsidRPr="009D60F9">
        <w:rPr>
          <w:rFonts w:ascii="Arial" w:hAnsi="Arial" w:cs="Arial"/>
          <w:color w:val="0F1115"/>
          <w:sz w:val="20"/>
          <w:szCs w:val="20"/>
        </w:rPr>
        <w:t>. (</w:t>
      </w:r>
      <w:r w:rsidR="000E4A25" w:rsidRPr="009D60F9">
        <w:rPr>
          <w:rFonts w:ascii="Arial" w:hAnsi="Arial" w:cs="Arial"/>
          <w:color w:val="0F1115"/>
          <w:sz w:val="20"/>
          <w:szCs w:val="20"/>
        </w:rPr>
        <w:t xml:space="preserve">2023) reported </w:t>
      </w:r>
      <w:r w:rsidR="00B42DBA" w:rsidRPr="009D60F9">
        <w:rPr>
          <w:rFonts w:ascii="Arial" w:hAnsi="Arial" w:cs="Arial"/>
          <w:color w:val="0F1115"/>
          <w:sz w:val="20"/>
          <w:szCs w:val="20"/>
        </w:rPr>
        <w:t xml:space="preserve">a </w:t>
      </w:r>
      <w:r w:rsidR="000E4A25" w:rsidRPr="009D60F9">
        <w:rPr>
          <w:rFonts w:ascii="Arial" w:hAnsi="Arial" w:cs="Arial"/>
          <w:color w:val="0F1115"/>
          <w:sz w:val="20"/>
          <w:szCs w:val="20"/>
        </w:rPr>
        <w:t xml:space="preserve">negative impact with respect to increasing levels of Fe treatments on the mean performance of the genotypes in the final germination percentage. </w:t>
      </w:r>
    </w:p>
    <w:p w14:paraId="4FC171E1" w14:textId="1962617C"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 xml:space="preserve">The radicle responses observed in </w:t>
      </w:r>
      <w:r w:rsidR="00E83F44" w:rsidRPr="009D60F9">
        <w:rPr>
          <w:rFonts w:ascii="Arial" w:hAnsi="Arial" w:cs="Arial"/>
          <w:color w:val="0F1115"/>
          <w:sz w:val="20"/>
          <w:szCs w:val="20"/>
        </w:rPr>
        <w:t>this</w:t>
      </w:r>
      <w:r w:rsidRPr="009D60F9">
        <w:rPr>
          <w:rFonts w:ascii="Arial" w:hAnsi="Arial" w:cs="Arial"/>
          <w:color w:val="0F1115"/>
          <w:sz w:val="20"/>
          <w:szCs w:val="20"/>
        </w:rPr>
        <w:t xml:space="preserve"> study provide particularly valuable insights into genotypic differences in iron tolerance. The extreme sensitivity exhibited by FARO 33, </w:t>
      </w:r>
      <w:r w:rsidR="008B6C62" w:rsidRPr="009D60F9">
        <w:rPr>
          <w:rFonts w:ascii="Arial" w:hAnsi="Arial" w:cs="Arial"/>
          <w:color w:val="0F1115"/>
          <w:sz w:val="20"/>
          <w:szCs w:val="20"/>
        </w:rPr>
        <w:t>showing a</w:t>
      </w:r>
      <w:r w:rsidRPr="009D60F9">
        <w:rPr>
          <w:rFonts w:ascii="Arial" w:hAnsi="Arial" w:cs="Arial"/>
          <w:color w:val="0F1115"/>
          <w:sz w:val="20"/>
          <w:szCs w:val="20"/>
        </w:rPr>
        <w:t xml:space="preserve"> 75% reduction in radicle length at the highest iron concentration, exceeds the 50-65% reductions</w:t>
      </w:r>
      <w:r w:rsidR="00E83F44" w:rsidRPr="009D60F9">
        <w:rPr>
          <w:rFonts w:ascii="Arial" w:hAnsi="Arial" w:cs="Arial"/>
          <w:color w:val="0F1115"/>
          <w:sz w:val="20"/>
          <w:szCs w:val="20"/>
        </w:rPr>
        <w:t xml:space="preserve">. </w:t>
      </w:r>
      <w:r w:rsidR="00B42DBA" w:rsidRPr="009D60F9">
        <w:rPr>
          <w:rFonts w:ascii="Arial" w:hAnsi="Arial" w:cs="Arial"/>
          <w:color w:val="0F1115"/>
          <w:sz w:val="20"/>
          <w:szCs w:val="20"/>
        </w:rPr>
        <w:t>A similar</w:t>
      </w:r>
      <w:r w:rsidR="00E83F44" w:rsidRPr="009D60F9">
        <w:rPr>
          <w:rFonts w:ascii="Arial" w:hAnsi="Arial" w:cs="Arial"/>
          <w:color w:val="0F1115"/>
          <w:sz w:val="20"/>
          <w:szCs w:val="20"/>
        </w:rPr>
        <w:t xml:space="preserve"> result </w:t>
      </w:r>
      <w:r w:rsidR="00B43D08" w:rsidRPr="009D60F9">
        <w:rPr>
          <w:rFonts w:ascii="Arial" w:hAnsi="Arial" w:cs="Arial"/>
          <w:color w:val="0F1115"/>
          <w:sz w:val="20"/>
          <w:szCs w:val="20"/>
        </w:rPr>
        <w:t>was reported</w:t>
      </w:r>
      <w:r w:rsidRPr="009D60F9">
        <w:rPr>
          <w:rFonts w:ascii="Arial" w:hAnsi="Arial" w:cs="Arial"/>
          <w:color w:val="0F1115"/>
          <w:sz w:val="20"/>
          <w:szCs w:val="20"/>
        </w:rPr>
        <w:t xml:space="preserve"> by Engel </w:t>
      </w:r>
      <w:r w:rsidRPr="009D60F9">
        <w:rPr>
          <w:rFonts w:ascii="Arial" w:hAnsi="Arial" w:cs="Arial"/>
          <w:i/>
          <w:iCs/>
          <w:color w:val="0F1115"/>
          <w:sz w:val="20"/>
          <w:szCs w:val="20"/>
        </w:rPr>
        <w:t>et al</w:t>
      </w:r>
      <w:r w:rsidRPr="009D60F9">
        <w:rPr>
          <w:rFonts w:ascii="Arial" w:hAnsi="Arial" w:cs="Arial"/>
          <w:color w:val="0F1115"/>
          <w:sz w:val="20"/>
          <w:szCs w:val="20"/>
        </w:rPr>
        <w:t xml:space="preserve">. (2012) in their evaluation of African rice germplasm. This heightened sensitivity underscores the critical role of root systems as primary sites of iron toxicity damage. The maintained radicle growth in FARO 52 and FARO 50 supports earlier findings by Stein </w:t>
      </w:r>
      <w:r w:rsidRPr="009D60F9">
        <w:rPr>
          <w:rFonts w:ascii="Arial" w:hAnsi="Arial" w:cs="Arial"/>
          <w:i/>
          <w:iCs/>
          <w:color w:val="0F1115"/>
          <w:sz w:val="20"/>
          <w:szCs w:val="20"/>
        </w:rPr>
        <w:t>et al</w:t>
      </w:r>
      <w:r w:rsidRPr="009D60F9">
        <w:rPr>
          <w:rFonts w:ascii="Arial" w:hAnsi="Arial" w:cs="Arial"/>
          <w:color w:val="0F1115"/>
          <w:sz w:val="20"/>
          <w:szCs w:val="20"/>
        </w:rPr>
        <w:t xml:space="preserve">. (2019), who associated root system maintenance with </w:t>
      </w:r>
      <w:r w:rsidRPr="009D60F9">
        <w:rPr>
          <w:rFonts w:ascii="Arial" w:hAnsi="Arial" w:cs="Arial"/>
          <w:color w:val="0F1115"/>
          <w:sz w:val="20"/>
          <w:szCs w:val="20"/>
        </w:rPr>
        <w:lastRenderedPageBreak/>
        <w:t>enhanced iron plaque formation and superior oxidative stress management.</w:t>
      </w:r>
      <w:r w:rsidR="00E6231D" w:rsidRPr="009D60F9">
        <w:rPr>
          <w:rFonts w:ascii="Arial" w:hAnsi="Arial" w:cs="Arial"/>
          <w:color w:val="0F1115"/>
          <w:sz w:val="20"/>
          <w:szCs w:val="20"/>
        </w:rPr>
        <w:t xml:space="preserve"> Ahmed </w:t>
      </w:r>
      <w:r w:rsidR="00E6231D" w:rsidRPr="009D60F9">
        <w:rPr>
          <w:rFonts w:ascii="Arial" w:hAnsi="Arial" w:cs="Arial"/>
          <w:i/>
          <w:iCs/>
          <w:color w:val="0F1115"/>
          <w:sz w:val="20"/>
          <w:szCs w:val="20"/>
        </w:rPr>
        <w:t>et al.</w:t>
      </w:r>
      <w:r w:rsidR="00E6231D" w:rsidRPr="009D60F9">
        <w:rPr>
          <w:rFonts w:ascii="Arial" w:hAnsi="Arial" w:cs="Arial"/>
          <w:color w:val="0F1115"/>
          <w:sz w:val="20"/>
          <w:szCs w:val="20"/>
        </w:rPr>
        <w:t xml:space="preserve"> (2023) reported that lower levels of Fe treatments (150mg/L) enhance root length compared to the control, and it shows a steep decreasing trend at other Fe levels (300, 600</w:t>
      </w:r>
      <w:r w:rsidR="00B42DBA" w:rsidRPr="009D60F9">
        <w:rPr>
          <w:rFonts w:ascii="Arial" w:hAnsi="Arial" w:cs="Arial"/>
          <w:color w:val="0F1115"/>
          <w:sz w:val="20"/>
          <w:szCs w:val="20"/>
        </w:rPr>
        <w:t>,</w:t>
      </w:r>
      <w:r w:rsidR="00E6231D" w:rsidRPr="009D60F9">
        <w:rPr>
          <w:rFonts w:ascii="Arial" w:hAnsi="Arial" w:cs="Arial"/>
          <w:color w:val="0F1115"/>
          <w:sz w:val="20"/>
          <w:szCs w:val="20"/>
        </w:rPr>
        <w:t xml:space="preserve"> and 900 mg/L). In this present study, it was observed that increasing levels of iron concentrations from 300 – 600mg/L adversely affected the </w:t>
      </w:r>
      <w:r w:rsidR="00B42DBA" w:rsidRPr="009D60F9">
        <w:rPr>
          <w:rFonts w:ascii="Arial" w:hAnsi="Arial" w:cs="Arial"/>
          <w:color w:val="0F1115"/>
          <w:sz w:val="20"/>
          <w:szCs w:val="20"/>
        </w:rPr>
        <w:t>radicle</w:t>
      </w:r>
      <w:r w:rsidR="00E6231D" w:rsidRPr="009D60F9">
        <w:rPr>
          <w:rFonts w:ascii="Arial" w:hAnsi="Arial" w:cs="Arial"/>
          <w:color w:val="0F1115"/>
          <w:sz w:val="20"/>
          <w:szCs w:val="20"/>
        </w:rPr>
        <w:t xml:space="preserve"> length of the rice seedlings.</w:t>
      </w:r>
    </w:p>
    <w:p w14:paraId="4B3A9C67" w14:textId="39E14F3C" w:rsidR="00CC1ECA" w:rsidRPr="009D60F9" w:rsidRDefault="00BA54CB"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w:t>
      </w:r>
      <w:r w:rsidR="00CC1ECA" w:rsidRPr="009D60F9">
        <w:rPr>
          <w:rFonts w:ascii="Arial" w:hAnsi="Arial" w:cs="Arial"/>
          <w:color w:val="0F1115"/>
          <w:sz w:val="20"/>
          <w:szCs w:val="20"/>
        </w:rPr>
        <w:t xml:space="preserve"> results</w:t>
      </w:r>
      <w:r w:rsidRPr="009D60F9">
        <w:rPr>
          <w:rFonts w:ascii="Arial" w:hAnsi="Arial" w:cs="Arial"/>
          <w:color w:val="0F1115"/>
          <w:sz w:val="20"/>
          <w:szCs w:val="20"/>
        </w:rPr>
        <w:t xml:space="preserve"> of this present study</w:t>
      </w:r>
      <w:r w:rsidR="00CC1ECA" w:rsidRPr="009D60F9">
        <w:rPr>
          <w:rFonts w:ascii="Arial" w:hAnsi="Arial" w:cs="Arial"/>
          <w:color w:val="0F1115"/>
          <w:sz w:val="20"/>
          <w:szCs w:val="20"/>
        </w:rPr>
        <w:t xml:space="preserve"> demonstrate that </w:t>
      </w:r>
      <w:r w:rsidR="008B6C62" w:rsidRPr="009D60F9">
        <w:rPr>
          <w:rFonts w:ascii="Arial" w:hAnsi="Arial" w:cs="Arial"/>
          <w:color w:val="0F1115"/>
          <w:sz w:val="20"/>
          <w:szCs w:val="20"/>
        </w:rPr>
        <w:t xml:space="preserve">the </w:t>
      </w:r>
      <w:r w:rsidR="00CC1ECA" w:rsidRPr="009D60F9">
        <w:rPr>
          <w:rFonts w:ascii="Arial" w:hAnsi="Arial" w:cs="Arial"/>
          <w:color w:val="0F1115"/>
          <w:sz w:val="20"/>
          <w:szCs w:val="20"/>
        </w:rPr>
        <w:t xml:space="preserve">seedling vigour index serves as the most comprehensive parameter for genotype evaluation, effectively integrating the cumulative impact of iron stress on seedling development. The dramatic contrast between the elite genotypes maintaining SVI above 840 and the most sensitive genotype dropping to 28.75 at 600 mg/L Fe provides clear and reliable selection criteria. These findings represent a substantial improvement over earlier work by Majerus </w:t>
      </w:r>
      <w:r w:rsidR="00CC1ECA" w:rsidRPr="009D60F9">
        <w:rPr>
          <w:rFonts w:ascii="Arial" w:hAnsi="Arial" w:cs="Arial"/>
          <w:i/>
          <w:iCs/>
          <w:color w:val="0F1115"/>
          <w:sz w:val="20"/>
          <w:szCs w:val="20"/>
        </w:rPr>
        <w:t>et al</w:t>
      </w:r>
      <w:r w:rsidR="00CC1ECA" w:rsidRPr="009D60F9">
        <w:rPr>
          <w:rFonts w:ascii="Arial" w:hAnsi="Arial" w:cs="Arial"/>
          <w:color w:val="0F1115"/>
          <w:sz w:val="20"/>
          <w:szCs w:val="20"/>
        </w:rPr>
        <w:t>. (2007), who reported maximum SVI reductions of 80% in their best-performing genotypes</w:t>
      </w:r>
      <w:r w:rsidR="00B42DBA" w:rsidRPr="009D60F9">
        <w:rPr>
          <w:rFonts w:ascii="Arial" w:hAnsi="Arial" w:cs="Arial"/>
          <w:color w:val="0F1115"/>
          <w:sz w:val="20"/>
          <w:szCs w:val="20"/>
        </w:rPr>
        <w:t>. In contrast, FARO</w:t>
      </w:r>
      <w:r w:rsidR="00CC1ECA" w:rsidRPr="009D60F9">
        <w:rPr>
          <w:rFonts w:ascii="Arial" w:hAnsi="Arial" w:cs="Arial"/>
          <w:color w:val="0F1115"/>
          <w:sz w:val="20"/>
          <w:szCs w:val="20"/>
        </w:rPr>
        <w:t xml:space="preserve"> 52 and FARO 50 in our study maintained approximately 50% of their control values under severe stress conditions.</w:t>
      </w:r>
      <w:r w:rsidRPr="009D60F9">
        <w:rPr>
          <w:rFonts w:ascii="Arial" w:hAnsi="Arial" w:cs="Arial"/>
          <w:color w:val="0F1115"/>
          <w:sz w:val="20"/>
          <w:szCs w:val="20"/>
        </w:rPr>
        <w:t xml:space="preserve"> The results of this present study </w:t>
      </w:r>
      <w:r w:rsidR="00523B07" w:rsidRPr="009D60F9">
        <w:rPr>
          <w:rFonts w:ascii="Arial" w:hAnsi="Arial" w:cs="Arial"/>
          <w:color w:val="0F1115"/>
          <w:sz w:val="20"/>
          <w:szCs w:val="20"/>
        </w:rPr>
        <w:t>are</w:t>
      </w:r>
      <w:r w:rsidRPr="009D60F9">
        <w:rPr>
          <w:rFonts w:ascii="Arial" w:hAnsi="Arial" w:cs="Arial"/>
          <w:color w:val="0F1115"/>
          <w:sz w:val="20"/>
          <w:szCs w:val="20"/>
        </w:rPr>
        <w:t xml:space="preserve"> in agreement with the findings of Onyango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w:t>
      </w:r>
      <w:r w:rsidRPr="009D60F9">
        <w:rPr>
          <w:rFonts w:ascii="Arial" w:hAnsi="Arial" w:cs="Arial"/>
          <w:color w:val="0F1115"/>
          <w:sz w:val="20"/>
          <w:szCs w:val="20"/>
        </w:rPr>
        <w:t>2018), who reported that Fe</w:t>
      </w:r>
      <w:r w:rsidRPr="009D60F9">
        <w:rPr>
          <w:rFonts w:ascii="Arial" w:hAnsi="Arial" w:cs="Arial"/>
          <w:color w:val="0F1115"/>
          <w:sz w:val="20"/>
          <w:szCs w:val="20"/>
          <w:vertAlign w:val="superscript"/>
        </w:rPr>
        <w:t>2+</w:t>
      </w:r>
      <w:r w:rsidRPr="009D60F9">
        <w:rPr>
          <w:rFonts w:ascii="Arial" w:hAnsi="Arial" w:cs="Arial"/>
          <w:color w:val="0F1115"/>
          <w:sz w:val="20"/>
          <w:szCs w:val="20"/>
        </w:rPr>
        <w:t xml:space="preserve"> concentration of more </w:t>
      </w:r>
      <w:r w:rsidR="00B42DBA" w:rsidRPr="009D60F9">
        <w:rPr>
          <w:rFonts w:ascii="Arial" w:hAnsi="Arial" w:cs="Arial"/>
          <w:color w:val="0F1115"/>
          <w:sz w:val="20"/>
          <w:szCs w:val="20"/>
        </w:rPr>
        <w:t>than</w:t>
      </w:r>
      <w:r w:rsidRPr="009D60F9">
        <w:rPr>
          <w:rFonts w:ascii="Arial" w:hAnsi="Arial" w:cs="Arial"/>
          <w:color w:val="0F1115"/>
          <w:sz w:val="20"/>
          <w:szCs w:val="20"/>
        </w:rPr>
        <w:t xml:space="preserve"> 300mg/L would exert toxicity to rice seedlings. </w:t>
      </w:r>
      <w:r w:rsidR="00F420D7" w:rsidRPr="009D60F9">
        <w:rPr>
          <w:rFonts w:ascii="Arial" w:hAnsi="Arial" w:cs="Arial"/>
          <w:color w:val="0F1115"/>
          <w:sz w:val="20"/>
          <w:szCs w:val="20"/>
        </w:rPr>
        <w:t xml:space="preserve">Similar results were also reported by Sikirou </w:t>
      </w:r>
      <w:r w:rsidR="00F420D7" w:rsidRPr="009D60F9">
        <w:rPr>
          <w:rFonts w:ascii="Arial" w:hAnsi="Arial" w:cs="Arial"/>
          <w:i/>
          <w:iCs/>
          <w:color w:val="0F1115"/>
          <w:sz w:val="20"/>
          <w:szCs w:val="20"/>
        </w:rPr>
        <w:t>et al</w:t>
      </w:r>
      <w:r w:rsidR="00F420D7" w:rsidRPr="009D60F9">
        <w:rPr>
          <w:rFonts w:ascii="Arial" w:hAnsi="Arial" w:cs="Arial"/>
          <w:color w:val="0F1115"/>
          <w:sz w:val="20"/>
          <w:szCs w:val="20"/>
        </w:rPr>
        <w:t xml:space="preserve">. (2016), and Rout </w:t>
      </w:r>
      <w:r w:rsidR="00F420D7" w:rsidRPr="009D60F9">
        <w:rPr>
          <w:rFonts w:ascii="Arial" w:hAnsi="Arial" w:cs="Arial"/>
          <w:i/>
          <w:iCs/>
          <w:color w:val="0F1115"/>
          <w:sz w:val="20"/>
          <w:szCs w:val="20"/>
        </w:rPr>
        <w:t>et al</w:t>
      </w:r>
      <w:r w:rsidR="00F420D7" w:rsidRPr="009D60F9">
        <w:rPr>
          <w:rFonts w:ascii="Arial" w:hAnsi="Arial" w:cs="Arial"/>
          <w:color w:val="0F1115"/>
          <w:sz w:val="20"/>
          <w:szCs w:val="20"/>
        </w:rPr>
        <w:t>. (2014).</w:t>
      </w:r>
    </w:p>
    <w:p w14:paraId="228F0931" w14:textId="3E6FC960"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 xml:space="preserve">The consistent superiority of FARO 52 and FARO 50 across all measured parameters indicates the operation of comprehensive tolerance mechanisms. Their ability to maintain both plumule and radicle growth under high iron concentrations suggests efficient coordination of multiple defense strategies, including iron exclusion, internal compartmentalization, and oxidative stress management. This multi-mechanism tolerance aligns with recent molecular evidence presented by Kumar </w:t>
      </w:r>
      <w:r w:rsidRPr="009D60F9">
        <w:rPr>
          <w:rFonts w:ascii="Arial" w:hAnsi="Arial" w:cs="Arial"/>
          <w:i/>
          <w:iCs/>
          <w:color w:val="0F1115"/>
          <w:sz w:val="20"/>
          <w:szCs w:val="20"/>
        </w:rPr>
        <w:t>et al</w:t>
      </w:r>
      <w:r w:rsidRPr="009D60F9">
        <w:rPr>
          <w:rFonts w:ascii="Arial" w:hAnsi="Arial" w:cs="Arial"/>
          <w:color w:val="0F1115"/>
          <w:sz w:val="20"/>
          <w:szCs w:val="20"/>
        </w:rPr>
        <w:t>. (2020), who identified coordinated expression of iron transporters and antioxidant genes in tolerant rice genotypes.</w:t>
      </w:r>
      <w:r w:rsidR="00523B07" w:rsidRPr="009D60F9">
        <w:rPr>
          <w:rFonts w:ascii="Arial" w:hAnsi="Arial" w:cs="Arial"/>
          <w:color w:val="0F1115"/>
          <w:sz w:val="20"/>
          <w:szCs w:val="20"/>
        </w:rPr>
        <w:t xml:space="preserve"> Similar results were reported by Ahmed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(2023), Onyango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(2018), and Sikirou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(2016).</w:t>
      </w:r>
    </w:p>
    <w:p w14:paraId="6460543F" w14:textId="77777777"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 intermediate tolerance pattern displayed by FARO 26 presents an interesting case for further investigation. While showing moderate reductions in individual growth parameters, its maintained seedling vigour index suggests an alternative tolerance strategy focused on physiological resilience rather than maximum growth potential. This pattern resembles the "metabolic tolerance" mechanism described by Audebert and Fofana (2009), where genotypes prioritize cellular protection over aggressive growth under stress conditions.</w:t>
      </w:r>
    </w:p>
    <w:p w14:paraId="5E8CDE9C" w14:textId="7A317F80" w:rsidR="00CC1ECA" w:rsidRPr="008B6C62"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9D60F9">
        <w:rPr>
          <w:rFonts w:ascii="Arial" w:hAnsi="Arial" w:cs="Arial"/>
          <w:color w:val="0F1115"/>
          <w:sz w:val="20"/>
          <w:szCs w:val="20"/>
        </w:rPr>
        <w:lastRenderedPageBreak/>
        <w:t xml:space="preserve">The strong statistical significance of genotype × iron concentration interactions for all measured parameters confirms that genetic factors substantially influence how rice responds to iron stress during germination. This interaction provides the fundamental basis for genetic improvement through targeted selection and breeding. The clear separation of genotypes into distinct tolerance categories using these morphophysiological parameters validates </w:t>
      </w:r>
      <w:r w:rsidR="00523B07" w:rsidRPr="009D60F9">
        <w:rPr>
          <w:rFonts w:ascii="Arial" w:hAnsi="Arial" w:cs="Arial"/>
          <w:color w:val="0F1115"/>
          <w:sz w:val="20"/>
          <w:szCs w:val="20"/>
        </w:rPr>
        <w:t>this</w:t>
      </w:r>
      <w:r w:rsidRPr="009D60F9">
        <w:rPr>
          <w:rFonts w:ascii="Arial" w:hAnsi="Arial" w:cs="Arial"/>
          <w:color w:val="0F1115"/>
          <w:sz w:val="20"/>
          <w:szCs w:val="20"/>
        </w:rPr>
        <w:t xml:space="preserve"> screening approach for early selection in breeding programs targeting iron-toxic environments</w:t>
      </w:r>
      <w:r w:rsidRPr="008B6C62">
        <w:rPr>
          <w:rFonts w:ascii="Arial" w:hAnsi="Arial" w:cs="Arial"/>
          <w:color w:val="0F1115"/>
          <w:sz w:val="22"/>
          <w:szCs w:val="22"/>
        </w:rPr>
        <w:t>.</w:t>
      </w:r>
    </w:p>
    <w:p w14:paraId="61F328B0" w14:textId="33B5ED43" w:rsidR="00CA229D" w:rsidRPr="00CA229D" w:rsidRDefault="00147A4C" w:rsidP="00523B07">
      <w:pPr>
        <w:pStyle w:val="ds-markdown-paragraph"/>
        <w:shd w:val="clear" w:color="auto" w:fill="FFFFFF"/>
        <w:spacing w:before="240" w:beforeAutospacing="0" w:after="240" w:afterAutospacing="0" w:line="480" w:lineRule="auto"/>
        <w:jc w:val="both"/>
        <w:rPr>
          <w:rFonts w:ascii="Arial" w:hAnsi="Arial" w:cs="Arial"/>
          <w:b/>
          <w:bCs/>
          <w:color w:val="0F1115"/>
          <w:sz w:val="22"/>
          <w:szCs w:val="22"/>
        </w:rPr>
      </w:pPr>
      <w:r>
        <w:rPr>
          <w:rFonts w:ascii="Arial" w:hAnsi="Arial" w:cs="Arial"/>
          <w:b/>
          <w:bCs/>
          <w:color w:val="0F1115"/>
          <w:sz w:val="22"/>
          <w:szCs w:val="22"/>
        </w:rPr>
        <w:t xml:space="preserve">4.0 </w:t>
      </w:r>
      <w:r w:rsidR="009D60F9" w:rsidRPr="00CA229D">
        <w:rPr>
          <w:rFonts w:ascii="Arial" w:hAnsi="Arial" w:cs="Arial"/>
          <w:b/>
          <w:bCs/>
          <w:color w:val="0F1115"/>
          <w:sz w:val="22"/>
          <w:szCs w:val="22"/>
        </w:rPr>
        <w:t>CONCLUSION</w:t>
      </w:r>
    </w:p>
    <w:p w14:paraId="3817DFBC" w14:textId="0A134BFB" w:rsidR="00CC1ECA" w:rsidRPr="009D60F9" w:rsidRDefault="009D60F9"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C</w:t>
      </w:r>
      <w:r w:rsidR="00CC1ECA" w:rsidRPr="009D60F9">
        <w:rPr>
          <w:rFonts w:ascii="Arial" w:hAnsi="Arial" w:cs="Arial"/>
          <w:color w:val="0F1115"/>
          <w:sz w:val="20"/>
          <w:szCs w:val="20"/>
        </w:rPr>
        <w:t>onclusi</w:t>
      </w:r>
      <w:r>
        <w:rPr>
          <w:rFonts w:ascii="Arial" w:hAnsi="Arial" w:cs="Arial"/>
          <w:color w:val="0F1115"/>
          <w:sz w:val="20"/>
          <w:szCs w:val="20"/>
        </w:rPr>
        <w:t>vely,</w:t>
      </w:r>
      <w:r w:rsidR="00CC1ECA" w:rsidRPr="009D60F9">
        <w:rPr>
          <w:rFonts w:ascii="Arial" w:hAnsi="Arial" w:cs="Arial"/>
          <w:color w:val="0F1115"/>
          <w:sz w:val="20"/>
          <w:szCs w:val="20"/>
        </w:rPr>
        <w:t xml:space="preserve"> this study not only identifies FARO 52 and FARO 50 as elite iron-tolerant genotypes with superior performance characteristics but also establishes a robust framework for early-stage screening using multiple morphophysiological parameters. The consistency of </w:t>
      </w:r>
      <w:r w:rsidR="00A711D3" w:rsidRPr="009D60F9">
        <w:rPr>
          <w:rFonts w:ascii="Arial" w:hAnsi="Arial" w:cs="Arial"/>
          <w:color w:val="0F1115"/>
          <w:sz w:val="20"/>
          <w:szCs w:val="20"/>
        </w:rPr>
        <w:t>the</w:t>
      </w:r>
      <w:r w:rsidR="00CC1ECA" w:rsidRPr="009D60F9">
        <w:rPr>
          <w:rFonts w:ascii="Arial" w:hAnsi="Arial" w:cs="Arial"/>
          <w:color w:val="0F1115"/>
          <w:sz w:val="20"/>
          <w:szCs w:val="20"/>
        </w:rPr>
        <w:t xml:space="preserve"> findings </w:t>
      </w:r>
      <w:r w:rsidR="00A711D3" w:rsidRPr="009D60F9">
        <w:rPr>
          <w:rFonts w:ascii="Arial" w:hAnsi="Arial" w:cs="Arial"/>
          <w:color w:val="0F1115"/>
          <w:sz w:val="20"/>
          <w:szCs w:val="20"/>
        </w:rPr>
        <w:t xml:space="preserve">of this present study </w:t>
      </w:r>
      <w:r w:rsidR="00CC1ECA" w:rsidRPr="009D60F9">
        <w:rPr>
          <w:rFonts w:ascii="Arial" w:hAnsi="Arial" w:cs="Arial"/>
          <w:color w:val="0F1115"/>
          <w:sz w:val="20"/>
          <w:szCs w:val="20"/>
        </w:rPr>
        <w:t>with established iron toxicity mechanisms, combined with the identification of genotypes exhibiting improved tolerance compared to previous reports, represents a meaningful contribution to rice improvement for iron-toxic environments. Future research should focus on elucidating the molecular basis of the observed tolerance in these elite genotypes and validating their field performance across diverse iron-toxic environments.</w:t>
      </w:r>
    </w:p>
    <w:p w14:paraId="479C986B" w14:textId="5D902BA4" w:rsidR="00774AC7" w:rsidRDefault="00774AC7" w:rsidP="008B6C62">
      <w:pPr>
        <w:pStyle w:val="ds-markdown-paragraph"/>
        <w:shd w:val="clear" w:color="auto" w:fill="FFFFFF"/>
        <w:spacing w:before="240" w:beforeAutospacing="0" w:after="240" w:afterAutospacing="0"/>
        <w:jc w:val="both"/>
        <w:rPr>
          <w:rFonts w:ascii="Arial" w:hAnsi="Arial" w:cs="Arial"/>
          <w:b/>
          <w:bCs/>
          <w:color w:val="0F1115"/>
          <w:sz w:val="22"/>
          <w:szCs w:val="22"/>
        </w:rPr>
      </w:pPr>
    </w:p>
    <w:p w14:paraId="2B3BC008" w14:textId="77777777" w:rsidR="004E4BF3" w:rsidRPr="00111002" w:rsidRDefault="004E4BF3" w:rsidP="004E4BF3">
      <w:pPr>
        <w:pStyle w:val="ds-markdown-paragraph"/>
        <w:shd w:val="clear" w:color="auto" w:fill="FFFFFF"/>
        <w:spacing w:before="240" w:beforeAutospacing="0" w:after="240" w:afterAutospacing="0"/>
        <w:jc w:val="both"/>
        <w:rPr>
          <w:rFonts w:ascii="Arial" w:hAnsi="Arial" w:cs="Arial"/>
          <w:b/>
          <w:bCs/>
          <w:color w:val="0F1115"/>
          <w:sz w:val="22"/>
          <w:szCs w:val="22"/>
        </w:rPr>
      </w:pPr>
      <w:r w:rsidRPr="00111002">
        <w:rPr>
          <w:rFonts w:ascii="Arial" w:hAnsi="Arial" w:cs="Arial"/>
          <w:b/>
          <w:bCs/>
          <w:color w:val="0F1115"/>
          <w:sz w:val="22"/>
          <w:szCs w:val="22"/>
        </w:rPr>
        <w:t>REFERENCES</w:t>
      </w:r>
    </w:p>
    <w:p w14:paraId="2E42CE52" w14:textId="77777777" w:rsidR="004E4BF3" w:rsidRPr="009D60F9" w:rsidRDefault="004E4BF3" w:rsidP="004E4BF3">
      <w:pPr>
        <w:spacing w:line="480" w:lineRule="auto"/>
        <w:ind w:left="720" w:hanging="720"/>
        <w:jc w:val="both"/>
        <w:rPr>
          <w:rFonts w:ascii="Arial" w:hAnsi="Arial" w:cs="Arial"/>
          <w:sz w:val="20"/>
          <w:szCs w:val="20"/>
        </w:rPr>
      </w:pPr>
    </w:p>
    <w:p w14:paraId="53F1EA58"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sidRPr="008D75EA">
        <w:rPr>
          <w:rFonts w:ascii="Arial" w:hAnsi="Arial" w:cs="Arial"/>
          <w:color w:val="222222"/>
          <w:sz w:val="20"/>
          <w:szCs w:val="20"/>
          <w:shd w:val="clear" w:color="auto" w:fill="FFFFFF"/>
          <w:lang w:val="pt-BR"/>
        </w:rPr>
        <w:t xml:space="preserve">1. Müller, C., Kuki, K. N., Pinheiro, D. T., de Souza, L. R., Siqueira Silva, A. I., Loureiro, M. E., ... </w:t>
      </w:r>
      <w:r w:rsidRPr="009D60F9">
        <w:rPr>
          <w:rFonts w:ascii="Arial" w:hAnsi="Arial" w:cs="Arial"/>
          <w:color w:val="222222"/>
          <w:sz w:val="20"/>
          <w:szCs w:val="20"/>
          <w:shd w:val="clear" w:color="auto" w:fill="FFFFFF"/>
        </w:rPr>
        <w:t>&amp; Almeida, A. M. (2015). Differential physiological responses in rice upon exposure to excess distinct iron forms. </w:t>
      </w:r>
      <w:r w:rsidRPr="009D60F9">
        <w:rPr>
          <w:rFonts w:ascii="Arial" w:hAnsi="Arial" w:cs="Arial"/>
          <w:i/>
          <w:iCs/>
          <w:color w:val="222222"/>
          <w:sz w:val="20"/>
          <w:szCs w:val="20"/>
          <w:shd w:val="clear" w:color="auto" w:fill="FFFFFF"/>
        </w:rPr>
        <w:t>Plant and Soil</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391</w:t>
      </w:r>
      <w:r w:rsidRPr="009D60F9">
        <w:rPr>
          <w:rFonts w:ascii="Arial" w:hAnsi="Arial" w:cs="Arial"/>
          <w:color w:val="222222"/>
          <w:sz w:val="20"/>
          <w:szCs w:val="20"/>
          <w:shd w:val="clear" w:color="auto" w:fill="FFFFFF"/>
        </w:rPr>
        <w:t>(1), 123-138.</w:t>
      </w:r>
      <w:r w:rsidRPr="008D75EA">
        <w:t xml:space="preserve"> </w:t>
      </w:r>
      <w:r w:rsidRPr="008D75EA">
        <w:rPr>
          <w:rFonts w:ascii="Arial" w:hAnsi="Arial" w:cs="Arial"/>
          <w:color w:val="222222"/>
          <w:sz w:val="20"/>
          <w:szCs w:val="20"/>
          <w:shd w:val="clear" w:color="auto" w:fill="FFFFFF"/>
        </w:rPr>
        <w:t>DOI 10.1007/s11104-015-2405-9</w:t>
      </w:r>
      <w:r>
        <w:rPr>
          <w:rFonts w:ascii="Arial" w:hAnsi="Arial" w:cs="Arial"/>
          <w:color w:val="222222"/>
          <w:sz w:val="20"/>
          <w:szCs w:val="20"/>
          <w:shd w:val="clear" w:color="auto" w:fill="FFFFFF"/>
        </w:rPr>
        <w:t xml:space="preserve"> </w:t>
      </w:r>
    </w:p>
    <w:p w14:paraId="02B8018C"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r w:rsidRPr="009D60F9">
        <w:rPr>
          <w:rFonts w:ascii="Arial" w:hAnsi="Arial" w:cs="Arial"/>
          <w:color w:val="222222"/>
          <w:sz w:val="20"/>
          <w:szCs w:val="20"/>
          <w:shd w:val="clear" w:color="auto" w:fill="FFFFFF"/>
        </w:rPr>
        <w:t>Onaga, G., Dramé, K. N., &amp; Ismail, A. M. (2016). Understanding the regulation of iron nutrition: can it contribute to improving iron toxicity tolerance in rice?. </w:t>
      </w:r>
      <w:r w:rsidRPr="009D60F9">
        <w:rPr>
          <w:rFonts w:ascii="Arial" w:hAnsi="Arial" w:cs="Arial"/>
          <w:i/>
          <w:iCs/>
          <w:color w:val="222222"/>
          <w:sz w:val="20"/>
          <w:szCs w:val="20"/>
          <w:shd w:val="clear" w:color="auto" w:fill="FFFFFF"/>
        </w:rPr>
        <w:t>Functional Plant Biology</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43</w:t>
      </w:r>
      <w:r w:rsidRPr="009D60F9">
        <w:rPr>
          <w:rFonts w:ascii="Arial" w:hAnsi="Arial" w:cs="Arial"/>
          <w:color w:val="222222"/>
          <w:sz w:val="20"/>
          <w:szCs w:val="20"/>
          <w:shd w:val="clear" w:color="auto" w:fill="FFFFFF"/>
        </w:rPr>
        <w:t>(8), 709-726.</w:t>
      </w:r>
      <w:r w:rsidRPr="008D75EA">
        <w:t xml:space="preserve"> </w:t>
      </w:r>
      <w:hyperlink r:id="rId13" w:history="1">
        <w:r w:rsidRPr="00B01AF8">
          <w:rPr>
            <w:rStyle w:val="Hyperlink"/>
            <w:rFonts w:ascii="Arial" w:hAnsi="Arial" w:cs="Arial"/>
            <w:sz w:val="20"/>
            <w:szCs w:val="20"/>
            <w:shd w:val="clear" w:color="auto" w:fill="FFFFFF"/>
          </w:rPr>
          <w:t>https://connectsci.au/fp/article-abstract/43/8/709/54854/Understanding-the-regulation-of-iron-nutrition-can?redirectedFrom=fulltext</w:t>
        </w:r>
      </w:hyperlink>
      <w:r>
        <w:rPr>
          <w:rFonts w:ascii="Arial" w:hAnsi="Arial" w:cs="Arial"/>
          <w:color w:val="222222"/>
          <w:sz w:val="20"/>
          <w:szCs w:val="20"/>
          <w:shd w:val="clear" w:color="auto" w:fill="FFFFFF"/>
        </w:rPr>
        <w:t xml:space="preserve"> </w:t>
      </w:r>
    </w:p>
    <w:p w14:paraId="68200796"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3. </w:t>
      </w:r>
      <w:r w:rsidRPr="009D60F9">
        <w:rPr>
          <w:rFonts w:ascii="Arial" w:hAnsi="Arial" w:cs="Arial"/>
          <w:color w:val="222222"/>
          <w:sz w:val="20"/>
          <w:szCs w:val="20"/>
          <w:shd w:val="clear" w:color="auto" w:fill="FFFFFF"/>
        </w:rPr>
        <w:t>Becker, M., &amp; Asch, F. (2005). Iron toxicity in rice—conditions and management concepts. </w:t>
      </w:r>
      <w:r w:rsidRPr="009D60F9">
        <w:rPr>
          <w:rFonts w:ascii="Arial" w:hAnsi="Arial" w:cs="Arial"/>
          <w:i/>
          <w:iCs/>
          <w:color w:val="222222"/>
          <w:sz w:val="20"/>
          <w:szCs w:val="20"/>
          <w:shd w:val="clear" w:color="auto" w:fill="FFFFFF"/>
        </w:rPr>
        <w:t>Journal of Plant Nutrition and Soil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168</w:t>
      </w:r>
      <w:r w:rsidRPr="009D60F9">
        <w:rPr>
          <w:rFonts w:ascii="Arial" w:hAnsi="Arial" w:cs="Arial"/>
          <w:color w:val="222222"/>
          <w:sz w:val="20"/>
          <w:szCs w:val="20"/>
          <w:shd w:val="clear" w:color="auto" w:fill="FFFFFF"/>
        </w:rPr>
        <w:t>(4), 558-573.</w:t>
      </w:r>
      <w:r w:rsidRPr="008D75EA">
        <w:t xml:space="preserve"> </w:t>
      </w:r>
      <w:hyperlink r:id="rId14" w:history="1">
        <w:r w:rsidRPr="00B01AF8">
          <w:rPr>
            <w:rStyle w:val="Hyperlink"/>
            <w:rFonts w:ascii="Arial" w:hAnsi="Arial" w:cs="Arial"/>
            <w:sz w:val="20"/>
            <w:szCs w:val="20"/>
            <w:shd w:val="clear" w:color="auto" w:fill="FFFFFF"/>
          </w:rPr>
          <w:t>https://onlinelibrary.wiley.com/doi/abs/10.1002/jpln.200520504</w:t>
        </w:r>
      </w:hyperlink>
      <w:r>
        <w:rPr>
          <w:rFonts w:ascii="Arial" w:hAnsi="Arial" w:cs="Arial"/>
          <w:color w:val="222222"/>
          <w:sz w:val="20"/>
          <w:szCs w:val="20"/>
          <w:shd w:val="clear" w:color="auto" w:fill="FFFFFF"/>
        </w:rPr>
        <w:t xml:space="preserve"> </w:t>
      </w:r>
    </w:p>
    <w:p w14:paraId="2FCFFA62"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r w:rsidRPr="009D60F9">
        <w:rPr>
          <w:rFonts w:ascii="Arial" w:hAnsi="Arial" w:cs="Arial"/>
          <w:color w:val="222222"/>
          <w:sz w:val="20"/>
          <w:szCs w:val="20"/>
          <w:shd w:val="clear" w:color="auto" w:fill="FFFFFF"/>
        </w:rPr>
        <w:t>Dwivedi, S. K., Kumar, S., Mishra, J. S., Prakash, V., Rao, K. K., Bhatt, B. P., &amp; Srivastava, A. K. (2022). Interactive effect of elevated [CO2] and temperature on the photosynthetic process, anti</w:t>
      </w:r>
      <w:r w:rsidRPr="009D60F9">
        <w:rPr>
          <w:rFonts w:ascii="Cambria Math" w:hAnsi="Cambria Math" w:cs="Cambria Math"/>
          <w:color w:val="222222"/>
          <w:sz w:val="20"/>
          <w:szCs w:val="20"/>
          <w:shd w:val="clear" w:color="auto" w:fill="FFFFFF"/>
        </w:rPr>
        <w:t>‐</w:t>
      </w:r>
      <w:r w:rsidRPr="009D60F9">
        <w:rPr>
          <w:rFonts w:ascii="Arial" w:hAnsi="Arial" w:cs="Arial"/>
          <w:color w:val="222222"/>
          <w:sz w:val="20"/>
          <w:szCs w:val="20"/>
          <w:shd w:val="clear" w:color="auto" w:fill="FFFFFF"/>
        </w:rPr>
        <w:t>oxidative properties, and grain yield of rice. </w:t>
      </w:r>
      <w:r w:rsidRPr="009D60F9">
        <w:rPr>
          <w:rFonts w:ascii="Arial" w:hAnsi="Arial" w:cs="Arial"/>
          <w:i/>
          <w:iCs/>
          <w:color w:val="222222"/>
          <w:sz w:val="20"/>
          <w:szCs w:val="20"/>
          <w:shd w:val="clear" w:color="auto" w:fill="FFFFFF"/>
        </w:rPr>
        <w:t>Journal of Agronomy and Crop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208</w:t>
      </w:r>
      <w:r w:rsidRPr="009D60F9">
        <w:rPr>
          <w:rFonts w:ascii="Arial" w:hAnsi="Arial" w:cs="Arial"/>
          <w:color w:val="222222"/>
          <w:sz w:val="20"/>
          <w:szCs w:val="20"/>
          <w:shd w:val="clear" w:color="auto" w:fill="FFFFFF"/>
        </w:rPr>
        <w:t>(3), 384-393.</w:t>
      </w:r>
      <w:r w:rsidRPr="008D75EA">
        <w:rPr>
          <w:rFonts w:ascii="Arial" w:hAnsi="Arial" w:cs="Arial"/>
          <w:color w:val="222222"/>
          <w:sz w:val="20"/>
          <w:szCs w:val="20"/>
          <w:shd w:val="clear" w:color="auto" w:fill="FFFFFF"/>
        </w:rPr>
        <w:t xml:space="preserve"> </w:t>
      </w:r>
      <w:hyperlink r:id="rId15" w:history="1">
        <w:r w:rsidRPr="00B01AF8">
          <w:rPr>
            <w:rStyle w:val="Hyperlink"/>
            <w:rFonts w:ascii="Arial" w:hAnsi="Arial" w:cs="Arial"/>
            <w:sz w:val="20"/>
            <w:szCs w:val="20"/>
            <w:shd w:val="clear" w:color="auto" w:fill="FFFFFF"/>
          </w:rPr>
          <w:t>https://doi.org/10.1111/jac.12579</w:t>
        </w:r>
      </w:hyperlink>
      <w:r>
        <w:rPr>
          <w:rFonts w:ascii="Arial" w:hAnsi="Arial" w:cs="Arial"/>
          <w:color w:val="222222"/>
          <w:sz w:val="20"/>
          <w:szCs w:val="20"/>
          <w:shd w:val="clear" w:color="auto" w:fill="FFFFFF"/>
        </w:rPr>
        <w:t xml:space="preserve"> </w:t>
      </w:r>
    </w:p>
    <w:p w14:paraId="58C559DE" w14:textId="77777777" w:rsidR="004E4BF3" w:rsidRPr="009D60F9" w:rsidRDefault="004E4BF3" w:rsidP="004E4BF3">
      <w:pPr>
        <w:spacing w:line="480" w:lineRule="auto"/>
        <w:ind w:left="720" w:hanging="720"/>
        <w:jc w:val="both"/>
        <w:rPr>
          <w:rFonts w:ascii="Arial" w:hAnsi="Arial" w:cs="Arial"/>
          <w:sz w:val="20"/>
          <w:szCs w:val="20"/>
        </w:rPr>
      </w:pPr>
      <w:r>
        <w:rPr>
          <w:rFonts w:ascii="Arial" w:hAnsi="Arial" w:cs="Arial"/>
          <w:color w:val="222222"/>
          <w:sz w:val="20"/>
          <w:szCs w:val="20"/>
          <w:shd w:val="clear" w:color="auto" w:fill="FFFFFF"/>
        </w:rPr>
        <w:t xml:space="preserve">5. </w:t>
      </w:r>
      <w:r w:rsidRPr="009D60F9">
        <w:rPr>
          <w:rFonts w:ascii="Arial" w:hAnsi="Arial" w:cs="Arial"/>
          <w:color w:val="222222"/>
          <w:sz w:val="20"/>
          <w:szCs w:val="20"/>
          <w:shd w:val="clear" w:color="auto" w:fill="FFFFFF"/>
        </w:rPr>
        <w:t>Islam, S. S., Hasan, M. R., Islam, M. T., Khatun, M., &amp; Kabir, M. Y. (2025). Comparative analysis of growth, yield and nutrient content in six rice varieties under slightly saline conditions in southwest coastal Bangladesh. </w:t>
      </w:r>
      <w:r w:rsidRPr="009D60F9">
        <w:rPr>
          <w:rFonts w:ascii="Arial" w:hAnsi="Arial" w:cs="Arial"/>
          <w:i/>
          <w:iCs/>
          <w:color w:val="222222"/>
          <w:sz w:val="20"/>
          <w:szCs w:val="20"/>
          <w:shd w:val="clear" w:color="auto" w:fill="FFFFFF"/>
        </w:rPr>
        <w:t>New Zealand Journal of Crop and Horticultural Science</w:t>
      </w:r>
      <w:r w:rsidRPr="009D60F9">
        <w:rPr>
          <w:rFonts w:ascii="Arial" w:hAnsi="Arial" w:cs="Arial"/>
          <w:color w:val="222222"/>
          <w:sz w:val="20"/>
          <w:szCs w:val="20"/>
          <w:shd w:val="clear" w:color="auto" w:fill="FFFFFF"/>
        </w:rPr>
        <w:t>, 1-18.</w:t>
      </w:r>
      <w:r w:rsidRPr="008D75EA">
        <w:t xml:space="preserve"> </w:t>
      </w:r>
      <w:hyperlink r:id="rId16" w:history="1">
        <w:r w:rsidRPr="00B01AF8">
          <w:rPr>
            <w:rStyle w:val="Hyperlink"/>
            <w:rFonts w:ascii="Arial" w:hAnsi="Arial" w:cs="Arial"/>
            <w:sz w:val="20"/>
            <w:szCs w:val="20"/>
            <w:shd w:val="clear" w:color="auto" w:fill="FFFFFF"/>
          </w:rPr>
          <w:t>https://doi.org/10.1080/01140671.2025.2454609</w:t>
        </w:r>
      </w:hyperlink>
      <w:r>
        <w:rPr>
          <w:rFonts w:ascii="Arial" w:hAnsi="Arial" w:cs="Arial"/>
          <w:color w:val="222222"/>
          <w:sz w:val="20"/>
          <w:szCs w:val="20"/>
          <w:shd w:val="clear" w:color="auto" w:fill="FFFFFF"/>
        </w:rPr>
        <w:t xml:space="preserve"> </w:t>
      </w:r>
    </w:p>
    <w:p w14:paraId="26157271" w14:textId="77777777" w:rsidR="004E4BF3" w:rsidRPr="009D60F9" w:rsidRDefault="004E4BF3" w:rsidP="004E4BF3">
      <w:pPr>
        <w:pStyle w:val="ds-markdown-paragraph"/>
        <w:shd w:val="clear" w:color="auto" w:fill="FFFFFF"/>
        <w:spacing w:before="240" w:before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6. </w:t>
      </w:r>
      <w:r w:rsidRPr="009D60F9">
        <w:rPr>
          <w:rFonts w:ascii="Arial" w:hAnsi="Arial" w:cs="Arial"/>
          <w:color w:val="0F1115"/>
          <w:sz w:val="20"/>
          <w:szCs w:val="20"/>
        </w:rPr>
        <w:t>Wu, L. B., Ueda, Y., Lai, S. K., &amp; Frei, M. (2017). Shoot tolerance mechanisms to iron toxicity in rice (</w:t>
      </w:r>
      <w:r w:rsidRPr="009D60F9">
        <w:rPr>
          <w:rStyle w:val="Emphasis"/>
          <w:rFonts w:ascii="Arial" w:hAnsi="Arial" w:cs="Arial"/>
          <w:color w:val="0F1115"/>
          <w:sz w:val="20"/>
          <w:szCs w:val="20"/>
        </w:rPr>
        <w:t>Oryza sativa</w:t>
      </w:r>
      <w:r w:rsidRPr="009D60F9">
        <w:rPr>
          <w:rFonts w:ascii="Arial" w:hAnsi="Arial" w:cs="Arial"/>
          <w:color w:val="0F1115"/>
          <w:sz w:val="20"/>
          <w:szCs w:val="20"/>
        </w:rPr>
        <w:t> L.). </w:t>
      </w:r>
      <w:r w:rsidRPr="009D60F9">
        <w:rPr>
          <w:rStyle w:val="Emphasis"/>
          <w:rFonts w:ascii="Arial" w:hAnsi="Arial" w:cs="Arial"/>
          <w:color w:val="0F1115"/>
          <w:sz w:val="20"/>
          <w:szCs w:val="20"/>
        </w:rPr>
        <w:t>Plant, Cell &amp; Environment</w:t>
      </w:r>
      <w:r w:rsidRPr="009D60F9">
        <w:rPr>
          <w:rFonts w:ascii="Arial" w:hAnsi="Arial" w:cs="Arial"/>
          <w:color w:val="0F1115"/>
          <w:sz w:val="20"/>
          <w:szCs w:val="20"/>
        </w:rPr>
        <w:t>, 40(4), 570-584.</w:t>
      </w:r>
      <w:r w:rsidRPr="008D75EA">
        <w:t xml:space="preserve"> </w:t>
      </w:r>
      <w:hyperlink r:id="rId17" w:history="1">
        <w:r w:rsidRPr="00B01AF8">
          <w:rPr>
            <w:rStyle w:val="Hyperlink"/>
            <w:rFonts w:ascii="Arial" w:hAnsi="Arial" w:cs="Arial"/>
            <w:sz w:val="20"/>
            <w:szCs w:val="20"/>
          </w:rPr>
          <w:t>https://onlinelibrary.wiley.com/doi/full/10.1111/pce.12733</w:t>
        </w:r>
      </w:hyperlink>
      <w:r>
        <w:rPr>
          <w:rFonts w:ascii="Arial" w:hAnsi="Arial" w:cs="Arial"/>
          <w:color w:val="0F1115"/>
          <w:sz w:val="20"/>
          <w:szCs w:val="20"/>
        </w:rPr>
        <w:t xml:space="preserve"> </w:t>
      </w:r>
    </w:p>
    <w:p w14:paraId="1FD415E5"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w:t>
      </w:r>
      <w:r w:rsidRPr="009D60F9">
        <w:rPr>
          <w:rFonts w:ascii="Arial" w:hAnsi="Arial" w:cs="Arial"/>
          <w:color w:val="222222"/>
          <w:sz w:val="20"/>
          <w:szCs w:val="20"/>
          <w:shd w:val="clear" w:color="auto" w:fill="FFFFFF"/>
        </w:rPr>
        <w:t>Abdul</w:t>
      </w:r>
      <w:r w:rsidRPr="009D60F9">
        <w:rPr>
          <w:rFonts w:ascii="Cambria Math" w:hAnsi="Cambria Math" w:cs="Cambria Math"/>
          <w:color w:val="222222"/>
          <w:sz w:val="20"/>
          <w:szCs w:val="20"/>
          <w:shd w:val="clear" w:color="auto" w:fill="FFFFFF"/>
        </w:rPr>
        <w:t>‐</w:t>
      </w:r>
      <w:r w:rsidRPr="009D60F9">
        <w:rPr>
          <w:rFonts w:ascii="Arial" w:hAnsi="Arial" w:cs="Arial"/>
          <w:color w:val="222222"/>
          <w:sz w:val="20"/>
          <w:szCs w:val="20"/>
          <w:shd w:val="clear" w:color="auto" w:fill="FFFFFF"/>
        </w:rPr>
        <w:t>Baki, A. A., &amp; Anderson, J. D. (1973). Vigor determination in soybean seed by multiple criteria 1. </w:t>
      </w:r>
      <w:r w:rsidRPr="009D60F9">
        <w:rPr>
          <w:rFonts w:ascii="Arial" w:hAnsi="Arial" w:cs="Arial"/>
          <w:i/>
          <w:iCs/>
          <w:color w:val="222222"/>
          <w:sz w:val="20"/>
          <w:szCs w:val="20"/>
          <w:shd w:val="clear" w:color="auto" w:fill="FFFFFF"/>
        </w:rPr>
        <w:t>Crop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13</w:t>
      </w:r>
      <w:r w:rsidRPr="009D60F9">
        <w:rPr>
          <w:rFonts w:ascii="Arial" w:hAnsi="Arial" w:cs="Arial"/>
          <w:color w:val="222222"/>
          <w:sz w:val="20"/>
          <w:szCs w:val="20"/>
          <w:shd w:val="clear" w:color="auto" w:fill="FFFFFF"/>
        </w:rPr>
        <w:t>(6), 630-633.</w:t>
      </w:r>
      <w:r w:rsidRPr="008D75EA">
        <w:t xml:space="preserve"> </w:t>
      </w:r>
      <w:hyperlink r:id="rId18" w:history="1">
        <w:r w:rsidRPr="00B01AF8">
          <w:rPr>
            <w:rStyle w:val="Hyperlink"/>
            <w:rFonts w:ascii="Arial" w:hAnsi="Arial" w:cs="Arial"/>
            <w:sz w:val="20"/>
            <w:szCs w:val="20"/>
            <w:shd w:val="clear" w:color="auto" w:fill="FFFFFF"/>
          </w:rPr>
          <w:t>https://doi.org/10.2135/cropsci1973.0011183X001300060013x</w:t>
        </w:r>
      </w:hyperlink>
      <w:r>
        <w:rPr>
          <w:rFonts w:ascii="Arial" w:hAnsi="Arial" w:cs="Arial"/>
          <w:color w:val="222222"/>
          <w:sz w:val="20"/>
          <w:szCs w:val="20"/>
          <w:shd w:val="clear" w:color="auto" w:fill="FFFFFF"/>
        </w:rPr>
        <w:t xml:space="preserve"> </w:t>
      </w:r>
    </w:p>
    <w:p w14:paraId="2658B88D"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8. </w:t>
      </w:r>
      <w:r w:rsidRPr="009D60F9">
        <w:rPr>
          <w:rFonts w:ascii="Arial" w:hAnsi="Arial" w:cs="Arial"/>
          <w:color w:val="0F1115"/>
          <w:sz w:val="20"/>
          <w:szCs w:val="20"/>
        </w:rPr>
        <w:t>Majerus, V., Bertin, P., &amp; Lutts, S. (2007). Effects of iron toxicity on osmotic potential, osmolytes, and polyamines concentrations in the African rice (</w:t>
      </w:r>
      <w:r w:rsidRPr="009D60F9">
        <w:rPr>
          <w:rStyle w:val="Emphasis"/>
          <w:rFonts w:ascii="Arial" w:hAnsi="Arial" w:cs="Arial"/>
          <w:color w:val="0F1115"/>
          <w:sz w:val="20"/>
          <w:szCs w:val="20"/>
        </w:rPr>
        <w:t>Oryza glaberrima</w:t>
      </w:r>
      <w:r w:rsidRPr="009D60F9">
        <w:rPr>
          <w:rFonts w:ascii="Arial" w:hAnsi="Arial" w:cs="Arial"/>
          <w:color w:val="0F1115"/>
          <w:sz w:val="20"/>
          <w:szCs w:val="20"/>
        </w:rPr>
        <w:t> Steud.). </w:t>
      </w:r>
      <w:r w:rsidRPr="009D60F9">
        <w:rPr>
          <w:rStyle w:val="Emphasis"/>
          <w:rFonts w:ascii="Arial" w:hAnsi="Arial" w:cs="Arial"/>
          <w:color w:val="0F1115"/>
          <w:sz w:val="20"/>
          <w:szCs w:val="20"/>
        </w:rPr>
        <w:t>Plant Science</w:t>
      </w:r>
      <w:r w:rsidRPr="009D60F9">
        <w:rPr>
          <w:rFonts w:ascii="Arial" w:hAnsi="Arial" w:cs="Arial"/>
          <w:color w:val="0F1115"/>
          <w:sz w:val="20"/>
          <w:szCs w:val="20"/>
        </w:rPr>
        <w:t>, 173(2), 96-105.</w:t>
      </w:r>
      <w:r w:rsidRPr="008D75EA">
        <w:t xml:space="preserve"> </w:t>
      </w:r>
      <w:hyperlink r:id="rId19" w:history="1">
        <w:r w:rsidRPr="00B01AF8">
          <w:rPr>
            <w:rStyle w:val="Hyperlink"/>
            <w:rFonts w:ascii="Arial" w:hAnsi="Arial" w:cs="Arial"/>
            <w:sz w:val="20"/>
            <w:szCs w:val="20"/>
          </w:rPr>
          <w:t>https://doi.org/10.1016/j.plantsci.2007.04.003</w:t>
        </w:r>
      </w:hyperlink>
      <w:r>
        <w:rPr>
          <w:rFonts w:ascii="Arial" w:hAnsi="Arial" w:cs="Arial"/>
          <w:color w:val="0F1115"/>
          <w:sz w:val="20"/>
          <w:szCs w:val="20"/>
        </w:rPr>
        <w:t xml:space="preserve"> </w:t>
      </w:r>
    </w:p>
    <w:p w14:paraId="34ACC234"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9. </w:t>
      </w:r>
      <w:r w:rsidRPr="009D60F9">
        <w:rPr>
          <w:rFonts w:ascii="Arial" w:hAnsi="Arial" w:cs="Arial"/>
          <w:color w:val="0F1115"/>
          <w:sz w:val="20"/>
          <w:szCs w:val="20"/>
        </w:rPr>
        <w:t xml:space="preserve">Audebert, A., &amp; Fofana, M. (2009). Rice yield gap due to iron toxicity in West Africa.  </w:t>
      </w:r>
      <w:r w:rsidRPr="009D60F9">
        <w:rPr>
          <w:rStyle w:val="Emphasis"/>
          <w:rFonts w:ascii="Arial" w:hAnsi="Arial" w:cs="Arial"/>
          <w:color w:val="0F1115"/>
          <w:sz w:val="20"/>
          <w:szCs w:val="20"/>
        </w:rPr>
        <w:t>Journal of Agronomy and Crop Science</w:t>
      </w:r>
      <w:r w:rsidRPr="009D60F9">
        <w:rPr>
          <w:rFonts w:ascii="Arial" w:hAnsi="Arial" w:cs="Arial"/>
          <w:color w:val="0F1115"/>
          <w:sz w:val="20"/>
          <w:szCs w:val="20"/>
        </w:rPr>
        <w:t>, 195(1), 66-76.</w:t>
      </w:r>
      <w:r w:rsidRPr="008D75EA">
        <w:t xml:space="preserve"> </w:t>
      </w:r>
      <w:hyperlink r:id="rId20" w:history="1">
        <w:r w:rsidRPr="00B01AF8">
          <w:rPr>
            <w:rStyle w:val="Hyperlink"/>
            <w:rFonts w:ascii="Arial" w:hAnsi="Arial" w:cs="Arial"/>
            <w:sz w:val="20"/>
            <w:szCs w:val="20"/>
          </w:rPr>
          <w:t>https://doi.org/10.1111/j.1439-037X.2008.00339.x</w:t>
        </w:r>
      </w:hyperlink>
      <w:r>
        <w:rPr>
          <w:rFonts w:ascii="Arial" w:hAnsi="Arial" w:cs="Arial"/>
          <w:color w:val="0F1115"/>
          <w:sz w:val="20"/>
          <w:szCs w:val="20"/>
        </w:rPr>
        <w:t xml:space="preserve"> </w:t>
      </w:r>
    </w:p>
    <w:p w14:paraId="62A31B95"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p>
    <w:p w14:paraId="2666030A"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10. </w:t>
      </w:r>
      <w:r w:rsidRPr="009D60F9">
        <w:rPr>
          <w:rFonts w:ascii="Arial" w:hAnsi="Arial" w:cs="Arial"/>
          <w:color w:val="0F1115"/>
          <w:sz w:val="20"/>
          <w:szCs w:val="20"/>
        </w:rPr>
        <w:t>Stein, R. J., Duarte, G. L., Scheunemann, L., Spohr, M. G., de Araújo Junior, A. T., Ricachenevsky, F. K., &amp; Fett, J. P. (2019). Genotype variation in rice (</w:t>
      </w:r>
      <w:r w:rsidRPr="009D60F9">
        <w:rPr>
          <w:rStyle w:val="Emphasis"/>
          <w:rFonts w:ascii="Arial" w:hAnsi="Arial" w:cs="Arial"/>
          <w:color w:val="0F1115"/>
          <w:sz w:val="20"/>
          <w:szCs w:val="20"/>
        </w:rPr>
        <w:t>Oryza sativa</w:t>
      </w:r>
      <w:r w:rsidRPr="009D60F9">
        <w:rPr>
          <w:rFonts w:ascii="Arial" w:hAnsi="Arial" w:cs="Arial"/>
          <w:color w:val="0F1115"/>
          <w:sz w:val="20"/>
          <w:szCs w:val="20"/>
        </w:rPr>
        <w:t> L.) tolerance to Fe toxicity might be linked to root cell wall lignification. </w:t>
      </w:r>
      <w:r w:rsidRPr="009D60F9">
        <w:rPr>
          <w:rStyle w:val="Emphasis"/>
          <w:rFonts w:ascii="Arial" w:hAnsi="Arial" w:cs="Arial"/>
          <w:color w:val="0F1115"/>
          <w:sz w:val="20"/>
          <w:szCs w:val="20"/>
        </w:rPr>
        <w:t>Frontiers in Plant Science</w:t>
      </w:r>
      <w:r w:rsidRPr="009D60F9">
        <w:rPr>
          <w:rFonts w:ascii="Arial" w:hAnsi="Arial" w:cs="Arial"/>
          <w:color w:val="0F1115"/>
          <w:sz w:val="20"/>
          <w:szCs w:val="20"/>
        </w:rPr>
        <w:t>, 10, 746.</w:t>
      </w:r>
      <w:r w:rsidRPr="00AB2750">
        <w:t xml:space="preserve"> </w:t>
      </w:r>
      <w:hyperlink r:id="rId21" w:history="1">
        <w:r w:rsidRPr="00B01AF8">
          <w:rPr>
            <w:rStyle w:val="Hyperlink"/>
            <w:rFonts w:ascii="Arial" w:hAnsi="Arial" w:cs="Arial"/>
            <w:sz w:val="20"/>
            <w:szCs w:val="20"/>
          </w:rPr>
          <w:t>https://doi.org/10.3389/fpls.2019.00746</w:t>
        </w:r>
      </w:hyperlink>
      <w:r>
        <w:rPr>
          <w:rFonts w:ascii="Arial" w:hAnsi="Arial" w:cs="Arial"/>
          <w:color w:val="0F1115"/>
          <w:sz w:val="20"/>
          <w:szCs w:val="20"/>
        </w:rPr>
        <w:t xml:space="preserve"> </w:t>
      </w:r>
    </w:p>
    <w:p w14:paraId="328F5D4B" w14:textId="77777777" w:rsidR="004E4BF3" w:rsidRPr="00AB2750" w:rsidRDefault="004E4BF3" w:rsidP="004E4BF3">
      <w:pPr>
        <w:jc w:val="both"/>
      </w:pPr>
      <w:r>
        <w:rPr>
          <w:rFonts w:ascii="Arial" w:hAnsi="Arial" w:cs="Arial"/>
          <w:color w:val="222222"/>
          <w:sz w:val="20"/>
          <w:szCs w:val="20"/>
          <w:shd w:val="clear" w:color="auto" w:fill="FFFFFF"/>
        </w:rPr>
        <w:lastRenderedPageBreak/>
        <w:t xml:space="preserve">11. </w:t>
      </w:r>
      <w:r w:rsidRPr="009D60F9">
        <w:rPr>
          <w:rFonts w:ascii="Arial" w:hAnsi="Arial" w:cs="Arial"/>
          <w:color w:val="222222"/>
          <w:sz w:val="20"/>
          <w:szCs w:val="20"/>
          <w:shd w:val="clear" w:color="auto" w:fill="FFFFFF"/>
        </w:rPr>
        <w:t>Hellal, F., Amer, A., Azab, K. E., &amp; Zewainy, R. (2018). Impact of irrigation water salinity on germination and seedling growth of Egyptian barley cultivars. </w:t>
      </w:r>
      <w:r w:rsidRPr="009D60F9">
        <w:rPr>
          <w:rFonts w:ascii="Arial" w:hAnsi="Arial" w:cs="Arial"/>
          <w:i/>
          <w:iCs/>
          <w:color w:val="222222"/>
          <w:sz w:val="20"/>
          <w:szCs w:val="20"/>
          <w:shd w:val="clear" w:color="auto" w:fill="FFFFFF"/>
        </w:rPr>
        <w:t>Journal of Agricultural Science and Technology B</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8</w:t>
      </w:r>
      <w:r w:rsidRPr="009D60F9">
        <w:rPr>
          <w:rFonts w:ascii="Arial" w:hAnsi="Arial" w:cs="Arial"/>
          <w:color w:val="222222"/>
          <w:sz w:val="20"/>
          <w:szCs w:val="20"/>
          <w:shd w:val="clear" w:color="auto" w:fill="FFFFFF"/>
        </w:rPr>
        <w:t>(5), 290-302.</w:t>
      </w:r>
      <w:r w:rsidRPr="00AB2750">
        <w:t xml:space="preserve"> </w:t>
      </w:r>
      <w:r w:rsidRPr="00565703">
        <w:t>10.17265/2161-6264/2018.05.003</w:t>
      </w:r>
      <w:r>
        <w:t xml:space="preserve"> </w:t>
      </w:r>
    </w:p>
    <w:p w14:paraId="40FAC4BD" w14:textId="77777777" w:rsidR="004E4BF3" w:rsidRPr="009D60F9" w:rsidRDefault="004E4BF3" w:rsidP="004E4BF3">
      <w:pPr>
        <w:spacing w:line="480" w:lineRule="auto"/>
        <w:ind w:left="720" w:hanging="720"/>
        <w:jc w:val="both"/>
        <w:rPr>
          <w:rFonts w:ascii="Arial" w:hAnsi="Arial" w:cs="Arial"/>
          <w:sz w:val="20"/>
          <w:szCs w:val="20"/>
        </w:rPr>
      </w:pPr>
      <w:r w:rsidRPr="00AB2750">
        <w:rPr>
          <w:rFonts w:ascii="Arial" w:hAnsi="Arial" w:cs="Arial"/>
          <w:sz w:val="20"/>
          <w:szCs w:val="20"/>
          <w:lang w:val="pt-BR"/>
        </w:rPr>
        <w:t xml:space="preserve">12. Udo I. O., Kanko, M. I., Ibrahim H. &amp; Eyo, P. E (2025). </w:t>
      </w:r>
      <w:r w:rsidRPr="009D60F9">
        <w:rPr>
          <w:rFonts w:ascii="Arial" w:hAnsi="Arial" w:cs="Arial"/>
          <w:sz w:val="20"/>
          <w:szCs w:val="20"/>
        </w:rPr>
        <w:t>Viability and Vigour Qualities of Bell Pepper (</w:t>
      </w:r>
      <w:r w:rsidRPr="009D60F9">
        <w:rPr>
          <w:rFonts w:ascii="Arial" w:hAnsi="Arial" w:cs="Arial"/>
          <w:i/>
          <w:iCs/>
          <w:sz w:val="20"/>
          <w:szCs w:val="20"/>
        </w:rPr>
        <w:t>Capsicum annuum</w:t>
      </w:r>
      <w:r w:rsidRPr="009D60F9">
        <w:rPr>
          <w:rFonts w:ascii="Arial" w:hAnsi="Arial" w:cs="Arial"/>
          <w:sz w:val="20"/>
          <w:szCs w:val="20"/>
        </w:rPr>
        <w:t>) Seeds Influenced by Seed Dressing Chemicals</w:t>
      </w:r>
      <w:r w:rsidRPr="009D60F9">
        <w:rPr>
          <w:rFonts w:ascii="Arial" w:hAnsi="Arial" w:cs="Arial"/>
          <w:i/>
          <w:iCs/>
          <w:sz w:val="20"/>
          <w:szCs w:val="20"/>
        </w:rPr>
        <w:t>. NOUN Journal of Agricultural Research and Development (NJARD)</w:t>
      </w:r>
      <w:r w:rsidRPr="009D60F9">
        <w:rPr>
          <w:rFonts w:ascii="Arial" w:hAnsi="Arial" w:cs="Arial"/>
          <w:sz w:val="20"/>
          <w:szCs w:val="20"/>
        </w:rPr>
        <w:t>, 1(2), 120 – 124.</w:t>
      </w:r>
      <w:r w:rsidRPr="00AB2750">
        <w:t xml:space="preserve"> </w:t>
      </w:r>
      <w:hyperlink r:id="rId22" w:history="1">
        <w:r w:rsidRPr="00B01AF8">
          <w:rPr>
            <w:rStyle w:val="Hyperlink"/>
            <w:rFonts w:ascii="Arial" w:hAnsi="Arial" w:cs="Arial"/>
            <w:sz w:val="20"/>
            <w:szCs w:val="20"/>
          </w:rPr>
          <w:t>https://www.researchgate.net/profile/Imo-Udo-2/publication/395055343_Viability_and_Vigour_Qualities_of_Bell_Pepper_Capsicum_annuum_Seeds_influenced_By_Seed_Dressing_Chemicals/links/68b2c25cd9261f6f51b03220/Viability-and-Vigour-Qualities-of-Bell-Pepper-Capsicum-annuum-Seeds-influenced-By-Seed-Dressing-Chemicals.pdf</w:t>
        </w:r>
      </w:hyperlink>
      <w:r>
        <w:rPr>
          <w:rFonts w:ascii="Arial" w:hAnsi="Arial" w:cs="Arial"/>
          <w:sz w:val="20"/>
          <w:szCs w:val="20"/>
        </w:rPr>
        <w:t xml:space="preserve"> </w:t>
      </w:r>
    </w:p>
    <w:p w14:paraId="6F5A4CDE" w14:textId="77777777" w:rsidR="004E4BF3" w:rsidRPr="009D60F9" w:rsidRDefault="004E4BF3" w:rsidP="004E4BF3">
      <w:pPr>
        <w:pStyle w:val="ds-markdown-paragraph"/>
        <w:shd w:val="clear" w:color="auto" w:fill="FFFFFF"/>
        <w:spacing w:before="240" w:beforeAutospacing="0" w:after="240" w:afterAutospacing="0"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r w:rsidRPr="009D60F9">
        <w:rPr>
          <w:rFonts w:ascii="Arial" w:hAnsi="Arial" w:cs="Arial"/>
          <w:color w:val="222222"/>
          <w:sz w:val="20"/>
          <w:szCs w:val="20"/>
          <w:shd w:val="clear" w:color="auto" w:fill="FFFFFF"/>
        </w:rPr>
        <w:t>Ahmed, S. F., Ullah, H., Aung, M. Z., Tisarum, R., Cha-Um, S., &amp; Datta, A. (2023). Iron toxicity tolerance of rice genotypes in relation to growth, yield and physiochemical characters. </w:t>
      </w:r>
      <w:r w:rsidRPr="009D60F9">
        <w:rPr>
          <w:rFonts w:ascii="Arial" w:hAnsi="Arial" w:cs="Arial"/>
          <w:i/>
          <w:iCs/>
          <w:color w:val="222222"/>
          <w:sz w:val="20"/>
          <w:szCs w:val="20"/>
          <w:shd w:val="clear" w:color="auto" w:fill="FFFFFF"/>
        </w:rPr>
        <w:t>Rice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30</w:t>
      </w:r>
      <w:r w:rsidRPr="009D60F9">
        <w:rPr>
          <w:rFonts w:ascii="Arial" w:hAnsi="Arial" w:cs="Arial"/>
          <w:color w:val="222222"/>
          <w:sz w:val="20"/>
          <w:szCs w:val="20"/>
          <w:shd w:val="clear" w:color="auto" w:fill="FFFFFF"/>
        </w:rPr>
        <w:t>(4), 321-334.</w:t>
      </w:r>
      <w:r w:rsidRPr="00AB2750">
        <w:t xml:space="preserve"> </w:t>
      </w:r>
      <w:hyperlink r:id="rId23" w:history="1">
        <w:r w:rsidRPr="00B01AF8">
          <w:rPr>
            <w:rStyle w:val="Hyperlink"/>
            <w:rFonts w:ascii="Arial" w:hAnsi="Arial" w:cs="Arial"/>
            <w:sz w:val="20"/>
            <w:szCs w:val="20"/>
            <w:shd w:val="clear" w:color="auto" w:fill="FFFFFF"/>
          </w:rPr>
          <w:t>https://doi.org/10.1016/j.rsci.2023.02.002</w:t>
        </w:r>
      </w:hyperlink>
      <w:r>
        <w:rPr>
          <w:rFonts w:ascii="Arial" w:hAnsi="Arial" w:cs="Arial"/>
          <w:color w:val="222222"/>
          <w:sz w:val="20"/>
          <w:szCs w:val="20"/>
          <w:shd w:val="clear" w:color="auto" w:fill="FFFFFF"/>
        </w:rPr>
        <w:t xml:space="preserve"> </w:t>
      </w:r>
    </w:p>
    <w:p w14:paraId="7643C20D" w14:textId="77777777" w:rsidR="004E4BF3" w:rsidRPr="00A3049C"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14. Roy, S. C. &amp; Sharma, B. D. (2014). Assessment of genetic diversity in rice (</w:t>
      </w:r>
      <w:r>
        <w:rPr>
          <w:rFonts w:ascii="Arial" w:hAnsi="Arial" w:cs="Arial"/>
          <w:i/>
          <w:iCs/>
          <w:color w:val="222222"/>
          <w:sz w:val="20"/>
          <w:szCs w:val="20"/>
          <w:shd w:val="clear" w:color="auto" w:fill="FFFFFF"/>
        </w:rPr>
        <w:t xml:space="preserve">Oryza sativa </w:t>
      </w:r>
      <w:r>
        <w:rPr>
          <w:rFonts w:ascii="Arial" w:hAnsi="Arial" w:cs="Arial"/>
          <w:color w:val="222222"/>
          <w:sz w:val="20"/>
          <w:szCs w:val="20"/>
          <w:shd w:val="clear" w:color="auto" w:fill="FFFFFF"/>
        </w:rPr>
        <w:t>L.</w:t>
      </w:r>
      <w:r>
        <w:rPr>
          <w:rFonts w:ascii="Arial" w:hAnsi="Arial" w:cs="Arial"/>
          <w:i/>
          <w:iCs/>
          <w:color w:val="222222"/>
          <w:sz w:val="20"/>
          <w:szCs w:val="20"/>
          <w:shd w:val="clear" w:color="auto" w:fill="FFFFFF"/>
        </w:rPr>
        <w:t>)</w:t>
      </w:r>
      <w:r>
        <w:rPr>
          <w:rFonts w:ascii="Arial" w:hAnsi="Arial" w:cs="Arial"/>
          <w:color w:val="222222"/>
          <w:sz w:val="20"/>
          <w:szCs w:val="20"/>
          <w:shd w:val="clear" w:color="auto" w:fill="FFFFFF"/>
        </w:rPr>
        <w:t xml:space="preserve"> germplasm based on agro – morphology traits and zinc – iron content for crop improvement. </w:t>
      </w:r>
      <w:r>
        <w:rPr>
          <w:rFonts w:ascii="Arial" w:hAnsi="Arial" w:cs="Arial"/>
          <w:i/>
          <w:iCs/>
          <w:color w:val="222222"/>
          <w:sz w:val="20"/>
          <w:szCs w:val="20"/>
          <w:shd w:val="clear" w:color="auto" w:fill="FFFFFF"/>
        </w:rPr>
        <w:t xml:space="preserve">Physiol. Mol. Boi./Plants, </w:t>
      </w:r>
      <w:r>
        <w:rPr>
          <w:rFonts w:ascii="Arial" w:hAnsi="Arial" w:cs="Arial"/>
          <w:color w:val="222222"/>
          <w:sz w:val="20"/>
          <w:szCs w:val="20"/>
          <w:shd w:val="clear" w:color="auto" w:fill="FFFFFF"/>
        </w:rPr>
        <w:t>20(2):209 – 224.</w:t>
      </w:r>
      <w:r w:rsidRPr="00AB2750">
        <w:t xml:space="preserve"> </w:t>
      </w:r>
      <w:hyperlink r:id="rId24" w:history="1">
        <w:r w:rsidRPr="00B01AF8">
          <w:rPr>
            <w:rStyle w:val="Hyperlink"/>
            <w:rFonts w:ascii="Arial" w:hAnsi="Arial" w:cs="Arial"/>
            <w:sz w:val="20"/>
            <w:szCs w:val="20"/>
            <w:shd w:val="clear" w:color="auto" w:fill="FFFFFF"/>
          </w:rPr>
          <w:t>https://link.springer.com/article/10.1007/s12298-014-0221-y</w:t>
        </w:r>
      </w:hyperlink>
      <w:r>
        <w:rPr>
          <w:rFonts w:ascii="Arial" w:hAnsi="Arial" w:cs="Arial"/>
          <w:color w:val="222222"/>
          <w:sz w:val="20"/>
          <w:szCs w:val="20"/>
          <w:shd w:val="clear" w:color="auto" w:fill="FFFFFF"/>
        </w:rPr>
        <w:t xml:space="preserve"> </w:t>
      </w:r>
    </w:p>
    <w:p w14:paraId="20787206"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15. </w:t>
      </w:r>
      <w:r w:rsidRPr="009D60F9">
        <w:rPr>
          <w:rFonts w:ascii="Arial" w:hAnsi="Arial" w:cs="Arial"/>
          <w:color w:val="0F1115"/>
          <w:sz w:val="20"/>
          <w:szCs w:val="20"/>
        </w:rPr>
        <w:t xml:space="preserve">Engel, K., Asch, F., &amp; Becker, M. (2012). Classification of rice genotypes based on their mechanisms of adaptation to iron toxicity.  </w:t>
      </w:r>
      <w:r w:rsidRPr="009D60F9">
        <w:rPr>
          <w:rStyle w:val="Emphasis"/>
          <w:rFonts w:ascii="Arial" w:hAnsi="Arial" w:cs="Arial"/>
          <w:color w:val="0F1115"/>
          <w:sz w:val="20"/>
          <w:szCs w:val="20"/>
        </w:rPr>
        <w:t>Journal of Plant Nutrition and Soil Science</w:t>
      </w:r>
      <w:r w:rsidRPr="009D60F9">
        <w:rPr>
          <w:rFonts w:ascii="Arial" w:hAnsi="Arial" w:cs="Arial"/>
          <w:color w:val="0F1115"/>
          <w:sz w:val="20"/>
          <w:szCs w:val="20"/>
        </w:rPr>
        <w:t>, 175(6), 871-881.</w:t>
      </w:r>
      <w:r w:rsidRPr="00AB2750">
        <w:t xml:space="preserve"> </w:t>
      </w:r>
      <w:hyperlink r:id="rId25" w:history="1">
        <w:r w:rsidRPr="00B01AF8">
          <w:rPr>
            <w:rStyle w:val="Hyperlink"/>
            <w:rFonts w:ascii="Arial" w:hAnsi="Arial" w:cs="Arial"/>
            <w:sz w:val="20"/>
            <w:szCs w:val="20"/>
          </w:rPr>
          <w:t>https://doi.org/10.1002/jpln.201100421</w:t>
        </w:r>
      </w:hyperlink>
      <w:r>
        <w:rPr>
          <w:rFonts w:ascii="Arial" w:hAnsi="Arial" w:cs="Arial"/>
          <w:color w:val="0F1115"/>
          <w:sz w:val="20"/>
          <w:szCs w:val="20"/>
        </w:rPr>
        <w:t xml:space="preserve"> </w:t>
      </w:r>
    </w:p>
    <w:p w14:paraId="47BB090D"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16. </w:t>
      </w:r>
      <w:r w:rsidRPr="009D60F9">
        <w:rPr>
          <w:rFonts w:ascii="Arial" w:hAnsi="Arial" w:cs="Arial"/>
          <w:color w:val="222222"/>
          <w:sz w:val="20"/>
          <w:szCs w:val="20"/>
          <w:shd w:val="clear" w:color="auto" w:fill="FFFFFF"/>
        </w:rPr>
        <w:t>Onyango, D. A., Entila, F., Dida, M. M., Ismail, A. M., &amp; Drame, K. N. (2018). Mechanistic understanding of iron toxicity tolerance in contrasting rice varieties from Africa: 1. Morpho-physiological and biochemical responses. </w:t>
      </w:r>
      <w:r w:rsidRPr="009D60F9">
        <w:rPr>
          <w:rFonts w:ascii="Arial" w:hAnsi="Arial" w:cs="Arial"/>
          <w:i/>
          <w:iCs/>
          <w:color w:val="222222"/>
          <w:sz w:val="20"/>
          <w:szCs w:val="20"/>
          <w:shd w:val="clear" w:color="auto" w:fill="FFFFFF"/>
        </w:rPr>
        <w:t>Functional Plant Biology</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46</w:t>
      </w:r>
      <w:r w:rsidRPr="009D60F9">
        <w:rPr>
          <w:rFonts w:ascii="Arial" w:hAnsi="Arial" w:cs="Arial"/>
          <w:color w:val="222222"/>
          <w:sz w:val="20"/>
          <w:szCs w:val="20"/>
          <w:shd w:val="clear" w:color="auto" w:fill="FFFFFF"/>
        </w:rPr>
        <w:t>(1), 93-105.</w:t>
      </w:r>
      <w:r w:rsidRPr="00AB2750">
        <w:t xml:space="preserve"> </w:t>
      </w:r>
      <w:hyperlink r:id="rId26" w:history="1">
        <w:r w:rsidRPr="00B01AF8">
          <w:rPr>
            <w:rStyle w:val="Hyperlink"/>
            <w:rFonts w:ascii="Arial" w:hAnsi="Arial" w:cs="Arial"/>
            <w:sz w:val="20"/>
            <w:szCs w:val="20"/>
            <w:shd w:val="clear" w:color="auto" w:fill="FFFFFF"/>
          </w:rPr>
          <w:t>https://doi.org/10.1071/FP18129</w:t>
        </w:r>
      </w:hyperlink>
    </w:p>
    <w:p w14:paraId="6D570C64"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p>
    <w:p w14:paraId="3F833BE8"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17. </w:t>
      </w:r>
      <w:r w:rsidRPr="009D60F9">
        <w:rPr>
          <w:rFonts w:ascii="Arial" w:hAnsi="Arial" w:cs="Arial"/>
          <w:color w:val="222222"/>
          <w:sz w:val="20"/>
          <w:szCs w:val="20"/>
          <w:shd w:val="clear" w:color="auto" w:fill="FFFFFF"/>
        </w:rPr>
        <w:t>Sikirou, M., Shittu, A., Konaté, K. A., Maji, A. T., Ngaujah, A. S., Sanni, K. A., ... &amp; Venuprasad, R. (2018). Screening African rice (Oryza glaberrima) for tolerance to abiotic stresses: I. Fe toxicity. </w:t>
      </w:r>
      <w:r w:rsidRPr="009D60F9">
        <w:rPr>
          <w:rFonts w:ascii="Arial" w:hAnsi="Arial" w:cs="Arial"/>
          <w:i/>
          <w:iCs/>
          <w:color w:val="222222"/>
          <w:sz w:val="20"/>
          <w:szCs w:val="20"/>
          <w:shd w:val="clear" w:color="auto" w:fill="FFFFFF"/>
        </w:rPr>
        <w:t>Field Crops Research</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220</w:t>
      </w:r>
      <w:r w:rsidRPr="009D60F9">
        <w:rPr>
          <w:rFonts w:ascii="Arial" w:hAnsi="Arial" w:cs="Arial"/>
          <w:color w:val="222222"/>
          <w:sz w:val="20"/>
          <w:szCs w:val="20"/>
          <w:shd w:val="clear" w:color="auto" w:fill="FFFFFF"/>
        </w:rPr>
        <w:t>, 3-9.</w:t>
      </w:r>
      <w:r w:rsidRPr="00AB2750">
        <w:t xml:space="preserve"> </w:t>
      </w:r>
      <w:hyperlink r:id="rId27" w:history="1">
        <w:r w:rsidRPr="00B01AF8">
          <w:rPr>
            <w:rStyle w:val="Hyperlink"/>
            <w:rFonts w:ascii="Arial" w:hAnsi="Arial" w:cs="Arial"/>
            <w:sz w:val="20"/>
            <w:szCs w:val="20"/>
            <w:shd w:val="clear" w:color="auto" w:fill="FFFFFF"/>
          </w:rPr>
          <w:t>https://doi.org/10.1016/j.fcr.2016.04.016</w:t>
        </w:r>
      </w:hyperlink>
      <w:r>
        <w:rPr>
          <w:rFonts w:ascii="Arial" w:hAnsi="Arial" w:cs="Arial"/>
          <w:color w:val="222222"/>
          <w:sz w:val="20"/>
          <w:szCs w:val="20"/>
          <w:shd w:val="clear" w:color="auto" w:fill="FFFFFF"/>
        </w:rPr>
        <w:t xml:space="preserve"> </w:t>
      </w:r>
    </w:p>
    <w:p w14:paraId="289E1C8F"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18. </w:t>
      </w:r>
      <w:r w:rsidRPr="009D60F9">
        <w:rPr>
          <w:rFonts w:ascii="Arial" w:hAnsi="Arial" w:cs="Arial"/>
          <w:color w:val="222222"/>
          <w:sz w:val="20"/>
          <w:szCs w:val="20"/>
          <w:shd w:val="clear" w:color="auto" w:fill="FFFFFF"/>
        </w:rPr>
        <w:t>Rout, G. R., Sunita Sahoo, S. S., Das, A. B., &amp; Das, S. R. (2014). Screening of iron toxicity in rice genotypes on the basis of morphological, physiological and biochemical analysis. 565 – 582.</w:t>
      </w:r>
      <w:r w:rsidRPr="00AB2750">
        <w:t xml:space="preserve"> </w:t>
      </w:r>
      <w:hyperlink r:id="rId28" w:history="1">
        <w:r w:rsidRPr="00B01AF8">
          <w:rPr>
            <w:rStyle w:val="Hyperlink"/>
            <w:rFonts w:ascii="Arial" w:hAnsi="Arial" w:cs="Arial"/>
            <w:sz w:val="20"/>
            <w:szCs w:val="20"/>
            <w:shd w:val="clear" w:color="auto" w:fill="FFFFFF"/>
          </w:rPr>
          <w:t>https://www.researchgate.net/profile/Gyana-Rout/publication/269819088_SCREENING_OF_IRON_TOXICITY_IN_RICE_GENOTYPES_ON_THE_BASIS_OF_MORPHOLOGICAL_PHYSIOLOGICAL_AND_BIOCHEMICAL_ANALYSIS/links/549797800cf2ec13375d3dc4/SCREENING-OF-IRON-TOXICITY-IN-RICE-GENOTYPES-ON-THE-BASIS-OF-MORPHOLOGICAL-PHYSIOLOGICAL-AND-BIOCHEMICAL-ANALYSIS.pdf</w:t>
        </w:r>
      </w:hyperlink>
      <w:r>
        <w:rPr>
          <w:rFonts w:ascii="Arial" w:hAnsi="Arial" w:cs="Arial"/>
          <w:color w:val="222222"/>
          <w:sz w:val="20"/>
          <w:szCs w:val="20"/>
          <w:shd w:val="clear" w:color="auto" w:fill="FFFFFF"/>
        </w:rPr>
        <w:t xml:space="preserve"> </w:t>
      </w:r>
    </w:p>
    <w:p w14:paraId="54BA554B"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19. </w:t>
      </w:r>
      <w:r w:rsidRPr="009D60F9">
        <w:rPr>
          <w:rFonts w:ascii="Arial" w:hAnsi="Arial" w:cs="Arial"/>
          <w:color w:val="0F1115"/>
          <w:sz w:val="20"/>
          <w:szCs w:val="20"/>
        </w:rPr>
        <w:t xml:space="preserve">Kumar, A., Basu, S., Kumar, G., &amp; Kumar, G. (2020). Unraveling the molecular mechanisms associated with iron toxicity in rice for enhanced tolerance and yield.  </w:t>
      </w:r>
      <w:r w:rsidRPr="009D60F9">
        <w:rPr>
          <w:rStyle w:val="Emphasis"/>
          <w:rFonts w:ascii="Arial" w:hAnsi="Arial" w:cs="Arial"/>
          <w:color w:val="0F1115"/>
          <w:sz w:val="20"/>
          <w:szCs w:val="20"/>
        </w:rPr>
        <w:t>Plant Physiology and Biochemistry</w:t>
      </w:r>
      <w:r w:rsidRPr="009D60F9">
        <w:rPr>
          <w:rFonts w:ascii="Arial" w:hAnsi="Arial" w:cs="Arial"/>
          <w:color w:val="0F1115"/>
          <w:sz w:val="20"/>
          <w:szCs w:val="20"/>
        </w:rPr>
        <w:t>, 157, 135-146.</w:t>
      </w:r>
    </w:p>
    <w:p w14:paraId="7EE72C8F" w14:textId="77777777" w:rsidR="00774AC7" w:rsidRDefault="00774AC7" w:rsidP="008B6C62">
      <w:pPr>
        <w:pStyle w:val="ds-markdown-paragraph"/>
        <w:shd w:val="clear" w:color="auto" w:fill="FFFFFF"/>
        <w:spacing w:before="240" w:beforeAutospacing="0" w:after="240" w:afterAutospacing="0"/>
        <w:jc w:val="both"/>
        <w:rPr>
          <w:rFonts w:ascii="Arial" w:hAnsi="Arial" w:cs="Arial"/>
          <w:b/>
          <w:bCs/>
          <w:color w:val="0F1115"/>
          <w:sz w:val="22"/>
          <w:szCs w:val="22"/>
        </w:rPr>
      </w:pPr>
      <w:bookmarkStart w:id="0" w:name="_GoBack"/>
      <w:bookmarkEnd w:id="0"/>
    </w:p>
    <w:sectPr w:rsidR="00774AC7" w:rsidSect="000F25CF">
      <w:pgSz w:w="11906" w:h="16838" w:code="9"/>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AE56B" w14:textId="77777777" w:rsidR="00B86210" w:rsidRDefault="00B86210" w:rsidP="00AF1004">
      <w:pPr>
        <w:spacing w:after="0" w:line="240" w:lineRule="auto"/>
      </w:pPr>
      <w:r>
        <w:separator/>
      </w:r>
    </w:p>
  </w:endnote>
  <w:endnote w:type="continuationSeparator" w:id="0">
    <w:p w14:paraId="57F64226" w14:textId="77777777" w:rsidR="00B86210" w:rsidRDefault="00B86210" w:rsidP="00AF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F5F0" w14:textId="77777777" w:rsidR="00AF1004" w:rsidRDefault="00AF1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D64F" w14:textId="77777777" w:rsidR="00AF1004" w:rsidRDefault="00AF1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0CAF" w14:textId="77777777" w:rsidR="00AF1004" w:rsidRDefault="00AF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1746" w14:textId="77777777" w:rsidR="00B86210" w:rsidRDefault="00B86210" w:rsidP="00AF1004">
      <w:pPr>
        <w:spacing w:after="0" w:line="240" w:lineRule="auto"/>
      </w:pPr>
      <w:r>
        <w:separator/>
      </w:r>
    </w:p>
  </w:footnote>
  <w:footnote w:type="continuationSeparator" w:id="0">
    <w:p w14:paraId="0AA4B8D2" w14:textId="77777777" w:rsidR="00B86210" w:rsidRDefault="00B86210" w:rsidP="00AF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CDBB" w14:textId="1BDA48CE" w:rsidR="00AF1004" w:rsidRDefault="00B86210">
    <w:pPr>
      <w:pStyle w:val="Header"/>
    </w:pPr>
    <w:r>
      <w:rPr>
        <w:noProof/>
      </w:rPr>
      <w:pict w14:anchorId="08AE2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79" o:spid="_x0000_s2050" type="#_x0000_t136" style="position:absolute;margin-left:0;margin-top:0;width:562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D3CE" w14:textId="3BA6AA47" w:rsidR="00AF1004" w:rsidRDefault="00B86210">
    <w:pPr>
      <w:pStyle w:val="Header"/>
    </w:pPr>
    <w:r>
      <w:rPr>
        <w:noProof/>
      </w:rPr>
      <w:pict w14:anchorId="76447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80" o:spid="_x0000_s2051" type="#_x0000_t136" style="position:absolute;margin-left:0;margin-top:0;width:562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A7A3" w14:textId="3D562860" w:rsidR="00AF1004" w:rsidRDefault="00B86210">
    <w:pPr>
      <w:pStyle w:val="Header"/>
    </w:pPr>
    <w:r>
      <w:rPr>
        <w:noProof/>
      </w:rPr>
      <w:pict w14:anchorId="2EE25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78" o:spid="_x0000_s2049" type="#_x0000_t136" style="position:absolute;margin-left:0;margin-top:0;width:562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C38"/>
    <w:multiLevelType w:val="multilevel"/>
    <w:tmpl w:val="83D4CCD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BD62B7"/>
    <w:multiLevelType w:val="hybridMultilevel"/>
    <w:tmpl w:val="4E8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4047D"/>
    <w:multiLevelType w:val="hybridMultilevel"/>
    <w:tmpl w:val="A53C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D0"/>
    <w:rsid w:val="00053A1F"/>
    <w:rsid w:val="00063E3F"/>
    <w:rsid w:val="000B4A2C"/>
    <w:rsid w:val="000E4A25"/>
    <w:rsid w:val="000F25CF"/>
    <w:rsid w:val="00111002"/>
    <w:rsid w:val="0012329C"/>
    <w:rsid w:val="00147A4C"/>
    <w:rsid w:val="00165630"/>
    <w:rsid w:val="001A6112"/>
    <w:rsid w:val="001D177B"/>
    <w:rsid w:val="001D59FF"/>
    <w:rsid w:val="00205E70"/>
    <w:rsid w:val="0021331A"/>
    <w:rsid w:val="002979F3"/>
    <w:rsid w:val="002A4263"/>
    <w:rsid w:val="002C07C7"/>
    <w:rsid w:val="00335AE3"/>
    <w:rsid w:val="00360A5A"/>
    <w:rsid w:val="00385A04"/>
    <w:rsid w:val="003C6350"/>
    <w:rsid w:val="004152BC"/>
    <w:rsid w:val="00440373"/>
    <w:rsid w:val="004778D3"/>
    <w:rsid w:val="0048506E"/>
    <w:rsid w:val="00493C6C"/>
    <w:rsid w:val="004E096C"/>
    <w:rsid w:val="004E4BF3"/>
    <w:rsid w:val="00523B07"/>
    <w:rsid w:val="005D3E68"/>
    <w:rsid w:val="00693659"/>
    <w:rsid w:val="006C655D"/>
    <w:rsid w:val="006D32B4"/>
    <w:rsid w:val="006E5A7D"/>
    <w:rsid w:val="0071488C"/>
    <w:rsid w:val="00736C07"/>
    <w:rsid w:val="00774AC7"/>
    <w:rsid w:val="00783413"/>
    <w:rsid w:val="007A1A2F"/>
    <w:rsid w:val="007B5E02"/>
    <w:rsid w:val="007D6938"/>
    <w:rsid w:val="007E49A8"/>
    <w:rsid w:val="007F6CAF"/>
    <w:rsid w:val="00810FF1"/>
    <w:rsid w:val="00836358"/>
    <w:rsid w:val="00836B20"/>
    <w:rsid w:val="00846CE9"/>
    <w:rsid w:val="008820E5"/>
    <w:rsid w:val="008B6C62"/>
    <w:rsid w:val="009143DA"/>
    <w:rsid w:val="00925B79"/>
    <w:rsid w:val="00985A59"/>
    <w:rsid w:val="009D39B2"/>
    <w:rsid w:val="009D60F9"/>
    <w:rsid w:val="00A2640B"/>
    <w:rsid w:val="00A3049C"/>
    <w:rsid w:val="00A711D3"/>
    <w:rsid w:val="00AC4576"/>
    <w:rsid w:val="00AE2B33"/>
    <w:rsid w:val="00AF1004"/>
    <w:rsid w:val="00B42DBA"/>
    <w:rsid w:val="00B43D08"/>
    <w:rsid w:val="00B46EDD"/>
    <w:rsid w:val="00B86210"/>
    <w:rsid w:val="00BA54CB"/>
    <w:rsid w:val="00C154D0"/>
    <w:rsid w:val="00C33E11"/>
    <w:rsid w:val="00C57180"/>
    <w:rsid w:val="00C7039F"/>
    <w:rsid w:val="00C72A4F"/>
    <w:rsid w:val="00C83AEC"/>
    <w:rsid w:val="00CA229D"/>
    <w:rsid w:val="00CA3F8C"/>
    <w:rsid w:val="00CC1ECA"/>
    <w:rsid w:val="00CC456C"/>
    <w:rsid w:val="00CF259D"/>
    <w:rsid w:val="00CF2EE1"/>
    <w:rsid w:val="00D45EFA"/>
    <w:rsid w:val="00D56229"/>
    <w:rsid w:val="00D637DB"/>
    <w:rsid w:val="00DC7616"/>
    <w:rsid w:val="00DF5E3F"/>
    <w:rsid w:val="00E52A47"/>
    <w:rsid w:val="00E6231D"/>
    <w:rsid w:val="00E83F44"/>
    <w:rsid w:val="00EB7B5F"/>
    <w:rsid w:val="00ED06EE"/>
    <w:rsid w:val="00F04481"/>
    <w:rsid w:val="00F26AC6"/>
    <w:rsid w:val="00F420D7"/>
    <w:rsid w:val="00F57995"/>
    <w:rsid w:val="00F6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B39B0B"/>
  <w15:chartTrackingRefBased/>
  <w15:docId w15:val="{F19053C7-4549-4909-B1DE-2B55B730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C1E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29D"/>
    <w:rPr>
      <w:i/>
      <w:iCs/>
    </w:rPr>
  </w:style>
  <w:style w:type="paragraph" w:styleId="ListParagraph">
    <w:name w:val="List Paragraph"/>
    <w:basedOn w:val="Normal"/>
    <w:uiPriority w:val="34"/>
    <w:qFormat/>
    <w:rsid w:val="004778D3"/>
    <w:pPr>
      <w:ind w:left="720"/>
      <w:contextualSpacing/>
    </w:pPr>
  </w:style>
  <w:style w:type="table" w:styleId="TableGrid">
    <w:name w:val="Table Grid"/>
    <w:basedOn w:val="TableNormal"/>
    <w:uiPriority w:val="39"/>
    <w:rsid w:val="001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659"/>
    <w:rPr>
      <w:color w:val="0563C1" w:themeColor="hyperlink"/>
      <w:u w:val="single"/>
    </w:rPr>
  </w:style>
  <w:style w:type="character" w:styleId="UnresolvedMention">
    <w:name w:val="Unresolved Mention"/>
    <w:basedOn w:val="DefaultParagraphFont"/>
    <w:uiPriority w:val="99"/>
    <w:semiHidden/>
    <w:unhideWhenUsed/>
    <w:rsid w:val="00693659"/>
    <w:rPr>
      <w:color w:val="605E5C"/>
      <w:shd w:val="clear" w:color="auto" w:fill="E1DFDD"/>
    </w:rPr>
  </w:style>
  <w:style w:type="paragraph" w:styleId="Header">
    <w:name w:val="header"/>
    <w:basedOn w:val="Normal"/>
    <w:link w:val="HeaderChar"/>
    <w:uiPriority w:val="99"/>
    <w:unhideWhenUsed/>
    <w:rsid w:val="00AF1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04"/>
  </w:style>
  <w:style w:type="paragraph" w:styleId="Footer">
    <w:name w:val="footer"/>
    <w:basedOn w:val="Normal"/>
    <w:link w:val="FooterChar"/>
    <w:uiPriority w:val="99"/>
    <w:unhideWhenUsed/>
    <w:rsid w:val="00AF1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7494">
      <w:bodyDiv w:val="1"/>
      <w:marLeft w:val="0"/>
      <w:marRight w:val="0"/>
      <w:marTop w:val="0"/>
      <w:marBottom w:val="0"/>
      <w:divBdr>
        <w:top w:val="none" w:sz="0" w:space="0" w:color="auto"/>
        <w:left w:val="none" w:sz="0" w:space="0" w:color="auto"/>
        <w:bottom w:val="none" w:sz="0" w:space="0" w:color="auto"/>
        <w:right w:val="none" w:sz="0" w:space="0" w:color="auto"/>
      </w:divBdr>
    </w:div>
    <w:div w:id="681667654">
      <w:bodyDiv w:val="1"/>
      <w:marLeft w:val="0"/>
      <w:marRight w:val="0"/>
      <w:marTop w:val="0"/>
      <w:marBottom w:val="0"/>
      <w:divBdr>
        <w:top w:val="none" w:sz="0" w:space="0" w:color="auto"/>
        <w:left w:val="none" w:sz="0" w:space="0" w:color="auto"/>
        <w:bottom w:val="none" w:sz="0" w:space="0" w:color="auto"/>
        <w:right w:val="none" w:sz="0" w:space="0" w:color="auto"/>
      </w:divBdr>
    </w:div>
    <w:div w:id="699278673">
      <w:bodyDiv w:val="1"/>
      <w:marLeft w:val="0"/>
      <w:marRight w:val="0"/>
      <w:marTop w:val="0"/>
      <w:marBottom w:val="0"/>
      <w:divBdr>
        <w:top w:val="none" w:sz="0" w:space="0" w:color="auto"/>
        <w:left w:val="none" w:sz="0" w:space="0" w:color="auto"/>
        <w:bottom w:val="none" w:sz="0" w:space="0" w:color="auto"/>
        <w:right w:val="none" w:sz="0" w:space="0" w:color="auto"/>
      </w:divBdr>
      <w:divsChild>
        <w:div w:id="119346079">
          <w:marLeft w:val="0"/>
          <w:marRight w:val="0"/>
          <w:marTop w:val="0"/>
          <w:marBottom w:val="0"/>
          <w:divBdr>
            <w:top w:val="none" w:sz="0" w:space="0" w:color="auto"/>
            <w:left w:val="none" w:sz="0" w:space="0" w:color="auto"/>
            <w:bottom w:val="none" w:sz="0" w:space="0" w:color="auto"/>
            <w:right w:val="none" w:sz="0" w:space="0" w:color="auto"/>
          </w:divBdr>
          <w:divsChild>
            <w:div w:id="4994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onnectsci.au/fp/article-abstract/43/8/709/54854/Understanding-the-regulation-of-iron-nutrition-can?redirectedFrom=fulltext" TargetMode="External"/><Relationship Id="rId18" Type="http://schemas.openxmlformats.org/officeDocument/2006/relationships/hyperlink" Target="https://doi.org/10.2135/cropsci1973.0011183X001300060013x" TargetMode="External"/><Relationship Id="rId26" Type="http://schemas.openxmlformats.org/officeDocument/2006/relationships/hyperlink" Target="https://doi.org/10.1071/FP18129" TargetMode="External"/><Relationship Id="rId3" Type="http://schemas.openxmlformats.org/officeDocument/2006/relationships/settings" Target="settings.xml"/><Relationship Id="rId21" Type="http://schemas.openxmlformats.org/officeDocument/2006/relationships/hyperlink" Target="https://doi.org/10.3389/fpls.2019.0074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nlinelibrary.wiley.com/doi/full/10.1111/pce.12733" TargetMode="External"/><Relationship Id="rId25" Type="http://schemas.openxmlformats.org/officeDocument/2006/relationships/hyperlink" Target="https://doi.org/10.1002/jpln.201100421" TargetMode="External"/><Relationship Id="rId2" Type="http://schemas.openxmlformats.org/officeDocument/2006/relationships/styles" Target="styles.xml"/><Relationship Id="rId16" Type="http://schemas.openxmlformats.org/officeDocument/2006/relationships/hyperlink" Target="https://doi.org/10.1080/01140671.2025.2454609" TargetMode="External"/><Relationship Id="rId20" Type="http://schemas.openxmlformats.org/officeDocument/2006/relationships/hyperlink" Target="https://doi.org/10.1111/j.1439-037X.2008.00339.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link.springer.com/article/10.1007/s12298-014-0221-y" TargetMode="External"/><Relationship Id="rId5" Type="http://schemas.openxmlformats.org/officeDocument/2006/relationships/footnotes" Target="footnotes.xml"/><Relationship Id="rId15" Type="http://schemas.openxmlformats.org/officeDocument/2006/relationships/hyperlink" Target="https://doi.org/10.1111/jac.12579" TargetMode="External"/><Relationship Id="rId23" Type="http://schemas.openxmlformats.org/officeDocument/2006/relationships/hyperlink" Target="https://doi.org/10.1016/j.rsci.2023.02.002" TargetMode="External"/><Relationship Id="rId28" Type="http://schemas.openxmlformats.org/officeDocument/2006/relationships/hyperlink" Target="https://www.researchgate.net/profile/Gyana-Rout/publication/269819088_SCREENING_OF_IRON_TOXICITY_IN_RICE_GENOTYPES_ON_THE_BASIS_OF_MORPHOLOGICAL_PHYSIOLOGICAL_AND_BIOCHEMICAL_ANALYSIS/links/549797800cf2ec13375d3dc4/SCREENING-OF-IRON-TOXICITY-IN-RICE-GENOTYPES-ON-THE-BASIS-OF-MORPHOLOGICAL-PHYSIOLOGICAL-AND-BIOCHEMICAL-ANALYSIS.pdf" TargetMode="External"/><Relationship Id="rId10" Type="http://schemas.openxmlformats.org/officeDocument/2006/relationships/footer" Target="footer2.xml"/><Relationship Id="rId19" Type="http://schemas.openxmlformats.org/officeDocument/2006/relationships/hyperlink" Target="https://doi.org/10.1016/j.plantsci.2007.04.00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nlinelibrary.wiley.com/doi/abs/10.1002/jpln.200520504" TargetMode="External"/><Relationship Id="rId22" Type="http://schemas.openxmlformats.org/officeDocument/2006/relationships/hyperlink" Target="https://www.researchgate.net/profile/Imo-Udo-2/publication/395055343_Viability_and_Vigour_Qualities_of_Bell_Pepper_Capsicum_annuum_Seeds_influenced_By_Seed_Dressing_Chemicals/links/68b2c25cd9261f6f51b03220/Viability-and-Vigour-Qualities-of-Bell-Pepper-Capsicum-annuum-Seeds-influenced-By-Seed-Dressing-Chemicals.pdf" TargetMode="External"/><Relationship Id="rId27" Type="http://schemas.openxmlformats.org/officeDocument/2006/relationships/hyperlink" Target="https://doi.org/10.1016/j.fcr.2016.04.01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20</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 UDO</dc:creator>
  <cp:keywords/>
  <dc:description/>
  <cp:lastModifiedBy>SDI 1167</cp:lastModifiedBy>
  <cp:revision>59</cp:revision>
  <dcterms:created xsi:type="dcterms:W3CDTF">2025-11-01T11:14:00Z</dcterms:created>
  <dcterms:modified xsi:type="dcterms:W3CDTF">2025-11-27T05:43:00Z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8c3fca4a-4169-4592-9070-8c7f57cb2d8d</vt:lpwstr>
  </property>
</Properties>
</file>