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1342D" w14:textId="77777777" w:rsidR="0014160F" w:rsidRPr="0014160F" w:rsidRDefault="0014160F" w:rsidP="0014160F">
      <w:pPr>
        <w:pStyle w:val="Author"/>
        <w:rPr>
          <w:rFonts w:ascii="Arial" w:hAnsi="Arial" w:cs="Arial"/>
          <w:bCs/>
          <w:i/>
          <w:iCs/>
          <w:kern w:val="28"/>
          <w:sz w:val="18"/>
          <w:szCs w:val="18"/>
          <w:u w:val="single"/>
        </w:rPr>
      </w:pPr>
      <w:r w:rsidRPr="0014160F">
        <w:rPr>
          <w:rFonts w:ascii="Arial" w:hAnsi="Arial" w:cs="Arial"/>
          <w:bCs/>
          <w:i/>
          <w:iCs/>
          <w:kern w:val="28"/>
          <w:sz w:val="18"/>
          <w:szCs w:val="18"/>
          <w:u w:val="single"/>
        </w:rPr>
        <w:t>Original Research Article</w:t>
      </w:r>
    </w:p>
    <w:p w14:paraId="4AF37B3B" w14:textId="20D17158" w:rsidR="00A258C3" w:rsidRDefault="00834FAD" w:rsidP="00834FAD">
      <w:pPr>
        <w:pStyle w:val="Author"/>
        <w:spacing w:line="240" w:lineRule="auto"/>
        <w:rPr>
          <w:rFonts w:ascii="Arial" w:hAnsi="Arial" w:cs="Arial"/>
          <w:bCs/>
          <w:iCs/>
          <w:kern w:val="28"/>
          <w:sz w:val="36"/>
        </w:rPr>
      </w:pPr>
      <w:r w:rsidRPr="00834FAD">
        <w:rPr>
          <w:rFonts w:ascii="Arial" w:hAnsi="Arial" w:cs="Arial"/>
          <w:bCs/>
          <w:iCs/>
          <w:kern w:val="28"/>
          <w:sz w:val="36"/>
        </w:rPr>
        <w:t>Assessment of the Possibility of Increasing Phosphorous and Potassium in Fish Tonic</w:t>
      </w:r>
    </w:p>
    <w:p w14:paraId="773DEB71" w14:textId="77777777" w:rsidR="00834FAD" w:rsidRPr="00790ADA" w:rsidRDefault="00834FAD" w:rsidP="00441B6F">
      <w:pPr>
        <w:pStyle w:val="Author"/>
        <w:spacing w:line="240" w:lineRule="auto"/>
        <w:jc w:val="both"/>
        <w:rPr>
          <w:rFonts w:ascii="Arial" w:hAnsi="Arial" w:cs="Arial"/>
          <w:sz w:val="36"/>
        </w:rPr>
      </w:pPr>
    </w:p>
    <w:p w14:paraId="622F1B82" w14:textId="77777777" w:rsidR="00A64A2B" w:rsidRPr="00FB3A86" w:rsidRDefault="00A64A2B" w:rsidP="00441B6F">
      <w:pPr>
        <w:pStyle w:val="Affiliation"/>
        <w:spacing w:after="0" w:line="240" w:lineRule="auto"/>
        <w:jc w:val="both"/>
        <w:rPr>
          <w:rFonts w:ascii="Arial" w:hAnsi="Arial" w:cs="Arial"/>
        </w:rPr>
      </w:pPr>
    </w:p>
    <w:p w14:paraId="1FB993B7" w14:textId="77777777" w:rsidR="00B01FCD" w:rsidRPr="00FB3A86" w:rsidRDefault="009326EB" w:rsidP="00441B6F">
      <w:pPr>
        <w:pStyle w:val="Copyright"/>
        <w:spacing w:after="0" w:line="240" w:lineRule="auto"/>
        <w:jc w:val="both"/>
        <w:rPr>
          <w:rFonts w:ascii="Arial" w:hAnsi="Arial" w:cs="Arial"/>
        </w:rPr>
        <w:sectPr w:rsidR="00B01FCD" w:rsidRPr="00FB3A86" w:rsidSect="000B7E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63625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64A708" w14:textId="6BF296C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6896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C93827" w14:textId="77777777" w:rsidTr="00480EF3">
        <w:trPr>
          <w:trHeight w:val="5543"/>
        </w:trPr>
        <w:tc>
          <w:tcPr>
            <w:tcW w:w="9576" w:type="dxa"/>
            <w:shd w:val="clear" w:color="auto" w:fill="F2F2F2"/>
          </w:tcPr>
          <w:p w14:paraId="6D5CBCF0" w14:textId="1F86245A" w:rsidR="00505F06" w:rsidRPr="00BA1B01" w:rsidRDefault="00C9500D" w:rsidP="00480EF3">
            <w:pPr>
              <w:pStyle w:val="Body"/>
              <w:rPr>
                <w:rFonts w:ascii="Arial" w:eastAsia="Calibri" w:hAnsi="Arial" w:cs="Arial"/>
                <w:szCs w:val="22"/>
              </w:rPr>
            </w:pPr>
            <w:r w:rsidRPr="00C9500D">
              <w:rPr>
                <w:rFonts w:ascii="Arial" w:eastAsia="Calibri" w:hAnsi="Arial" w:cs="Arial"/>
                <w:szCs w:val="22"/>
              </w:rPr>
              <w:t xml:space="preserve">Fish tonic, a liquid fertilizer derived from fermented fish waste, is valued for its nutrient content and microbial benefits. </w:t>
            </w:r>
            <w:proofErr w:type="gramStart"/>
            <w:r w:rsidRPr="00C9500D">
              <w:rPr>
                <w:rFonts w:ascii="Arial" w:eastAsia="Calibri" w:hAnsi="Arial" w:cs="Arial"/>
                <w:szCs w:val="22"/>
              </w:rPr>
              <w:t>However ,its</w:t>
            </w:r>
            <w:proofErr w:type="gramEnd"/>
            <w:r w:rsidRPr="00C9500D">
              <w:rPr>
                <w:rFonts w:ascii="Arial" w:eastAsia="Calibri" w:hAnsi="Arial" w:cs="Arial"/>
                <w:szCs w:val="22"/>
              </w:rPr>
              <w:t xml:space="preserve"> typically low phosphorus (P) and potassium (K) levels limits its effectiveness as a balanced fertilizer. This study aimed to evaluate the potential to enhance P and K levels in fish tonic. A </w:t>
            </w:r>
            <w:proofErr w:type="gramStart"/>
            <w:r w:rsidRPr="00C9500D">
              <w:rPr>
                <w:rFonts w:ascii="Arial" w:eastAsia="Calibri" w:hAnsi="Arial" w:cs="Arial"/>
                <w:szCs w:val="22"/>
              </w:rPr>
              <w:t>two factor</w:t>
            </w:r>
            <w:proofErr w:type="gramEnd"/>
            <w:r w:rsidRPr="00C9500D">
              <w:rPr>
                <w:rFonts w:ascii="Arial" w:eastAsia="Calibri" w:hAnsi="Arial" w:cs="Arial"/>
                <w:szCs w:val="22"/>
              </w:rPr>
              <w:t xml:space="preserve"> factorial experiment in a completely randomized design (CRD) was used, with three replicates per treatment. The first factor was the sugar source (brown sugar and </w:t>
            </w:r>
            <w:proofErr w:type="spellStart"/>
            <w:r w:rsidRPr="00C9500D">
              <w:rPr>
                <w:rFonts w:ascii="Arial" w:eastAsia="Calibri" w:hAnsi="Arial" w:cs="Arial"/>
                <w:szCs w:val="22"/>
              </w:rPr>
              <w:t>sakkara</w:t>
            </w:r>
            <w:proofErr w:type="spellEnd"/>
            <w:r w:rsidRPr="00C9500D">
              <w:rPr>
                <w:rFonts w:ascii="Arial" w:eastAsia="Calibri" w:hAnsi="Arial" w:cs="Arial"/>
                <w:szCs w:val="22"/>
              </w:rPr>
              <w:t xml:space="preserve">), </w:t>
            </w:r>
            <w:proofErr w:type="gramStart"/>
            <w:r w:rsidRPr="00C9500D">
              <w:rPr>
                <w:rFonts w:ascii="Arial" w:eastAsia="Calibri" w:hAnsi="Arial" w:cs="Arial"/>
                <w:szCs w:val="22"/>
              </w:rPr>
              <w:t>and  the</w:t>
            </w:r>
            <w:proofErr w:type="gramEnd"/>
            <w:r w:rsidRPr="00C9500D">
              <w:rPr>
                <w:rFonts w:ascii="Arial" w:eastAsia="Calibri" w:hAnsi="Arial" w:cs="Arial"/>
                <w:szCs w:val="22"/>
              </w:rPr>
              <w:t xml:space="preserve"> second factor was the  P and K source (spent </w:t>
            </w:r>
            <w:proofErr w:type="spellStart"/>
            <w:r w:rsidRPr="00C9500D">
              <w:rPr>
                <w:rFonts w:ascii="Arial" w:eastAsia="Calibri" w:hAnsi="Arial" w:cs="Arial"/>
                <w:szCs w:val="22"/>
              </w:rPr>
              <w:t>wash+Eppawala</w:t>
            </w:r>
            <w:proofErr w:type="spellEnd"/>
            <w:r w:rsidRPr="00C9500D">
              <w:rPr>
                <w:rFonts w:ascii="Arial" w:eastAsia="Calibri" w:hAnsi="Arial" w:cs="Arial"/>
                <w:szCs w:val="22"/>
              </w:rPr>
              <w:t xml:space="preserve"> rock phosphate ERP, spent </w:t>
            </w:r>
            <w:proofErr w:type="spellStart"/>
            <w:r w:rsidRPr="00C9500D">
              <w:rPr>
                <w:rFonts w:ascii="Arial" w:eastAsia="Calibri" w:hAnsi="Arial" w:cs="Arial"/>
                <w:szCs w:val="22"/>
              </w:rPr>
              <w:t>wash+feldspar</w:t>
            </w:r>
            <w:proofErr w:type="spellEnd"/>
            <w:r w:rsidRPr="00C9500D">
              <w:rPr>
                <w:rFonts w:ascii="Arial" w:eastAsia="Calibri" w:hAnsi="Arial" w:cs="Arial"/>
                <w:szCs w:val="22"/>
              </w:rPr>
              <w:t xml:space="preserve">, spent </w:t>
            </w:r>
            <w:proofErr w:type="spellStart"/>
            <w:r w:rsidRPr="00C9500D">
              <w:rPr>
                <w:rFonts w:ascii="Arial" w:eastAsia="Calibri" w:hAnsi="Arial" w:cs="Arial"/>
                <w:szCs w:val="22"/>
              </w:rPr>
              <w:t>wash+ERP</w:t>
            </w:r>
            <w:proofErr w:type="spellEnd"/>
            <w:r w:rsidRPr="00C9500D">
              <w:rPr>
                <w:rFonts w:ascii="Arial" w:eastAsia="Calibri" w:hAnsi="Arial" w:cs="Arial"/>
                <w:szCs w:val="22"/>
              </w:rPr>
              <w:t xml:space="preserve">+ feldspar, spent wash, water). Each treatment mixture containing 2 kg of fish, 1 kg of sugar source, 650 ml of spent wash or water, and ERP and </w:t>
            </w:r>
            <w:proofErr w:type="gramStart"/>
            <w:r w:rsidRPr="00C9500D">
              <w:rPr>
                <w:rFonts w:ascii="Arial" w:eastAsia="Calibri" w:hAnsi="Arial" w:cs="Arial"/>
                <w:szCs w:val="22"/>
              </w:rPr>
              <w:t>feldspar  (</w:t>
            </w:r>
            <w:proofErr w:type="gramEnd"/>
            <w:r w:rsidRPr="00C9500D">
              <w:rPr>
                <w:rFonts w:ascii="Arial" w:eastAsia="Calibri" w:hAnsi="Arial" w:cs="Arial"/>
                <w:szCs w:val="22"/>
              </w:rPr>
              <w:t>either 200 g of ERP or feldspar alone, or 100 g of each when combined). Fermentation was carried out anaerobically for 34 days, followed by three months of storage with monthly analyses for pH, electrical conductivity (EC</w:t>
            </w:r>
            <w:proofErr w:type="gramStart"/>
            <w:r w:rsidRPr="00C9500D">
              <w:rPr>
                <w:rFonts w:ascii="Arial" w:eastAsia="Calibri" w:hAnsi="Arial" w:cs="Arial"/>
                <w:szCs w:val="22"/>
              </w:rPr>
              <w:t>),and</w:t>
            </w:r>
            <w:proofErr w:type="gramEnd"/>
            <w:r w:rsidRPr="00C9500D">
              <w:rPr>
                <w:rFonts w:ascii="Arial" w:eastAsia="Calibri" w:hAnsi="Arial" w:cs="Arial"/>
                <w:szCs w:val="22"/>
              </w:rPr>
              <w:t xml:space="preserve"> Nitrogen% (N), Phosphorous% (P), and Potassium% (K). Data were analyzed using ANOVA, and means were separated using Duncan’s Multiple Range Test at p&lt;0.05. Results revealed that, pH </w:t>
            </w:r>
            <w:proofErr w:type="gramStart"/>
            <w:r w:rsidRPr="00C9500D">
              <w:rPr>
                <w:rFonts w:ascii="Arial" w:eastAsia="Calibri" w:hAnsi="Arial" w:cs="Arial"/>
                <w:szCs w:val="22"/>
              </w:rPr>
              <w:t>remained  acidic</w:t>
            </w:r>
            <w:proofErr w:type="gramEnd"/>
            <w:r w:rsidRPr="00C9500D">
              <w:rPr>
                <w:rFonts w:ascii="Arial" w:eastAsia="Calibri" w:hAnsi="Arial" w:cs="Arial"/>
                <w:szCs w:val="22"/>
              </w:rPr>
              <w:t xml:space="preserve"> (3.97-4.36), while EC ranged between 4.29- 6.08 </w:t>
            </w:r>
            <w:proofErr w:type="spellStart"/>
            <w:r w:rsidRPr="00C9500D">
              <w:rPr>
                <w:rFonts w:ascii="Arial" w:eastAsia="Calibri" w:hAnsi="Arial" w:cs="Arial"/>
                <w:szCs w:val="22"/>
              </w:rPr>
              <w:t>dS</w:t>
            </w:r>
            <w:proofErr w:type="spellEnd"/>
            <w:r w:rsidRPr="00C9500D">
              <w:rPr>
                <w:rFonts w:ascii="Arial" w:eastAsia="Calibri" w:hAnsi="Arial" w:cs="Arial"/>
                <w:szCs w:val="22"/>
              </w:rPr>
              <w:t xml:space="preserve">/m during storage. Total nitrogen content ranged from 0.12% to 1.42%, showing gradual increase during the storage but not significantly different (p&gt;0.05). In contrast, P and K contents showed significant (p&lt;0.05) difference among the K and P source during the third month, with the higher P and K levels recorded in spent </w:t>
            </w:r>
            <w:proofErr w:type="spellStart"/>
            <w:r w:rsidRPr="00C9500D">
              <w:rPr>
                <w:rFonts w:ascii="Arial" w:eastAsia="Calibri" w:hAnsi="Arial" w:cs="Arial"/>
                <w:szCs w:val="22"/>
              </w:rPr>
              <w:t>wash+ERP</w:t>
            </w:r>
            <w:proofErr w:type="spellEnd"/>
            <w:r w:rsidRPr="00C9500D">
              <w:rPr>
                <w:rFonts w:ascii="Arial" w:eastAsia="Calibri" w:hAnsi="Arial" w:cs="Arial"/>
                <w:szCs w:val="22"/>
              </w:rPr>
              <w:t xml:space="preserve"> (0.65%, 0.11%), spent </w:t>
            </w:r>
            <w:proofErr w:type="spellStart"/>
            <w:r w:rsidRPr="00C9500D">
              <w:rPr>
                <w:rFonts w:ascii="Arial" w:eastAsia="Calibri" w:hAnsi="Arial" w:cs="Arial"/>
                <w:szCs w:val="22"/>
              </w:rPr>
              <w:t>wash+feldspar</w:t>
            </w:r>
            <w:proofErr w:type="spellEnd"/>
            <w:r w:rsidRPr="00C9500D">
              <w:rPr>
                <w:rFonts w:ascii="Arial" w:eastAsia="Calibri" w:hAnsi="Arial" w:cs="Arial"/>
                <w:szCs w:val="22"/>
              </w:rPr>
              <w:t xml:space="preserve"> (0.64%, 0.12%), spent </w:t>
            </w:r>
            <w:proofErr w:type="spellStart"/>
            <w:r w:rsidRPr="00C9500D">
              <w:rPr>
                <w:rFonts w:ascii="Arial" w:eastAsia="Calibri" w:hAnsi="Arial" w:cs="Arial"/>
                <w:szCs w:val="22"/>
              </w:rPr>
              <w:t>wash+ERP+feldspar</w:t>
            </w:r>
            <w:proofErr w:type="spellEnd"/>
            <w:r w:rsidRPr="00C9500D">
              <w:rPr>
                <w:rFonts w:ascii="Arial" w:eastAsia="Calibri" w:hAnsi="Arial" w:cs="Arial"/>
                <w:szCs w:val="22"/>
              </w:rPr>
              <w:t xml:space="preserve"> (0.68%, 0.13%</w:t>
            </w:r>
            <w:proofErr w:type="gramStart"/>
            <w:r w:rsidRPr="00C9500D">
              <w:rPr>
                <w:rFonts w:ascii="Arial" w:eastAsia="Calibri" w:hAnsi="Arial" w:cs="Arial"/>
                <w:szCs w:val="22"/>
              </w:rPr>
              <w:t>) ,</w:t>
            </w:r>
            <w:proofErr w:type="gramEnd"/>
            <w:r w:rsidRPr="00C9500D">
              <w:rPr>
                <w:rFonts w:ascii="Arial" w:eastAsia="Calibri" w:hAnsi="Arial" w:cs="Arial"/>
                <w:szCs w:val="22"/>
              </w:rPr>
              <w:t xml:space="preserve"> spent wash (0.60%, 0.08%) respectively. These results indicate that combining ERP and feldspar with spent wash effectively enhances P and K content in fish tonic, underscoring its potential as a well- balanced liquid fertilizer for sustainable farming.</w:t>
            </w:r>
          </w:p>
        </w:tc>
      </w:tr>
    </w:tbl>
    <w:p w14:paraId="577BF879" w14:textId="77777777" w:rsidR="00636EB2" w:rsidRDefault="00636EB2" w:rsidP="00441B6F">
      <w:pPr>
        <w:pStyle w:val="Body"/>
        <w:spacing w:after="0"/>
        <w:rPr>
          <w:rFonts w:ascii="Arial" w:hAnsi="Arial" w:cs="Arial"/>
          <w:i/>
        </w:rPr>
      </w:pPr>
    </w:p>
    <w:p w14:paraId="49F81EA9" w14:textId="5927E41C" w:rsidR="00A24E7E" w:rsidRDefault="00A24E7E" w:rsidP="00C9500D">
      <w:pPr>
        <w:pStyle w:val="Body"/>
        <w:spacing w:after="0"/>
        <w:jc w:val="left"/>
        <w:rPr>
          <w:rFonts w:ascii="Arial" w:hAnsi="Arial" w:cs="Arial"/>
          <w:i/>
        </w:rPr>
      </w:pPr>
      <w:r>
        <w:rPr>
          <w:rFonts w:ascii="Arial" w:hAnsi="Arial" w:cs="Arial"/>
          <w:i/>
        </w:rPr>
        <w:t>Keywords:</w:t>
      </w:r>
      <w:r w:rsidR="00C9500D" w:rsidRPr="00C9500D">
        <w:rPr>
          <w:rFonts w:ascii="Arial" w:hAnsi="Arial" w:cs="Arial"/>
          <w:i/>
        </w:rPr>
        <w:t xml:space="preserve"> Fermentation, Fish tonic, Phosphorus, Potassium, Liquid fertilizer </w:t>
      </w:r>
    </w:p>
    <w:p w14:paraId="4EBD1807" w14:textId="77777777" w:rsidR="00790ADA" w:rsidRDefault="00790ADA" w:rsidP="00441B6F">
      <w:pPr>
        <w:pStyle w:val="Body"/>
        <w:spacing w:after="0"/>
        <w:rPr>
          <w:rFonts w:ascii="Arial" w:hAnsi="Arial" w:cs="Arial"/>
          <w:i/>
        </w:rPr>
      </w:pPr>
    </w:p>
    <w:p w14:paraId="04DF8D91" w14:textId="77777777" w:rsidR="00505F06" w:rsidRPr="00A24E7E" w:rsidRDefault="00505F06" w:rsidP="00441B6F">
      <w:pPr>
        <w:pStyle w:val="Body"/>
        <w:spacing w:after="0"/>
        <w:rPr>
          <w:rFonts w:ascii="Arial" w:hAnsi="Arial" w:cs="Arial"/>
          <w:i/>
        </w:rPr>
      </w:pPr>
    </w:p>
    <w:p w14:paraId="0F46B2FE" w14:textId="454D1B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4D8069" w14:textId="77777777" w:rsidR="00790ADA" w:rsidRPr="00FB3A86" w:rsidRDefault="00790ADA" w:rsidP="00441B6F">
      <w:pPr>
        <w:pStyle w:val="AbstHead"/>
        <w:spacing w:after="0"/>
        <w:jc w:val="both"/>
        <w:rPr>
          <w:rFonts w:ascii="Arial" w:hAnsi="Arial" w:cs="Arial"/>
        </w:rPr>
      </w:pPr>
    </w:p>
    <w:p w14:paraId="799539D2" w14:textId="1127380A" w:rsidR="00C9500D" w:rsidRPr="00C9500D" w:rsidRDefault="00C9500D" w:rsidP="00C9500D">
      <w:pPr>
        <w:pStyle w:val="Body"/>
        <w:rPr>
          <w:rFonts w:ascii="Arial" w:hAnsi="Arial" w:cs="Arial"/>
        </w:rPr>
      </w:pPr>
      <w:r w:rsidRPr="00C9500D">
        <w:rPr>
          <w:rFonts w:ascii="Arial" w:hAnsi="Arial" w:cs="Arial"/>
        </w:rPr>
        <w:t>Fish tonic, liquid fertilizer obtained by fermented fish waste or by- products, has recently gained prominence as a sustainable fertilizer option. Its use facilitates the recycling of nutrients from fish waste into agricultural use, aligning with circular economy principles while reducing ecological waste (Kusuma et al., 2021). By boosting organic matter and stimulating beneficial microbes, fish tonic liquid fertilizer contributes to enhances soil fertility and improve yield potential (Mutia et al., 2024; Kusuma et al., 2021).</w:t>
      </w:r>
      <w:r>
        <w:rPr>
          <w:rFonts w:ascii="Arial" w:hAnsi="Arial" w:cs="Arial"/>
        </w:rPr>
        <w:t xml:space="preserve"> </w:t>
      </w:r>
      <w:r w:rsidRPr="00C9500D">
        <w:rPr>
          <w:rFonts w:ascii="Arial" w:hAnsi="Arial" w:cs="Arial"/>
        </w:rPr>
        <w:t>Evidence form multiple research findings confirms that fish tonic enhances seed germination rates, plant growth, root formation, and yield across a range of crops like rice, shallots, and leafy vegetables (Mutia et al., 2024; Kusuma et al., 2021).</w:t>
      </w:r>
    </w:p>
    <w:p w14:paraId="6CD82CBD" w14:textId="7CD4BF31" w:rsidR="00C9500D" w:rsidRPr="00C9500D" w:rsidRDefault="00C9500D" w:rsidP="00C9500D">
      <w:pPr>
        <w:pStyle w:val="Body"/>
        <w:rPr>
          <w:rFonts w:ascii="Arial" w:hAnsi="Arial" w:cs="Arial"/>
        </w:rPr>
      </w:pPr>
      <w:r w:rsidRPr="00C9500D">
        <w:rPr>
          <w:rFonts w:ascii="Arial" w:hAnsi="Arial" w:cs="Arial"/>
        </w:rPr>
        <w:t xml:space="preserve">Under the Sri Lanka Standards (SLS) 1702:2021, the minimum nutrient requirements for liquid organic fertilizers are 0.5% phosphorus (as P2O5), 0.5% potassium (as K2O), 1.0 % </w:t>
      </w:r>
      <w:r w:rsidRPr="00C9500D">
        <w:rPr>
          <w:rFonts w:ascii="Arial" w:hAnsi="Arial" w:cs="Arial"/>
        </w:rPr>
        <w:lastRenderedPageBreak/>
        <w:t xml:space="preserve">nitrogen, and a total of 2.0% primary nutrient by mass (Sri Lanka Standards Institution, 2021). The majority of locally produced fish tonic liquid fertilizer in Sri Lanka often fail to achieve the minimum requirements of phosphorous (P) and potassium (K) levels specified in SLS. To overcome this limitation efforts are being made to enhance the P and K concentrations in fish tonic using mineral rich amendments. As a locally abundant and inexpensive material, </w:t>
      </w:r>
      <w:proofErr w:type="spellStart"/>
      <w:r w:rsidRPr="00C9500D">
        <w:rPr>
          <w:rFonts w:ascii="Arial" w:hAnsi="Arial" w:cs="Arial"/>
        </w:rPr>
        <w:t>eppawala</w:t>
      </w:r>
      <w:proofErr w:type="spellEnd"/>
      <w:r w:rsidRPr="00C9500D">
        <w:rPr>
          <w:rFonts w:ascii="Arial" w:hAnsi="Arial" w:cs="Arial"/>
        </w:rPr>
        <w:t xml:space="preserve"> rock phosphate (EPR) is a key P source in Sri Lanka (Udawatte et al., 2020; Jayaneththi et al., 2023).  Despite its limited water solubility ERP’s phosphorus is more bio-available under acidic conditions or through organic acids produced during fermentation,</w:t>
      </w:r>
      <w:r>
        <w:rPr>
          <w:rFonts w:ascii="Arial" w:hAnsi="Arial" w:cs="Arial"/>
        </w:rPr>
        <w:t xml:space="preserve"> </w:t>
      </w:r>
      <w:r w:rsidRPr="00C9500D">
        <w:rPr>
          <w:rFonts w:ascii="Arial" w:hAnsi="Arial" w:cs="Arial"/>
        </w:rPr>
        <w:t>enabling its use in fish tonic formulations (</w:t>
      </w:r>
      <w:proofErr w:type="spellStart"/>
      <w:r w:rsidRPr="00C9500D">
        <w:rPr>
          <w:rFonts w:ascii="Arial" w:hAnsi="Arial" w:cs="Arial"/>
        </w:rPr>
        <w:t>Senarathne</w:t>
      </w:r>
      <w:proofErr w:type="spellEnd"/>
      <w:r w:rsidRPr="00C9500D">
        <w:rPr>
          <w:rFonts w:ascii="Arial" w:hAnsi="Arial" w:cs="Arial"/>
        </w:rPr>
        <w:t xml:space="preserve"> and </w:t>
      </w:r>
      <w:proofErr w:type="spellStart"/>
      <w:r w:rsidRPr="00C9500D">
        <w:rPr>
          <w:rFonts w:ascii="Arial" w:hAnsi="Arial" w:cs="Arial"/>
        </w:rPr>
        <w:t>Udumann</w:t>
      </w:r>
      <w:proofErr w:type="spellEnd"/>
      <w:r w:rsidRPr="00C9500D">
        <w:rPr>
          <w:rFonts w:ascii="Arial" w:hAnsi="Arial" w:cs="Arial"/>
        </w:rPr>
        <w:t xml:space="preserve"> 2020; </w:t>
      </w:r>
      <w:proofErr w:type="spellStart"/>
      <w:r w:rsidRPr="00C9500D">
        <w:rPr>
          <w:rFonts w:ascii="Arial" w:hAnsi="Arial" w:cs="Arial"/>
        </w:rPr>
        <w:t>Jayaneththi</w:t>
      </w:r>
      <w:proofErr w:type="spellEnd"/>
      <w:r w:rsidRPr="00C9500D">
        <w:rPr>
          <w:rFonts w:ascii="Arial" w:hAnsi="Arial" w:cs="Arial"/>
        </w:rPr>
        <w:t xml:space="preserve"> et al., 2023). An inexpensive and abundant K bearing mineral, feldspar that containing 8- 13% K2O, is a potential source of K (</w:t>
      </w:r>
      <w:proofErr w:type="spellStart"/>
      <w:r w:rsidRPr="00C9500D">
        <w:rPr>
          <w:rFonts w:ascii="Arial" w:hAnsi="Arial" w:cs="Arial"/>
        </w:rPr>
        <w:t>Ciceri</w:t>
      </w:r>
      <w:proofErr w:type="spellEnd"/>
      <w:r w:rsidRPr="00C9500D">
        <w:rPr>
          <w:rFonts w:ascii="Arial" w:hAnsi="Arial" w:cs="Arial"/>
        </w:rPr>
        <w:t xml:space="preserve"> et al., 2017; Badr, 2006). By releasing potassium gradually, it reduces nutrient losses and supports a </w:t>
      </w:r>
      <w:proofErr w:type="gramStart"/>
      <w:r w:rsidRPr="00C9500D">
        <w:rPr>
          <w:rFonts w:ascii="Arial" w:hAnsi="Arial" w:cs="Arial"/>
        </w:rPr>
        <w:t>long term</w:t>
      </w:r>
      <w:proofErr w:type="gramEnd"/>
      <w:r w:rsidRPr="00C9500D">
        <w:rPr>
          <w:rFonts w:ascii="Arial" w:hAnsi="Arial" w:cs="Arial"/>
        </w:rPr>
        <w:t xml:space="preserve"> nutrient supply. The solubility and plant accessibility of feldspar are enhanced by fermentation derived organic acids and potassium solubilizing bacteria, making it suitable for inclusion in fish tonic formulations (</w:t>
      </w:r>
      <w:proofErr w:type="spellStart"/>
      <w:r w:rsidRPr="00C9500D">
        <w:rPr>
          <w:rFonts w:ascii="Arial" w:hAnsi="Arial" w:cs="Arial"/>
        </w:rPr>
        <w:t>Thashmantha</w:t>
      </w:r>
      <w:proofErr w:type="spellEnd"/>
      <w:r w:rsidRPr="00C9500D">
        <w:rPr>
          <w:rFonts w:ascii="Arial" w:hAnsi="Arial" w:cs="Arial"/>
        </w:rPr>
        <w:t xml:space="preserve"> and </w:t>
      </w:r>
      <w:proofErr w:type="spellStart"/>
      <w:r w:rsidRPr="00C9500D">
        <w:rPr>
          <w:rFonts w:ascii="Arial" w:hAnsi="Arial" w:cs="Arial"/>
        </w:rPr>
        <w:t>Ratnatilleke</w:t>
      </w:r>
      <w:proofErr w:type="spellEnd"/>
      <w:r w:rsidRPr="00C9500D">
        <w:rPr>
          <w:rFonts w:ascii="Arial" w:hAnsi="Arial" w:cs="Arial"/>
        </w:rPr>
        <w:t>, 2023). Furthermore, nutrient rich spent wash, a distillery by- product rich in macro nutrients (N, P, K, Ca, S) and micro nutrients (Fe, Zn, Cu, Mn, B, Mo), is also used to provide nutrients and support fermentation in improved fish tonic formulations (Bhardwaj et al., 2019). Sakkara and brown sugar are included in the fermentation process to supply fast acting carbon source, which stimulates microbial activity during fermentation. As these microbes thrive, they help breakdown fish waste tuning into plant available nutrients.</w:t>
      </w:r>
    </w:p>
    <w:p w14:paraId="59210E8E" w14:textId="77777777" w:rsidR="00C9500D" w:rsidRDefault="00C9500D" w:rsidP="00C9500D">
      <w:pPr>
        <w:pStyle w:val="Body"/>
        <w:spacing w:after="0"/>
        <w:rPr>
          <w:rFonts w:ascii="Arial" w:hAnsi="Arial" w:cs="Arial"/>
        </w:rPr>
      </w:pPr>
      <w:r w:rsidRPr="00C9500D">
        <w:rPr>
          <w:rFonts w:ascii="Arial" w:hAnsi="Arial" w:cs="Arial"/>
        </w:rPr>
        <w:t xml:space="preserve">Therefore, this study focuses on determining effective P and K additives and their influence on nutrient levels to produce more nutritionally balanced and agronomically beneficial liquid fertilizer. </w:t>
      </w:r>
    </w:p>
    <w:p w14:paraId="1724A368" w14:textId="77777777" w:rsidR="00790ADA" w:rsidRPr="00FB3A86" w:rsidRDefault="00790ADA" w:rsidP="00441B6F">
      <w:pPr>
        <w:pStyle w:val="Body"/>
        <w:spacing w:after="0"/>
        <w:rPr>
          <w:rFonts w:ascii="Arial" w:hAnsi="Arial" w:cs="Arial"/>
        </w:rPr>
      </w:pPr>
    </w:p>
    <w:p w14:paraId="739D8354" w14:textId="00AAEF6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C41058" w14:textId="77777777" w:rsidR="00790ADA" w:rsidRPr="00FB3A86" w:rsidRDefault="00790ADA" w:rsidP="00441B6F">
      <w:pPr>
        <w:pStyle w:val="AbstHead"/>
        <w:spacing w:after="0"/>
        <w:jc w:val="both"/>
        <w:rPr>
          <w:rFonts w:ascii="Arial" w:hAnsi="Arial" w:cs="Arial"/>
        </w:rPr>
      </w:pPr>
    </w:p>
    <w:p w14:paraId="24BA205E" w14:textId="337A9E80" w:rsidR="000A69A2" w:rsidRPr="00480EF3" w:rsidRDefault="000A69A2" w:rsidP="000A69A2">
      <w:pPr>
        <w:pStyle w:val="Body"/>
        <w:rPr>
          <w:rFonts w:ascii="Arial" w:hAnsi="Arial" w:cs="Arial"/>
          <w:b/>
          <w:bCs/>
          <w:sz w:val="22"/>
          <w:szCs w:val="22"/>
        </w:rPr>
      </w:pPr>
      <w:r w:rsidRPr="00480EF3">
        <w:rPr>
          <w:rFonts w:ascii="Arial" w:hAnsi="Arial" w:cs="Arial"/>
          <w:b/>
          <w:bCs/>
          <w:sz w:val="22"/>
          <w:szCs w:val="22"/>
        </w:rPr>
        <w:t>2.1 Preparation of raw materials</w:t>
      </w:r>
    </w:p>
    <w:p w14:paraId="26E86D49" w14:textId="137883A1" w:rsidR="00A03B96" w:rsidRDefault="000A69A2" w:rsidP="000A69A2">
      <w:pPr>
        <w:pStyle w:val="Body"/>
        <w:spacing w:after="0"/>
        <w:rPr>
          <w:rFonts w:ascii="Arial" w:hAnsi="Arial" w:cs="Arial"/>
        </w:rPr>
      </w:pPr>
      <w:r w:rsidRPr="000A69A2">
        <w:rPr>
          <w:rFonts w:ascii="Arial" w:hAnsi="Arial" w:cs="Arial"/>
        </w:rPr>
        <w:t xml:space="preserve">The raw materials for making liquid fish tonic fertilizer consist of fish waste, </w:t>
      </w:r>
      <w:proofErr w:type="spellStart"/>
      <w:r w:rsidRPr="000A69A2">
        <w:rPr>
          <w:rFonts w:ascii="Arial" w:hAnsi="Arial" w:cs="Arial"/>
        </w:rPr>
        <w:t>sakkara</w:t>
      </w:r>
      <w:proofErr w:type="spellEnd"/>
      <w:r w:rsidRPr="000A69A2">
        <w:rPr>
          <w:rFonts w:ascii="Arial" w:hAnsi="Arial" w:cs="Arial"/>
        </w:rPr>
        <w:t>, brown sugar, ERP, feldspar, and spent wash were procured from local market and suppliers. ERP and feldspar were finely ground.</w:t>
      </w:r>
    </w:p>
    <w:p w14:paraId="3DB56229" w14:textId="77777777" w:rsidR="00A03B96" w:rsidRDefault="00A03B96" w:rsidP="00441B6F">
      <w:pPr>
        <w:pStyle w:val="Body"/>
        <w:spacing w:after="0"/>
        <w:rPr>
          <w:rFonts w:ascii="Arial" w:hAnsi="Arial" w:cs="Arial"/>
        </w:rPr>
      </w:pPr>
    </w:p>
    <w:p w14:paraId="2670E64A" w14:textId="6365E947" w:rsidR="00480EF3" w:rsidRPr="00480EF3" w:rsidRDefault="00480EF3" w:rsidP="00480EF3">
      <w:pPr>
        <w:pStyle w:val="Body"/>
        <w:rPr>
          <w:rFonts w:ascii="Arial" w:hAnsi="Arial" w:cs="Arial"/>
          <w:b/>
          <w:bCs/>
          <w:sz w:val="22"/>
          <w:szCs w:val="22"/>
        </w:rPr>
      </w:pPr>
      <w:r w:rsidRPr="00480EF3">
        <w:rPr>
          <w:rFonts w:ascii="Arial" w:hAnsi="Arial" w:cs="Arial"/>
          <w:b/>
          <w:bCs/>
          <w:sz w:val="22"/>
          <w:szCs w:val="22"/>
        </w:rPr>
        <w:t>2.2 Experimental design</w:t>
      </w:r>
    </w:p>
    <w:p w14:paraId="543F6F10" w14:textId="77777777" w:rsidR="00480EF3" w:rsidRDefault="00480EF3" w:rsidP="00480EF3">
      <w:pPr>
        <w:pStyle w:val="Body"/>
        <w:rPr>
          <w:rFonts w:ascii="Arial" w:hAnsi="Arial" w:cs="Arial"/>
        </w:rPr>
      </w:pPr>
      <w:r w:rsidRPr="00480EF3">
        <w:rPr>
          <w:rFonts w:ascii="Arial" w:hAnsi="Arial" w:cs="Arial"/>
        </w:rPr>
        <w:t xml:space="preserve">A factorial experiment with two factors was conducted using completely randomized design with three replicates. The first factor involved the sugar source (S), consisting of brown sugar (S1) and </w:t>
      </w:r>
      <w:proofErr w:type="spellStart"/>
      <w:r w:rsidRPr="00480EF3">
        <w:rPr>
          <w:rFonts w:ascii="Arial" w:hAnsi="Arial" w:cs="Arial"/>
        </w:rPr>
        <w:t>sakkara</w:t>
      </w:r>
      <w:proofErr w:type="spellEnd"/>
      <w:r w:rsidRPr="00480EF3">
        <w:rPr>
          <w:rFonts w:ascii="Arial" w:hAnsi="Arial" w:cs="Arial"/>
        </w:rPr>
        <w:t xml:space="preserve"> (S2), while the second factor included the addition of phosphorous and potassium source (F), with additions of spent wash combined with ERP (F1), spent wash combined with Feldspar (F2), spent wash combined with ERP and Feldspar (F3), spent wash alone (F4). Water was used as the control treatment (F5). Thus there were ten treatment combinations were </w:t>
      </w:r>
      <w:proofErr w:type="gramStart"/>
      <w:r w:rsidRPr="00480EF3">
        <w:rPr>
          <w:rFonts w:ascii="Arial" w:hAnsi="Arial" w:cs="Arial"/>
        </w:rPr>
        <w:t>prepared  (</w:t>
      </w:r>
      <w:proofErr w:type="gramEnd"/>
      <w:r w:rsidRPr="00480EF3">
        <w:rPr>
          <w:rFonts w:ascii="Arial" w:hAnsi="Arial" w:cs="Arial"/>
        </w:rPr>
        <w:t>Table 1) each containing 2 kg of fish, 1 kg of sugar source, 650 ml of spent wash or water, and ERP and feldspar  (totaled 200 g per treatment, either 200g of ERP or feldspar alone, or 100 g of each when combined).</w:t>
      </w:r>
    </w:p>
    <w:p w14:paraId="7284B790" w14:textId="0C367A55" w:rsidR="00480EF3" w:rsidRPr="00480EF3" w:rsidRDefault="00480EF3" w:rsidP="00480EF3">
      <w:pPr>
        <w:pStyle w:val="Body"/>
        <w:rPr>
          <w:rFonts w:ascii="Arial" w:hAnsi="Arial" w:cs="Arial"/>
          <w:b/>
          <w:bCs/>
          <w:sz w:val="22"/>
          <w:szCs w:val="22"/>
        </w:rPr>
      </w:pPr>
      <w:r w:rsidRPr="00480EF3">
        <w:rPr>
          <w:rFonts w:ascii="Arial" w:hAnsi="Arial" w:cs="Arial"/>
          <w:b/>
          <w:bCs/>
          <w:sz w:val="22"/>
          <w:szCs w:val="22"/>
        </w:rPr>
        <w:t>2.3 Production process</w:t>
      </w:r>
    </w:p>
    <w:p w14:paraId="6883125C" w14:textId="77777777" w:rsidR="00480EF3" w:rsidRDefault="00480EF3" w:rsidP="00480EF3">
      <w:pPr>
        <w:pStyle w:val="Body"/>
        <w:rPr>
          <w:rFonts w:ascii="Arial" w:hAnsi="Arial" w:cs="Arial"/>
        </w:rPr>
      </w:pPr>
      <w:r w:rsidRPr="00480EF3">
        <w:rPr>
          <w:rFonts w:ascii="Arial" w:hAnsi="Arial" w:cs="Arial"/>
        </w:rPr>
        <w:t>The ingredients were weighted according to the treatment specifications, combined in plastic buckets and fermented under anaerobic conditions for 16 days. After this initial fermentation period, the appropriate sugar solution and water were added to each treatment. Following total 34 days fermentation, the fish tonic samples were homogenized, filtered and bottled, and stored in the dark until analysis according to the treatment.</w:t>
      </w:r>
    </w:p>
    <w:p w14:paraId="2D22C73B" w14:textId="2BB8D829" w:rsidR="00480EF3" w:rsidRPr="005E6031" w:rsidRDefault="005E6031" w:rsidP="00480EF3">
      <w:pPr>
        <w:pStyle w:val="Body"/>
        <w:rPr>
          <w:rFonts w:ascii="Arial" w:hAnsi="Arial" w:cs="Arial"/>
          <w:b/>
          <w:bCs/>
          <w:sz w:val="22"/>
          <w:szCs w:val="22"/>
        </w:rPr>
      </w:pPr>
      <w:r w:rsidRPr="005E6031">
        <w:rPr>
          <w:rFonts w:ascii="Arial" w:hAnsi="Arial" w:cs="Arial"/>
          <w:b/>
          <w:bCs/>
          <w:sz w:val="22"/>
          <w:szCs w:val="22"/>
        </w:rPr>
        <w:lastRenderedPageBreak/>
        <w:t xml:space="preserve">2.4 </w:t>
      </w:r>
      <w:r w:rsidR="00480EF3" w:rsidRPr="005E6031">
        <w:rPr>
          <w:rFonts w:ascii="Arial" w:hAnsi="Arial" w:cs="Arial"/>
          <w:b/>
          <w:bCs/>
          <w:sz w:val="22"/>
          <w:szCs w:val="22"/>
        </w:rPr>
        <w:t>Experimental variables and data analysis</w:t>
      </w:r>
    </w:p>
    <w:p w14:paraId="25BF6EAE" w14:textId="793A8D72" w:rsidR="00480EF3" w:rsidRPr="00480EF3" w:rsidRDefault="00480EF3" w:rsidP="00480EF3">
      <w:pPr>
        <w:pStyle w:val="Body"/>
        <w:rPr>
          <w:rFonts w:ascii="Arial" w:hAnsi="Arial" w:cs="Arial"/>
        </w:rPr>
      </w:pPr>
      <w:r w:rsidRPr="00480EF3">
        <w:rPr>
          <w:rFonts w:ascii="Arial" w:hAnsi="Arial" w:cs="Arial"/>
        </w:rPr>
        <w:t>The bottled fish tonic liquid was tested to monthly laboratory analyses over a period of three months to determine the content of macro nutrients (N, P, K) and chemical properties (pH, EC). The macro nutrients content was measured using Kjeldhal method for nitrogen content, the Atomic Absorption Spectrophotometry (AAS) method for K, and Molybdate- blue Colorimetric method for P. pH and EC were measured using a calibrated pH and EC meter. Data were analyzed using ANOVA in SAS software version 9.1.3, and treatment means were compared using Duncan’s Multiple Range Test (DMRT) at p &lt; 0.05.</w:t>
      </w:r>
    </w:p>
    <w:p w14:paraId="20948BE9" w14:textId="7D798A89" w:rsidR="00480EF3" w:rsidRPr="005E6031" w:rsidRDefault="00480EF3" w:rsidP="00480EF3">
      <w:pPr>
        <w:pStyle w:val="Body"/>
        <w:rPr>
          <w:rFonts w:ascii="Arial" w:hAnsi="Arial" w:cs="Arial"/>
          <w:b/>
          <w:bCs/>
        </w:rPr>
      </w:pPr>
      <w:r w:rsidRPr="005E6031">
        <w:rPr>
          <w:rFonts w:ascii="Arial" w:hAnsi="Arial" w:cs="Arial"/>
          <w:b/>
          <w:bCs/>
        </w:rPr>
        <w:t>Table 1</w:t>
      </w:r>
      <w:r w:rsidR="005E6031">
        <w:rPr>
          <w:rFonts w:ascii="Arial" w:hAnsi="Arial" w:cs="Arial"/>
          <w:b/>
          <w:bCs/>
        </w:rPr>
        <w:t>.</w:t>
      </w:r>
      <w:r w:rsidRPr="005E6031">
        <w:rPr>
          <w:rFonts w:ascii="Arial" w:hAnsi="Arial" w:cs="Arial"/>
          <w:b/>
          <w:bCs/>
        </w:rPr>
        <w:t xml:space="preserve"> Treatment combinations of the experiment</w:t>
      </w:r>
    </w:p>
    <w:tbl>
      <w:tblPr>
        <w:tblStyle w:val="TableGrid"/>
        <w:tblW w:w="8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15"/>
        <w:gridCol w:w="4380"/>
        <w:gridCol w:w="2100"/>
      </w:tblGrid>
      <w:tr w:rsidR="00480EF3" w:rsidRPr="00480EF3" w14:paraId="42D80C7A" w14:textId="77777777" w:rsidTr="00556295">
        <w:tc>
          <w:tcPr>
            <w:tcW w:w="6295" w:type="dxa"/>
            <w:gridSpan w:val="2"/>
          </w:tcPr>
          <w:p w14:paraId="2B4FEC95" w14:textId="77777777" w:rsidR="00480EF3" w:rsidRPr="00480EF3" w:rsidRDefault="00480EF3" w:rsidP="00480EF3">
            <w:pPr>
              <w:pStyle w:val="Body"/>
              <w:rPr>
                <w:rFonts w:ascii="Arial" w:hAnsi="Arial" w:cs="Arial"/>
                <w:b/>
                <w:bCs/>
                <w:sz w:val="20"/>
              </w:rPr>
            </w:pPr>
            <w:r w:rsidRPr="00480EF3">
              <w:rPr>
                <w:rFonts w:ascii="Arial" w:hAnsi="Arial" w:cs="Arial"/>
                <w:b/>
                <w:bCs/>
                <w:sz w:val="20"/>
              </w:rPr>
              <w:t>Main factors</w:t>
            </w:r>
          </w:p>
        </w:tc>
        <w:tc>
          <w:tcPr>
            <w:tcW w:w="2100" w:type="dxa"/>
            <w:vMerge w:val="restart"/>
          </w:tcPr>
          <w:p w14:paraId="3433D0A5" w14:textId="77777777" w:rsidR="00480EF3" w:rsidRPr="00480EF3" w:rsidRDefault="00480EF3" w:rsidP="00480EF3">
            <w:pPr>
              <w:pStyle w:val="Body"/>
              <w:rPr>
                <w:rFonts w:ascii="Arial" w:hAnsi="Arial" w:cs="Arial"/>
                <w:b/>
                <w:bCs/>
                <w:sz w:val="20"/>
              </w:rPr>
            </w:pPr>
            <w:r w:rsidRPr="00480EF3">
              <w:rPr>
                <w:rFonts w:ascii="Arial" w:hAnsi="Arial" w:cs="Arial"/>
                <w:b/>
                <w:bCs/>
                <w:sz w:val="20"/>
              </w:rPr>
              <w:t>Treatment combination</w:t>
            </w:r>
          </w:p>
        </w:tc>
      </w:tr>
      <w:tr w:rsidR="00480EF3" w:rsidRPr="00480EF3" w14:paraId="38CF18F7" w14:textId="77777777" w:rsidTr="00556295">
        <w:tc>
          <w:tcPr>
            <w:tcW w:w="1915" w:type="dxa"/>
          </w:tcPr>
          <w:p w14:paraId="7563898C" w14:textId="77777777" w:rsidR="00480EF3" w:rsidRPr="00480EF3" w:rsidRDefault="00480EF3" w:rsidP="00480EF3">
            <w:pPr>
              <w:pStyle w:val="Body"/>
              <w:rPr>
                <w:rFonts w:ascii="Arial" w:hAnsi="Arial" w:cs="Arial"/>
                <w:b/>
                <w:bCs/>
                <w:sz w:val="20"/>
              </w:rPr>
            </w:pPr>
            <w:r w:rsidRPr="00480EF3">
              <w:rPr>
                <w:rFonts w:ascii="Arial" w:hAnsi="Arial" w:cs="Arial"/>
                <w:b/>
                <w:bCs/>
                <w:sz w:val="20"/>
              </w:rPr>
              <w:t>Sugar source (S)</w:t>
            </w:r>
          </w:p>
        </w:tc>
        <w:tc>
          <w:tcPr>
            <w:tcW w:w="4380" w:type="dxa"/>
          </w:tcPr>
          <w:p w14:paraId="06A0A8EA" w14:textId="77777777" w:rsidR="00480EF3" w:rsidRPr="00480EF3" w:rsidRDefault="00480EF3" w:rsidP="00480EF3">
            <w:pPr>
              <w:pStyle w:val="Body"/>
              <w:rPr>
                <w:rFonts w:ascii="Arial" w:hAnsi="Arial" w:cs="Arial"/>
                <w:b/>
                <w:bCs/>
                <w:sz w:val="20"/>
              </w:rPr>
            </w:pPr>
            <w:r w:rsidRPr="00480EF3">
              <w:rPr>
                <w:rFonts w:ascii="Arial" w:hAnsi="Arial" w:cs="Arial"/>
                <w:b/>
                <w:bCs/>
                <w:sz w:val="20"/>
              </w:rPr>
              <w:t>Phosphorous and potassium source (F)</w:t>
            </w:r>
          </w:p>
        </w:tc>
        <w:tc>
          <w:tcPr>
            <w:tcW w:w="2100" w:type="dxa"/>
            <w:vMerge/>
          </w:tcPr>
          <w:p w14:paraId="5C7CBF98" w14:textId="77777777" w:rsidR="00480EF3" w:rsidRPr="00480EF3" w:rsidRDefault="00480EF3" w:rsidP="00480EF3">
            <w:pPr>
              <w:pStyle w:val="Body"/>
              <w:rPr>
                <w:rFonts w:ascii="Arial" w:hAnsi="Arial" w:cs="Arial"/>
                <w:sz w:val="20"/>
              </w:rPr>
            </w:pPr>
          </w:p>
        </w:tc>
      </w:tr>
      <w:tr w:rsidR="00480EF3" w:rsidRPr="00480EF3" w14:paraId="76A35FE4" w14:textId="77777777" w:rsidTr="00556295">
        <w:tc>
          <w:tcPr>
            <w:tcW w:w="1915" w:type="dxa"/>
          </w:tcPr>
          <w:p w14:paraId="7BFD8109" w14:textId="77777777" w:rsidR="00480EF3" w:rsidRPr="00480EF3" w:rsidRDefault="00480EF3" w:rsidP="00480EF3">
            <w:pPr>
              <w:pStyle w:val="Body"/>
              <w:rPr>
                <w:rFonts w:ascii="Arial" w:hAnsi="Arial" w:cs="Arial"/>
                <w:sz w:val="20"/>
              </w:rPr>
            </w:pPr>
            <w:r w:rsidRPr="00480EF3">
              <w:rPr>
                <w:rFonts w:ascii="Arial" w:hAnsi="Arial" w:cs="Arial"/>
                <w:sz w:val="20"/>
              </w:rPr>
              <w:t>Brown sugar (S</w:t>
            </w:r>
            <w:r w:rsidRPr="00480EF3">
              <w:rPr>
                <w:rFonts w:ascii="Arial" w:eastAsia="Times New Roman" w:hAnsi="Arial" w:cs="Arial"/>
                <w:sz w:val="20"/>
                <w:vertAlign w:val="subscript"/>
              </w:rPr>
              <w:t>1</w:t>
            </w:r>
            <w:r w:rsidRPr="00480EF3">
              <w:rPr>
                <w:rFonts w:ascii="Arial" w:hAnsi="Arial" w:cs="Arial"/>
                <w:sz w:val="20"/>
              </w:rPr>
              <w:t>)</w:t>
            </w:r>
          </w:p>
        </w:tc>
        <w:tc>
          <w:tcPr>
            <w:tcW w:w="4380" w:type="dxa"/>
          </w:tcPr>
          <w:p w14:paraId="474C3725" w14:textId="77777777" w:rsidR="00480EF3" w:rsidRPr="00480EF3" w:rsidRDefault="00480EF3" w:rsidP="00480EF3">
            <w:pPr>
              <w:pStyle w:val="Body"/>
              <w:rPr>
                <w:rFonts w:ascii="Arial" w:hAnsi="Arial" w:cs="Arial"/>
                <w:sz w:val="20"/>
              </w:rPr>
            </w:pPr>
            <w:r w:rsidRPr="00480EF3">
              <w:rPr>
                <w:rFonts w:ascii="Arial" w:hAnsi="Arial" w:cs="Arial"/>
                <w:sz w:val="20"/>
              </w:rPr>
              <w:t>Spent wash + ERP (F</w:t>
            </w:r>
            <w:r w:rsidRPr="00480EF3">
              <w:rPr>
                <w:rFonts w:ascii="Arial" w:eastAsia="Times New Roman" w:hAnsi="Arial" w:cs="Arial"/>
                <w:sz w:val="20"/>
                <w:vertAlign w:val="subscript"/>
              </w:rPr>
              <w:t>1</w:t>
            </w:r>
            <w:r w:rsidRPr="00480EF3">
              <w:rPr>
                <w:rFonts w:ascii="Arial" w:hAnsi="Arial" w:cs="Arial"/>
                <w:sz w:val="20"/>
              </w:rPr>
              <w:t>)</w:t>
            </w:r>
          </w:p>
        </w:tc>
        <w:tc>
          <w:tcPr>
            <w:tcW w:w="2100" w:type="dxa"/>
          </w:tcPr>
          <w:p w14:paraId="51EC7077"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1</w:t>
            </w:r>
          </w:p>
        </w:tc>
      </w:tr>
      <w:tr w:rsidR="00480EF3" w:rsidRPr="00480EF3" w14:paraId="0967B538" w14:textId="77777777" w:rsidTr="00556295">
        <w:tc>
          <w:tcPr>
            <w:tcW w:w="1915" w:type="dxa"/>
          </w:tcPr>
          <w:p w14:paraId="74A2A5C9" w14:textId="77777777" w:rsidR="00480EF3" w:rsidRPr="00480EF3" w:rsidRDefault="00480EF3" w:rsidP="00480EF3">
            <w:pPr>
              <w:pStyle w:val="Body"/>
              <w:rPr>
                <w:rFonts w:ascii="Arial" w:hAnsi="Arial" w:cs="Arial"/>
                <w:sz w:val="20"/>
              </w:rPr>
            </w:pPr>
          </w:p>
        </w:tc>
        <w:tc>
          <w:tcPr>
            <w:tcW w:w="4380" w:type="dxa"/>
          </w:tcPr>
          <w:p w14:paraId="1EBF08E2" w14:textId="77777777" w:rsidR="00480EF3" w:rsidRPr="00480EF3" w:rsidRDefault="00480EF3" w:rsidP="00480EF3">
            <w:pPr>
              <w:pStyle w:val="Body"/>
              <w:rPr>
                <w:rFonts w:ascii="Arial" w:hAnsi="Arial" w:cs="Arial"/>
                <w:sz w:val="20"/>
              </w:rPr>
            </w:pPr>
            <w:r w:rsidRPr="00480EF3">
              <w:rPr>
                <w:rFonts w:ascii="Arial" w:hAnsi="Arial" w:cs="Arial"/>
                <w:sz w:val="20"/>
              </w:rPr>
              <w:t>Spent wash + Feldspar (F</w:t>
            </w:r>
            <w:r w:rsidRPr="00480EF3">
              <w:rPr>
                <w:rFonts w:ascii="Arial" w:eastAsia="Times New Roman" w:hAnsi="Arial" w:cs="Arial"/>
                <w:sz w:val="20"/>
                <w:vertAlign w:val="subscript"/>
              </w:rPr>
              <w:t>2</w:t>
            </w:r>
            <w:r w:rsidRPr="00480EF3">
              <w:rPr>
                <w:rFonts w:ascii="Arial" w:hAnsi="Arial" w:cs="Arial"/>
                <w:sz w:val="20"/>
              </w:rPr>
              <w:t>)</w:t>
            </w:r>
          </w:p>
        </w:tc>
        <w:tc>
          <w:tcPr>
            <w:tcW w:w="2100" w:type="dxa"/>
          </w:tcPr>
          <w:p w14:paraId="21C47921"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2</w:t>
            </w:r>
          </w:p>
        </w:tc>
      </w:tr>
      <w:tr w:rsidR="00480EF3" w:rsidRPr="00480EF3" w14:paraId="6DBBA194" w14:textId="77777777" w:rsidTr="00556295">
        <w:tc>
          <w:tcPr>
            <w:tcW w:w="1915" w:type="dxa"/>
          </w:tcPr>
          <w:p w14:paraId="6A9FCABB" w14:textId="77777777" w:rsidR="00480EF3" w:rsidRPr="00480EF3" w:rsidRDefault="00480EF3" w:rsidP="00480EF3">
            <w:pPr>
              <w:pStyle w:val="Body"/>
              <w:rPr>
                <w:rFonts w:ascii="Arial" w:hAnsi="Arial" w:cs="Arial"/>
                <w:sz w:val="20"/>
              </w:rPr>
            </w:pPr>
          </w:p>
        </w:tc>
        <w:tc>
          <w:tcPr>
            <w:tcW w:w="4380" w:type="dxa"/>
          </w:tcPr>
          <w:p w14:paraId="0F315A47" w14:textId="77777777" w:rsidR="00480EF3" w:rsidRPr="00480EF3" w:rsidRDefault="00480EF3" w:rsidP="00480EF3">
            <w:pPr>
              <w:pStyle w:val="Body"/>
              <w:rPr>
                <w:rFonts w:ascii="Arial" w:hAnsi="Arial" w:cs="Arial"/>
                <w:sz w:val="20"/>
              </w:rPr>
            </w:pPr>
            <w:r w:rsidRPr="00480EF3">
              <w:rPr>
                <w:rFonts w:ascii="Arial" w:hAnsi="Arial" w:cs="Arial"/>
                <w:sz w:val="20"/>
              </w:rPr>
              <w:t>Spent wash + ERP+ Feldspar (F</w:t>
            </w:r>
            <w:r w:rsidRPr="00480EF3">
              <w:rPr>
                <w:rFonts w:ascii="Arial" w:eastAsia="Times New Roman" w:hAnsi="Arial" w:cs="Arial"/>
                <w:sz w:val="20"/>
                <w:vertAlign w:val="subscript"/>
              </w:rPr>
              <w:t>3</w:t>
            </w:r>
            <w:r w:rsidRPr="00480EF3">
              <w:rPr>
                <w:rFonts w:ascii="Arial" w:hAnsi="Arial" w:cs="Arial"/>
                <w:sz w:val="20"/>
              </w:rPr>
              <w:t>)</w:t>
            </w:r>
          </w:p>
        </w:tc>
        <w:tc>
          <w:tcPr>
            <w:tcW w:w="2100" w:type="dxa"/>
          </w:tcPr>
          <w:p w14:paraId="7361104F"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3</w:t>
            </w:r>
          </w:p>
        </w:tc>
      </w:tr>
      <w:tr w:rsidR="00480EF3" w:rsidRPr="00480EF3" w14:paraId="46B93121" w14:textId="77777777" w:rsidTr="00556295">
        <w:tc>
          <w:tcPr>
            <w:tcW w:w="1915" w:type="dxa"/>
          </w:tcPr>
          <w:p w14:paraId="5232A6C5" w14:textId="77777777" w:rsidR="00480EF3" w:rsidRPr="00480EF3" w:rsidRDefault="00480EF3" w:rsidP="00480EF3">
            <w:pPr>
              <w:pStyle w:val="Body"/>
              <w:rPr>
                <w:rFonts w:ascii="Arial" w:hAnsi="Arial" w:cs="Arial"/>
                <w:sz w:val="20"/>
              </w:rPr>
            </w:pPr>
          </w:p>
        </w:tc>
        <w:tc>
          <w:tcPr>
            <w:tcW w:w="4380" w:type="dxa"/>
          </w:tcPr>
          <w:p w14:paraId="7C34C514" w14:textId="77777777" w:rsidR="00480EF3" w:rsidRPr="00480EF3" w:rsidRDefault="00480EF3" w:rsidP="00480EF3">
            <w:pPr>
              <w:pStyle w:val="Body"/>
              <w:rPr>
                <w:rFonts w:ascii="Arial" w:hAnsi="Arial" w:cs="Arial"/>
                <w:sz w:val="20"/>
              </w:rPr>
            </w:pPr>
            <w:r w:rsidRPr="00480EF3">
              <w:rPr>
                <w:rFonts w:ascii="Arial" w:hAnsi="Arial" w:cs="Arial"/>
                <w:sz w:val="20"/>
              </w:rPr>
              <w:t>Spent wash (F</w:t>
            </w:r>
            <w:r w:rsidRPr="00480EF3">
              <w:rPr>
                <w:rFonts w:ascii="Arial" w:eastAsia="Times New Roman" w:hAnsi="Arial" w:cs="Arial"/>
                <w:sz w:val="20"/>
                <w:vertAlign w:val="subscript"/>
              </w:rPr>
              <w:t>4</w:t>
            </w:r>
            <w:r w:rsidRPr="00480EF3">
              <w:rPr>
                <w:rFonts w:ascii="Arial" w:hAnsi="Arial" w:cs="Arial"/>
                <w:sz w:val="20"/>
              </w:rPr>
              <w:t>)</w:t>
            </w:r>
          </w:p>
        </w:tc>
        <w:tc>
          <w:tcPr>
            <w:tcW w:w="2100" w:type="dxa"/>
          </w:tcPr>
          <w:p w14:paraId="0F799797"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4</w:t>
            </w:r>
          </w:p>
        </w:tc>
      </w:tr>
      <w:tr w:rsidR="00480EF3" w:rsidRPr="00480EF3" w14:paraId="0BC356F4" w14:textId="77777777" w:rsidTr="00556295">
        <w:tc>
          <w:tcPr>
            <w:tcW w:w="1915" w:type="dxa"/>
          </w:tcPr>
          <w:p w14:paraId="499E9E72" w14:textId="77777777" w:rsidR="00480EF3" w:rsidRPr="00480EF3" w:rsidRDefault="00480EF3" w:rsidP="00480EF3">
            <w:pPr>
              <w:pStyle w:val="Body"/>
              <w:rPr>
                <w:rFonts w:ascii="Arial" w:hAnsi="Arial" w:cs="Arial"/>
                <w:sz w:val="20"/>
              </w:rPr>
            </w:pPr>
          </w:p>
        </w:tc>
        <w:tc>
          <w:tcPr>
            <w:tcW w:w="4380" w:type="dxa"/>
          </w:tcPr>
          <w:p w14:paraId="653164FC" w14:textId="77777777" w:rsidR="00480EF3" w:rsidRPr="00480EF3" w:rsidRDefault="00480EF3" w:rsidP="00480EF3">
            <w:pPr>
              <w:pStyle w:val="Body"/>
              <w:rPr>
                <w:rFonts w:ascii="Arial" w:hAnsi="Arial" w:cs="Arial"/>
                <w:sz w:val="20"/>
              </w:rPr>
            </w:pPr>
            <w:r w:rsidRPr="00480EF3">
              <w:rPr>
                <w:rFonts w:ascii="Arial" w:hAnsi="Arial" w:cs="Arial"/>
                <w:sz w:val="20"/>
              </w:rPr>
              <w:t>Water (F</w:t>
            </w:r>
            <w:r w:rsidRPr="00480EF3">
              <w:rPr>
                <w:rFonts w:ascii="Arial" w:hAnsi="Arial" w:cs="Arial"/>
                <w:sz w:val="20"/>
                <w:vertAlign w:val="subscript"/>
              </w:rPr>
              <w:t>5</w:t>
            </w:r>
            <w:r w:rsidRPr="00480EF3">
              <w:rPr>
                <w:rFonts w:ascii="Arial" w:hAnsi="Arial" w:cs="Arial"/>
                <w:sz w:val="20"/>
              </w:rPr>
              <w:t>)</w:t>
            </w:r>
          </w:p>
        </w:tc>
        <w:tc>
          <w:tcPr>
            <w:tcW w:w="2100" w:type="dxa"/>
          </w:tcPr>
          <w:p w14:paraId="32FC1521"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hAnsi="Arial" w:cs="Arial"/>
                <w:sz w:val="20"/>
                <w:vertAlign w:val="subscript"/>
              </w:rPr>
              <w:t>5</w:t>
            </w:r>
          </w:p>
        </w:tc>
      </w:tr>
      <w:tr w:rsidR="00480EF3" w:rsidRPr="00480EF3" w14:paraId="30B3CC08" w14:textId="77777777" w:rsidTr="00556295">
        <w:tc>
          <w:tcPr>
            <w:tcW w:w="1915" w:type="dxa"/>
            <w:vMerge w:val="restart"/>
          </w:tcPr>
          <w:p w14:paraId="5FEB7873" w14:textId="77777777" w:rsidR="00480EF3" w:rsidRPr="00480EF3" w:rsidRDefault="00480EF3" w:rsidP="00480EF3">
            <w:pPr>
              <w:pStyle w:val="Body"/>
              <w:rPr>
                <w:rFonts w:ascii="Arial" w:hAnsi="Arial" w:cs="Arial"/>
                <w:sz w:val="20"/>
              </w:rPr>
            </w:pPr>
            <w:r w:rsidRPr="00480EF3">
              <w:rPr>
                <w:rFonts w:ascii="Arial" w:hAnsi="Arial" w:cs="Arial"/>
                <w:sz w:val="20"/>
              </w:rPr>
              <w:t>Sakkara (S</w:t>
            </w:r>
            <w:r w:rsidRPr="00480EF3">
              <w:rPr>
                <w:rFonts w:ascii="Arial" w:hAnsi="Arial" w:cs="Arial"/>
                <w:sz w:val="20"/>
                <w:vertAlign w:val="subscript"/>
              </w:rPr>
              <w:t>2</w:t>
            </w:r>
            <w:r w:rsidRPr="00480EF3">
              <w:rPr>
                <w:rFonts w:ascii="Arial" w:hAnsi="Arial" w:cs="Arial"/>
                <w:sz w:val="20"/>
              </w:rPr>
              <w:t>)</w:t>
            </w:r>
          </w:p>
        </w:tc>
        <w:tc>
          <w:tcPr>
            <w:tcW w:w="4380" w:type="dxa"/>
          </w:tcPr>
          <w:p w14:paraId="6778BB40" w14:textId="77777777" w:rsidR="00480EF3" w:rsidRPr="00480EF3" w:rsidRDefault="00480EF3" w:rsidP="00480EF3">
            <w:pPr>
              <w:pStyle w:val="Body"/>
              <w:rPr>
                <w:rFonts w:ascii="Arial" w:hAnsi="Arial" w:cs="Arial"/>
                <w:sz w:val="20"/>
              </w:rPr>
            </w:pPr>
            <w:r w:rsidRPr="00480EF3">
              <w:rPr>
                <w:rFonts w:ascii="Arial" w:hAnsi="Arial" w:cs="Arial"/>
                <w:sz w:val="20"/>
              </w:rPr>
              <w:t>Spent wash + ERP (F</w:t>
            </w:r>
            <w:r w:rsidRPr="00480EF3">
              <w:rPr>
                <w:rFonts w:ascii="Arial" w:eastAsia="Times New Roman" w:hAnsi="Arial" w:cs="Arial"/>
                <w:sz w:val="20"/>
                <w:vertAlign w:val="subscript"/>
              </w:rPr>
              <w:t>1</w:t>
            </w:r>
            <w:r w:rsidRPr="00480EF3">
              <w:rPr>
                <w:rFonts w:ascii="Arial" w:hAnsi="Arial" w:cs="Arial"/>
                <w:sz w:val="20"/>
              </w:rPr>
              <w:t>)</w:t>
            </w:r>
          </w:p>
        </w:tc>
        <w:tc>
          <w:tcPr>
            <w:tcW w:w="2100" w:type="dxa"/>
          </w:tcPr>
          <w:p w14:paraId="1DB48089"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1</w:t>
            </w:r>
          </w:p>
        </w:tc>
      </w:tr>
      <w:tr w:rsidR="00480EF3" w:rsidRPr="00480EF3" w14:paraId="6F85D8A8" w14:textId="77777777" w:rsidTr="00556295">
        <w:tc>
          <w:tcPr>
            <w:tcW w:w="1915" w:type="dxa"/>
            <w:vMerge/>
          </w:tcPr>
          <w:p w14:paraId="7CA71496" w14:textId="77777777" w:rsidR="00480EF3" w:rsidRPr="00480EF3" w:rsidRDefault="00480EF3" w:rsidP="00480EF3">
            <w:pPr>
              <w:pStyle w:val="Body"/>
              <w:rPr>
                <w:rFonts w:ascii="Arial" w:hAnsi="Arial" w:cs="Arial"/>
                <w:sz w:val="20"/>
              </w:rPr>
            </w:pPr>
          </w:p>
        </w:tc>
        <w:tc>
          <w:tcPr>
            <w:tcW w:w="4380" w:type="dxa"/>
          </w:tcPr>
          <w:p w14:paraId="30CDBBD9" w14:textId="77777777" w:rsidR="00480EF3" w:rsidRPr="00480EF3" w:rsidRDefault="00480EF3" w:rsidP="00480EF3">
            <w:pPr>
              <w:pStyle w:val="Body"/>
              <w:rPr>
                <w:rFonts w:ascii="Arial" w:hAnsi="Arial" w:cs="Arial"/>
                <w:sz w:val="20"/>
              </w:rPr>
            </w:pPr>
            <w:r w:rsidRPr="00480EF3">
              <w:rPr>
                <w:rFonts w:ascii="Arial" w:hAnsi="Arial" w:cs="Arial"/>
                <w:sz w:val="20"/>
              </w:rPr>
              <w:t>Spent wash + Feldspar (F</w:t>
            </w:r>
            <w:r w:rsidRPr="00480EF3">
              <w:rPr>
                <w:rFonts w:ascii="Arial" w:eastAsia="Times New Roman" w:hAnsi="Arial" w:cs="Arial"/>
                <w:sz w:val="20"/>
                <w:vertAlign w:val="subscript"/>
              </w:rPr>
              <w:t>2</w:t>
            </w:r>
            <w:r w:rsidRPr="00480EF3">
              <w:rPr>
                <w:rFonts w:ascii="Arial" w:hAnsi="Arial" w:cs="Arial"/>
                <w:sz w:val="20"/>
              </w:rPr>
              <w:t>)</w:t>
            </w:r>
          </w:p>
        </w:tc>
        <w:tc>
          <w:tcPr>
            <w:tcW w:w="2100" w:type="dxa"/>
          </w:tcPr>
          <w:p w14:paraId="5FAC4953"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2</w:t>
            </w:r>
          </w:p>
        </w:tc>
      </w:tr>
      <w:tr w:rsidR="00480EF3" w:rsidRPr="00480EF3" w14:paraId="76F04E6C" w14:textId="77777777" w:rsidTr="00556295">
        <w:tc>
          <w:tcPr>
            <w:tcW w:w="1915" w:type="dxa"/>
            <w:vMerge/>
          </w:tcPr>
          <w:p w14:paraId="7CD58742" w14:textId="77777777" w:rsidR="00480EF3" w:rsidRPr="00480EF3" w:rsidRDefault="00480EF3" w:rsidP="00480EF3">
            <w:pPr>
              <w:pStyle w:val="Body"/>
              <w:rPr>
                <w:rFonts w:ascii="Arial" w:hAnsi="Arial" w:cs="Arial"/>
                <w:sz w:val="20"/>
              </w:rPr>
            </w:pPr>
          </w:p>
        </w:tc>
        <w:tc>
          <w:tcPr>
            <w:tcW w:w="4380" w:type="dxa"/>
          </w:tcPr>
          <w:p w14:paraId="26B2F447" w14:textId="77777777" w:rsidR="00480EF3" w:rsidRPr="00480EF3" w:rsidRDefault="00480EF3" w:rsidP="00480EF3">
            <w:pPr>
              <w:pStyle w:val="Body"/>
              <w:rPr>
                <w:rFonts w:ascii="Arial" w:hAnsi="Arial" w:cs="Arial"/>
                <w:sz w:val="20"/>
              </w:rPr>
            </w:pPr>
            <w:r w:rsidRPr="00480EF3">
              <w:rPr>
                <w:rFonts w:ascii="Arial" w:hAnsi="Arial" w:cs="Arial"/>
                <w:sz w:val="20"/>
              </w:rPr>
              <w:t>Spent wash + ERP+ Feldspar (F</w:t>
            </w:r>
            <w:r w:rsidRPr="00480EF3">
              <w:rPr>
                <w:rFonts w:ascii="Arial" w:eastAsia="Times New Roman" w:hAnsi="Arial" w:cs="Arial"/>
                <w:sz w:val="20"/>
                <w:vertAlign w:val="subscript"/>
              </w:rPr>
              <w:t>3</w:t>
            </w:r>
            <w:r w:rsidRPr="00480EF3">
              <w:rPr>
                <w:rFonts w:ascii="Arial" w:hAnsi="Arial" w:cs="Arial"/>
                <w:sz w:val="20"/>
              </w:rPr>
              <w:t>)</w:t>
            </w:r>
          </w:p>
        </w:tc>
        <w:tc>
          <w:tcPr>
            <w:tcW w:w="2100" w:type="dxa"/>
          </w:tcPr>
          <w:p w14:paraId="3A5200AA"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3</w:t>
            </w:r>
          </w:p>
        </w:tc>
      </w:tr>
      <w:tr w:rsidR="00480EF3" w:rsidRPr="00480EF3" w14:paraId="28BA5AE9" w14:textId="77777777" w:rsidTr="00556295">
        <w:tc>
          <w:tcPr>
            <w:tcW w:w="1915" w:type="dxa"/>
            <w:vMerge/>
          </w:tcPr>
          <w:p w14:paraId="7BFD8F2D" w14:textId="77777777" w:rsidR="00480EF3" w:rsidRPr="00480EF3" w:rsidRDefault="00480EF3" w:rsidP="00480EF3">
            <w:pPr>
              <w:pStyle w:val="Body"/>
              <w:rPr>
                <w:rFonts w:ascii="Arial" w:hAnsi="Arial" w:cs="Arial"/>
                <w:sz w:val="20"/>
              </w:rPr>
            </w:pPr>
          </w:p>
        </w:tc>
        <w:tc>
          <w:tcPr>
            <w:tcW w:w="4380" w:type="dxa"/>
          </w:tcPr>
          <w:p w14:paraId="496A9A9F" w14:textId="77777777" w:rsidR="00480EF3" w:rsidRPr="00480EF3" w:rsidRDefault="00480EF3" w:rsidP="00480EF3">
            <w:pPr>
              <w:pStyle w:val="Body"/>
              <w:rPr>
                <w:rFonts w:ascii="Arial" w:hAnsi="Arial" w:cs="Arial"/>
                <w:sz w:val="20"/>
              </w:rPr>
            </w:pPr>
            <w:r w:rsidRPr="00480EF3">
              <w:rPr>
                <w:rFonts w:ascii="Arial" w:hAnsi="Arial" w:cs="Arial"/>
                <w:sz w:val="20"/>
              </w:rPr>
              <w:t>Spent wash (F</w:t>
            </w:r>
            <w:r w:rsidRPr="00480EF3">
              <w:rPr>
                <w:rFonts w:ascii="Arial" w:eastAsia="Times New Roman" w:hAnsi="Arial" w:cs="Arial"/>
                <w:sz w:val="20"/>
                <w:vertAlign w:val="subscript"/>
              </w:rPr>
              <w:t>4</w:t>
            </w:r>
            <w:r w:rsidRPr="00480EF3">
              <w:rPr>
                <w:rFonts w:ascii="Arial" w:hAnsi="Arial" w:cs="Arial"/>
                <w:sz w:val="20"/>
              </w:rPr>
              <w:t>)</w:t>
            </w:r>
          </w:p>
        </w:tc>
        <w:tc>
          <w:tcPr>
            <w:tcW w:w="2100" w:type="dxa"/>
          </w:tcPr>
          <w:p w14:paraId="19BAA78C"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4</w:t>
            </w:r>
          </w:p>
        </w:tc>
      </w:tr>
      <w:tr w:rsidR="00480EF3" w:rsidRPr="00480EF3" w14:paraId="4B5A82A8" w14:textId="77777777" w:rsidTr="00556295">
        <w:tc>
          <w:tcPr>
            <w:tcW w:w="1915" w:type="dxa"/>
            <w:vMerge/>
          </w:tcPr>
          <w:p w14:paraId="103E6734" w14:textId="77777777" w:rsidR="00480EF3" w:rsidRPr="00480EF3" w:rsidRDefault="00480EF3" w:rsidP="00480EF3">
            <w:pPr>
              <w:pStyle w:val="Body"/>
              <w:rPr>
                <w:rFonts w:ascii="Arial" w:hAnsi="Arial" w:cs="Arial"/>
                <w:sz w:val="20"/>
              </w:rPr>
            </w:pPr>
          </w:p>
        </w:tc>
        <w:tc>
          <w:tcPr>
            <w:tcW w:w="4380" w:type="dxa"/>
          </w:tcPr>
          <w:p w14:paraId="4509DF1A" w14:textId="77777777" w:rsidR="00480EF3" w:rsidRPr="00480EF3" w:rsidRDefault="00480EF3" w:rsidP="00480EF3">
            <w:pPr>
              <w:pStyle w:val="Body"/>
              <w:rPr>
                <w:rFonts w:ascii="Arial" w:hAnsi="Arial" w:cs="Arial"/>
                <w:sz w:val="20"/>
              </w:rPr>
            </w:pPr>
            <w:r w:rsidRPr="00480EF3">
              <w:rPr>
                <w:rFonts w:ascii="Arial" w:hAnsi="Arial" w:cs="Arial"/>
                <w:sz w:val="20"/>
              </w:rPr>
              <w:t>Water (F</w:t>
            </w:r>
            <w:r w:rsidRPr="00480EF3">
              <w:rPr>
                <w:rFonts w:ascii="Arial" w:hAnsi="Arial" w:cs="Arial"/>
                <w:sz w:val="20"/>
                <w:vertAlign w:val="subscript"/>
              </w:rPr>
              <w:t>5</w:t>
            </w:r>
            <w:r w:rsidRPr="00480EF3">
              <w:rPr>
                <w:rFonts w:ascii="Arial" w:hAnsi="Arial" w:cs="Arial"/>
                <w:sz w:val="20"/>
              </w:rPr>
              <w:t>)</w:t>
            </w:r>
          </w:p>
        </w:tc>
        <w:tc>
          <w:tcPr>
            <w:tcW w:w="2100" w:type="dxa"/>
          </w:tcPr>
          <w:p w14:paraId="26C0BE8A"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hAnsi="Arial" w:cs="Arial"/>
                <w:sz w:val="20"/>
                <w:vertAlign w:val="subscript"/>
              </w:rPr>
              <w:t>5</w:t>
            </w:r>
          </w:p>
        </w:tc>
      </w:tr>
    </w:tbl>
    <w:p w14:paraId="3A8D872B" w14:textId="77777777" w:rsidR="00790ADA" w:rsidRDefault="00790ADA" w:rsidP="00441B6F">
      <w:pPr>
        <w:pStyle w:val="Body"/>
        <w:spacing w:after="0"/>
        <w:rPr>
          <w:rFonts w:ascii="Arial" w:hAnsi="Arial" w:cs="Arial"/>
        </w:rPr>
      </w:pPr>
    </w:p>
    <w:p w14:paraId="66DEED78" w14:textId="77777777" w:rsidR="005E6031" w:rsidRPr="00FB3A86" w:rsidRDefault="005E6031" w:rsidP="00441B6F">
      <w:pPr>
        <w:pStyle w:val="Body"/>
        <w:spacing w:after="0"/>
        <w:rPr>
          <w:rFonts w:ascii="Arial" w:hAnsi="Arial" w:cs="Arial"/>
        </w:rPr>
      </w:pPr>
    </w:p>
    <w:p w14:paraId="628744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6C1CCC" w14:textId="77777777" w:rsidR="00790ADA" w:rsidRPr="00FB3A86" w:rsidRDefault="00790ADA" w:rsidP="00441B6F">
      <w:pPr>
        <w:pStyle w:val="Head1"/>
        <w:spacing w:after="0"/>
        <w:jc w:val="both"/>
        <w:rPr>
          <w:rFonts w:ascii="Arial" w:hAnsi="Arial" w:cs="Arial"/>
        </w:rPr>
      </w:pPr>
    </w:p>
    <w:p w14:paraId="05A72363" w14:textId="13B8F08D" w:rsidR="005E6031" w:rsidRPr="005E6031" w:rsidRDefault="005E6031" w:rsidP="005E6031">
      <w:pPr>
        <w:pStyle w:val="Body"/>
        <w:rPr>
          <w:rFonts w:ascii="Arial" w:hAnsi="Arial" w:cs="Arial"/>
          <w:b/>
          <w:bCs/>
          <w:sz w:val="22"/>
          <w:szCs w:val="22"/>
        </w:rPr>
      </w:pPr>
      <w:r w:rsidRPr="005E6031">
        <w:rPr>
          <w:rFonts w:ascii="Arial" w:hAnsi="Arial" w:cs="Arial"/>
          <w:b/>
          <w:bCs/>
          <w:sz w:val="22"/>
          <w:szCs w:val="22"/>
        </w:rPr>
        <w:t>3.1 pH</w:t>
      </w:r>
    </w:p>
    <w:p w14:paraId="45DECC88" w14:textId="2D38BA01" w:rsidR="00790ADA" w:rsidRDefault="005E6031" w:rsidP="005E6031">
      <w:pPr>
        <w:pStyle w:val="Body"/>
        <w:spacing w:after="0"/>
        <w:rPr>
          <w:rFonts w:ascii="Arial" w:hAnsi="Arial" w:cs="Arial"/>
        </w:rPr>
      </w:pPr>
      <w:r w:rsidRPr="005E6031">
        <w:rPr>
          <w:rFonts w:ascii="Arial" w:hAnsi="Arial" w:cs="Arial"/>
        </w:rPr>
        <w:t xml:space="preserve">pH of all fish tonic formulations remained within an acidic range (3.97- 4.36) throughout the </w:t>
      </w:r>
      <w:proofErr w:type="gramStart"/>
      <w:r w:rsidRPr="005E6031">
        <w:rPr>
          <w:rFonts w:ascii="Arial" w:hAnsi="Arial" w:cs="Arial"/>
        </w:rPr>
        <w:t>three month</w:t>
      </w:r>
      <w:proofErr w:type="gramEnd"/>
      <w:r w:rsidRPr="005E6031">
        <w:rPr>
          <w:rFonts w:ascii="Arial" w:hAnsi="Arial" w:cs="Arial"/>
        </w:rPr>
        <w:t xml:space="preserve"> storage period, showing slight increase across all treatments (Table 2).</w:t>
      </w:r>
      <w:r>
        <w:rPr>
          <w:rFonts w:ascii="Arial" w:hAnsi="Arial" w:cs="Arial"/>
        </w:rPr>
        <w:t xml:space="preserve"> </w:t>
      </w:r>
      <w:r w:rsidRPr="005E6031">
        <w:rPr>
          <w:rFonts w:ascii="Arial" w:hAnsi="Arial" w:cs="Arial"/>
        </w:rPr>
        <w:t>Gradual elevation can be explained by the protein breakdown, during which residual microbial activity and endogenous enzymes release basic substances such as ammonia and amides that neutralize some of the accumulated acids (Hidayat et al., 2024). Moreover, when available sugars and other fermentable substrates are depleted, acid synthesis diminished, permitting the effects of basic compounds predominate (Hidayat et al., 2024). Similar trends have been observed in fish silage and fish waste derived liquid fertilizers indicate that pH initially declines</w:t>
      </w:r>
      <w:r>
        <w:rPr>
          <w:rFonts w:ascii="Arial" w:hAnsi="Arial" w:cs="Arial"/>
        </w:rPr>
        <w:t xml:space="preserve"> </w:t>
      </w:r>
      <w:r w:rsidRPr="005E6031">
        <w:rPr>
          <w:rFonts w:ascii="Arial" w:hAnsi="Arial" w:cs="Arial"/>
        </w:rPr>
        <w:t>during active fermentation followed by gradual rise in storage due to microbial degradation and OH- formation (Hidayat et al., 2024).</w:t>
      </w:r>
    </w:p>
    <w:p w14:paraId="3E057673" w14:textId="77777777" w:rsidR="00790ADA" w:rsidRDefault="00790ADA" w:rsidP="00441B6F">
      <w:pPr>
        <w:pStyle w:val="Body"/>
        <w:spacing w:after="0"/>
        <w:rPr>
          <w:rFonts w:ascii="Arial" w:hAnsi="Arial" w:cs="Arial"/>
        </w:rPr>
      </w:pPr>
    </w:p>
    <w:p w14:paraId="4AB2E00B" w14:textId="2B116465" w:rsidR="005E6031" w:rsidRPr="00EC6797" w:rsidRDefault="005E6031" w:rsidP="00441B6F">
      <w:pPr>
        <w:pStyle w:val="Body"/>
        <w:spacing w:after="0"/>
        <w:rPr>
          <w:rFonts w:ascii="Arial" w:hAnsi="Arial" w:cs="Arial"/>
          <w:b/>
          <w:bCs/>
        </w:rPr>
      </w:pPr>
      <w:r w:rsidRPr="00EC6797">
        <w:rPr>
          <w:rFonts w:ascii="Arial" w:hAnsi="Arial" w:cs="Arial"/>
          <w:b/>
          <w:bCs/>
        </w:rPr>
        <w:t xml:space="preserve">Table 2. Data on pH </w:t>
      </w:r>
      <w:proofErr w:type="gramStart"/>
      <w:r w:rsidRPr="00EC6797">
        <w:rPr>
          <w:rFonts w:ascii="Arial" w:hAnsi="Arial" w:cs="Arial"/>
          <w:b/>
          <w:bCs/>
        </w:rPr>
        <w:t>changes  of</w:t>
      </w:r>
      <w:proofErr w:type="gramEnd"/>
      <w:r w:rsidRPr="00EC6797">
        <w:rPr>
          <w:rFonts w:ascii="Arial" w:hAnsi="Arial" w:cs="Arial"/>
          <w:b/>
          <w:bCs/>
        </w:rPr>
        <w:t xml:space="preserve"> fish tonic formulations during three months of storage</w:t>
      </w:r>
    </w:p>
    <w:p w14:paraId="0E982D1B" w14:textId="77777777" w:rsidR="005E6031" w:rsidRDefault="005E6031"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66"/>
        <w:gridCol w:w="1368"/>
        <w:gridCol w:w="1133"/>
        <w:gridCol w:w="1057"/>
      </w:tblGrid>
      <w:tr w:rsidR="00EC6797" w:rsidRPr="00EC6797" w14:paraId="5C53EE0F" w14:textId="77777777" w:rsidTr="00556295">
        <w:tc>
          <w:tcPr>
            <w:tcW w:w="4940" w:type="dxa"/>
          </w:tcPr>
          <w:p w14:paraId="719D5021"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Treatments</w:t>
            </w:r>
          </w:p>
        </w:tc>
        <w:tc>
          <w:tcPr>
            <w:tcW w:w="1380" w:type="dxa"/>
          </w:tcPr>
          <w:p w14:paraId="1FFF873E" w14:textId="7A209C53" w:rsidR="00EC6797" w:rsidRPr="00EC6797" w:rsidRDefault="00EC6797" w:rsidP="00EC6797">
            <w:pPr>
              <w:pStyle w:val="Body"/>
              <w:spacing w:after="0"/>
              <w:rPr>
                <w:rFonts w:ascii="Arial" w:hAnsi="Arial" w:cs="Arial"/>
                <w:b/>
                <w:bCs/>
                <w:sz w:val="20"/>
              </w:rPr>
            </w:pPr>
            <w:r w:rsidRPr="00EC6797">
              <w:rPr>
                <w:rFonts w:ascii="Arial" w:hAnsi="Arial" w:cs="Arial"/>
                <w:b/>
                <w:bCs/>
                <w:sz w:val="20"/>
              </w:rPr>
              <w:t>1</w:t>
            </w:r>
            <w:r w:rsidRPr="00EC6797">
              <w:rPr>
                <w:rFonts w:ascii="Arial" w:hAnsi="Arial" w:cs="Arial"/>
                <w:b/>
                <w:bCs/>
                <w:sz w:val="20"/>
                <w:vertAlign w:val="superscript"/>
              </w:rPr>
              <w:t>st</w:t>
            </w:r>
            <w:r w:rsidRPr="00EC6797">
              <w:rPr>
                <w:rFonts w:ascii="Arial" w:hAnsi="Arial" w:cs="Arial"/>
                <w:b/>
                <w:bCs/>
                <w:sz w:val="20"/>
              </w:rPr>
              <w:t xml:space="preserve"> Month </w:t>
            </w:r>
          </w:p>
        </w:tc>
        <w:tc>
          <w:tcPr>
            <w:tcW w:w="1140" w:type="dxa"/>
          </w:tcPr>
          <w:p w14:paraId="28F42865"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2</w:t>
            </w:r>
            <w:r w:rsidRPr="00EC6797">
              <w:rPr>
                <w:rFonts w:ascii="Arial" w:hAnsi="Arial" w:cs="Arial"/>
                <w:b/>
                <w:bCs/>
                <w:sz w:val="20"/>
                <w:vertAlign w:val="superscript"/>
              </w:rPr>
              <w:t>nd</w:t>
            </w:r>
            <w:r w:rsidRPr="00EC6797">
              <w:rPr>
                <w:rFonts w:ascii="Arial" w:hAnsi="Arial" w:cs="Arial"/>
                <w:b/>
                <w:bCs/>
                <w:sz w:val="20"/>
              </w:rPr>
              <w:t xml:space="preserve"> Month</w:t>
            </w:r>
          </w:p>
        </w:tc>
        <w:tc>
          <w:tcPr>
            <w:tcW w:w="1062" w:type="dxa"/>
          </w:tcPr>
          <w:p w14:paraId="39BE807C"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3</w:t>
            </w:r>
            <w:r w:rsidRPr="00EC6797">
              <w:rPr>
                <w:rFonts w:ascii="Arial" w:hAnsi="Arial" w:cs="Arial"/>
                <w:b/>
                <w:bCs/>
                <w:sz w:val="20"/>
                <w:vertAlign w:val="superscript"/>
              </w:rPr>
              <w:t>rd</w:t>
            </w:r>
            <w:r w:rsidRPr="00EC6797">
              <w:rPr>
                <w:rFonts w:ascii="Arial" w:hAnsi="Arial" w:cs="Arial"/>
                <w:b/>
                <w:bCs/>
                <w:sz w:val="20"/>
              </w:rPr>
              <w:t xml:space="preserve"> Month</w:t>
            </w:r>
          </w:p>
        </w:tc>
      </w:tr>
      <w:tr w:rsidR="00EC6797" w:rsidRPr="00EC6797" w14:paraId="5F63F12F" w14:textId="77777777" w:rsidTr="00556295">
        <w:tc>
          <w:tcPr>
            <w:tcW w:w="4940" w:type="dxa"/>
          </w:tcPr>
          <w:p w14:paraId="1AE0AD90"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1</w:t>
            </w:r>
            <w:r w:rsidRPr="00EC6797">
              <w:rPr>
                <w:rFonts w:ascii="Arial" w:hAnsi="Arial" w:cs="Arial"/>
                <w:sz w:val="20"/>
                <w:vertAlign w:val="subscript"/>
              </w:rPr>
              <w:t xml:space="preserve"> </w:t>
            </w:r>
            <w:r w:rsidRPr="00EC6797">
              <w:rPr>
                <w:rFonts w:ascii="Arial" w:hAnsi="Arial" w:cs="Arial"/>
                <w:sz w:val="20"/>
              </w:rPr>
              <w:t>(Brown sugar + spent wash + ERP)</w:t>
            </w:r>
          </w:p>
        </w:tc>
        <w:tc>
          <w:tcPr>
            <w:tcW w:w="1380" w:type="dxa"/>
          </w:tcPr>
          <w:p w14:paraId="386F274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c>
          <w:tcPr>
            <w:tcW w:w="1140" w:type="dxa"/>
          </w:tcPr>
          <w:p w14:paraId="1B43CBCE" w14:textId="77777777" w:rsidR="00EC6797" w:rsidRPr="00EC6797" w:rsidRDefault="00EC6797" w:rsidP="00EC6797">
            <w:pPr>
              <w:pStyle w:val="Body"/>
              <w:spacing w:after="0"/>
              <w:rPr>
                <w:rFonts w:ascii="Arial" w:hAnsi="Arial" w:cs="Arial"/>
                <w:sz w:val="20"/>
              </w:rPr>
            </w:pPr>
            <w:r w:rsidRPr="00EC6797">
              <w:rPr>
                <w:rFonts w:ascii="Arial" w:hAnsi="Arial" w:cs="Arial"/>
                <w:sz w:val="20"/>
              </w:rPr>
              <w:t>4.34</w:t>
            </w:r>
          </w:p>
        </w:tc>
        <w:tc>
          <w:tcPr>
            <w:tcW w:w="1062" w:type="dxa"/>
          </w:tcPr>
          <w:p w14:paraId="12EE69F7" w14:textId="77777777" w:rsidR="00EC6797" w:rsidRPr="00EC6797" w:rsidRDefault="00EC6797" w:rsidP="00EC6797">
            <w:pPr>
              <w:pStyle w:val="Body"/>
              <w:spacing w:after="0"/>
              <w:rPr>
                <w:rFonts w:ascii="Arial" w:hAnsi="Arial" w:cs="Arial"/>
                <w:sz w:val="20"/>
              </w:rPr>
            </w:pPr>
            <w:r w:rsidRPr="00EC6797">
              <w:rPr>
                <w:rFonts w:ascii="Arial" w:hAnsi="Arial" w:cs="Arial"/>
                <w:sz w:val="20"/>
              </w:rPr>
              <w:t>4.36</w:t>
            </w:r>
          </w:p>
        </w:tc>
      </w:tr>
      <w:tr w:rsidR="00EC6797" w:rsidRPr="00EC6797" w14:paraId="5364EBE0" w14:textId="77777777" w:rsidTr="00556295">
        <w:tc>
          <w:tcPr>
            <w:tcW w:w="4940" w:type="dxa"/>
          </w:tcPr>
          <w:p w14:paraId="18288AB8"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2</w:t>
            </w:r>
            <w:r w:rsidRPr="00EC6797">
              <w:rPr>
                <w:rFonts w:ascii="Arial" w:hAnsi="Arial" w:cs="Arial"/>
                <w:sz w:val="20"/>
                <w:vertAlign w:val="subscript"/>
              </w:rPr>
              <w:t xml:space="preserve"> </w:t>
            </w:r>
            <w:r w:rsidRPr="00EC6797">
              <w:rPr>
                <w:rFonts w:ascii="Arial" w:hAnsi="Arial" w:cs="Arial"/>
                <w:sz w:val="20"/>
              </w:rPr>
              <w:t>(Brown sugar + spent wash + Feldspar)</w:t>
            </w:r>
          </w:p>
        </w:tc>
        <w:tc>
          <w:tcPr>
            <w:tcW w:w="1380" w:type="dxa"/>
          </w:tcPr>
          <w:p w14:paraId="665E64D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c>
          <w:tcPr>
            <w:tcW w:w="1140" w:type="dxa"/>
          </w:tcPr>
          <w:p w14:paraId="4E50A96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c>
          <w:tcPr>
            <w:tcW w:w="1062" w:type="dxa"/>
          </w:tcPr>
          <w:p w14:paraId="077FF84A"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r>
      <w:tr w:rsidR="00EC6797" w:rsidRPr="00EC6797" w14:paraId="4940454B" w14:textId="77777777" w:rsidTr="00556295">
        <w:tc>
          <w:tcPr>
            <w:tcW w:w="4940" w:type="dxa"/>
          </w:tcPr>
          <w:p w14:paraId="61B9C4AB"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3</w:t>
            </w:r>
            <w:r w:rsidRPr="00EC6797">
              <w:rPr>
                <w:rFonts w:ascii="Arial" w:hAnsi="Arial" w:cs="Arial"/>
                <w:sz w:val="20"/>
                <w:vertAlign w:val="subscript"/>
              </w:rPr>
              <w:t xml:space="preserve"> </w:t>
            </w:r>
            <w:r w:rsidRPr="00EC6797">
              <w:rPr>
                <w:rFonts w:ascii="Arial" w:hAnsi="Arial" w:cs="Arial"/>
                <w:sz w:val="20"/>
              </w:rPr>
              <w:t>(Brown sugar + spent wash + ERP + feldspar)</w:t>
            </w:r>
          </w:p>
        </w:tc>
        <w:tc>
          <w:tcPr>
            <w:tcW w:w="1380" w:type="dxa"/>
          </w:tcPr>
          <w:p w14:paraId="2EBABB3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4.09</w:t>
            </w:r>
          </w:p>
        </w:tc>
        <w:tc>
          <w:tcPr>
            <w:tcW w:w="1140" w:type="dxa"/>
          </w:tcPr>
          <w:p w14:paraId="4CAD5126"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4.15</w:t>
            </w:r>
          </w:p>
        </w:tc>
        <w:tc>
          <w:tcPr>
            <w:tcW w:w="1062" w:type="dxa"/>
          </w:tcPr>
          <w:p w14:paraId="300EF7AC"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r>
      <w:tr w:rsidR="00EC6797" w:rsidRPr="00EC6797" w14:paraId="71005E2A" w14:textId="77777777" w:rsidTr="00556295">
        <w:tc>
          <w:tcPr>
            <w:tcW w:w="4940" w:type="dxa"/>
          </w:tcPr>
          <w:p w14:paraId="41AF36D9"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4</w:t>
            </w:r>
            <w:r w:rsidRPr="00EC6797">
              <w:rPr>
                <w:rFonts w:ascii="Arial" w:hAnsi="Arial" w:cs="Arial"/>
                <w:sz w:val="20"/>
                <w:vertAlign w:val="subscript"/>
              </w:rPr>
              <w:t xml:space="preserve"> </w:t>
            </w:r>
            <w:r w:rsidRPr="00EC6797">
              <w:rPr>
                <w:rFonts w:ascii="Arial" w:hAnsi="Arial" w:cs="Arial"/>
                <w:sz w:val="20"/>
              </w:rPr>
              <w:t>(Brown sugar + spent wash)</w:t>
            </w:r>
          </w:p>
        </w:tc>
        <w:tc>
          <w:tcPr>
            <w:tcW w:w="1380" w:type="dxa"/>
          </w:tcPr>
          <w:p w14:paraId="79D7EC2F" w14:textId="77777777" w:rsidR="00EC6797" w:rsidRPr="00EC6797" w:rsidRDefault="00EC6797" w:rsidP="00EC6797">
            <w:pPr>
              <w:pStyle w:val="Body"/>
              <w:spacing w:after="0"/>
              <w:rPr>
                <w:rFonts w:ascii="Arial" w:hAnsi="Arial" w:cs="Arial"/>
                <w:sz w:val="20"/>
              </w:rPr>
            </w:pPr>
            <w:r w:rsidRPr="00EC6797">
              <w:rPr>
                <w:rFonts w:ascii="Arial" w:hAnsi="Arial" w:cs="Arial"/>
                <w:sz w:val="20"/>
              </w:rPr>
              <w:t>3.97</w:t>
            </w:r>
          </w:p>
        </w:tc>
        <w:tc>
          <w:tcPr>
            <w:tcW w:w="1140" w:type="dxa"/>
          </w:tcPr>
          <w:p w14:paraId="6B8CC09B"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4.07</w:t>
            </w:r>
          </w:p>
        </w:tc>
        <w:tc>
          <w:tcPr>
            <w:tcW w:w="1062" w:type="dxa"/>
          </w:tcPr>
          <w:p w14:paraId="11C5EC2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r>
      <w:tr w:rsidR="00EC6797" w:rsidRPr="00EC6797" w14:paraId="4D367470" w14:textId="77777777" w:rsidTr="00556295">
        <w:tc>
          <w:tcPr>
            <w:tcW w:w="4940" w:type="dxa"/>
          </w:tcPr>
          <w:p w14:paraId="36296998"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hAnsi="Arial" w:cs="Arial"/>
                <w:sz w:val="20"/>
                <w:vertAlign w:val="subscript"/>
              </w:rPr>
              <w:t xml:space="preserve">5 </w:t>
            </w:r>
            <w:r w:rsidRPr="00EC6797">
              <w:rPr>
                <w:rFonts w:ascii="Arial" w:hAnsi="Arial" w:cs="Arial"/>
                <w:sz w:val="20"/>
              </w:rPr>
              <w:t>(Brown sugar + water)</w:t>
            </w:r>
          </w:p>
        </w:tc>
        <w:tc>
          <w:tcPr>
            <w:tcW w:w="1380" w:type="dxa"/>
          </w:tcPr>
          <w:p w14:paraId="6DC4BB4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4.03</w:t>
            </w:r>
          </w:p>
        </w:tc>
        <w:tc>
          <w:tcPr>
            <w:tcW w:w="1140" w:type="dxa"/>
          </w:tcPr>
          <w:p w14:paraId="2F5111B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4.07</w:t>
            </w:r>
          </w:p>
        </w:tc>
        <w:tc>
          <w:tcPr>
            <w:tcW w:w="1062" w:type="dxa"/>
          </w:tcPr>
          <w:p w14:paraId="5422918B"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4.12</w:t>
            </w:r>
          </w:p>
        </w:tc>
      </w:tr>
      <w:tr w:rsidR="00EC6797" w:rsidRPr="00EC6797" w14:paraId="6C07396D" w14:textId="77777777" w:rsidTr="00556295">
        <w:tc>
          <w:tcPr>
            <w:tcW w:w="4940" w:type="dxa"/>
          </w:tcPr>
          <w:p w14:paraId="3D1DB897"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1</w:t>
            </w:r>
            <w:r w:rsidRPr="00EC6797">
              <w:rPr>
                <w:rFonts w:ascii="Arial" w:hAnsi="Arial" w:cs="Arial"/>
                <w:sz w:val="20"/>
              </w:rPr>
              <w:t xml:space="preserve"> (Sakkara + spent wash + ERP)</w:t>
            </w:r>
          </w:p>
        </w:tc>
        <w:tc>
          <w:tcPr>
            <w:tcW w:w="1380" w:type="dxa"/>
          </w:tcPr>
          <w:p w14:paraId="383F52C5"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4.03</w:t>
            </w:r>
          </w:p>
        </w:tc>
        <w:tc>
          <w:tcPr>
            <w:tcW w:w="1140" w:type="dxa"/>
          </w:tcPr>
          <w:p w14:paraId="7057283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c>
          <w:tcPr>
            <w:tcW w:w="1062" w:type="dxa"/>
          </w:tcPr>
          <w:p w14:paraId="5AAE4E85"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r>
      <w:tr w:rsidR="00EC6797" w:rsidRPr="00EC6797" w14:paraId="27914C39" w14:textId="77777777" w:rsidTr="00556295">
        <w:tc>
          <w:tcPr>
            <w:tcW w:w="4940" w:type="dxa"/>
          </w:tcPr>
          <w:p w14:paraId="6C330720"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2</w:t>
            </w:r>
            <w:r w:rsidRPr="00EC6797">
              <w:rPr>
                <w:rFonts w:ascii="Arial" w:hAnsi="Arial" w:cs="Arial"/>
                <w:sz w:val="20"/>
                <w:vertAlign w:val="subscript"/>
              </w:rPr>
              <w:t xml:space="preserve"> </w:t>
            </w:r>
            <w:r w:rsidRPr="00EC6797">
              <w:rPr>
                <w:rFonts w:ascii="Arial" w:hAnsi="Arial" w:cs="Arial"/>
                <w:sz w:val="20"/>
              </w:rPr>
              <w:t>(Sakkara + spent wash + Feldspar)</w:t>
            </w:r>
          </w:p>
        </w:tc>
        <w:tc>
          <w:tcPr>
            <w:tcW w:w="1380" w:type="dxa"/>
          </w:tcPr>
          <w:p w14:paraId="7CA552A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4.06</w:t>
            </w:r>
          </w:p>
        </w:tc>
        <w:tc>
          <w:tcPr>
            <w:tcW w:w="1140" w:type="dxa"/>
          </w:tcPr>
          <w:p w14:paraId="6D5FDC0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4.18</w:t>
            </w:r>
          </w:p>
        </w:tc>
        <w:tc>
          <w:tcPr>
            <w:tcW w:w="1062" w:type="dxa"/>
          </w:tcPr>
          <w:p w14:paraId="1187F366"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r>
      <w:tr w:rsidR="00EC6797" w:rsidRPr="00EC6797" w14:paraId="6935AB0E" w14:textId="77777777" w:rsidTr="00556295">
        <w:tc>
          <w:tcPr>
            <w:tcW w:w="4940" w:type="dxa"/>
          </w:tcPr>
          <w:p w14:paraId="0C25FB14"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3</w:t>
            </w:r>
            <w:r w:rsidRPr="00EC6797">
              <w:rPr>
                <w:rFonts w:ascii="Arial" w:hAnsi="Arial" w:cs="Arial"/>
                <w:sz w:val="20"/>
                <w:vertAlign w:val="subscript"/>
              </w:rPr>
              <w:t xml:space="preserve"> </w:t>
            </w:r>
            <w:r w:rsidRPr="00EC6797">
              <w:rPr>
                <w:rFonts w:ascii="Arial" w:hAnsi="Arial" w:cs="Arial"/>
                <w:sz w:val="20"/>
              </w:rPr>
              <w:t>(Sakkara + spent wash + ERP + feldspar)</w:t>
            </w:r>
          </w:p>
        </w:tc>
        <w:tc>
          <w:tcPr>
            <w:tcW w:w="1380" w:type="dxa"/>
          </w:tcPr>
          <w:p w14:paraId="281DF5F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4.06</w:t>
            </w:r>
          </w:p>
        </w:tc>
        <w:tc>
          <w:tcPr>
            <w:tcW w:w="1140" w:type="dxa"/>
          </w:tcPr>
          <w:p w14:paraId="207224C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4.12</w:t>
            </w:r>
          </w:p>
        </w:tc>
        <w:tc>
          <w:tcPr>
            <w:tcW w:w="1062" w:type="dxa"/>
          </w:tcPr>
          <w:p w14:paraId="55F9BF8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4.18</w:t>
            </w:r>
          </w:p>
        </w:tc>
      </w:tr>
      <w:tr w:rsidR="00EC6797" w:rsidRPr="00EC6797" w14:paraId="0E594A34" w14:textId="77777777" w:rsidTr="00556295">
        <w:tc>
          <w:tcPr>
            <w:tcW w:w="4940" w:type="dxa"/>
          </w:tcPr>
          <w:p w14:paraId="4AF03272"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4</w:t>
            </w:r>
            <w:r w:rsidRPr="00EC6797">
              <w:rPr>
                <w:rFonts w:ascii="Arial" w:hAnsi="Arial" w:cs="Arial"/>
                <w:sz w:val="20"/>
              </w:rPr>
              <w:t xml:space="preserve"> (Sakkara + spent wash)</w:t>
            </w:r>
          </w:p>
        </w:tc>
        <w:tc>
          <w:tcPr>
            <w:tcW w:w="1380" w:type="dxa"/>
          </w:tcPr>
          <w:p w14:paraId="7BCC0AA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4.08</w:t>
            </w:r>
          </w:p>
        </w:tc>
        <w:tc>
          <w:tcPr>
            <w:tcW w:w="1140" w:type="dxa"/>
          </w:tcPr>
          <w:p w14:paraId="5DC11D8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4.22</w:t>
            </w:r>
          </w:p>
        </w:tc>
        <w:tc>
          <w:tcPr>
            <w:tcW w:w="1062" w:type="dxa"/>
          </w:tcPr>
          <w:p w14:paraId="5495B54E"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4.23</w:t>
            </w:r>
          </w:p>
        </w:tc>
      </w:tr>
      <w:tr w:rsidR="00EC6797" w:rsidRPr="00EC6797" w14:paraId="11A033E2" w14:textId="77777777" w:rsidTr="00556295">
        <w:tc>
          <w:tcPr>
            <w:tcW w:w="4940" w:type="dxa"/>
          </w:tcPr>
          <w:p w14:paraId="128070B4"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hAnsi="Arial" w:cs="Arial"/>
                <w:sz w:val="20"/>
                <w:vertAlign w:val="subscript"/>
              </w:rPr>
              <w:t xml:space="preserve">5 </w:t>
            </w:r>
            <w:r w:rsidRPr="00EC6797">
              <w:rPr>
                <w:rFonts w:ascii="Arial" w:hAnsi="Arial" w:cs="Arial"/>
                <w:sz w:val="20"/>
              </w:rPr>
              <w:t>(Sakkara + water)</w:t>
            </w:r>
          </w:p>
        </w:tc>
        <w:tc>
          <w:tcPr>
            <w:tcW w:w="1380" w:type="dxa"/>
          </w:tcPr>
          <w:p w14:paraId="64706BA0"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4.08</w:t>
            </w:r>
          </w:p>
        </w:tc>
        <w:tc>
          <w:tcPr>
            <w:tcW w:w="1140" w:type="dxa"/>
          </w:tcPr>
          <w:p w14:paraId="47DDC8D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4.10</w:t>
            </w:r>
          </w:p>
        </w:tc>
        <w:tc>
          <w:tcPr>
            <w:tcW w:w="1062" w:type="dxa"/>
          </w:tcPr>
          <w:p w14:paraId="226ED9A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4.15</w:t>
            </w:r>
          </w:p>
        </w:tc>
      </w:tr>
    </w:tbl>
    <w:p w14:paraId="2EC07F7A" w14:textId="77777777" w:rsidR="005E6031" w:rsidRDefault="005E6031" w:rsidP="00441B6F">
      <w:pPr>
        <w:pStyle w:val="Body"/>
        <w:spacing w:after="0"/>
        <w:rPr>
          <w:rFonts w:ascii="Arial" w:hAnsi="Arial" w:cs="Arial"/>
        </w:rPr>
      </w:pPr>
    </w:p>
    <w:p w14:paraId="73E96878" w14:textId="78141CFE" w:rsidR="00287D0C" w:rsidRPr="00287D0C" w:rsidRDefault="00287D0C" w:rsidP="00287D0C">
      <w:pPr>
        <w:jc w:val="both"/>
        <w:rPr>
          <w:rFonts w:ascii="Arial" w:hAnsi="Arial" w:cs="Arial"/>
          <w:b/>
          <w:bCs/>
          <w:sz w:val="22"/>
          <w:szCs w:val="22"/>
          <w:lang w:val="en-GB" w:eastAsia="en-GB"/>
        </w:rPr>
      </w:pPr>
      <w:r w:rsidRPr="00287D0C">
        <w:rPr>
          <w:rFonts w:ascii="Arial" w:hAnsi="Arial" w:cs="Arial"/>
          <w:b/>
          <w:bCs/>
          <w:sz w:val="22"/>
          <w:szCs w:val="22"/>
          <w:lang w:val="en-GB" w:eastAsia="en-GB"/>
        </w:rPr>
        <w:t>3.2 EC</w:t>
      </w:r>
    </w:p>
    <w:p w14:paraId="410368E7" w14:textId="77777777" w:rsidR="00287D0C" w:rsidRDefault="00287D0C" w:rsidP="00287D0C">
      <w:pPr>
        <w:jc w:val="both"/>
        <w:rPr>
          <w:rFonts w:ascii="Arial" w:hAnsi="Arial" w:cs="Arial"/>
          <w:lang w:val="en-GB" w:eastAsia="en-GB"/>
        </w:rPr>
      </w:pPr>
    </w:p>
    <w:p w14:paraId="029DC130" w14:textId="1AD4411C"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The electrical conductivity (EC) of all fish tonic formulations ranged from 4.29 to 6.08 </w:t>
      </w:r>
      <w:proofErr w:type="spellStart"/>
      <w:r w:rsidRPr="00287D0C">
        <w:rPr>
          <w:rFonts w:ascii="Arial" w:hAnsi="Arial" w:cs="Arial"/>
          <w:lang w:val="en-GB" w:eastAsia="en-GB"/>
        </w:rPr>
        <w:t>dS</w:t>
      </w:r>
      <w:proofErr w:type="spellEnd"/>
      <w:r w:rsidRPr="00287D0C">
        <w:rPr>
          <w:rFonts w:ascii="Arial" w:hAnsi="Arial" w:cs="Arial"/>
          <w:lang w:val="en-GB" w:eastAsia="en-GB"/>
        </w:rPr>
        <w:t xml:space="preserve">/m over the </w:t>
      </w:r>
      <w:proofErr w:type="gramStart"/>
      <w:r w:rsidRPr="00287D0C">
        <w:rPr>
          <w:rFonts w:ascii="Arial" w:hAnsi="Arial" w:cs="Arial"/>
          <w:lang w:val="en-GB" w:eastAsia="en-GB"/>
        </w:rPr>
        <w:t>three month</w:t>
      </w:r>
      <w:proofErr w:type="gramEnd"/>
      <w:r w:rsidRPr="00287D0C">
        <w:rPr>
          <w:rFonts w:ascii="Arial" w:hAnsi="Arial" w:cs="Arial"/>
          <w:lang w:val="en-GB" w:eastAsia="en-GB"/>
        </w:rPr>
        <w:t xml:space="preserve"> storage period, showing variable trends across treatments (Table 3). EC decreased in most treatments during second month, followed by an increase in the third month for the majority of formulations. EC decreased likely because of microbial utilizing soluble nutrients while the solution reached equilibrium (Kim et al., 2024). During the later period, EC increased as residual organic matter was broken down and cell lysis released ammonium, phosphate, potassium, and other ions in the solution (Kim et al., 2024).</w:t>
      </w:r>
    </w:p>
    <w:p w14:paraId="14011E2E" w14:textId="77777777" w:rsidR="00287D0C" w:rsidRDefault="00287D0C" w:rsidP="00441B6F">
      <w:pPr>
        <w:jc w:val="both"/>
        <w:rPr>
          <w:rFonts w:ascii="Arial" w:hAnsi="Arial" w:cs="Arial"/>
          <w:u w:val="single"/>
          <w:lang w:val="en-GB" w:eastAsia="en-GB"/>
        </w:rPr>
      </w:pPr>
    </w:p>
    <w:p w14:paraId="0B01549A" w14:textId="4A060ACE" w:rsidR="00287D0C" w:rsidRPr="00287D0C" w:rsidRDefault="00287D0C" w:rsidP="00441B6F">
      <w:pPr>
        <w:jc w:val="both"/>
        <w:rPr>
          <w:rFonts w:ascii="Arial" w:hAnsi="Arial" w:cs="Arial"/>
          <w:b/>
          <w:bCs/>
          <w:lang w:val="en-GB" w:eastAsia="en-GB"/>
        </w:rPr>
      </w:pPr>
      <w:r w:rsidRPr="00287D0C">
        <w:rPr>
          <w:rFonts w:ascii="Arial" w:hAnsi="Arial" w:cs="Arial"/>
          <w:b/>
          <w:bCs/>
          <w:lang w:val="en-GB" w:eastAsia="en-GB"/>
        </w:rPr>
        <w:t xml:space="preserve">Table 3. Data on </w:t>
      </w:r>
      <w:proofErr w:type="gramStart"/>
      <w:r w:rsidRPr="00287D0C">
        <w:rPr>
          <w:rFonts w:ascii="Arial" w:hAnsi="Arial" w:cs="Arial"/>
          <w:b/>
          <w:bCs/>
          <w:lang w:val="en-GB" w:eastAsia="en-GB"/>
        </w:rPr>
        <w:t>EC  changes</w:t>
      </w:r>
      <w:proofErr w:type="gramEnd"/>
      <w:r w:rsidRPr="00287D0C">
        <w:rPr>
          <w:rFonts w:ascii="Arial" w:hAnsi="Arial" w:cs="Arial"/>
          <w:b/>
          <w:bCs/>
          <w:lang w:val="en-GB" w:eastAsia="en-GB"/>
        </w:rPr>
        <w:t xml:space="preserve">  of fish tonic formulations during three months of storage</w:t>
      </w:r>
    </w:p>
    <w:p w14:paraId="75412A40" w14:textId="77777777" w:rsidR="00287D0C" w:rsidRDefault="00287D0C" w:rsidP="00441B6F">
      <w:pPr>
        <w:jc w:val="both"/>
        <w:rPr>
          <w:rFonts w:ascii="Arial" w:hAnsi="Arial" w:cs="Arial"/>
          <w:u w:val="single"/>
          <w:lang w:val="en-GB" w:eastAsia="en-G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78"/>
        <w:gridCol w:w="1353"/>
        <w:gridCol w:w="1133"/>
        <w:gridCol w:w="1060"/>
      </w:tblGrid>
      <w:tr w:rsidR="00287D0C" w:rsidRPr="00287D0C" w14:paraId="0F869B69" w14:textId="77777777" w:rsidTr="00287D0C">
        <w:tc>
          <w:tcPr>
            <w:tcW w:w="4878" w:type="dxa"/>
          </w:tcPr>
          <w:p w14:paraId="0FEF4C57"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Treatments</w:t>
            </w:r>
          </w:p>
        </w:tc>
        <w:tc>
          <w:tcPr>
            <w:tcW w:w="1353" w:type="dxa"/>
          </w:tcPr>
          <w:p w14:paraId="6A506777"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1</w:t>
            </w:r>
            <w:r w:rsidRPr="00287D0C">
              <w:rPr>
                <w:rFonts w:ascii="Arial" w:hAnsi="Arial" w:cs="Arial"/>
                <w:b/>
                <w:bCs/>
                <w:sz w:val="20"/>
                <w:vertAlign w:val="superscript"/>
                <w:lang w:eastAsia="en-GB"/>
              </w:rPr>
              <w:t>st</w:t>
            </w:r>
            <w:r w:rsidRPr="00287D0C">
              <w:rPr>
                <w:rFonts w:ascii="Arial" w:hAnsi="Arial" w:cs="Arial"/>
                <w:b/>
                <w:bCs/>
                <w:sz w:val="20"/>
                <w:lang w:eastAsia="en-GB"/>
              </w:rPr>
              <w:t xml:space="preserve"> </w:t>
            </w:r>
          </w:p>
          <w:p w14:paraId="299E3EF9"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c>
          <w:tcPr>
            <w:tcW w:w="1133" w:type="dxa"/>
          </w:tcPr>
          <w:p w14:paraId="36E2A67B"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2</w:t>
            </w:r>
            <w:r w:rsidRPr="00287D0C">
              <w:rPr>
                <w:rFonts w:ascii="Arial" w:hAnsi="Arial" w:cs="Arial"/>
                <w:b/>
                <w:bCs/>
                <w:sz w:val="20"/>
                <w:vertAlign w:val="superscript"/>
                <w:lang w:eastAsia="en-GB"/>
              </w:rPr>
              <w:t>nd</w:t>
            </w:r>
            <w:r w:rsidRPr="00287D0C">
              <w:rPr>
                <w:rFonts w:ascii="Arial" w:hAnsi="Arial" w:cs="Arial"/>
                <w:b/>
                <w:bCs/>
                <w:sz w:val="20"/>
                <w:lang w:eastAsia="en-GB"/>
              </w:rPr>
              <w:t xml:space="preserve"> </w:t>
            </w:r>
          </w:p>
          <w:p w14:paraId="30199639"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c>
          <w:tcPr>
            <w:tcW w:w="1060" w:type="dxa"/>
          </w:tcPr>
          <w:p w14:paraId="60A4E4DE"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3</w:t>
            </w:r>
            <w:r w:rsidRPr="00287D0C">
              <w:rPr>
                <w:rFonts w:ascii="Arial" w:hAnsi="Arial" w:cs="Arial"/>
                <w:b/>
                <w:bCs/>
                <w:sz w:val="20"/>
                <w:vertAlign w:val="superscript"/>
                <w:lang w:eastAsia="en-GB"/>
              </w:rPr>
              <w:t>rd</w:t>
            </w:r>
          </w:p>
          <w:p w14:paraId="30ED0286"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r>
      <w:tr w:rsidR="00287D0C" w:rsidRPr="00287D0C" w14:paraId="7245E781" w14:textId="77777777" w:rsidTr="00287D0C">
        <w:tc>
          <w:tcPr>
            <w:tcW w:w="4878" w:type="dxa"/>
          </w:tcPr>
          <w:p w14:paraId="3A04BE9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1</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ERP)</w:t>
            </w:r>
          </w:p>
        </w:tc>
        <w:tc>
          <w:tcPr>
            <w:tcW w:w="1353" w:type="dxa"/>
          </w:tcPr>
          <w:p w14:paraId="6311AB6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5.24</w:t>
            </w:r>
          </w:p>
        </w:tc>
        <w:tc>
          <w:tcPr>
            <w:tcW w:w="1133" w:type="dxa"/>
          </w:tcPr>
          <w:p w14:paraId="37EA9AB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4.39</w:t>
            </w:r>
          </w:p>
        </w:tc>
        <w:tc>
          <w:tcPr>
            <w:tcW w:w="1060" w:type="dxa"/>
          </w:tcPr>
          <w:p w14:paraId="3E3E2CB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4.57</w:t>
            </w:r>
          </w:p>
        </w:tc>
      </w:tr>
      <w:tr w:rsidR="00287D0C" w:rsidRPr="00287D0C" w14:paraId="5794BA7A" w14:textId="77777777" w:rsidTr="00287D0C">
        <w:tc>
          <w:tcPr>
            <w:tcW w:w="4878" w:type="dxa"/>
          </w:tcPr>
          <w:p w14:paraId="7ECF3233"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2</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Feldspar)</w:t>
            </w:r>
          </w:p>
        </w:tc>
        <w:tc>
          <w:tcPr>
            <w:tcW w:w="1353" w:type="dxa"/>
          </w:tcPr>
          <w:p w14:paraId="6DC5D5E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5.08</w:t>
            </w:r>
          </w:p>
        </w:tc>
        <w:tc>
          <w:tcPr>
            <w:tcW w:w="1133" w:type="dxa"/>
          </w:tcPr>
          <w:p w14:paraId="59ACA14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4.29</w:t>
            </w:r>
          </w:p>
        </w:tc>
        <w:tc>
          <w:tcPr>
            <w:tcW w:w="1060" w:type="dxa"/>
          </w:tcPr>
          <w:p w14:paraId="4EB38226"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4.87</w:t>
            </w:r>
          </w:p>
        </w:tc>
      </w:tr>
      <w:tr w:rsidR="00287D0C" w:rsidRPr="00287D0C" w14:paraId="4AE009A5" w14:textId="77777777" w:rsidTr="00287D0C">
        <w:tc>
          <w:tcPr>
            <w:tcW w:w="4878" w:type="dxa"/>
          </w:tcPr>
          <w:p w14:paraId="7FC2CFE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3</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ERP + feldspar)</w:t>
            </w:r>
          </w:p>
        </w:tc>
        <w:tc>
          <w:tcPr>
            <w:tcW w:w="1353" w:type="dxa"/>
          </w:tcPr>
          <w:p w14:paraId="6FADEAB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5.42</w:t>
            </w:r>
          </w:p>
        </w:tc>
        <w:tc>
          <w:tcPr>
            <w:tcW w:w="1133" w:type="dxa"/>
          </w:tcPr>
          <w:p w14:paraId="7E12519B"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4.83</w:t>
            </w:r>
          </w:p>
        </w:tc>
        <w:tc>
          <w:tcPr>
            <w:tcW w:w="1060" w:type="dxa"/>
          </w:tcPr>
          <w:p w14:paraId="1FD1B380"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5.02</w:t>
            </w:r>
          </w:p>
        </w:tc>
      </w:tr>
      <w:tr w:rsidR="00287D0C" w:rsidRPr="00287D0C" w14:paraId="3FD42FA9" w14:textId="77777777" w:rsidTr="00287D0C">
        <w:tc>
          <w:tcPr>
            <w:tcW w:w="4878" w:type="dxa"/>
          </w:tcPr>
          <w:p w14:paraId="0FDED81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4</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w:t>
            </w:r>
          </w:p>
        </w:tc>
        <w:tc>
          <w:tcPr>
            <w:tcW w:w="1353" w:type="dxa"/>
          </w:tcPr>
          <w:p w14:paraId="7315637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5.27</w:t>
            </w:r>
          </w:p>
        </w:tc>
        <w:tc>
          <w:tcPr>
            <w:tcW w:w="1133" w:type="dxa"/>
          </w:tcPr>
          <w:p w14:paraId="1696B0E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4.45</w:t>
            </w:r>
          </w:p>
        </w:tc>
        <w:tc>
          <w:tcPr>
            <w:tcW w:w="1060" w:type="dxa"/>
          </w:tcPr>
          <w:p w14:paraId="2E0CE5A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4.59</w:t>
            </w:r>
          </w:p>
        </w:tc>
      </w:tr>
      <w:tr w:rsidR="00287D0C" w:rsidRPr="00287D0C" w14:paraId="6A859DEC" w14:textId="77777777" w:rsidTr="00287D0C">
        <w:tc>
          <w:tcPr>
            <w:tcW w:w="4878" w:type="dxa"/>
          </w:tcPr>
          <w:p w14:paraId="4A352C0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hAnsi="Arial" w:cs="Arial"/>
                <w:sz w:val="20"/>
                <w:vertAlign w:val="subscript"/>
                <w:lang w:eastAsia="en-GB"/>
              </w:rPr>
              <w:t xml:space="preserve">5 </w:t>
            </w:r>
            <w:r w:rsidRPr="00287D0C">
              <w:rPr>
                <w:rFonts w:ascii="Arial" w:hAnsi="Arial" w:cs="Arial"/>
                <w:sz w:val="20"/>
                <w:lang w:eastAsia="en-GB"/>
              </w:rPr>
              <w:t>(Brown sugar + water)</w:t>
            </w:r>
          </w:p>
        </w:tc>
        <w:tc>
          <w:tcPr>
            <w:tcW w:w="1353" w:type="dxa"/>
          </w:tcPr>
          <w:p w14:paraId="74E5F262"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5.58</w:t>
            </w:r>
          </w:p>
        </w:tc>
        <w:tc>
          <w:tcPr>
            <w:tcW w:w="1133" w:type="dxa"/>
          </w:tcPr>
          <w:p w14:paraId="3490998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5.63</w:t>
            </w:r>
          </w:p>
        </w:tc>
        <w:tc>
          <w:tcPr>
            <w:tcW w:w="1060" w:type="dxa"/>
          </w:tcPr>
          <w:p w14:paraId="2A5DC61A"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5.90</w:t>
            </w:r>
          </w:p>
        </w:tc>
      </w:tr>
      <w:tr w:rsidR="00287D0C" w:rsidRPr="00287D0C" w14:paraId="7D1969EA" w14:textId="77777777" w:rsidTr="00287D0C">
        <w:tc>
          <w:tcPr>
            <w:tcW w:w="4878" w:type="dxa"/>
          </w:tcPr>
          <w:p w14:paraId="230855B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1</w:t>
            </w:r>
            <w:r w:rsidRPr="00287D0C">
              <w:rPr>
                <w:rFonts w:ascii="Arial" w:hAnsi="Arial" w:cs="Arial"/>
                <w:sz w:val="20"/>
                <w:lang w:eastAsia="en-GB"/>
              </w:rPr>
              <w:t xml:space="preserve"> (Sakkara + spent wash + ERP)</w:t>
            </w:r>
          </w:p>
        </w:tc>
        <w:tc>
          <w:tcPr>
            <w:tcW w:w="1353" w:type="dxa"/>
          </w:tcPr>
          <w:p w14:paraId="11CCB49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5.74</w:t>
            </w:r>
          </w:p>
        </w:tc>
        <w:tc>
          <w:tcPr>
            <w:tcW w:w="1133" w:type="dxa"/>
          </w:tcPr>
          <w:p w14:paraId="75396C7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5.44</w:t>
            </w:r>
          </w:p>
        </w:tc>
        <w:tc>
          <w:tcPr>
            <w:tcW w:w="1060" w:type="dxa"/>
          </w:tcPr>
          <w:p w14:paraId="3702AFA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5.37</w:t>
            </w:r>
          </w:p>
        </w:tc>
      </w:tr>
      <w:tr w:rsidR="00287D0C" w:rsidRPr="00287D0C" w14:paraId="3698487B" w14:textId="77777777" w:rsidTr="00287D0C">
        <w:tc>
          <w:tcPr>
            <w:tcW w:w="4878" w:type="dxa"/>
          </w:tcPr>
          <w:p w14:paraId="5301247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2</w:t>
            </w:r>
            <w:r w:rsidRPr="00287D0C">
              <w:rPr>
                <w:rFonts w:ascii="Arial" w:hAnsi="Arial" w:cs="Arial"/>
                <w:sz w:val="20"/>
                <w:vertAlign w:val="subscript"/>
                <w:lang w:eastAsia="en-GB"/>
              </w:rPr>
              <w:t xml:space="preserve"> </w:t>
            </w:r>
            <w:r w:rsidRPr="00287D0C">
              <w:rPr>
                <w:rFonts w:ascii="Arial" w:hAnsi="Arial" w:cs="Arial"/>
                <w:sz w:val="20"/>
                <w:lang w:eastAsia="en-GB"/>
              </w:rPr>
              <w:t>(Sakkara + spent wash + Feldspar)</w:t>
            </w:r>
          </w:p>
        </w:tc>
        <w:tc>
          <w:tcPr>
            <w:tcW w:w="1353" w:type="dxa"/>
          </w:tcPr>
          <w:p w14:paraId="6DE04616"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6.08</w:t>
            </w:r>
          </w:p>
        </w:tc>
        <w:tc>
          <w:tcPr>
            <w:tcW w:w="1133" w:type="dxa"/>
          </w:tcPr>
          <w:p w14:paraId="4FEDB2E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5.75</w:t>
            </w:r>
          </w:p>
        </w:tc>
        <w:tc>
          <w:tcPr>
            <w:tcW w:w="1060" w:type="dxa"/>
          </w:tcPr>
          <w:p w14:paraId="6CF60E8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5.66</w:t>
            </w:r>
          </w:p>
        </w:tc>
      </w:tr>
      <w:tr w:rsidR="00287D0C" w:rsidRPr="00287D0C" w14:paraId="72608B03" w14:textId="77777777" w:rsidTr="00287D0C">
        <w:tc>
          <w:tcPr>
            <w:tcW w:w="4878" w:type="dxa"/>
          </w:tcPr>
          <w:p w14:paraId="0B215ED8"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3</w:t>
            </w:r>
            <w:r w:rsidRPr="00287D0C">
              <w:rPr>
                <w:rFonts w:ascii="Arial" w:hAnsi="Arial" w:cs="Arial"/>
                <w:sz w:val="20"/>
                <w:vertAlign w:val="subscript"/>
                <w:lang w:eastAsia="en-GB"/>
              </w:rPr>
              <w:t xml:space="preserve"> </w:t>
            </w:r>
            <w:r w:rsidRPr="00287D0C">
              <w:rPr>
                <w:rFonts w:ascii="Arial" w:hAnsi="Arial" w:cs="Arial"/>
                <w:sz w:val="20"/>
                <w:lang w:eastAsia="en-GB"/>
              </w:rPr>
              <w:t>(Sakkara + spent wash + ERP + feldspar)</w:t>
            </w:r>
          </w:p>
        </w:tc>
        <w:tc>
          <w:tcPr>
            <w:tcW w:w="1353" w:type="dxa"/>
          </w:tcPr>
          <w:p w14:paraId="1A4034E0"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5.41</w:t>
            </w:r>
          </w:p>
        </w:tc>
        <w:tc>
          <w:tcPr>
            <w:tcW w:w="1133" w:type="dxa"/>
          </w:tcPr>
          <w:p w14:paraId="2C3935E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5.82</w:t>
            </w:r>
          </w:p>
        </w:tc>
        <w:tc>
          <w:tcPr>
            <w:tcW w:w="1060" w:type="dxa"/>
          </w:tcPr>
          <w:p w14:paraId="29D52E5E"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5.59</w:t>
            </w:r>
          </w:p>
        </w:tc>
      </w:tr>
      <w:tr w:rsidR="00287D0C" w:rsidRPr="00287D0C" w14:paraId="6EC26034" w14:textId="77777777" w:rsidTr="00287D0C">
        <w:tc>
          <w:tcPr>
            <w:tcW w:w="4878" w:type="dxa"/>
          </w:tcPr>
          <w:p w14:paraId="7CC1DB23"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4</w:t>
            </w:r>
            <w:r w:rsidRPr="00287D0C">
              <w:rPr>
                <w:rFonts w:ascii="Arial" w:hAnsi="Arial" w:cs="Arial"/>
                <w:sz w:val="20"/>
                <w:lang w:eastAsia="en-GB"/>
              </w:rPr>
              <w:t xml:space="preserve"> (Sakkara + spent wash)</w:t>
            </w:r>
          </w:p>
        </w:tc>
        <w:tc>
          <w:tcPr>
            <w:tcW w:w="1353" w:type="dxa"/>
          </w:tcPr>
          <w:p w14:paraId="3400C108"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5.00</w:t>
            </w:r>
          </w:p>
        </w:tc>
        <w:tc>
          <w:tcPr>
            <w:tcW w:w="1133" w:type="dxa"/>
          </w:tcPr>
          <w:p w14:paraId="1BFA185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4.90</w:t>
            </w:r>
          </w:p>
        </w:tc>
        <w:tc>
          <w:tcPr>
            <w:tcW w:w="1060" w:type="dxa"/>
          </w:tcPr>
          <w:p w14:paraId="6485740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5.20</w:t>
            </w:r>
          </w:p>
        </w:tc>
      </w:tr>
      <w:tr w:rsidR="00287D0C" w:rsidRPr="00287D0C" w14:paraId="48A2D4EA" w14:textId="77777777" w:rsidTr="00287D0C">
        <w:tc>
          <w:tcPr>
            <w:tcW w:w="4878" w:type="dxa"/>
          </w:tcPr>
          <w:p w14:paraId="31F1954A"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hAnsi="Arial" w:cs="Arial"/>
                <w:sz w:val="20"/>
                <w:vertAlign w:val="subscript"/>
                <w:lang w:eastAsia="en-GB"/>
              </w:rPr>
              <w:t xml:space="preserve">5 </w:t>
            </w:r>
            <w:r w:rsidRPr="00287D0C">
              <w:rPr>
                <w:rFonts w:ascii="Arial" w:hAnsi="Arial" w:cs="Arial"/>
                <w:sz w:val="20"/>
                <w:lang w:eastAsia="en-GB"/>
              </w:rPr>
              <w:t>(Sakkara + water)</w:t>
            </w:r>
          </w:p>
        </w:tc>
        <w:tc>
          <w:tcPr>
            <w:tcW w:w="1353" w:type="dxa"/>
          </w:tcPr>
          <w:p w14:paraId="1BF90F0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5.80</w:t>
            </w:r>
          </w:p>
        </w:tc>
        <w:tc>
          <w:tcPr>
            <w:tcW w:w="1133" w:type="dxa"/>
          </w:tcPr>
          <w:p w14:paraId="3CC23C89"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4.76</w:t>
            </w:r>
          </w:p>
        </w:tc>
        <w:tc>
          <w:tcPr>
            <w:tcW w:w="1060" w:type="dxa"/>
          </w:tcPr>
          <w:p w14:paraId="0299281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5.60</w:t>
            </w:r>
          </w:p>
        </w:tc>
      </w:tr>
    </w:tbl>
    <w:p w14:paraId="1FE5BC39" w14:textId="4A956F18" w:rsidR="00287D0C" w:rsidRDefault="00287D0C" w:rsidP="00287D0C">
      <w:pPr>
        <w:jc w:val="both"/>
        <w:rPr>
          <w:rFonts w:ascii="Arial" w:hAnsi="Arial" w:cs="Arial"/>
          <w:b/>
          <w:bCs/>
          <w:sz w:val="22"/>
          <w:szCs w:val="22"/>
          <w:lang w:val="en-GB" w:eastAsia="en-GB"/>
        </w:rPr>
      </w:pPr>
      <w:r w:rsidRPr="00287D0C">
        <w:rPr>
          <w:rFonts w:ascii="Arial" w:hAnsi="Arial" w:cs="Arial"/>
          <w:b/>
          <w:bCs/>
          <w:sz w:val="22"/>
          <w:szCs w:val="22"/>
          <w:lang w:val="en-GB" w:eastAsia="en-GB"/>
        </w:rPr>
        <w:t>3.3 Total Nitrogen</w:t>
      </w:r>
    </w:p>
    <w:p w14:paraId="459308DF" w14:textId="77777777" w:rsidR="00287D0C" w:rsidRPr="00287D0C" w:rsidRDefault="00287D0C" w:rsidP="00287D0C">
      <w:pPr>
        <w:jc w:val="both"/>
        <w:rPr>
          <w:rFonts w:ascii="Arial" w:hAnsi="Arial" w:cs="Arial"/>
          <w:b/>
          <w:bCs/>
          <w:sz w:val="22"/>
          <w:szCs w:val="22"/>
          <w:lang w:val="en-GB" w:eastAsia="en-GB"/>
        </w:rPr>
      </w:pPr>
    </w:p>
    <w:p w14:paraId="4B728743" w14:textId="314791CA"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The total nitrogen percentage of all fish tonic formulations ranged from (0.12% to 1.42% over the </w:t>
      </w:r>
      <w:proofErr w:type="gramStart"/>
      <w:r w:rsidRPr="00287D0C">
        <w:rPr>
          <w:rFonts w:ascii="Arial" w:hAnsi="Arial" w:cs="Arial"/>
          <w:lang w:val="en-GB" w:eastAsia="en-GB"/>
        </w:rPr>
        <w:t>three month</w:t>
      </w:r>
      <w:proofErr w:type="gramEnd"/>
      <w:r w:rsidRPr="00287D0C">
        <w:rPr>
          <w:rFonts w:ascii="Arial" w:hAnsi="Arial" w:cs="Arial"/>
          <w:lang w:val="en-GB" w:eastAsia="en-GB"/>
        </w:rPr>
        <w:t xml:space="preserve"> storage period, increase during the second (0.17- 1.01%) and third months (0.38- 1.42%). However, these variations were not statistically significant with respect to factor 1 (sugar source</w:t>
      </w:r>
      <w:r w:rsidR="00D21DEA">
        <w:rPr>
          <w:rFonts w:ascii="Arial" w:hAnsi="Arial" w:cs="Arial"/>
          <w:lang w:val="en-GB" w:eastAsia="en-GB"/>
        </w:rPr>
        <w:t xml:space="preserve">, </w:t>
      </w:r>
      <w:r w:rsidR="00D21DEA" w:rsidRPr="00E053D0">
        <w:rPr>
          <w:rFonts w:ascii="Arial" w:hAnsi="Arial" w:cs="Arial"/>
          <w:i/>
          <w:iCs/>
          <w:lang w:val="en-GB" w:eastAsia="en-GB"/>
        </w:rPr>
        <w:t>P</w:t>
      </w:r>
      <w:r w:rsidR="00D21DEA" w:rsidRPr="00E053D0">
        <w:rPr>
          <w:rFonts w:ascii="Arial" w:hAnsi="Arial" w:cs="Arial"/>
          <w:lang w:val="en-GB" w:eastAsia="en-GB"/>
        </w:rPr>
        <w:t xml:space="preserve"> = </w:t>
      </w:r>
      <w:r w:rsidR="00D21DEA">
        <w:rPr>
          <w:rFonts w:ascii="Arial" w:hAnsi="Arial" w:cs="Arial"/>
          <w:lang w:val="en-GB" w:eastAsia="en-GB"/>
        </w:rPr>
        <w:t>.</w:t>
      </w:r>
      <w:r w:rsidR="000757ED">
        <w:rPr>
          <w:rFonts w:ascii="Arial" w:hAnsi="Arial" w:cs="Arial"/>
          <w:lang w:val="en-GB" w:eastAsia="en-GB"/>
        </w:rPr>
        <w:t>85</w:t>
      </w:r>
      <w:r w:rsidRPr="00287D0C">
        <w:rPr>
          <w:rFonts w:ascii="Arial" w:hAnsi="Arial" w:cs="Arial"/>
          <w:lang w:val="en-GB" w:eastAsia="en-GB"/>
        </w:rPr>
        <w:t>) or factor two (P and K sources</w:t>
      </w:r>
      <w:r w:rsidR="00D21DEA">
        <w:rPr>
          <w:rFonts w:ascii="Arial" w:hAnsi="Arial" w:cs="Arial"/>
          <w:lang w:val="en-GB" w:eastAsia="en-GB"/>
        </w:rPr>
        <w:t>,</w:t>
      </w:r>
      <w:r w:rsidR="00D21DEA" w:rsidRPr="00D21DEA">
        <w:rPr>
          <w:rFonts w:ascii="Arial" w:hAnsi="Arial" w:cs="Arial"/>
          <w:i/>
          <w:iCs/>
          <w:lang w:val="en-GB" w:eastAsia="en-GB"/>
        </w:rPr>
        <w:t xml:space="preserve"> </w:t>
      </w:r>
      <w:r w:rsidR="00D21DEA" w:rsidRPr="00E053D0">
        <w:rPr>
          <w:rFonts w:ascii="Arial" w:hAnsi="Arial" w:cs="Arial"/>
          <w:i/>
          <w:iCs/>
          <w:lang w:val="en-GB" w:eastAsia="en-GB"/>
        </w:rPr>
        <w:t>P</w:t>
      </w:r>
      <w:r w:rsidR="00D21DEA" w:rsidRPr="00E053D0">
        <w:rPr>
          <w:rFonts w:ascii="Arial" w:hAnsi="Arial" w:cs="Arial"/>
          <w:lang w:val="en-GB" w:eastAsia="en-GB"/>
        </w:rPr>
        <w:t xml:space="preserve"> = </w:t>
      </w:r>
      <w:r w:rsidR="00D21DEA">
        <w:rPr>
          <w:rFonts w:ascii="Arial" w:hAnsi="Arial" w:cs="Arial"/>
          <w:lang w:val="en-GB" w:eastAsia="en-GB"/>
        </w:rPr>
        <w:t>.</w:t>
      </w:r>
      <w:r w:rsidR="000757ED">
        <w:rPr>
          <w:rFonts w:ascii="Arial" w:hAnsi="Arial" w:cs="Arial"/>
          <w:lang w:val="en-GB" w:eastAsia="en-GB"/>
        </w:rPr>
        <w:t>26</w:t>
      </w:r>
      <w:r w:rsidRPr="00287D0C">
        <w:rPr>
          <w:rFonts w:ascii="Arial" w:hAnsi="Arial" w:cs="Arial"/>
          <w:lang w:val="en-GB" w:eastAsia="en-GB"/>
        </w:rPr>
        <w:t>), or their interaction effect</w:t>
      </w:r>
      <w:r w:rsidR="000757ED">
        <w:rPr>
          <w:rFonts w:ascii="Arial" w:hAnsi="Arial" w:cs="Arial"/>
          <w:lang w:val="en-GB" w:eastAsia="en-GB"/>
        </w:rPr>
        <w:t xml:space="preserve"> (</w:t>
      </w:r>
      <w:r w:rsidR="000757ED" w:rsidRPr="00E053D0">
        <w:rPr>
          <w:rFonts w:ascii="Arial" w:hAnsi="Arial" w:cs="Arial"/>
          <w:i/>
          <w:iCs/>
          <w:lang w:val="en-GB" w:eastAsia="en-GB"/>
        </w:rPr>
        <w:t>P</w:t>
      </w:r>
      <w:r w:rsidR="000757ED" w:rsidRPr="00E053D0">
        <w:rPr>
          <w:rFonts w:ascii="Arial" w:hAnsi="Arial" w:cs="Arial"/>
          <w:lang w:val="en-GB" w:eastAsia="en-GB"/>
        </w:rPr>
        <w:t xml:space="preserve"> = </w:t>
      </w:r>
      <w:r w:rsidR="000757ED">
        <w:rPr>
          <w:rFonts w:ascii="Arial" w:hAnsi="Arial" w:cs="Arial"/>
          <w:lang w:val="en-GB" w:eastAsia="en-GB"/>
        </w:rPr>
        <w:t>.43)</w:t>
      </w:r>
      <w:r w:rsidRPr="00287D0C">
        <w:rPr>
          <w:rFonts w:ascii="Arial" w:hAnsi="Arial" w:cs="Arial"/>
          <w:lang w:val="en-GB" w:eastAsia="en-GB"/>
        </w:rPr>
        <w:t>. As storage progresses, residual organic matter undergoes further decomposition by microbial and enzymatic activity transforms complex proteins into simpler nitrogen compounds like ammonium and nitrate, thus raising total nitrogen levels in the solution (</w:t>
      </w:r>
      <w:proofErr w:type="spellStart"/>
      <w:r w:rsidRPr="00287D0C">
        <w:rPr>
          <w:rFonts w:ascii="Arial" w:hAnsi="Arial" w:cs="Arial"/>
          <w:lang w:val="en-GB" w:eastAsia="en-GB"/>
        </w:rPr>
        <w:t>Bhaskoro</w:t>
      </w:r>
      <w:proofErr w:type="spellEnd"/>
      <w:r w:rsidRPr="00287D0C">
        <w:rPr>
          <w:rFonts w:ascii="Arial" w:hAnsi="Arial" w:cs="Arial"/>
          <w:lang w:val="en-GB" w:eastAsia="en-GB"/>
        </w:rPr>
        <w:t xml:space="preserve"> et al., 2020). </w:t>
      </w:r>
    </w:p>
    <w:p w14:paraId="03BBE3CB" w14:textId="77777777" w:rsidR="00287D0C" w:rsidRPr="00287D0C" w:rsidRDefault="00287D0C" w:rsidP="00287D0C">
      <w:pPr>
        <w:jc w:val="both"/>
        <w:rPr>
          <w:rFonts w:ascii="Arial" w:hAnsi="Arial" w:cs="Arial"/>
          <w:lang w:val="en-GB" w:eastAsia="en-GB"/>
        </w:rPr>
      </w:pPr>
    </w:p>
    <w:p w14:paraId="5A1E9D0A" w14:textId="014938FB" w:rsidR="00287D0C" w:rsidRDefault="00035BE9" w:rsidP="00287D0C">
      <w:pPr>
        <w:jc w:val="both"/>
        <w:rPr>
          <w:rFonts w:ascii="Arial" w:hAnsi="Arial" w:cs="Arial"/>
          <w:b/>
          <w:bCs/>
          <w:sz w:val="22"/>
          <w:szCs w:val="22"/>
          <w:lang w:val="en-GB" w:eastAsia="en-GB"/>
        </w:rPr>
      </w:pPr>
      <w:r w:rsidRPr="00035BE9">
        <w:rPr>
          <w:rFonts w:ascii="Arial" w:hAnsi="Arial" w:cs="Arial"/>
          <w:b/>
          <w:bCs/>
          <w:sz w:val="22"/>
          <w:szCs w:val="22"/>
          <w:lang w:val="en-GB" w:eastAsia="en-GB"/>
        </w:rPr>
        <w:t xml:space="preserve">3.4 </w:t>
      </w:r>
      <w:r w:rsidR="00287D0C" w:rsidRPr="00035BE9">
        <w:rPr>
          <w:rFonts w:ascii="Arial" w:hAnsi="Arial" w:cs="Arial"/>
          <w:b/>
          <w:bCs/>
          <w:sz w:val="22"/>
          <w:szCs w:val="22"/>
          <w:lang w:val="en-GB" w:eastAsia="en-GB"/>
        </w:rPr>
        <w:t>Phosphorous</w:t>
      </w:r>
    </w:p>
    <w:p w14:paraId="17A20247" w14:textId="77777777" w:rsidR="00035BE9" w:rsidRPr="00035BE9" w:rsidRDefault="00035BE9" w:rsidP="00287D0C">
      <w:pPr>
        <w:jc w:val="both"/>
        <w:rPr>
          <w:rFonts w:ascii="Arial" w:hAnsi="Arial" w:cs="Arial"/>
          <w:b/>
          <w:bCs/>
          <w:sz w:val="22"/>
          <w:szCs w:val="22"/>
          <w:lang w:val="en-GB" w:eastAsia="en-GB"/>
        </w:rPr>
      </w:pPr>
    </w:p>
    <w:p w14:paraId="637B6E9C" w14:textId="53887247" w:rsidR="00287D0C" w:rsidRDefault="00287D0C" w:rsidP="00287D0C">
      <w:pPr>
        <w:jc w:val="both"/>
        <w:rPr>
          <w:rFonts w:ascii="Arial" w:hAnsi="Arial" w:cs="Arial"/>
          <w:lang w:val="en-GB" w:eastAsia="en-GB"/>
        </w:rPr>
      </w:pPr>
      <w:r w:rsidRPr="00287D0C">
        <w:rPr>
          <w:rFonts w:ascii="Arial" w:hAnsi="Arial" w:cs="Arial"/>
          <w:lang w:val="en-GB" w:eastAsia="en-GB"/>
        </w:rPr>
        <w:t>The phosphorus content of fish tonic formulations showed no significant difference during the first and second month of storage</w:t>
      </w:r>
      <w:r w:rsidR="00035BE9">
        <w:rPr>
          <w:rFonts w:ascii="Arial" w:hAnsi="Arial" w:cs="Arial"/>
          <w:lang w:val="en-GB" w:eastAsia="en-GB"/>
        </w:rPr>
        <w:t xml:space="preserve"> </w:t>
      </w:r>
      <w:r w:rsidR="00035BE9" w:rsidRPr="00287D0C">
        <w:rPr>
          <w:rFonts w:ascii="Arial" w:hAnsi="Arial" w:cs="Arial"/>
          <w:lang w:val="en-GB" w:eastAsia="en-GB"/>
        </w:rPr>
        <w:t>with respect to factor 1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.36 and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.22</w:t>
      </w:r>
      <w:r w:rsidR="00035BE9" w:rsidRPr="00287D0C">
        <w:rPr>
          <w:rFonts w:ascii="Arial" w:hAnsi="Arial" w:cs="Arial"/>
          <w:lang w:val="en-GB" w:eastAsia="en-GB"/>
        </w:rPr>
        <w:t>) or factor two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.796 and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.07</w:t>
      </w:r>
      <w:r w:rsidR="00035BE9" w:rsidRPr="00287D0C">
        <w:rPr>
          <w:rFonts w:ascii="Arial" w:hAnsi="Arial" w:cs="Arial"/>
          <w:lang w:val="en-GB" w:eastAsia="en-GB"/>
        </w:rPr>
        <w:t>), or their interaction effect</w:t>
      </w:r>
      <w:r w:rsidR="00035BE9">
        <w:rPr>
          <w:rFonts w:ascii="Arial" w:hAnsi="Arial" w:cs="Arial"/>
          <w:lang w:val="en-GB" w:eastAsia="en-GB"/>
        </w:rPr>
        <w:t xml:space="preserve">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.18,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.11</w:t>
      </w:r>
      <w:r w:rsidR="009B7D3F">
        <w:rPr>
          <w:rFonts w:ascii="Arial" w:hAnsi="Arial" w:cs="Arial"/>
          <w:lang w:val="en-GB" w:eastAsia="en-GB"/>
        </w:rPr>
        <w:t>)</w:t>
      </w:r>
      <w:r w:rsidRPr="00287D0C">
        <w:rPr>
          <w:rFonts w:ascii="Arial" w:hAnsi="Arial" w:cs="Arial"/>
          <w:lang w:val="en-GB" w:eastAsia="en-GB"/>
        </w:rPr>
        <w:t xml:space="preserve">. </w:t>
      </w:r>
      <w:r w:rsidR="00035BE9" w:rsidRPr="00287D0C">
        <w:rPr>
          <w:rFonts w:ascii="Arial" w:hAnsi="Arial" w:cs="Arial"/>
          <w:lang w:val="en-GB" w:eastAsia="en-GB"/>
        </w:rPr>
        <w:t>However,</w:t>
      </w:r>
      <w:r w:rsidRPr="00287D0C">
        <w:rPr>
          <w:rFonts w:ascii="Arial" w:hAnsi="Arial" w:cs="Arial"/>
          <w:lang w:val="en-GB" w:eastAsia="en-GB"/>
        </w:rPr>
        <w:t xml:space="preserve"> the third month, a significant difference was observed for factor 2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.034</w:t>
      </w:r>
      <w:r w:rsidRPr="00287D0C">
        <w:rPr>
          <w:rFonts w:ascii="Arial" w:hAnsi="Arial" w:cs="Arial"/>
          <w:lang w:val="en-GB" w:eastAsia="en-GB"/>
        </w:rPr>
        <w:t>)</w:t>
      </w:r>
      <w:r w:rsidR="00035BE9">
        <w:rPr>
          <w:rFonts w:ascii="Arial" w:hAnsi="Arial" w:cs="Arial"/>
          <w:lang w:val="en-GB" w:eastAsia="en-GB"/>
        </w:rPr>
        <w:t xml:space="preserve"> and </w:t>
      </w:r>
      <w:r w:rsidR="00035BE9" w:rsidRPr="00287D0C">
        <w:rPr>
          <w:rFonts w:ascii="Arial" w:hAnsi="Arial" w:cs="Arial"/>
          <w:lang w:val="en-GB" w:eastAsia="en-GB"/>
        </w:rPr>
        <w:t>the interaction between the sugar source and P, K sources</w:t>
      </w:r>
      <w:r w:rsidR="00035BE9">
        <w:rPr>
          <w:rFonts w:ascii="Arial" w:hAnsi="Arial" w:cs="Arial"/>
          <w:lang w:val="en-GB" w:eastAsia="en-GB"/>
        </w:rPr>
        <w:t xml:space="preserve">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.027)</w:t>
      </w:r>
      <w:r w:rsidRPr="00287D0C">
        <w:rPr>
          <w:rFonts w:ascii="Arial" w:hAnsi="Arial" w:cs="Arial"/>
          <w:lang w:val="en-GB" w:eastAsia="en-GB"/>
        </w:rPr>
        <w:t>, while factor 1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.14</w:t>
      </w:r>
      <w:r w:rsidRPr="00287D0C">
        <w:rPr>
          <w:rFonts w:ascii="Arial" w:hAnsi="Arial" w:cs="Arial"/>
          <w:lang w:val="en-GB" w:eastAsia="en-GB"/>
        </w:rPr>
        <w:t xml:space="preserve">) remained not significant (Table 4). </w:t>
      </w:r>
    </w:p>
    <w:p w14:paraId="2A95AC9B" w14:textId="77777777" w:rsidR="009B7D3F" w:rsidRPr="00287D0C" w:rsidRDefault="009B7D3F" w:rsidP="00287D0C">
      <w:pPr>
        <w:jc w:val="both"/>
        <w:rPr>
          <w:rFonts w:ascii="Arial" w:hAnsi="Arial" w:cs="Arial"/>
          <w:lang w:val="en-GB" w:eastAsia="en-GB"/>
        </w:rPr>
      </w:pPr>
    </w:p>
    <w:p w14:paraId="114F38AE" w14:textId="5D33A63D" w:rsidR="00287D0C" w:rsidRPr="00287D0C" w:rsidRDefault="00287D0C" w:rsidP="00287D0C">
      <w:pPr>
        <w:jc w:val="both"/>
        <w:rPr>
          <w:rFonts w:ascii="Arial" w:hAnsi="Arial" w:cs="Arial"/>
          <w:lang w:val="en-GB" w:eastAsia="en-GB"/>
        </w:rPr>
      </w:pPr>
      <w:r w:rsidRPr="00287D0C">
        <w:rPr>
          <w:rFonts w:ascii="Arial" w:hAnsi="Arial" w:cs="Arial"/>
          <w:lang w:val="en-GB" w:eastAsia="en-GB"/>
        </w:rPr>
        <w:t>At the third month, the significantly higher mean phosphorous content was recorded in F3: Spent wash + ERP + Feldspar (0.68%), F</w:t>
      </w:r>
      <w:proofErr w:type="gramStart"/>
      <w:r w:rsidRPr="00287D0C">
        <w:rPr>
          <w:rFonts w:ascii="Arial" w:hAnsi="Arial" w:cs="Arial"/>
          <w:lang w:val="en-GB" w:eastAsia="en-GB"/>
        </w:rPr>
        <w:t>4 :Spent</w:t>
      </w:r>
      <w:proofErr w:type="gramEnd"/>
      <w:r w:rsidRPr="00287D0C">
        <w:rPr>
          <w:rFonts w:ascii="Arial" w:hAnsi="Arial" w:cs="Arial"/>
          <w:lang w:val="en-GB" w:eastAsia="en-GB"/>
        </w:rPr>
        <w:t xml:space="preserve"> wash (0.66%) ,while the control treatment  (F5: water ) recorded the significantly lowest phosphorous content (0.60%). Phosphate solubilizing bacteria are key microbes in fermentation, producing </w:t>
      </w:r>
      <w:r w:rsidR="009B7D3F" w:rsidRPr="00287D0C">
        <w:rPr>
          <w:rFonts w:ascii="Arial" w:hAnsi="Arial" w:cs="Arial"/>
          <w:lang w:val="en-GB" w:eastAsia="en-GB"/>
        </w:rPr>
        <w:t>phosphatase</w:t>
      </w:r>
      <w:r w:rsidRPr="00287D0C">
        <w:rPr>
          <w:rFonts w:ascii="Arial" w:hAnsi="Arial" w:cs="Arial"/>
          <w:lang w:val="en-GB" w:eastAsia="en-GB"/>
        </w:rPr>
        <w:t xml:space="preserve"> enzymes that help release phosphorus by breakdown complex organic and inorganic phosphorous (P) compounds into soluble </w:t>
      </w:r>
      <w:proofErr w:type="gramStart"/>
      <w:r w:rsidRPr="00287D0C">
        <w:rPr>
          <w:rFonts w:ascii="Arial" w:hAnsi="Arial" w:cs="Arial"/>
          <w:lang w:val="en-GB" w:eastAsia="en-GB"/>
        </w:rPr>
        <w:t>phosphate ,</w:t>
      </w:r>
      <w:proofErr w:type="gramEnd"/>
      <w:r w:rsidRPr="00287D0C">
        <w:rPr>
          <w:rFonts w:ascii="Arial" w:hAnsi="Arial" w:cs="Arial"/>
          <w:lang w:val="en-GB" w:eastAsia="en-GB"/>
        </w:rPr>
        <w:t xml:space="preserve"> which raises the P content in liquid fertilizer (</w:t>
      </w:r>
      <w:proofErr w:type="spellStart"/>
      <w:r w:rsidRPr="00287D0C">
        <w:rPr>
          <w:rFonts w:ascii="Arial" w:hAnsi="Arial" w:cs="Arial"/>
          <w:lang w:val="en-GB" w:eastAsia="en-GB"/>
        </w:rPr>
        <w:t>Adharani</w:t>
      </w:r>
      <w:proofErr w:type="spellEnd"/>
      <w:r w:rsidRPr="00287D0C">
        <w:rPr>
          <w:rFonts w:ascii="Arial" w:hAnsi="Arial" w:cs="Arial"/>
          <w:lang w:val="en-GB" w:eastAsia="en-GB"/>
        </w:rPr>
        <w:t xml:space="preserve"> et al., 2023; Alori et al., 2017). While ERP and feldspar provide mineral P in insoluble forms that enable a slow, controlled release, sustaining P availability even after extended storage (Bai et al., 2025). Most studies highlighted fermentation process, whereas the effect of storage duration </w:t>
      </w:r>
      <w:proofErr w:type="gramStart"/>
      <w:r w:rsidRPr="00287D0C">
        <w:rPr>
          <w:rFonts w:ascii="Arial" w:hAnsi="Arial" w:cs="Arial"/>
          <w:lang w:val="en-GB" w:eastAsia="en-GB"/>
        </w:rPr>
        <w:t>are</w:t>
      </w:r>
      <w:proofErr w:type="gramEnd"/>
      <w:r w:rsidRPr="00287D0C">
        <w:rPr>
          <w:rFonts w:ascii="Arial" w:hAnsi="Arial" w:cs="Arial"/>
          <w:lang w:val="en-GB" w:eastAsia="en-GB"/>
        </w:rPr>
        <w:t xml:space="preserve"> less documented. According to </w:t>
      </w:r>
      <w:proofErr w:type="spellStart"/>
      <w:r w:rsidRPr="00287D0C">
        <w:rPr>
          <w:rFonts w:ascii="Arial" w:hAnsi="Arial" w:cs="Arial"/>
          <w:lang w:val="en-GB" w:eastAsia="en-GB"/>
        </w:rPr>
        <w:t>Adharani</w:t>
      </w:r>
      <w:proofErr w:type="spellEnd"/>
      <w:r w:rsidRPr="00287D0C">
        <w:rPr>
          <w:rFonts w:ascii="Arial" w:hAnsi="Arial" w:cs="Arial"/>
          <w:lang w:val="en-GB" w:eastAsia="en-GB"/>
        </w:rPr>
        <w:t xml:space="preserve"> et al., (2023), P levels in fish-bone derived liquid fertilizer increased from 0.034% to 0.191% during 20 days fermentation period.</w:t>
      </w:r>
    </w:p>
    <w:p w14:paraId="273E352B" w14:textId="77777777" w:rsidR="00287D0C" w:rsidRPr="00287D0C" w:rsidRDefault="00287D0C" w:rsidP="00287D0C">
      <w:pPr>
        <w:jc w:val="both"/>
        <w:rPr>
          <w:rFonts w:ascii="Arial" w:hAnsi="Arial" w:cs="Arial"/>
          <w:lang w:val="en-GB" w:eastAsia="en-GB"/>
        </w:rPr>
      </w:pPr>
    </w:p>
    <w:p w14:paraId="188A70D0" w14:textId="463AF6BF" w:rsidR="00287D0C" w:rsidRDefault="009B7D3F" w:rsidP="00287D0C">
      <w:pPr>
        <w:jc w:val="both"/>
        <w:rPr>
          <w:rFonts w:ascii="Arial" w:hAnsi="Arial" w:cs="Arial"/>
          <w:b/>
          <w:bCs/>
          <w:sz w:val="22"/>
          <w:szCs w:val="22"/>
          <w:lang w:val="en-GB" w:eastAsia="en-GB"/>
        </w:rPr>
      </w:pPr>
      <w:r w:rsidRPr="009B7D3F">
        <w:rPr>
          <w:rFonts w:ascii="Arial" w:hAnsi="Arial" w:cs="Arial"/>
          <w:b/>
          <w:bCs/>
          <w:sz w:val="22"/>
          <w:szCs w:val="22"/>
          <w:lang w:val="en-GB" w:eastAsia="en-GB"/>
        </w:rPr>
        <w:t xml:space="preserve">3.5 </w:t>
      </w:r>
      <w:r w:rsidR="00287D0C" w:rsidRPr="009B7D3F">
        <w:rPr>
          <w:rFonts w:ascii="Arial" w:hAnsi="Arial" w:cs="Arial"/>
          <w:b/>
          <w:bCs/>
          <w:sz w:val="22"/>
          <w:szCs w:val="22"/>
          <w:lang w:val="en-GB" w:eastAsia="en-GB"/>
        </w:rPr>
        <w:t>Potassium</w:t>
      </w:r>
    </w:p>
    <w:p w14:paraId="4750CE1E" w14:textId="77777777" w:rsidR="009B7D3F" w:rsidRPr="009B7D3F" w:rsidRDefault="009B7D3F" w:rsidP="00287D0C">
      <w:pPr>
        <w:jc w:val="both"/>
        <w:rPr>
          <w:rFonts w:ascii="Arial" w:hAnsi="Arial" w:cs="Arial"/>
          <w:b/>
          <w:bCs/>
          <w:sz w:val="22"/>
          <w:szCs w:val="22"/>
          <w:lang w:val="en-GB" w:eastAsia="en-GB"/>
        </w:rPr>
      </w:pPr>
    </w:p>
    <w:p w14:paraId="4CE35030" w14:textId="6AC62821"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The K content of fish tonic formulations showed no significant difference among treatments during the first and second month of storage </w:t>
      </w:r>
      <w:r w:rsidR="009B7D3F" w:rsidRPr="00287D0C">
        <w:rPr>
          <w:rFonts w:ascii="Arial" w:hAnsi="Arial" w:cs="Arial"/>
          <w:lang w:val="en-GB" w:eastAsia="en-GB"/>
        </w:rPr>
        <w:t>with respect to factor 1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51</w:t>
      </w:r>
      <w:r w:rsidR="009B7D3F">
        <w:rPr>
          <w:rFonts w:ascii="Arial" w:hAnsi="Arial" w:cs="Arial"/>
          <w:lang w:val="en-GB" w:eastAsia="en-GB"/>
        </w:rPr>
        <w:t xml:space="preserve"> and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.2</w:t>
      </w:r>
      <w:r w:rsidR="00BC3222">
        <w:rPr>
          <w:rFonts w:ascii="Arial" w:hAnsi="Arial" w:cs="Arial"/>
          <w:lang w:val="en-GB" w:eastAsia="en-GB"/>
        </w:rPr>
        <w:t>5</w:t>
      </w:r>
      <w:r w:rsidR="009B7D3F" w:rsidRPr="00287D0C">
        <w:rPr>
          <w:rFonts w:ascii="Arial" w:hAnsi="Arial" w:cs="Arial"/>
          <w:lang w:val="en-GB" w:eastAsia="en-GB"/>
        </w:rPr>
        <w:t>) or factor two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45</w:t>
      </w:r>
      <w:r w:rsidR="009B7D3F">
        <w:rPr>
          <w:rFonts w:ascii="Arial" w:hAnsi="Arial" w:cs="Arial"/>
          <w:lang w:val="en-GB" w:eastAsia="en-GB"/>
        </w:rPr>
        <w:t xml:space="preserve"> and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12</w:t>
      </w:r>
      <w:r w:rsidR="009B7D3F" w:rsidRPr="00287D0C">
        <w:rPr>
          <w:rFonts w:ascii="Arial" w:hAnsi="Arial" w:cs="Arial"/>
          <w:lang w:val="en-GB" w:eastAsia="en-GB"/>
        </w:rPr>
        <w:t>), or their interaction effect</w:t>
      </w:r>
      <w:r w:rsidR="009B7D3F">
        <w:rPr>
          <w:rFonts w:ascii="Arial" w:hAnsi="Arial" w:cs="Arial"/>
          <w:lang w:val="en-GB" w:eastAsia="en-GB"/>
        </w:rPr>
        <w:t xml:space="preserve">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55</w:t>
      </w:r>
      <w:r w:rsidR="009B7D3F">
        <w:rPr>
          <w:rFonts w:ascii="Arial" w:hAnsi="Arial" w:cs="Arial"/>
          <w:lang w:val="en-GB" w:eastAsia="en-GB"/>
        </w:rPr>
        <w:t xml:space="preserve">,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18</w:t>
      </w:r>
      <w:r w:rsidR="009B7D3F">
        <w:rPr>
          <w:rFonts w:ascii="Arial" w:hAnsi="Arial" w:cs="Arial"/>
          <w:lang w:val="en-GB" w:eastAsia="en-GB"/>
        </w:rPr>
        <w:t>)</w:t>
      </w:r>
      <w:r w:rsidR="009B7D3F" w:rsidRPr="00287D0C">
        <w:rPr>
          <w:rFonts w:ascii="Arial" w:hAnsi="Arial" w:cs="Arial"/>
          <w:lang w:val="en-GB" w:eastAsia="en-GB"/>
        </w:rPr>
        <w:t>.</w:t>
      </w:r>
      <w:r w:rsidR="009B7D3F">
        <w:rPr>
          <w:rFonts w:ascii="Arial" w:hAnsi="Arial" w:cs="Arial"/>
          <w:lang w:val="en-GB" w:eastAsia="en-GB"/>
        </w:rPr>
        <w:t xml:space="preserve"> </w:t>
      </w:r>
      <w:r w:rsidR="00BC3222" w:rsidRPr="00287D0C">
        <w:rPr>
          <w:rFonts w:ascii="Arial" w:hAnsi="Arial" w:cs="Arial"/>
          <w:lang w:val="en-GB" w:eastAsia="en-GB"/>
        </w:rPr>
        <w:t>However,</w:t>
      </w:r>
      <w:r w:rsidRPr="00287D0C">
        <w:rPr>
          <w:rFonts w:ascii="Arial" w:hAnsi="Arial" w:cs="Arial"/>
          <w:lang w:val="en-GB" w:eastAsia="en-GB"/>
        </w:rPr>
        <w:t xml:space="preserve"> the third month, a significant difference was observed for factor 2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.003</w:t>
      </w:r>
      <w:r w:rsidRPr="00287D0C">
        <w:rPr>
          <w:rFonts w:ascii="Arial" w:hAnsi="Arial" w:cs="Arial"/>
          <w:lang w:val="en-GB" w:eastAsia="en-GB"/>
        </w:rPr>
        <w:t>), while factor 1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.32</w:t>
      </w:r>
      <w:r w:rsidRPr="00287D0C">
        <w:rPr>
          <w:rFonts w:ascii="Arial" w:hAnsi="Arial" w:cs="Arial"/>
          <w:lang w:val="en-GB" w:eastAsia="en-GB"/>
        </w:rPr>
        <w:t>) and the interaction between the two factors</w:t>
      </w:r>
      <w:r w:rsidR="00BC3222">
        <w:rPr>
          <w:rFonts w:ascii="Arial" w:hAnsi="Arial" w:cs="Arial"/>
          <w:lang w:val="en-GB" w:eastAsia="en-GB"/>
        </w:rPr>
        <w:t xml:space="preserve">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.45)</w:t>
      </w:r>
      <w:r w:rsidRPr="00287D0C">
        <w:rPr>
          <w:rFonts w:ascii="Arial" w:hAnsi="Arial" w:cs="Arial"/>
          <w:lang w:val="en-GB" w:eastAsia="en-GB"/>
        </w:rPr>
        <w:t xml:space="preserve"> remained not significant (Table 4). At the third month, the significantly higher mean K content was recorded in F1:</w:t>
      </w:r>
      <w:r w:rsidR="00BC3222">
        <w:rPr>
          <w:rFonts w:ascii="Arial" w:hAnsi="Arial" w:cs="Arial"/>
          <w:lang w:val="en-GB" w:eastAsia="en-GB"/>
        </w:rPr>
        <w:t xml:space="preserve"> </w:t>
      </w:r>
      <w:r w:rsidRPr="00287D0C">
        <w:rPr>
          <w:rFonts w:ascii="Arial" w:hAnsi="Arial" w:cs="Arial"/>
          <w:lang w:val="en-GB" w:eastAsia="en-GB"/>
        </w:rPr>
        <w:t>Spent wash + ERP (0.11 %), F2:</w:t>
      </w:r>
      <w:r w:rsidR="00BC3222">
        <w:rPr>
          <w:rFonts w:ascii="Arial" w:hAnsi="Arial" w:cs="Arial"/>
          <w:lang w:val="en-GB" w:eastAsia="en-GB"/>
        </w:rPr>
        <w:t xml:space="preserve"> </w:t>
      </w:r>
      <w:r w:rsidRPr="00287D0C">
        <w:rPr>
          <w:rFonts w:ascii="Arial" w:hAnsi="Arial" w:cs="Arial"/>
          <w:lang w:val="en-GB" w:eastAsia="en-GB"/>
        </w:rPr>
        <w:t>Spent wash + Feldspar (0.12%), F3:</w:t>
      </w:r>
      <w:r w:rsidR="00BC3222">
        <w:rPr>
          <w:rFonts w:ascii="Arial" w:hAnsi="Arial" w:cs="Arial"/>
          <w:lang w:val="en-GB" w:eastAsia="en-GB"/>
        </w:rPr>
        <w:t xml:space="preserve"> S</w:t>
      </w:r>
      <w:r w:rsidRPr="00287D0C">
        <w:rPr>
          <w:rFonts w:ascii="Arial" w:hAnsi="Arial" w:cs="Arial"/>
          <w:lang w:val="en-GB" w:eastAsia="en-GB"/>
        </w:rPr>
        <w:t>pent wash + ERP + Feldspar (0.13%), F4:</w:t>
      </w:r>
      <w:r w:rsidR="00BC3222">
        <w:rPr>
          <w:rFonts w:ascii="Arial" w:hAnsi="Arial" w:cs="Arial"/>
          <w:lang w:val="en-GB" w:eastAsia="en-GB"/>
        </w:rPr>
        <w:t xml:space="preserve"> S</w:t>
      </w:r>
      <w:r w:rsidRPr="00287D0C">
        <w:rPr>
          <w:rFonts w:ascii="Arial" w:hAnsi="Arial" w:cs="Arial"/>
          <w:lang w:val="en-GB" w:eastAsia="en-GB"/>
        </w:rPr>
        <w:t>pent wash (0.12%). The control F5:</w:t>
      </w:r>
      <w:r w:rsidR="00BC3222">
        <w:rPr>
          <w:rFonts w:ascii="Arial" w:hAnsi="Arial" w:cs="Arial"/>
          <w:lang w:val="en-GB" w:eastAsia="en-GB"/>
        </w:rPr>
        <w:t xml:space="preserve"> W</w:t>
      </w:r>
      <w:r w:rsidRPr="00287D0C">
        <w:rPr>
          <w:rFonts w:ascii="Arial" w:hAnsi="Arial" w:cs="Arial"/>
          <w:lang w:val="en-GB" w:eastAsia="en-GB"/>
        </w:rPr>
        <w:t>ater recorded the significantly lowest K content (0.08</w:t>
      </w:r>
      <w:r w:rsidR="00BC3222">
        <w:rPr>
          <w:rFonts w:ascii="Arial" w:hAnsi="Arial" w:cs="Arial"/>
          <w:lang w:val="en-GB" w:eastAsia="en-GB"/>
        </w:rPr>
        <w:t>%</w:t>
      </w:r>
      <w:r w:rsidRPr="00287D0C">
        <w:rPr>
          <w:rFonts w:ascii="Arial" w:hAnsi="Arial" w:cs="Arial"/>
          <w:lang w:val="en-GB" w:eastAsia="en-GB"/>
        </w:rPr>
        <w:t>). During fermentation, microbial processed break down organic materials and promote the release of potassium sources such as banana peel, spent wash (</w:t>
      </w:r>
      <w:proofErr w:type="spellStart"/>
      <w:r w:rsidRPr="00287D0C">
        <w:rPr>
          <w:rFonts w:ascii="Arial" w:hAnsi="Arial" w:cs="Arial"/>
          <w:lang w:val="en-GB" w:eastAsia="en-GB"/>
        </w:rPr>
        <w:t>Ciceri</w:t>
      </w:r>
      <w:proofErr w:type="spellEnd"/>
      <w:r w:rsidRPr="00287D0C">
        <w:rPr>
          <w:rFonts w:ascii="Arial" w:hAnsi="Arial" w:cs="Arial"/>
          <w:lang w:val="en-GB" w:eastAsia="en-GB"/>
        </w:rPr>
        <w:t xml:space="preserve"> et al., 2017; Leksono et al., 2024). In addition, the inclusion of potassium rich organic matter and mineral based additives enhances potassium levels by promoting its release via microbial activity and chemical reactions (</w:t>
      </w:r>
      <w:proofErr w:type="spellStart"/>
      <w:r w:rsidRPr="00287D0C">
        <w:rPr>
          <w:rFonts w:ascii="Arial" w:hAnsi="Arial" w:cs="Arial"/>
          <w:lang w:val="en-GB" w:eastAsia="en-GB"/>
        </w:rPr>
        <w:t>Etesami</w:t>
      </w:r>
      <w:proofErr w:type="spellEnd"/>
      <w:r w:rsidRPr="00287D0C">
        <w:rPr>
          <w:rFonts w:ascii="Arial" w:hAnsi="Arial" w:cs="Arial"/>
          <w:lang w:val="en-GB" w:eastAsia="en-GB"/>
        </w:rPr>
        <w:t xml:space="preserve"> et al., 2017).</w:t>
      </w:r>
    </w:p>
    <w:p w14:paraId="4D80CAA2" w14:textId="77777777" w:rsidR="00287D0C" w:rsidRDefault="00287D0C" w:rsidP="00441B6F">
      <w:pPr>
        <w:jc w:val="both"/>
        <w:rPr>
          <w:rFonts w:ascii="Arial" w:hAnsi="Arial" w:cs="Arial"/>
          <w:u w:val="single"/>
          <w:lang w:val="en-GB" w:eastAsia="en-GB"/>
        </w:rPr>
      </w:pPr>
    </w:p>
    <w:p w14:paraId="4B0EFDB3" w14:textId="145AA9AF" w:rsidR="00BC3222" w:rsidRPr="00596064" w:rsidRDefault="00596064" w:rsidP="00441B6F">
      <w:pPr>
        <w:jc w:val="both"/>
        <w:rPr>
          <w:rFonts w:ascii="Arial" w:hAnsi="Arial" w:cs="Arial"/>
          <w:b/>
          <w:bCs/>
          <w:lang w:val="en-GB" w:eastAsia="en-GB"/>
        </w:rPr>
      </w:pPr>
      <w:r w:rsidRPr="00596064">
        <w:rPr>
          <w:rFonts w:ascii="Arial" w:hAnsi="Arial" w:cs="Arial"/>
          <w:b/>
          <w:bCs/>
          <w:lang w:val="en-GB" w:eastAsia="en-GB"/>
        </w:rPr>
        <w:t xml:space="preserve">Table 4.  Effect of the different P and K sources </w:t>
      </w:r>
      <w:proofErr w:type="gramStart"/>
      <w:r w:rsidRPr="00596064">
        <w:rPr>
          <w:rFonts w:ascii="Arial" w:hAnsi="Arial" w:cs="Arial"/>
          <w:b/>
          <w:bCs/>
          <w:lang w:val="en-GB" w:eastAsia="en-GB"/>
        </w:rPr>
        <w:t>on  P</w:t>
      </w:r>
      <w:proofErr w:type="gramEnd"/>
      <w:r w:rsidRPr="00596064">
        <w:rPr>
          <w:rFonts w:ascii="Arial" w:hAnsi="Arial" w:cs="Arial"/>
          <w:b/>
          <w:bCs/>
          <w:lang w:val="en-GB" w:eastAsia="en-GB"/>
        </w:rPr>
        <w:t xml:space="preserve"> and K content (%) in  3rd month of storage</w:t>
      </w:r>
    </w:p>
    <w:p w14:paraId="2C61AF47" w14:textId="77777777" w:rsidR="00596064" w:rsidRDefault="00596064" w:rsidP="00441B6F">
      <w:pPr>
        <w:jc w:val="both"/>
        <w:rPr>
          <w:rFonts w:ascii="Arial" w:hAnsi="Arial" w:cs="Arial"/>
          <w:lang w:val="en-GB" w:eastAsia="en-G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98"/>
        <w:gridCol w:w="2439"/>
        <w:gridCol w:w="2487"/>
      </w:tblGrid>
      <w:tr w:rsidR="00596064" w:rsidRPr="00596064" w14:paraId="66A25D99" w14:textId="77777777" w:rsidTr="00556295">
        <w:trPr>
          <w:trHeight w:val="418"/>
        </w:trPr>
        <w:tc>
          <w:tcPr>
            <w:tcW w:w="3650" w:type="dxa"/>
          </w:tcPr>
          <w:p w14:paraId="03136132" w14:textId="77777777" w:rsidR="00596064" w:rsidRPr="00596064" w:rsidRDefault="00596064" w:rsidP="00596064">
            <w:pPr>
              <w:jc w:val="both"/>
              <w:rPr>
                <w:rFonts w:ascii="Arial" w:hAnsi="Arial" w:cs="Arial"/>
                <w:sz w:val="20"/>
                <w:lang w:eastAsia="en-GB"/>
              </w:rPr>
            </w:pPr>
          </w:p>
        </w:tc>
        <w:tc>
          <w:tcPr>
            <w:tcW w:w="2505" w:type="dxa"/>
          </w:tcPr>
          <w:p w14:paraId="19847636" w14:textId="489B5475" w:rsidR="00596064" w:rsidRPr="00596064" w:rsidRDefault="00596064" w:rsidP="00596064">
            <w:pPr>
              <w:jc w:val="both"/>
              <w:rPr>
                <w:rFonts w:ascii="Arial" w:hAnsi="Arial" w:cs="Arial"/>
                <w:b/>
                <w:bCs/>
                <w:sz w:val="20"/>
                <w:lang w:eastAsia="en-GB"/>
              </w:rPr>
            </w:pPr>
            <w:r w:rsidRPr="00596064">
              <w:rPr>
                <w:rFonts w:ascii="Arial" w:hAnsi="Arial" w:cs="Arial"/>
                <w:b/>
                <w:bCs/>
                <w:sz w:val="20"/>
                <w:lang w:eastAsia="en-GB"/>
              </w:rPr>
              <w:t xml:space="preserve"> Phosphorus %</w:t>
            </w:r>
          </w:p>
        </w:tc>
        <w:tc>
          <w:tcPr>
            <w:tcW w:w="2565" w:type="dxa"/>
          </w:tcPr>
          <w:p w14:paraId="09B7AE32" w14:textId="77777777" w:rsidR="00596064" w:rsidRPr="00596064" w:rsidRDefault="00596064" w:rsidP="00596064">
            <w:pPr>
              <w:jc w:val="both"/>
              <w:rPr>
                <w:rFonts w:ascii="Arial" w:hAnsi="Arial" w:cs="Arial"/>
                <w:b/>
                <w:bCs/>
                <w:sz w:val="20"/>
                <w:lang w:eastAsia="en-GB"/>
              </w:rPr>
            </w:pPr>
            <w:r w:rsidRPr="00596064">
              <w:rPr>
                <w:rFonts w:ascii="Arial" w:hAnsi="Arial" w:cs="Arial"/>
                <w:b/>
                <w:bCs/>
                <w:sz w:val="20"/>
                <w:lang w:eastAsia="en-GB"/>
              </w:rPr>
              <w:t>Potassium %</w:t>
            </w:r>
          </w:p>
        </w:tc>
      </w:tr>
      <w:tr w:rsidR="00596064" w:rsidRPr="00596064" w14:paraId="70F00C03" w14:textId="77777777" w:rsidTr="00556295">
        <w:tc>
          <w:tcPr>
            <w:tcW w:w="3650" w:type="dxa"/>
          </w:tcPr>
          <w:p w14:paraId="7DEDA194"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1</w:t>
            </w:r>
            <w:r w:rsidRPr="00596064">
              <w:rPr>
                <w:rFonts w:ascii="Arial" w:hAnsi="Arial" w:cs="Arial"/>
                <w:sz w:val="20"/>
                <w:vertAlign w:val="subscript"/>
                <w:lang w:eastAsia="en-GB"/>
              </w:rPr>
              <w:t xml:space="preserve"> </w:t>
            </w:r>
            <w:r w:rsidRPr="00596064">
              <w:rPr>
                <w:rFonts w:ascii="Arial" w:hAnsi="Arial" w:cs="Arial"/>
                <w:sz w:val="20"/>
                <w:lang w:eastAsia="en-GB"/>
              </w:rPr>
              <w:t>(Spent wash + ERP)</w:t>
            </w:r>
          </w:p>
        </w:tc>
        <w:tc>
          <w:tcPr>
            <w:tcW w:w="2505" w:type="dxa"/>
          </w:tcPr>
          <w:p w14:paraId="205C934B"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0.63</w:t>
            </w:r>
            <w:r w:rsidRPr="00596064">
              <w:rPr>
                <w:rFonts w:ascii="Arial" w:eastAsia="Times New Roman" w:hAnsi="Arial" w:cs="Arial"/>
                <w:sz w:val="20"/>
                <w:vertAlign w:val="superscript"/>
                <w:lang w:eastAsia="en-GB"/>
              </w:rPr>
              <w:t xml:space="preserve"> ab </w:t>
            </w:r>
          </w:p>
        </w:tc>
        <w:tc>
          <w:tcPr>
            <w:tcW w:w="2565" w:type="dxa"/>
          </w:tcPr>
          <w:p w14:paraId="1A8B66B6"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0.11</w:t>
            </w:r>
            <w:r w:rsidRPr="00596064">
              <w:rPr>
                <w:rFonts w:ascii="Arial" w:eastAsia="Times New Roman" w:hAnsi="Arial" w:cs="Arial"/>
                <w:sz w:val="20"/>
                <w:vertAlign w:val="superscript"/>
                <w:lang w:eastAsia="en-GB"/>
              </w:rPr>
              <w:t>a</w:t>
            </w:r>
          </w:p>
        </w:tc>
      </w:tr>
      <w:tr w:rsidR="00596064" w:rsidRPr="00596064" w14:paraId="5BB0B674" w14:textId="77777777" w:rsidTr="00556295">
        <w:tc>
          <w:tcPr>
            <w:tcW w:w="3650" w:type="dxa"/>
          </w:tcPr>
          <w:p w14:paraId="4409BC43"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proofErr w:type="gramStart"/>
            <w:r w:rsidRPr="00596064">
              <w:rPr>
                <w:rFonts w:ascii="Arial" w:eastAsia="Times New Roman" w:hAnsi="Arial" w:cs="Arial"/>
                <w:sz w:val="20"/>
                <w:vertAlign w:val="subscript"/>
                <w:lang w:eastAsia="en-GB"/>
              </w:rPr>
              <w:t>2</w:t>
            </w:r>
            <w:r w:rsidRPr="00596064">
              <w:rPr>
                <w:rFonts w:ascii="Arial" w:hAnsi="Arial" w:cs="Arial"/>
                <w:sz w:val="20"/>
                <w:vertAlign w:val="subscript"/>
                <w:lang w:eastAsia="en-GB"/>
              </w:rPr>
              <w:t xml:space="preserve"> </w:t>
            </w:r>
            <w:r w:rsidRPr="00596064">
              <w:rPr>
                <w:rFonts w:ascii="Arial" w:hAnsi="Arial" w:cs="Arial"/>
                <w:sz w:val="20"/>
                <w:lang w:eastAsia="en-GB"/>
              </w:rPr>
              <w:t xml:space="preserve"> (</w:t>
            </w:r>
            <w:proofErr w:type="gramEnd"/>
            <w:r w:rsidRPr="00596064">
              <w:rPr>
                <w:rFonts w:ascii="Arial" w:hAnsi="Arial" w:cs="Arial"/>
                <w:sz w:val="20"/>
                <w:lang w:eastAsia="en-GB"/>
              </w:rPr>
              <w:t>Spent wash + Feldspar)</w:t>
            </w:r>
          </w:p>
        </w:tc>
        <w:tc>
          <w:tcPr>
            <w:tcW w:w="2505" w:type="dxa"/>
          </w:tcPr>
          <w:p w14:paraId="448822D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0.64</w:t>
            </w:r>
            <w:r w:rsidRPr="00596064">
              <w:rPr>
                <w:rFonts w:ascii="Arial" w:eastAsia="Times New Roman" w:hAnsi="Arial" w:cs="Arial"/>
                <w:sz w:val="20"/>
                <w:vertAlign w:val="superscript"/>
                <w:lang w:eastAsia="en-GB"/>
              </w:rPr>
              <w:t xml:space="preserve"> ab </w:t>
            </w:r>
          </w:p>
        </w:tc>
        <w:tc>
          <w:tcPr>
            <w:tcW w:w="2565" w:type="dxa"/>
          </w:tcPr>
          <w:p w14:paraId="35AD7D6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0.12</w:t>
            </w:r>
            <w:r w:rsidRPr="00596064">
              <w:rPr>
                <w:rFonts w:ascii="Arial" w:eastAsia="Times New Roman" w:hAnsi="Arial" w:cs="Arial"/>
                <w:sz w:val="20"/>
                <w:vertAlign w:val="superscript"/>
                <w:lang w:eastAsia="en-GB"/>
              </w:rPr>
              <w:t>a</w:t>
            </w:r>
          </w:p>
        </w:tc>
      </w:tr>
      <w:tr w:rsidR="00596064" w:rsidRPr="00596064" w14:paraId="1FBD813F" w14:textId="77777777" w:rsidTr="00556295">
        <w:tc>
          <w:tcPr>
            <w:tcW w:w="3650" w:type="dxa"/>
          </w:tcPr>
          <w:p w14:paraId="25545868"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3</w:t>
            </w:r>
            <w:r w:rsidRPr="00596064">
              <w:rPr>
                <w:rFonts w:ascii="Arial" w:hAnsi="Arial" w:cs="Arial"/>
                <w:sz w:val="20"/>
                <w:vertAlign w:val="subscript"/>
                <w:lang w:eastAsia="en-GB"/>
              </w:rPr>
              <w:t xml:space="preserve"> </w:t>
            </w:r>
            <w:r w:rsidRPr="00596064">
              <w:rPr>
                <w:rFonts w:ascii="Arial" w:hAnsi="Arial" w:cs="Arial"/>
                <w:sz w:val="20"/>
                <w:lang w:eastAsia="en-GB"/>
              </w:rPr>
              <w:t>(Spent wash + ERP + Feldspar)</w:t>
            </w:r>
          </w:p>
        </w:tc>
        <w:tc>
          <w:tcPr>
            <w:tcW w:w="2505" w:type="dxa"/>
          </w:tcPr>
          <w:p w14:paraId="2FD06693"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0.68</w:t>
            </w:r>
            <w:r w:rsidRPr="00596064">
              <w:rPr>
                <w:rFonts w:ascii="Arial" w:eastAsia="Times New Roman" w:hAnsi="Arial" w:cs="Arial"/>
                <w:sz w:val="20"/>
                <w:vertAlign w:val="superscript"/>
                <w:lang w:eastAsia="en-GB"/>
              </w:rPr>
              <w:t xml:space="preserve"> a</w:t>
            </w:r>
          </w:p>
        </w:tc>
        <w:tc>
          <w:tcPr>
            <w:tcW w:w="2565" w:type="dxa"/>
          </w:tcPr>
          <w:p w14:paraId="68FBD23E"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0.13</w:t>
            </w:r>
            <w:r w:rsidRPr="00596064">
              <w:rPr>
                <w:rFonts w:ascii="Arial" w:eastAsia="Times New Roman" w:hAnsi="Arial" w:cs="Arial"/>
                <w:sz w:val="20"/>
                <w:vertAlign w:val="superscript"/>
                <w:lang w:eastAsia="en-GB"/>
              </w:rPr>
              <w:t>a</w:t>
            </w:r>
          </w:p>
        </w:tc>
      </w:tr>
      <w:tr w:rsidR="00596064" w:rsidRPr="00596064" w14:paraId="79D6D49B" w14:textId="77777777" w:rsidTr="00556295">
        <w:tc>
          <w:tcPr>
            <w:tcW w:w="3650" w:type="dxa"/>
          </w:tcPr>
          <w:p w14:paraId="441416DE"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4</w:t>
            </w:r>
            <w:r w:rsidRPr="00596064">
              <w:rPr>
                <w:rFonts w:ascii="Arial" w:hAnsi="Arial" w:cs="Arial"/>
                <w:sz w:val="20"/>
                <w:vertAlign w:val="subscript"/>
                <w:lang w:eastAsia="en-GB"/>
              </w:rPr>
              <w:t xml:space="preserve"> </w:t>
            </w:r>
            <w:r w:rsidRPr="00596064">
              <w:rPr>
                <w:rFonts w:ascii="Arial" w:hAnsi="Arial" w:cs="Arial"/>
                <w:sz w:val="20"/>
                <w:lang w:eastAsia="en-GB"/>
              </w:rPr>
              <w:t>(Spent wash)</w:t>
            </w:r>
          </w:p>
        </w:tc>
        <w:tc>
          <w:tcPr>
            <w:tcW w:w="2505" w:type="dxa"/>
          </w:tcPr>
          <w:p w14:paraId="51BE195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0.66</w:t>
            </w:r>
            <w:r w:rsidRPr="00596064">
              <w:rPr>
                <w:rFonts w:ascii="Arial" w:eastAsia="Times New Roman" w:hAnsi="Arial" w:cs="Arial"/>
                <w:sz w:val="20"/>
                <w:vertAlign w:val="superscript"/>
                <w:lang w:eastAsia="en-GB"/>
              </w:rPr>
              <w:t>a</w:t>
            </w:r>
          </w:p>
        </w:tc>
        <w:tc>
          <w:tcPr>
            <w:tcW w:w="2565" w:type="dxa"/>
          </w:tcPr>
          <w:p w14:paraId="04DEFE85"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0.12</w:t>
            </w:r>
            <w:r w:rsidRPr="00596064">
              <w:rPr>
                <w:rFonts w:ascii="Arial" w:eastAsia="Times New Roman" w:hAnsi="Arial" w:cs="Arial"/>
                <w:sz w:val="20"/>
                <w:vertAlign w:val="superscript"/>
                <w:lang w:eastAsia="en-GB"/>
              </w:rPr>
              <w:t>a</w:t>
            </w:r>
          </w:p>
        </w:tc>
      </w:tr>
      <w:tr w:rsidR="00596064" w:rsidRPr="00596064" w14:paraId="329FADBF" w14:textId="77777777" w:rsidTr="00556295">
        <w:tc>
          <w:tcPr>
            <w:tcW w:w="3650" w:type="dxa"/>
          </w:tcPr>
          <w:p w14:paraId="41A7498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hAnsi="Arial" w:cs="Arial"/>
                <w:sz w:val="20"/>
                <w:vertAlign w:val="subscript"/>
                <w:lang w:eastAsia="en-GB"/>
              </w:rPr>
              <w:t xml:space="preserve">5 </w:t>
            </w:r>
            <w:r w:rsidRPr="00596064">
              <w:rPr>
                <w:rFonts w:ascii="Arial" w:hAnsi="Arial" w:cs="Arial"/>
                <w:sz w:val="20"/>
                <w:lang w:eastAsia="en-GB"/>
              </w:rPr>
              <w:t>(Water)</w:t>
            </w:r>
          </w:p>
        </w:tc>
        <w:tc>
          <w:tcPr>
            <w:tcW w:w="2505" w:type="dxa"/>
          </w:tcPr>
          <w:p w14:paraId="49BC8666"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0.60</w:t>
            </w:r>
            <w:r w:rsidRPr="00596064">
              <w:rPr>
                <w:rFonts w:ascii="Arial" w:eastAsia="Times New Roman" w:hAnsi="Arial" w:cs="Arial"/>
                <w:sz w:val="20"/>
                <w:vertAlign w:val="superscript"/>
                <w:lang w:eastAsia="en-GB"/>
              </w:rPr>
              <w:t>b</w:t>
            </w:r>
          </w:p>
        </w:tc>
        <w:tc>
          <w:tcPr>
            <w:tcW w:w="2565" w:type="dxa"/>
          </w:tcPr>
          <w:p w14:paraId="607CE665"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0.08</w:t>
            </w:r>
            <w:r w:rsidRPr="00596064">
              <w:rPr>
                <w:rFonts w:ascii="Arial" w:eastAsia="Times New Roman" w:hAnsi="Arial" w:cs="Arial"/>
                <w:sz w:val="20"/>
                <w:vertAlign w:val="superscript"/>
                <w:lang w:eastAsia="en-GB"/>
              </w:rPr>
              <w:t>b</w:t>
            </w:r>
          </w:p>
        </w:tc>
      </w:tr>
    </w:tbl>
    <w:p w14:paraId="1088B1CA" w14:textId="77777777" w:rsidR="00596064" w:rsidRDefault="00596064" w:rsidP="00441B6F">
      <w:pPr>
        <w:jc w:val="both"/>
        <w:rPr>
          <w:rFonts w:ascii="Arial" w:hAnsi="Arial" w:cs="Arial"/>
          <w:lang w:val="en-GB" w:eastAsia="en-GB"/>
        </w:rPr>
      </w:pPr>
    </w:p>
    <w:p w14:paraId="68F6A7DA" w14:textId="77777777" w:rsidR="00596064" w:rsidRPr="00596064" w:rsidRDefault="00596064" w:rsidP="00441B6F">
      <w:pPr>
        <w:jc w:val="both"/>
        <w:rPr>
          <w:rFonts w:ascii="Arial" w:hAnsi="Arial" w:cs="Arial"/>
          <w:lang w:val="en-GB" w:eastAsia="en-GB"/>
        </w:rPr>
      </w:pPr>
    </w:p>
    <w:p w14:paraId="0B776E2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FC915AB" w14:textId="77777777" w:rsidR="00790ADA" w:rsidRPr="00FB3A86" w:rsidRDefault="00790ADA" w:rsidP="00441B6F">
      <w:pPr>
        <w:pStyle w:val="ConcHead"/>
        <w:spacing w:after="0"/>
        <w:jc w:val="both"/>
        <w:rPr>
          <w:rFonts w:ascii="Arial" w:hAnsi="Arial" w:cs="Arial"/>
        </w:rPr>
      </w:pPr>
    </w:p>
    <w:p w14:paraId="28831C0E" w14:textId="1F0EACA0" w:rsidR="00790ADA" w:rsidRDefault="00596064" w:rsidP="00441B6F">
      <w:pPr>
        <w:pStyle w:val="Body"/>
        <w:spacing w:after="0"/>
        <w:rPr>
          <w:rFonts w:ascii="Arial" w:hAnsi="Arial" w:cs="Arial"/>
        </w:rPr>
      </w:pPr>
      <w:r w:rsidRPr="00596064">
        <w:rPr>
          <w:rFonts w:ascii="Arial" w:hAnsi="Arial" w:cs="Arial"/>
        </w:rPr>
        <w:t>The combination of spent wash, ERP, and feldspar significantly enhanced P and K content compared to the control. Throughout storage, all formulations maintained an optimum EC and acidic pH favorable for microbial activity and nutrient solubilization. Although nitrogen% were not significantly influenced, the enrichment of P% and K% suggests that using these locally available materials can produce a more balanced and agronomically beneficial liquid fertilizer. Therefore, incorporating ERP and feldspar with spent wash during fish tonic production is a promising strategy to increase P and K.</w:t>
      </w:r>
    </w:p>
    <w:p w14:paraId="2BB0EF48" w14:textId="77777777" w:rsidR="00596064" w:rsidRPr="00FB3A86" w:rsidRDefault="00596064" w:rsidP="00441B6F">
      <w:pPr>
        <w:pStyle w:val="Body"/>
        <w:spacing w:after="0"/>
        <w:rPr>
          <w:rFonts w:ascii="Arial" w:hAnsi="Arial" w:cs="Arial"/>
        </w:rPr>
      </w:pPr>
    </w:p>
    <w:p w14:paraId="7314A267" w14:textId="77777777" w:rsidR="00860000" w:rsidRDefault="00860000" w:rsidP="00441B6F">
      <w:pPr>
        <w:pStyle w:val="ReferHead"/>
        <w:spacing w:after="0"/>
        <w:jc w:val="both"/>
        <w:rPr>
          <w:rFonts w:ascii="Arial" w:hAnsi="Arial" w:cs="Arial"/>
        </w:rPr>
      </w:pPr>
      <w:bookmarkStart w:id="0" w:name="_GoBack"/>
      <w:bookmarkEnd w:id="0"/>
    </w:p>
    <w:p w14:paraId="79A74E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7DE1FA" w14:textId="77777777" w:rsidR="00790ADA" w:rsidRPr="00FB3A86" w:rsidRDefault="00790ADA" w:rsidP="00441B6F">
      <w:pPr>
        <w:pStyle w:val="ReferHead"/>
        <w:spacing w:after="0"/>
        <w:jc w:val="both"/>
        <w:rPr>
          <w:rFonts w:ascii="Arial" w:hAnsi="Arial" w:cs="Arial"/>
        </w:rPr>
      </w:pPr>
    </w:p>
    <w:p w14:paraId="44789E83" w14:textId="7AF139D6" w:rsidR="005F0881" w:rsidRPr="00D74715" w:rsidRDefault="00D74715" w:rsidP="005F0881">
      <w:pPr>
        <w:pStyle w:val="Body"/>
        <w:rPr>
          <w:highlight w:val="yellow"/>
          <w:lang w:val="pt-BR"/>
        </w:rPr>
      </w:pPr>
      <w:r w:rsidRPr="00D74715">
        <w:t xml:space="preserve">Adharani, N., &amp; Agustin, C. (2023). Utilization of </w:t>
      </w:r>
      <w:proofErr w:type="spellStart"/>
      <w:r w:rsidRPr="00D74715">
        <w:t>Mackarel</w:t>
      </w:r>
      <w:proofErr w:type="spellEnd"/>
      <w:r w:rsidRPr="00D74715">
        <w:t xml:space="preserve"> tuna in liquid organic fertilizer against phosphorus and calcium content. </w:t>
      </w:r>
      <w:r w:rsidRPr="00D74715">
        <w:rPr>
          <w:lang w:val="pt-BR"/>
        </w:rPr>
        <w:t>Chanos chanos, 21(1), 13-16. https://doi.org/10.15578/chanos.v11i1.12760</w:t>
      </w:r>
    </w:p>
    <w:p w14:paraId="6265E9AB" w14:textId="538E034E" w:rsidR="005F0881" w:rsidRPr="00D74715" w:rsidRDefault="00D74715" w:rsidP="005F0881">
      <w:pPr>
        <w:pStyle w:val="Body"/>
        <w:rPr>
          <w:highlight w:val="yellow"/>
        </w:rPr>
      </w:pPr>
      <w:r w:rsidRPr="00D74715">
        <w:rPr>
          <w:lang w:val="pt-BR"/>
        </w:rPr>
        <w:t xml:space="preserve">Alori, E. T., Glick, B. R., &amp; Babalola, O. O. (2017). </w:t>
      </w:r>
      <w:r w:rsidRPr="00D74715">
        <w:t>Microbial phosphorus solubilization and its potential for use in sustainable agriculture. Frontiers in Microbiology, 8, 971. https://doi.org/10.3389/fmicb.2017.00971</w:t>
      </w:r>
    </w:p>
    <w:p w14:paraId="7AC23C67" w14:textId="768C7F7F" w:rsidR="005F0881" w:rsidRPr="00D74715" w:rsidRDefault="00D74715" w:rsidP="005F0881">
      <w:pPr>
        <w:pStyle w:val="Body"/>
        <w:rPr>
          <w:highlight w:val="yellow"/>
        </w:rPr>
      </w:pPr>
      <w:r w:rsidRPr="00D74715">
        <w:t>Badr, M.A. (2006). Efficiency of K-feldspar combined with organic materials and silicate dissolving bacteria on tomato yield. Journal of Applied Sciences Research, 2(12), 1191-1198. https://www.researchgate.net/publication/354300000_Efficiency_of_K-feldspar_Combined_with_Organic_Materials_and_Silicate_Dissolving_Bacteria_on_Tomato_Yield</w:t>
      </w:r>
    </w:p>
    <w:p w14:paraId="08944238" w14:textId="524D92EC" w:rsidR="005F0881" w:rsidRPr="00D74715" w:rsidRDefault="00D74715" w:rsidP="005F0881">
      <w:pPr>
        <w:pStyle w:val="Body"/>
        <w:rPr>
          <w:highlight w:val="yellow"/>
        </w:rPr>
      </w:pPr>
      <w:r w:rsidRPr="00D74715">
        <w:t xml:space="preserve">Bai, S., Ge, Y., Yao, D., Wang, Y., Tan, J., Zhang, S., Peng, Y., &amp; Jiang, X. (2025). Effect of straw retention and mineral fertilization on P speciation and P-transformation microorganisms in water extractable colloids of a </w:t>
      </w:r>
      <w:proofErr w:type="spellStart"/>
      <w:r w:rsidRPr="00D74715">
        <w:t>Vertisol</w:t>
      </w:r>
      <w:proofErr w:type="spellEnd"/>
      <w:r w:rsidRPr="00D74715">
        <w:t xml:space="preserve">. </w:t>
      </w:r>
      <w:proofErr w:type="spellStart"/>
      <w:r w:rsidRPr="00D74715">
        <w:t>Biogeosciences</w:t>
      </w:r>
      <w:proofErr w:type="spellEnd"/>
      <w:r w:rsidRPr="00D74715">
        <w:t>, 22(1), 135-151. https://doi.org/10.5194/bg-22-135-2025</w:t>
      </w:r>
    </w:p>
    <w:p w14:paraId="3ABD0921" w14:textId="0367321F" w:rsidR="005F0881" w:rsidRPr="00D74715" w:rsidRDefault="00D74715" w:rsidP="005F0881">
      <w:pPr>
        <w:pStyle w:val="Body"/>
        <w:rPr>
          <w:highlight w:val="yellow"/>
        </w:rPr>
      </w:pPr>
      <w:r w:rsidRPr="00D74715">
        <w:t xml:space="preserve">Bhardwaj, S., </w:t>
      </w:r>
      <w:proofErr w:type="spellStart"/>
      <w:r w:rsidRPr="00D74715">
        <w:t>Ruhela</w:t>
      </w:r>
      <w:proofErr w:type="spellEnd"/>
      <w:r w:rsidRPr="00D74715">
        <w:t xml:space="preserve">, M., Bhutiani, R., Ahamad, F., &amp; Bhardwaj, R. (2019). </w:t>
      </w:r>
      <w:proofErr w:type="spellStart"/>
      <w:r w:rsidRPr="00D74715">
        <w:t>Distellery</w:t>
      </w:r>
      <w:proofErr w:type="spellEnd"/>
      <w:r w:rsidRPr="00D74715">
        <w:t xml:space="preserve"> spent wash (DSW) treatment </w:t>
      </w:r>
      <w:proofErr w:type="spellStart"/>
      <w:r w:rsidRPr="00D74715">
        <w:t>methodogies</w:t>
      </w:r>
      <w:proofErr w:type="spellEnd"/>
      <w:r w:rsidRPr="00D74715">
        <w:t xml:space="preserve"> and challenges with special reference to incineration: An overview. Environment Conservation Journal, 20(3), 135-144. https://doi.org/10.36953/ECJ.2019.20318</w:t>
      </w:r>
    </w:p>
    <w:p w14:paraId="011405F8" w14:textId="784C9E35" w:rsidR="005F0881" w:rsidRPr="00D74715" w:rsidRDefault="00D74715" w:rsidP="005F0881">
      <w:pPr>
        <w:pStyle w:val="Body"/>
        <w:rPr>
          <w:highlight w:val="yellow"/>
        </w:rPr>
      </w:pPr>
      <w:proofErr w:type="spellStart"/>
      <w:r w:rsidRPr="00D74715">
        <w:t>Bhaskoro</w:t>
      </w:r>
      <w:proofErr w:type="spellEnd"/>
      <w:r w:rsidRPr="00D74715">
        <w:t xml:space="preserve">, P. T., </w:t>
      </w:r>
      <w:proofErr w:type="spellStart"/>
      <w:r w:rsidRPr="00D74715">
        <w:t>Tjahjaningsih</w:t>
      </w:r>
      <w:proofErr w:type="spellEnd"/>
      <w:r w:rsidRPr="00D74715">
        <w:t xml:space="preserve">, W., &amp; Mubarak, A. S. (2020). The effect of addition of fish bone meal on the concentration of nitrogen (N), phosphorus (P), and potassium (K) in seaweed liquid organic fertilizer of </w:t>
      </w:r>
      <w:proofErr w:type="spellStart"/>
      <w:r w:rsidRPr="00D74715">
        <w:t>Gracilaria</w:t>
      </w:r>
      <w:proofErr w:type="spellEnd"/>
      <w:r w:rsidRPr="00D74715">
        <w:t xml:space="preserve"> sp. IOP Conference Series: Earth and Environmental Science, 441(1), 012144. https://doi.org/10.1088/1755-1315/441/1/012144</w:t>
      </w:r>
    </w:p>
    <w:p w14:paraId="78359970" w14:textId="78F60945" w:rsidR="005F0881" w:rsidRPr="00D74715" w:rsidRDefault="00D74715" w:rsidP="005F0881">
      <w:pPr>
        <w:pStyle w:val="Body"/>
        <w:rPr>
          <w:highlight w:val="yellow"/>
        </w:rPr>
      </w:pPr>
      <w:r w:rsidRPr="00D74715">
        <w:rPr>
          <w:lang w:val="pt-BR"/>
        </w:rPr>
        <w:t xml:space="preserve">Ciceri, D., de Oliveira, M., &amp; Allanore, A. (2017). </w:t>
      </w:r>
      <w:r w:rsidRPr="00D74715">
        <w:t>Potassium fertilizer via hydrothermal alteration of K-feldspar ore. Green Chemistry, 19(21), 5187-5202. https://doi.org/10.1039/C7GC02633A</w:t>
      </w:r>
    </w:p>
    <w:p w14:paraId="3B4C4D2F" w14:textId="33B45B82" w:rsidR="005F0881" w:rsidRPr="00D74715" w:rsidRDefault="00D74715" w:rsidP="005F0881">
      <w:pPr>
        <w:pStyle w:val="Body"/>
        <w:rPr>
          <w:highlight w:val="yellow"/>
        </w:rPr>
      </w:pPr>
      <w:proofErr w:type="spellStart"/>
      <w:r w:rsidRPr="00D74715">
        <w:t>Etesami</w:t>
      </w:r>
      <w:proofErr w:type="spellEnd"/>
      <w:r w:rsidRPr="00D74715">
        <w:t>, H., Emami, S., &amp; Alikhani, H.A. (2017). Potassium solubilizing bacteria (KSB): Mechanisms, promotion of plant growth, and future prospects-A review. Journal of Soil Science and Plant Nutrition, 17(4), 897-911. https://doi.org/10.4067/S0718-95162017000400005</w:t>
      </w:r>
    </w:p>
    <w:p w14:paraId="7939CDE0" w14:textId="08DAF556" w:rsidR="005F0881" w:rsidRPr="00D74715" w:rsidRDefault="00D74715" w:rsidP="005F0881">
      <w:pPr>
        <w:pStyle w:val="Body"/>
        <w:rPr>
          <w:highlight w:val="yellow"/>
        </w:rPr>
      </w:pPr>
      <w:r w:rsidRPr="00D74715">
        <w:lastRenderedPageBreak/>
        <w:t xml:space="preserve">Hidayat, R., Dewi, E. N., &amp; </w:t>
      </w:r>
      <w:proofErr w:type="spellStart"/>
      <w:r w:rsidRPr="00D74715">
        <w:t>Purnamayati</w:t>
      </w:r>
      <w:proofErr w:type="spellEnd"/>
      <w:r w:rsidRPr="00D74715">
        <w:t>, L. (2024). Characteristics of liquid organic fertilizer made from milkfish viscera (</w:t>
      </w:r>
      <w:proofErr w:type="spellStart"/>
      <w:r w:rsidRPr="00D74715">
        <w:t>Chanos</w:t>
      </w:r>
      <w:proofErr w:type="spellEnd"/>
      <w:r w:rsidRPr="00D74715">
        <w:t xml:space="preserve"> </w:t>
      </w:r>
      <w:proofErr w:type="spellStart"/>
      <w:r w:rsidRPr="00D74715">
        <w:t>chanos</w:t>
      </w:r>
      <w:proofErr w:type="spellEnd"/>
      <w:r w:rsidRPr="00D74715">
        <w:t xml:space="preserve"> </w:t>
      </w:r>
      <w:proofErr w:type="spellStart"/>
      <w:r w:rsidRPr="00D74715">
        <w:t>Forsskal</w:t>
      </w:r>
      <w:proofErr w:type="spellEnd"/>
      <w:r w:rsidRPr="00D74715">
        <w:t xml:space="preserve">) at </w:t>
      </w:r>
      <w:proofErr w:type="spellStart"/>
      <w:r w:rsidRPr="00D74715">
        <w:t>differents</w:t>
      </w:r>
      <w:proofErr w:type="spellEnd"/>
      <w:r w:rsidRPr="00D74715">
        <w:t xml:space="preserve"> long time fermentation. Journal of Zoology and Systematics, 2(2), 30–40. https://doi.org/10.56946/jzs.v2i2.444</w:t>
      </w:r>
      <w:r w:rsidR="005F0881" w:rsidRPr="00D74715">
        <w:rPr>
          <w:highlight w:val="yellow"/>
        </w:rPr>
        <w:t xml:space="preserve"> </w:t>
      </w:r>
    </w:p>
    <w:p w14:paraId="399C075B" w14:textId="48BE8115" w:rsidR="005F0881" w:rsidRDefault="00D74715" w:rsidP="005F0881">
      <w:pPr>
        <w:pStyle w:val="Body"/>
      </w:pPr>
      <w:proofErr w:type="spellStart"/>
      <w:r w:rsidRPr="00D74715">
        <w:t>Jayaneththi</w:t>
      </w:r>
      <w:proofErr w:type="spellEnd"/>
      <w:r w:rsidRPr="00D74715">
        <w:t xml:space="preserve">, J.P.H.U., Seneviratne, G., </w:t>
      </w:r>
      <w:proofErr w:type="spellStart"/>
      <w:r w:rsidRPr="00D74715">
        <w:t>Madawala</w:t>
      </w:r>
      <w:proofErr w:type="spellEnd"/>
      <w:r w:rsidRPr="00D74715">
        <w:t xml:space="preserve">, H.M.S.P., &amp; </w:t>
      </w:r>
      <w:proofErr w:type="spellStart"/>
      <w:r w:rsidRPr="00D74715">
        <w:t>Amarasekara</w:t>
      </w:r>
      <w:proofErr w:type="spellEnd"/>
      <w:r w:rsidRPr="00D74715">
        <w:t>, M.G.T.S. (2023). Biofilm Enriched rock phosphate as a potential phosphorous fertilizer to replace triple super phosphate in rice cultivation: A preliminary field trial. Ceylon Journal of Science, 52(3), 351-355. https://doi.org/10.4038/cjs.v52i3.8091</w:t>
      </w:r>
    </w:p>
    <w:p w14:paraId="31D30700" w14:textId="1B2BAAD6" w:rsidR="005F0881" w:rsidRPr="00D74715" w:rsidRDefault="00D74715" w:rsidP="005F0881">
      <w:pPr>
        <w:pStyle w:val="Body"/>
        <w:rPr>
          <w:highlight w:val="yellow"/>
        </w:rPr>
      </w:pPr>
      <w:r w:rsidRPr="00D74715">
        <w:t>Kim, S. R., Lee, J., Lee, M. G., Sung, H. G., &amp; Hwang, S. G. (2024). Analysis of microbial communities in solid and liquid pig manure during the fertilization process. Scientific Reports, 14(1), 72. https://doi.org/10.1038/s41598-023-50649-5</w:t>
      </w:r>
    </w:p>
    <w:p w14:paraId="07C055C8" w14:textId="51D0CB9D" w:rsidR="005F0881" w:rsidRPr="00D74715" w:rsidRDefault="00D74715" w:rsidP="005F0881">
      <w:pPr>
        <w:pStyle w:val="Body"/>
        <w:rPr>
          <w:highlight w:val="yellow"/>
        </w:rPr>
      </w:pPr>
      <w:r w:rsidRPr="00D74715">
        <w:t xml:space="preserve">Kusuma, I. D. G. C., Suriani, N. L., &amp; Ramona, Y. (2021). The use of fish waste based organic fertilizer to improve the growth of </w:t>
      </w:r>
      <w:proofErr w:type="spellStart"/>
      <w:r w:rsidRPr="00D74715">
        <w:t>balinese</w:t>
      </w:r>
      <w:proofErr w:type="spellEnd"/>
      <w:r w:rsidRPr="00D74715">
        <w:t xml:space="preserve"> red rice (Oryza sativa L Cv. Barak Cenana). AJARCDE (Asian Journal of Applied Research for Community Development and Empowerment), 5(2), 13-18. https://doi.org/10.29165/ajarcde.v5i2.67</w:t>
      </w:r>
    </w:p>
    <w:p w14:paraId="78A797C5" w14:textId="24751E19" w:rsidR="005F0881" w:rsidRPr="00D74715" w:rsidRDefault="00D74715" w:rsidP="005F0881">
      <w:pPr>
        <w:pStyle w:val="Body"/>
        <w:rPr>
          <w:highlight w:val="yellow"/>
        </w:rPr>
      </w:pPr>
      <w:r w:rsidRPr="00D74715">
        <w:rPr>
          <w:lang w:val="pt-BR"/>
        </w:rPr>
        <w:t xml:space="preserve">Leksono, T., Banjarnahor, R., Irasari, N., &amp; Sidauruk, S.W. (2024). </w:t>
      </w:r>
      <w:r w:rsidRPr="00D74715">
        <w:t xml:space="preserve">Liquid Organic Fertilizer Produced from Innards Waste of Catfish (Pangasius </w:t>
      </w:r>
      <w:proofErr w:type="spellStart"/>
      <w:r w:rsidRPr="00D74715">
        <w:t>djambal</w:t>
      </w:r>
      <w:proofErr w:type="spellEnd"/>
      <w:r w:rsidRPr="00D74715">
        <w:t>) by Using Fermentative Microbes (EM4) and Molasses. In IOP Conference Series: Earth and Environmental Science, 1328(1), 012019. https://doi.org/10.1088/1755-1315/1328/1/012019</w:t>
      </w:r>
    </w:p>
    <w:p w14:paraId="507650A9" w14:textId="10E4B43E" w:rsidR="005F0881" w:rsidRPr="00D74715" w:rsidRDefault="00D74715" w:rsidP="005F0881">
      <w:pPr>
        <w:pStyle w:val="Body"/>
        <w:rPr>
          <w:highlight w:val="yellow"/>
        </w:rPr>
      </w:pPr>
      <w:r w:rsidRPr="00D74715">
        <w:t xml:space="preserve">Mutia, Y. D., </w:t>
      </w:r>
      <w:proofErr w:type="spellStart"/>
      <w:r w:rsidRPr="00D74715">
        <w:t>Thesiwati</w:t>
      </w:r>
      <w:proofErr w:type="spellEnd"/>
      <w:r w:rsidRPr="00D74715">
        <w:t xml:space="preserve">, A. S., &amp; </w:t>
      </w:r>
      <w:proofErr w:type="spellStart"/>
      <w:r w:rsidRPr="00D74715">
        <w:t>Ermawati</w:t>
      </w:r>
      <w:proofErr w:type="spellEnd"/>
      <w:r w:rsidRPr="00D74715">
        <w:t xml:space="preserve">, E. (2024). The Production of Shallots (Allium ascalonicum L.) in Response to the Application of Liquid Organic Fertilizer </w:t>
      </w:r>
      <w:proofErr w:type="gramStart"/>
      <w:r w:rsidRPr="00D74715">
        <w:t>From</w:t>
      </w:r>
      <w:proofErr w:type="gramEnd"/>
      <w:r w:rsidRPr="00D74715">
        <w:t xml:space="preserve"> Marine Fish Waste and Tithonia. JERAMI: Indonesian Journal of Crop Science, 6(2), 43-47. https://doi.org/10.25077/jijcs.6.2.43-47.2024</w:t>
      </w:r>
    </w:p>
    <w:p w14:paraId="6601330B" w14:textId="2A467D37" w:rsidR="005F0881" w:rsidRPr="00D74715" w:rsidRDefault="00D74715" w:rsidP="005F0881">
      <w:pPr>
        <w:pStyle w:val="Body"/>
        <w:rPr>
          <w:highlight w:val="yellow"/>
        </w:rPr>
      </w:pPr>
      <w:proofErr w:type="spellStart"/>
      <w:r w:rsidRPr="00D74715">
        <w:t>Senarathne</w:t>
      </w:r>
      <w:proofErr w:type="spellEnd"/>
      <w:r w:rsidRPr="00D74715">
        <w:t xml:space="preserve">, S.H.S., &amp; </w:t>
      </w:r>
      <w:proofErr w:type="spellStart"/>
      <w:r w:rsidRPr="00D74715">
        <w:t>Udumann</w:t>
      </w:r>
      <w:proofErr w:type="spellEnd"/>
      <w:r w:rsidRPr="00D74715">
        <w:t xml:space="preserve">, S.S. (2018). The Influence of Vermicomposting Technology on Solubility of </w:t>
      </w:r>
      <w:proofErr w:type="spellStart"/>
      <w:r w:rsidRPr="00D74715">
        <w:t>Eppawala</w:t>
      </w:r>
      <w:proofErr w:type="spellEnd"/>
      <w:r w:rsidRPr="00D74715">
        <w:t xml:space="preserve"> Rock Phosphate. CORD, 34(2), 9. https://doi.org/10.37833/cord.v34i2.15</w:t>
      </w:r>
    </w:p>
    <w:p w14:paraId="57100A0E" w14:textId="3DEFED9C" w:rsidR="005F0881" w:rsidRPr="00D74715" w:rsidRDefault="00D74715" w:rsidP="005F0881">
      <w:pPr>
        <w:pStyle w:val="Body"/>
        <w:rPr>
          <w:highlight w:val="yellow"/>
        </w:rPr>
      </w:pPr>
      <w:r w:rsidRPr="00D74715">
        <w:t>Sri Lanka Standards Institution. (2021). *SLS 1702:2021 – Specification for Liquid Organic Fertilizers*. Colombo: Sri Lanka Standards Institution. https://www.agrimin.gov.lk/web/images/pdf/Procurement/2021.07.01/sls%201702_20.21.pdf</w:t>
      </w:r>
    </w:p>
    <w:p w14:paraId="1D5EABDB" w14:textId="7E24F750" w:rsidR="005F0881" w:rsidRPr="00D74715" w:rsidRDefault="00D74715" w:rsidP="005F0881">
      <w:pPr>
        <w:pStyle w:val="Body"/>
        <w:rPr>
          <w:highlight w:val="yellow"/>
        </w:rPr>
      </w:pPr>
      <w:proofErr w:type="spellStart"/>
      <w:r w:rsidRPr="00D74715">
        <w:t>Thashmantha</w:t>
      </w:r>
      <w:proofErr w:type="spellEnd"/>
      <w:r w:rsidRPr="00D74715">
        <w:t xml:space="preserve">, M. A. D. S., &amp; </w:t>
      </w:r>
      <w:proofErr w:type="spellStart"/>
      <w:r w:rsidRPr="00D74715">
        <w:t>Ratnatilleke</w:t>
      </w:r>
      <w:proofErr w:type="spellEnd"/>
      <w:r w:rsidRPr="00D74715">
        <w:t>, A. A. L. (2023). Release of Potassium Ions from Feldspar by Organic Acids Present in Potassium-Solubilizing Bacteria. In Proceedings of International Forestry and Environment Symposium, 27. https://doi.org/10.31357/fesympo.v27.7179</w:t>
      </w:r>
    </w:p>
    <w:p w14:paraId="51F8DAD9" w14:textId="454FC3EE" w:rsidR="00E769F6" w:rsidRPr="002C57D2" w:rsidRDefault="00D74715" w:rsidP="005F0881">
      <w:pPr>
        <w:pStyle w:val="Body"/>
        <w:spacing w:after="0"/>
        <w:rPr>
          <w:rFonts w:ascii="Arial" w:hAnsi="Arial" w:cs="Arial"/>
        </w:rPr>
      </w:pPr>
      <w:r w:rsidRPr="00D74715">
        <w:rPr>
          <w:lang w:val="pt-BR"/>
        </w:rPr>
        <w:t xml:space="preserve">Udawatte, C. P., Panagoda, P. V. A., Wickramasinghe, W. M. A. D. B., Wijewardena, J. D. H., Sirisena, D. N., Emitiyagoda, S., &amp; Bandara, H. R. U. D. (2020). </w:t>
      </w:r>
      <w:r w:rsidRPr="00D74715">
        <w:t xml:space="preserve">Use of single superphosphate </w:t>
      </w:r>
      <w:proofErr w:type="spellStart"/>
      <w:r w:rsidRPr="00D74715">
        <w:t>fertiliser</w:t>
      </w:r>
      <w:proofErr w:type="spellEnd"/>
      <w:r w:rsidRPr="00D74715">
        <w:t xml:space="preserve"> produced using </w:t>
      </w:r>
      <w:proofErr w:type="spellStart"/>
      <w:r w:rsidRPr="00D74715">
        <w:t>Eppawala</w:t>
      </w:r>
      <w:proofErr w:type="spellEnd"/>
      <w:r w:rsidRPr="00D74715">
        <w:t xml:space="preserve"> rock phosphate as a source of phosphorous for rice cultivation. Journal of the National Science Foundation of Sri Lanka, 48(2). https://doi.org/10.4038/jnsfsr.v48i2.9264</w:t>
      </w:r>
    </w:p>
    <w:sectPr w:rsidR="00E769F6" w:rsidRPr="002C57D2" w:rsidSect="000B7E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0520" w14:textId="77777777" w:rsidR="009326EB" w:rsidRDefault="009326EB" w:rsidP="00C37E61">
      <w:r>
        <w:separator/>
      </w:r>
    </w:p>
  </w:endnote>
  <w:endnote w:type="continuationSeparator" w:id="0">
    <w:p w14:paraId="0AE30FA8" w14:textId="77777777" w:rsidR="009326EB" w:rsidRDefault="009326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D586" w14:textId="77777777" w:rsidR="000B7E51" w:rsidRDefault="000B7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5D44" w14:textId="77777777" w:rsidR="000B7E51" w:rsidRDefault="000B7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E27F" w14:textId="77777777" w:rsidR="009E048A" w:rsidRDefault="009E048A">
    <w:pPr>
      <w:pStyle w:val="Footer"/>
      <w:rPr>
        <w:rFonts w:ascii="Arial" w:hAnsi="Arial" w:cs="Arial"/>
        <w:sz w:val="16"/>
      </w:rPr>
    </w:pPr>
  </w:p>
  <w:p w14:paraId="1318FC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90171B" w14:textId="77777777" w:rsidR="009E048A" w:rsidRDefault="009E048A">
    <w:pPr>
      <w:pStyle w:val="Footer"/>
      <w:rPr>
        <w:rFonts w:ascii="Arial" w:hAnsi="Arial" w:cs="Arial"/>
        <w:sz w:val="16"/>
      </w:rPr>
    </w:pPr>
  </w:p>
  <w:p w14:paraId="72D333D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C5C0B" w14:textId="77777777" w:rsidR="009326EB" w:rsidRDefault="009326EB" w:rsidP="00C37E61">
      <w:r>
        <w:separator/>
      </w:r>
    </w:p>
  </w:footnote>
  <w:footnote w:type="continuationSeparator" w:id="0">
    <w:p w14:paraId="242E17E2" w14:textId="77777777" w:rsidR="009326EB" w:rsidRDefault="009326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D934" w14:textId="24FB70C7" w:rsidR="000B7E51" w:rsidRDefault="000B7E51">
    <w:pPr>
      <w:pStyle w:val="Header"/>
    </w:pPr>
    <w:r>
      <w:rPr>
        <w:noProof/>
      </w:rPr>
      <w:pict w14:anchorId="29B87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4D2E" w14:textId="4A006992" w:rsidR="000B7E51" w:rsidRDefault="000B7E51">
    <w:pPr>
      <w:pStyle w:val="Header"/>
    </w:pPr>
    <w:r>
      <w:rPr>
        <w:noProof/>
      </w:rPr>
      <w:pict w14:anchorId="3BAF2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E662" w14:textId="6253BA60" w:rsidR="00296529" w:rsidRPr="00296529" w:rsidRDefault="000B7E51" w:rsidP="00296529">
    <w:pPr>
      <w:ind w:left="2160"/>
      <w:jc w:val="center"/>
      <w:rPr>
        <w:rFonts w:ascii="Times New Roman" w:eastAsia="Calibri" w:hAnsi="Times New Roman"/>
        <w:i/>
        <w:sz w:val="18"/>
        <w:szCs w:val="22"/>
      </w:rPr>
    </w:pPr>
    <w:r>
      <w:rPr>
        <w:noProof/>
      </w:rPr>
      <w:pict w14:anchorId="7717A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ACF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418B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9456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B60D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3E82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195B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59F"/>
    <w:rsid w:val="00030174"/>
    <w:rsid w:val="00035BE9"/>
    <w:rsid w:val="0004579C"/>
    <w:rsid w:val="000538D8"/>
    <w:rsid w:val="000757ED"/>
    <w:rsid w:val="000A47FA"/>
    <w:rsid w:val="000A65D3"/>
    <w:rsid w:val="000A69A2"/>
    <w:rsid w:val="000B1E33"/>
    <w:rsid w:val="000B7E51"/>
    <w:rsid w:val="000D689F"/>
    <w:rsid w:val="000E7B7B"/>
    <w:rsid w:val="000E7D62"/>
    <w:rsid w:val="000F3AD2"/>
    <w:rsid w:val="00103357"/>
    <w:rsid w:val="00123C9F"/>
    <w:rsid w:val="00126190"/>
    <w:rsid w:val="00130F17"/>
    <w:rsid w:val="001320BF"/>
    <w:rsid w:val="0014160F"/>
    <w:rsid w:val="00163BC4"/>
    <w:rsid w:val="0016635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D0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6448"/>
    <w:rsid w:val="003F2CA5"/>
    <w:rsid w:val="00401927"/>
    <w:rsid w:val="0041027F"/>
    <w:rsid w:val="00412475"/>
    <w:rsid w:val="00423789"/>
    <w:rsid w:val="00440F43"/>
    <w:rsid w:val="00441B6F"/>
    <w:rsid w:val="00446221"/>
    <w:rsid w:val="00450E62"/>
    <w:rsid w:val="004539DB"/>
    <w:rsid w:val="00471A80"/>
    <w:rsid w:val="00480EF3"/>
    <w:rsid w:val="004D305E"/>
    <w:rsid w:val="004D4277"/>
    <w:rsid w:val="00502516"/>
    <w:rsid w:val="00505F06"/>
    <w:rsid w:val="00506828"/>
    <w:rsid w:val="0053056E"/>
    <w:rsid w:val="00554FDA"/>
    <w:rsid w:val="00596064"/>
    <w:rsid w:val="005A71C7"/>
    <w:rsid w:val="005C784C"/>
    <w:rsid w:val="005D17F6"/>
    <w:rsid w:val="005E006B"/>
    <w:rsid w:val="005E5539"/>
    <w:rsid w:val="005E6031"/>
    <w:rsid w:val="005F0881"/>
    <w:rsid w:val="00602BF5"/>
    <w:rsid w:val="00617FDD"/>
    <w:rsid w:val="00633614"/>
    <w:rsid w:val="00633F68"/>
    <w:rsid w:val="00635C95"/>
    <w:rsid w:val="00636EB2"/>
    <w:rsid w:val="006375B8"/>
    <w:rsid w:val="0066510A"/>
    <w:rsid w:val="00673F9F"/>
    <w:rsid w:val="00686953"/>
    <w:rsid w:val="00687DEA"/>
    <w:rsid w:val="00687E67"/>
    <w:rsid w:val="006967F7"/>
    <w:rsid w:val="006A250C"/>
    <w:rsid w:val="006B21D3"/>
    <w:rsid w:val="006B57D0"/>
    <w:rsid w:val="006D0675"/>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4FAD"/>
    <w:rsid w:val="00860000"/>
    <w:rsid w:val="00863BD3"/>
    <w:rsid w:val="008641ED"/>
    <w:rsid w:val="00866D66"/>
    <w:rsid w:val="008671C6"/>
    <w:rsid w:val="00875803"/>
    <w:rsid w:val="008B459E"/>
    <w:rsid w:val="008E13AE"/>
    <w:rsid w:val="008E1506"/>
    <w:rsid w:val="008E710C"/>
    <w:rsid w:val="008F69D6"/>
    <w:rsid w:val="00902823"/>
    <w:rsid w:val="00915CA6"/>
    <w:rsid w:val="00925978"/>
    <w:rsid w:val="00927834"/>
    <w:rsid w:val="009326EB"/>
    <w:rsid w:val="009500A6"/>
    <w:rsid w:val="00957C18"/>
    <w:rsid w:val="009659BA"/>
    <w:rsid w:val="0097282B"/>
    <w:rsid w:val="00983040"/>
    <w:rsid w:val="00997EE8"/>
    <w:rsid w:val="009B3FB9"/>
    <w:rsid w:val="009B7D3F"/>
    <w:rsid w:val="009C1482"/>
    <w:rsid w:val="009C2465"/>
    <w:rsid w:val="009D35A0"/>
    <w:rsid w:val="009D7EB7"/>
    <w:rsid w:val="009E048A"/>
    <w:rsid w:val="009E08E9"/>
    <w:rsid w:val="009E25F6"/>
    <w:rsid w:val="009E3DB9"/>
    <w:rsid w:val="009E6E35"/>
    <w:rsid w:val="009F0EDA"/>
    <w:rsid w:val="00A03B96"/>
    <w:rsid w:val="00A05B19"/>
    <w:rsid w:val="00A1134E"/>
    <w:rsid w:val="00A24E7E"/>
    <w:rsid w:val="00A258C3"/>
    <w:rsid w:val="00A347C0"/>
    <w:rsid w:val="00A51431"/>
    <w:rsid w:val="00A539AD"/>
    <w:rsid w:val="00A64A2B"/>
    <w:rsid w:val="00A84380"/>
    <w:rsid w:val="00A94063"/>
    <w:rsid w:val="00AA6219"/>
    <w:rsid w:val="00AA74E0"/>
    <w:rsid w:val="00AB703F"/>
    <w:rsid w:val="00AC6BB8"/>
    <w:rsid w:val="00AE008F"/>
    <w:rsid w:val="00AE57EB"/>
    <w:rsid w:val="00B01FCD"/>
    <w:rsid w:val="00B1776C"/>
    <w:rsid w:val="00B52583"/>
    <w:rsid w:val="00B52896"/>
    <w:rsid w:val="00B95236"/>
    <w:rsid w:val="00B96BD9"/>
    <w:rsid w:val="00BA1B01"/>
    <w:rsid w:val="00BA2641"/>
    <w:rsid w:val="00BB37AA"/>
    <w:rsid w:val="00BC3222"/>
    <w:rsid w:val="00BC53A0"/>
    <w:rsid w:val="00BE62AD"/>
    <w:rsid w:val="00BF121F"/>
    <w:rsid w:val="00BF1F80"/>
    <w:rsid w:val="00C166EF"/>
    <w:rsid w:val="00C17EB0"/>
    <w:rsid w:val="00C27F5F"/>
    <w:rsid w:val="00C30A0F"/>
    <w:rsid w:val="00C35C18"/>
    <w:rsid w:val="00C37E61"/>
    <w:rsid w:val="00C70F1B"/>
    <w:rsid w:val="00C71A47"/>
    <w:rsid w:val="00C7464C"/>
    <w:rsid w:val="00C85588"/>
    <w:rsid w:val="00C8583B"/>
    <w:rsid w:val="00C9500D"/>
    <w:rsid w:val="00CD6755"/>
    <w:rsid w:val="00CD6856"/>
    <w:rsid w:val="00CE0089"/>
    <w:rsid w:val="00CE793C"/>
    <w:rsid w:val="00CF193C"/>
    <w:rsid w:val="00D12A8F"/>
    <w:rsid w:val="00D173F1"/>
    <w:rsid w:val="00D21DEA"/>
    <w:rsid w:val="00D74715"/>
    <w:rsid w:val="00D74CB0"/>
    <w:rsid w:val="00D8295D"/>
    <w:rsid w:val="00DC2A65"/>
    <w:rsid w:val="00DE15F0"/>
    <w:rsid w:val="00DE5663"/>
    <w:rsid w:val="00DE78AA"/>
    <w:rsid w:val="00E04CA6"/>
    <w:rsid w:val="00E053D0"/>
    <w:rsid w:val="00E15994"/>
    <w:rsid w:val="00E3114E"/>
    <w:rsid w:val="00E31A70"/>
    <w:rsid w:val="00E35B02"/>
    <w:rsid w:val="00E66496"/>
    <w:rsid w:val="00E66B35"/>
    <w:rsid w:val="00E66E10"/>
    <w:rsid w:val="00E769F6"/>
    <w:rsid w:val="00E8407C"/>
    <w:rsid w:val="00E84F3C"/>
    <w:rsid w:val="00EA012C"/>
    <w:rsid w:val="00EC6797"/>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5009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D0B1-3AFA-426F-88CD-FDA15BDC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3262</TotalTime>
  <Pages>7</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2025-12-06T07:02:00Z</dcterms:modified>
</cp:coreProperties>
</file>