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A2D" w:rsidRPr="001278CD" w:rsidRDefault="00CD77EE" w:rsidP="008879B2">
      <w:pPr>
        <w:spacing w:line="240" w:lineRule="auto"/>
        <w:jc w:val="center"/>
        <w:rPr>
          <w:rFonts w:ascii="Times New Roman" w:hAnsi="Times New Roman" w:cs="Times New Roman"/>
          <w:b/>
          <w:sz w:val="32"/>
          <w:szCs w:val="32"/>
        </w:rPr>
      </w:pPr>
      <w:r w:rsidRPr="001278CD">
        <w:rPr>
          <w:rFonts w:ascii="Times New Roman" w:hAnsi="Times New Roman" w:cs="Times New Roman"/>
          <w:b/>
          <w:sz w:val="32"/>
          <w:szCs w:val="32"/>
        </w:rPr>
        <w:t xml:space="preserve">Nutrient and </w:t>
      </w:r>
      <w:r w:rsidR="001278CD">
        <w:rPr>
          <w:rFonts w:ascii="Times New Roman" w:hAnsi="Times New Roman" w:cs="Times New Roman"/>
          <w:b/>
          <w:sz w:val="32"/>
          <w:szCs w:val="32"/>
        </w:rPr>
        <w:t>Proximate A</w:t>
      </w:r>
      <w:r w:rsidR="00755AF1" w:rsidRPr="001278CD">
        <w:rPr>
          <w:rFonts w:ascii="Times New Roman" w:hAnsi="Times New Roman" w:cs="Times New Roman"/>
          <w:b/>
          <w:sz w:val="32"/>
          <w:szCs w:val="32"/>
        </w:rPr>
        <w:t>nalys</w:t>
      </w:r>
      <w:r w:rsidR="001278CD">
        <w:rPr>
          <w:rFonts w:ascii="Times New Roman" w:hAnsi="Times New Roman" w:cs="Times New Roman"/>
          <w:b/>
          <w:sz w:val="32"/>
          <w:szCs w:val="32"/>
        </w:rPr>
        <w:t>is of C</w:t>
      </w:r>
      <w:r w:rsidR="0029009A" w:rsidRPr="001278CD">
        <w:rPr>
          <w:rFonts w:ascii="Times New Roman" w:hAnsi="Times New Roman" w:cs="Times New Roman"/>
          <w:b/>
          <w:sz w:val="32"/>
          <w:szCs w:val="32"/>
        </w:rPr>
        <w:t>ucumber (</w:t>
      </w:r>
      <w:r w:rsidR="0029009A" w:rsidRPr="001278CD">
        <w:rPr>
          <w:rFonts w:ascii="Times New Roman" w:hAnsi="Times New Roman" w:cs="Times New Roman"/>
          <w:b/>
          <w:i/>
          <w:sz w:val="32"/>
          <w:szCs w:val="32"/>
        </w:rPr>
        <w:t>Cucumis sativus L</w:t>
      </w:r>
      <w:r w:rsidR="0029009A" w:rsidRPr="001278CD">
        <w:rPr>
          <w:rFonts w:ascii="Times New Roman" w:hAnsi="Times New Roman" w:cs="Times New Roman"/>
          <w:b/>
          <w:sz w:val="32"/>
          <w:szCs w:val="32"/>
        </w:rPr>
        <w:t xml:space="preserve">.) </w:t>
      </w:r>
      <w:r w:rsidR="00E10678">
        <w:rPr>
          <w:rFonts w:ascii="Times New Roman" w:hAnsi="Times New Roman" w:cs="Times New Roman"/>
          <w:b/>
          <w:sz w:val="32"/>
          <w:szCs w:val="32"/>
        </w:rPr>
        <w:t xml:space="preserve">as influenced by Foliar Plus </w:t>
      </w:r>
      <w:r w:rsidR="0029009A" w:rsidRPr="001278CD">
        <w:rPr>
          <w:rFonts w:ascii="Times New Roman" w:hAnsi="Times New Roman" w:cs="Times New Roman"/>
          <w:b/>
          <w:sz w:val="32"/>
          <w:szCs w:val="32"/>
        </w:rPr>
        <w:t xml:space="preserve">in the </w:t>
      </w:r>
      <w:r w:rsidR="00755AF1" w:rsidRPr="001278CD">
        <w:rPr>
          <w:rFonts w:ascii="Times New Roman" w:hAnsi="Times New Roman" w:cs="Times New Roman"/>
          <w:b/>
          <w:sz w:val="32"/>
          <w:szCs w:val="32"/>
        </w:rPr>
        <w:t>Southeast</w:t>
      </w:r>
      <w:r w:rsidR="0029009A" w:rsidRPr="001278CD">
        <w:rPr>
          <w:rFonts w:ascii="Times New Roman" w:hAnsi="Times New Roman" w:cs="Times New Roman"/>
          <w:b/>
          <w:sz w:val="32"/>
          <w:szCs w:val="32"/>
        </w:rPr>
        <w:t>,</w:t>
      </w:r>
      <w:r w:rsidR="00755AF1" w:rsidRPr="001278CD">
        <w:rPr>
          <w:rFonts w:ascii="Times New Roman" w:hAnsi="Times New Roman" w:cs="Times New Roman"/>
          <w:b/>
          <w:sz w:val="32"/>
          <w:szCs w:val="32"/>
        </w:rPr>
        <w:t xml:space="preserve"> Nigeria</w:t>
      </w:r>
      <w:r w:rsidR="008879B2">
        <w:rPr>
          <w:rFonts w:ascii="Times New Roman" w:hAnsi="Times New Roman" w:cs="Times New Roman"/>
          <w:b/>
          <w:sz w:val="32"/>
          <w:szCs w:val="32"/>
        </w:rPr>
        <w:t>.</w:t>
      </w:r>
    </w:p>
    <w:p w:rsidR="004906AF" w:rsidRDefault="004906AF" w:rsidP="00FF27F0">
      <w:pPr>
        <w:spacing w:after="0" w:line="240" w:lineRule="auto"/>
        <w:jc w:val="both"/>
        <w:rPr>
          <w:rFonts w:ascii="Times New Roman" w:eastAsia="Times New Roman" w:hAnsi="Times New Roman" w:cs="Times New Roman"/>
          <w:b/>
          <w:sz w:val="24"/>
          <w:szCs w:val="24"/>
        </w:rPr>
      </w:pPr>
    </w:p>
    <w:p w:rsidR="00273A87" w:rsidRPr="00FF27F0" w:rsidRDefault="00273A87" w:rsidP="00FF27F0">
      <w:pPr>
        <w:spacing w:after="0" w:line="240" w:lineRule="auto"/>
        <w:jc w:val="both"/>
        <w:rPr>
          <w:rFonts w:ascii="Times New Roman" w:eastAsia="Times New Roman" w:hAnsi="Times New Roman" w:cs="Times New Roman"/>
          <w:b/>
          <w:sz w:val="24"/>
          <w:szCs w:val="24"/>
        </w:rPr>
      </w:pPr>
      <w:bookmarkStart w:id="0" w:name="_GoBack"/>
      <w:bookmarkEnd w:id="0"/>
    </w:p>
    <w:p w:rsidR="003A33F9" w:rsidRPr="00FF27F0" w:rsidRDefault="003A33F9" w:rsidP="00FF27F0">
      <w:pPr>
        <w:spacing w:after="0" w:line="240" w:lineRule="auto"/>
        <w:ind w:left="2880" w:firstLine="720"/>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ABSTRACT</w:t>
      </w:r>
    </w:p>
    <w:p w:rsidR="004906AF" w:rsidRPr="00FF27F0" w:rsidRDefault="000D1A95" w:rsidP="00FF27F0">
      <w:pPr>
        <w:spacing w:before="100" w:beforeAutospacing="1" w:after="100" w:afterAutospacing="1"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Soil applied fertilizers are prone to environmental problems relating to leaching, </w:t>
      </w:r>
      <w:r w:rsidR="00B22F7E" w:rsidRPr="00FF27F0">
        <w:rPr>
          <w:rFonts w:ascii="Times New Roman" w:eastAsia="Times New Roman" w:hAnsi="Times New Roman" w:cs="Times New Roman"/>
          <w:sz w:val="24"/>
          <w:szCs w:val="24"/>
        </w:rPr>
        <w:t xml:space="preserve">excessive heat, slow nutrient release, volatilization, soil-borne diseases which </w:t>
      </w:r>
      <w:r w:rsidR="00ED5450" w:rsidRPr="00FF27F0">
        <w:rPr>
          <w:rFonts w:ascii="Times New Roman" w:eastAsia="Times New Roman" w:hAnsi="Times New Roman" w:cs="Times New Roman"/>
          <w:sz w:val="24"/>
          <w:szCs w:val="24"/>
        </w:rPr>
        <w:t xml:space="preserve">can </w:t>
      </w:r>
      <w:r w:rsidR="00B22F7E" w:rsidRPr="00FF27F0">
        <w:rPr>
          <w:rFonts w:ascii="Times New Roman" w:eastAsia="Times New Roman" w:hAnsi="Times New Roman" w:cs="Times New Roman"/>
          <w:sz w:val="24"/>
          <w:szCs w:val="24"/>
        </w:rPr>
        <w:t xml:space="preserve">lead to poor performance of the crop and </w:t>
      </w:r>
      <w:r w:rsidR="00ED5450" w:rsidRPr="00FF27F0">
        <w:rPr>
          <w:rFonts w:ascii="Times New Roman" w:eastAsia="Times New Roman" w:hAnsi="Times New Roman" w:cs="Times New Roman"/>
          <w:sz w:val="24"/>
          <w:szCs w:val="24"/>
        </w:rPr>
        <w:t xml:space="preserve">generally </w:t>
      </w:r>
      <w:r w:rsidR="00B22F7E" w:rsidRPr="00FF27F0">
        <w:rPr>
          <w:rFonts w:ascii="Times New Roman" w:eastAsia="Times New Roman" w:hAnsi="Times New Roman" w:cs="Times New Roman"/>
          <w:sz w:val="24"/>
          <w:szCs w:val="24"/>
        </w:rPr>
        <w:t xml:space="preserve">low quality produce. To prevent or remedy this problem, an alternative, ecologically friendly </w:t>
      </w:r>
      <w:r w:rsidR="00ED5450" w:rsidRPr="00FF27F0">
        <w:rPr>
          <w:rFonts w:ascii="Times New Roman" w:eastAsia="Times New Roman" w:hAnsi="Times New Roman" w:cs="Times New Roman"/>
          <w:sz w:val="24"/>
          <w:szCs w:val="24"/>
        </w:rPr>
        <w:t>organic foliar</w:t>
      </w:r>
      <w:r w:rsidRPr="00FF27F0">
        <w:rPr>
          <w:rFonts w:ascii="Times New Roman" w:eastAsia="Times New Roman" w:hAnsi="Times New Roman" w:cs="Times New Roman"/>
          <w:sz w:val="24"/>
          <w:szCs w:val="24"/>
        </w:rPr>
        <w:t xml:space="preserve"> application</w:t>
      </w:r>
      <w:r w:rsidR="00ED5450" w:rsidRPr="00FF27F0">
        <w:rPr>
          <w:rFonts w:ascii="Times New Roman" w:eastAsia="Times New Roman" w:hAnsi="Times New Roman" w:cs="Times New Roman"/>
          <w:sz w:val="24"/>
          <w:szCs w:val="24"/>
        </w:rPr>
        <w:t xml:space="preserve"> can be employed as it</w:t>
      </w:r>
      <w:r w:rsidRPr="00FF27F0">
        <w:rPr>
          <w:rFonts w:ascii="Times New Roman" w:eastAsia="Times New Roman" w:hAnsi="Times New Roman" w:cs="Times New Roman"/>
          <w:sz w:val="24"/>
          <w:szCs w:val="24"/>
        </w:rPr>
        <w:t xml:space="preserve"> has been shown to improve the overall quality of crops, includin</w:t>
      </w:r>
      <w:r w:rsidR="00ED5450" w:rsidRPr="00FF27F0">
        <w:rPr>
          <w:rFonts w:ascii="Times New Roman" w:eastAsia="Times New Roman" w:hAnsi="Times New Roman" w:cs="Times New Roman"/>
          <w:sz w:val="24"/>
          <w:szCs w:val="24"/>
        </w:rPr>
        <w:t xml:space="preserve">g factors like size, color, </w:t>
      </w:r>
      <w:r w:rsidRPr="00FF27F0">
        <w:rPr>
          <w:rFonts w:ascii="Times New Roman" w:eastAsia="Times New Roman" w:hAnsi="Times New Roman" w:cs="Times New Roman"/>
          <w:sz w:val="24"/>
          <w:szCs w:val="24"/>
        </w:rPr>
        <w:t>nutrient content</w:t>
      </w:r>
      <w:r w:rsidR="00ED5450" w:rsidRPr="00FF27F0">
        <w:rPr>
          <w:rFonts w:ascii="Times New Roman" w:eastAsia="Times New Roman" w:hAnsi="Times New Roman" w:cs="Times New Roman"/>
          <w:sz w:val="24"/>
          <w:szCs w:val="24"/>
        </w:rPr>
        <w:t xml:space="preserve">, proximate content in </w:t>
      </w:r>
      <w:r w:rsidRPr="00FF27F0">
        <w:rPr>
          <w:rFonts w:ascii="Times New Roman" w:eastAsia="Times New Roman" w:hAnsi="Times New Roman" w:cs="Times New Roman"/>
          <w:sz w:val="24"/>
          <w:szCs w:val="24"/>
        </w:rPr>
        <w:t>high-value crops such as tomatoes, grapes,</w:t>
      </w:r>
      <w:r w:rsidRPr="00FF27F0">
        <w:rPr>
          <w:rFonts w:ascii="Times New Roman" w:hAnsi="Times New Roman" w:cs="Times New Roman"/>
          <w:sz w:val="24"/>
          <w:szCs w:val="24"/>
        </w:rPr>
        <w:t xml:space="preserve"> </w:t>
      </w:r>
      <w:r w:rsidR="00ED5450" w:rsidRPr="00FF27F0">
        <w:rPr>
          <w:rFonts w:ascii="Times New Roman" w:hAnsi="Times New Roman" w:cs="Times New Roman"/>
          <w:sz w:val="24"/>
          <w:szCs w:val="24"/>
        </w:rPr>
        <w:t>etc.</w:t>
      </w:r>
      <w:r w:rsidR="007155DF" w:rsidRPr="00FF27F0">
        <w:rPr>
          <w:rFonts w:ascii="Times New Roman" w:hAnsi="Times New Roman" w:cs="Times New Roman"/>
          <w:sz w:val="24"/>
          <w:szCs w:val="24"/>
        </w:rPr>
        <w:t xml:space="preserve"> </w:t>
      </w:r>
      <w:r w:rsidR="003A33F9" w:rsidRPr="00FF27F0">
        <w:rPr>
          <w:rFonts w:ascii="Times New Roman" w:eastAsia="Times New Roman" w:hAnsi="Times New Roman" w:cs="Times New Roman"/>
          <w:sz w:val="24"/>
          <w:szCs w:val="24"/>
        </w:rPr>
        <w:t>The study</w:t>
      </w:r>
      <w:r w:rsidR="00DA21BF">
        <w:rPr>
          <w:rFonts w:ascii="Times New Roman" w:eastAsia="Times New Roman" w:hAnsi="Times New Roman" w:cs="Times New Roman"/>
          <w:sz w:val="24"/>
          <w:szCs w:val="24"/>
        </w:rPr>
        <w:t>, therefore,</w:t>
      </w:r>
      <w:r w:rsidR="003A33F9" w:rsidRPr="00FF27F0">
        <w:rPr>
          <w:rFonts w:ascii="Times New Roman" w:eastAsia="Times New Roman" w:hAnsi="Times New Roman" w:cs="Times New Roman"/>
          <w:sz w:val="24"/>
          <w:szCs w:val="24"/>
        </w:rPr>
        <w:t xml:space="preserve"> was conducted at the Teaching and Research Farm of Imo Sta</w:t>
      </w:r>
      <w:r w:rsidR="007155DF" w:rsidRPr="00FF27F0">
        <w:rPr>
          <w:rFonts w:ascii="Times New Roman" w:eastAsia="Times New Roman" w:hAnsi="Times New Roman" w:cs="Times New Roman"/>
          <w:sz w:val="24"/>
          <w:szCs w:val="24"/>
        </w:rPr>
        <w:t>te University Owerri</w:t>
      </w:r>
      <w:r w:rsidR="00055F98" w:rsidRPr="00FF27F0">
        <w:rPr>
          <w:rFonts w:ascii="Times New Roman" w:eastAsia="Times New Roman" w:hAnsi="Times New Roman" w:cs="Times New Roman"/>
          <w:sz w:val="24"/>
          <w:szCs w:val="24"/>
        </w:rPr>
        <w:t xml:space="preserve">, to evaluate the </w:t>
      </w:r>
      <w:r w:rsidR="00E10678">
        <w:rPr>
          <w:rFonts w:ascii="Times New Roman" w:eastAsia="Times New Roman" w:hAnsi="Times New Roman" w:cs="Times New Roman"/>
          <w:sz w:val="24"/>
          <w:szCs w:val="24"/>
        </w:rPr>
        <w:t>influence</w:t>
      </w:r>
      <w:r w:rsidR="003A33F9" w:rsidRPr="00FF27F0">
        <w:rPr>
          <w:rFonts w:ascii="Times New Roman" w:eastAsia="Times New Roman" w:hAnsi="Times New Roman" w:cs="Times New Roman"/>
          <w:sz w:val="24"/>
          <w:szCs w:val="24"/>
        </w:rPr>
        <w:t xml:space="preserve"> of Foliar P</w:t>
      </w:r>
      <w:r w:rsidR="00055F98" w:rsidRPr="00FF27F0">
        <w:rPr>
          <w:rFonts w:ascii="Times New Roman" w:eastAsia="Times New Roman" w:hAnsi="Times New Roman" w:cs="Times New Roman"/>
          <w:sz w:val="24"/>
          <w:szCs w:val="24"/>
        </w:rPr>
        <w:t xml:space="preserve">lus on the nutrient and proximate values </w:t>
      </w:r>
      <w:r w:rsidR="003A33F9" w:rsidRPr="00FF27F0">
        <w:rPr>
          <w:rFonts w:ascii="Times New Roman" w:eastAsia="Times New Roman" w:hAnsi="Times New Roman" w:cs="Times New Roman"/>
          <w:sz w:val="24"/>
          <w:szCs w:val="24"/>
        </w:rPr>
        <w:t>of Cucumber in Owerri. Experimental site (96m</w:t>
      </w:r>
      <w:r w:rsidR="003A33F9" w:rsidRPr="00FF27F0">
        <w:rPr>
          <w:rFonts w:ascii="Times New Roman" w:eastAsia="Times New Roman" w:hAnsi="Times New Roman" w:cs="Times New Roman"/>
          <w:sz w:val="24"/>
          <w:szCs w:val="24"/>
          <w:vertAlign w:val="superscript"/>
        </w:rPr>
        <w:t>2</w:t>
      </w:r>
      <w:r w:rsidR="003A33F9" w:rsidRPr="00FF27F0">
        <w:rPr>
          <w:rFonts w:ascii="Times New Roman" w:eastAsia="Times New Roman" w:hAnsi="Times New Roman" w:cs="Times New Roman"/>
          <w:sz w:val="24"/>
          <w:szCs w:val="24"/>
        </w:rPr>
        <w:t>) was prepared where cucumber seeds were planted. Randomized Complete Block Design (RCBD) was used with 3 replications. Foliar Plus (FP) was sprayed on the cucumber plant from 1week after planting (1WAP) with different doses (0ml[control], 120ml, 140ml and 160ml</w:t>
      </w:r>
      <w:r w:rsidR="004906AF" w:rsidRPr="00FF27F0">
        <w:rPr>
          <w:rFonts w:ascii="Times New Roman" w:eastAsia="Times New Roman" w:hAnsi="Times New Roman" w:cs="Times New Roman"/>
          <w:sz w:val="24"/>
          <w:szCs w:val="24"/>
        </w:rPr>
        <w:t>) each in 15L of water and coined</w:t>
      </w:r>
      <w:r w:rsidR="003A33F9" w:rsidRPr="00FF27F0">
        <w:rPr>
          <w:rFonts w:ascii="Times New Roman" w:eastAsia="Times New Roman" w:hAnsi="Times New Roman" w:cs="Times New Roman"/>
          <w:sz w:val="24"/>
          <w:szCs w:val="24"/>
        </w:rPr>
        <w:t xml:space="preserve"> as 0mlFP/15Lwater, 120mlFP/15Lwater, 140mlFP/15Lwater and</w:t>
      </w:r>
      <w:r w:rsidR="004906AF" w:rsidRPr="00FF27F0">
        <w:rPr>
          <w:rFonts w:ascii="Times New Roman" w:eastAsia="Times New Roman" w:hAnsi="Times New Roman" w:cs="Times New Roman"/>
          <w:sz w:val="24"/>
          <w:szCs w:val="24"/>
        </w:rPr>
        <w:t xml:space="preserve"> 160mlFP/15Lwater respectively. </w:t>
      </w:r>
      <w:r w:rsidR="003A33F9" w:rsidRPr="00FF27F0">
        <w:rPr>
          <w:rFonts w:ascii="Times New Roman" w:eastAsia="Times New Roman" w:hAnsi="Times New Roman" w:cs="Times New Roman"/>
          <w:sz w:val="24"/>
          <w:szCs w:val="24"/>
        </w:rPr>
        <w:t>Ev</w:t>
      </w:r>
      <w:r w:rsidR="00055F98" w:rsidRPr="00FF27F0">
        <w:rPr>
          <w:rFonts w:ascii="Times New Roman" w:eastAsia="Times New Roman" w:hAnsi="Times New Roman" w:cs="Times New Roman"/>
          <w:sz w:val="24"/>
          <w:szCs w:val="24"/>
        </w:rPr>
        <w:t>aluation</w:t>
      </w:r>
      <w:r w:rsidR="00450080">
        <w:rPr>
          <w:rFonts w:ascii="Times New Roman" w:eastAsia="Times New Roman" w:hAnsi="Times New Roman" w:cs="Times New Roman"/>
          <w:sz w:val="24"/>
          <w:szCs w:val="24"/>
        </w:rPr>
        <w:t>s</w:t>
      </w:r>
      <w:r w:rsidR="00055F98" w:rsidRPr="00FF27F0">
        <w:rPr>
          <w:rFonts w:ascii="Times New Roman" w:eastAsia="Times New Roman" w:hAnsi="Times New Roman" w:cs="Times New Roman"/>
          <w:sz w:val="24"/>
          <w:szCs w:val="24"/>
        </w:rPr>
        <w:t xml:space="preserve"> of nutrient components and proximate parameters of cucumber fruits</w:t>
      </w:r>
      <w:r w:rsidR="003A33F9" w:rsidRPr="00FF27F0">
        <w:rPr>
          <w:rFonts w:ascii="Times New Roman" w:eastAsia="Times New Roman" w:hAnsi="Times New Roman" w:cs="Times New Roman"/>
          <w:sz w:val="24"/>
          <w:szCs w:val="24"/>
        </w:rPr>
        <w:t xml:space="preserve"> were don</w:t>
      </w:r>
      <w:r w:rsidR="001B49B3" w:rsidRPr="00FF27F0">
        <w:rPr>
          <w:rFonts w:ascii="Times New Roman" w:eastAsia="Times New Roman" w:hAnsi="Times New Roman" w:cs="Times New Roman"/>
          <w:sz w:val="24"/>
          <w:szCs w:val="24"/>
        </w:rPr>
        <w:t xml:space="preserve">e at </w:t>
      </w:r>
      <w:r w:rsidR="00055F98" w:rsidRPr="00FF27F0">
        <w:rPr>
          <w:rFonts w:ascii="Times New Roman" w:eastAsia="Times New Roman" w:hAnsi="Times New Roman" w:cs="Times New Roman"/>
          <w:sz w:val="24"/>
          <w:szCs w:val="24"/>
        </w:rPr>
        <w:t>harvest</w:t>
      </w:r>
      <w:r w:rsidR="003A33F9" w:rsidRPr="00FF27F0">
        <w:rPr>
          <w:rFonts w:ascii="Times New Roman" w:eastAsia="Times New Roman" w:hAnsi="Times New Roman" w:cs="Times New Roman"/>
          <w:sz w:val="24"/>
          <w:szCs w:val="24"/>
        </w:rPr>
        <w:t>. Data collected were analyzed using Analysis of Variance (ANOVA) and means separation was done using Duncan New Multiple Range Test (DNMRT) at 5% level of probability. Results showed that the</w:t>
      </w:r>
      <w:r w:rsidR="004906AF" w:rsidRPr="00FF27F0">
        <w:rPr>
          <w:rFonts w:ascii="Times New Roman" w:eastAsia="Times New Roman" w:hAnsi="Times New Roman" w:cs="Times New Roman"/>
          <w:sz w:val="24"/>
          <w:szCs w:val="24"/>
        </w:rPr>
        <w:t xml:space="preserve"> Nutrient parameters were significantly influenced, as 120mlFP/15Lwater produced significant (p≤0.05) highest values in terms of K, Mg, P, PO</w:t>
      </w:r>
      <w:r w:rsidR="004906AF" w:rsidRPr="00FF27F0">
        <w:rPr>
          <w:rFonts w:ascii="Times New Roman" w:eastAsia="Times New Roman" w:hAnsi="Times New Roman" w:cs="Times New Roman"/>
          <w:sz w:val="24"/>
          <w:szCs w:val="24"/>
          <w:vertAlign w:val="superscript"/>
        </w:rPr>
        <w:t xml:space="preserve">-3 </w:t>
      </w:r>
      <w:r w:rsidR="004906AF" w:rsidRPr="00FF27F0">
        <w:rPr>
          <w:rFonts w:ascii="Times New Roman" w:eastAsia="Times New Roman" w:hAnsi="Times New Roman" w:cs="Times New Roman"/>
          <w:sz w:val="24"/>
          <w:szCs w:val="24"/>
        </w:rPr>
        <w:t>total chlorophyll components, whereas 160mlFP/15Lwater did the same on Ca. Though, 120mlFP/15LWater also showed statistical similarities with 160mlFP/15Lwater on P, and others on</w:t>
      </w:r>
      <w:r w:rsidR="001B49B3" w:rsidRPr="00FF27F0">
        <w:rPr>
          <w:rFonts w:ascii="Times New Roman" w:eastAsia="Times New Roman" w:hAnsi="Times New Roman" w:cs="Times New Roman"/>
          <w:sz w:val="24"/>
          <w:szCs w:val="24"/>
        </w:rPr>
        <w:t xml:space="preserve"> total chlorophyll (including a </w:t>
      </w:r>
      <w:r w:rsidR="00CA1BD8" w:rsidRPr="00FF27F0">
        <w:rPr>
          <w:rFonts w:ascii="Times New Roman" w:eastAsia="Times New Roman" w:hAnsi="Times New Roman" w:cs="Times New Roman"/>
          <w:sz w:val="24"/>
          <w:szCs w:val="24"/>
        </w:rPr>
        <w:t xml:space="preserve">and </w:t>
      </w:r>
      <w:r w:rsidR="004906AF" w:rsidRPr="00FF27F0">
        <w:rPr>
          <w:rFonts w:ascii="Times New Roman" w:eastAsia="Times New Roman" w:hAnsi="Times New Roman" w:cs="Times New Roman"/>
          <w:sz w:val="24"/>
          <w:szCs w:val="24"/>
        </w:rPr>
        <w:t>b)</w:t>
      </w:r>
      <w:r w:rsidR="003A33F9" w:rsidRPr="00FF27F0">
        <w:rPr>
          <w:rFonts w:ascii="Times New Roman" w:eastAsia="Times New Roman" w:hAnsi="Times New Roman" w:cs="Times New Roman"/>
          <w:sz w:val="24"/>
          <w:szCs w:val="24"/>
        </w:rPr>
        <w:t xml:space="preserve">. Proximate analysis of the cucumber showed that Foliar Plus had significant (p≤0.05) effect on all the parameters, except on ash and moisture contents. 120mlFP/15Lwater had the highest significant (p≤0.05) </w:t>
      </w:r>
      <w:r w:rsidR="004906AF" w:rsidRPr="00FF27F0">
        <w:rPr>
          <w:rFonts w:ascii="Times New Roman" w:eastAsia="Times New Roman" w:hAnsi="Times New Roman" w:cs="Times New Roman"/>
          <w:sz w:val="24"/>
          <w:szCs w:val="24"/>
        </w:rPr>
        <w:t>crud</w:t>
      </w:r>
      <w:r w:rsidR="00913FAE">
        <w:rPr>
          <w:rFonts w:ascii="Times New Roman" w:eastAsia="Times New Roman" w:hAnsi="Times New Roman" w:cs="Times New Roman"/>
          <w:sz w:val="24"/>
          <w:szCs w:val="24"/>
        </w:rPr>
        <w:t>e</w:t>
      </w:r>
      <w:r w:rsidR="004906AF" w:rsidRPr="00FF27F0">
        <w:rPr>
          <w:rFonts w:ascii="Times New Roman" w:eastAsia="Times New Roman" w:hAnsi="Times New Roman" w:cs="Times New Roman"/>
          <w:sz w:val="24"/>
          <w:szCs w:val="24"/>
        </w:rPr>
        <w:t xml:space="preserve"> </w:t>
      </w:r>
      <w:r w:rsidR="003A33F9" w:rsidRPr="00FF27F0">
        <w:rPr>
          <w:rFonts w:ascii="Times New Roman" w:eastAsia="Times New Roman" w:hAnsi="Times New Roman" w:cs="Times New Roman"/>
          <w:sz w:val="24"/>
          <w:szCs w:val="24"/>
        </w:rPr>
        <w:t>protein value (0.44%) than the rest of the treatments, and obtained significantly higher values than the control in terms of fat</w:t>
      </w:r>
      <w:r w:rsidR="000F06FF" w:rsidRPr="00FF27F0">
        <w:rPr>
          <w:rFonts w:ascii="Times New Roman" w:eastAsia="Times New Roman" w:hAnsi="Times New Roman" w:cs="Times New Roman"/>
          <w:sz w:val="24"/>
          <w:szCs w:val="24"/>
        </w:rPr>
        <w:t xml:space="preserve"> (</w:t>
      </w:r>
      <w:r w:rsidR="000F06FF" w:rsidRPr="00FF27F0">
        <w:rPr>
          <w:rFonts w:ascii="Times New Roman" w:hAnsi="Times New Roman" w:cs="Times New Roman"/>
          <w:sz w:val="24"/>
          <w:szCs w:val="24"/>
        </w:rPr>
        <w:t>0.09%)</w:t>
      </w:r>
      <w:r w:rsidR="003A33F9" w:rsidRPr="00FF27F0">
        <w:rPr>
          <w:rFonts w:ascii="Times New Roman" w:eastAsia="Times New Roman" w:hAnsi="Times New Roman" w:cs="Times New Roman"/>
          <w:sz w:val="24"/>
          <w:szCs w:val="24"/>
        </w:rPr>
        <w:t>, carbohydrate</w:t>
      </w:r>
      <w:r w:rsidR="000F06FF" w:rsidRPr="00FF27F0">
        <w:rPr>
          <w:rFonts w:ascii="Times New Roman" w:eastAsia="Times New Roman" w:hAnsi="Times New Roman" w:cs="Times New Roman"/>
          <w:sz w:val="24"/>
          <w:szCs w:val="24"/>
        </w:rPr>
        <w:t xml:space="preserve"> (</w:t>
      </w:r>
      <w:r w:rsidR="000F06FF" w:rsidRPr="00FF27F0">
        <w:rPr>
          <w:rFonts w:ascii="Times New Roman" w:hAnsi="Times New Roman" w:cs="Times New Roman"/>
          <w:sz w:val="24"/>
          <w:szCs w:val="24"/>
        </w:rPr>
        <w:t>3.76%)</w:t>
      </w:r>
      <w:r w:rsidR="003A33F9" w:rsidRPr="00FF27F0">
        <w:rPr>
          <w:rFonts w:ascii="Times New Roman" w:eastAsia="Times New Roman" w:hAnsi="Times New Roman" w:cs="Times New Roman"/>
          <w:sz w:val="24"/>
          <w:szCs w:val="24"/>
        </w:rPr>
        <w:t xml:space="preserve"> and energy contents</w:t>
      </w:r>
      <w:r w:rsidR="000F06FF" w:rsidRPr="00FF27F0">
        <w:rPr>
          <w:rFonts w:ascii="Times New Roman" w:eastAsia="Times New Roman" w:hAnsi="Times New Roman" w:cs="Times New Roman"/>
          <w:sz w:val="24"/>
          <w:szCs w:val="24"/>
        </w:rPr>
        <w:t xml:space="preserve"> (69.01</w:t>
      </w:r>
      <w:r w:rsidR="000F06FF" w:rsidRPr="00FF27F0">
        <w:rPr>
          <w:rFonts w:ascii="Times New Roman" w:hAnsi="Times New Roman" w:cs="Times New Roman"/>
          <w:sz w:val="24"/>
          <w:szCs w:val="24"/>
        </w:rPr>
        <w:t xml:space="preserve"> kJ/100g</w:t>
      </w:r>
      <w:r w:rsidR="000F06FF" w:rsidRPr="00FF27F0">
        <w:rPr>
          <w:rFonts w:ascii="Times New Roman" w:eastAsia="Times New Roman" w:hAnsi="Times New Roman" w:cs="Times New Roman"/>
          <w:sz w:val="24"/>
          <w:szCs w:val="24"/>
        </w:rPr>
        <w:t>)</w:t>
      </w:r>
      <w:r w:rsidR="003A33F9" w:rsidRPr="00FF27F0">
        <w:rPr>
          <w:rFonts w:ascii="Times New Roman" w:eastAsia="Times New Roman" w:hAnsi="Times New Roman" w:cs="Times New Roman"/>
          <w:sz w:val="24"/>
          <w:szCs w:val="24"/>
        </w:rPr>
        <w:t xml:space="preserve">. </w:t>
      </w:r>
      <w:r w:rsidR="004906AF" w:rsidRPr="00FF27F0">
        <w:rPr>
          <w:rFonts w:ascii="Times New Roman" w:eastAsia="Times New Roman" w:hAnsi="Times New Roman" w:cs="Times New Roman"/>
          <w:sz w:val="24"/>
          <w:szCs w:val="24"/>
        </w:rPr>
        <w:t>Hence, 120ml of Foliar Plus per 15L of water has been recommended as a more suitable dose for cucumber cultivation in Owerri than other doses of the treatment used in the research.</w:t>
      </w:r>
    </w:p>
    <w:p w:rsidR="003A33F9" w:rsidRPr="00FF27F0" w:rsidRDefault="003A33F9" w:rsidP="00FF27F0">
      <w:pPr>
        <w:spacing w:line="240" w:lineRule="auto"/>
        <w:jc w:val="both"/>
        <w:rPr>
          <w:rFonts w:ascii="Times New Roman" w:hAnsi="Times New Roman" w:cs="Times New Roman"/>
          <w:b/>
          <w:sz w:val="24"/>
          <w:szCs w:val="24"/>
        </w:rPr>
      </w:pPr>
    </w:p>
    <w:p w:rsidR="004906AF" w:rsidRPr="00FF27F0" w:rsidRDefault="004906AF" w:rsidP="00FF27F0">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KEY WORD</w:t>
      </w:r>
      <w:r w:rsidR="007D7EEB">
        <w:rPr>
          <w:rFonts w:ascii="Times New Roman" w:eastAsia="Times New Roman" w:hAnsi="Times New Roman" w:cs="Times New Roman"/>
          <w:sz w:val="24"/>
          <w:szCs w:val="24"/>
        </w:rPr>
        <w:t>S: Liquid O</w:t>
      </w:r>
      <w:r w:rsidRPr="00FF27F0">
        <w:rPr>
          <w:rFonts w:ascii="Times New Roman" w:eastAsia="Times New Roman" w:hAnsi="Times New Roman" w:cs="Times New Roman"/>
          <w:sz w:val="24"/>
          <w:szCs w:val="24"/>
        </w:rPr>
        <w:t>rganic Foliar fertilizer, Foliar Spray, Cucumber, Foliar Plus, nutrient and proximate</w:t>
      </w:r>
      <w:r w:rsidR="00901E15" w:rsidRPr="00FF27F0">
        <w:rPr>
          <w:rFonts w:ascii="Times New Roman" w:eastAsia="Times New Roman" w:hAnsi="Times New Roman" w:cs="Times New Roman"/>
          <w:sz w:val="24"/>
          <w:szCs w:val="24"/>
        </w:rPr>
        <w:t xml:space="preserve"> values</w:t>
      </w:r>
      <w:r w:rsidRPr="00FF27F0">
        <w:rPr>
          <w:rFonts w:ascii="Times New Roman" w:eastAsia="Times New Roman" w:hAnsi="Times New Roman" w:cs="Times New Roman"/>
          <w:sz w:val="24"/>
          <w:szCs w:val="24"/>
        </w:rPr>
        <w:t>.</w:t>
      </w:r>
    </w:p>
    <w:p w:rsidR="000162B3" w:rsidRDefault="000162B3" w:rsidP="00C34C5E">
      <w:pPr>
        <w:spacing w:line="240" w:lineRule="auto"/>
        <w:jc w:val="both"/>
        <w:rPr>
          <w:rFonts w:ascii="Times New Roman" w:hAnsi="Times New Roman" w:cs="Times New Roman"/>
          <w:b/>
          <w:sz w:val="24"/>
          <w:szCs w:val="24"/>
        </w:rPr>
      </w:pPr>
    </w:p>
    <w:p w:rsidR="003A33F9" w:rsidRPr="00FF27F0" w:rsidRDefault="003A33F9" w:rsidP="00FF27F0">
      <w:pPr>
        <w:spacing w:line="240" w:lineRule="auto"/>
        <w:ind w:left="2880" w:firstLine="720"/>
        <w:jc w:val="both"/>
        <w:rPr>
          <w:rFonts w:ascii="Times New Roman" w:hAnsi="Times New Roman" w:cs="Times New Roman"/>
          <w:b/>
          <w:sz w:val="24"/>
          <w:szCs w:val="24"/>
        </w:rPr>
      </w:pPr>
      <w:r w:rsidRPr="00FF27F0">
        <w:rPr>
          <w:rFonts w:ascii="Times New Roman" w:hAnsi="Times New Roman" w:cs="Times New Roman"/>
          <w:b/>
          <w:sz w:val="24"/>
          <w:szCs w:val="24"/>
        </w:rPr>
        <w:t>INTRODUCTION</w:t>
      </w:r>
    </w:p>
    <w:p w:rsidR="00ED5450" w:rsidRPr="00FF27F0" w:rsidRDefault="00FE4A2D" w:rsidP="00FF27F0">
      <w:pPr>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Cucumber (</w:t>
      </w:r>
      <w:r w:rsidRPr="00FF27F0">
        <w:rPr>
          <w:rFonts w:ascii="Times New Roman" w:hAnsi="Times New Roman" w:cs="Times New Roman"/>
          <w:i/>
          <w:sz w:val="24"/>
          <w:szCs w:val="24"/>
        </w:rPr>
        <w:t>Cucumis sativus L</w:t>
      </w:r>
      <w:r w:rsidR="00D01E5B" w:rsidRPr="00FF27F0">
        <w:rPr>
          <w:rFonts w:ascii="Times New Roman" w:hAnsi="Times New Roman" w:cs="Times New Roman"/>
          <w:sz w:val="24"/>
          <w:szCs w:val="24"/>
        </w:rPr>
        <w:t>.) is presently</w:t>
      </w:r>
      <w:r w:rsidRPr="00FF27F0">
        <w:rPr>
          <w:rFonts w:ascii="Times New Roman" w:hAnsi="Times New Roman" w:cs="Times New Roman"/>
          <w:sz w:val="24"/>
          <w:szCs w:val="24"/>
        </w:rPr>
        <w:t xml:space="preserve"> regarded as </w:t>
      </w:r>
      <w:r w:rsidR="00DF48CE" w:rsidRPr="00FF27F0">
        <w:rPr>
          <w:rFonts w:ascii="Times New Roman" w:hAnsi="Times New Roman" w:cs="Times New Roman"/>
          <w:sz w:val="24"/>
          <w:szCs w:val="24"/>
        </w:rPr>
        <w:t xml:space="preserve">one </w:t>
      </w:r>
      <w:r w:rsidRPr="00FF27F0">
        <w:rPr>
          <w:rFonts w:ascii="Times New Roman" w:hAnsi="Times New Roman" w:cs="Times New Roman"/>
          <w:sz w:val="24"/>
          <w:szCs w:val="24"/>
        </w:rPr>
        <w:t>of the most popular and profitable vegetable crops in the world</w:t>
      </w:r>
      <w:r w:rsidR="00755AF1" w:rsidRPr="00FF27F0">
        <w:rPr>
          <w:rFonts w:ascii="Times New Roman" w:hAnsi="Times New Roman" w:cs="Times New Roman"/>
          <w:sz w:val="24"/>
          <w:szCs w:val="24"/>
        </w:rPr>
        <w:t xml:space="preserve"> </w:t>
      </w:r>
      <w:r w:rsidRPr="00FF27F0">
        <w:rPr>
          <w:rFonts w:ascii="Times New Roman" w:hAnsi="Times New Roman" w:cs="Times New Roman"/>
          <w:sz w:val="24"/>
          <w:szCs w:val="24"/>
        </w:rPr>
        <w:t>(FAO, 2013), ranking fourth among vegetable crops</w:t>
      </w:r>
      <w:r w:rsidR="00755AF1" w:rsidRPr="00FF27F0">
        <w:rPr>
          <w:rFonts w:ascii="Times New Roman" w:hAnsi="Times New Roman" w:cs="Times New Roman"/>
          <w:sz w:val="24"/>
          <w:szCs w:val="24"/>
        </w:rPr>
        <w:t xml:space="preserve"> </w:t>
      </w:r>
      <w:r w:rsidR="00F42193" w:rsidRPr="00FF27F0">
        <w:rPr>
          <w:rFonts w:ascii="Times New Roman" w:hAnsi="Times New Roman" w:cs="Times New Roman"/>
          <w:sz w:val="24"/>
          <w:szCs w:val="24"/>
        </w:rPr>
        <w:t>after tomato</w:t>
      </w:r>
      <w:r w:rsidRPr="00FF27F0">
        <w:rPr>
          <w:rFonts w:ascii="Times New Roman" w:hAnsi="Times New Roman" w:cs="Times New Roman"/>
          <w:sz w:val="24"/>
          <w:szCs w:val="24"/>
        </w:rPr>
        <w:t>, cabbage and onions in Asia (Eifediyi &amp; Remison</w:t>
      </w:r>
      <w:r w:rsidR="00A31D37" w:rsidRPr="00FF27F0">
        <w:rPr>
          <w:rFonts w:ascii="Times New Roman" w:hAnsi="Times New Roman" w:cs="Times New Roman"/>
          <w:sz w:val="24"/>
          <w:szCs w:val="24"/>
        </w:rPr>
        <w:t>,</w:t>
      </w:r>
      <w:r w:rsidRPr="00FF27F0">
        <w:rPr>
          <w:rFonts w:ascii="Times New Roman" w:hAnsi="Times New Roman" w:cs="Times New Roman"/>
          <w:sz w:val="24"/>
          <w:szCs w:val="24"/>
        </w:rPr>
        <w:t xml:space="preserve"> 2010) and second after tomato</w:t>
      </w:r>
      <w:r w:rsidR="00755AF1" w:rsidRPr="00FF27F0">
        <w:rPr>
          <w:rFonts w:ascii="Times New Roman" w:hAnsi="Times New Roman" w:cs="Times New Roman"/>
          <w:sz w:val="24"/>
          <w:szCs w:val="24"/>
        </w:rPr>
        <w:t xml:space="preserve"> in Western Europe (Phu 1997). </w:t>
      </w:r>
    </w:p>
    <w:p w:rsidR="003D65DD" w:rsidRPr="00FF27F0" w:rsidRDefault="00DF48CE" w:rsidP="00FF27F0">
      <w:pPr>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 xml:space="preserve">Cucumber has attained a prominent </w:t>
      </w:r>
      <w:r w:rsidR="00F77321" w:rsidRPr="00FF27F0">
        <w:rPr>
          <w:rFonts w:ascii="Times New Roman" w:hAnsi="Times New Roman" w:cs="Times New Roman"/>
          <w:sz w:val="24"/>
          <w:szCs w:val="24"/>
        </w:rPr>
        <w:t>status</w:t>
      </w:r>
      <w:r w:rsidRPr="00FF27F0">
        <w:rPr>
          <w:rFonts w:ascii="Times New Roman" w:hAnsi="Times New Roman" w:cs="Times New Roman"/>
          <w:sz w:val="24"/>
          <w:szCs w:val="24"/>
        </w:rPr>
        <w:t xml:space="preserve"> in global agriculture principally because of </w:t>
      </w:r>
      <w:r w:rsidR="00C8725F" w:rsidRPr="00FF27F0">
        <w:rPr>
          <w:rFonts w:ascii="Times New Roman" w:hAnsi="Times New Roman" w:cs="Times New Roman"/>
          <w:sz w:val="24"/>
          <w:szCs w:val="24"/>
        </w:rPr>
        <w:t>its</w:t>
      </w:r>
      <w:r w:rsidRPr="00FF27F0">
        <w:rPr>
          <w:rFonts w:ascii="Times New Roman" w:hAnsi="Times New Roman" w:cs="Times New Roman"/>
          <w:sz w:val="24"/>
          <w:szCs w:val="24"/>
        </w:rPr>
        <w:t xml:space="preserve"> widespread consumption and significan</w:t>
      </w:r>
      <w:r w:rsidR="00F77321" w:rsidRPr="00FF27F0">
        <w:rPr>
          <w:rFonts w:ascii="Times New Roman" w:hAnsi="Times New Roman" w:cs="Times New Roman"/>
          <w:sz w:val="24"/>
          <w:szCs w:val="24"/>
        </w:rPr>
        <w:t>t economic value (Toman, 2020)</w:t>
      </w:r>
      <w:r w:rsidR="003D65DD" w:rsidRPr="00FF27F0">
        <w:rPr>
          <w:rFonts w:ascii="Times New Roman" w:hAnsi="Times New Roman" w:cs="Times New Roman"/>
          <w:sz w:val="24"/>
          <w:szCs w:val="24"/>
        </w:rPr>
        <w:t>. It is</w:t>
      </w:r>
      <w:r w:rsidRPr="00FF27F0">
        <w:rPr>
          <w:rFonts w:ascii="Times New Roman" w:hAnsi="Times New Roman" w:cs="Times New Roman"/>
          <w:sz w:val="24"/>
          <w:szCs w:val="24"/>
        </w:rPr>
        <w:t xml:space="preserve"> a staple</w:t>
      </w:r>
      <w:r w:rsidR="003D65DD" w:rsidRPr="00FF27F0">
        <w:rPr>
          <w:rFonts w:ascii="Times New Roman" w:hAnsi="Times New Roman" w:cs="Times New Roman"/>
          <w:sz w:val="24"/>
          <w:szCs w:val="24"/>
        </w:rPr>
        <w:t xml:space="preserve"> in many </w:t>
      </w:r>
      <w:r w:rsidR="003D65DD" w:rsidRPr="00FF27F0">
        <w:rPr>
          <w:rFonts w:ascii="Times New Roman" w:hAnsi="Times New Roman" w:cs="Times New Roman"/>
          <w:sz w:val="24"/>
          <w:szCs w:val="24"/>
        </w:rPr>
        <w:lastRenderedPageBreak/>
        <w:t>diets, valued for its</w:t>
      </w:r>
      <w:r w:rsidRPr="00FF27F0">
        <w:rPr>
          <w:rFonts w:ascii="Times New Roman" w:hAnsi="Times New Roman" w:cs="Times New Roman"/>
          <w:sz w:val="24"/>
          <w:szCs w:val="24"/>
        </w:rPr>
        <w:t xml:space="preserve"> hydrating properties, low</w:t>
      </w:r>
      <w:r w:rsidR="00580721" w:rsidRPr="00FF27F0">
        <w:rPr>
          <w:rFonts w:ascii="Times New Roman" w:hAnsi="Times New Roman" w:cs="Times New Roman"/>
          <w:sz w:val="24"/>
          <w:szCs w:val="24"/>
        </w:rPr>
        <w:t>-</w:t>
      </w:r>
      <w:r w:rsidRPr="00FF27F0">
        <w:rPr>
          <w:rFonts w:ascii="Times New Roman" w:hAnsi="Times New Roman" w:cs="Times New Roman"/>
          <w:sz w:val="24"/>
          <w:szCs w:val="24"/>
        </w:rPr>
        <w:t>calorie content, and essential nutrients such as vitamins</w:t>
      </w:r>
      <w:r w:rsidR="00F77321" w:rsidRPr="00FF27F0">
        <w:rPr>
          <w:rFonts w:ascii="Times New Roman" w:hAnsi="Times New Roman" w:cs="Times New Roman"/>
          <w:sz w:val="24"/>
          <w:szCs w:val="24"/>
        </w:rPr>
        <w:t xml:space="preserve"> A and C, potassium, and fiber (Bidein </w:t>
      </w:r>
      <w:r w:rsidR="00F77321" w:rsidRPr="00FF27F0">
        <w:rPr>
          <w:rFonts w:ascii="Times New Roman" w:hAnsi="Times New Roman" w:cs="Times New Roman"/>
          <w:i/>
          <w:sz w:val="24"/>
          <w:szCs w:val="24"/>
        </w:rPr>
        <w:t>et al</w:t>
      </w:r>
      <w:r w:rsidR="00F77321" w:rsidRPr="00FF27F0">
        <w:rPr>
          <w:rFonts w:ascii="Times New Roman" w:hAnsi="Times New Roman" w:cs="Times New Roman"/>
          <w:sz w:val="24"/>
          <w:szCs w:val="24"/>
        </w:rPr>
        <w:t>., 2016)</w:t>
      </w:r>
      <w:r w:rsidR="00076A8F" w:rsidRPr="00FF27F0">
        <w:rPr>
          <w:rFonts w:ascii="Times New Roman" w:hAnsi="Times New Roman" w:cs="Times New Roman"/>
          <w:sz w:val="24"/>
          <w:szCs w:val="24"/>
        </w:rPr>
        <w:t xml:space="preserve">. </w:t>
      </w:r>
      <w:r w:rsidR="00076A8F" w:rsidRPr="00FF27F0">
        <w:rPr>
          <w:rFonts w:ascii="Times New Roman" w:eastAsia="Times New Roman" w:hAnsi="Times New Roman" w:cs="Times New Roman"/>
          <w:sz w:val="24"/>
          <w:szCs w:val="24"/>
        </w:rPr>
        <w:t xml:space="preserve">Cucumber can be useful in regulating blood pressures because of its high potassium content (Kashif </w:t>
      </w:r>
      <w:r w:rsidR="00076A8F" w:rsidRPr="00FF27F0">
        <w:rPr>
          <w:rFonts w:ascii="Times New Roman" w:eastAsia="Times New Roman" w:hAnsi="Times New Roman" w:cs="Times New Roman"/>
          <w:i/>
          <w:sz w:val="24"/>
          <w:szCs w:val="24"/>
        </w:rPr>
        <w:t>et al.,</w:t>
      </w:r>
      <w:r w:rsidR="00076A8F" w:rsidRPr="00FF27F0">
        <w:rPr>
          <w:rFonts w:ascii="Times New Roman" w:eastAsia="Times New Roman" w:hAnsi="Times New Roman" w:cs="Times New Roman"/>
          <w:sz w:val="24"/>
          <w:szCs w:val="24"/>
        </w:rPr>
        <w:t xml:space="preserve"> 2008)</w:t>
      </w:r>
    </w:p>
    <w:p w:rsidR="00D74351" w:rsidRPr="00FF27F0" w:rsidRDefault="00C8725F" w:rsidP="00FF27F0">
      <w:pPr>
        <w:spacing w:line="240" w:lineRule="auto"/>
        <w:jc w:val="both"/>
        <w:rPr>
          <w:rFonts w:ascii="Times New Roman" w:eastAsia="Times New Roman" w:hAnsi="Times New Roman" w:cs="Times New Roman"/>
          <w:sz w:val="24"/>
          <w:szCs w:val="24"/>
        </w:rPr>
      </w:pPr>
      <w:r w:rsidRPr="00FF27F0">
        <w:rPr>
          <w:rFonts w:ascii="Times New Roman" w:hAnsi="Times New Roman" w:cs="Times New Roman"/>
          <w:sz w:val="24"/>
          <w:szCs w:val="24"/>
        </w:rPr>
        <w:t>Despite its huge</w:t>
      </w:r>
      <w:r w:rsidR="00D01E5B" w:rsidRPr="00FF27F0">
        <w:rPr>
          <w:rFonts w:ascii="Times New Roman" w:hAnsi="Times New Roman" w:cs="Times New Roman"/>
          <w:sz w:val="24"/>
          <w:szCs w:val="24"/>
        </w:rPr>
        <w:t xml:space="preserve"> importance, cucumber production faces substantial challenges, particularly from </w:t>
      </w:r>
      <w:r w:rsidR="00076A8F" w:rsidRPr="00FF27F0">
        <w:rPr>
          <w:rFonts w:ascii="Times New Roman" w:hAnsi="Times New Roman" w:cs="Times New Roman"/>
          <w:sz w:val="24"/>
          <w:szCs w:val="24"/>
        </w:rPr>
        <w:t xml:space="preserve">soil </w:t>
      </w:r>
      <w:r w:rsidR="00D01E5B" w:rsidRPr="00FF27F0">
        <w:rPr>
          <w:rFonts w:ascii="Times New Roman" w:hAnsi="Times New Roman" w:cs="Times New Roman"/>
          <w:sz w:val="24"/>
          <w:szCs w:val="24"/>
        </w:rPr>
        <w:t>enviro</w:t>
      </w:r>
      <w:r w:rsidR="00076A8F" w:rsidRPr="00FF27F0">
        <w:rPr>
          <w:rFonts w:ascii="Times New Roman" w:hAnsi="Times New Roman" w:cs="Times New Roman"/>
          <w:sz w:val="24"/>
          <w:szCs w:val="24"/>
        </w:rPr>
        <w:t>nmental factors</w:t>
      </w:r>
      <w:r w:rsidR="00B33C90" w:rsidRPr="00FF27F0">
        <w:rPr>
          <w:rFonts w:ascii="Times New Roman" w:hAnsi="Times New Roman" w:cs="Times New Roman"/>
          <w:sz w:val="24"/>
          <w:szCs w:val="24"/>
        </w:rPr>
        <w:t xml:space="preserve"> (Celestine, </w:t>
      </w:r>
      <w:r w:rsidR="00A31D37" w:rsidRPr="00FF27F0">
        <w:rPr>
          <w:rFonts w:ascii="Times New Roman" w:hAnsi="Times New Roman" w:cs="Times New Roman"/>
          <w:sz w:val="24"/>
          <w:szCs w:val="24"/>
        </w:rPr>
        <w:t>2015)</w:t>
      </w:r>
      <w:r w:rsidR="00D01E5B" w:rsidRPr="00FF27F0">
        <w:rPr>
          <w:rFonts w:ascii="Times New Roman" w:hAnsi="Times New Roman" w:cs="Times New Roman"/>
          <w:sz w:val="24"/>
          <w:szCs w:val="24"/>
        </w:rPr>
        <w:t>.</w:t>
      </w:r>
      <w:r w:rsidR="009461A8" w:rsidRPr="00FF27F0">
        <w:rPr>
          <w:rFonts w:ascii="Times New Roman" w:hAnsi="Times New Roman" w:cs="Times New Roman"/>
          <w:sz w:val="24"/>
          <w:szCs w:val="24"/>
        </w:rPr>
        <w:t xml:space="preserve"> </w:t>
      </w:r>
      <w:r w:rsidR="00422023" w:rsidRPr="00FF27F0">
        <w:rPr>
          <w:rFonts w:ascii="Times New Roman" w:hAnsi="Times New Roman" w:cs="Times New Roman"/>
          <w:sz w:val="24"/>
          <w:szCs w:val="24"/>
        </w:rPr>
        <w:t xml:space="preserve"> For instance, during plant growth period, s</w:t>
      </w:r>
      <w:r w:rsidR="009461A8" w:rsidRPr="00FF27F0">
        <w:rPr>
          <w:rFonts w:ascii="Times New Roman" w:hAnsi="Times New Roman" w:cs="Times New Roman"/>
          <w:sz w:val="24"/>
          <w:szCs w:val="24"/>
        </w:rPr>
        <w:t xml:space="preserve">oil nutrient absorption can be impeded </w:t>
      </w:r>
      <w:r w:rsidR="00422023" w:rsidRPr="00FF27F0">
        <w:rPr>
          <w:rFonts w:ascii="Times New Roman" w:hAnsi="Times New Roman" w:cs="Times New Roman"/>
          <w:sz w:val="24"/>
          <w:szCs w:val="24"/>
        </w:rPr>
        <w:t>due to heat stress, as</w:t>
      </w:r>
      <w:r w:rsidR="00D01E5B" w:rsidRPr="00FF27F0">
        <w:rPr>
          <w:rFonts w:ascii="Times New Roman" w:hAnsi="Times New Roman" w:cs="Times New Roman"/>
          <w:sz w:val="24"/>
          <w:szCs w:val="24"/>
        </w:rPr>
        <w:t xml:space="preserve"> </w:t>
      </w:r>
      <w:r w:rsidR="00422023" w:rsidRPr="00FF27F0">
        <w:rPr>
          <w:rFonts w:ascii="Times New Roman" w:hAnsi="Times New Roman" w:cs="Times New Roman"/>
          <w:sz w:val="24"/>
          <w:szCs w:val="24"/>
        </w:rPr>
        <w:t>high temperatures are known to</w:t>
      </w:r>
      <w:r w:rsidR="00D01E5B" w:rsidRPr="00FF27F0">
        <w:rPr>
          <w:rFonts w:ascii="Times New Roman" w:hAnsi="Times New Roman" w:cs="Times New Roman"/>
          <w:sz w:val="24"/>
          <w:szCs w:val="24"/>
        </w:rPr>
        <w:t xml:space="preserve"> severely impact</w:t>
      </w:r>
      <w:r w:rsidR="00422023" w:rsidRPr="00FF27F0">
        <w:rPr>
          <w:rFonts w:ascii="Times New Roman" w:hAnsi="Times New Roman" w:cs="Times New Roman"/>
          <w:sz w:val="24"/>
          <w:szCs w:val="24"/>
        </w:rPr>
        <w:t xml:space="preserve"> on </w:t>
      </w:r>
      <w:r w:rsidR="00D01E5B" w:rsidRPr="00FF27F0">
        <w:rPr>
          <w:rFonts w:ascii="Times New Roman" w:hAnsi="Times New Roman" w:cs="Times New Roman"/>
          <w:sz w:val="24"/>
          <w:szCs w:val="24"/>
        </w:rPr>
        <w:t>cucu</w:t>
      </w:r>
      <w:r w:rsidR="00795DFA">
        <w:rPr>
          <w:rFonts w:ascii="Times New Roman" w:hAnsi="Times New Roman" w:cs="Times New Roman"/>
          <w:sz w:val="24"/>
          <w:szCs w:val="24"/>
        </w:rPr>
        <w:t xml:space="preserve">mber plants, leading to reduced </w:t>
      </w:r>
      <w:r w:rsidR="00D01E5B" w:rsidRPr="00FF27F0">
        <w:rPr>
          <w:rFonts w:ascii="Times New Roman" w:hAnsi="Times New Roman" w:cs="Times New Roman"/>
          <w:sz w:val="24"/>
          <w:szCs w:val="24"/>
        </w:rPr>
        <w:t xml:space="preserve">growth rates, lower yields, and compromised fruit quality </w:t>
      </w:r>
      <w:r w:rsidR="00A31D37" w:rsidRPr="00FF27F0">
        <w:rPr>
          <w:rFonts w:ascii="Times New Roman" w:hAnsi="Times New Roman" w:cs="Times New Roman"/>
          <w:sz w:val="24"/>
          <w:szCs w:val="24"/>
        </w:rPr>
        <w:t>(Eifediyi et al., 2010)</w:t>
      </w:r>
      <w:r w:rsidR="00D01E5B" w:rsidRPr="00FF27F0">
        <w:rPr>
          <w:rFonts w:ascii="Times New Roman" w:hAnsi="Times New Roman" w:cs="Times New Roman"/>
          <w:sz w:val="24"/>
          <w:szCs w:val="24"/>
        </w:rPr>
        <w:t xml:space="preserve">. </w:t>
      </w:r>
      <w:r w:rsidR="000733C6" w:rsidRPr="00FF27F0">
        <w:rPr>
          <w:rFonts w:ascii="Times New Roman" w:hAnsi="Times New Roman" w:cs="Times New Roman"/>
          <w:sz w:val="24"/>
          <w:szCs w:val="24"/>
        </w:rPr>
        <w:t xml:space="preserve"> </w:t>
      </w:r>
      <w:r w:rsidR="00141BA1" w:rsidRPr="00FF27F0">
        <w:rPr>
          <w:rFonts w:ascii="Times New Roman" w:eastAsia="Times New Roman" w:hAnsi="Times New Roman" w:cs="Times New Roman"/>
          <w:sz w:val="24"/>
          <w:szCs w:val="24"/>
        </w:rPr>
        <w:t>As such,</w:t>
      </w:r>
      <w:r w:rsidR="00B74F51" w:rsidRPr="00FF27F0">
        <w:rPr>
          <w:rFonts w:ascii="Times New Roman" w:eastAsia="Times New Roman" w:hAnsi="Times New Roman" w:cs="Times New Roman"/>
          <w:sz w:val="24"/>
          <w:szCs w:val="24"/>
        </w:rPr>
        <w:t xml:space="preserve"> Nnadi et al (2025) opined that</w:t>
      </w:r>
      <w:r w:rsidR="00141BA1" w:rsidRPr="00FF27F0">
        <w:rPr>
          <w:rFonts w:ascii="Times New Roman" w:eastAsia="Times New Roman" w:hAnsi="Times New Roman" w:cs="Times New Roman"/>
          <w:sz w:val="24"/>
          <w:szCs w:val="24"/>
        </w:rPr>
        <w:t xml:space="preserve"> soil nutrient management has been a major component of cultural practices improvement for most crops, and </w:t>
      </w:r>
      <w:r w:rsidR="00802296" w:rsidRPr="00FF27F0">
        <w:rPr>
          <w:rFonts w:ascii="Times New Roman" w:eastAsia="Times New Roman" w:hAnsi="Times New Roman" w:cs="Times New Roman"/>
          <w:sz w:val="24"/>
          <w:szCs w:val="24"/>
        </w:rPr>
        <w:t xml:space="preserve">since frequent cultivation has characterized </w:t>
      </w:r>
      <w:r w:rsidR="00141BA1" w:rsidRPr="00FF27F0">
        <w:rPr>
          <w:rFonts w:ascii="Times New Roman" w:eastAsia="Times New Roman" w:hAnsi="Times New Roman" w:cs="Times New Roman"/>
          <w:sz w:val="24"/>
          <w:szCs w:val="24"/>
        </w:rPr>
        <w:t>most arable lands of Southeast of Nigeri</w:t>
      </w:r>
      <w:r w:rsidR="00802296" w:rsidRPr="00FF27F0">
        <w:rPr>
          <w:rFonts w:ascii="Times New Roman" w:eastAsia="Times New Roman" w:hAnsi="Times New Roman" w:cs="Times New Roman"/>
          <w:sz w:val="24"/>
          <w:szCs w:val="24"/>
        </w:rPr>
        <w:t>a</w:t>
      </w:r>
      <w:r w:rsidR="00141BA1" w:rsidRPr="00FF27F0">
        <w:rPr>
          <w:rFonts w:ascii="Times New Roman" w:eastAsia="Times New Roman" w:hAnsi="Times New Roman" w:cs="Times New Roman"/>
          <w:sz w:val="24"/>
          <w:szCs w:val="24"/>
        </w:rPr>
        <w:t>, supplemental fertil</w:t>
      </w:r>
      <w:r w:rsidR="00B74F51" w:rsidRPr="00FF27F0">
        <w:rPr>
          <w:rFonts w:ascii="Times New Roman" w:eastAsia="Times New Roman" w:hAnsi="Times New Roman" w:cs="Times New Roman"/>
          <w:sz w:val="24"/>
          <w:szCs w:val="24"/>
        </w:rPr>
        <w:t xml:space="preserve">izer application is necessary. </w:t>
      </w:r>
      <w:r w:rsidR="00141BA1" w:rsidRPr="00FF27F0">
        <w:rPr>
          <w:rFonts w:ascii="Times New Roman" w:eastAsia="Times New Roman" w:hAnsi="Times New Roman" w:cs="Times New Roman"/>
          <w:sz w:val="24"/>
          <w:szCs w:val="24"/>
        </w:rPr>
        <w:t>However, Mudita et al. (2014) found that soil-applied fertilizers are susceptible to leaching, fixation, or volatilization. In addition to heavy metal contaminants in agricultural soil, it has been reported once more that cow dung, poultry waste, and compost are potential safe havens for pathogenic organisms (Heinoneu- Tanski et al., 2006). According to Moreno-Caselles et al. (2002), this means that the benefits outweigh the issues because these microbes can cause diseases in both animals and plants.</w:t>
      </w:r>
      <w:r w:rsidR="00D74351" w:rsidRPr="00FF27F0">
        <w:rPr>
          <w:rFonts w:ascii="Times New Roman" w:hAnsi="Times New Roman" w:cs="Times New Roman"/>
          <w:sz w:val="24"/>
          <w:szCs w:val="24"/>
        </w:rPr>
        <w:t xml:space="preserve"> Most of physiological abnormalities in plants might be as </w:t>
      </w:r>
      <w:r w:rsidR="007902DB" w:rsidRPr="00FF27F0">
        <w:rPr>
          <w:rFonts w:ascii="Times New Roman" w:hAnsi="Times New Roman" w:cs="Times New Roman"/>
          <w:sz w:val="24"/>
          <w:szCs w:val="24"/>
        </w:rPr>
        <w:t xml:space="preserve">a </w:t>
      </w:r>
      <w:r w:rsidR="00D74351" w:rsidRPr="00FF27F0">
        <w:rPr>
          <w:rFonts w:ascii="Times New Roman" w:hAnsi="Times New Roman" w:cs="Times New Roman"/>
          <w:sz w:val="24"/>
          <w:szCs w:val="24"/>
        </w:rPr>
        <w:t>result severe symptoms of viruses, jeopardizing agricultural production and productivity (Khalid et al., 2025). It is difficult to employ chemical means in handling plant illnesses caused by fungi, bacteria, nematodes, and other microbes</w:t>
      </w:r>
      <w:r w:rsidR="008B7D3C" w:rsidRPr="00FF27F0">
        <w:rPr>
          <w:rFonts w:ascii="Times New Roman" w:hAnsi="Times New Roman" w:cs="Times New Roman"/>
          <w:sz w:val="24"/>
          <w:szCs w:val="24"/>
        </w:rPr>
        <w:t>. Also, due to the magnitude of the economic loss, the costs of managing the sickness, and the advent of new or evolved virus infections, Khalid et al. (2025)</w:t>
      </w:r>
      <w:r w:rsidR="00D74351" w:rsidRPr="00FF27F0">
        <w:rPr>
          <w:rFonts w:ascii="Times New Roman" w:hAnsi="Times New Roman" w:cs="Times New Roman"/>
          <w:sz w:val="24"/>
          <w:szCs w:val="24"/>
        </w:rPr>
        <w:t xml:space="preserve"> </w:t>
      </w:r>
      <w:r w:rsidR="008B7D3C" w:rsidRPr="00FF27F0">
        <w:rPr>
          <w:rFonts w:ascii="Times New Roman" w:hAnsi="Times New Roman" w:cs="Times New Roman"/>
          <w:sz w:val="24"/>
          <w:szCs w:val="24"/>
        </w:rPr>
        <w:t xml:space="preserve">stated that </w:t>
      </w:r>
      <w:r w:rsidR="00D74351" w:rsidRPr="00FF27F0">
        <w:rPr>
          <w:rFonts w:ascii="Times New Roman" w:hAnsi="Times New Roman" w:cs="Times New Roman"/>
          <w:sz w:val="24"/>
          <w:szCs w:val="24"/>
        </w:rPr>
        <w:t xml:space="preserve">viral illnesses are a significant factor that should </w:t>
      </w:r>
      <w:r w:rsidR="008B7D3C" w:rsidRPr="00FF27F0">
        <w:rPr>
          <w:rFonts w:ascii="Times New Roman" w:hAnsi="Times New Roman" w:cs="Times New Roman"/>
          <w:sz w:val="24"/>
          <w:szCs w:val="24"/>
        </w:rPr>
        <w:t>be treated seriously.</w:t>
      </w:r>
    </w:p>
    <w:p w:rsidR="005712AF" w:rsidRPr="00FF27F0" w:rsidRDefault="00141BA1"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There is also the problem of low nutrient content, slow nutrient release and an uncontrollable decomposition rate of solid organic fertilizers as a result of changes in soil moisture,</w:t>
      </w:r>
      <w:r w:rsidR="007902DB" w:rsidRPr="00FF27F0">
        <w:rPr>
          <w:rFonts w:ascii="Times New Roman" w:eastAsia="Times New Roman" w:hAnsi="Times New Roman" w:cs="Times New Roman"/>
          <w:sz w:val="24"/>
          <w:szCs w:val="24"/>
        </w:rPr>
        <w:t xml:space="preserve"> temperature and biodiversity. </w:t>
      </w:r>
      <w:r w:rsidRPr="00FF27F0">
        <w:rPr>
          <w:rFonts w:ascii="Times New Roman" w:eastAsia="Times New Roman" w:hAnsi="Times New Roman" w:cs="Times New Roman"/>
          <w:sz w:val="24"/>
          <w:szCs w:val="24"/>
        </w:rPr>
        <w:t>This has also made it increasingly uneconomical for growing plants that require urgent and substantial</w:t>
      </w:r>
      <w:r w:rsidR="00450080">
        <w:rPr>
          <w:rFonts w:ascii="Times New Roman" w:eastAsia="Times New Roman" w:hAnsi="Times New Roman" w:cs="Times New Roman"/>
          <w:sz w:val="24"/>
          <w:szCs w:val="24"/>
        </w:rPr>
        <w:t xml:space="preserve"> nutrient (Pang and Letey, 2000; Nnadi et al., </w:t>
      </w:r>
      <w:r w:rsidR="007902DB" w:rsidRPr="00FF27F0">
        <w:rPr>
          <w:rFonts w:ascii="Times New Roman" w:eastAsia="Times New Roman" w:hAnsi="Times New Roman" w:cs="Times New Roman"/>
          <w:sz w:val="24"/>
          <w:szCs w:val="24"/>
        </w:rPr>
        <w:t>2025)</w:t>
      </w:r>
    </w:p>
    <w:p w:rsidR="00C95E71" w:rsidRPr="00FF27F0" w:rsidRDefault="005712A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Therefore, </w:t>
      </w:r>
      <w:r w:rsidRPr="00FF27F0">
        <w:rPr>
          <w:rFonts w:ascii="Times New Roman" w:hAnsi="Times New Roman" w:cs="Times New Roman"/>
          <w:sz w:val="24"/>
          <w:szCs w:val="24"/>
        </w:rPr>
        <w:t xml:space="preserve">effective management strategies are needed to ensure that crop varieties can reach their full potential even under stress conditions and give high quality products (Nwogbaga and Iwuagwu, 2015). One such strategy is </w:t>
      </w:r>
      <w:r w:rsidR="00D46AF3" w:rsidRPr="00FF27F0">
        <w:rPr>
          <w:rFonts w:ascii="Times New Roman" w:hAnsi="Times New Roman" w:cs="Times New Roman"/>
          <w:sz w:val="24"/>
          <w:szCs w:val="24"/>
        </w:rPr>
        <w:t xml:space="preserve">organic </w:t>
      </w:r>
      <w:r w:rsidRPr="00FF27F0">
        <w:rPr>
          <w:rFonts w:ascii="Times New Roman" w:hAnsi="Times New Roman" w:cs="Times New Roman"/>
          <w:sz w:val="24"/>
          <w:szCs w:val="24"/>
        </w:rPr>
        <w:t>foliar fertilization; an agronomic practice that involves the direct application of nutrients to plant</w:t>
      </w:r>
      <w:r w:rsidR="00B33C90" w:rsidRPr="00FF27F0">
        <w:rPr>
          <w:rFonts w:ascii="Times New Roman" w:hAnsi="Times New Roman" w:cs="Times New Roman"/>
          <w:sz w:val="24"/>
          <w:szCs w:val="24"/>
        </w:rPr>
        <w:t xml:space="preserve"> leaves (</w:t>
      </w:r>
      <w:r w:rsidR="00B33C90" w:rsidRPr="00FF27F0">
        <w:rPr>
          <w:rFonts w:ascii="Times New Roman" w:eastAsia="Times New Roman" w:hAnsi="Times New Roman" w:cs="Times New Roman"/>
          <w:sz w:val="24"/>
          <w:szCs w:val="24"/>
        </w:rPr>
        <w:t>Patil and Chetan, 2018)</w:t>
      </w:r>
      <w:r w:rsidRPr="00FF27F0">
        <w:rPr>
          <w:rFonts w:ascii="Times New Roman" w:hAnsi="Times New Roman" w:cs="Times New Roman"/>
          <w:sz w:val="24"/>
          <w:szCs w:val="24"/>
        </w:rPr>
        <w:t xml:space="preserve">. </w:t>
      </w:r>
      <w:r w:rsidRPr="004D7713">
        <w:rPr>
          <w:rFonts w:ascii="Times New Roman" w:hAnsi="Times New Roman" w:cs="Times New Roman"/>
          <w:sz w:val="24"/>
          <w:szCs w:val="24"/>
        </w:rPr>
        <w:t xml:space="preserve">This method gives room for the quick absorption of essential nutrients, which can enhance plant growth, improve stress tolerance, and boost overall </w:t>
      </w:r>
      <w:r w:rsidR="00253553" w:rsidRPr="004D7713">
        <w:rPr>
          <w:rFonts w:ascii="Times New Roman" w:hAnsi="Times New Roman" w:cs="Times New Roman"/>
          <w:sz w:val="24"/>
          <w:szCs w:val="24"/>
        </w:rPr>
        <w:t>productivity (Ibrahim and Abo El-Maati 2016; Santos and Lima, 2017; Clement and Moya</w:t>
      </w:r>
      <w:r w:rsidRPr="004D7713">
        <w:rPr>
          <w:rFonts w:ascii="Times New Roman" w:hAnsi="Times New Roman" w:cs="Times New Roman"/>
          <w:sz w:val="24"/>
          <w:szCs w:val="24"/>
        </w:rPr>
        <w:t>,</w:t>
      </w:r>
      <w:r w:rsidR="00253553" w:rsidRPr="004D7713">
        <w:rPr>
          <w:rFonts w:ascii="Times New Roman" w:hAnsi="Times New Roman" w:cs="Times New Roman"/>
          <w:sz w:val="24"/>
          <w:szCs w:val="24"/>
        </w:rPr>
        <w:t xml:space="preserve"> 2019</w:t>
      </w:r>
      <w:r w:rsidR="00253553" w:rsidRPr="00FF27F0">
        <w:rPr>
          <w:rFonts w:ascii="Times New Roman" w:hAnsi="Times New Roman" w:cs="Times New Roman"/>
          <w:sz w:val="24"/>
          <w:szCs w:val="24"/>
        </w:rPr>
        <w:t>)</w:t>
      </w:r>
      <w:r w:rsidRPr="00FF27F0">
        <w:rPr>
          <w:rFonts w:ascii="Times New Roman" w:hAnsi="Times New Roman" w:cs="Times New Roman"/>
          <w:sz w:val="24"/>
          <w:szCs w:val="24"/>
        </w:rPr>
        <w:t xml:space="preserve">. </w:t>
      </w:r>
      <w:r w:rsidR="00D46AF3" w:rsidRPr="00FF27F0">
        <w:rPr>
          <w:rFonts w:ascii="Times New Roman" w:hAnsi="Times New Roman" w:cs="Times New Roman"/>
          <w:sz w:val="24"/>
          <w:szCs w:val="24"/>
        </w:rPr>
        <w:t xml:space="preserve">More importantly, </w:t>
      </w:r>
      <w:r w:rsidR="00D46AF3" w:rsidRPr="00FF27F0">
        <w:rPr>
          <w:rFonts w:ascii="Times New Roman" w:eastAsia="Times New Roman" w:hAnsi="Times New Roman" w:cs="Times New Roman"/>
          <w:sz w:val="24"/>
          <w:szCs w:val="24"/>
        </w:rPr>
        <w:t xml:space="preserve">Organic liquid fertilizers have been shown to have effect on nutrient contents of some crops. For example, Dunsin and Caleb (2016) reported that liquid bio-fertilizer (Alpha Life) applied at 2ml bio-fertilizer per 18ml of water brought about improvement in the minerals composition of okra fruit in Iron by 0.02, Calcium 6.8, Magnesium 5.6, and </w:t>
      </w:r>
      <w:r w:rsidR="00CA39B7">
        <w:rPr>
          <w:rFonts w:ascii="Times New Roman" w:eastAsia="Times New Roman" w:hAnsi="Times New Roman" w:cs="Times New Roman"/>
          <w:sz w:val="24"/>
          <w:szCs w:val="24"/>
        </w:rPr>
        <w:t xml:space="preserve">Potassium 27, respectively. </w:t>
      </w:r>
      <w:r w:rsidR="00D46AF3" w:rsidRPr="00FF27F0">
        <w:rPr>
          <w:rFonts w:ascii="Times New Roman" w:eastAsia="Times New Roman" w:hAnsi="Times New Roman" w:cs="Times New Roman"/>
          <w:sz w:val="24"/>
          <w:szCs w:val="24"/>
        </w:rPr>
        <w:t xml:space="preserve"> Pise and Sabale (2010) conducted a study to investigate the effect of seaweed liquid fertilizer (extracts) on growth and biochemical constituents of fenugreek (</w:t>
      </w:r>
      <w:r w:rsidR="00D46AF3" w:rsidRPr="00FF27F0">
        <w:rPr>
          <w:rFonts w:ascii="Times New Roman" w:eastAsia="Times New Roman" w:hAnsi="Times New Roman" w:cs="Times New Roman"/>
          <w:i/>
          <w:sz w:val="24"/>
          <w:szCs w:val="24"/>
        </w:rPr>
        <w:t>Trigonella foenum-graecum l.</w:t>
      </w:r>
      <w:r w:rsidR="00D46AF3" w:rsidRPr="00FF27F0">
        <w:rPr>
          <w:rFonts w:ascii="Times New Roman" w:eastAsia="Times New Roman" w:hAnsi="Times New Roman" w:cs="Times New Roman"/>
          <w:sz w:val="24"/>
          <w:szCs w:val="24"/>
        </w:rPr>
        <w:t>), the result showed the highest values of total chlorophyll content, carotenoid, protein content of leaves, amino acid content of leaves, total carbohydrate content of leaves, total polyphenol content of leaves, total nitrogen content in leaves and total ash content of leaves were recorded at 50% sea weed (</w:t>
      </w:r>
      <w:r w:rsidR="00D46AF3" w:rsidRPr="00FF27F0">
        <w:rPr>
          <w:rFonts w:ascii="Times New Roman" w:eastAsia="Times New Roman" w:hAnsi="Times New Roman" w:cs="Times New Roman"/>
          <w:i/>
          <w:sz w:val="24"/>
          <w:szCs w:val="24"/>
        </w:rPr>
        <w:t>S. illicifolium</w:t>
      </w:r>
      <w:r w:rsidR="00D46AF3" w:rsidRPr="00FF27F0">
        <w:rPr>
          <w:rFonts w:ascii="Times New Roman" w:eastAsia="Times New Roman" w:hAnsi="Times New Roman" w:cs="Times New Roman"/>
          <w:sz w:val="24"/>
          <w:szCs w:val="24"/>
        </w:rPr>
        <w:t>) extract applied seedlings, higher than 10% and 25% concentration levels (Pise and Sabale, 2010).</w:t>
      </w:r>
      <w:r w:rsidR="00C95E71" w:rsidRPr="00FF27F0">
        <w:rPr>
          <w:rFonts w:ascii="Times New Roman" w:eastAsia="Times New Roman" w:hAnsi="Times New Roman" w:cs="Times New Roman"/>
          <w:sz w:val="24"/>
          <w:szCs w:val="24"/>
        </w:rPr>
        <w:t xml:space="preserve"> </w:t>
      </w:r>
    </w:p>
    <w:p w:rsidR="00D46AF3" w:rsidRPr="00FF27F0" w:rsidRDefault="00C95E71"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Again</w:t>
      </w:r>
      <w:r w:rsidR="00D46AF3" w:rsidRPr="00FF27F0">
        <w:rPr>
          <w:rFonts w:ascii="Times New Roman" w:eastAsia="Times New Roman" w:hAnsi="Times New Roman" w:cs="Times New Roman"/>
          <w:sz w:val="24"/>
          <w:szCs w:val="24"/>
        </w:rPr>
        <w:t xml:space="preserve">, in tomato plant, effects of different levels of chitosan application on biochemical parameters such as nitrate reductase (NR) activity and total sugar content in leaves were </w:t>
      </w:r>
      <w:r w:rsidR="00D46AF3" w:rsidRPr="00FF27F0">
        <w:rPr>
          <w:rFonts w:ascii="Times New Roman" w:eastAsia="Times New Roman" w:hAnsi="Times New Roman" w:cs="Times New Roman"/>
          <w:sz w:val="24"/>
          <w:szCs w:val="24"/>
        </w:rPr>
        <w:lastRenderedPageBreak/>
        <w:t>significant, as results revealed that all the nutrient parameters increased with increasing concentration of chitosan till 75 mg L</w:t>
      </w:r>
      <w:r w:rsidR="00D46AF3" w:rsidRPr="00FF27F0">
        <w:rPr>
          <w:rFonts w:ascii="Times New Roman" w:eastAsia="Times New Roman" w:hAnsi="Times New Roman" w:cs="Times New Roman"/>
          <w:sz w:val="24"/>
          <w:szCs w:val="24"/>
          <w:vertAlign w:val="superscript"/>
        </w:rPr>
        <w:t>-1</w:t>
      </w:r>
      <w:r w:rsidR="00D46AF3" w:rsidRPr="00FF27F0">
        <w:rPr>
          <w:rFonts w:ascii="Times New Roman" w:eastAsia="Times New Roman" w:hAnsi="Times New Roman" w:cs="Times New Roman"/>
          <w:sz w:val="24"/>
          <w:szCs w:val="24"/>
        </w:rPr>
        <w:t xml:space="preserve"> followed by a decline (Mondal </w:t>
      </w:r>
      <w:r w:rsidR="00D46AF3" w:rsidRPr="00FF27F0">
        <w:rPr>
          <w:rFonts w:ascii="Times New Roman" w:eastAsia="Times New Roman" w:hAnsi="Times New Roman" w:cs="Times New Roman"/>
          <w:i/>
          <w:sz w:val="24"/>
          <w:szCs w:val="24"/>
        </w:rPr>
        <w:t>et al.,</w:t>
      </w:r>
      <w:r w:rsidR="00D46AF3" w:rsidRPr="00FF27F0">
        <w:rPr>
          <w:rFonts w:ascii="Times New Roman" w:eastAsia="Times New Roman" w:hAnsi="Times New Roman" w:cs="Times New Roman"/>
          <w:sz w:val="24"/>
          <w:szCs w:val="24"/>
        </w:rPr>
        <w:t xml:space="preserve"> 2016).</w:t>
      </w:r>
    </w:p>
    <w:p w:rsidR="005448BB" w:rsidRPr="00FF27F0" w:rsidRDefault="00902CA7" w:rsidP="00FF27F0">
      <w:pPr>
        <w:spacing w:before="100" w:beforeAutospacing="1" w:after="100" w:afterAutospacing="1"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Foliar application has been shown to improve the overall quality of crops, including factors like size, color, and nutrient content. Studies have demonstrated that foliar fertilization can lead to increased particularly in high-value crops such as tomatoes, grapes, and apples (Mengel et al., 2001). Additionally, foliar treatments can help optimize plant growth during the flowering and fruit-setting stages, ultimately resulting in higher-quality produce.</w:t>
      </w:r>
      <w:r w:rsidR="005448BB" w:rsidRPr="00FF27F0">
        <w:rPr>
          <w:rFonts w:ascii="Times New Roman" w:eastAsia="Times New Roman" w:hAnsi="Times New Roman" w:cs="Times New Roman"/>
          <w:sz w:val="24"/>
          <w:szCs w:val="24"/>
        </w:rPr>
        <w:t xml:space="preserve"> </w:t>
      </w:r>
      <w:r w:rsidR="005448BB" w:rsidRPr="00FF27F0">
        <w:rPr>
          <w:rFonts w:ascii="Times New Roman" w:hAnsi="Times New Roman" w:cs="Times New Roman"/>
          <w:sz w:val="24"/>
          <w:szCs w:val="24"/>
        </w:rPr>
        <w:t>It has also been discovered that using of foliar feeding during growth and development can improve the nutrient balance ultimately leading to increased yield and quality (Kolota and Osińska 2001)</w:t>
      </w:r>
    </w:p>
    <w:p w:rsidR="00D46AF3" w:rsidRPr="00FF27F0" w:rsidRDefault="00C95E71"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Studies have also shown that proximate contents of crop are influenced by organic foliar fertilization. For instance, according to Dunsin and Caleb (2016), treatment application with 0.5ml bio-fertilizer (Alpha Life) per 18ml of water had the highest ash and fat content (by 7.37 and 1.24 respectively ) in okra fruit while treatment application at 2ml bio-fertilizer per 18ml of water performed the best in Crude fiber content compared with the control. Similarly, in trials associated with foliar organic fertilizer in form of liquid seaweed extracts </w:t>
      </w:r>
      <w:r w:rsidR="00446B1E">
        <w:rPr>
          <w:rFonts w:ascii="Times New Roman" w:eastAsia="Times New Roman" w:hAnsi="Times New Roman" w:cs="Times New Roman"/>
          <w:sz w:val="24"/>
          <w:szCs w:val="24"/>
        </w:rPr>
        <w:t xml:space="preserve">(SLE), conducted by researchers, </w:t>
      </w:r>
      <w:r w:rsidRPr="00FF27F0">
        <w:rPr>
          <w:rFonts w:ascii="Times New Roman" w:eastAsia="Times New Roman" w:hAnsi="Times New Roman" w:cs="Times New Roman"/>
          <w:sz w:val="24"/>
          <w:szCs w:val="24"/>
        </w:rPr>
        <w:t xml:space="preserve">Arthur,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(2003) and Zodape,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(2008), on peppers, and Zodape,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(2010), on mung beans, it was evident that the application of seaweed extract significantly improved pepper nutritional levels such as protein and carbohydrates of seeds.</w:t>
      </w:r>
    </w:p>
    <w:p w:rsidR="0027263E" w:rsidRPr="00FF27F0" w:rsidRDefault="005712AF" w:rsidP="00FF27F0">
      <w:pPr>
        <w:spacing w:line="240" w:lineRule="auto"/>
        <w:jc w:val="both"/>
        <w:rPr>
          <w:rFonts w:ascii="Times New Roman" w:eastAsia="Times New Roman" w:hAnsi="Times New Roman" w:cs="Times New Roman"/>
          <w:sz w:val="24"/>
          <w:szCs w:val="24"/>
        </w:rPr>
      </w:pPr>
      <w:r w:rsidRPr="00FF27F0">
        <w:rPr>
          <w:rFonts w:ascii="Times New Roman" w:hAnsi="Times New Roman" w:cs="Times New Roman"/>
          <w:sz w:val="24"/>
          <w:szCs w:val="24"/>
        </w:rPr>
        <w:t>Foliar fertilizers are particularly beneficial in conditions where root absorption is compromised, such as</w:t>
      </w:r>
      <w:r w:rsidR="00CD5018" w:rsidRPr="00FF27F0">
        <w:rPr>
          <w:rFonts w:ascii="Times New Roman" w:hAnsi="Times New Roman" w:cs="Times New Roman"/>
          <w:sz w:val="24"/>
          <w:szCs w:val="24"/>
        </w:rPr>
        <w:t xml:space="preserve"> in heat stressed environments </w:t>
      </w:r>
      <w:r w:rsidR="00CD5018" w:rsidRPr="004D7713">
        <w:rPr>
          <w:rFonts w:ascii="Times New Roman" w:hAnsi="Times New Roman" w:cs="Times New Roman"/>
          <w:color w:val="000000" w:themeColor="text1"/>
          <w:sz w:val="24"/>
          <w:szCs w:val="24"/>
        </w:rPr>
        <w:t>(</w:t>
      </w:r>
      <w:r w:rsidR="00CD5018" w:rsidRPr="004D7713">
        <w:rPr>
          <w:rFonts w:ascii="Times New Roman" w:eastAsia="Times New Roman" w:hAnsi="Times New Roman" w:cs="Times New Roman"/>
          <w:color w:val="000000" w:themeColor="text1"/>
          <w:sz w:val="24"/>
          <w:szCs w:val="24"/>
        </w:rPr>
        <w:t>Silverbush, 2002)</w:t>
      </w:r>
      <w:r w:rsidRPr="00FF27F0">
        <w:rPr>
          <w:rFonts w:ascii="Times New Roman" w:hAnsi="Times New Roman" w:cs="Times New Roman"/>
          <w:sz w:val="24"/>
          <w:szCs w:val="24"/>
        </w:rPr>
        <w:t>.</w:t>
      </w:r>
      <w:r w:rsidR="0027263E" w:rsidRPr="00FF27F0">
        <w:rPr>
          <w:rFonts w:ascii="Times New Roman" w:hAnsi="Times New Roman" w:cs="Times New Roman"/>
          <w:sz w:val="24"/>
          <w:szCs w:val="24"/>
        </w:rPr>
        <w:t xml:space="preserve"> </w:t>
      </w:r>
      <w:r w:rsidR="0027263E" w:rsidRPr="00FF27F0">
        <w:rPr>
          <w:rFonts w:ascii="Times New Roman" w:eastAsia="Times New Roman" w:hAnsi="Times New Roman" w:cs="Times New Roman"/>
          <w:sz w:val="24"/>
          <w:szCs w:val="24"/>
        </w:rPr>
        <w:t xml:space="preserve">Foliar applied fertilizer gives speedier reaction and are more powerful for certain supplements than soil or ground applied fertilizer (Jamal </w:t>
      </w:r>
      <w:r w:rsidR="0027263E" w:rsidRPr="00FF27F0">
        <w:rPr>
          <w:rFonts w:ascii="Times New Roman" w:eastAsia="Times New Roman" w:hAnsi="Times New Roman" w:cs="Times New Roman"/>
          <w:i/>
          <w:sz w:val="24"/>
          <w:szCs w:val="24"/>
        </w:rPr>
        <w:t xml:space="preserve">et al., </w:t>
      </w:r>
      <w:r w:rsidR="0027263E" w:rsidRPr="00FF27F0">
        <w:rPr>
          <w:rFonts w:ascii="Times New Roman" w:eastAsia="Times New Roman" w:hAnsi="Times New Roman" w:cs="Times New Roman"/>
          <w:sz w:val="24"/>
          <w:szCs w:val="24"/>
        </w:rPr>
        <w:t xml:space="preserve">2006). </w:t>
      </w:r>
      <w:r w:rsidR="00EE4B8C" w:rsidRPr="00FF27F0">
        <w:rPr>
          <w:rFonts w:ascii="Times New Roman" w:eastAsia="Times New Roman" w:hAnsi="Times New Roman" w:cs="Times New Roman"/>
          <w:sz w:val="24"/>
          <w:szCs w:val="24"/>
        </w:rPr>
        <w:t>Regardless of soil condition foliar nutrition helps in</w:t>
      </w:r>
      <w:r w:rsidR="00014E51" w:rsidRPr="00FF27F0">
        <w:rPr>
          <w:rFonts w:ascii="Times New Roman" w:eastAsia="Times New Roman" w:hAnsi="Times New Roman" w:cs="Times New Roman"/>
          <w:sz w:val="24"/>
          <w:szCs w:val="24"/>
        </w:rPr>
        <w:t xml:space="preserve"> rapid and effective absorption</w:t>
      </w:r>
      <w:r w:rsidR="00C4565E" w:rsidRPr="00FF27F0">
        <w:rPr>
          <w:rFonts w:ascii="Times New Roman" w:eastAsia="Times New Roman" w:hAnsi="Times New Roman" w:cs="Times New Roman"/>
          <w:sz w:val="24"/>
          <w:szCs w:val="24"/>
        </w:rPr>
        <w:t xml:space="preserve"> </w:t>
      </w:r>
      <w:r w:rsidR="00EE4B8C" w:rsidRPr="00FF27F0">
        <w:rPr>
          <w:rFonts w:ascii="Times New Roman" w:eastAsia="Times New Roman" w:hAnsi="Times New Roman" w:cs="Times New Roman"/>
          <w:sz w:val="24"/>
          <w:szCs w:val="24"/>
        </w:rPr>
        <w:t>of nutrients and also stimulates the capability of roots to absorb nutrients from soil, ensuring improved nutrient balance in crop</w:t>
      </w:r>
      <w:r w:rsidR="00B03B8A" w:rsidRPr="00FF27F0">
        <w:rPr>
          <w:rFonts w:ascii="Times New Roman" w:eastAsia="Times New Roman" w:hAnsi="Times New Roman" w:cs="Times New Roman"/>
          <w:sz w:val="24"/>
          <w:szCs w:val="24"/>
        </w:rPr>
        <w:t xml:space="preserve"> (Kannan, 2010)</w:t>
      </w:r>
      <w:r w:rsidR="00EE4B8C" w:rsidRPr="00FF27F0">
        <w:rPr>
          <w:rFonts w:ascii="Times New Roman" w:eastAsia="Times New Roman" w:hAnsi="Times New Roman" w:cs="Times New Roman"/>
          <w:sz w:val="24"/>
          <w:szCs w:val="24"/>
        </w:rPr>
        <w:t xml:space="preserve">. </w:t>
      </w:r>
      <w:r w:rsidR="0027263E" w:rsidRPr="00FF27F0">
        <w:rPr>
          <w:rFonts w:ascii="Times New Roman" w:eastAsia="Times New Roman" w:hAnsi="Times New Roman" w:cs="Times New Roman"/>
          <w:sz w:val="24"/>
          <w:szCs w:val="24"/>
        </w:rPr>
        <w:t>Meanwhile, foliar feeding has been used as a means of supplying supplemental doses of minor and major nutrients, plant hormones, stimulants and other beneficial substances (Kuepper, 2003).</w:t>
      </w:r>
      <w:r w:rsidR="00EE4B8C" w:rsidRPr="00FF27F0">
        <w:rPr>
          <w:rFonts w:ascii="Times New Roman" w:eastAsia="Times New Roman" w:hAnsi="Times New Roman" w:cs="Times New Roman"/>
          <w:sz w:val="24"/>
          <w:szCs w:val="24"/>
        </w:rPr>
        <w:t xml:space="preserve"> </w:t>
      </w:r>
      <w:r w:rsidR="0027263E" w:rsidRPr="00FF27F0">
        <w:rPr>
          <w:rFonts w:ascii="Times New Roman" w:eastAsia="Times New Roman" w:hAnsi="Times New Roman" w:cs="Times New Roman"/>
          <w:sz w:val="24"/>
          <w:szCs w:val="24"/>
        </w:rPr>
        <w:t xml:space="preserve"> </w:t>
      </w:r>
    </w:p>
    <w:p w:rsidR="00BC1B19" w:rsidRPr="00FF27F0" w:rsidRDefault="00F64CCF" w:rsidP="00FF27F0">
      <w:pPr>
        <w:spacing w:line="240" w:lineRule="auto"/>
        <w:jc w:val="both"/>
        <w:rPr>
          <w:rFonts w:ascii="Times New Roman" w:hAnsi="Times New Roman" w:cs="Times New Roman"/>
          <w:color w:val="000000" w:themeColor="text1"/>
          <w:sz w:val="24"/>
          <w:szCs w:val="24"/>
        </w:rPr>
      </w:pPr>
      <w:r w:rsidRPr="00FF27F0">
        <w:rPr>
          <w:rFonts w:ascii="Times New Roman" w:eastAsia="Times New Roman" w:hAnsi="Times New Roman" w:cs="Times New Roman"/>
          <w:sz w:val="24"/>
          <w:szCs w:val="24"/>
        </w:rPr>
        <w:t>One of such foliar fertilizers is Foliar Plus, a liquid organic foliar fertilizer of premium seaweed extract reinforced with essential micronutrient and macronutrients for plants</w:t>
      </w:r>
      <w:r w:rsidR="007902DB" w:rsidRPr="00FF27F0">
        <w:rPr>
          <w:rFonts w:ascii="Times New Roman" w:eastAsia="Times New Roman" w:hAnsi="Times New Roman" w:cs="Times New Roman"/>
          <w:sz w:val="24"/>
          <w:szCs w:val="24"/>
        </w:rPr>
        <w:t xml:space="preserve"> (Nnadi et al., 2025)</w:t>
      </w:r>
      <w:r w:rsidRPr="00FF27F0">
        <w:rPr>
          <w:rFonts w:ascii="Times New Roman" w:eastAsia="Times New Roman" w:hAnsi="Times New Roman" w:cs="Times New Roman"/>
          <w:sz w:val="24"/>
          <w:szCs w:val="24"/>
        </w:rPr>
        <w:t xml:space="preserve">. It is useful for improvements of yield and quality in many crops including vegetables, maize, sorghum, lawns, tree and tuber crops (CANDEL, 2020). Seaweed extract is widely used as an organic product and is a growth promoter for containing organic acid and amino acid, </w:t>
      </w:r>
      <w:r w:rsidR="00C95E71" w:rsidRPr="00FF27F0">
        <w:rPr>
          <w:rFonts w:ascii="Times New Roman" w:eastAsia="Times New Roman" w:hAnsi="Times New Roman" w:cs="Times New Roman"/>
          <w:sz w:val="24"/>
          <w:szCs w:val="24"/>
        </w:rPr>
        <w:t>hormones</w:t>
      </w:r>
      <w:r w:rsidRPr="00FF27F0">
        <w:rPr>
          <w:rFonts w:ascii="Times New Roman" w:eastAsia="Times New Roman" w:hAnsi="Times New Roman" w:cs="Times New Roman"/>
          <w:sz w:val="24"/>
          <w:szCs w:val="24"/>
        </w:rPr>
        <w:t xml:space="preserve">, vitamins, minerals and others (Sangha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2014). It improves vegetative growth and </w:t>
      </w:r>
      <w:r w:rsidR="000B2913" w:rsidRPr="00FF27F0">
        <w:rPr>
          <w:rFonts w:ascii="Times New Roman" w:eastAsia="Times New Roman" w:hAnsi="Times New Roman" w:cs="Times New Roman"/>
          <w:sz w:val="24"/>
          <w:szCs w:val="24"/>
        </w:rPr>
        <w:t>is environmentally</w:t>
      </w:r>
      <w:r w:rsidRPr="00FF27F0">
        <w:rPr>
          <w:rFonts w:ascii="Times New Roman" w:eastAsia="Times New Roman" w:hAnsi="Times New Roman" w:cs="Times New Roman"/>
          <w:sz w:val="24"/>
          <w:szCs w:val="24"/>
        </w:rPr>
        <w:t xml:space="preserve"> friendly and does not cause environmental damage (Battacharyya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2015).</w:t>
      </w:r>
      <w:r w:rsidR="0027263E" w:rsidRPr="00FF27F0">
        <w:rPr>
          <w:rFonts w:ascii="Times New Roman" w:eastAsia="Times New Roman" w:hAnsi="Times New Roman" w:cs="Times New Roman"/>
          <w:sz w:val="24"/>
          <w:szCs w:val="24"/>
        </w:rPr>
        <w:t xml:space="preserve"> </w:t>
      </w:r>
      <w:r w:rsidR="00D01E5B" w:rsidRPr="00FF27F0">
        <w:rPr>
          <w:rFonts w:ascii="Times New Roman" w:hAnsi="Times New Roman" w:cs="Times New Roman"/>
          <w:sz w:val="24"/>
          <w:szCs w:val="24"/>
        </w:rPr>
        <w:t>Despite the</w:t>
      </w:r>
      <w:r w:rsidR="008A5D08" w:rsidRPr="00FF27F0">
        <w:rPr>
          <w:rFonts w:ascii="Times New Roman" w:hAnsi="Times New Roman" w:cs="Times New Roman"/>
          <w:sz w:val="24"/>
          <w:szCs w:val="24"/>
        </w:rPr>
        <w:t>se</w:t>
      </w:r>
      <w:r w:rsidR="00D01E5B" w:rsidRPr="00FF27F0">
        <w:rPr>
          <w:rFonts w:ascii="Times New Roman" w:hAnsi="Times New Roman" w:cs="Times New Roman"/>
          <w:sz w:val="24"/>
          <w:szCs w:val="24"/>
        </w:rPr>
        <w:t xml:space="preserve"> recognized advantages of foliar fertilization</w:t>
      </w:r>
      <w:r w:rsidR="0027263E" w:rsidRPr="00FF27F0">
        <w:rPr>
          <w:rFonts w:ascii="Times New Roman" w:hAnsi="Times New Roman" w:cs="Times New Roman"/>
          <w:sz w:val="24"/>
          <w:szCs w:val="24"/>
        </w:rPr>
        <w:t xml:space="preserve"> and particularly, Foliar Plus</w:t>
      </w:r>
      <w:r w:rsidR="00D01E5B" w:rsidRPr="00FF27F0">
        <w:rPr>
          <w:rFonts w:ascii="Times New Roman" w:hAnsi="Times New Roman" w:cs="Times New Roman"/>
          <w:sz w:val="24"/>
          <w:szCs w:val="24"/>
        </w:rPr>
        <w:t>, there is</w:t>
      </w:r>
      <w:r w:rsidR="008A5D08" w:rsidRPr="00FF27F0">
        <w:rPr>
          <w:rFonts w:ascii="Times New Roman" w:hAnsi="Times New Roman" w:cs="Times New Roman"/>
          <w:sz w:val="24"/>
          <w:szCs w:val="24"/>
        </w:rPr>
        <w:t xml:space="preserve"> still</w:t>
      </w:r>
      <w:r w:rsidR="00D01E5B" w:rsidRPr="00FF27F0">
        <w:rPr>
          <w:rFonts w:ascii="Times New Roman" w:hAnsi="Times New Roman" w:cs="Times New Roman"/>
          <w:sz w:val="24"/>
          <w:szCs w:val="24"/>
        </w:rPr>
        <w:t xml:space="preserve"> a lack of detailed studies on i</w:t>
      </w:r>
      <w:r w:rsidR="00D01E5B" w:rsidRPr="00FF27F0">
        <w:rPr>
          <w:rFonts w:ascii="Times New Roman" w:hAnsi="Times New Roman" w:cs="Times New Roman"/>
          <w:color w:val="000000" w:themeColor="text1"/>
          <w:sz w:val="24"/>
          <w:szCs w:val="24"/>
        </w:rPr>
        <w:t>ts</w:t>
      </w:r>
      <w:r w:rsidR="0027263E" w:rsidRPr="00FF27F0">
        <w:rPr>
          <w:rFonts w:ascii="Times New Roman" w:hAnsi="Times New Roman" w:cs="Times New Roman"/>
          <w:color w:val="000000" w:themeColor="text1"/>
          <w:sz w:val="24"/>
          <w:szCs w:val="24"/>
        </w:rPr>
        <w:t xml:space="preserve"> specific effects </w:t>
      </w:r>
      <w:r w:rsidR="00CD77EE" w:rsidRPr="00FF27F0">
        <w:rPr>
          <w:rFonts w:ascii="Times New Roman" w:hAnsi="Times New Roman" w:cs="Times New Roman"/>
          <w:color w:val="000000" w:themeColor="text1"/>
          <w:sz w:val="24"/>
          <w:szCs w:val="24"/>
        </w:rPr>
        <w:t xml:space="preserve">on the </w:t>
      </w:r>
      <w:r w:rsidR="00473CBB" w:rsidRPr="00FF27F0">
        <w:rPr>
          <w:rFonts w:ascii="Times New Roman" w:hAnsi="Times New Roman" w:cs="Times New Roman"/>
          <w:color w:val="000000" w:themeColor="text1"/>
          <w:sz w:val="24"/>
          <w:szCs w:val="24"/>
        </w:rPr>
        <w:t>nutritional quality and</w:t>
      </w:r>
      <w:r w:rsidR="00CD77EE" w:rsidRPr="00FF27F0">
        <w:rPr>
          <w:rFonts w:ascii="Times New Roman" w:hAnsi="Times New Roman" w:cs="Times New Roman"/>
          <w:color w:val="000000" w:themeColor="text1"/>
          <w:sz w:val="24"/>
          <w:szCs w:val="24"/>
        </w:rPr>
        <w:t xml:space="preserve"> </w:t>
      </w:r>
      <w:r w:rsidR="0027263E" w:rsidRPr="00FF27F0">
        <w:rPr>
          <w:rFonts w:ascii="Times New Roman" w:hAnsi="Times New Roman" w:cs="Times New Roman"/>
          <w:color w:val="000000" w:themeColor="text1"/>
          <w:sz w:val="24"/>
          <w:szCs w:val="24"/>
        </w:rPr>
        <w:t xml:space="preserve">components of </w:t>
      </w:r>
      <w:r w:rsidR="00662656">
        <w:rPr>
          <w:rFonts w:ascii="Times New Roman" w:hAnsi="Times New Roman" w:cs="Times New Roman"/>
          <w:color w:val="000000" w:themeColor="text1"/>
          <w:sz w:val="24"/>
          <w:szCs w:val="24"/>
        </w:rPr>
        <w:t xml:space="preserve">crops like </w:t>
      </w:r>
      <w:r w:rsidR="0027263E" w:rsidRPr="00FF27F0">
        <w:rPr>
          <w:rFonts w:ascii="Times New Roman" w:hAnsi="Times New Roman" w:cs="Times New Roman"/>
          <w:color w:val="000000" w:themeColor="text1"/>
          <w:sz w:val="24"/>
          <w:szCs w:val="24"/>
        </w:rPr>
        <w:t>cucumber.</w:t>
      </w:r>
      <w:r w:rsidR="00473CBB" w:rsidRPr="00FF27F0">
        <w:rPr>
          <w:rFonts w:ascii="Times New Roman" w:hAnsi="Times New Roman" w:cs="Times New Roman"/>
          <w:color w:val="000000" w:themeColor="text1"/>
          <w:sz w:val="24"/>
          <w:szCs w:val="24"/>
        </w:rPr>
        <w:t xml:space="preserve"> Hence the research sought to </w:t>
      </w:r>
      <w:r w:rsidR="006F257C">
        <w:rPr>
          <w:rFonts w:ascii="Times New Roman" w:hAnsi="Times New Roman" w:cs="Times New Roman"/>
          <w:color w:val="000000" w:themeColor="text1"/>
          <w:sz w:val="24"/>
          <w:szCs w:val="24"/>
        </w:rPr>
        <w:t>evaluate</w:t>
      </w:r>
      <w:r w:rsidR="00473CBB" w:rsidRPr="00FF27F0">
        <w:rPr>
          <w:rFonts w:ascii="Times New Roman" w:hAnsi="Times New Roman" w:cs="Times New Roman"/>
          <w:color w:val="000000" w:themeColor="text1"/>
          <w:sz w:val="24"/>
          <w:szCs w:val="24"/>
        </w:rPr>
        <w:t xml:space="preserve"> the </w:t>
      </w:r>
      <w:r w:rsidR="006F257C">
        <w:rPr>
          <w:rFonts w:ascii="Times New Roman" w:hAnsi="Times New Roman" w:cs="Times New Roman"/>
          <w:color w:val="000000" w:themeColor="text1"/>
          <w:sz w:val="24"/>
          <w:szCs w:val="24"/>
        </w:rPr>
        <w:t>influence</w:t>
      </w:r>
      <w:r w:rsidR="00BC1B19" w:rsidRPr="00FF27F0">
        <w:rPr>
          <w:rFonts w:ascii="Times New Roman" w:hAnsi="Times New Roman" w:cs="Times New Roman"/>
          <w:color w:val="000000" w:themeColor="text1"/>
          <w:sz w:val="24"/>
          <w:szCs w:val="24"/>
        </w:rPr>
        <w:t xml:space="preserve"> of Foliar Plus on the nutrient and proximate components of cucumber grown in Owerri</w:t>
      </w:r>
      <w:r w:rsidR="002805FE" w:rsidRPr="00FF27F0">
        <w:rPr>
          <w:rFonts w:ascii="Times New Roman" w:hAnsi="Times New Roman" w:cs="Times New Roman"/>
          <w:color w:val="000000" w:themeColor="text1"/>
          <w:sz w:val="24"/>
          <w:szCs w:val="24"/>
        </w:rPr>
        <w:t xml:space="preserve"> South-east of Nigeria</w:t>
      </w:r>
      <w:r w:rsidR="00BC1B19" w:rsidRPr="00FF27F0">
        <w:rPr>
          <w:rFonts w:ascii="Times New Roman" w:hAnsi="Times New Roman" w:cs="Times New Roman"/>
          <w:color w:val="000000" w:themeColor="text1"/>
          <w:sz w:val="24"/>
          <w:szCs w:val="24"/>
        </w:rPr>
        <w:t>. Specific objectives were to:</w:t>
      </w:r>
    </w:p>
    <w:p w:rsidR="00BC1B19" w:rsidRPr="00FF27F0" w:rsidRDefault="00BC1B19" w:rsidP="00FF27F0">
      <w:pPr>
        <w:pStyle w:val="ListParagraph"/>
        <w:numPr>
          <w:ilvl w:val="0"/>
          <w:numId w:val="1"/>
        </w:numPr>
        <w:spacing w:line="240" w:lineRule="auto"/>
        <w:jc w:val="both"/>
        <w:rPr>
          <w:rFonts w:ascii="Times New Roman" w:hAnsi="Times New Roman" w:cs="Times New Roman"/>
          <w:color w:val="000000" w:themeColor="text1"/>
          <w:sz w:val="24"/>
          <w:szCs w:val="24"/>
        </w:rPr>
      </w:pPr>
      <w:r w:rsidRPr="00FF27F0">
        <w:rPr>
          <w:rFonts w:ascii="Times New Roman" w:hAnsi="Times New Roman" w:cs="Times New Roman"/>
          <w:color w:val="000000" w:themeColor="text1"/>
          <w:sz w:val="24"/>
          <w:szCs w:val="24"/>
        </w:rPr>
        <w:t>Determine the effect of Foliar Plus on the nutrient content of cucumber</w:t>
      </w:r>
    </w:p>
    <w:p w:rsidR="00BC1B19" w:rsidRPr="00FF27F0" w:rsidRDefault="002805FE" w:rsidP="00FF27F0">
      <w:pPr>
        <w:pStyle w:val="ListParagraph"/>
        <w:numPr>
          <w:ilvl w:val="0"/>
          <w:numId w:val="1"/>
        </w:numPr>
        <w:spacing w:line="240" w:lineRule="auto"/>
        <w:jc w:val="both"/>
        <w:rPr>
          <w:rFonts w:ascii="Times New Roman" w:hAnsi="Times New Roman" w:cs="Times New Roman"/>
          <w:color w:val="000000" w:themeColor="text1"/>
          <w:sz w:val="24"/>
          <w:szCs w:val="24"/>
        </w:rPr>
      </w:pPr>
      <w:r w:rsidRPr="00FF27F0">
        <w:rPr>
          <w:rFonts w:ascii="Times New Roman" w:hAnsi="Times New Roman" w:cs="Times New Roman"/>
          <w:color w:val="000000" w:themeColor="text1"/>
          <w:sz w:val="24"/>
          <w:szCs w:val="24"/>
        </w:rPr>
        <w:t>Analyze</w:t>
      </w:r>
      <w:r w:rsidR="00BC1B19" w:rsidRPr="00FF27F0">
        <w:rPr>
          <w:rFonts w:ascii="Times New Roman" w:hAnsi="Times New Roman" w:cs="Times New Roman"/>
          <w:color w:val="000000" w:themeColor="text1"/>
          <w:sz w:val="24"/>
          <w:szCs w:val="24"/>
        </w:rPr>
        <w:t xml:space="preserve"> the impact of Foliar Plus on the proximate components</w:t>
      </w:r>
      <w:r w:rsidRPr="00FF27F0">
        <w:rPr>
          <w:rFonts w:ascii="Times New Roman" w:hAnsi="Times New Roman" w:cs="Times New Roman"/>
          <w:color w:val="000000" w:themeColor="text1"/>
          <w:sz w:val="24"/>
          <w:szCs w:val="24"/>
        </w:rPr>
        <w:t xml:space="preserve"> of cucumber</w:t>
      </w:r>
    </w:p>
    <w:p w:rsidR="00CC3F6F" w:rsidRPr="00FF27F0" w:rsidRDefault="002805FE" w:rsidP="00FF27F0">
      <w:pPr>
        <w:pStyle w:val="ListParagraph"/>
        <w:numPr>
          <w:ilvl w:val="0"/>
          <w:numId w:val="1"/>
        </w:numPr>
        <w:spacing w:line="240" w:lineRule="auto"/>
        <w:jc w:val="both"/>
        <w:rPr>
          <w:rFonts w:ascii="Times New Roman" w:hAnsi="Times New Roman" w:cs="Times New Roman"/>
          <w:color w:val="000000" w:themeColor="text1"/>
          <w:sz w:val="24"/>
          <w:szCs w:val="24"/>
        </w:rPr>
      </w:pPr>
      <w:r w:rsidRPr="00FF27F0">
        <w:rPr>
          <w:rFonts w:ascii="Times New Roman" w:hAnsi="Times New Roman" w:cs="Times New Roman"/>
          <w:color w:val="000000" w:themeColor="text1"/>
          <w:sz w:val="24"/>
          <w:szCs w:val="24"/>
        </w:rPr>
        <w:t xml:space="preserve">To estimate the application dose of Foliar Plus </w:t>
      </w:r>
      <w:r w:rsidR="000D1A95" w:rsidRPr="00FF27F0">
        <w:rPr>
          <w:rFonts w:ascii="Times New Roman" w:hAnsi="Times New Roman" w:cs="Times New Roman"/>
          <w:color w:val="000000" w:themeColor="text1"/>
          <w:sz w:val="24"/>
          <w:szCs w:val="24"/>
        </w:rPr>
        <w:t xml:space="preserve">most </w:t>
      </w:r>
      <w:r w:rsidRPr="00FF27F0">
        <w:rPr>
          <w:rFonts w:ascii="Times New Roman" w:hAnsi="Times New Roman" w:cs="Times New Roman"/>
          <w:color w:val="000000" w:themeColor="text1"/>
          <w:sz w:val="24"/>
          <w:szCs w:val="24"/>
        </w:rPr>
        <w:t>suitable for o</w:t>
      </w:r>
      <w:r w:rsidR="00BD660B" w:rsidRPr="00FF27F0">
        <w:rPr>
          <w:rFonts w:ascii="Times New Roman" w:hAnsi="Times New Roman" w:cs="Times New Roman"/>
          <w:color w:val="000000" w:themeColor="text1"/>
          <w:sz w:val="24"/>
          <w:szCs w:val="24"/>
        </w:rPr>
        <w:t>ptimal performance</w:t>
      </w:r>
      <w:r w:rsidRPr="00FF27F0">
        <w:rPr>
          <w:rFonts w:ascii="Times New Roman" w:hAnsi="Times New Roman" w:cs="Times New Roman"/>
          <w:color w:val="000000" w:themeColor="text1"/>
          <w:sz w:val="24"/>
          <w:szCs w:val="24"/>
        </w:rPr>
        <w:t xml:space="preserve"> of cucumber</w:t>
      </w:r>
    </w:p>
    <w:p w:rsidR="002E471B" w:rsidRDefault="002E471B" w:rsidP="00FF27F0">
      <w:pPr>
        <w:spacing w:line="240" w:lineRule="auto"/>
        <w:ind w:left="2160" w:firstLine="720"/>
        <w:jc w:val="both"/>
        <w:rPr>
          <w:rFonts w:ascii="Times New Roman" w:eastAsia="Times New Roman" w:hAnsi="Times New Roman" w:cs="Times New Roman"/>
          <w:b/>
          <w:sz w:val="24"/>
          <w:szCs w:val="24"/>
        </w:rPr>
      </w:pPr>
    </w:p>
    <w:p w:rsidR="00B03B8A" w:rsidRPr="00FF27F0" w:rsidRDefault="00B03B8A" w:rsidP="00FF27F0">
      <w:pPr>
        <w:spacing w:line="240" w:lineRule="auto"/>
        <w:ind w:left="2160" w:firstLine="720"/>
        <w:jc w:val="both"/>
        <w:rPr>
          <w:rFonts w:ascii="Times New Roman" w:eastAsia="Times New Roman" w:hAnsi="Times New Roman" w:cs="Times New Roman"/>
          <w:sz w:val="24"/>
          <w:szCs w:val="24"/>
        </w:rPr>
      </w:pPr>
      <w:r w:rsidRPr="00FF27F0">
        <w:rPr>
          <w:rFonts w:ascii="Times New Roman" w:eastAsia="Times New Roman" w:hAnsi="Times New Roman" w:cs="Times New Roman"/>
          <w:b/>
          <w:sz w:val="24"/>
          <w:szCs w:val="24"/>
        </w:rPr>
        <w:lastRenderedPageBreak/>
        <w:t>MATERIALS AND METHOD</w:t>
      </w:r>
    </w:p>
    <w:p w:rsidR="00B03B8A" w:rsidRPr="00FF27F0" w:rsidRDefault="00B03B8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3.1</w:t>
      </w:r>
      <w:r w:rsidRPr="00FF27F0">
        <w:rPr>
          <w:rFonts w:ascii="Times New Roman" w:eastAsia="Times New Roman" w:hAnsi="Times New Roman" w:cs="Times New Roman"/>
          <w:b/>
          <w:sz w:val="24"/>
          <w:szCs w:val="24"/>
        </w:rPr>
        <w:tab/>
        <w:t>Location</w:t>
      </w:r>
    </w:p>
    <w:p w:rsidR="0022185D" w:rsidRDefault="0022185D" w:rsidP="0022185D">
      <w:pPr>
        <w:pStyle w:val="NormalWeb"/>
      </w:pPr>
      <w:r>
        <w:t>The experiment was conducted in April 2023, during the early cropping season, at the Teaching and Research Farm of Imo State University, Owerri. The city of Owerri lies within the tropical rainforest zone of southeastern Nigeria, positioned between latitudes 5°18′15″N and 5°34′45″N, and longitudes 6°56′45″E and 7°05′00″E. The area is characterized by a relatively flat landscape and an average annual rainfall of about 2500 mm. Climatic records show that Owerri experiences a relative humidity of roughly 75% and a mean temperature of 27°C (NIMET, 2008). The elevation of the location is 91.1 m above sea level.</w:t>
      </w:r>
    </w:p>
    <w:p w:rsidR="00B03B8A" w:rsidRPr="00FF27F0" w:rsidRDefault="00B03B8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3.2.</w:t>
      </w:r>
      <w:r w:rsidRPr="00FF27F0">
        <w:rPr>
          <w:rFonts w:ascii="Times New Roman" w:eastAsia="Times New Roman" w:hAnsi="Times New Roman" w:cs="Times New Roman"/>
          <w:b/>
          <w:sz w:val="24"/>
          <w:szCs w:val="24"/>
        </w:rPr>
        <w:tab/>
        <w:t>Land Preparation/ Experimental Design</w:t>
      </w:r>
    </w:p>
    <w:p w:rsidR="008B75C0" w:rsidRPr="008B75C0" w:rsidRDefault="008B75C0" w:rsidP="008B75C0">
      <w:pPr>
        <w:spacing w:line="240" w:lineRule="auto"/>
        <w:jc w:val="both"/>
        <w:rPr>
          <w:rFonts w:ascii="Times New Roman" w:eastAsia="Times New Roman" w:hAnsi="Times New Roman" w:cs="Times New Roman"/>
          <w:sz w:val="24"/>
          <w:szCs w:val="24"/>
        </w:rPr>
      </w:pPr>
      <w:r w:rsidRPr="008B75C0">
        <w:rPr>
          <w:rFonts w:ascii="Times New Roman" w:hAnsi="Times New Roman" w:cs="Times New Roman"/>
          <w:sz w:val="24"/>
          <w:szCs w:val="24"/>
        </w:rPr>
        <w:t>The land was cleared and tilled manually using a cutlass, hoe, and spade. A Randomized Complete Block Design (RCBD) with three replications was employed. Each replication, spaced 1 m apart, consisted of four plots (beds) assigned to the different treatments, giving a total of 12 plots. The entire site measured 8 m × 9.5 m (76 m²), while each plot measured 2 m × 2 m (4 m²) and was separated from adjacent plots by 0.5 m. Cucumber seeds were sown in each plot, and treatments were randomly assigned. The field layout was established using a measuring tape, string, and pegs</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b/>
          <w:sz w:val="24"/>
          <w:szCs w:val="24"/>
        </w:rPr>
        <w:t>3.3</w:t>
      </w:r>
      <w:r w:rsidRPr="00FF27F0">
        <w:rPr>
          <w:rFonts w:ascii="Times New Roman" w:eastAsia="Times New Roman" w:hAnsi="Times New Roman" w:cs="Times New Roman"/>
          <w:b/>
          <w:sz w:val="24"/>
          <w:szCs w:val="24"/>
        </w:rPr>
        <w:tab/>
        <w:t>Soil Analysis</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Soil samples were collected from the experimental site (from 0 - 15cm soil depth) before planting. The soil sample was air dried at room temperature, passed through 2mm sieve and kept in black polythenes. The collected soil was analyzed for physico-chemical properties. </w:t>
      </w:r>
    </w:p>
    <w:p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3.4</w:t>
      </w:r>
      <w:r w:rsidRPr="00FF27F0">
        <w:rPr>
          <w:rFonts w:ascii="Times New Roman" w:eastAsia="Times New Roman" w:hAnsi="Times New Roman" w:cs="Times New Roman"/>
          <w:b/>
          <w:sz w:val="24"/>
          <w:szCs w:val="24"/>
        </w:rPr>
        <w:tab/>
        <w:t xml:space="preserve">Experimental Materials and Treatment </w:t>
      </w:r>
    </w:p>
    <w:p w:rsidR="002B2703" w:rsidRPr="00FF27F0" w:rsidRDefault="002B2703" w:rsidP="0022185D">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Seeds of cucumber were collected from Imo Agricultural Development Programme (Imo ADP).</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Foliar Plus (complete) was bought from the licensed distributors.</w:t>
      </w:r>
    </w:p>
    <w:p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3.5</w:t>
      </w:r>
      <w:r w:rsidRPr="00FF27F0">
        <w:rPr>
          <w:rFonts w:ascii="Times New Roman" w:eastAsia="Times New Roman" w:hAnsi="Times New Roman" w:cs="Times New Roman"/>
          <w:b/>
          <w:sz w:val="24"/>
          <w:szCs w:val="24"/>
        </w:rPr>
        <w:tab/>
        <w:t xml:space="preserve">Treatment Application </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With calibrated hand sprayer, Foliar Plus was applied on the foliage of the plant (that is on the leaves and stems) 1week after sowing, at 1-week interval and monitored until fruits are formed. The following doses of </w:t>
      </w:r>
      <w:r w:rsidR="00034ECF" w:rsidRPr="00FF27F0">
        <w:rPr>
          <w:rFonts w:ascii="Times New Roman" w:eastAsia="Times New Roman" w:hAnsi="Times New Roman" w:cs="Times New Roman"/>
          <w:sz w:val="24"/>
          <w:szCs w:val="24"/>
        </w:rPr>
        <w:t>Foliar Plus were used:</w:t>
      </w:r>
    </w:p>
    <w:p w:rsidR="00034ECF" w:rsidRPr="00FF27F0" w:rsidRDefault="002B2703" w:rsidP="00FF27F0">
      <w:pPr>
        <w:spacing w:after="0" w:line="240" w:lineRule="auto"/>
        <w:jc w:val="both"/>
        <w:rPr>
          <w:rFonts w:ascii="Times New Roman" w:hAnsi="Times New Roman" w:cs="Times New Roman"/>
          <w:sz w:val="24"/>
          <w:szCs w:val="24"/>
        </w:rPr>
      </w:pPr>
      <w:r w:rsidRPr="00FF27F0">
        <w:rPr>
          <w:rFonts w:ascii="Times New Roman" w:eastAsia="Times New Roman" w:hAnsi="Times New Roman" w:cs="Times New Roman"/>
          <w:sz w:val="24"/>
          <w:szCs w:val="24"/>
        </w:rPr>
        <w:t>0ml Foliar Plus/15 litres of water (0mlFP/15LWater) (Control)</w:t>
      </w:r>
    </w:p>
    <w:p w:rsidR="002B2703" w:rsidRPr="00FF27F0" w:rsidRDefault="002B2703" w:rsidP="00FF27F0">
      <w:pPr>
        <w:spacing w:after="0" w:line="240" w:lineRule="auto"/>
        <w:jc w:val="both"/>
        <w:rPr>
          <w:rFonts w:ascii="Times New Roman" w:hAnsi="Times New Roman" w:cs="Times New Roman"/>
          <w:sz w:val="24"/>
          <w:szCs w:val="24"/>
        </w:rPr>
      </w:pPr>
      <w:r w:rsidRPr="00FF27F0">
        <w:rPr>
          <w:rFonts w:ascii="Times New Roman" w:eastAsia="Times New Roman" w:hAnsi="Times New Roman" w:cs="Times New Roman"/>
          <w:sz w:val="24"/>
          <w:szCs w:val="24"/>
        </w:rPr>
        <w:t>120ml Foliar Plus/15 litres of water (120mlFP/15LWater)</w:t>
      </w:r>
    </w:p>
    <w:p w:rsidR="002B2703" w:rsidRPr="00FF27F0" w:rsidRDefault="002B2703" w:rsidP="00FF27F0">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40ml Foliar Plus/15 liters of water (140mlFP/15LWater)</w:t>
      </w:r>
    </w:p>
    <w:p w:rsidR="002B2703" w:rsidRPr="00FF27F0" w:rsidRDefault="002B2703" w:rsidP="00FF27F0">
      <w:pPr>
        <w:spacing w:after="0"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160ml Foliar Plus/15 litres of water (160mlFP/15LWater)</w:t>
      </w:r>
    </w:p>
    <w:p w:rsidR="002B2703" w:rsidRPr="00FF27F0" w:rsidRDefault="002B2703" w:rsidP="00FF27F0">
      <w:pPr>
        <w:spacing w:line="240" w:lineRule="auto"/>
        <w:jc w:val="both"/>
        <w:rPr>
          <w:rFonts w:ascii="Times New Roman" w:eastAsia="Times New Roman" w:hAnsi="Times New Roman" w:cs="Times New Roman"/>
          <w:sz w:val="24"/>
          <w:szCs w:val="24"/>
        </w:rPr>
      </w:pPr>
    </w:p>
    <w:p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3.6</w:t>
      </w:r>
      <w:r w:rsidRPr="00FF27F0">
        <w:rPr>
          <w:rFonts w:ascii="Times New Roman" w:eastAsia="Times New Roman" w:hAnsi="Times New Roman" w:cs="Times New Roman"/>
          <w:b/>
          <w:sz w:val="24"/>
          <w:szCs w:val="24"/>
        </w:rPr>
        <w:tab/>
        <w:t>Sowing and Staking</w:t>
      </w:r>
    </w:p>
    <w:p w:rsidR="00E43233" w:rsidRDefault="00E43233" w:rsidP="00E43233">
      <w:pPr>
        <w:pStyle w:val="NormalWeb"/>
        <w:jc w:val="both"/>
      </w:pPr>
      <w:r>
        <w:t>Cucumber seeds were planted at an inter-row and intra-row spacing of 50 cm × 50 cm. Two seeds were sown per hole at a depth of 2.0 cm. Seedlings were thinned to one plant per stand at one week after planting (1 WAP), resulting in a total of 16 uniformly spaced plants per plot. Four plant stands were randomly selected and tagged in each plot for subsequent data collection.</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Staking: Stakes were provided for trailing cultivars after the first week of emergence.</w:t>
      </w:r>
    </w:p>
    <w:p w:rsidR="002B2703" w:rsidRPr="00FF27F0" w:rsidRDefault="002B2703"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3.7</w:t>
      </w:r>
      <w:r w:rsidRPr="00FF27F0">
        <w:rPr>
          <w:rFonts w:ascii="Times New Roman" w:eastAsia="Times New Roman" w:hAnsi="Times New Roman" w:cs="Times New Roman"/>
          <w:b/>
          <w:sz w:val="24"/>
          <w:szCs w:val="24"/>
        </w:rPr>
        <w:tab/>
        <w:t>Weeding</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Weeding was done manually by hand with weeding hoe for two times.</w:t>
      </w:r>
    </w:p>
    <w:p w:rsidR="002B2703" w:rsidRPr="00FF27F0" w:rsidRDefault="002B2703"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b/>
          <w:sz w:val="24"/>
          <w:szCs w:val="24"/>
        </w:rPr>
        <w:t>3.8</w:t>
      </w:r>
      <w:r w:rsidRPr="00FF27F0">
        <w:rPr>
          <w:rFonts w:ascii="Times New Roman" w:eastAsia="Times New Roman" w:hAnsi="Times New Roman" w:cs="Times New Roman"/>
          <w:b/>
          <w:sz w:val="24"/>
          <w:szCs w:val="24"/>
        </w:rPr>
        <w:tab/>
        <w:t>Data Collection</w:t>
      </w:r>
    </w:p>
    <w:p w:rsidR="00E678A0" w:rsidRPr="00FF27F0" w:rsidRDefault="00101A8F" w:rsidP="00FF27F0">
      <w:pPr>
        <w:spacing w:line="240" w:lineRule="auto"/>
        <w:jc w:val="both"/>
        <w:rPr>
          <w:rFonts w:ascii="Times New Roman" w:hAnsi="Times New Roman" w:cs="Times New Roman"/>
          <w:sz w:val="24"/>
          <w:szCs w:val="24"/>
        </w:rPr>
      </w:pPr>
      <w:r w:rsidRPr="00FF27F0">
        <w:rPr>
          <w:rFonts w:ascii="Times New Roman" w:eastAsia="Times New Roman" w:hAnsi="Times New Roman" w:cs="Times New Roman"/>
          <w:sz w:val="24"/>
          <w:szCs w:val="24"/>
        </w:rPr>
        <w:t>The fruits and plant parts</w:t>
      </w:r>
      <w:r w:rsidR="002B2703" w:rsidRPr="00FF27F0">
        <w:rPr>
          <w:rFonts w:ascii="Times New Roman" w:eastAsia="Times New Roman" w:hAnsi="Times New Roman" w:cs="Times New Roman"/>
          <w:sz w:val="24"/>
          <w:szCs w:val="24"/>
        </w:rPr>
        <w:t xml:space="preserve"> formed the bases for primary da</w:t>
      </w:r>
      <w:r w:rsidRPr="00FF27F0">
        <w:rPr>
          <w:rFonts w:ascii="Times New Roman" w:eastAsia="Times New Roman" w:hAnsi="Times New Roman" w:cs="Times New Roman"/>
          <w:sz w:val="24"/>
          <w:szCs w:val="24"/>
        </w:rPr>
        <w:t>ta collection on both</w:t>
      </w:r>
      <w:r w:rsidR="00E63CE3" w:rsidRPr="00FF27F0">
        <w:rPr>
          <w:rFonts w:ascii="Times New Roman" w:eastAsia="Times New Roman" w:hAnsi="Times New Roman" w:cs="Times New Roman"/>
          <w:sz w:val="24"/>
          <w:szCs w:val="24"/>
        </w:rPr>
        <w:t xml:space="preserve"> </w:t>
      </w:r>
      <w:r w:rsidRPr="00FF27F0">
        <w:rPr>
          <w:rFonts w:ascii="Times New Roman" w:eastAsia="Times New Roman" w:hAnsi="Times New Roman" w:cs="Times New Roman"/>
          <w:sz w:val="24"/>
          <w:szCs w:val="24"/>
        </w:rPr>
        <w:t>nutrient and proximate analysis</w:t>
      </w:r>
      <w:r w:rsidR="002B2703" w:rsidRPr="00FF27F0">
        <w:rPr>
          <w:rFonts w:ascii="Times New Roman" w:eastAsia="Times New Roman" w:hAnsi="Times New Roman" w:cs="Times New Roman"/>
          <w:sz w:val="24"/>
          <w:szCs w:val="24"/>
        </w:rPr>
        <w:t xml:space="preserve">. </w:t>
      </w:r>
    </w:p>
    <w:p w:rsidR="00E678A0" w:rsidRPr="00FF27F0" w:rsidRDefault="00261875" w:rsidP="00FF27F0">
      <w:pPr>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F</w:t>
      </w:r>
      <w:r w:rsidR="00101A8F" w:rsidRPr="00FF27F0">
        <w:rPr>
          <w:rFonts w:ascii="Times New Roman" w:hAnsi="Times New Roman" w:cs="Times New Roman"/>
          <w:sz w:val="24"/>
          <w:szCs w:val="24"/>
        </w:rPr>
        <w:t>r</w:t>
      </w:r>
      <w:r w:rsidRPr="00FF27F0">
        <w:rPr>
          <w:rFonts w:ascii="Times New Roman" w:hAnsi="Times New Roman" w:cs="Times New Roman"/>
          <w:sz w:val="24"/>
          <w:szCs w:val="24"/>
        </w:rPr>
        <w:t>om the</w:t>
      </w:r>
      <w:r w:rsidR="00101A8F" w:rsidRPr="00FF27F0">
        <w:rPr>
          <w:rFonts w:ascii="Times New Roman" w:hAnsi="Times New Roman" w:cs="Times New Roman"/>
          <w:sz w:val="24"/>
          <w:szCs w:val="24"/>
        </w:rPr>
        <w:t xml:space="preserve"> tagged plants, t</w:t>
      </w:r>
      <w:r w:rsidR="00034ECF" w:rsidRPr="00FF27F0">
        <w:rPr>
          <w:rFonts w:ascii="Times New Roman" w:hAnsi="Times New Roman" w:cs="Times New Roman"/>
          <w:sz w:val="24"/>
          <w:szCs w:val="24"/>
        </w:rPr>
        <w:t>he fruits of cucumber were harvested at maturity for three consecutive times and then sent to analytical laboratory for determination of their nutrient content and pro</w:t>
      </w:r>
      <w:r w:rsidR="00101A8F" w:rsidRPr="00FF27F0">
        <w:rPr>
          <w:rFonts w:ascii="Times New Roman" w:hAnsi="Times New Roman" w:cs="Times New Roman"/>
          <w:sz w:val="24"/>
          <w:szCs w:val="24"/>
        </w:rPr>
        <w:t>ximate values, as influenced b</w:t>
      </w:r>
      <w:r w:rsidRPr="00FF27F0">
        <w:rPr>
          <w:rFonts w:ascii="Times New Roman" w:hAnsi="Times New Roman" w:cs="Times New Roman"/>
          <w:sz w:val="24"/>
          <w:szCs w:val="24"/>
        </w:rPr>
        <w:t xml:space="preserve">y different doses of </w:t>
      </w:r>
      <w:r w:rsidR="00034ECF" w:rsidRPr="00FF27F0">
        <w:rPr>
          <w:rFonts w:ascii="Times New Roman" w:hAnsi="Times New Roman" w:cs="Times New Roman"/>
          <w:sz w:val="24"/>
          <w:szCs w:val="24"/>
        </w:rPr>
        <w:t>Foliar Plus</w:t>
      </w:r>
      <w:r w:rsidRPr="00FF27F0">
        <w:rPr>
          <w:rFonts w:ascii="Times New Roman" w:hAnsi="Times New Roman" w:cs="Times New Roman"/>
          <w:sz w:val="24"/>
          <w:szCs w:val="24"/>
        </w:rPr>
        <w:t>. The values obtained from the three respective harvests were pooled and the average values obtained for statistical analysis</w:t>
      </w:r>
      <w:r w:rsidR="00826D7C" w:rsidRPr="00FF27F0">
        <w:rPr>
          <w:rFonts w:ascii="Times New Roman" w:hAnsi="Times New Roman" w:cs="Times New Roman"/>
          <w:sz w:val="24"/>
          <w:szCs w:val="24"/>
        </w:rPr>
        <w:t>.</w:t>
      </w:r>
    </w:p>
    <w:p w:rsidR="00826D7C" w:rsidRPr="00FF27F0" w:rsidRDefault="00826D7C"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Data were collected from the determination of the following nutrient (mineral) components of cucumber fruits: Potassium, Magnesium, Sodium, Phosphate, Chlorophyll A, Chlorophyll B and Total Chlorophyll. </w:t>
      </w:r>
    </w:p>
    <w:p w:rsidR="00E63CE3" w:rsidRPr="00FF27F0" w:rsidRDefault="00826D7C"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Again, data were collected from t</w:t>
      </w:r>
      <w:r w:rsidR="00E63CE3" w:rsidRPr="00FF27F0">
        <w:rPr>
          <w:rFonts w:ascii="Times New Roman" w:eastAsia="Times New Roman" w:hAnsi="Times New Roman" w:cs="Times New Roman"/>
          <w:sz w:val="24"/>
          <w:szCs w:val="24"/>
        </w:rPr>
        <w:t>he proximate analysis of cucumber fruits for moisture, ash, fat</w:t>
      </w:r>
      <w:r w:rsidR="00FB06D2" w:rsidRPr="00FF27F0">
        <w:rPr>
          <w:rFonts w:ascii="Times New Roman" w:eastAsia="Times New Roman" w:hAnsi="Times New Roman" w:cs="Times New Roman"/>
          <w:sz w:val="24"/>
          <w:szCs w:val="24"/>
        </w:rPr>
        <w:t xml:space="preserve"> and carbohydrate</w:t>
      </w:r>
      <w:r w:rsidR="00E63CE3" w:rsidRPr="00FF27F0">
        <w:rPr>
          <w:rFonts w:ascii="Times New Roman" w:eastAsia="Times New Roman" w:hAnsi="Times New Roman" w:cs="Times New Roman"/>
          <w:sz w:val="24"/>
          <w:szCs w:val="24"/>
        </w:rPr>
        <w:t xml:space="preserve"> with </w:t>
      </w:r>
      <w:r w:rsidR="00FB06D2" w:rsidRPr="00FF27F0">
        <w:rPr>
          <w:rFonts w:ascii="Times New Roman" w:eastAsia="Times New Roman" w:hAnsi="Times New Roman" w:cs="Times New Roman"/>
          <w:sz w:val="24"/>
          <w:szCs w:val="24"/>
        </w:rPr>
        <w:t xml:space="preserve">the </w:t>
      </w:r>
      <w:r w:rsidR="00E63CE3" w:rsidRPr="00FF27F0">
        <w:rPr>
          <w:rFonts w:ascii="Times New Roman" w:eastAsia="Times New Roman" w:hAnsi="Times New Roman" w:cs="Times New Roman"/>
          <w:sz w:val="24"/>
          <w:szCs w:val="24"/>
        </w:rPr>
        <w:t>method described by AOAC (2000). The concentration of crude protein and fibre were determined using methods described by Pearson (1976).</w:t>
      </w:r>
      <w:r w:rsidR="002E61BD" w:rsidRPr="00FF27F0">
        <w:rPr>
          <w:rFonts w:ascii="Times New Roman" w:eastAsia="Times New Roman" w:hAnsi="Times New Roman" w:cs="Times New Roman"/>
          <w:sz w:val="24"/>
          <w:szCs w:val="24"/>
        </w:rPr>
        <w:t xml:space="preserve"> All the data generated were collected and recorded.</w:t>
      </w:r>
    </w:p>
    <w:p w:rsidR="004E2198" w:rsidRPr="00FF27F0" w:rsidRDefault="004E2198"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 xml:space="preserve">Data Analysis </w:t>
      </w:r>
    </w:p>
    <w:p w:rsidR="00E678A0" w:rsidRPr="00FF27F0" w:rsidRDefault="004E2198"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Data collected were subjected to analysis of variance and the treatment means generated, were separated using Duncan New Multiple Range Test at 5% probability level (Onuh and Igwenna, 2001; Steel and Torrid, 1987).</w:t>
      </w:r>
    </w:p>
    <w:p w:rsidR="00FE1F51" w:rsidRPr="00FF27F0" w:rsidRDefault="00FE1F51" w:rsidP="00FF27F0">
      <w:pPr>
        <w:tabs>
          <w:tab w:val="left" w:pos="5539"/>
        </w:tabs>
        <w:spacing w:line="240" w:lineRule="auto"/>
        <w:jc w:val="both"/>
        <w:rPr>
          <w:rFonts w:ascii="Times New Roman" w:hAnsi="Times New Roman" w:cs="Times New Roman"/>
          <w:sz w:val="24"/>
          <w:szCs w:val="24"/>
        </w:rPr>
      </w:pPr>
      <w:r w:rsidRPr="00FF27F0">
        <w:rPr>
          <w:rFonts w:ascii="Times New Roman" w:hAnsi="Times New Roman" w:cs="Times New Roman"/>
          <w:sz w:val="24"/>
          <w:szCs w:val="24"/>
        </w:rPr>
        <w:t xml:space="preserve">                                         </w:t>
      </w:r>
      <w:r w:rsidR="003F784E" w:rsidRPr="00FF27F0">
        <w:rPr>
          <w:rFonts w:ascii="Times New Roman" w:hAnsi="Times New Roman" w:cs="Times New Roman"/>
          <w:sz w:val="24"/>
          <w:szCs w:val="24"/>
        </w:rPr>
        <w:t xml:space="preserve">                         </w:t>
      </w:r>
      <w:r w:rsidRPr="00FF27F0">
        <w:rPr>
          <w:rFonts w:ascii="Times New Roman" w:hAnsi="Times New Roman" w:cs="Times New Roman"/>
          <w:sz w:val="24"/>
          <w:szCs w:val="24"/>
        </w:rPr>
        <w:t xml:space="preserve">           </w:t>
      </w:r>
      <w:r w:rsidR="003F784E" w:rsidRPr="00FF27F0">
        <w:rPr>
          <w:rFonts w:ascii="Times New Roman" w:hAnsi="Times New Roman" w:cs="Times New Roman"/>
          <w:sz w:val="24"/>
          <w:szCs w:val="24"/>
        </w:rPr>
        <w:t xml:space="preserve">                             </w:t>
      </w:r>
      <w:r w:rsidRPr="00FF27F0">
        <w:rPr>
          <w:rFonts w:ascii="Times New Roman" w:hAnsi="Times New Roman" w:cs="Times New Roman"/>
          <w:sz w:val="24"/>
          <w:szCs w:val="24"/>
        </w:rPr>
        <w:t xml:space="preserve">           </w:t>
      </w:r>
    </w:p>
    <w:p w:rsidR="00E678A0" w:rsidRPr="00FF27F0" w:rsidRDefault="00FE1F51" w:rsidP="00FF27F0">
      <w:pPr>
        <w:tabs>
          <w:tab w:val="left" w:pos="5539"/>
        </w:tabs>
        <w:spacing w:line="240" w:lineRule="auto"/>
        <w:jc w:val="both"/>
        <w:rPr>
          <w:rFonts w:ascii="Times New Roman" w:hAnsi="Times New Roman" w:cs="Times New Roman"/>
          <w:b/>
          <w:sz w:val="24"/>
          <w:szCs w:val="24"/>
        </w:rPr>
      </w:pPr>
      <w:r w:rsidRPr="00FF27F0">
        <w:rPr>
          <w:rFonts w:ascii="Times New Roman" w:hAnsi="Times New Roman" w:cs="Times New Roman"/>
          <w:sz w:val="24"/>
          <w:szCs w:val="24"/>
        </w:rPr>
        <w:t xml:space="preserve">                                      </w:t>
      </w:r>
      <w:r w:rsidR="007D3CB2">
        <w:rPr>
          <w:rFonts w:ascii="Times New Roman" w:hAnsi="Times New Roman" w:cs="Times New Roman"/>
          <w:sz w:val="24"/>
          <w:szCs w:val="24"/>
        </w:rPr>
        <w:t xml:space="preserve">  </w:t>
      </w:r>
      <w:r w:rsidR="008A5714" w:rsidRPr="00FF27F0">
        <w:rPr>
          <w:rFonts w:ascii="Times New Roman" w:hAnsi="Times New Roman" w:cs="Times New Roman"/>
          <w:b/>
          <w:sz w:val="24"/>
          <w:szCs w:val="24"/>
        </w:rPr>
        <w:t>RESULT AND DISCUSSION</w:t>
      </w:r>
    </w:p>
    <w:p w:rsidR="00AE71EA" w:rsidRPr="00FF27F0" w:rsidRDefault="00AE71EA" w:rsidP="00FF27F0">
      <w:pPr>
        <w:tabs>
          <w:tab w:val="left" w:pos="5539"/>
        </w:tabs>
        <w:spacing w:line="240" w:lineRule="auto"/>
        <w:jc w:val="both"/>
        <w:rPr>
          <w:rFonts w:ascii="Times New Roman" w:hAnsi="Times New Roman" w:cs="Times New Roman"/>
          <w:b/>
          <w:sz w:val="24"/>
          <w:szCs w:val="24"/>
        </w:rPr>
      </w:pPr>
      <w:r w:rsidRPr="00FF27F0">
        <w:rPr>
          <w:rFonts w:ascii="Times New Roman" w:hAnsi="Times New Roman" w:cs="Times New Roman"/>
          <w:b/>
          <w:sz w:val="24"/>
          <w:szCs w:val="24"/>
        </w:rPr>
        <w:t xml:space="preserve">Result </w:t>
      </w:r>
    </w:p>
    <w:p w:rsidR="00AE71EA" w:rsidRPr="00FF27F0" w:rsidRDefault="00AE71E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4.6 Effect of Foliar Plus on the Mineral Components of Cucumber Fruit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4.6.1 Potassium (K) Content of Cucumber fruit (mg/kgk)</w:t>
      </w:r>
    </w:p>
    <w:p w:rsidR="00AE71EA" w:rsidRPr="00FF27F0" w:rsidRDefault="00E80111"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Table 1</w:t>
      </w:r>
      <w:r w:rsidR="00AE71EA" w:rsidRPr="00FF27F0">
        <w:rPr>
          <w:rFonts w:ascii="Times New Roman" w:eastAsia="Times New Roman" w:hAnsi="Times New Roman" w:cs="Times New Roman"/>
          <w:sz w:val="24"/>
          <w:szCs w:val="24"/>
        </w:rPr>
        <w:t xml:space="preserve">, data patterning to effect of Foliar Plus on the potassium content of cucumber fruit were recorded. The table showed that 120mlFP/15Lwater had the highest value (80mg/kgK) of K, significantly (p≤0.05) different </w:t>
      </w:r>
      <w:r w:rsidR="00F41CC6" w:rsidRPr="00FF27F0">
        <w:rPr>
          <w:rFonts w:ascii="Times New Roman" w:eastAsia="Times New Roman" w:hAnsi="Times New Roman" w:cs="Times New Roman"/>
          <w:sz w:val="24"/>
          <w:szCs w:val="24"/>
        </w:rPr>
        <w:t xml:space="preserve">from </w:t>
      </w:r>
      <w:r w:rsidR="00AE71EA" w:rsidRPr="00FF27F0">
        <w:rPr>
          <w:rFonts w:ascii="Times New Roman" w:eastAsia="Times New Roman" w:hAnsi="Times New Roman" w:cs="Times New Roman"/>
          <w:sz w:val="24"/>
          <w:szCs w:val="24"/>
        </w:rPr>
        <w:t>the control (0mlFP/15Lwater), 140mlFP/15Lwater, and 160mlFP/15Lwater treatments which had the same 40mg/kgK each. The last three treatments having the same value (40mg/kgK) showed no sign</w:t>
      </w:r>
      <w:r w:rsidR="00747FDD" w:rsidRPr="00FF27F0">
        <w:rPr>
          <w:rFonts w:ascii="Times New Roman" w:eastAsia="Times New Roman" w:hAnsi="Times New Roman" w:cs="Times New Roman"/>
          <w:sz w:val="24"/>
          <w:szCs w:val="24"/>
        </w:rPr>
        <w:t xml:space="preserve">ificant (p≥0.05) </w:t>
      </w:r>
      <w:r w:rsidR="00AE71EA" w:rsidRPr="00FF27F0">
        <w:rPr>
          <w:rFonts w:ascii="Times New Roman" w:eastAsia="Times New Roman" w:hAnsi="Times New Roman" w:cs="Times New Roman"/>
          <w:sz w:val="24"/>
          <w:szCs w:val="24"/>
        </w:rPr>
        <w:t>differen</w:t>
      </w:r>
      <w:r>
        <w:rPr>
          <w:rFonts w:ascii="Times New Roman" w:eastAsia="Times New Roman" w:hAnsi="Times New Roman" w:cs="Times New Roman"/>
          <w:sz w:val="24"/>
          <w:szCs w:val="24"/>
        </w:rPr>
        <w:t>ces among themselves (Table 1</w:t>
      </w:r>
      <w:r w:rsidR="00AE71EA" w:rsidRPr="00FF27F0">
        <w:rPr>
          <w:rFonts w:ascii="Times New Roman" w:eastAsia="Times New Roman" w:hAnsi="Times New Roman" w:cs="Times New Roman"/>
          <w:sz w:val="24"/>
          <w:szCs w:val="24"/>
        </w:rPr>
        <w:t xml:space="preserve">). </w:t>
      </w:r>
    </w:p>
    <w:p w:rsidR="00D869A5" w:rsidRPr="00FF27F0" w:rsidRDefault="00D869A5" w:rsidP="00FF27F0">
      <w:pPr>
        <w:spacing w:line="240" w:lineRule="auto"/>
        <w:jc w:val="both"/>
        <w:rPr>
          <w:rFonts w:ascii="Times New Roman" w:eastAsia="Times New Roman" w:hAnsi="Times New Roman" w:cs="Times New Roman"/>
          <w:sz w:val="24"/>
          <w:szCs w:val="24"/>
        </w:rPr>
      </w:pP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4.6.2 Calcium (Ca) Content of Cucumber fruit (mg/kg Ca)</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Effects of Foliar Plus on Ca content of cucumber f</w:t>
      </w:r>
      <w:r w:rsidR="00E80111">
        <w:rPr>
          <w:rFonts w:ascii="Times New Roman" w:eastAsia="Times New Roman" w:hAnsi="Times New Roman" w:cs="Times New Roman"/>
          <w:sz w:val="24"/>
          <w:szCs w:val="24"/>
        </w:rPr>
        <w:t>ruit were recorded in Table 1</w:t>
      </w:r>
      <w:r w:rsidRPr="00FF27F0">
        <w:rPr>
          <w:rFonts w:ascii="Times New Roman" w:eastAsia="Times New Roman" w:hAnsi="Times New Roman" w:cs="Times New Roman"/>
          <w:sz w:val="24"/>
          <w:szCs w:val="24"/>
        </w:rPr>
        <w:t xml:space="preserve">. The greatest value (176.5mg/kg Ca) was produced by 160mlFP/15Lwater which was significantly different </w:t>
      </w:r>
      <w:r w:rsidRPr="00FF27F0">
        <w:rPr>
          <w:rFonts w:ascii="Times New Roman" w:eastAsia="Times New Roman" w:hAnsi="Times New Roman" w:cs="Times New Roman"/>
          <w:sz w:val="24"/>
          <w:szCs w:val="24"/>
        </w:rPr>
        <w:lastRenderedPageBreak/>
        <w:t>from the least value (93.1mg/kgCa) given by 140mlFP/15Lwater. Also, the value, 176.5mg/kgCa given by 160mlFP/15Lwater, was aleo significantly greater than 117.8mg/kgCa and 134.6mg/kgCa recorded for 0mlFP/15Lwater and 120mlFP/15Lwater respectively. However, 117.8mg/kgCa and 134.6mg/kgCa with statistical (p≥0.05) similarity and respectively produced by 120mlFP/15Lwater and 120mlFP/15Lwater, were significantly different from 93.1mg/kgCa obtained by the Cont</w:t>
      </w:r>
      <w:r w:rsidR="00E80111">
        <w:rPr>
          <w:rFonts w:ascii="Times New Roman" w:eastAsia="Times New Roman" w:hAnsi="Times New Roman" w:cs="Times New Roman"/>
          <w:sz w:val="24"/>
          <w:szCs w:val="24"/>
        </w:rPr>
        <w:t>rol (0mlFP/15Lwater)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4.6.3 Magnesium (Mg) Content of Cucumber Fruit (mg/kgMg)</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 Mg content o</w:t>
      </w:r>
      <w:r w:rsidR="003F784E" w:rsidRPr="00FF27F0">
        <w:rPr>
          <w:rFonts w:ascii="Times New Roman" w:eastAsia="Times New Roman" w:hAnsi="Times New Roman" w:cs="Times New Roman"/>
          <w:sz w:val="24"/>
          <w:szCs w:val="24"/>
        </w:rPr>
        <w:t>f Cucumber fruit as influenced b</w:t>
      </w:r>
      <w:r w:rsidRPr="00FF27F0">
        <w:rPr>
          <w:rFonts w:ascii="Times New Roman" w:eastAsia="Times New Roman" w:hAnsi="Times New Roman" w:cs="Times New Roman"/>
          <w:sz w:val="24"/>
          <w:szCs w:val="24"/>
        </w:rPr>
        <w:t>y application of Foliar P</w:t>
      </w:r>
      <w:r w:rsidR="00E80111">
        <w:rPr>
          <w:rFonts w:ascii="Times New Roman" w:eastAsia="Times New Roman" w:hAnsi="Times New Roman" w:cs="Times New Roman"/>
          <w:sz w:val="24"/>
          <w:szCs w:val="24"/>
        </w:rPr>
        <w:t>lus, was displayed in Table 1</w:t>
      </w:r>
      <w:r w:rsidRPr="00FF27F0">
        <w:rPr>
          <w:rFonts w:ascii="Times New Roman" w:eastAsia="Times New Roman" w:hAnsi="Times New Roman" w:cs="Times New Roman"/>
          <w:sz w:val="24"/>
          <w:szCs w:val="24"/>
        </w:rPr>
        <w:t>, The greatest value (94.5mg/kgMg), given by 120mlFP/15Lwater was not significantly (p≤0.05) different from 72.6mg/kgMa and 74.1mg/kgMa which were produced by 0mlFP/15Lwater and 140mlFP/15Lwater respectively. Notwithstanding, they were all respectively significantly (p≤0.05) greater than the least value (37.8mg/kgMg) as produced</w:t>
      </w:r>
      <w:r w:rsidR="00E80111">
        <w:rPr>
          <w:rFonts w:ascii="Times New Roman" w:eastAsia="Times New Roman" w:hAnsi="Times New Roman" w:cs="Times New Roman"/>
          <w:sz w:val="24"/>
          <w:szCs w:val="24"/>
        </w:rPr>
        <w:t xml:space="preserve"> by 160mlFP/15Lwater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4.6.4 Sodium (Na) Content of Cucumber Fruit (mg/kgNa)</w:t>
      </w:r>
    </w:p>
    <w:p w:rsidR="00AE71EA" w:rsidRPr="00FF27F0" w:rsidRDefault="00E80111"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w:t>
      </w:r>
      <w:r w:rsidR="00AE71EA" w:rsidRPr="00FF27F0">
        <w:rPr>
          <w:rFonts w:ascii="Times New Roman" w:eastAsia="Times New Roman" w:hAnsi="Times New Roman" w:cs="Times New Roman"/>
          <w:sz w:val="24"/>
          <w:szCs w:val="24"/>
        </w:rPr>
        <w:t xml:space="preserve"> displayed the significant (p≤0.05) effect of Foliar Plus (FP) on the Na content of cucumber fruit as revealed by analysis. The 179.2mg/kgNa Sodium content was the greatest in value as influenced by 120mlFP/15Lwater. This significantly (p≤0.05) differed from 114.4mg/kgNa, 119.5mg/kgNa and 80.8mg/kgNa values obtained from 0mlFP/15Lwater, 140mlFP/15Lwater and 160mlFP/15Lwater respectively. But, 160mlFP/15Lwater produced the least value with 80.8mg/kgNa which was also significantly (p≤0.05) lower than 114mg/kgNa and 119.5mg/kgNa produced by 0mlFP/15Lwater and 140mlFP/1</w:t>
      </w:r>
      <w:r>
        <w:rPr>
          <w:rFonts w:ascii="Times New Roman" w:eastAsia="Times New Roman" w:hAnsi="Times New Roman" w:cs="Times New Roman"/>
          <w:sz w:val="24"/>
          <w:szCs w:val="24"/>
        </w:rPr>
        <w:t>5Lwater respectively (Table 1</w:t>
      </w:r>
      <w:r w:rsidR="00AE71EA"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4.6.5 Phosphate (PO</w:t>
      </w:r>
      <w:r w:rsidRPr="00FF27F0">
        <w:rPr>
          <w:rFonts w:ascii="Times New Roman" w:eastAsia="Times New Roman" w:hAnsi="Times New Roman" w:cs="Times New Roman"/>
          <w:i/>
          <w:sz w:val="24"/>
          <w:szCs w:val="24"/>
          <w:vertAlign w:val="superscript"/>
        </w:rPr>
        <w:t>-3</w:t>
      </w:r>
      <w:r w:rsidRPr="00FF27F0">
        <w:rPr>
          <w:rFonts w:ascii="Times New Roman" w:eastAsia="Times New Roman" w:hAnsi="Times New Roman" w:cs="Times New Roman"/>
          <w:i/>
          <w:sz w:val="24"/>
          <w:szCs w:val="24"/>
        </w:rPr>
        <w:t>) Content of Cucumber Fruit (mg/kg PO</w:t>
      </w:r>
      <w:r w:rsidRPr="00FF27F0">
        <w:rPr>
          <w:rFonts w:ascii="Times New Roman" w:eastAsia="Times New Roman" w:hAnsi="Times New Roman" w:cs="Times New Roman"/>
          <w:i/>
          <w:sz w:val="24"/>
          <w:szCs w:val="24"/>
          <w:vertAlign w:val="superscript"/>
        </w:rPr>
        <w:t>-3</w:t>
      </w:r>
      <w:r w:rsidRPr="00FF27F0">
        <w:rPr>
          <w:rFonts w:ascii="Times New Roman" w:eastAsia="Times New Roman" w:hAnsi="Times New Roman" w:cs="Times New Roman"/>
          <w:i/>
          <w:sz w:val="24"/>
          <w:szCs w:val="24"/>
        </w:rPr>
        <w:t>)</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Effect of Foliar Plus on the phosphate content of cucumber </w:t>
      </w:r>
      <w:r w:rsidR="00E80111">
        <w:rPr>
          <w:rFonts w:ascii="Times New Roman" w:eastAsia="Times New Roman" w:hAnsi="Times New Roman" w:cs="Times New Roman"/>
          <w:sz w:val="24"/>
          <w:szCs w:val="24"/>
        </w:rPr>
        <w:t>fruit was recorded in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 highest value (690mg/kgPO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which was given by 120mlFP/15Lwater, did not significantly differ from 660mg/kgPO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xml:space="preserve"> obtained from 120mlFP/15Lwater, but showed remarkable or significant (p≤0.05) difference from the least value (545mg/kgPO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and 600mg/kgPO</w:t>
      </w:r>
      <w:r w:rsidRPr="00FF27F0">
        <w:rPr>
          <w:rFonts w:ascii="Times New Roman" w:eastAsia="Times New Roman" w:hAnsi="Times New Roman" w:cs="Times New Roman"/>
          <w:sz w:val="24"/>
          <w:szCs w:val="24"/>
          <w:vertAlign w:val="superscript"/>
        </w:rPr>
        <w:t xml:space="preserve">-3 </w:t>
      </w:r>
      <w:r w:rsidRPr="00FF27F0">
        <w:rPr>
          <w:rFonts w:ascii="Times New Roman" w:eastAsia="Times New Roman" w:hAnsi="Times New Roman" w:cs="Times New Roman"/>
          <w:sz w:val="24"/>
          <w:szCs w:val="24"/>
        </w:rPr>
        <w:t>produced by 160mlFP/15Lwater and 0mlFP/15Lwater (control) respectively. Meanwhile, 0mlFP/15Lwater (600mg/kgPO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and 140mlFP/15Lwater (660mg/kgPO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xml:space="preserve">) did not exhibit significant difference between </w:t>
      </w:r>
      <w:r w:rsidR="00E80111">
        <w:rPr>
          <w:rFonts w:ascii="Times New Roman" w:eastAsia="Times New Roman" w:hAnsi="Times New Roman" w:cs="Times New Roman"/>
          <w:sz w:val="24"/>
          <w:szCs w:val="24"/>
        </w:rPr>
        <w:t>themselves at p≤0.05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4.6.6 Phosphorus (P) Content of Cucumber Fruit (mg/kgP)</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The significant effect of Foliar Plus on the Phosphorus content of cucumber </w:t>
      </w:r>
      <w:r w:rsidR="00E80111">
        <w:rPr>
          <w:rFonts w:ascii="Times New Roman" w:eastAsia="Times New Roman" w:hAnsi="Times New Roman" w:cs="Times New Roman"/>
          <w:sz w:val="24"/>
          <w:szCs w:val="24"/>
        </w:rPr>
        <w:t>fruit was recorded in Table 1</w:t>
      </w:r>
      <w:r w:rsidRPr="00FF27F0">
        <w:rPr>
          <w:rFonts w:ascii="Times New Roman" w:eastAsia="Times New Roman" w:hAnsi="Times New Roman" w:cs="Times New Roman"/>
          <w:sz w:val="24"/>
          <w:szCs w:val="24"/>
        </w:rPr>
        <w:t>. The 120mlFP/15Lwater and 160mlFP/15Lwater produced 260.0mg/kgP and 210.0mg/kgP respectively and thus showing statistical similarities at p≤0.05). However, they exhibited significant (p≤0.05) difference from 180.0mg/kgP and 155.0mg/kgP (the lowest) values obtained by 0mlFP/15Lwater and 140mlFP/15Lwater treatments respectively.</w:t>
      </w:r>
    </w:p>
    <w:p w:rsidR="00AE71EA" w:rsidRPr="00FF27F0" w:rsidRDefault="00AE71EA"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4.6.7 Total Chlorophyll content of Cucumber Fruit (Chlorophyll A and B) (mg/gF.w)</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Total chlorophyll content of cucumber fruit as influenced by Foliar Plus treatm</w:t>
      </w:r>
      <w:r w:rsidR="00E80111">
        <w:rPr>
          <w:rFonts w:ascii="Times New Roman" w:eastAsia="Times New Roman" w:hAnsi="Times New Roman" w:cs="Times New Roman"/>
          <w:sz w:val="24"/>
          <w:szCs w:val="24"/>
        </w:rPr>
        <w:t>ent were displayed in Table 1</w:t>
      </w:r>
      <w:r w:rsidRPr="00FF27F0">
        <w:rPr>
          <w:rFonts w:ascii="Times New Roman" w:eastAsia="Times New Roman" w:hAnsi="Times New Roman" w:cs="Times New Roman"/>
          <w:sz w:val="24"/>
          <w:szCs w:val="24"/>
        </w:rPr>
        <w:t>. Data indicated that Foliar Plus did not have significant effect (p≥0.05) on the total chlorophyll as there were statistical similarities in 0.020mg/gF.w, 0.030mg/gF.w, 0.021mg/gF.w and 0.031mg/gF.w values produced by 0mlFP/15Lwater, 120mlFP/15Lwater, 140mlFP/15Lwater and 160mlFP/15Lwater respectively.</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lastRenderedPageBreak/>
        <w:t xml:space="preserve">In </w:t>
      </w:r>
      <w:r w:rsidR="00E80111">
        <w:rPr>
          <w:rFonts w:ascii="Times New Roman" w:eastAsia="Times New Roman" w:hAnsi="Times New Roman" w:cs="Times New Roman"/>
          <w:sz w:val="24"/>
          <w:szCs w:val="24"/>
        </w:rPr>
        <w:t xml:space="preserve">the </w:t>
      </w:r>
      <w:r w:rsidRPr="00FF27F0">
        <w:rPr>
          <w:rFonts w:ascii="Times New Roman" w:eastAsia="Times New Roman" w:hAnsi="Times New Roman" w:cs="Times New Roman"/>
          <w:sz w:val="24"/>
          <w:szCs w:val="24"/>
        </w:rPr>
        <w:t xml:space="preserve">treatment 0mlFP/15Lwater, chlorophyll A gave 0.020mg/gF.w whereas chlorophyll B obtained 0.001mg/gF.w and gave rise to </w:t>
      </w:r>
      <w:r w:rsidR="00F41CC6" w:rsidRPr="00FF27F0">
        <w:rPr>
          <w:rFonts w:ascii="Times New Roman" w:eastAsia="Times New Roman" w:hAnsi="Times New Roman" w:cs="Times New Roman"/>
          <w:sz w:val="24"/>
          <w:szCs w:val="24"/>
        </w:rPr>
        <w:t>total</w:t>
      </w:r>
      <w:r w:rsidRPr="00FF27F0">
        <w:rPr>
          <w:rFonts w:ascii="Times New Roman" w:eastAsia="Times New Roman" w:hAnsi="Times New Roman" w:cs="Times New Roman"/>
          <w:sz w:val="24"/>
          <w:szCs w:val="24"/>
        </w:rPr>
        <w:t xml:space="preserve"> chlorophyll of 0.021mg/gF.w in the respective treatments. </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In treatment 120mlFP/15Lwater, chlorophyll A and chlorophyll B were respectively 0.020mg/gF.w and 0.010mg/gF.w, adding up to 0.030mg/gF</w:t>
      </w:r>
      <w:r w:rsidR="001E2741">
        <w:rPr>
          <w:rFonts w:ascii="Times New Roman" w:eastAsia="Times New Roman" w:hAnsi="Times New Roman" w:cs="Times New Roman"/>
          <w:sz w:val="24"/>
          <w:szCs w:val="24"/>
        </w:rPr>
        <w:t>.w total chlorophyll (Table 1</w:t>
      </w:r>
      <w:r w:rsidRPr="00FF27F0">
        <w:rPr>
          <w:rFonts w:ascii="Times New Roman" w:eastAsia="Times New Roman" w:hAnsi="Times New Roman" w:cs="Times New Roman"/>
          <w:sz w:val="24"/>
          <w:szCs w:val="24"/>
        </w:rPr>
        <w:t>).</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In treatment 140mlFP/15Lwater, chlorophyll A and chloroohyll B were 0.020 and 0.001respectively, giving a total chlorophyll of 0.021.</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In treatment 160mlFP/15Lwater, chlorophyll A obtained 0.030mg/gF.w whereas cholorophyll B showed 0.00</w:t>
      </w:r>
      <w:r w:rsidR="001E2741">
        <w:rPr>
          <w:rFonts w:ascii="Times New Roman" w:eastAsia="Times New Roman" w:hAnsi="Times New Roman" w:cs="Times New Roman"/>
          <w:sz w:val="24"/>
          <w:szCs w:val="24"/>
        </w:rPr>
        <w:t xml:space="preserve">1mg/gF.w and combined to give a </w:t>
      </w:r>
      <w:r w:rsidRPr="00FF27F0">
        <w:rPr>
          <w:rFonts w:ascii="Times New Roman" w:eastAsia="Times New Roman" w:hAnsi="Times New Roman" w:cs="Times New Roman"/>
          <w:sz w:val="24"/>
          <w:szCs w:val="24"/>
        </w:rPr>
        <w:t>total chlorophy</w:t>
      </w:r>
      <w:r w:rsidR="001E2741">
        <w:rPr>
          <w:rFonts w:ascii="Times New Roman" w:eastAsia="Times New Roman" w:hAnsi="Times New Roman" w:cs="Times New Roman"/>
          <w:sz w:val="24"/>
          <w:szCs w:val="24"/>
        </w:rPr>
        <w:t>ll of 0.031mg/gF.w approximately.(Table 1).</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Generally, in chlorophyll A, 160mlFP/15Lwater gave 0.030mg/gF.w of chlorophyll A, slightly higher than, but not significantly (p≤0.05) different from other treatments which produced 0.020mg/gF.w each. In chlorophyll B, only 120mlFP/15Lwater obtained 0.010mg/gF.w, statistically (p≥0.05) similar to other treatments which gave 0.001mg/F.w each. But, in terms of total chlorophyll, though 160mlFP/15Lwater gave the highest value (0.031mg/gF.w), but not significantly (p≥0.05) different from 0mlFP/15Lwater (0.020mg/gF.w), 120mlFP/15Lwater (0.030mg/gF.w) and 140mlFP/15L</w:t>
      </w:r>
      <w:r w:rsidR="001E2741">
        <w:rPr>
          <w:rFonts w:ascii="Times New Roman" w:eastAsia="Times New Roman" w:hAnsi="Times New Roman" w:cs="Times New Roman"/>
          <w:sz w:val="24"/>
          <w:szCs w:val="24"/>
        </w:rPr>
        <w:t>water (0.021mg/gF.w) (Table 1</w:t>
      </w:r>
      <w:r w:rsidRPr="00FF27F0">
        <w:rPr>
          <w:rFonts w:ascii="Times New Roman" w:eastAsia="Times New Roman" w:hAnsi="Times New Roman" w:cs="Times New Roman"/>
          <w:sz w:val="24"/>
          <w:szCs w:val="24"/>
        </w:rPr>
        <w:t>).</w:t>
      </w:r>
    </w:p>
    <w:p w:rsidR="00AE71EA" w:rsidRPr="00FF27F0" w:rsidRDefault="001E2741" w:rsidP="00FF27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AE71EA" w:rsidRPr="00FF27F0">
        <w:rPr>
          <w:rFonts w:ascii="Times New Roman" w:eastAsia="Times New Roman" w:hAnsi="Times New Roman" w:cs="Times New Roman"/>
          <w:b/>
          <w:sz w:val="24"/>
          <w:szCs w:val="24"/>
        </w:rPr>
        <w:t xml:space="preserve"> Effect of Foliar Plus on the nutrients (minerals) components of cucumber fruit</w:t>
      </w:r>
    </w:p>
    <w:tbl>
      <w:tblPr>
        <w:tblStyle w:val="TableGrid"/>
        <w:tblW w:w="11559" w:type="dxa"/>
        <w:tblInd w:w="-1170" w:type="dxa"/>
        <w:tblLayout w:type="fixed"/>
        <w:tblLook w:val="04A0" w:firstRow="1" w:lastRow="0" w:firstColumn="1" w:lastColumn="0" w:noHBand="0" w:noVBand="1"/>
      </w:tblPr>
      <w:tblGrid>
        <w:gridCol w:w="1800"/>
        <w:gridCol w:w="1080"/>
        <w:gridCol w:w="1170"/>
        <w:gridCol w:w="1170"/>
        <w:gridCol w:w="1170"/>
        <w:gridCol w:w="1080"/>
        <w:gridCol w:w="990"/>
        <w:gridCol w:w="900"/>
        <w:gridCol w:w="990"/>
        <w:gridCol w:w="1209"/>
      </w:tblGrid>
      <w:tr w:rsidR="00AE71EA" w:rsidRPr="00FF27F0" w:rsidTr="00030F72">
        <w:trPr>
          <w:trHeight w:val="795"/>
        </w:trPr>
        <w:tc>
          <w:tcPr>
            <w:tcW w:w="1800" w:type="dxa"/>
            <w:tcBorders>
              <w:top w:val="single" w:sz="10" w:space="0" w:color="000000"/>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Treatments</w:t>
            </w:r>
          </w:p>
          <w:p w:rsidR="00AE71EA" w:rsidRPr="00FF27F0" w:rsidRDefault="00AE71EA" w:rsidP="00FF27F0">
            <w:pPr>
              <w:jc w:val="both"/>
              <w:rPr>
                <w:sz w:val="24"/>
                <w:szCs w:val="24"/>
              </w:rPr>
            </w:pPr>
            <w:r w:rsidRPr="00FF27F0">
              <w:rPr>
                <w:sz w:val="24"/>
                <w:szCs w:val="24"/>
              </w:rPr>
              <w:t xml:space="preserve"> </w:t>
            </w:r>
          </w:p>
        </w:tc>
        <w:tc>
          <w:tcPr>
            <w:tcW w:w="108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 xml:space="preserve">Potassium   </w:t>
            </w:r>
          </w:p>
          <w:p w:rsidR="00AE71EA" w:rsidRPr="00E43233" w:rsidRDefault="00AE71EA" w:rsidP="00FF27F0">
            <w:pPr>
              <w:jc w:val="both"/>
              <w:rPr>
                <w:sz w:val="20"/>
                <w:szCs w:val="20"/>
              </w:rPr>
            </w:pPr>
            <w:r w:rsidRPr="00E43233">
              <w:rPr>
                <w:sz w:val="20"/>
                <w:szCs w:val="20"/>
              </w:rPr>
              <w:t xml:space="preserve">(mg/kgK) </w:t>
            </w:r>
          </w:p>
        </w:tc>
        <w:tc>
          <w:tcPr>
            <w:tcW w:w="117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Calcium</w:t>
            </w:r>
          </w:p>
          <w:p w:rsidR="00AE71EA" w:rsidRPr="00E43233" w:rsidRDefault="00AE71EA" w:rsidP="00FF27F0">
            <w:pPr>
              <w:jc w:val="both"/>
              <w:rPr>
                <w:sz w:val="20"/>
                <w:szCs w:val="20"/>
              </w:rPr>
            </w:pPr>
            <w:r w:rsidRPr="00E43233">
              <w:rPr>
                <w:sz w:val="20"/>
                <w:szCs w:val="20"/>
              </w:rPr>
              <w:t>(mg/kgCa)</w:t>
            </w:r>
          </w:p>
        </w:tc>
        <w:tc>
          <w:tcPr>
            <w:tcW w:w="117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Magnesium (mg/kgMg)</w:t>
            </w:r>
          </w:p>
        </w:tc>
        <w:tc>
          <w:tcPr>
            <w:tcW w:w="117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 xml:space="preserve">Sodium </w:t>
            </w:r>
          </w:p>
          <w:p w:rsidR="00AE71EA" w:rsidRPr="00E43233" w:rsidRDefault="00AE71EA" w:rsidP="00FF27F0">
            <w:pPr>
              <w:jc w:val="both"/>
              <w:rPr>
                <w:sz w:val="20"/>
                <w:szCs w:val="20"/>
              </w:rPr>
            </w:pPr>
            <w:r w:rsidRPr="00E43233">
              <w:rPr>
                <w:sz w:val="20"/>
                <w:szCs w:val="20"/>
              </w:rPr>
              <w:t>(mg/kgNa)</w:t>
            </w:r>
          </w:p>
        </w:tc>
        <w:tc>
          <w:tcPr>
            <w:tcW w:w="108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Phosphate</w:t>
            </w:r>
          </w:p>
          <w:p w:rsidR="00AE71EA" w:rsidRPr="00E43233" w:rsidRDefault="00AE71EA" w:rsidP="00FF27F0">
            <w:pPr>
              <w:jc w:val="both"/>
              <w:rPr>
                <w:sz w:val="20"/>
                <w:szCs w:val="20"/>
              </w:rPr>
            </w:pPr>
            <w:r w:rsidRPr="00E43233">
              <w:rPr>
                <w:sz w:val="20"/>
                <w:szCs w:val="20"/>
              </w:rPr>
              <w:t>(mg/PO</w:t>
            </w:r>
            <w:r w:rsidRPr="00E43233">
              <w:rPr>
                <w:sz w:val="20"/>
                <w:szCs w:val="20"/>
                <w:vertAlign w:val="superscript"/>
              </w:rPr>
              <w:t xml:space="preserve">-3 </w:t>
            </w:r>
            <w:r w:rsidRPr="00E43233">
              <w:rPr>
                <w:sz w:val="20"/>
                <w:szCs w:val="20"/>
              </w:rPr>
              <w:t>)</w:t>
            </w:r>
          </w:p>
        </w:tc>
        <w:tc>
          <w:tcPr>
            <w:tcW w:w="99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 xml:space="preserve">Phosphorus  </w:t>
            </w:r>
          </w:p>
          <w:p w:rsidR="00AE71EA" w:rsidRPr="00E43233" w:rsidRDefault="00AE71EA" w:rsidP="00FF27F0">
            <w:pPr>
              <w:jc w:val="both"/>
              <w:rPr>
                <w:sz w:val="20"/>
                <w:szCs w:val="20"/>
              </w:rPr>
            </w:pPr>
            <w:r w:rsidRPr="00E43233">
              <w:rPr>
                <w:sz w:val="20"/>
                <w:szCs w:val="20"/>
              </w:rPr>
              <w:t>(mg/kgP)</w:t>
            </w:r>
          </w:p>
          <w:p w:rsidR="00AE71EA" w:rsidRPr="00FF27F0" w:rsidRDefault="00AE71EA" w:rsidP="00FF27F0">
            <w:pPr>
              <w:jc w:val="both"/>
              <w:rPr>
                <w:sz w:val="24"/>
                <w:szCs w:val="24"/>
              </w:rPr>
            </w:pPr>
          </w:p>
        </w:tc>
        <w:tc>
          <w:tcPr>
            <w:tcW w:w="90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Chlorophyll</w:t>
            </w:r>
          </w:p>
          <w:p w:rsidR="00AE71EA" w:rsidRPr="00E43233" w:rsidRDefault="00AE71EA" w:rsidP="00FF27F0">
            <w:pPr>
              <w:jc w:val="both"/>
              <w:rPr>
                <w:sz w:val="20"/>
                <w:szCs w:val="20"/>
              </w:rPr>
            </w:pPr>
            <w:r w:rsidRPr="00E43233">
              <w:rPr>
                <w:sz w:val="20"/>
                <w:szCs w:val="20"/>
              </w:rPr>
              <w:t xml:space="preserve">  A</w:t>
            </w:r>
          </w:p>
          <w:p w:rsidR="00AE71EA" w:rsidRPr="00E43233" w:rsidRDefault="00AE71EA" w:rsidP="00FF27F0">
            <w:pPr>
              <w:jc w:val="both"/>
              <w:rPr>
                <w:sz w:val="20"/>
                <w:szCs w:val="20"/>
              </w:rPr>
            </w:pPr>
            <w:r w:rsidRPr="00E43233">
              <w:rPr>
                <w:sz w:val="18"/>
                <w:szCs w:val="18"/>
              </w:rPr>
              <w:t>(mg/gF.</w:t>
            </w:r>
            <w:r w:rsidRPr="00E43233">
              <w:rPr>
                <w:sz w:val="20"/>
                <w:szCs w:val="20"/>
              </w:rPr>
              <w:t>w)</w:t>
            </w:r>
          </w:p>
        </w:tc>
        <w:tc>
          <w:tcPr>
            <w:tcW w:w="990"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Chlorophyll</w:t>
            </w:r>
          </w:p>
          <w:p w:rsidR="00AE71EA" w:rsidRPr="00E43233" w:rsidRDefault="00AE71EA" w:rsidP="00FF27F0">
            <w:pPr>
              <w:jc w:val="both"/>
              <w:rPr>
                <w:sz w:val="20"/>
                <w:szCs w:val="20"/>
              </w:rPr>
            </w:pPr>
            <w:r w:rsidRPr="00E43233">
              <w:rPr>
                <w:sz w:val="20"/>
                <w:szCs w:val="20"/>
              </w:rPr>
              <w:t xml:space="preserve">  B</w:t>
            </w:r>
          </w:p>
          <w:p w:rsidR="00AE71EA" w:rsidRPr="00FF27F0" w:rsidRDefault="00AE71EA" w:rsidP="00FF27F0">
            <w:pPr>
              <w:jc w:val="both"/>
              <w:rPr>
                <w:sz w:val="24"/>
                <w:szCs w:val="24"/>
              </w:rPr>
            </w:pPr>
            <w:r w:rsidRPr="00E43233">
              <w:rPr>
                <w:sz w:val="20"/>
                <w:szCs w:val="20"/>
              </w:rPr>
              <w:t>(mg/gF.</w:t>
            </w:r>
            <w:r w:rsidRPr="00FF27F0">
              <w:rPr>
                <w:sz w:val="24"/>
                <w:szCs w:val="24"/>
              </w:rPr>
              <w:t>w)</w:t>
            </w:r>
          </w:p>
        </w:tc>
        <w:tc>
          <w:tcPr>
            <w:tcW w:w="1209" w:type="dxa"/>
            <w:tcBorders>
              <w:top w:val="single" w:sz="10" w:space="0" w:color="000000"/>
              <w:left w:val="nil"/>
              <w:bottom w:val="single" w:sz="10" w:space="0" w:color="000000"/>
              <w:right w:val="nil"/>
              <w:tl2br w:val="nil"/>
              <w:tr2bl w:val="nil"/>
            </w:tcBorders>
          </w:tcPr>
          <w:p w:rsidR="00AE71EA" w:rsidRPr="00E43233" w:rsidRDefault="00AE71EA" w:rsidP="00FF27F0">
            <w:pPr>
              <w:jc w:val="both"/>
              <w:rPr>
                <w:sz w:val="20"/>
                <w:szCs w:val="20"/>
              </w:rPr>
            </w:pPr>
            <w:r w:rsidRPr="00E43233">
              <w:rPr>
                <w:sz w:val="20"/>
                <w:szCs w:val="20"/>
              </w:rPr>
              <w:t xml:space="preserve">Total Chlorophyll </w:t>
            </w:r>
          </w:p>
          <w:p w:rsidR="00AE71EA" w:rsidRPr="00E43233" w:rsidRDefault="00AE71EA" w:rsidP="00FF27F0">
            <w:pPr>
              <w:jc w:val="both"/>
              <w:rPr>
                <w:sz w:val="20"/>
                <w:szCs w:val="20"/>
              </w:rPr>
            </w:pPr>
            <w:r w:rsidRPr="00E43233">
              <w:rPr>
                <w:sz w:val="20"/>
                <w:szCs w:val="20"/>
              </w:rPr>
              <w:t>(mg/gF.w)</w:t>
            </w:r>
          </w:p>
        </w:tc>
      </w:tr>
      <w:tr w:rsidR="00AE71EA" w:rsidRPr="00FF27F0" w:rsidTr="00030F72">
        <w:tc>
          <w:tcPr>
            <w:tcW w:w="1800" w:type="dxa"/>
            <w:tcBorders>
              <w:top w:val="single" w:sz="10" w:space="0" w:color="000000"/>
              <w:left w:val="nil"/>
              <w:bottom w:val="nil"/>
              <w:right w:val="nil"/>
              <w:tl2br w:val="nil"/>
              <w:tr2bl w:val="nil"/>
            </w:tcBorders>
          </w:tcPr>
          <w:p w:rsidR="00AE71EA" w:rsidRPr="004D7713" w:rsidRDefault="00AE71EA" w:rsidP="00FF27F0">
            <w:pPr>
              <w:jc w:val="both"/>
            </w:pPr>
            <w:r w:rsidRPr="004D7713">
              <w:t xml:space="preserve">0mlFP/15Lwater </w:t>
            </w:r>
          </w:p>
          <w:p w:rsidR="00AE71EA" w:rsidRPr="00FF27F0" w:rsidRDefault="00AE71EA" w:rsidP="00FF27F0">
            <w:pPr>
              <w:jc w:val="both"/>
              <w:rPr>
                <w:sz w:val="24"/>
                <w:szCs w:val="24"/>
              </w:rPr>
            </w:pPr>
          </w:p>
        </w:tc>
        <w:tc>
          <w:tcPr>
            <w:tcW w:w="108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40.0</w:t>
            </w:r>
            <w:r w:rsidRPr="00FF27F0">
              <w:rPr>
                <w:sz w:val="24"/>
                <w:szCs w:val="24"/>
                <w:vertAlign w:val="superscript"/>
              </w:rPr>
              <w:t>b</w:t>
            </w:r>
          </w:p>
        </w:tc>
        <w:tc>
          <w:tcPr>
            <w:tcW w:w="117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117.8</w:t>
            </w:r>
            <w:r w:rsidRPr="00FF27F0">
              <w:rPr>
                <w:sz w:val="24"/>
                <w:szCs w:val="24"/>
                <w:vertAlign w:val="superscript"/>
              </w:rPr>
              <w:t>b</w:t>
            </w:r>
          </w:p>
        </w:tc>
        <w:tc>
          <w:tcPr>
            <w:tcW w:w="117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72.6</w:t>
            </w:r>
            <w:r w:rsidRPr="00FF27F0">
              <w:rPr>
                <w:sz w:val="24"/>
                <w:szCs w:val="24"/>
                <w:vertAlign w:val="superscript"/>
              </w:rPr>
              <w:t>ab</w:t>
            </w:r>
          </w:p>
        </w:tc>
        <w:tc>
          <w:tcPr>
            <w:tcW w:w="117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114.4</w:t>
            </w:r>
            <w:r w:rsidRPr="00FF27F0">
              <w:rPr>
                <w:sz w:val="24"/>
                <w:szCs w:val="24"/>
                <w:vertAlign w:val="superscript"/>
              </w:rPr>
              <w:t>b</w:t>
            </w:r>
          </w:p>
        </w:tc>
        <w:tc>
          <w:tcPr>
            <w:tcW w:w="108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600.0</w:t>
            </w:r>
            <w:r w:rsidRPr="00FF27F0">
              <w:rPr>
                <w:sz w:val="24"/>
                <w:szCs w:val="24"/>
                <w:vertAlign w:val="superscript"/>
              </w:rPr>
              <w:t>b</w:t>
            </w:r>
          </w:p>
        </w:tc>
        <w:tc>
          <w:tcPr>
            <w:tcW w:w="99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180.0</w:t>
            </w:r>
            <w:r w:rsidRPr="00FF27F0">
              <w:rPr>
                <w:sz w:val="24"/>
                <w:szCs w:val="24"/>
                <w:vertAlign w:val="superscript"/>
              </w:rPr>
              <w:t>c</w:t>
            </w:r>
          </w:p>
        </w:tc>
        <w:tc>
          <w:tcPr>
            <w:tcW w:w="90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0.020</w:t>
            </w:r>
            <w:r w:rsidRPr="00FF27F0">
              <w:rPr>
                <w:sz w:val="24"/>
                <w:szCs w:val="24"/>
                <w:vertAlign w:val="superscript"/>
              </w:rPr>
              <w:t>a</w:t>
            </w:r>
          </w:p>
        </w:tc>
        <w:tc>
          <w:tcPr>
            <w:tcW w:w="990"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0.001</w:t>
            </w:r>
            <w:r w:rsidRPr="00FF27F0">
              <w:rPr>
                <w:sz w:val="24"/>
                <w:szCs w:val="24"/>
                <w:vertAlign w:val="superscript"/>
              </w:rPr>
              <w:t>a</w:t>
            </w:r>
          </w:p>
        </w:tc>
        <w:tc>
          <w:tcPr>
            <w:tcW w:w="1209" w:type="dxa"/>
            <w:tcBorders>
              <w:top w:val="single" w:sz="10" w:space="0" w:color="000000"/>
              <w:left w:val="nil"/>
              <w:bottom w:val="nil"/>
              <w:right w:val="nil"/>
              <w:tl2br w:val="nil"/>
              <w:tr2bl w:val="nil"/>
            </w:tcBorders>
          </w:tcPr>
          <w:p w:rsidR="00AE71EA" w:rsidRPr="00FF27F0" w:rsidRDefault="00AE71EA" w:rsidP="00FF27F0">
            <w:pPr>
              <w:jc w:val="both"/>
              <w:rPr>
                <w:sz w:val="24"/>
                <w:szCs w:val="24"/>
              </w:rPr>
            </w:pPr>
            <w:r w:rsidRPr="00FF27F0">
              <w:rPr>
                <w:sz w:val="24"/>
                <w:szCs w:val="24"/>
              </w:rPr>
              <w:t>0.021</w:t>
            </w:r>
            <w:r w:rsidRPr="00FF27F0">
              <w:rPr>
                <w:sz w:val="24"/>
                <w:szCs w:val="24"/>
                <w:vertAlign w:val="superscript"/>
              </w:rPr>
              <w:t>a</w:t>
            </w:r>
          </w:p>
        </w:tc>
      </w:tr>
      <w:tr w:rsidR="00AE71EA" w:rsidRPr="00FF27F0" w:rsidTr="00030F72">
        <w:trPr>
          <w:trHeight w:val="486"/>
        </w:trPr>
        <w:tc>
          <w:tcPr>
            <w:tcW w:w="1800" w:type="dxa"/>
            <w:tcBorders>
              <w:top w:val="nil"/>
              <w:left w:val="nil"/>
              <w:bottom w:val="nil"/>
              <w:right w:val="nil"/>
              <w:tl2br w:val="nil"/>
              <w:tr2bl w:val="nil"/>
            </w:tcBorders>
          </w:tcPr>
          <w:p w:rsidR="00AE71EA" w:rsidRPr="004D7713" w:rsidRDefault="00AE71EA" w:rsidP="00FF27F0">
            <w:pPr>
              <w:jc w:val="both"/>
              <w:rPr>
                <w:sz w:val="20"/>
                <w:szCs w:val="20"/>
              </w:rPr>
            </w:pPr>
            <w:r w:rsidRPr="004D7713">
              <w:rPr>
                <w:sz w:val="20"/>
                <w:szCs w:val="20"/>
              </w:rPr>
              <w:t>120mlFP/15Lwater</w:t>
            </w:r>
          </w:p>
        </w:tc>
        <w:tc>
          <w:tcPr>
            <w:tcW w:w="1080" w:type="dxa"/>
            <w:tcBorders>
              <w:top w:val="nil"/>
              <w:left w:val="nil"/>
              <w:bottom w:val="nil"/>
              <w:right w:val="nil"/>
              <w:tl2br w:val="nil"/>
              <w:tr2bl w:val="nil"/>
            </w:tcBorders>
          </w:tcPr>
          <w:p w:rsidR="00AE71EA" w:rsidRPr="00FF27F0" w:rsidRDefault="00AE71EA" w:rsidP="00FF27F0">
            <w:pPr>
              <w:jc w:val="both"/>
              <w:rPr>
                <w:sz w:val="24"/>
                <w:szCs w:val="24"/>
                <w:vertAlign w:val="superscript"/>
              </w:rPr>
            </w:pPr>
            <w:r w:rsidRPr="00FF27F0">
              <w:rPr>
                <w:sz w:val="24"/>
                <w:szCs w:val="24"/>
              </w:rPr>
              <w:t xml:space="preserve">  80.0</w:t>
            </w:r>
            <w:r w:rsidRPr="00FF27F0">
              <w:rPr>
                <w:sz w:val="24"/>
                <w:szCs w:val="24"/>
                <w:vertAlign w:val="superscript"/>
              </w:rPr>
              <w:t>a</w:t>
            </w:r>
          </w:p>
          <w:p w:rsidR="00AE71EA" w:rsidRPr="00FF27F0" w:rsidRDefault="00AE71EA" w:rsidP="00FF27F0">
            <w:pPr>
              <w:jc w:val="both"/>
              <w:rPr>
                <w:sz w:val="24"/>
                <w:szCs w:val="24"/>
              </w:rPr>
            </w:pP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134.6</w:t>
            </w:r>
            <w:r w:rsidRPr="00FF27F0">
              <w:rPr>
                <w:sz w:val="24"/>
                <w:szCs w:val="24"/>
                <w:vertAlign w:val="superscript"/>
              </w:rPr>
              <w:t>b</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94.50</w:t>
            </w:r>
            <w:r w:rsidRPr="00FF27F0">
              <w:rPr>
                <w:sz w:val="24"/>
                <w:szCs w:val="24"/>
                <w:vertAlign w:val="superscript"/>
              </w:rPr>
              <w:t>a</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179.2</w:t>
            </w:r>
            <w:r w:rsidRPr="00FF27F0">
              <w:rPr>
                <w:sz w:val="24"/>
                <w:szCs w:val="24"/>
                <w:vertAlign w:val="superscript"/>
              </w:rPr>
              <w:t>a</w:t>
            </w:r>
          </w:p>
        </w:tc>
        <w:tc>
          <w:tcPr>
            <w:tcW w:w="108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690.0</w:t>
            </w:r>
            <w:r w:rsidRPr="00FF27F0">
              <w:rPr>
                <w:sz w:val="24"/>
                <w:szCs w:val="24"/>
                <w:vertAlign w:val="superscript"/>
              </w:rPr>
              <w:t>a</w:t>
            </w:r>
          </w:p>
        </w:tc>
        <w:tc>
          <w:tcPr>
            <w:tcW w:w="99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260.0</w:t>
            </w:r>
            <w:r w:rsidRPr="00FF27F0">
              <w:rPr>
                <w:sz w:val="24"/>
                <w:szCs w:val="24"/>
                <w:vertAlign w:val="superscript"/>
              </w:rPr>
              <w:t>a</w:t>
            </w:r>
          </w:p>
        </w:tc>
        <w:tc>
          <w:tcPr>
            <w:tcW w:w="90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0.020</w:t>
            </w:r>
            <w:r w:rsidRPr="00FF27F0">
              <w:rPr>
                <w:sz w:val="24"/>
                <w:szCs w:val="24"/>
                <w:vertAlign w:val="superscript"/>
              </w:rPr>
              <w:t>a</w:t>
            </w:r>
          </w:p>
        </w:tc>
        <w:tc>
          <w:tcPr>
            <w:tcW w:w="99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0.010</w:t>
            </w:r>
            <w:r w:rsidRPr="00FF27F0">
              <w:rPr>
                <w:sz w:val="24"/>
                <w:szCs w:val="24"/>
                <w:vertAlign w:val="superscript"/>
              </w:rPr>
              <w:t>a</w:t>
            </w:r>
          </w:p>
        </w:tc>
        <w:tc>
          <w:tcPr>
            <w:tcW w:w="1209"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0.030</w:t>
            </w:r>
            <w:r w:rsidRPr="00FF27F0">
              <w:rPr>
                <w:sz w:val="24"/>
                <w:szCs w:val="24"/>
                <w:vertAlign w:val="superscript"/>
              </w:rPr>
              <w:t>a</w:t>
            </w:r>
          </w:p>
        </w:tc>
      </w:tr>
      <w:tr w:rsidR="00AE71EA" w:rsidRPr="00FF27F0" w:rsidTr="00030F72">
        <w:tc>
          <w:tcPr>
            <w:tcW w:w="1800" w:type="dxa"/>
            <w:tcBorders>
              <w:top w:val="nil"/>
              <w:left w:val="nil"/>
              <w:bottom w:val="nil"/>
              <w:right w:val="nil"/>
              <w:tl2br w:val="nil"/>
              <w:tr2bl w:val="nil"/>
            </w:tcBorders>
          </w:tcPr>
          <w:p w:rsidR="00AE71EA" w:rsidRPr="004D7713" w:rsidRDefault="00AE71EA" w:rsidP="00FF27F0">
            <w:pPr>
              <w:jc w:val="both"/>
              <w:rPr>
                <w:sz w:val="20"/>
                <w:szCs w:val="20"/>
              </w:rPr>
            </w:pPr>
            <w:r w:rsidRPr="004D7713">
              <w:rPr>
                <w:sz w:val="20"/>
                <w:szCs w:val="20"/>
              </w:rPr>
              <w:t>140mlFP/15Lwater</w:t>
            </w:r>
          </w:p>
          <w:p w:rsidR="00AE71EA" w:rsidRPr="00FF27F0" w:rsidRDefault="00AE71EA" w:rsidP="00FF27F0">
            <w:pPr>
              <w:jc w:val="both"/>
              <w:rPr>
                <w:sz w:val="24"/>
                <w:szCs w:val="24"/>
              </w:rPr>
            </w:pPr>
          </w:p>
        </w:tc>
        <w:tc>
          <w:tcPr>
            <w:tcW w:w="108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40.0</w:t>
            </w:r>
            <w:r w:rsidRPr="00FF27F0">
              <w:rPr>
                <w:sz w:val="24"/>
                <w:szCs w:val="24"/>
                <w:vertAlign w:val="superscript"/>
              </w:rPr>
              <w:t>b</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93.1</w:t>
            </w:r>
            <w:r w:rsidRPr="00FF27F0">
              <w:rPr>
                <w:sz w:val="24"/>
                <w:szCs w:val="24"/>
                <w:vertAlign w:val="superscript"/>
              </w:rPr>
              <w:t>c</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74.1</w:t>
            </w:r>
            <w:r w:rsidRPr="00FF27F0">
              <w:rPr>
                <w:sz w:val="24"/>
                <w:szCs w:val="24"/>
                <w:vertAlign w:val="superscript"/>
              </w:rPr>
              <w:t>ab</w:t>
            </w:r>
          </w:p>
        </w:tc>
        <w:tc>
          <w:tcPr>
            <w:tcW w:w="117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119.5</w:t>
            </w:r>
            <w:r w:rsidRPr="00FF27F0">
              <w:rPr>
                <w:sz w:val="24"/>
                <w:szCs w:val="24"/>
                <w:vertAlign w:val="superscript"/>
              </w:rPr>
              <w:t>b</w:t>
            </w:r>
          </w:p>
        </w:tc>
        <w:tc>
          <w:tcPr>
            <w:tcW w:w="108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660.0</w:t>
            </w:r>
            <w:r w:rsidRPr="00FF27F0">
              <w:rPr>
                <w:sz w:val="24"/>
                <w:szCs w:val="24"/>
                <w:vertAlign w:val="superscript"/>
              </w:rPr>
              <w:t>ab</w:t>
            </w:r>
          </w:p>
        </w:tc>
        <w:tc>
          <w:tcPr>
            <w:tcW w:w="99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155.0</w:t>
            </w:r>
            <w:r w:rsidRPr="00FF27F0">
              <w:rPr>
                <w:sz w:val="24"/>
                <w:szCs w:val="24"/>
                <w:vertAlign w:val="superscript"/>
              </w:rPr>
              <w:t>c</w:t>
            </w:r>
          </w:p>
        </w:tc>
        <w:tc>
          <w:tcPr>
            <w:tcW w:w="90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0.020</w:t>
            </w:r>
            <w:r w:rsidRPr="00FF27F0">
              <w:rPr>
                <w:sz w:val="24"/>
                <w:szCs w:val="24"/>
                <w:vertAlign w:val="superscript"/>
              </w:rPr>
              <w:t>a</w:t>
            </w:r>
          </w:p>
        </w:tc>
        <w:tc>
          <w:tcPr>
            <w:tcW w:w="990"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 xml:space="preserve"> 0.001</w:t>
            </w:r>
            <w:r w:rsidRPr="00FF27F0">
              <w:rPr>
                <w:sz w:val="24"/>
                <w:szCs w:val="24"/>
                <w:vertAlign w:val="superscript"/>
              </w:rPr>
              <w:t>a</w:t>
            </w:r>
          </w:p>
        </w:tc>
        <w:tc>
          <w:tcPr>
            <w:tcW w:w="1209" w:type="dxa"/>
            <w:tcBorders>
              <w:top w:val="nil"/>
              <w:left w:val="nil"/>
              <w:bottom w:val="nil"/>
              <w:right w:val="nil"/>
              <w:tl2br w:val="nil"/>
              <w:tr2bl w:val="nil"/>
            </w:tcBorders>
          </w:tcPr>
          <w:p w:rsidR="00AE71EA" w:rsidRPr="00FF27F0" w:rsidRDefault="00AE71EA" w:rsidP="00FF27F0">
            <w:pPr>
              <w:jc w:val="both"/>
              <w:rPr>
                <w:sz w:val="24"/>
                <w:szCs w:val="24"/>
              </w:rPr>
            </w:pPr>
            <w:r w:rsidRPr="00FF27F0">
              <w:rPr>
                <w:sz w:val="24"/>
                <w:szCs w:val="24"/>
              </w:rPr>
              <w:t>0.021</w:t>
            </w:r>
            <w:r w:rsidRPr="00FF27F0">
              <w:rPr>
                <w:sz w:val="24"/>
                <w:szCs w:val="24"/>
                <w:vertAlign w:val="superscript"/>
              </w:rPr>
              <w:t>a</w:t>
            </w:r>
          </w:p>
        </w:tc>
      </w:tr>
      <w:tr w:rsidR="00AE71EA" w:rsidRPr="00FF27F0" w:rsidTr="00030F72">
        <w:tc>
          <w:tcPr>
            <w:tcW w:w="1800" w:type="dxa"/>
            <w:tcBorders>
              <w:top w:val="nil"/>
              <w:left w:val="nil"/>
              <w:bottom w:val="single" w:sz="10" w:space="0" w:color="000000"/>
              <w:right w:val="nil"/>
              <w:tl2br w:val="nil"/>
              <w:tr2bl w:val="nil"/>
            </w:tcBorders>
          </w:tcPr>
          <w:p w:rsidR="00AE71EA" w:rsidRPr="004D7713" w:rsidRDefault="00AE71EA" w:rsidP="00FF27F0">
            <w:pPr>
              <w:jc w:val="both"/>
              <w:rPr>
                <w:sz w:val="20"/>
                <w:szCs w:val="20"/>
              </w:rPr>
            </w:pPr>
            <w:r w:rsidRPr="004D7713">
              <w:rPr>
                <w:sz w:val="20"/>
                <w:szCs w:val="20"/>
              </w:rPr>
              <w:t>160mlFP/15Lwater</w:t>
            </w:r>
          </w:p>
          <w:p w:rsidR="00AE71EA" w:rsidRPr="00FF27F0" w:rsidRDefault="00AE71EA" w:rsidP="00FF27F0">
            <w:pPr>
              <w:jc w:val="both"/>
              <w:rPr>
                <w:sz w:val="24"/>
                <w:szCs w:val="24"/>
              </w:rPr>
            </w:pPr>
          </w:p>
        </w:tc>
        <w:tc>
          <w:tcPr>
            <w:tcW w:w="108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40.0</w:t>
            </w:r>
            <w:r w:rsidRPr="00FF27F0">
              <w:rPr>
                <w:sz w:val="24"/>
                <w:szCs w:val="24"/>
                <w:vertAlign w:val="superscript"/>
              </w:rPr>
              <w:t>b</w:t>
            </w:r>
          </w:p>
        </w:tc>
        <w:tc>
          <w:tcPr>
            <w:tcW w:w="117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176.5</w:t>
            </w:r>
            <w:r w:rsidRPr="00FF27F0">
              <w:rPr>
                <w:sz w:val="24"/>
                <w:szCs w:val="24"/>
                <w:vertAlign w:val="superscript"/>
              </w:rPr>
              <w:t>a</w:t>
            </w:r>
          </w:p>
        </w:tc>
        <w:tc>
          <w:tcPr>
            <w:tcW w:w="117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34.8</w:t>
            </w:r>
            <w:r w:rsidRPr="00FF27F0">
              <w:rPr>
                <w:sz w:val="24"/>
                <w:szCs w:val="24"/>
                <w:vertAlign w:val="superscript"/>
              </w:rPr>
              <w:t>c</w:t>
            </w:r>
          </w:p>
        </w:tc>
        <w:tc>
          <w:tcPr>
            <w:tcW w:w="117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80.8</w:t>
            </w:r>
            <w:r w:rsidRPr="00FF27F0">
              <w:rPr>
                <w:sz w:val="24"/>
                <w:szCs w:val="24"/>
                <w:vertAlign w:val="superscript"/>
              </w:rPr>
              <w:t>c</w:t>
            </w:r>
          </w:p>
        </w:tc>
        <w:tc>
          <w:tcPr>
            <w:tcW w:w="108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545</w:t>
            </w:r>
            <w:r w:rsidRPr="00FF27F0">
              <w:rPr>
                <w:sz w:val="24"/>
                <w:szCs w:val="24"/>
                <w:vertAlign w:val="superscript"/>
              </w:rPr>
              <w:t>c</w:t>
            </w:r>
          </w:p>
        </w:tc>
        <w:tc>
          <w:tcPr>
            <w:tcW w:w="99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210.0</w:t>
            </w:r>
            <w:r w:rsidRPr="00FF27F0">
              <w:rPr>
                <w:sz w:val="24"/>
                <w:szCs w:val="24"/>
                <w:vertAlign w:val="superscript"/>
              </w:rPr>
              <w:t>ab</w:t>
            </w:r>
          </w:p>
        </w:tc>
        <w:tc>
          <w:tcPr>
            <w:tcW w:w="90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0.030</w:t>
            </w:r>
            <w:r w:rsidRPr="00FF27F0">
              <w:rPr>
                <w:sz w:val="24"/>
                <w:szCs w:val="24"/>
                <w:vertAlign w:val="superscript"/>
              </w:rPr>
              <w:t>a</w:t>
            </w:r>
          </w:p>
        </w:tc>
        <w:tc>
          <w:tcPr>
            <w:tcW w:w="990"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 xml:space="preserve"> 0.001</w:t>
            </w:r>
            <w:r w:rsidRPr="00FF27F0">
              <w:rPr>
                <w:sz w:val="24"/>
                <w:szCs w:val="24"/>
                <w:vertAlign w:val="superscript"/>
              </w:rPr>
              <w:t>a</w:t>
            </w:r>
          </w:p>
        </w:tc>
        <w:tc>
          <w:tcPr>
            <w:tcW w:w="1209" w:type="dxa"/>
            <w:tcBorders>
              <w:top w:val="nil"/>
              <w:left w:val="nil"/>
              <w:bottom w:val="single" w:sz="10" w:space="0" w:color="000000"/>
              <w:right w:val="nil"/>
              <w:tl2br w:val="nil"/>
              <w:tr2bl w:val="nil"/>
            </w:tcBorders>
          </w:tcPr>
          <w:p w:rsidR="00AE71EA" w:rsidRPr="00FF27F0" w:rsidRDefault="00AE71EA" w:rsidP="00FF27F0">
            <w:pPr>
              <w:jc w:val="both"/>
              <w:rPr>
                <w:sz w:val="24"/>
                <w:szCs w:val="24"/>
              </w:rPr>
            </w:pPr>
            <w:r w:rsidRPr="00FF27F0">
              <w:rPr>
                <w:sz w:val="24"/>
                <w:szCs w:val="24"/>
              </w:rPr>
              <w:t>0.031</w:t>
            </w:r>
            <w:r w:rsidRPr="00FF27F0">
              <w:rPr>
                <w:sz w:val="24"/>
                <w:szCs w:val="24"/>
                <w:vertAlign w:val="superscript"/>
              </w:rPr>
              <w:t>a</w:t>
            </w:r>
          </w:p>
        </w:tc>
      </w:tr>
    </w:tbl>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*Means having the same letter(s) </w:t>
      </w:r>
      <w:r w:rsidR="00225657" w:rsidRPr="00FF27F0">
        <w:rPr>
          <w:rFonts w:ascii="Times New Roman" w:eastAsia="Times New Roman" w:hAnsi="Times New Roman" w:cs="Times New Roman"/>
          <w:sz w:val="24"/>
          <w:szCs w:val="24"/>
        </w:rPr>
        <w:t xml:space="preserve">in the same column </w:t>
      </w:r>
      <w:r w:rsidRPr="00FF27F0">
        <w:rPr>
          <w:rFonts w:ascii="Times New Roman" w:eastAsia="Times New Roman" w:hAnsi="Times New Roman" w:cs="Times New Roman"/>
          <w:sz w:val="24"/>
          <w:szCs w:val="24"/>
        </w:rPr>
        <w:t>are not significantly different at 5% probability according to Duncan’s New Multiple Range Test.</w:t>
      </w:r>
    </w:p>
    <w:p w:rsidR="00AE71EA" w:rsidRPr="00FF27F0" w:rsidRDefault="00AE71EA" w:rsidP="00FF27F0">
      <w:pPr>
        <w:spacing w:line="240" w:lineRule="auto"/>
        <w:jc w:val="both"/>
        <w:rPr>
          <w:rFonts w:ascii="Times New Roman" w:eastAsia="Times New Roman" w:hAnsi="Times New Roman" w:cs="Times New Roman"/>
          <w:b/>
          <w:sz w:val="24"/>
          <w:szCs w:val="24"/>
        </w:rPr>
      </w:pPr>
      <w:r w:rsidRPr="00FF27F0">
        <w:rPr>
          <w:rFonts w:ascii="Times New Roman" w:eastAsia="Times New Roman" w:hAnsi="Times New Roman" w:cs="Times New Roman"/>
          <w:b/>
          <w:sz w:val="24"/>
          <w:szCs w:val="24"/>
        </w:rPr>
        <w:t>Key:</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0mLFP/15Lwater:  0ml of Foliar Plus in 15 litres of water</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120mLFP/15Lwater:  120ml of Foliar Plus in 15 litres of water</w:t>
      </w:r>
    </w:p>
    <w:p w:rsidR="00AE71EA"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140mLFP/15Lwater:  140ml of Foliar Plus in 15 litres of water</w:t>
      </w:r>
    </w:p>
    <w:p w:rsidR="00E678A0" w:rsidRPr="00FF27F0" w:rsidRDefault="00AE71EA"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160mLFP/15Lwater: 160ml of Foliar Plus in 15 litres of water</w:t>
      </w:r>
    </w:p>
    <w:p w:rsidR="00E678A0" w:rsidRPr="00FF27F0" w:rsidRDefault="00E678A0" w:rsidP="00FF27F0">
      <w:pPr>
        <w:spacing w:line="240" w:lineRule="auto"/>
        <w:jc w:val="both"/>
        <w:rPr>
          <w:rFonts w:ascii="Times New Roman" w:hAnsi="Times New Roman" w:cs="Times New Roman"/>
          <w:sz w:val="24"/>
          <w:szCs w:val="24"/>
        </w:rPr>
      </w:pPr>
    </w:p>
    <w:p w:rsidR="00225657" w:rsidRPr="00FF27F0" w:rsidRDefault="00A11BF9" w:rsidP="00FF27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4.7 </w:t>
      </w:r>
      <w:r w:rsidR="00225657" w:rsidRPr="00FF27F0">
        <w:rPr>
          <w:rFonts w:ascii="Times New Roman" w:eastAsia="Times New Roman" w:hAnsi="Times New Roman" w:cs="Times New Roman"/>
          <w:b/>
          <w:sz w:val="24"/>
          <w:szCs w:val="24"/>
        </w:rPr>
        <w:t xml:space="preserve">Effects of Foliar Plus on the proximate values (parameters) of cucumber fruit </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lastRenderedPageBreak/>
        <w:t>4.7.1 Ash Content (%)</w:t>
      </w:r>
    </w:p>
    <w:p w:rsidR="00225657" w:rsidRPr="00FF27F0" w:rsidRDefault="0026031B"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001E27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showes</w:t>
      </w:r>
      <w:r w:rsidR="00225657" w:rsidRPr="00FF27F0">
        <w:rPr>
          <w:rFonts w:ascii="Times New Roman" w:eastAsia="Times New Roman" w:hAnsi="Times New Roman" w:cs="Times New Roman"/>
          <w:sz w:val="24"/>
          <w:szCs w:val="24"/>
        </w:rPr>
        <w:t xml:space="preserve"> the data on the effect of Foliar Plus on the ash content of cucumber. Treatment 120mlFP/15Lwater gave the greatest value (0.28%) which was not significantly (p≥0.05) different from 0.26%, 0.27% and 0.22% values obtained by Control (0mlFP/15Lwater), 140mlFP/15Lwater and 160mlFP/15Lwater respectively. The lowest value (0.22%) came from the highest concentration of Foliar Plus (160mlFP/15Lwater).</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4.7.2 Moisture Contents (%)</w:t>
      </w:r>
    </w:p>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Effect of Foliar Plus did not record any significant effect on the moisture</w:t>
      </w:r>
      <w:r w:rsidR="0026031B">
        <w:rPr>
          <w:rFonts w:ascii="Times New Roman" w:eastAsia="Times New Roman" w:hAnsi="Times New Roman" w:cs="Times New Roman"/>
          <w:sz w:val="24"/>
          <w:szCs w:val="24"/>
        </w:rPr>
        <w:t xml:space="preserve"> content of cucumber (Table 2</w:t>
      </w:r>
      <w:r w:rsidRPr="00FF27F0">
        <w:rPr>
          <w:rFonts w:ascii="Times New Roman" w:eastAsia="Times New Roman" w:hAnsi="Times New Roman" w:cs="Times New Roman"/>
          <w:sz w:val="24"/>
          <w:szCs w:val="24"/>
        </w:rPr>
        <w:t>). Treatments, 0mlFP/15Lwater, 120mlFP/15Lwater, 140mlFP/15Lwater and160mlFP/15LWater produced these respective statistical similar values, 95.29%, 96.25%, 93.52% and 94.48% at p≤0.05. Though 120mlFP/15Lwater gave the highest value (96.25%), but not significantly (p≥0.05) different from the values of other treatments.</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 xml:space="preserve">4.7.3 Fibre Content (%) </w:t>
      </w:r>
    </w:p>
    <w:p w:rsidR="00225657" w:rsidRPr="00FF27F0" w:rsidRDefault="0026031B"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Table 2</w:t>
      </w:r>
      <w:r w:rsidR="00225657" w:rsidRPr="00FF27F0">
        <w:rPr>
          <w:rFonts w:ascii="Times New Roman" w:eastAsia="Times New Roman" w:hAnsi="Times New Roman" w:cs="Times New Roman"/>
          <w:sz w:val="24"/>
          <w:szCs w:val="24"/>
        </w:rPr>
        <w:t xml:space="preserve"> were also shown effects of Foliar Plus on the fibre content of cucumber fruit. Data showed that the highest (value) 2.18% of fibre content produced by 140mlFP/15Lwater, was significantly similar (p≥0.05) similar to 1.34% given by 160mlFP/15Lwater, but significantly (p≤0.05) higher than 0.33% and 0.75% produced by the control and 120mlFP/15Lwater respectively. The control gave the least value (0.3</w:t>
      </w:r>
      <w:r>
        <w:rPr>
          <w:rFonts w:ascii="Times New Roman" w:eastAsia="Times New Roman" w:hAnsi="Times New Roman" w:cs="Times New Roman"/>
          <w:sz w:val="24"/>
          <w:szCs w:val="24"/>
        </w:rPr>
        <w:t>3%) as can be seen in Table 2</w:t>
      </w:r>
      <w:r w:rsidR="00225657" w:rsidRPr="00FF27F0">
        <w:rPr>
          <w:rFonts w:ascii="Times New Roman" w:eastAsia="Times New Roman" w:hAnsi="Times New Roman" w:cs="Times New Roman"/>
          <w:sz w:val="24"/>
          <w:szCs w:val="24"/>
        </w:rPr>
        <w:t>.</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4.7.4 Lipid (Fat) Content (%)</w:t>
      </w:r>
    </w:p>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The effect of Foliar Plus on the Lipid (Fat) content of cucumber fruit</w:t>
      </w:r>
      <w:r w:rsidR="0026031B">
        <w:rPr>
          <w:rFonts w:ascii="Times New Roman" w:eastAsia="Times New Roman" w:hAnsi="Times New Roman" w:cs="Times New Roman"/>
          <w:sz w:val="24"/>
          <w:szCs w:val="24"/>
        </w:rPr>
        <w:t xml:space="preserve"> can be seen in Table 2</w:t>
      </w:r>
      <w:r w:rsidRPr="00FF27F0">
        <w:rPr>
          <w:rFonts w:ascii="Times New Roman" w:eastAsia="Times New Roman" w:hAnsi="Times New Roman" w:cs="Times New Roman"/>
          <w:sz w:val="24"/>
          <w:szCs w:val="24"/>
        </w:rPr>
        <w:t>. It shows that 120mlFP/15Lwater and 140mlFP/15Lwater gave 0.09% and 0.07% respectively with no significant (p≥0.05) difference between them, but they were significantly (p≤0.05) different from 0mlFP/15Lwater (0.02%) and 160mlFP/15Lwater (0.02%). Again, the lowest value (0.02%) each were produced by 0mlFP/15Lwater and 160mlFP/15Lwater, indicating statistical simila</w:t>
      </w:r>
      <w:r w:rsidR="00D425B1">
        <w:rPr>
          <w:rFonts w:ascii="Times New Roman" w:eastAsia="Times New Roman" w:hAnsi="Times New Roman" w:cs="Times New Roman"/>
          <w:sz w:val="24"/>
          <w:szCs w:val="24"/>
        </w:rPr>
        <w:t>rities between them (Table 2)</w:t>
      </w:r>
      <w:r w:rsidRPr="00FF27F0">
        <w:rPr>
          <w:rFonts w:ascii="Times New Roman" w:eastAsia="Times New Roman" w:hAnsi="Times New Roman" w:cs="Times New Roman"/>
          <w:sz w:val="24"/>
          <w:szCs w:val="24"/>
        </w:rPr>
        <w:t>.</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4.7.5 Protein Content (%)</w:t>
      </w:r>
    </w:p>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Protein Content of cucumber fruit, as significantly (p≥0.05) affected by applied Foliar </w:t>
      </w:r>
      <w:r w:rsidR="00C57D13">
        <w:rPr>
          <w:rFonts w:ascii="Times New Roman" w:eastAsia="Times New Roman" w:hAnsi="Times New Roman" w:cs="Times New Roman"/>
          <w:sz w:val="24"/>
          <w:szCs w:val="24"/>
        </w:rPr>
        <w:t>Plus, was recorded in Table 2</w:t>
      </w:r>
      <w:r w:rsidRPr="00FF27F0">
        <w:rPr>
          <w:rFonts w:ascii="Times New Roman" w:eastAsia="Times New Roman" w:hAnsi="Times New Roman" w:cs="Times New Roman"/>
          <w:sz w:val="24"/>
          <w:szCs w:val="24"/>
        </w:rPr>
        <w:t>. The treatment 120mlFP/15Lwater recorded the highest value (0.44%) with significant (p≤0.05) difference from the rest the treatments. Meanwhile, treatments 0mlFP/15Lwater (0.18%), 140mlFP/15Lwater (0.22%) and 160mlFP/15Lwater (0.18%) exhibited statistical similarities among themselves at p≤0.05.</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4.7.6 Carbohydrate content of Cucumber Fruit (%)</w:t>
      </w:r>
    </w:p>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Effect of Foliar Plus on the carbohydrate content of cucu</w:t>
      </w:r>
      <w:r w:rsidR="00C57D13">
        <w:rPr>
          <w:rFonts w:ascii="Times New Roman" w:eastAsia="Times New Roman" w:hAnsi="Times New Roman" w:cs="Times New Roman"/>
          <w:sz w:val="24"/>
          <w:szCs w:val="24"/>
        </w:rPr>
        <w:t>mber was recorded on Table 2</w:t>
      </w:r>
      <w:r w:rsidRPr="00FF27F0">
        <w:rPr>
          <w:rFonts w:ascii="Times New Roman" w:eastAsia="Times New Roman" w:hAnsi="Times New Roman" w:cs="Times New Roman"/>
          <w:sz w:val="24"/>
          <w:szCs w:val="24"/>
        </w:rPr>
        <w:t xml:space="preserve"> Analysis showed that the control (0mlFP/15Lwater) got the lowest value (2.80%) and significantly (p≤0.05) differed from 3.78%, 3.76% and 3.77% values produced by 120mlFP/15Lwater, 140mlFP/15Lwater and 160mlFP/15Lwater respectively. The last three values showed statistical (p≥0.05) similarit</w:t>
      </w:r>
      <w:r w:rsidR="00C57D13">
        <w:rPr>
          <w:rFonts w:ascii="Times New Roman" w:eastAsia="Times New Roman" w:hAnsi="Times New Roman" w:cs="Times New Roman"/>
          <w:sz w:val="24"/>
          <w:szCs w:val="24"/>
        </w:rPr>
        <w:t>ies with one another (Table 2</w:t>
      </w:r>
      <w:r w:rsidRPr="00FF27F0">
        <w:rPr>
          <w:rFonts w:ascii="Times New Roman" w:eastAsia="Times New Roman" w:hAnsi="Times New Roman" w:cs="Times New Roman"/>
          <w:sz w:val="24"/>
          <w:szCs w:val="24"/>
        </w:rPr>
        <w:t>).</w:t>
      </w:r>
    </w:p>
    <w:p w:rsidR="00225657" w:rsidRPr="00FF27F0" w:rsidRDefault="00225657" w:rsidP="00FF27F0">
      <w:pPr>
        <w:spacing w:line="240" w:lineRule="auto"/>
        <w:jc w:val="both"/>
        <w:rPr>
          <w:rFonts w:ascii="Times New Roman" w:eastAsia="Times New Roman" w:hAnsi="Times New Roman" w:cs="Times New Roman"/>
          <w:i/>
          <w:sz w:val="24"/>
          <w:szCs w:val="24"/>
        </w:rPr>
      </w:pPr>
      <w:r w:rsidRPr="00FF27F0">
        <w:rPr>
          <w:rFonts w:ascii="Times New Roman" w:eastAsia="Times New Roman" w:hAnsi="Times New Roman" w:cs="Times New Roman"/>
          <w:i/>
          <w:sz w:val="24"/>
          <w:szCs w:val="24"/>
        </w:rPr>
        <w:t>4.7.7 Energy Value (kJ/100g)</w:t>
      </w:r>
    </w:p>
    <w:p w:rsidR="00225657" w:rsidRPr="00FF27F0" w:rsidRDefault="00C57D13" w:rsidP="00FF27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Again, Table 2</w:t>
      </w:r>
      <w:r w:rsidR="00225657" w:rsidRPr="00FF27F0">
        <w:rPr>
          <w:rFonts w:ascii="Times New Roman" w:eastAsia="Times New Roman" w:hAnsi="Times New Roman" w:cs="Times New Roman"/>
          <w:sz w:val="24"/>
          <w:szCs w:val="24"/>
        </w:rPr>
        <w:t xml:space="preserve"> shows the data rerecorded for energy content (kJ/100g) of cucumber fruit as influenced by Foliar Plus application. Available information showed that FP had significant effect on the energy value of cucumber fruit. The control (0mlFP/15Lwater) produced the lowest value 54.92k/J100g, significantly (p≤0.05) different from other values recorded for other treatment levels. Meanwhil</w:t>
      </w:r>
      <w:r>
        <w:rPr>
          <w:rFonts w:ascii="Times New Roman" w:eastAsia="Times New Roman" w:hAnsi="Times New Roman" w:cs="Times New Roman"/>
          <w:sz w:val="24"/>
          <w:szCs w:val="24"/>
        </w:rPr>
        <w:t xml:space="preserve">e, Treatments 120mlFP/15Lwater, </w:t>
      </w:r>
      <w:r w:rsidR="00225657" w:rsidRPr="00FF27F0">
        <w:rPr>
          <w:rFonts w:ascii="Times New Roman" w:eastAsia="Times New Roman" w:hAnsi="Times New Roman" w:cs="Times New Roman"/>
          <w:sz w:val="24"/>
          <w:szCs w:val="24"/>
        </w:rPr>
        <w:t>140mlFP/15Lwater and 160mlFP/15Lwater recorded 68.65kJ/100g, 69.01kJ/100g and 66.81kJ/100g respectively, indicating no significant (p≥0.05) differences among themselv</w:t>
      </w:r>
      <w:r>
        <w:rPr>
          <w:rFonts w:ascii="Times New Roman" w:eastAsia="Times New Roman" w:hAnsi="Times New Roman" w:cs="Times New Roman"/>
          <w:sz w:val="24"/>
          <w:szCs w:val="24"/>
        </w:rPr>
        <w:t>es, as can be seen in Table 2</w:t>
      </w:r>
      <w:r w:rsidR="00225657" w:rsidRPr="00FF27F0">
        <w:rPr>
          <w:rFonts w:ascii="Times New Roman" w:eastAsia="Times New Roman" w:hAnsi="Times New Roman" w:cs="Times New Roman"/>
          <w:sz w:val="24"/>
          <w:szCs w:val="24"/>
        </w:rPr>
        <w:t>.</w:t>
      </w:r>
    </w:p>
    <w:p w:rsidR="00225657" w:rsidRPr="00FF27F0" w:rsidRDefault="00C57D13" w:rsidP="00FF27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sidR="00225657" w:rsidRPr="00FF27F0">
        <w:rPr>
          <w:rFonts w:ascii="Times New Roman" w:eastAsia="Times New Roman" w:hAnsi="Times New Roman" w:cs="Times New Roman"/>
          <w:b/>
          <w:sz w:val="24"/>
          <w:szCs w:val="24"/>
        </w:rPr>
        <w:t xml:space="preserve"> Effects of Foliar Plus on the proximate values (parameters) of cucumber fruit </w:t>
      </w:r>
    </w:p>
    <w:tbl>
      <w:tblPr>
        <w:tblStyle w:val="TableGrid"/>
        <w:tblW w:w="9900" w:type="dxa"/>
        <w:tblInd w:w="-275" w:type="dxa"/>
        <w:tblLayout w:type="fixed"/>
        <w:tblLook w:val="04A0" w:firstRow="1" w:lastRow="0" w:firstColumn="1" w:lastColumn="0" w:noHBand="0" w:noVBand="1"/>
      </w:tblPr>
      <w:tblGrid>
        <w:gridCol w:w="2250"/>
        <w:gridCol w:w="990"/>
        <w:gridCol w:w="1080"/>
        <w:gridCol w:w="990"/>
        <w:gridCol w:w="990"/>
        <w:gridCol w:w="990"/>
        <w:gridCol w:w="1440"/>
        <w:gridCol w:w="1170"/>
      </w:tblGrid>
      <w:tr w:rsidR="00225657" w:rsidRPr="00FF27F0" w:rsidTr="00030F72">
        <w:trPr>
          <w:trHeight w:val="869"/>
        </w:trPr>
        <w:tc>
          <w:tcPr>
            <w:tcW w:w="225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Treatments </w:t>
            </w:r>
          </w:p>
        </w:tc>
        <w:tc>
          <w:tcPr>
            <w:tcW w:w="99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Ash </w:t>
            </w:r>
          </w:p>
          <w:p w:rsidR="00225657" w:rsidRPr="00FF27F0" w:rsidRDefault="00225657" w:rsidP="00FF27F0">
            <w:pPr>
              <w:jc w:val="both"/>
              <w:rPr>
                <w:sz w:val="24"/>
                <w:szCs w:val="24"/>
              </w:rPr>
            </w:pPr>
            <w:r w:rsidRPr="00FF27F0">
              <w:rPr>
                <w:sz w:val="24"/>
                <w:szCs w:val="24"/>
              </w:rPr>
              <w:t xml:space="preserve">  (%)</w:t>
            </w:r>
          </w:p>
        </w:tc>
        <w:tc>
          <w:tcPr>
            <w:tcW w:w="1080" w:type="dxa"/>
            <w:tcBorders>
              <w:top w:val="single" w:sz="10" w:space="0" w:color="000000"/>
              <w:left w:val="nil"/>
              <w:bottom w:val="single" w:sz="10" w:space="0" w:color="000000"/>
              <w:right w:val="nil"/>
              <w:tl2br w:val="nil"/>
              <w:tr2bl w:val="nil"/>
            </w:tcBorders>
          </w:tcPr>
          <w:p w:rsidR="00225657" w:rsidRPr="00E43233" w:rsidRDefault="00225657" w:rsidP="00FF27F0">
            <w:pPr>
              <w:jc w:val="both"/>
            </w:pPr>
            <w:r w:rsidRPr="00E43233">
              <w:t xml:space="preserve">Moisture </w:t>
            </w:r>
          </w:p>
          <w:p w:rsidR="00225657" w:rsidRPr="00FF27F0" w:rsidRDefault="00225657" w:rsidP="00FF27F0">
            <w:pPr>
              <w:jc w:val="both"/>
              <w:rPr>
                <w:sz w:val="24"/>
                <w:szCs w:val="24"/>
              </w:rPr>
            </w:pPr>
            <w:r w:rsidRPr="00FF27F0">
              <w:rPr>
                <w:sz w:val="24"/>
                <w:szCs w:val="24"/>
              </w:rPr>
              <w:t xml:space="preserve"> (%)</w:t>
            </w:r>
          </w:p>
        </w:tc>
        <w:tc>
          <w:tcPr>
            <w:tcW w:w="99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Fibre </w:t>
            </w:r>
          </w:p>
          <w:p w:rsidR="00225657" w:rsidRPr="00FF27F0" w:rsidRDefault="00225657" w:rsidP="00FF27F0">
            <w:pPr>
              <w:jc w:val="both"/>
              <w:rPr>
                <w:sz w:val="24"/>
                <w:szCs w:val="24"/>
              </w:rPr>
            </w:pPr>
            <w:r w:rsidRPr="00FF27F0">
              <w:rPr>
                <w:sz w:val="24"/>
                <w:szCs w:val="24"/>
              </w:rPr>
              <w:t xml:space="preserve"> (%)</w:t>
            </w:r>
          </w:p>
        </w:tc>
        <w:tc>
          <w:tcPr>
            <w:tcW w:w="990" w:type="dxa"/>
            <w:tcBorders>
              <w:top w:val="single" w:sz="10" w:space="0" w:color="000000"/>
              <w:left w:val="nil"/>
              <w:bottom w:val="single" w:sz="10" w:space="0" w:color="000000"/>
              <w:right w:val="nil"/>
              <w:tl2br w:val="nil"/>
              <w:tr2bl w:val="nil"/>
            </w:tcBorders>
          </w:tcPr>
          <w:p w:rsidR="00225657" w:rsidRPr="00E43233" w:rsidRDefault="001B49B3" w:rsidP="00FF27F0">
            <w:pPr>
              <w:jc w:val="both"/>
              <w:rPr>
                <w:sz w:val="20"/>
                <w:szCs w:val="20"/>
              </w:rPr>
            </w:pPr>
            <w:r w:rsidRPr="00E43233">
              <w:rPr>
                <w:sz w:val="20"/>
                <w:szCs w:val="20"/>
              </w:rPr>
              <w:t>Fat(lipid)</w:t>
            </w:r>
            <w:r w:rsidR="00225657" w:rsidRPr="00E43233">
              <w:rPr>
                <w:sz w:val="20"/>
                <w:szCs w:val="20"/>
              </w:rPr>
              <w:t xml:space="preserve"> </w:t>
            </w:r>
          </w:p>
          <w:p w:rsidR="00225657" w:rsidRPr="00FF27F0" w:rsidRDefault="00225657" w:rsidP="00FF27F0">
            <w:pPr>
              <w:jc w:val="both"/>
              <w:rPr>
                <w:sz w:val="24"/>
                <w:szCs w:val="24"/>
              </w:rPr>
            </w:pPr>
            <w:r w:rsidRPr="00FF27F0">
              <w:rPr>
                <w:sz w:val="24"/>
                <w:szCs w:val="24"/>
              </w:rPr>
              <w:t xml:space="preserve"> (%)</w:t>
            </w:r>
          </w:p>
        </w:tc>
        <w:tc>
          <w:tcPr>
            <w:tcW w:w="99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Protein </w:t>
            </w:r>
          </w:p>
          <w:p w:rsidR="00225657" w:rsidRPr="00FF27F0" w:rsidRDefault="00225657" w:rsidP="00FF27F0">
            <w:pPr>
              <w:jc w:val="both"/>
              <w:rPr>
                <w:sz w:val="24"/>
                <w:szCs w:val="24"/>
              </w:rPr>
            </w:pPr>
            <w:r w:rsidRPr="00FF27F0">
              <w:rPr>
                <w:sz w:val="24"/>
                <w:szCs w:val="24"/>
              </w:rPr>
              <w:t xml:space="preserve"> (%)</w:t>
            </w:r>
          </w:p>
        </w:tc>
        <w:tc>
          <w:tcPr>
            <w:tcW w:w="1440" w:type="dxa"/>
            <w:tcBorders>
              <w:top w:val="single" w:sz="10" w:space="0" w:color="000000"/>
              <w:left w:val="nil"/>
              <w:bottom w:val="single" w:sz="10" w:space="0" w:color="000000"/>
              <w:right w:val="nil"/>
              <w:tl2br w:val="nil"/>
              <w:tr2bl w:val="nil"/>
            </w:tcBorders>
          </w:tcPr>
          <w:p w:rsidR="00225657" w:rsidRPr="00E43233" w:rsidRDefault="00225657" w:rsidP="00FF27F0">
            <w:pPr>
              <w:jc w:val="both"/>
            </w:pPr>
            <w:r w:rsidRPr="00E43233">
              <w:t xml:space="preserve">Carbohydrate </w:t>
            </w:r>
          </w:p>
          <w:p w:rsidR="00225657" w:rsidRPr="00FF27F0" w:rsidRDefault="00225657" w:rsidP="00FF27F0">
            <w:pPr>
              <w:jc w:val="both"/>
              <w:rPr>
                <w:sz w:val="24"/>
                <w:szCs w:val="24"/>
              </w:rPr>
            </w:pPr>
            <w:r w:rsidRPr="00FF27F0">
              <w:rPr>
                <w:sz w:val="24"/>
                <w:szCs w:val="24"/>
              </w:rPr>
              <w:t xml:space="preserve">  (%)</w:t>
            </w:r>
          </w:p>
        </w:tc>
        <w:tc>
          <w:tcPr>
            <w:tcW w:w="1170" w:type="dxa"/>
            <w:tcBorders>
              <w:top w:val="single" w:sz="10" w:space="0" w:color="000000"/>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Energy value</w:t>
            </w:r>
          </w:p>
          <w:p w:rsidR="00225657" w:rsidRPr="00FF27F0" w:rsidRDefault="00225657" w:rsidP="00FF27F0">
            <w:pPr>
              <w:jc w:val="both"/>
              <w:rPr>
                <w:sz w:val="24"/>
                <w:szCs w:val="24"/>
              </w:rPr>
            </w:pPr>
            <w:r w:rsidRPr="00FF27F0">
              <w:rPr>
                <w:sz w:val="24"/>
                <w:szCs w:val="24"/>
              </w:rPr>
              <w:t>(kJ/100g)</w:t>
            </w:r>
          </w:p>
        </w:tc>
      </w:tr>
      <w:tr w:rsidR="00225657" w:rsidRPr="00FF27F0" w:rsidTr="00030F72">
        <w:trPr>
          <w:trHeight w:val="577"/>
        </w:trPr>
        <w:tc>
          <w:tcPr>
            <w:tcW w:w="225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0mlFP/15Lwater </w:t>
            </w:r>
          </w:p>
          <w:p w:rsidR="00225657" w:rsidRPr="00FF27F0" w:rsidRDefault="00225657" w:rsidP="00FF27F0">
            <w:pPr>
              <w:jc w:val="both"/>
              <w:rPr>
                <w:sz w:val="24"/>
                <w:szCs w:val="24"/>
              </w:rPr>
            </w:pPr>
          </w:p>
        </w:tc>
        <w:tc>
          <w:tcPr>
            <w:tcW w:w="99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0.26</w:t>
            </w:r>
            <w:r w:rsidRPr="00FF27F0">
              <w:rPr>
                <w:sz w:val="24"/>
                <w:szCs w:val="24"/>
                <w:vertAlign w:val="superscript"/>
              </w:rPr>
              <w:t>a</w:t>
            </w:r>
          </w:p>
        </w:tc>
        <w:tc>
          <w:tcPr>
            <w:tcW w:w="108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95.29</w:t>
            </w:r>
            <w:r w:rsidRPr="00FF27F0">
              <w:rPr>
                <w:sz w:val="24"/>
                <w:szCs w:val="24"/>
                <w:vertAlign w:val="superscript"/>
              </w:rPr>
              <w:t>a</w:t>
            </w:r>
          </w:p>
        </w:tc>
        <w:tc>
          <w:tcPr>
            <w:tcW w:w="99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0.33</w:t>
            </w:r>
            <w:r w:rsidRPr="00FF27F0">
              <w:rPr>
                <w:sz w:val="24"/>
                <w:szCs w:val="24"/>
                <w:vertAlign w:val="superscript"/>
              </w:rPr>
              <w:t>c</w:t>
            </w:r>
          </w:p>
        </w:tc>
        <w:tc>
          <w:tcPr>
            <w:tcW w:w="99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0.02</w:t>
            </w:r>
            <w:r w:rsidRPr="00FF27F0">
              <w:rPr>
                <w:sz w:val="24"/>
                <w:szCs w:val="24"/>
                <w:vertAlign w:val="superscript"/>
              </w:rPr>
              <w:t>b</w:t>
            </w:r>
          </w:p>
        </w:tc>
        <w:tc>
          <w:tcPr>
            <w:tcW w:w="99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0.18</w:t>
            </w:r>
            <w:r w:rsidRPr="00FF27F0">
              <w:rPr>
                <w:sz w:val="24"/>
                <w:szCs w:val="24"/>
                <w:vertAlign w:val="superscript"/>
              </w:rPr>
              <w:t>b</w:t>
            </w:r>
          </w:p>
        </w:tc>
        <w:tc>
          <w:tcPr>
            <w:tcW w:w="144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2.80</w:t>
            </w:r>
            <w:r w:rsidRPr="00FF27F0">
              <w:rPr>
                <w:sz w:val="24"/>
                <w:szCs w:val="24"/>
                <w:vertAlign w:val="superscript"/>
              </w:rPr>
              <w:t>b</w:t>
            </w:r>
          </w:p>
        </w:tc>
        <w:tc>
          <w:tcPr>
            <w:tcW w:w="1170" w:type="dxa"/>
            <w:tcBorders>
              <w:top w:val="single" w:sz="10" w:space="0" w:color="000000"/>
              <w:left w:val="nil"/>
              <w:bottom w:val="nil"/>
              <w:right w:val="nil"/>
              <w:tl2br w:val="nil"/>
              <w:tr2bl w:val="nil"/>
            </w:tcBorders>
          </w:tcPr>
          <w:p w:rsidR="00225657" w:rsidRPr="00FF27F0" w:rsidRDefault="00225657" w:rsidP="00FF27F0">
            <w:pPr>
              <w:jc w:val="both"/>
              <w:rPr>
                <w:sz w:val="24"/>
                <w:szCs w:val="24"/>
              </w:rPr>
            </w:pPr>
            <w:r w:rsidRPr="00FF27F0">
              <w:rPr>
                <w:sz w:val="24"/>
                <w:szCs w:val="24"/>
              </w:rPr>
              <w:t>54.92</w:t>
            </w:r>
            <w:r w:rsidRPr="00FF27F0">
              <w:rPr>
                <w:sz w:val="24"/>
                <w:szCs w:val="24"/>
                <w:vertAlign w:val="superscript"/>
              </w:rPr>
              <w:t>b</w:t>
            </w:r>
          </w:p>
        </w:tc>
      </w:tr>
      <w:tr w:rsidR="00225657" w:rsidRPr="00FF27F0" w:rsidTr="00030F72">
        <w:trPr>
          <w:trHeight w:val="583"/>
        </w:trPr>
        <w:tc>
          <w:tcPr>
            <w:tcW w:w="225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120mlFP/15Lwater</w:t>
            </w:r>
          </w:p>
          <w:p w:rsidR="00225657" w:rsidRPr="00FF27F0" w:rsidRDefault="00225657" w:rsidP="00FF27F0">
            <w:pPr>
              <w:jc w:val="both"/>
              <w:rPr>
                <w:sz w:val="24"/>
                <w:szCs w:val="24"/>
              </w:rPr>
            </w:pP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0.28</w:t>
            </w:r>
            <w:r w:rsidRPr="00FF27F0">
              <w:rPr>
                <w:sz w:val="24"/>
                <w:szCs w:val="24"/>
                <w:vertAlign w:val="superscript"/>
              </w:rPr>
              <w:t>a</w:t>
            </w:r>
          </w:p>
        </w:tc>
        <w:tc>
          <w:tcPr>
            <w:tcW w:w="108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96.25</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0.75</w:t>
            </w:r>
            <w:r w:rsidRPr="00FF27F0">
              <w:rPr>
                <w:sz w:val="24"/>
                <w:szCs w:val="24"/>
                <w:vertAlign w:val="superscript"/>
              </w:rPr>
              <w:t>b</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0.09</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0.44</w:t>
            </w:r>
            <w:r w:rsidRPr="00FF27F0">
              <w:rPr>
                <w:sz w:val="24"/>
                <w:szCs w:val="24"/>
                <w:vertAlign w:val="superscript"/>
              </w:rPr>
              <w:t>a</w:t>
            </w:r>
          </w:p>
        </w:tc>
        <w:tc>
          <w:tcPr>
            <w:tcW w:w="144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3.78</w:t>
            </w:r>
            <w:r w:rsidRPr="00FF27F0">
              <w:rPr>
                <w:sz w:val="24"/>
                <w:szCs w:val="24"/>
                <w:vertAlign w:val="superscript"/>
              </w:rPr>
              <w:t>a</w:t>
            </w:r>
          </w:p>
        </w:tc>
        <w:tc>
          <w:tcPr>
            <w:tcW w:w="117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68.65</w:t>
            </w:r>
            <w:r w:rsidRPr="00FF27F0">
              <w:rPr>
                <w:sz w:val="24"/>
                <w:szCs w:val="24"/>
                <w:vertAlign w:val="superscript"/>
              </w:rPr>
              <w:t>a</w:t>
            </w:r>
          </w:p>
        </w:tc>
      </w:tr>
      <w:tr w:rsidR="00225657" w:rsidRPr="00FF27F0" w:rsidTr="00030F72">
        <w:trPr>
          <w:trHeight w:val="583"/>
        </w:trPr>
        <w:tc>
          <w:tcPr>
            <w:tcW w:w="225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140mlFP/15Lwater</w:t>
            </w:r>
          </w:p>
          <w:p w:rsidR="00225657" w:rsidRPr="00FF27F0" w:rsidRDefault="00225657" w:rsidP="00FF27F0">
            <w:pPr>
              <w:jc w:val="both"/>
              <w:rPr>
                <w:sz w:val="24"/>
                <w:szCs w:val="24"/>
              </w:rPr>
            </w:pP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0.27</w:t>
            </w:r>
            <w:r w:rsidRPr="00FF27F0">
              <w:rPr>
                <w:sz w:val="24"/>
                <w:szCs w:val="24"/>
                <w:vertAlign w:val="superscript"/>
              </w:rPr>
              <w:t>a</w:t>
            </w:r>
          </w:p>
        </w:tc>
        <w:tc>
          <w:tcPr>
            <w:tcW w:w="108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93.52</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2.18</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0.07</w:t>
            </w:r>
            <w:r w:rsidRPr="00FF27F0">
              <w:rPr>
                <w:sz w:val="24"/>
                <w:szCs w:val="24"/>
                <w:vertAlign w:val="superscript"/>
              </w:rPr>
              <w:t>a</w:t>
            </w:r>
          </w:p>
        </w:tc>
        <w:tc>
          <w:tcPr>
            <w:tcW w:w="99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0.22</w:t>
            </w:r>
            <w:r w:rsidRPr="00FF27F0">
              <w:rPr>
                <w:sz w:val="24"/>
                <w:szCs w:val="24"/>
                <w:vertAlign w:val="superscript"/>
              </w:rPr>
              <w:t>b</w:t>
            </w:r>
          </w:p>
        </w:tc>
        <w:tc>
          <w:tcPr>
            <w:tcW w:w="144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 xml:space="preserve">  3.76</w:t>
            </w:r>
            <w:r w:rsidRPr="00FF27F0">
              <w:rPr>
                <w:sz w:val="24"/>
                <w:szCs w:val="24"/>
                <w:vertAlign w:val="superscript"/>
              </w:rPr>
              <w:t>a</w:t>
            </w:r>
          </w:p>
        </w:tc>
        <w:tc>
          <w:tcPr>
            <w:tcW w:w="1170" w:type="dxa"/>
            <w:tcBorders>
              <w:top w:val="nil"/>
              <w:left w:val="nil"/>
              <w:bottom w:val="nil"/>
              <w:right w:val="nil"/>
              <w:tl2br w:val="nil"/>
              <w:tr2bl w:val="nil"/>
            </w:tcBorders>
          </w:tcPr>
          <w:p w:rsidR="00225657" w:rsidRPr="00FF27F0" w:rsidRDefault="00225657" w:rsidP="00FF27F0">
            <w:pPr>
              <w:jc w:val="both"/>
              <w:rPr>
                <w:sz w:val="24"/>
                <w:szCs w:val="24"/>
              </w:rPr>
            </w:pPr>
            <w:r w:rsidRPr="00FF27F0">
              <w:rPr>
                <w:sz w:val="24"/>
                <w:szCs w:val="24"/>
              </w:rPr>
              <w:t>69.01</w:t>
            </w:r>
            <w:r w:rsidRPr="00FF27F0">
              <w:rPr>
                <w:sz w:val="24"/>
                <w:szCs w:val="24"/>
                <w:vertAlign w:val="superscript"/>
              </w:rPr>
              <w:t>a</w:t>
            </w:r>
          </w:p>
        </w:tc>
      </w:tr>
      <w:tr w:rsidR="00225657" w:rsidRPr="00FF27F0" w:rsidTr="00030F72">
        <w:trPr>
          <w:trHeight w:val="291"/>
        </w:trPr>
        <w:tc>
          <w:tcPr>
            <w:tcW w:w="225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160mlFP/15Lwater</w:t>
            </w:r>
          </w:p>
        </w:tc>
        <w:tc>
          <w:tcPr>
            <w:tcW w:w="99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0.22</w:t>
            </w:r>
            <w:r w:rsidRPr="00FF27F0">
              <w:rPr>
                <w:sz w:val="24"/>
                <w:szCs w:val="24"/>
                <w:vertAlign w:val="superscript"/>
              </w:rPr>
              <w:t>a</w:t>
            </w:r>
          </w:p>
        </w:tc>
        <w:tc>
          <w:tcPr>
            <w:tcW w:w="108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94.48</w:t>
            </w:r>
            <w:r w:rsidRPr="00FF27F0">
              <w:rPr>
                <w:sz w:val="24"/>
                <w:szCs w:val="24"/>
                <w:vertAlign w:val="superscript"/>
              </w:rPr>
              <w:t>a</w:t>
            </w:r>
          </w:p>
        </w:tc>
        <w:tc>
          <w:tcPr>
            <w:tcW w:w="99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1.34</w:t>
            </w:r>
            <w:r w:rsidRPr="00FF27F0">
              <w:rPr>
                <w:sz w:val="24"/>
                <w:szCs w:val="24"/>
                <w:vertAlign w:val="superscript"/>
              </w:rPr>
              <w:t>ab</w:t>
            </w:r>
          </w:p>
        </w:tc>
        <w:tc>
          <w:tcPr>
            <w:tcW w:w="99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0.02</w:t>
            </w:r>
            <w:r w:rsidRPr="00FF27F0">
              <w:rPr>
                <w:sz w:val="24"/>
                <w:szCs w:val="24"/>
                <w:vertAlign w:val="superscript"/>
              </w:rPr>
              <w:t>b</w:t>
            </w:r>
          </w:p>
        </w:tc>
        <w:tc>
          <w:tcPr>
            <w:tcW w:w="99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0.18</w:t>
            </w:r>
            <w:r w:rsidRPr="00FF27F0">
              <w:rPr>
                <w:sz w:val="24"/>
                <w:szCs w:val="24"/>
                <w:vertAlign w:val="superscript"/>
              </w:rPr>
              <w:t>b</w:t>
            </w:r>
          </w:p>
        </w:tc>
        <w:tc>
          <w:tcPr>
            <w:tcW w:w="144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 xml:space="preserve">  3.77</w:t>
            </w:r>
            <w:r w:rsidRPr="00FF27F0">
              <w:rPr>
                <w:sz w:val="24"/>
                <w:szCs w:val="24"/>
                <w:vertAlign w:val="superscript"/>
              </w:rPr>
              <w:t>a</w:t>
            </w:r>
          </w:p>
        </w:tc>
        <w:tc>
          <w:tcPr>
            <w:tcW w:w="1170" w:type="dxa"/>
            <w:tcBorders>
              <w:top w:val="nil"/>
              <w:left w:val="nil"/>
              <w:bottom w:val="single" w:sz="10" w:space="0" w:color="000000"/>
              <w:right w:val="nil"/>
              <w:tl2br w:val="nil"/>
              <w:tr2bl w:val="nil"/>
            </w:tcBorders>
          </w:tcPr>
          <w:p w:rsidR="00225657" w:rsidRPr="00FF27F0" w:rsidRDefault="00225657" w:rsidP="00FF27F0">
            <w:pPr>
              <w:jc w:val="both"/>
              <w:rPr>
                <w:sz w:val="24"/>
                <w:szCs w:val="24"/>
              </w:rPr>
            </w:pPr>
            <w:r w:rsidRPr="00FF27F0">
              <w:rPr>
                <w:sz w:val="24"/>
                <w:szCs w:val="24"/>
              </w:rPr>
              <w:t>66.81</w:t>
            </w:r>
            <w:r w:rsidRPr="00FF27F0">
              <w:rPr>
                <w:sz w:val="24"/>
                <w:szCs w:val="24"/>
                <w:vertAlign w:val="superscript"/>
              </w:rPr>
              <w:t>a</w:t>
            </w:r>
          </w:p>
        </w:tc>
      </w:tr>
    </w:tbl>
    <w:p w:rsidR="00225657" w:rsidRPr="00FF27F0" w:rsidRDefault="00225657"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*Means having the same letter(s) in the same column are not significantly different at 5% probability according to Duncan’s New Multiple Range Test.</w:t>
      </w:r>
    </w:p>
    <w:p w:rsidR="00E678A0" w:rsidRPr="00FF27F0" w:rsidRDefault="00E678A0" w:rsidP="00FF27F0">
      <w:pPr>
        <w:spacing w:line="240" w:lineRule="auto"/>
        <w:jc w:val="both"/>
        <w:rPr>
          <w:rFonts w:ascii="Times New Roman" w:hAnsi="Times New Roman" w:cs="Times New Roman"/>
          <w:sz w:val="24"/>
          <w:szCs w:val="24"/>
        </w:rPr>
      </w:pPr>
    </w:p>
    <w:p w:rsidR="00FE1F51" w:rsidRPr="00FF27F0" w:rsidRDefault="00FE1F51" w:rsidP="00FF27F0">
      <w:pPr>
        <w:spacing w:line="240" w:lineRule="auto"/>
        <w:jc w:val="both"/>
        <w:rPr>
          <w:rFonts w:ascii="Times New Roman" w:hAnsi="Times New Roman" w:cs="Times New Roman"/>
          <w:b/>
          <w:sz w:val="24"/>
          <w:szCs w:val="24"/>
        </w:rPr>
      </w:pPr>
      <w:r w:rsidRPr="00FF27F0">
        <w:rPr>
          <w:rFonts w:ascii="Times New Roman" w:hAnsi="Times New Roman" w:cs="Times New Roman"/>
          <w:b/>
          <w:sz w:val="24"/>
          <w:szCs w:val="24"/>
        </w:rPr>
        <w:t xml:space="preserve">Discussion </w:t>
      </w:r>
    </w:p>
    <w:p w:rsidR="00E83A2F" w:rsidRPr="00FF27F0" w:rsidRDefault="00FE1F51" w:rsidP="00FF27F0">
      <w:pPr>
        <w:spacing w:line="240" w:lineRule="auto"/>
        <w:jc w:val="both"/>
        <w:rPr>
          <w:rFonts w:ascii="Times New Roman" w:hAnsi="Times New Roman" w:cs="Times New Roman"/>
          <w:b/>
          <w:sz w:val="24"/>
          <w:szCs w:val="24"/>
        </w:rPr>
      </w:pPr>
      <w:r w:rsidRPr="00FF27F0">
        <w:rPr>
          <w:rFonts w:ascii="Times New Roman" w:eastAsia="Times New Roman" w:hAnsi="Times New Roman" w:cs="Times New Roman"/>
          <w:sz w:val="24"/>
          <w:szCs w:val="24"/>
        </w:rPr>
        <w:t>In terms of</w:t>
      </w:r>
      <w:r w:rsidR="00E83A2F" w:rsidRPr="00FF27F0">
        <w:rPr>
          <w:rFonts w:ascii="Times New Roman" w:eastAsia="Times New Roman" w:hAnsi="Times New Roman" w:cs="Times New Roman"/>
          <w:sz w:val="24"/>
          <w:szCs w:val="24"/>
        </w:rPr>
        <w:t xml:space="preserve"> nutrient (mineral) contents of cucumber, all the plots that received different levels of Foliar Plus treatment had the same values of Potassium (K) except the plot that received 120mlFP/15Lwater sprays which gave the highest value of K content of cucumber fruit. It also gave the second highest value (134.6mg/kgCa) of Calcium after 160mlFP/15LWater (176.5kg/kgCa), suggesting that 120mlFP/15Lwater might be the right application concentration for optimum accumulation of K and Ca contents in cucumber production. The reason for this might be that, at such concentration (or rate), cucumber leave</w:t>
      </w:r>
      <w:r w:rsidR="00A11BF9">
        <w:rPr>
          <w:rFonts w:ascii="Times New Roman" w:eastAsia="Times New Roman" w:hAnsi="Times New Roman" w:cs="Times New Roman"/>
          <w:sz w:val="24"/>
          <w:szCs w:val="24"/>
        </w:rPr>
        <w:t>s</w:t>
      </w:r>
      <w:r w:rsidR="00E83A2F" w:rsidRPr="00FF27F0">
        <w:rPr>
          <w:rFonts w:ascii="Times New Roman" w:eastAsia="Times New Roman" w:hAnsi="Times New Roman" w:cs="Times New Roman"/>
          <w:sz w:val="24"/>
          <w:szCs w:val="24"/>
        </w:rPr>
        <w:t xml:space="preserve"> might be able to absorb more of Foliar Plus to enhance biochemical synthesis especially K and Ca. The result obtained about K agrees with Saied </w:t>
      </w:r>
      <w:r w:rsidR="00E83A2F" w:rsidRPr="00FF27F0">
        <w:rPr>
          <w:rFonts w:ascii="Times New Roman" w:eastAsia="Times New Roman" w:hAnsi="Times New Roman" w:cs="Times New Roman"/>
          <w:i/>
          <w:sz w:val="24"/>
          <w:szCs w:val="24"/>
        </w:rPr>
        <w:t xml:space="preserve">et al. </w:t>
      </w:r>
      <w:r w:rsidR="00E83A2F" w:rsidRPr="00FF27F0">
        <w:rPr>
          <w:rFonts w:ascii="Times New Roman" w:eastAsia="Times New Roman" w:hAnsi="Times New Roman" w:cs="Times New Roman"/>
          <w:sz w:val="24"/>
          <w:szCs w:val="24"/>
        </w:rPr>
        <w:t xml:space="preserve">(2012) who reported that foliar application of Chitosan on cucumber at a rate 4ml/L out 1, 2 and 3ml/L yielded the highest contents K (including P) of two seasons of study, but was in contrast with the result obtained about K from 120mlFP/15Lwater where the lower value of Foliar Plus gave the highest K content of cucumber. However, it tends to conform with Gronik </w:t>
      </w:r>
      <w:r w:rsidR="00E83A2F" w:rsidRPr="00FF27F0">
        <w:rPr>
          <w:rFonts w:ascii="Times New Roman" w:eastAsia="Times New Roman" w:hAnsi="Times New Roman" w:cs="Times New Roman"/>
          <w:i/>
          <w:sz w:val="24"/>
          <w:szCs w:val="24"/>
        </w:rPr>
        <w:t>et al.</w:t>
      </w:r>
      <w:r w:rsidR="00E83A2F" w:rsidRPr="00FF27F0">
        <w:rPr>
          <w:rFonts w:ascii="Times New Roman" w:eastAsia="Times New Roman" w:hAnsi="Times New Roman" w:cs="Times New Roman"/>
          <w:sz w:val="24"/>
          <w:szCs w:val="24"/>
        </w:rPr>
        <w:t xml:space="preserve"> (2008) who reported that, in Chitosan application on tomato, plant nutrient parameters were increased with increasing concentration of the foliar fertilizer till 75ml/L followed by a decline. Hence, 120mlFP/15Lwater could be the </w:t>
      </w:r>
      <w:r w:rsidR="00714CF9">
        <w:rPr>
          <w:rFonts w:ascii="Times New Roman" w:eastAsia="Times New Roman" w:hAnsi="Times New Roman" w:cs="Times New Roman"/>
          <w:sz w:val="24"/>
          <w:szCs w:val="24"/>
        </w:rPr>
        <w:t>most appropaiate</w:t>
      </w:r>
      <w:r w:rsidR="00E83A2F" w:rsidRPr="00FF27F0">
        <w:rPr>
          <w:rFonts w:ascii="Times New Roman" w:eastAsia="Times New Roman" w:hAnsi="Times New Roman" w:cs="Times New Roman"/>
          <w:sz w:val="24"/>
          <w:szCs w:val="24"/>
        </w:rPr>
        <w:t xml:space="preserve"> concentration rate for K foliar absorption in cucumber. In the case of Ca, the highest dose of Foliar Plus gave higher Ca than the rest of the treatments, suggesting a close agreement with Lakan </w:t>
      </w:r>
      <w:r w:rsidR="00E83A2F" w:rsidRPr="00FF27F0">
        <w:rPr>
          <w:rFonts w:ascii="Times New Roman" w:eastAsia="Times New Roman" w:hAnsi="Times New Roman" w:cs="Times New Roman"/>
          <w:i/>
          <w:sz w:val="24"/>
          <w:szCs w:val="24"/>
        </w:rPr>
        <w:t>et al.</w:t>
      </w:r>
      <w:r w:rsidR="00E83A2F" w:rsidRPr="00FF27F0">
        <w:rPr>
          <w:rFonts w:ascii="Times New Roman" w:eastAsia="Times New Roman" w:hAnsi="Times New Roman" w:cs="Times New Roman"/>
          <w:sz w:val="24"/>
          <w:szCs w:val="24"/>
        </w:rPr>
        <w:t xml:space="preserve"> (2022), who reported an increase in mineral contents of Okra with increasing doses of foliar spray of potassium.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Furthermore, in terms of Magnesium (Mg), Sodium (Na) and Phosphate (PO</w:t>
      </w:r>
      <w:r w:rsidRPr="00FF27F0">
        <w:rPr>
          <w:rFonts w:ascii="Times New Roman" w:eastAsia="Times New Roman" w:hAnsi="Times New Roman" w:cs="Times New Roman"/>
          <w:sz w:val="24"/>
          <w:szCs w:val="24"/>
          <w:vertAlign w:val="superscript"/>
        </w:rPr>
        <w:t>-3</w:t>
      </w:r>
      <w:r w:rsidRPr="00FF27F0">
        <w:rPr>
          <w:rFonts w:ascii="Times New Roman" w:eastAsia="Times New Roman" w:hAnsi="Times New Roman" w:cs="Times New Roman"/>
          <w:sz w:val="24"/>
          <w:szCs w:val="24"/>
        </w:rPr>
        <w:t>) content, there were significant effects of Foliar Plus on cucumber fruit. Here, Mg, Na and PO</w:t>
      </w:r>
      <w:r w:rsidRPr="00FF27F0">
        <w:rPr>
          <w:rFonts w:ascii="Times New Roman" w:eastAsia="Times New Roman" w:hAnsi="Times New Roman" w:cs="Times New Roman"/>
          <w:sz w:val="24"/>
          <w:szCs w:val="24"/>
          <w:vertAlign w:val="superscript"/>
        </w:rPr>
        <w:t xml:space="preserve">-3 </w:t>
      </w:r>
      <w:r w:rsidRPr="00FF27F0">
        <w:rPr>
          <w:rFonts w:ascii="Times New Roman" w:eastAsia="Times New Roman" w:hAnsi="Times New Roman" w:cs="Times New Roman"/>
          <w:sz w:val="24"/>
          <w:szCs w:val="24"/>
        </w:rPr>
        <w:t xml:space="preserve">content witnessed a fairly steady increase as the concentrations or doses of Foliar Plus increased from </w:t>
      </w:r>
      <w:r w:rsidRPr="00FF27F0">
        <w:rPr>
          <w:rFonts w:ascii="Times New Roman" w:eastAsia="Times New Roman" w:hAnsi="Times New Roman" w:cs="Times New Roman"/>
          <w:sz w:val="24"/>
          <w:szCs w:val="24"/>
        </w:rPr>
        <w:lastRenderedPageBreak/>
        <w:t xml:space="preserve">0ml (the control) to 120ml beyond which it started declining at 140ml down to 160ml concentration of the same Foliar Plus. This agrees with Mondel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(2016) who reported that in tomato, spraying Chitosan increased nutrient parameters with increasing concentration of the fertilizer till 75mg/L beyond which decline started occurring. However, the outcome of the present study could be attributed to </w:t>
      </w:r>
      <w:r w:rsidR="00616F69" w:rsidRPr="00FF27F0">
        <w:rPr>
          <w:rFonts w:ascii="Times New Roman" w:eastAsia="Times New Roman" w:hAnsi="Times New Roman" w:cs="Times New Roman"/>
          <w:sz w:val="24"/>
          <w:szCs w:val="24"/>
        </w:rPr>
        <w:t xml:space="preserve">the </w:t>
      </w:r>
      <w:r w:rsidRPr="00FF27F0">
        <w:rPr>
          <w:rFonts w:ascii="Times New Roman" w:eastAsia="Times New Roman" w:hAnsi="Times New Roman" w:cs="Times New Roman"/>
          <w:sz w:val="24"/>
          <w:szCs w:val="24"/>
        </w:rPr>
        <w:t xml:space="preserve">fact that 140ml and 160ml doses of Foliar Plus were </w:t>
      </w:r>
      <w:r w:rsidR="008A5714" w:rsidRPr="00FF27F0">
        <w:rPr>
          <w:rFonts w:ascii="Times New Roman" w:eastAsia="Times New Roman" w:hAnsi="Times New Roman" w:cs="Times New Roman"/>
          <w:sz w:val="24"/>
          <w:szCs w:val="24"/>
        </w:rPr>
        <w:t>suspectedly</w:t>
      </w:r>
      <w:r w:rsidRPr="00FF27F0">
        <w:rPr>
          <w:rFonts w:ascii="Times New Roman" w:eastAsia="Times New Roman" w:hAnsi="Times New Roman" w:cs="Times New Roman"/>
          <w:sz w:val="24"/>
          <w:szCs w:val="24"/>
        </w:rPr>
        <w:t xml:space="preserve"> so high that it either slowed or impeded nutrient absorption, leading to low nutrient content and general performance in those plots. In agreement, Woncik (2004) had stated that knowledge on nutrient absorption mechanism by above-ground plant parts is vital to optimize foliar fertilization as foliar fertilizer can slow down development of plant by way of causing scorching or burning effect if concentration of spray is high. Similarly, Pise and Sabale (2010) also discovered that nutrient status or constituents of fenugreek can only be increased by increasing seaweed liquid fertilizer concentration level up to 50%. This means that beyond this level, there could be diminishing returns as exemplified above in this present study.</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terms of Phosphorus (P), a different trend was noticed. The lower concentration of Foliar Plus (120mlFP/15Lwater) produced the highest value of P in cucumber fruits followed the result of the highest concentration (160mlFP/15Lwater). This result is in contrast with the result obtained by Said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(2012) who observed that foliar application of Chitosan on cucumber plants at the highest concentration rate of 4g/L (out of 1, 2, 3g/l) yielded the highest contents of P (plus K) in two seasons of study. Notwithstanding, in the case of 140mlFP/15Lwater where P was increased also, it is in line with Lakan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(2022) who reported that P content of okra was increased as dosage of Potassium sprayed on it was increased. This present result might be partially attributed to the fact that Foliar Plus has enough phosphate content (6%) which probably impacted more phosphate nutrient on the plants that received the highest concentration, spurring the treated plants to enhanced leaf-stomata nutrient uptake efficiency. This is similar to that observed by Mancuso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(2006) in cucumbers and grapevines that received bioactive substances from seaweed extract. Mancuso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(2006) reported that foliar fertilizer prepared from seaweed extract improved content of P, K, Mg and N in grapevine and cucumbers. However, environmental factors (like temperature, humidity, wind velocity </w:t>
      </w:r>
      <w:r w:rsidR="005F132D" w:rsidRPr="00FF27F0">
        <w:rPr>
          <w:rFonts w:ascii="Times New Roman" w:eastAsia="Times New Roman" w:hAnsi="Times New Roman" w:cs="Times New Roman"/>
          <w:sz w:val="24"/>
          <w:szCs w:val="24"/>
        </w:rPr>
        <w:t>etc.</w:t>
      </w:r>
      <w:r w:rsidRPr="00FF27F0">
        <w:rPr>
          <w:rFonts w:ascii="Times New Roman" w:eastAsia="Times New Roman" w:hAnsi="Times New Roman" w:cs="Times New Roman"/>
          <w:sz w:val="24"/>
          <w:szCs w:val="24"/>
        </w:rPr>
        <w:t>) might be responsible for the varied results, since they play major role in determining the result of foliar spray</w:t>
      </w:r>
      <w:r w:rsidR="00561E74" w:rsidRPr="00FF27F0">
        <w:rPr>
          <w:rFonts w:ascii="Times New Roman" w:eastAsia="Times New Roman" w:hAnsi="Times New Roman" w:cs="Times New Roman"/>
          <w:sz w:val="24"/>
          <w:szCs w:val="24"/>
        </w:rPr>
        <w:t xml:space="preserve"> (Fernandez and Eichert, 2021</w:t>
      </w:r>
      <w:r w:rsidRPr="00FF27F0">
        <w:rPr>
          <w:rFonts w:ascii="Times New Roman" w:eastAsia="Times New Roman" w:hAnsi="Times New Roman" w:cs="Times New Roman"/>
          <w:sz w:val="24"/>
          <w:szCs w:val="24"/>
        </w:rPr>
        <w:t xml:space="preserve">).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terms of total chlorophyll (including chlorophyll a and b), Foliar Plus did not have significant (p≥0.05) influence on the cucumber plants that received the treatments, and this </w:t>
      </w:r>
      <w:r w:rsidR="002C05CF" w:rsidRPr="00FF27F0">
        <w:rPr>
          <w:rFonts w:ascii="Times New Roman" w:eastAsia="Times New Roman" w:hAnsi="Times New Roman" w:cs="Times New Roman"/>
          <w:sz w:val="24"/>
          <w:szCs w:val="24"/>
        </w:rPr>
        <w:t xml:space="preserve">disagreed with </w:t>
      </w:r>
      <w:r w:rsidRPr="00FF27F0">
        <w:rPr>
          <w:rFonts w:ascii="Times New Roman" w:eastAsia="Times New Roman" w:hAnsi="Times New Roman" w:cs="Times New Roman"/>
          <w:sz w:val="24"/>
          <w:szCs w:val="24"/>
        </w:rPr>
        <w:t>Yousif (2011) who found out that foliar application of Humic acid foliar Plus on cucumber plant caused significant increase in total chlorophyll and other nutrient elements. Again, in contrast, Jan and Boswal (2015) observed that bio-fertilizer and organic liquid fertilizers sprayed on bread wheat plant (</w:t>
      </w:r>
      <w:r w:rsidRPr="00FF27F0">
        <w:rPr>
          <w:rFonts w:ascii="Times New Roman" w:eastAsia="Times New Roman" w:hAnsi="Times New Roman" w:cs="Times New Roman"/>
          <w:i/>
          <w:sz w:val="24"/>
          <w:szCs w:val="24"/>
        </w:rPr>
        <w:t>Triticum aestivun L</w:t>
      </w:r>
      <w:r w:rsidRPr="00FF27F0">
        <w:rPr>
          <w:rFonts w:ascii="Times New Roman" w:eastAsia="Times New Roman" w:hAnsi="Times New Roman" w:cs="Times New Roman"/>
          <w:sz w:val="24"/>
          <w:szCs w:val="24"/>
        </w:rPr>
        <w:t xml:space="preserve">) induced various physiological characters, which among others, were quality of chlorophyll A and B, chlorophyll intensity and stability index. However, the result obtained on chlorophyll tends to agree with Pal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(2016) who reported that effects of higher concentrations of </w:t>
      </w:r>
      <w:r w:rsidR="00616F69" w:rsidRPr="00FF27F0">
        <w:rPr>
          <w:rFonts w:ascii="Times New Roman" w:eastAsia="Times New Roman" w:hAnsi="Times New Roman" w:cs="Times New Roman"/>
          <w:sz w:val="24"/>
          <w:szCs w:val="24"/>
        </w:rPr>
        <w:t>gibberellin</w:t>
      </w:r>
      <w:r w:rsidRPr="00FF27F0">
        <w:rPr>
          <w:rFonts w:ascii="Times New Roman" w:eastAsia="Times New Roman" w:hAnsi="Times New Roman" w:cs="Times New Roman"/>
          <w:sz w:val="24"/>
          <w:szCs w:val="24"/>
        </w:rPr>
        <w:t xml:space="preserve"> and potassium foliar treatments on partinocarpic cucumber was negligible in maintaining the chlorophyll pigment at all stages of growth and development.</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Meanwhile, the low effect of Foliar Plus could be presumably traceable to insufficient sticking agent contained or inherent in the foliar fertilizer, which probably could not allow strong adherence of the fertilizer to the vegetative parts for proper absorption to take place. On this, Patil and Chetan (2018) explained that foliar fertilizer requires enough sticking agents which can withstand adverse environmental conditions to obtain more efficiency in absorption rate. Based on this premise, the present result might also be attributed to environmental factors such as high </w:t>
      </w:r>
      <w:r w:rsidRPr="00FF27F0">
        <w:rPr>
          <w:rFonts w:ascii="Times New Roman" w:eastAsia="Times New Roman" w:hAnsi="Times New Roman" w:cs="Times New Roman"/>
          <w:sz w:val="24"/>
          <w:szCs w:val="24"/>
        </w:rPr>
        <w:lastRenderedPageBreak/>
        <w:t xml:space="preserve">temperature, humidity and wind velocity which might have also limited the efficiency of the foliar fertilizer, as expressed by Fenandez and Eichert (2009).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In the proximate compositions of cucumber fruit, though 160mlFP/15Lwater and 140mlFP/15Lwater gave the least value in terms of ash and moisture contents respectively, the general indication from the record is that Foliar Plus did not have significant effect on the ash content and moisture content of cucumber fruit. This result could be due to peculiarity of the location and the type of fertilizer used because it tends to agree with Akintokun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(2019) who observed that foliar application of D.I Grow Green and D.I Grow Red on okra varieties at different locations resulted in D.I Grow Red at 300ml/ha giving higher Ash, fat, moisture, and carbohydrate in Abiokuta whereas 600ml/ha had higher aforementioned parameters in Ibadan than D.I Grow Red at 300ml/ha. Again, it is also in conformity with Akintokun </w:t>
      </w:r>
      <w:r w:rsidRPr="00FF27F0">
        <w:rPr>
          <w:rFonts w:ascii="Times New Roman" w:eastAsia="Times New Roman" w:hAnsi="Times New Roman" w:cs="Times New Roman"/>
          <w:i/>
          <w:sz w:val="24"/>
          <w:szCs w:val="24"/>
        </w:rPr>
        <w:t xml:space="preserve">et al. </w:t>
      </w:r>
      <w:r w:rsidR="005F132D" w:rsidRPr="00FF27F0">
        <w:rPr>
          <w:rFonts w:ascii="Times New Roman" w:eastAsia="Times New Roman" w:hAnsi="Times New Roman" w:cs="Times New Roman"/>
          <w:sz w:val="24"/>
          <w:szCs w:val="24"/>
        </w:rPr>
        <w:t>(2019</w:t>
      </w:r>
      <w:r w:rsidRPr="00FF27F0">
        <w:rPr>
          <w:rFonts w:ascii="Times New Roman" w:eastAsia="Times New Roman" w:hAnsi="Times New Roman" w:cs="Times New Roman"/>
          <w:sz w:val="24"/>
          <w:szCs w:val="24"/>
        </w:rPr>
        <w:t xml:space="preserve">), as the lower concentration of Foliar Plus gave slightly higher moisture content than other higher concentrations. Notwithstanding, the above result of the present study could be </w:t>
      </w:r>
      <w:r w:rsidR="002C05CF" w:rsidRPr="00FF27F0">
        <w:rPr>
          <w:rFonts w:ascii="Times New Roman" w:eastAsia="Times New Roman" w:hAnsi="Times New Roman" w:cs="Times New Roman"/>
          <w:sz w:val="24"/>
          <w:szCs w:val="24"/>
        </w:rPr>
        <w:t>said to be in contrast with Rah</w:t>
      </w:r>
      <w:r w:rsidRPr="00FF27F0">
        <w:rPr>
          <w:rFonts w:ascii="Times New Roman" w:eastAsia="Times New Roman" w:hAnsi="Times New Roman" w:cs="Times New Roman"/>
          <w:sz w:val="24"/>
          <w:szCs w:val="24"/>
        </w:rPr>
        <w:t xml:space="preserve">man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(2021) who revealed that proximate compositions of strawberries were significantly influenced by foliar application of HNC (hydrid nano-composite fertilizer).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Meanwhile, the higher levels of Foliar Plus (especially 140ml) produced higher fibre content of cucumber fruit, and hence in agreement with October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(2016) who reported that foliar application of Afrikelp LG-1 seaweed extracts had significant effect on crude fibre including protein over drench application. This could be attributed to the fact that plots treated with higher concentration of Foliar Plus absorbed more nutrients, leading to stimulation of the plants to more photosynthates necessary for the production of more fibre content than others. </w:t>
      </w:r>
    </w:p>
    <w:p w:rsidR="00E83A2F" w:rsidRPr="00FF27F0"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Furthermore, it was observed that Foliar Plus did have significant effects on fat (lipid), protein and carbohydrate contents, and 120mlFP/15Lwater obtained the greatest values respectively in all, though indicated only significant difference only in protein with other treatments, but showed statistical similarities in fat, carbohydrates as well as energy contents with only 140mlFP/15Lwater and 160mlFP/15Lwater, excluding the Control which had the lowest values in all. This outcome agrees with Fahimi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(2016) who stated that the same concentration of foliar fertilizer cannot be used in every plant. This might be as a result of the specific variety of cucumber used in this experiment, because Fernandez and Eichet (2019), in a research, observed that factors such as specific botanical species, varieties, structure etc. of plant can influence or determine the result of foliar application of fertilizers.</w:t>
      </w:r>
    </w:p>
    <w:p w:rsidR="003D65DD" w:rsidRPr="004D7713" w:rsidRDefault="00E83A2F" w:rsidP="00FF27F0">
      <w:pPr>
        <w:spacing w:line="240" w:lineRule="auto"/>
        <w:jc w:val="both"/>
        <w:rPr>
          <w:rFonts w:ascii="Times New Roman" w:eastAsia="Times New Roman" w:hAnsi="Times New Roman" w:cs="Times New Roman"/>
          <w:sz w:val="24"/>
          <w:szCs w:val="24"/>
        </w:rPr>
      </w:pPr>
      <w:r w:rsidRPr="00FF27F0">
        <w:rPr>
          <w:rFonts w:ascii="Times New Roman" w:eastAsia="Times New Roman" w:hAnsi="Times New Roman" w:cs="Times New Roman"/>
          <w:sz w:val="24"/>
          <w:szCs w:val="24"/>
        </w:rPr>
        <w:t xml:space="preserve">Meanwhile, in this study, those plots that received different levels of Foliar Plus had higher values than the control experiment in terms of carbohydrate content and energy value of cucumber. This could be traced to the fact that Foliar Plus might have enabled plants in those plots to produce enough vegetative parts, as stated by Battacharya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(2015) that foliar fertilization can improve vegetative parts of plants. This probably had enhanced the plants photosynthetic capabilities and ultimately accumulated enough photosynthates (carbohydrates) with accompanying high energy levels. The result is in conformity with Rahman </w:t>
      </w:r>
      <w:r w:rsidRPr="00FF27F0">
        <w:rPr>
          <w:rFonts w:ascii="Times New Roman" w:eastAsia="Times New Roman" w:hAnsi="Times New Roman" w:cs="Times New Roman"/>
          <w:i/>
          <w:sz w:val="24"/>
          <w:szCs w:val="24"/>
        </w:rPr>
        <w:t xml:space="preserve">et al. </w:t>
      </w:r>
      <w:r w:rsidRPr="00FF27F0">
        <w:rPr>
          <w:rFonts w:ascii="Times New Roman" w:eastAsia="Times New Roman" w:hAnsi="Times New Roman" w:cs="Times New Roman"/>
          <w:sz w:val="24"/>
          <w:szCs w:val="24"/>
        </w:rPr>
        <w:t xml:space="preserve">(2021) who reported that cabohydrates and energy where enhanced by HNC foliar application (though in conjunction with natural zeolite soil applied) on strawberries. Capruciu </w:t>
      </w:r>
      <w:r w:rsidRPr="00FF27F0">
        <w:rPr>
          <w:rFonts w:ascii="Times New Roman" w:eastAsia="Times New Roman" w:hAnsi="Times New Roman" w:cs="Times New Roman"/>
          <w:i/>
          <w:sz w:val="24"/>
          <w:szCs w:val="24"/>
        </w:rPr>
        <w:t>et al.</w:t>
      </w:r>
      <w:r w:rsidRPr="00FF27F0">
        <w:rPr>
          <w:rFonts w:ascii="Times New Roman" w:eastAsia="Times New Roman" w:hAnsi="Times New Roman" w:cs="Times New Roman"/>
          <w:sz w:val="24"/>
          <w:szCs w:val="24"/>
        </w:rPr>
        <w:t xml:space="preserve"> (2020) had similar result as they reported that foliar fertilization of watermelon with Folibor (at 5L/ha) increased glucose content and vitamin C. Also, closely related results were obtained by Pies and Sabale (2010) who observed that Seaweed Liquid fertilizer sprayed on fenugreek caused the highest increase in carbohydrate content as the concentration of the fertilizer was increased by 50%.</w:t>
      </w:r>
    </w:p>
    <w:p w:rsidR="003D65DD" w:rsidRPr="00FF27F0" w:rsidRDefault="005C22EE" w:rsidP="00FF27F0">
      <w:pPr>
        <w:spacing w:line="240" w:lineRule="auto"/>
        <w:jc w:val="both"/>
        <w:rPr>
          <w:rFonts w:ascii="Times New Roman" w:hAnsi="Times New Roman" w:cs="Times New Roman"/>
          <w:b/>
          <w:sz w:val="24"/>
          <w:szCs w:val="24"/>
        </w:rPr>
      </w:pPr>
      <w:r w:rsidRPr="00FF27F0">
        <w:rPr>
          <w:rFonts w:ascii="Times New Roman" w:hAnsi="Times New Roman" w:cs="Times New Roman"/>
          <w:b/>
          <w:sz w:val="24"/>
          <w:szCs w:val="24"/>
        </w:rPr>
        <w:lastRenderedPageBreak/>
        <w:t>REFERENCES</w:t>
      </w:r>
    </w:p>
    <w:p w:rsidR="00B8362C" w:rsidRPr="00B8362C" w:rsidRDefault="00B8362C"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Akintokun, P. O., Amuofu, D. U., &amp; Osho, M. R. (2019). Effect of organo-based foliar fertilizer on chlorophyll and nutritional quality of okra varieties in derived Savanah of Nigeria. *Journal of Agricultural Science and Environment*, *19*(1), 113–131. </w:t>
      </w:r>
      <w:hyperlink r:id="rId7" w:history="1">
        <w:r w:rsidRPr="00CF035C">
          <w:rPr>
            <w:rStyle w:val="Hyperlink"/>
            <w:rFonts w:ascii="Times New Roman" w:eastAsia="Times New Roman" w:hAnsi="Times New Roman" w:cs="Times New Roman"/>
            <w:sz w:val="24"/>
            <w:szCs w:val="24"/>
          </w:rPr>
          <w:t>https://doi.org/10.51406/jagse.v19i1.2019</w:t>
        </w:r>
      </w:hyperlink>
    </w:p>
    <w:p w:rsidR="00EE5826" w:rsidRDefault="00EE5826" w:rsidP="00EE5826">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EE5826">
        <w:rPr>
          <w:rFonts w:ascii="Times New Roman" w:hAnsi="Times New Roman" w:cs="Times New Roman"/>
          <w:sz w:val="24"/>
          <w:szCs w:val="24"/>
        </w:rPr>
        <w:t>Amin, E., Raza, M. M., Iqbal, M., &amp; Najeebullah, M. (2018). KHEERA LOCAL : A NEW HIGH YIELDING, WELL ADAPTABLE AND HEAT TOLERANT CUCUMBER (CUCUMIS SATIVUS L.) VARIETY. Journal of Agricultural Research.</w:t>
      </w:r>
    </w:p>
    <w:p w:rsidR="00070EEB" w:rsidRPr="00070EEB" w:rsidRDefault="00070EEB" w:rsidP="00070EEB">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070EEB">
        <w:rPr>
          <w:rFonts w:ascii="Times New Roman" w:eastAsia="Times New Roman" w:hAnsi="Times New Roman" w:cs="Times New Roman"/>
          <w:sz w:val="24"/>
          <w:szCs w:val="24"/>
        </w:rPr>
        <w:t xml:space="preserve">Arthur, G.D., Stirk, W.A., &amp; Van Staden, J. (2003). Effect of a seaweed concentrate on the growth and yield of three varieties of Capsicum annuum. South African Journal of Botany, 69(2), 207–211. </w:t>
      </w:r>
      <w:hyperlink r:id="rId8" w:history="1">
        <w:r w:rsidRPr="00CF035C">
          <w:rPr>
            <w:rStyle w:val="Hyperlink"/>
            <w:rFonts w:ascii="Times New Roman" w:eastAsia="Times New Roman" w:hAnsi="Times New Roman" w:cs="Times New Roman"/>
            <w:sz w:val="24"/>
            <w:szCs w:val="24"/>
          </w:rPr>
          <w:t>https://doi.org/10.1016/S0254-6299(15)30348-3</w:t>
        </w:r>
      </w:hyperlink>
    </w:p>
    <w:p w:rsidR="003768E5" w:rsidRPr="003768E5" w:rsidRDefault="003768E5" w:rsidP="003768E5">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3768E5">
        <w:rPr>
          <w:rFonts w:ascii="Times New Roman" w:eastAsia="Times New Roman" w:hAnsi="Times New Roman" w:cs="Times New Roman"/>
          <w:sz w:val="24"/>
          <w:szCs w:val="24"/>
        </w:rPr>
        <w:t xml:space="preserve">AOAC INTERNATIONAL. (2005). Official Methods of Analysis of AOAC INTERNATIONAL. Washington D.C. </w:t>
      </w:r>
      <w:hyperlink r:id="rId9" w:history="1">
        <w:r w:rsidRPr="00CF035C">
          <w:rPr>
            <w:rStyle w:val="Hyperlink"/>
            <w:rFonts w:ascii="Times New Roman" w:eastAsia="Times New Roman" w:hAnsi="Times New Roman" w:cs="Times New Roman"/>
            <w:sz w:val="24"/>
            <w:szCs w:val="24"/>
          </w:rPr>
          <w:t>https://www.aoac.org/official-methods-of-analysis/</w:t>
        </w:r>
      </w:hyperlink>
    </w:p>
    <w:p w:rsidR="004E370A" w:rsidRPr="004E370A" w:rsidRDefault="004E370A" w:rsidP="004E370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4E370A">
        <w:rPr>
          <w:rFonts w:ascii="Times New Roman" w:eastAsia="Times New Roman" w:hAnsi="Times New Roman" w:cs="Times New Roman"/>
          <w:sz w:val="24"/>
          <w:szCs w:val="24"/>
        </w:rPr>
        <w:t xml:space="preserve">Battacharyya, D., Babgohari, M. Z., Rathor, P., &amp; Prithiviraj, B. (2015). Seaweed extracts as biostimulants in horticulture. Scientia Horticulturae, 196, 39-48. </w:t>
      </w:r>
      <w:hyperlink r:id="rId10" w:history="1">
        <w:r w:rsidRPr="00CF035C">
          <w:rPr>
            <w:rStyle w:val="Hyperlink"/>
            <w:rFonts w:ascii="Times New Roman" w:eastAsia="Times New Roman" w:hAnsi="Times New Roman" w:cs="Times New Roman"/>
            <w:sz w:val="24"/>
            <w:szCs w:val="24"/>
          </w:rPr>
          <w:t>https://doi.org/10.1016/j.scienta.2015.09.012</w:t>
        </w:r>
      </w:hyperlink>
    </w:p>
    <w:p w:rsidR="00873DD7" w:rsidRPr="00B8362C" w:rsidRDefault="00873DD7" w:rsidP="004E370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i/>
          <w:sz w:val="24"/>
          <w:szCs w:val="24"/>
        </w:rPr>
        <w:t>CANDEL Company Limited (2020). Products Reviews. Available at http:www.candelcorp.com</w:t>
      </w:r>
    </w:p>
    <w:p w:rsidR="00A63729" w:rsidRPr="00B8362C" w:rsidRDefault="00A63729"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Căpruciu R., Lascu N., Mărăcineanu L. C., and M. Croitoru (2020). The consumption Optimization of Chemical and Organic Fertilizers by Using Foliar Fertilizers Based on Natural Organic Compounds of Boron in the Production of Watermelons</w:t>
      </w:r>
      <w:r w:rsidRPr="00B8362C">
        <w:rPr>
          <w:rFonts w:ascii="Times New Roman" w:hAnsi="Times New Roman" w:cs="Times New Roman"/>
          <w:sz w:val="24"/>
          <w:szCs w:val="24"/>
        </w:rPr>
        <w:t xml:space="preserve">. </w:t>
      </w:r>
      <w:r w:rsidRPr="00B8362C">
        <w:rPr>
          <w:rFonts w:ascii="Times New Roman" w:eastAsia="Times New Roman" w:hAnsi="Times New Roman" w:cs="Times New Roman"/>
          <w:i/>
          <w:sz w:val="24"/>
          <w:szCs w:val="24"/>
        </w:rPr>
        <w:t>Scientific Papers. Series B, Horticulture. Vol. LXIV, No. 1</w:t>
      </w:r>
    </w:p>
    <w:p w:rsidR="002A65DF" w:rsidRPr="00B8362C" w:rsidRDefault="002A65DF"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Style w:val="Strong"/>
          <w:rFonts w:ascii="Times New Roman" w:hAnsi="Times New Roman" w:cs="Times New Roman"/>
          <w:b w:val="0"/>
          <w:sz w:val="24"/>
          <w:szCs w:val="24"/>
        </w:rPr>
        <w:t>Clement A. and Moya, P. (2019).</w:t>
      </w:r>
      <w:r w:rsidRPr="00B8362C">
        <w:rPr>
          <w:rFonts w:ascii="Times New Roman" w:hAnsi="Times New Roman" w:cs="Times New Roman"/>
          <w:sz w:val="24"/>
          <w:szCs w:val="24"/>
        </w:rPr>
        <w:t xml:space="preserve"> Foliar fertilization: A new method to enhance growth and yield of crops. </w:t>
      </w:r>
      <w:r w:rsidRPr="00B8362C">
        <w:rPr>
          <w:rStyle w:val="Emphasis"/>
          <w:rFonts w:ascii="Times New Roman" w:hAnsi="Times New Roman" w:cs="Times New Roman"/>
          <w:sz w:val="24"/>
          <w:szCs w:val="24"/>
        </w:rPr>
        <w:t>Plant Growth Regulation</w:t>
      </w:r>
      <w:r w:rsidRPr="00B8362C">
        <w:rPr>
          <w:rFonts w:ascii="Times New Roman" w:hAnsi="Times New Roman" w:cs="Times New Roman"/>
          <w:sz w:val="24"/>
          <w:szCs w:val="24"/>
        </w:rPr>
        <w:t>, 89(1), 1-9.</w:t>
      </w:r>
    </w:p>
    <w:p w:rsidR="00DD3F30" w:rsidRPr="00B8362C" w:rsidRDefault="00C27F72" w:rsidP="00C27F72">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C27F72">
        <w:rPr>
          <w:rFonts w:ascii="Times New Roman" w:eastAsia="Times New Roman" w:hAnsi="Times New Roman" w:cs="Times New Roman"/>
          <w:sz w:val="24"/>
          <w:szCs w:val="24"/>
        </w:rPr>
        <w:t xml:space="preserve">Dunsin, O., &amp; Caleb, S. A. (2016). Effect of Liquid Bio-Fertilizer (Alpha Life) on The Growth, Yield and Proximate Analysis of Okra (Abelmoschusesculentus) on Landmark University Soil. Scientia Agriculturae, 16(2), 43-48. </w:t>
      </w:r>
      <w:hyperlink r:id="rId11" w:history="1">
        <w:r w:rsidRPr="00CF035C">
          <w:rPr>
            <w:rStyle w:val="Hyperlink"/>
            <w:rFonts w:ascii="Times New Roman" w:eastAsia="Times New Roman" w:hAnsi="Times New Roman" w:cs="Times New Roman"/>
            <w:sz w:val="24"/>
            <w:szCs w:val="24"/>
          </w:rPr>
          <w:t>https://doi.org/10.15192/PSCP.SA.2016.16.2.4348</w:t>
        </w:r>
      </w:hyperlink>
      <w:r>
        <w:rPr>
          <w:rFonts w:ascii="Times New Roman" w:eastAsia="Times New Roman" w:hAnsi="Times New Roman" w:cs="Times New Roman"/>
          <w:sz w:val="24"/>
          <w:szCs w:val="24"/>
        </w:rPr>
        <w:t xml:space="preserve"> </w:t>
      </w:r>
    </w:p>
    <w:p w:rsidR="00211463" w:rsidRPr="00211463" w:rsidRDefault="00211463" w:rsidP="0021146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211463">
        <w:rPr>
          <w:rFonts w:ascii="Times New Roman" w:eastAsia="Times New Roman" w:hAnsi="Times New Roman" w:cs="Times New Roman"/>
          <w:sz w:val="24"/>
          <w:szCs w:val="24"/>
        </w:rPr>
        <w:t xml:space="preserve">Eifediyi, E. K., &amp; Remison, S. U. (2010). Growth and yield of cucumber (Cucumis sativus L.) as influenced by farmyard manure and inorganic fertilizer. Journal of Plant Breeding and Crop Science, 2(7), 216-220. </w:t>
      </w:r>
      <w:hyperlink r:id="rId12" w:history="1">
        <w:r w:rsidRPr="00CF035C">
          <w:rPr>
            <w:rStyle w:val="Hyperlink"/>
            <w:rFonts w:ascii="Times New Roman" w:eastAsia="Times New Roman" w:hAnsi="Times New Roman" w:cs="Times New Roman"/>
            <w:sz w:val="24"/>
            <w:szCs w:val="24"/>
          </w:rPr>
          <w:t>https://doi.org/10.5897/JPBCS.9000074</w:t>
        </w:r>
      </w:hyperlink>
    </w:p>
    <w:p w:rsidR="002B3477" w:rsidRPr="002B3477" w:rsidRDefault="002B3477" w:rsidP="002B3477">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pacing w:val="-1"/>
          <w:sz w:val="24"/>
          <w:szCs w:val="24"/>
          <w:u w:val="single"/>
        </w:rPr>
      </w:pPr>
      <w:r w:rsidRPr="002B3477">
        <w:rPr>
          <w:rFonts w:ascii="Times New Roman" w:eastAsia="Times New Roman" w:hAnsi="Times New Roman" w:cs="Times New Roman"/>
          <w:sz w:val="24"/>
          <w:szCs w:val="24"/>
        </w:rPr>
        <w:t xml:space="preserve">Fahimi, F., Souri, M. K., &amp; Yaghobi, F. (2016). Growth and Development of Greenhouse Cucumber Under Foliar Application of Biomin and Humifolin Fertilizers in Comparison to Their Soil Application and NPK. Journal of Science and Technology of Greenhouse Culture. </w:t>
      </w:r>
      <w:hyperlink r:id="rId13" w:history="1">
        <w:r w:rsidRPr="00CF035C">
          <w:rPr>
            <w:rStyle w:val="Hyperlink"/>
            <w:rFonts w:ascii="Times New Roman" w:eastAsia="Times New Roman" w:hAnsi="Times New Roman" w:cs="Times New Roman"/>
            <w:sz w:val="24"/>
            <w:szCs w:val="24"/>
          </w:rPr>
          <w:t>https://doi.org/10.18869/acadpub.ejgcst.7.1.143</w:t>
        </w:r>
      </w:hyperlink>
    </w:p>
    <w:p w:rsidR="00CB3533" w:rsidRPr="00CB3533" w:rsidRDefault="00CB3533" w:rsidP="00CB353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CB3533">
        <w:rPr>
          <w:rFonts w:ascii="Times New Roman" w:eastAsia="Times New Roman" w:hAnsi="Times New Roman" w:cs="Times New Roman"/>
          <w:spacing w:val="-1"/>
          <w:sz w:val="24"/>
          <w:szCs w:val="24"/>
        </w:rPr>
        <w:t xml:space="preserve">FAO. (2013). Contract farming for inclusive market access. </w:t>
      </w:r>
      <w:hyperlink r:id="rId14" w:history="1">
        <w:r w:rsidRPr="00CF035C">
          <w:rPr>
            <w:rStyle w:val="Hyperlink"/>
            <w:rFonts w:ascii="Times New Roman" w:eastAsia="Times New Roman" w:hAnsi="Times New Roman" w:cs="Times New Roman"/>
            <w:spacing w:val="-1"/>
            <w:sz w:val="24"/>
            <w:szCs w:val="24"/>
          </w:rPr>
          <w:t>https://www.fao.org/sustainable-food-value-chains/library/details/en/c/266510/</w:t>
        </w:r>
      </w:hyperlink>
    </w:p>
    <w:p w:rsidR="003B7C64" w:rsidRDefault="003B7C64" w:rsidP="003B7C64">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3B7C64">
        <w:rPr>
          <w:rFonts w:ascii="Times New Roman" w:eastAsia="Times New Roman" w:hAnsi="Times New Roman" w:cs="Times New Roman"/>
          <w:sz w:val="24"/>
          <w:szCs w:val="24"/>
        </w:rPr>
        <w:t xml:space="preserve">Fernández, V., &amp; Eichert, T. (2009). Uptake of Hydrophilic Solutes Through Plant Leaves: Current State of Knowledge and Perspectives of Foliar Fertilization. Critical Reviews in Plant Science, 28(1), 36-68. </w:t>
      </w:r>
      <w:hyperlink r:id="rId15" w:history="1">
        <w:r w:rsidRPr="00CF035C">
          <w:rPr>
            <w:rStyle w:val="Hyperlink"/>
            <w:rFonts w:ascii="Times New Roman" w:eastAsia="Times New Roman" w:hAnsi="Times New Roman" w:cs="Times New Roman"/>
            <w:sz w:val="24"/>
            <w:szCs w:val="24"/>
          </w:rPr>
          <w:t>https://doi.org/10.1080/07352680902743069</w:t>
        </w:r>
      </w:hyperlink>
    </w:p>
    <w:p w:rsidR="00EF685D" w:rsidRPr="00EF685D" w:rsidRDefault="00EF685D" w:rsidP="00EF685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EF685D">
        <w:rPr>
          <w:rFonts w:ascii="Times New Roman" w:hAnsi="Times New Roman" w:cs="Times New Roman"/>
          <w:sz w:val="24"/>
          <w:szCs w:val="24"/>
        </w:rPr>
        <w:t xml:space="preserve">Fernández, V., Pelegrin, E., &amp; Eichert, T. (2021). Foliar water and solute absorption: an update. The Plant Journal, 105(4), 870-883. </w:t>
      </w:r>
      <w:hyperlink r:id="rId16" w:history="1">
        <w:r w:rsidRPr="00CF035C">
          <w:rPr>
            <w:rStyle w:val="Hyperlink"/>
            <w:rFonts w:ascii="Times New Roman" w:hAnsi="Times New Roman" w:cs="Times New Roman"/>
            <w:sz w:val="24"/>
            <w:szCs w:val="24"/>
          </w:rPr>
          <w:t>https://doi.org/10.1111/tpj.15090</w:t>
        </w:r>
      </w:hyperlink>
    </w:p>
    <w:p w:rsidR="00DD3F30" w:rsidRPr="00B8362C" w:rsidRDefault="00DD3F30" w:rsidP="00EF685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Gronik K., Grezesik M. and Duda B. (2008). The Effect of Chitosan on Rooting of Grapevine Cutting and on Subsequent Plant Growth Under Drought and Temperature Stress. </w:t>
      </w:r>
      <w:r w:rsidRPr="00B8362C">
        <w:rPr>
          <w:rFonts w:ascii="Times New Roman" w:eastAsia="Times New Roman" w:hAnsi="Times New Roman" w:cs="Times New Roman"/>
          <w:i/>
          <w:sz w:val="24"/>
          <w:szCs w:val="24"/>
        </w:rPr>
        <w:t>Journal of Fruit Ornamental Plant Res., 16: 333-343.</w:t>
      </w:r>
    </w:p>
    <w:p w:rsidR="00FA5CFF" w:rsidRPr="00FA5CFF" w:rsidRDefault="00FA5CFF" w:rsidP="00FA5CF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FA5CFF">
        <w:rPr>
          <w:rFonts w:ascii="Times New Roman" w:eastAsia="Times New Roman" w:hAnsi="Times New Roman" w:cs="Times New Roman"/>
          <w:sz w:val="24"/>
          <w:szCs w:val="24"/>
        </w:rPr>
        <w:lastRenderedPageBreak/>
        <w:t xml:space="preserve">Heinonen-Tanski, H., Mohaibes, M., Karinen, P., &amp; Koivunen, J. (2006). Methods to reduce pathogen microorganisms in manure. Livestock Science, 102(3), 248-255. </w:t>
      </w:r>
      <w:hyperlink r:id="rId17" w:history="1">
        <w:r w:rsidRPr="00CF035C">
          <w:rPr>
            <w:rStyle w:val="Hyperlink"/>
            <w:rFonts w:ascii="Times New Roman" w:eastAsia="Times New Roman" w:hAnsi="Times New Roman" w:cs="Times New Roman"/>
            <w:sz w:val="24"/>
            <w:szCs w:val="24"/>
          </w:rPr>
          <w:t>https://doi.org/10.1016/j.livsci.2006.03.024</w:t>
        </w:r>
      </w:hyperlink>
    </w:p>
    <w:p w:rsidR="00CD36C7" w:rsidRPr="00B8362C" w:rsidRDefault="002A65DF" w:rsidP="00FA5CF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Style w:val="Strong"/>
          <w:rFonts w:ascii="Times New Roman" w:hAnsi="Times New Roman" w:cs="Times New Roman"/>
          <w:b w:val="0"/>
          <w:sz w:val="24"/>
          <w:szCs w:val="24"/>
        </w:rPr>
        <w:t>Ibrahim M. and</w:t>
      </w:r>
      <w:r w:rsidR="00253553" w:rsidRPr="00B8362C">
        <w:rPr>
          <w:rStyle w:val="Strong"/>
          <w:rFonts w:ascii="Times New Roman" w:hAnsi="Times New Roman" w:cs="Times New Roman"/>
          <w:b w:val="0"/>
          <w:sz w:val="24"/>
          <w:szCs w:val="24"/>
        </w:rPr>
        <w:t xml:space="preserve"> Abo El-Maati, M. (2016)</w:t>
      </w:r>
      <w:r w:rsidR="00253553" w:rsidRPr="00B8362C">
        <w:rPr>
          <w:rStyle w:val="Strong"/>
          <w:rFonts w:ascii="Times New Roman" w:hAnsi="Times New Roman" w:cs="Times New Roman"/>
          <w:sz w:val="24"/>
          <w:szCs w:val="24"/>
        </w:rPr>
        <w:t>.</w:t>
      </w:r>
      <w:r w:rsidR="00253553" w:rsidRPr="00B8362C">
        <w:rPr>
          <w:rFonts w:ascii="Times New Roman" w:hAnsi="Times New Roman" w:cs="Times New Roman"/>
          <w:sz w:val="24"/>
          <w:szCs w:val="24"/>
        </w:rPr>
        <w:t xml:space="preserve"> Organic foliar fertilizers: Role in enhancing plant growth, productivity, and environmental sustainability. </w:t>
      </w:r>
      <w:r w:rsidR="00253553" w:rsidRPr="00B8362C">
        <w:rPr>
          <w:rStyle w:val="Emphasis"/>
          <w:rFonts w:ascii="Times New Roman" w:hAnsi="Times New Roman" w:cs="Times New Roman"/>
          <w:sz w:val="24"/>
          <w:szCs w:val="24"/>
        </w:rPr>
        <w:t>Environmental Science and Pollution Research</w:t>
      </w:r>
      <w:r w:rsidR="00253553" w:rsidRPr="00B8362C">
        <w:rPr>
          <w:rFonts w:ascii="Times New Roman" w:hAnsi="Times New Roman" w:cs="Times New Roman"/>
          <w:sz w:val="24"/>
          <w:szCs w:val="24"/>
        </w:rPr>
        <w:t>, 23(22), 23000-23012.</w:t>
      </w:r>
    </w:p>
    <w:p w:rsidR="00D369C3" w:rsidRPr="00D369C3" w:rsidRDefault="00D369C3" w:rsidP="00D369C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D369C3">
        <w:rPr>
          <w:rFonts w:ascii="Times New Roman" w:eastAsia="Times New Roman" w:hAnsi="Times New Roman" w:cs="Times New Roman"/>
          <w:sz w:val="24"/>
          <w:szCs w:val="24"/>
        </w:rPr>
        <w:t xml:space="preserve">Jamal, Z., Hamayun, M., Ahmad, N., &amp; Chaudhary, M. F. (2006). Effects of Soil and Foliar Application of Different Concentrations of NPK and Foliar Application of (NH4)2SO4 on Different Yield Parameters in Wheat. Journal of Agronomy, 5(2), 251-256. </w:t>
      </w:r>
      <w:hyperlink r:id="rId18" w:history="1">
        <w:r w:rsidRPr="00CF035C">
          <w:rPr>
            <w:rStyle w:val="Hyperlink"/>
            <w:rFonts w:ascii="Times New Roman" w:eastAsia="Times New Roman" w:hAnsi="Times New Roman" w:cs="Times New Roman"/>
            <w:sz w:val="24"/>
            <w:szCs w:val="24"/>
          </w:rPr>
          <w:t>https://doi.org/10.3923/ja.2006.251.256</w:t>
        </w:r>
      </w:hyperlink>
    </w:p>
    <w:p w:rsidR="00D70836" w:rsidRPr="00B8362C" w:rsidRDefault="00D70836" w:rsidP="00D369C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Jan K. and M. V. Boswal (2015). Effect of Bio-fertilizer and Organic fertilizer on physiological characteristics of Bread Wheat (</w:t>
      </w:r>
      <w:r w:rsidRPr="00B8362C">
        <w:rPr>
          <w:rFonts w:ascii="Times New Roman" w:eastAsia="Times New Roman" w:hAnsi="Times New Roman" w:cs="Times New Roman"/>
          <w:i/>
          <w:sz w:val="24"/>
          <w:szCs w:val="24"/>
        </w:rPr>
        <w:t>triticum aestivum L</w:t>
      </w:r>
      <w:r w:rsidRPr="00B8362C">
        <w:rPr>
          <w:rFonts w:ascii="Times New Roman" w:eastAsia="Times New Roman" w:hAnsi="Times New Roman" w:cs="Times New Roman"/>
          <w:sz w:val="24"/>
          <w:szCs w:val="24"/>
        </w:rPr>
        <w:t>).</w:t>
      </w:r>
      <w:r w:rsidRPr="00B8362C">
        <w:rPr>
          <w:rFonts w:ascii="Times New Roman" w:eastAsia="Times New Roman" w:hAnsi="Times New Roman" w:cs="Times New Roman"/>
          <w:i/>
          <w:sz w:val="24"/>
          <w:szCs w:val="24"/>
        </w:rPr>
        <w:t xml:space="preserve"> Int. J. Sci. Res., 3 (2015), pp. 2073-2090</w:t>
      </w:r>
    </w:p>
    <w:p w:rsidR="005A35D6" w:rsidRDefault="005A35D6" w:rsidP="005A35D6">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5A35D6">
        <w:rPr>
          <w:rFonts w:ascii="Times New Roman" w:eastAsia="Times New Roman" w:hAnsi="Times New Roman" w:cs="Times New Roman"/>
          <w:sz w:val="24"/>
          <w:szCs w:val="24"/>
        </w:rPr>
        <w:t xml:space="preserve">Kannan, S. (2010). Foliar Fertilization for Sustainable Crop Production. In E. Lichtfouse (Ed.), Sustainable Agriculture Reviews, Genetic Engineering, Biofertilisation, Soil Quality and Organic Farming (pp. 371-402). Springer Netherlands. </w:t>
      </w:r>
      <w:hyperlink r:id="rId19" w:history="1">
        <w:r w:rsidRPr="00CF035C">
          <w:rPr>
            <w:rStyle w:val="Hyperlink"/>
            <w:rFonts w:ascii="Times New Roman" w:eastAsia="Times New Roman" w:hAnsi="Times New Roman" w:cs="Times New Roman"/>
            <w:sz w:val="24"/>
            <w:szCs w:val="24"/>
          </w:rPr>
          <w:t>https://doi.org/10.1007/978-90-481-8741-6_13</w:t>
        </w:r>
      </w:hyperlink>
    </w:p>
    <w:p w:rsidR="0016401E" w:rsidRPr="0016401E" w:rsidRDefault="0016401E" w:rsidP="0016401E">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16401E">
        <w:rPr>
          <w:rFonts w:ascii="Times New Roman" w:eastAsia="Times New Roman" w:hAnsi="Times New Roman" w:cs="Times New Roman"/>
          <w:sz w:val="24"/>
          <w:szCs w:val="24"/>
        </w:rPr>
        <w:t xml:space="preserve">Waseem, K., Kamran, Q. M., &amp; Jilani, M. S. (2008). Effect of different nitrogen levels on growth and yield of cucumber (Cucumis sativus L.). Journal of Agricultural Research, 46(3), 259-266. </w:t>
      </w:r>
      <w:hyperlink r:id="rId20" w:history="1">
        <w:r w:rsidRPr="00CF035C">
          <w:rPr>
            <w:rStyle w:val="Hyperlink"/>
            <w:rFonts w:ascii="Times New Roman" w:eastAsia="Times New Roman" w:hAnsi="Times New Roman" w:cs="Times New Roman"/>
            <w:sz w:val="24"/>
            <w:szCs w:val="24"/>
          </w:rPr>
          <w:t>https://www.worldveg.org/resources/publications/e01036/</w:t>
        </w:r>
      </w:hyperlink>
    </w:p>
    <w:p w:rsidR="002826F3" w:rsidRPr="002826F3" w:rsidRDefault="002826F3" w:rsidP="002826F3">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2826F3">
        <w:rPr>
          <w:rFonts w:ascii="Times New Roman" w:hAnsi="Times New Roman" w:cs="Times New Roman"/>
          <w:sz w:val="24"/>
          <w:szCs w:val="24"/>
        </w:rPr>
        <w:t xml:space="preserve">Khalid, B., Javed, M. U., Ashraf, M. A., Saeed, H. Z., Shaheen, M., Riaz, T., Riaz, R., &amp; Nawaz, S. (2025). Microbial bio stimulants as sustainable strategies for enhancing plant resistance to viral diseases: Mechanisms and applications. Hosts and Viruses, 12, 93-110. </w:t>
      </w:r>
      <w:hyperlink r:id="rId21" w:history="1">
        <w:r w:rsidRPr="00CF035C">
          <w:rPr>
            <w:rStyle w:val="Hyperlink"/>
            <w:rFonts w:ascii="Times New Roman" w:hAnsi="Times New Roman" w:cs="Times New Roman"/>
            <w:sz w:val="24"/>
            <w:szCs w:val="24"/>
          </w:rPr>
          <w:t>https://www.researcherslinks.com/journal/hosts-and-viruses/article/microbial-bio-stimulants-as-sustainable-strategies-for-enhancing-plant-resistance-to-viral-diseases-mechanisms-and-applications/300</w:t>
        </w:r>
      </w:hyperlink>
    </w:p>
    <w:p w:rsidR="00342F0C" w:rsidRDefault="00342F0C" w:rsidP="00342F0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342F0C">
        <w:rPr>
          <w:rFonts w:ascii="Times New Roman" w:eastAsia="Times New Roman" w:hAnsi="Times New Roman" w:cs="Times New Roman"/>
          <w:sz w:val="24"/>
          <w:szCs w:val="24"/>
        </w:rPr>
        <w:t xml:space="preserve">Kuepper, G. (2003). Foliar fertilization. ATTRA – National Sustainable Agriculture Information Service. </w:t>
      </w:r>
      <w:hyperlink r:id="rId22" w:history="1">
        <w:r w:rsidRPr="00CF035C">
          <w:rPr>
            <w:rStyle w:val="Hyperlink"/>
            <w:rFonts w:ascii="Times New Roman" w:eastAsia="Times New Roman" w:hAnsi="Times New Roman" w:cs="Times New Roman"/>
            <w:sz w:val="24"/>
            <w:szCs w:val="24"/>
          </w:rPr>
          <w:t>https://attra.ncat.org/publication/foliar-fertilization/</w:t>
        </w:r>
      </w:hyperlink>
    </w:p>
    <w:p w:rsidR="00477868" w:rsidRDefault="00477868" w:rsidP="00477868">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477868">
        <w:rPr>
          <w:rFonts w:ascii="Times New Roman" w:eastAsia="Times New Roman" w:hAnsi="Times New Roman" w:cs="Times New Roman"/>
          <w:sz w:val="24"/>
          <w:szCs w:val="24"/>
        </w:rPr>
        <w:t xml:space="preserve">Meena, L. L., Verma, A. K., Bharti, V. S., Nayak, S. K., Chandrakant, M. H., Haridas, H., Reang, D., Javed, H., &amp; John, V. C. (2022). Effect of foliar application of potassium with aquaculture wastewater on the growth of okra (Abelmoschus esculentus) and Pangasianodon hypophthalmus in recirculating aquaponic system. Scientia Horticulturae, 302, 111161. </w:t>
      </w:r>
      <w:hyperlink r:id="rId23" w:history="1">
        <w:r w:rsidRPr="00CF035C">
          <w:rPr>
            <w:rStyle w:val="Hyperlink"/>
            <w:rFonts w:ascii="Times New Roman" w:eastAsia="Times New Roman" w:hAnsi="Times New Roman" w:cs="Times New Roman"/>
            <w:sz w:val="24"/>
            <w:szCs w:val="24"/>
          </w:rPr>
          <w:t>https://doi.org/10.1016/j.scienta.2022.111161</w:t>
        </w:r>
      </w:hyperlink>
    </w:p>
    <w:p w:rsidR="0018055D" w:rsidRPr="0018055D" w:rsidRDefault="0018055D" w:rsidP="0018055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18055D">
        <w:rPr>
          <w:rFonts w:ascii="Times New Roman" w:eastAsia="Times New Roman" w:hAnsi="Times New Roman" w:cs="Times New Roman"/>
          <w:sz w:val="24"/>
          <w:szCs w:val="24"/>
        </w:rPr>
        <w:t xml:space="preserve">Mancuso, S., Azzarello, E., Mugnai, S., &amp; Briand, X. (2006). Marine bioactive substances (IPA extract) improve foliar ion uptake and water stress tolerance in potted Vitis vinifera plants. Advances in Horticultural Science, 20, 156–161. </w:t>
      </w:r>
      <w:hyperlink r:id="rId24" w:history="1">
        <w:r w:rsidRPr="00CF035C">
          <w:rPr>
            <w:rStyle w:val="Hyperlink"/>
            <w:rFonts w:ascii="Times New Roman" w:eastAsia="Times New Roman" w:hAnsi="Times New Roman" w:cs="Times New Roman"/>
            <w:sz w:val="24"/>
            <w:szCs w:val="24"/>
          </w:rPr>
          <w:t>https://doi.org/10.1400/53262</w:t>
        </w:r>
      </w:hyperlink>
    </w:p>
    <w:p w:rsidR="0080752C" w:rsidRDefault="0080752C" w:rsidP="008075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80752C">
        <w:rPr>
          <w:rFonts w:ascii="Times New Roman" w:eastAsia="Times New Roman" w:hAnsi="Times New Roman" w:cs="Times New Roman"/>
          <w:sz w:val="24"/>
          <w:szCs w:val="24"/>
        </w:rPr>
        <w:t xml:space="preserve">Mondal, M. M. A., Puteh, A. B., &amp; Dafader, N. C. (2016). Foliar application of chitosan improved morpho-physiological attributes and yield in summer tomato (Solanum lycopersicum). *Pakistan Journal of Agricultural Sciences*, *53*(2), 339–344. </w:t>
      </w:r>
      <w:hyperlink r:id="rId25" w:history="1">
        <w:r w:rsidRPr="00CF035C">
          <w:rPr>
            <w:rStyle w:val="Hyperlink"/>
            <w:rFonts w:ascii="Times New Roman" w:eastAsia="Times New Roman" w:hAnsi="Times New Roman" w:cs="Times New Roman"/>
            <w:sz w:val="24"/>
            <w:szCs w:val="24"/>
          </w:rPr>
          <w:t>https://doi.org/10.21162/PAKJAS/16.2011</w:t>
        </w:r>
      </w:hyperlink>
    </w:p>
    <w:p w:rsidR="00596F19" w:rsidRPr="00596F19" w:rsidRDefault="00596F19" w:rsidP="00596F19">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596F19">
        <w:rPr>
          <w:rFonts w:ascii="Times New Roman" w:eastAsia="Times New Roman" w:hAnsi="Times New Roman" w:cs="Times New Roman"/>
          <w:sz w:val="24"/>
          <w:szCs w:val="24"/>
        </w:rPr>
        <w:t xml:space="preserve">Moreno-Caselles, J., Moral, R., Perez-Murcia, M., Perez-Espinosa, A., &amp; Rufete, B. (2002). Nutrient value of animal manures in front of environmental hazards. Communications in Soil Science and Plant Analysis, 33(15-18), 3023-3032. </w:t>
      </w:r>
      <w:hyperlink r:id="rId26" w:history="1">
        <w:r w:rsidRPr="00CF035C">
          <w:rPr>
            <w:rStyle w:val="Hyperlink"/>
            <w:rFonts w:ascii="Times New Roman" w:eastAsia="Times New Roman" w:hAnsi="Times New Roman" w:cs="Times New Roman"/>
            <w:sz w:val="24"/>
            <w:szCs w:val="24"/>
          </w:rPr>
          <w:t>https://doi.org/10.1081/CSS-120014499</w:t>
        </w:r>
      </w:hyperlink>
    </w:p>
    <w:p w:rsidR="00EE52EF" w:rsidRPr="00EE52EF" w:rsidRDefault="00EE52EF" w:rsidP="00EE52E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EE52EF">
        <w:rPr>
          <w:rFonts w:ascii="Times New Roman" w:eastAsia="Times New Roman" w:hAnsi="Times New Roman" w:cs="Times New Roman"/>
          <w:sz w:val="24"/>
          <w:szCs w:val="24"/>
        </w:rPr>
        <w:t xml:space="preserve">Mudita, I. I., Chipfiko, T., Mapfumo, P., &amp; Tigere, T. A. (2014). Effects of Foliar Fertilizer on Yield and Quality of Green Mealies (Zea mays L.). Journal of Agronomy, 13, 35-39. </w:t>
      </w:r>
      <w:hyperlink r:id="rId27" w:history="1">
        <w:r w:rsidRPr="00CF035C">
          <w:rPr>
            <w:rStyle w:val="Hyperlink"/>
            <w:rFonts w:ascii="Times New Roman" w:eastAsia="Times New Roman" w:hAnsi="Times New Roman" w:cs="Times New Roman"/>
            <w:sz w:val="24"/>
            <w:szCs w:val="24"/>
          </w:rPr>
          <w:t>https://doi.org/10.3923/ja.2014.35.39</w:t>
        </w:r>
      </w:hyperlink>
    </w:p>
    <w:p w:rsidR="005C22EE" w:rsidRPr="00B8362C" w:rsidRDefault="005C22EE" w:rsidP="00EE52E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hAnsi="Times New Roman" w:cs="Times New Roman"/>
          <w:sz w:val="24"/>
          <w:szCs w:val="24"/>
        </w:rPr>
        <w:lastRenderedPageBreak/>
        <w:t>Nnadi, K. J., Christo, I.E., Ogbuehi, H.C., Ogwudire, V. E., Kalu, C. B., Ejiogu, C. S. and Umar, I. F. (2025). Impact of Foliar Plus on Physiological Growth Attributes of Cucumber (</w:t>
      </w:r>
      <w:r w:rsidRPr="00B8362C">
        <w:rPr>
          <w:rFonts w:ascii="Times New Roman" w:hAnsi="Times New Roman" w:cs="Times New Roman"/>
          <w:i/>
          <w:sz w:val="24"/>
          <w:szCs w:val="24"/>
        </w:rPr>
        <w:t>Cucumis sativus</w:t>
      </w:r>
      <w:r w:rsidRPr="00B8362C">
        <w:rPr>
          <w:rFonts w:ascii="Times New Roman" w:hAnsi="Times New Roman" w:cs="Times New Roman"/>
          <w:sz w:val="24"/>
          <w:szCs w:val="24"/>
        </w:rPr>
        <w:t xml:space="preserve">) in Owerri, Nigeria. </w:t>
      </w:r>
      <w:r w:rsidRPr="00B8362C">
        <w:rPr>
          <w:rFonts w:ascii="Times New Roman" w:hAnsi="Times New Roman" w:cs="Times New Roman"/>
          <w:i/>
          <w:sz w:val="24"/>
          <w:szCs w:val="24"/>
        </w:rPr>
        <w:t>Asian Journal of Research and Review in Agriculture</w:t>
      </w:r>
      <w:r w:rsidRPr="00B8362C">
        <w:rPr>
          <w:rFonts w:ascii="Times New Roman" w:hAnsi="Times New Roman" w:cs="Times New Roman"/>
          <w:sz w:val="24"/>
          <w:szCs w:val="24"/>
        </w:rPr>
        <w:t>. 7(1); 26-38.</w:t>
      </w:r>
    </w:p>
    <w:p w:rsidR="005050DA" w:rsidRDefault="005050DA" w:rsidP="005050D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5050DA">
        <w:rPr>
          <w:rFonts w:ascii="Times New Roman" w:eastAsia="Times New Roman" w:hAnsi="Times New Roman" w:cs="Times New Roman"/>
          <w:sz w:val="24"/>
          <w:szCs w:val="24"/>
        </w:rPr>
        <w:t xml:space="preserve">October, J. R. V., Raitt, L. M., &amp; Ndakidemi, P. A. (2019). The effects of drench and foliar application of a commercial seaweed extract on the leaf nutrient content of potato, Solanum tuberosum 'BP1'. Acta Horticulturae, 1251, 217-222. </w:t>
      </w:r>
      <w:hyperlink r:id="rId28" w:history="1">
        <w:r w:rsidRPr="00CF035C">
          <w:rPr>
            <w:rStyle w:val="Hyperlink"/>
            <w:rFonts w:ascii="Times New Roman" w:eastAsia="Times New Roman" w:hAnsi="Times New Roman" w:cs="Times New Roman"/>
            <w:sz w:val="24"/>
            <w:szCs w:val="24"/>
          </w:rPr>
          <w:t>https://doi.org/10.17660/ActaHortic.2019.1251.31</w:t>
        </w:r>
      </w:hyperlink>
    </w:p>
    <w:p w:rsidR="00CD36C7" w:rsidRPr="00B8362C" w:rsidRDefault="00CD36C7" w:rsidP="005050DA">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B8362C">
        <w:rPr>
          <w:rFonts w:ascii="Times New Roman" w:eastAsia="Times New Roman" w:hAnsi="Times New Roman" w:cs="Times New Roman"/>
          <w:sz w:val="24"/>
          <w:szCs w:val="24"/>
        </w:rPr>
        <w:t xml:space="preserve">Onuh M. O. and Igwemma A. A. (2000). </w:t>
      </w:r>
      <w:r w:rsidRPr="00B8362C">
        <w:rPr>
          <w:rFonts w:ascii="Times New Roman" w:eastAsia="Times New Roman" w:hAnsi="Times New Roman" w:cs="Times New Roman"/>
          <w:i/>
          <w:sz w:val="24"/>
          <w:szCs w:val="24"/>
        </w:rPr>
        <w:t>Applied Statistical Techniques For Business and Basic Sciences</w:t>
      </w:r>
      <w:r w:rsidRPr="00B8362C">
        <w:rPr>
          <w:rFonts w:ascii="Times New Roman" w:eastAsia="Times New Roman" w:hAnsi="Times New Roman" w:cs="Times New Roman"/>
          <w:sz w:val="24"/>
          <w:szCs w:val="24"/>
        </w:rPr>
        <w:t xml:space="preserve">: Second Edition, Chapter 9; Pg211 - 215 </w:t>
      </w:r>
    </w:p>
    <w:p w:rsidR="006472EF" w:rsidRPr="006472EF" w:rsidRDefault="006472EF" w:rsidP="006472EF">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6472EF">
        <w:rPr>
          <w:rFonts w:ascii="Times New Roman" w:eastAsia="Times New Roman" w:hAnsi="Times New Roman" w:cs="Times New Roman"/>
          <w:color w:val="1F1F1F"/>
          <w:sz w:val="24"/>
          <w:szCs w:val="24"/>
        </w:rPr>
        <w:t xml:space="preserve">Pang, X. P., &amp; Letey, J. (2000). Organic farming: Challenge of timing nitrogen availability to crop nitrogen requirements. Soil Science Society of America Journal, 64, 247-253. </w:t>
      </w:r>
      <w:hyperlink r:id="rId29" w:history="1">
        <w:r w:rsidRPr="00CF035C">
          <w:rPr>
            <w:rStyle w:val="Hyperlink"/>
            <w:rFonts w:ascii="Times New Roman" w:eastAsia="Times New Roman" w:hAnsi="Times New Roman" w:cs="Times New Roman"/>
            <w:sz w:val="24"/>
            <w:szCs w:val="24"/>
          </w:rPr>
          <w:t>https://doi.org/10.2136/sssaj2000.641247x</w:t>
        </w:r>
      </w:hyperlink>
    </w:p>
    <w:p w:rsidR="00854FC2" w:rsidRPr="00854FC2" w:rsidRDefault="00854FC2" w:rsidP="00854FC2">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color w:val="000000" w:themeColor="text1"/>
          <w:sz w:val="24"/>
          <w:szCs w:val="24"/>
        </w:rPr>
      </w:pPr>
      <w:r w:rsidRPr="00854FC2">
        <w:rPr>
          <w:rFonts w:ascii="Times New Roman" w:eastAsia="Times New Roman" w:hAnsi="Times New Roman" w:cs="Times New Roman"/>
          <w:sz w:val="24"/>
          <w:szCs w:val="24"/>
        </w:rPr>
        <w:t xml:space="preserve">Patil, B., &amp; Chetan, H. T. (2018). Foliar fertilization of nutrients. Marumegh, 3, 49–53. </w:t>
      </w:r>
      <w:hyperlink r:id="rId30" w:history="1">
        <w:r w:rsidRPr="00CF035C">
          <w:rPr>
            <w:rStyle w:val="Hyperlink"/>
            <w:rFonts w:ascii="Times New Roman" w:eastAsia="Times New Roman" w:hAnsi="Times New Roman" w:cs="Times New Roman"/>
            <w:sz w:val="24"/>
            <w:szCs w:val="24"/>
          </w:rPr>
          <w:t>https://www.researchgate.net/publication/322609000_FOLIAR_FERTILIZATION_OF_NUTRIENTS</w:t>
        </w:r>
      </w:hyperlink>
    </w:p>
    <w:p w:rsidR="00DB3C77" w:rsidRPr="00DB3C77" w:rsidRDefault="00DB3C77" w:rsidP="00DB3C77">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DB3C77">
        <w:rPr>
          <w:rFonts w:ascii="Times New Roman" w:eastAsia="Times New Roman" w:hAnsi="Times New Roman" w:cs="Times New Roman"/>
          <w:sz w:val="24"/>
          <w:szCs w:val="24"/>
        </w:rPr>
        <w:t xml:space="preserve">Pearson, D. (1976). The chemical analysis of foods. Churchill Livingstone. </w:t>
      </w:r>
      <w:hyperlink r:id="rId31" w:history="1">
        <w:r w:rsidRPr="00CF035C">
          <w:rPr>
            <w:rStyle w:val="Hyperlink"/>
            <w:rFonts w:ascii="Times New Roman" w:eastAsia="Times New Roman" w:hAnsi="Times New Roman" w:cs="Times New Roman"/>
            <w:sz w:val="24"/>
            <w:szCs w:val="24"/>
          </w:rPr>
          <w:t>https://catalogue.nla.gov.au/Record/2681955</w:t>
        </w:r>
      </w:hyperlink>
    </w:p>
    <w:p w:rsidR="000A358D" w:rsidRPr="00B8362C" w:rsidRDefault="005622CF" w:rsidP="005622CF">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rPr>
      </w:pPr>
      <w:r w:rsidRPr="005622CF">
        <w:rPr>
          <w:rFonts w:ascii="Times New Roman" w:eastAsia="Times New Roman" w:hAnsi="Times New Roman" w:cs="Times New Roman"/>
          <w:sz w:val="24"/>
          <w:szCs w:val="24"/>
        </w:rPr>
        <w:t xml:space="preserve">Pise, N. M., &amp; Sabale, A. B. (2010). Effect of Seaweed Concentrates on the Growth and Biochemical Constituents of Trigonella Foenum-Graecum L. Journal of Phytology, 2(4), 50–56. </w:t>
      </w:r>
      <w:hyperlink r:id="rId32" w:history="1">
        <w:r w:rsidRPr="00CF035C">
          <w:rPr>
            <w:rStyle w:val="Hyperlink"/>
            <w:rFonts w:ascii="Times New Roman" w:eastAsia="Times New Roman" w:hAnsi="Times New Roman" w:cs="Times New Roman"/>
            <w:sz w:val="24"/>
            <w:szCs w:val="24"/>
          </w:rPr>
          <w:t>https://updatepublishing.com/journal/index.php/jp/article/view/2125</w:t>
        </w:r>
      </w:hyperlink>
      <w:r>
        <w:rPr>
          <w:rFonts w:ascii="Times New Roman" w:eastAsia="Times New Roman" w:hAnsi="Times New Roman" w:cs="Times New Roman"/>
          <w:sz w:val="24"/>
          <w:szCs w:val="24"/>
        </w:rPr>
        <w:t xml:space="preserve"> </w:t>
      </w:r>
    </w:p>
    <w:p w:rsidR="000A358D" w:rsidRPr="00B8362C" w:rsidRDefault="00F0360F"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B8362C">
        <w:rPr>
          <w:rFonts w:ascii="Times New Roman" w:eastAsia="Times New Roman" w:hAnsi="Times New Roman" w:cs="Times New Roman"/>
          <w:sz w:val="24"/>
          <w:szCs w:val="24"/>
        </w:rPr>
        <w:t xml:space="preserve">Phu N. T. (1997). Nitrogen and Potassium Effect on Cucumber Yield. AVI 1996 report. ARC/AVRDC Training Thailand. </w:t>
      </w:r>
    </w:p>
    <w:p w:rsidR="00F61115" w:rsidRPr="00B8362C" w:rsidRDefault="001F0177" w:rsidP="001F0177">
      <w:pPr>
        <w:pStyle w:val="ListParagraph"/>
        <w:numPr>
          <w:ilvl w:val="0"/>
          <w:numId w:val="2"/>
        </w:numPr>
        <w:tabs>
          <w:tab w:val="left" w:pos="180"/>
          <w:tab w:val="left" w:pos="360"/>
          <w:tab w:val="left" w:pos="810"/>
        </w:tabs>
        <w:spacing w:line="240" w:lineRule="auto"/>
        <w:jc w:val="both"/>
        <w:rPr>
          <w:rFonts w:ascii="Times New Roman" w:hAnsi="Times New Roman" w:cs="Times New Roman"/>
          <w:sz w:val="24"/>
          <w:szCs w:val="24"/>
          <w:u w:val="single"/>
        </w:rPr>
      </w:pPr>
      <w:r w:rsidRPr="001F0177">
        <w:rPr>
          <w:rFonts w:ascii="Times New Roman" w:eastAsia="inherit" w:hAnsi="Times New Roman" w:cs="Times New Roman"/>
          <w:sz w:val="24"/>
          <w:szCs w:val="24"/>
        </w:rPr>
        <w:t xml:space="preserve">Rahman, M. H., Hasan, M. N., &amp; Khan, M. Z. H. (2021). Study on different nano fertilizers influencing the growth, proximate composition and antioxidant properties of strawberry fruits. Journal of Agriculture and Food Research. </w:t>
      </w:r>
      <w:hyperlink r:id="rId33" w:history="1">
        <w:r w:rsidRPr="00CF035C">
          <w:rPr>
            <w:rStyle w:val="Hyperlink"/>
            <w:rFonts w:ascii="Times New Roman" w:eastAsia="inherit" w:hAnsi="Times New Roman" w:cs="Times New Roman"/>
            <w:sz w:val="24"/>
            <w:szCs w:val="24"/>
          </w:rPr>
          <w:t>https://doi.org/10.1016/j.jafr.2021.100246</w:t>
        </w:r>
      </w:hyperlink>
      <w:r>
        <w:rPr>
          <w:rFonts w:ascii="Times New Roman" w:eastAsia="inherit" w:hAnsi="Times New Roman" w:cs="Times New Roman"/>
          <w:sz w:val="24"/>
          <w:szCs w:val="24"/>
        </w:rPr>
        <w:t xml:space="preserve"> </w:t>
      </w:r>
    </w:p>
    <w:p w:rsidR="00F61115" w:rsidRPr="00B8362C" w:rsidRDefault="00F61115"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Said A. Shehata, Zakaria F., Fawzy and Hassan R. El-Ramady. (2012). Response of Cucumber Plants to Foliar Application of Chitosan and Yeast Under Greenhouse Conditions. </w:t>
      </w:r>
      <w:r w:rsidRPr="00B8362C">
        <w:rPr>
          <w:rFonts w:ascii="Times New Roman" w:eastAsia="Times New Roman" w:hAnsi="Times New Roman" w:cs="Times New Roman"/>
          <w:i/>
          <w:sz w:val="24"/>
          <w:szCs w:val="24"/>
        </w:rPr>
        <w:t>Australian Journal of Basic and Applied Sciences, 6(4): 63-71.</w:t>
      </w:r>
    </w:p>
    <w:p w:rsidR="00F61115" w:rsidRPr="00B8362C" w:rsidRDefault="00E46F3E" w:rsidP="00E46F3E">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E46F3E">
        <w:rPr>
          <w:rFonts w:ascii="Times New Roman" w:eastAsia="Times New Roman" w:hAnsi="Times New Roman" w:cs="Times New Roman"/>
          <w:sz w:val="24"/>
          <w:szCs w:val="24"/>
        </w:rPr>
        <w:t xml:space="preserve">Sangha, J. S., Kelloway, S., Critchley, A. T., &amp; Prithiviraj, B. (2014). Seaweeds (Macroalgae) and Their Extracts as Contributors of Plant Productivity and Quality: The Current Status of Our Understanding. In Advances in Botanical Research (Vol. 71, pp. 189-219). Elsevier. </w:t>
      </w:r>
      <w:hyperlink r:id="rId34" w:history="1">
        <w:r w:rsidRPr="00CF035C">
          <w:rPr>
            <w:rStyle w:val="Hyperlink"/>
            <w:rFonts w:ascii="Times New Roman" w:eastAsia="Times New Roman" w:hAnsi="Times New Roman" w:cs="Times New Roman"/>
            <w:sz w:val="24"/>
            <w:szCs w:val="24"/>
          </w:rPr>
          <w:t>https://doi.org/10.1016/B978-0-12-408062-1.00007-X</w:t>
        </w:r>
      </w:hyperlink>
      <w:r>
        <w:rPr>
          <w:rFonts w:ascii="Times New Roman" w:eastAsia="Times New Roman" w:hAnsi="Times New Roman" w:cs="Times New Roman"/>
          <w:sz w:val="24"/>
          <w:szCs w:val="24"/>
        </w:rPr>
        <w:t xml:space="preserve"> </w:t>
      </w:r>
      <w:r w:rsidR="00F61115" w:rsidRPr="00B8362C">
        <w:rPr>
          <w:rFonts w:ascii="Times New Roman" w:eastAsia="Times New Roman" w:hAnsi="Times New Roman" w:cs="Times New Roman"/>
          <w:sz w:val="24"/>
          <w:szCs w:val="24"/>
        </w:rPr>
        <w:t>.</w:t>
      </w:r>
    </w:p>
    <w:p w:rsidR="00253553" w:rsidRPr="00B8362C" w:rsidRDefault="002A65DF"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B8362C">
        <w:rPr>
          <w:rStyle w:val="Strong"/>
          <w:rFonts w:ascii="Times New Roman" w:hAnsi="Times New Roman" w:cs="Times New Roman"/>
          <w:b w:val="0"/>
          <w:sz w:val="24"/>
          <w:szCs w:val="24"/>
        </w:rPr>
        <w:t>Santos M. V. and</w:t>
      </w:r>
      <w:r w:rsidR="00253553" w:rsidRPr="00B8362C">
        <w:rPr>
          <w:rStyle w:val="Strong"/>
          <w:rFonts w:ascii="Times New Roman" w:hAnsi="Times New Roman" w:cs="Times New Roman"/>
          <w:b w:val="0"/>
          <w:sz w:val="24"/>
          <w:szCs w:val="24"/>
        </w:rPr>
        <w:t xml:space="preserve"> de Lima, J. R. (2017)</w:t>
      </w:r>
      <w:r w:rsidR="00253553" w:rsidRPr="00B8362C">
        <w:rPr>
          <w:rStyle w:val="Strong"/>
          <w:rFonts w:ascii="Times New Roman" w:hAnsi="Times New Roman" w:cs="Times New Roman"/>
          <w:sz w:val="24"/>
          <w:szCs w:val="24"/>
        </w:rPr>
        <w:t>.</w:t>
      </w:r>
      <w:r w:rsidR="00253553" w:rsidRPr="00B8362C">
        <w:rPr>
          <w:rFonts w:ascii="Times New Roman" w:hAnsi="Times New Roman" w:cs="Times New Roman"/>
          <w:sz w:val="24"/>
          <w:szCs w:val="24"/>
        </w:rPr>
        <w:t xml:space="preserve"> Organic foliar fertilization improves growth, nutritional status, and stress tolerance in plants. </w:t>
      </w:r>
      <w:r w:rsidR="00253553" w:rsidRPr="00B8362C">
        <w:rPr>
          <w:rStyle w:val="Emphasis"/>
          <w:rFonts w:ascii="Times New Roman" w:hAnsi="Times New Roman" w:cs="Times New Roman"/>
          <w:sz w:val="24"/>
          <w:szCs w:val="24"/>
        </w:rPr>
        <w:t>Journal of Agricultural and Food Chemistry</w:t>
      </w:r>
      <w:r w:rsidR="00253553" w:rsidRPr="00B8362C">
        <w:rPr>
          <w:rFonts w:ascii="Times New Roman" w:hAnsi="Times New Roman" w:cs="Times New Roman"/>
          <w:sz w:val="24"/>
          <w:szCs w:val="24"/>
        </w:rPr>
        <w:t>, 65(32), 6849-6855.</w:t>
      </w:r>
    </w:p>
    <w:p w:rsidR="00F61115" w:rsidRPr="00B8362C" w:rsidRDefault="00F61115" w:rsidP="00B8362C">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t xml:space="preserve">Steel R. G. D. and J. H. Torrie (1987). Principles and Procedures of Statistics. </w:t>
      </w:r>
      <w:r w:rsidRPr="00B8362C">
        <w:rPr>
          <w:rFonts w:ascii="Times New Roman" w:eastAsia="Times New Roman" w:hAnsi="Times New Roman" w:cs="Times New Roman"/>
          <w:i/>
          <w:sz w:val="24"/>
          <w:szCs w:val="24"/>
        </w:rPr>
        <w:t>McGraw-Hill Book Co. Int. New York, 276 pp.</w:t>
      </w:r>
    </w:p>
    <w:p w:rsidR="000A358D" w:rsidRPr="00B8362C" w:rsidRDefault="009271F5" w:rsidP="009271F5">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9271F5">
        <w:rPr>
          <w:rFonts w:ascii="Times New Roman" w:eastAsia="Times New Roman" w:hAnsi="Times New Roman" w:cs="Times New Roman"/>
          <w:sz w:val="24"/>
          <w:szCs w:val="24"/>
        </w:rPr>
        <w:t xml:space="preserve">Toman, S. S., AL-Taey, D. K. A., Al-Tawaha, A. R., Sirajuddin, S. N., Rasyid, I., &amp; Al-Hadi Hassan, A. A. (2020). Effect of foliar application and mineral fertilizer on growth parameters and content auxins, GA and CK in cucumber leaves. IOP Conference Series: Earth and Environmental Science, 492(1), 012009. </w:t>
      </w:r>
      <w:hyperlink r:id="rId35" w:history="1">
        <w:r w:rsidRPr="00CF035C">
          <w:rPr>
            <w:rStyle w:val="Hyperlink"/>
            <w:rFonts w:ascii="Times New Roman" w:eastAsia="Times New Roman" w:hAnsi="Times New Roman" w:cs="Times New Roman"/>
            <w:sz w:val="24"/>
            <w:szCs w:val="24"/>
          </w:rPr>
          <w:t>https://doi.org/10.1088/1755-1315/492/1/012009</w:t>
        </w:r>
      </w:hyperlink>
      <w:r>
        <w:rPr>
          <w:rFonts w:ascii="Times New Roman" w:eastAsia="Times New Roman" w:hAnsi="Times New Roman" w:cs="Times New Roman"/>
          <w:sz w:val="24"/>
          <w:szCs w:val="24"/>
        </w:rPr>
        <w:t xml:space="preserve"> </w:t>
      </w:r>
    </w:p>
    <w:p w:rsidR="003A2388" w:rsidRPr="003A2388" w:rsidRDefault="003A2388" w:rsidP="003A2388">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3A2388">
        <w:rPr>
          <w:rFonts w:ascii="Times New Roman" w:eastAsia="Times New Roman" w:hAnsi="Times New Roman" w:cs="Times New Roman"/>
          <w:sz w:val="24"/>
          <w:szCs w:val="24"/>
        </w:rPr>
        <w:t xml:space="preserve">Wójcik, P. (2004). Uptake of mineral nutrients from foliar fertilization (review). Journal of Fruit and Ornamental Plant Research, Special edition, 12, 201-218. </w:t>
      </w:r>
      <w:hyperlink r:id="rId36" w:history="1">
        <w:r w:rsidRPr="00CF035C">
          <w:rPr>
            <w:rStyle w:val="Hyperlink"/>
            <w:rFonts w:ascii="Times New Roman" w:eastAsia="Times New Roman" w:hAnsi="Times New Roman" w:cs="Times New Roman"/>
            <w:sz w:val="24"/>
            <w:szCs w:val="24"/>
          </w:rPr>
          <w:t>https://www.inhort.pl/wydawnictwa-archiwalne/journal-of-fruit-and-ornamental-plant-research/contents/vol-xii-2004-special-ed-orchard-management-in-sustainable-fruit-production</w:t>
        </w:r>
      </w:hyperlink>
    </w:p>
    <w:p w:rsidR="00481E51" w:rsidRPr="00B8362C" w:rsidRDefault="00481E51" w:rsidP="003A2388">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B8362C">
        <w:rPr>
          <w:rFonts w:ascii="Times New Roman" w:eastAsia="Times New Roman" w:hAnsi="Times New Roman" w:cs="Times New Roman"/>
          <w:sz w:val="24"/>
          <w:szCs w:val="24"/>
        </w:rPr>
        <w:lastRenderedPageBreak/>
        <w:t xml:space="preserve">Yousif K. H. (2011). Effect of humic acid, biofertilizer (EM-1) and application methods on growth, flowering and yield of cucumber (Cucumis sativus L.). A MSc. </w:t>
      </w:r>
      <w:r w:rsidRPr="00B8362C">
        <w:rPr>
          <w:rFonts w:ascii="Times New Roman" w:eastAsia="Times New Roman" w:hAnsi="Times New Roman" w:cs="Times New Roman"/>
          <w:i/>
          <w:sz w:val="24"/>
          <w:szCs w:val="24"/>
        </w:rPr>
        <w:t>Thesis Submitted.College of Agriculture, Univ. of Duhok, Iraq.</w:t>
      </w:r>
    </w:p>
    <w:p w:rsidR="00F61115" w:rsidRPr="00B8362C" w:rsidRDefault="00AC37AD" w:rsidP="00AC37AD">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i/>
          <w:sz w:val="24"/>
          <w:szCs w:val="24"/>
        </w:rPr>
      </w:pPr>
      <w:r w:rsidRPr="00AC37AD">
        <w:rPr>
          <w:rFonts w:ascii="Times New Roman" w:eastAsia="Times New Roman" w:hAnsi="Times New Roman" w:cs="Times New Roman"/>
          <w:sz w:val="24"/>
          <w:szCs w:val="24"/>
        </w:rPr>
        <w:t xml:space="preserve">Zodape, S. T., Kawarkhe, V. J., Patolia, J. S., &amp; Warade, A. D. (2008). Effect of liquid seaweed fertilizer on yield and quality of okra (Abelmoschus esculentus L.). Journal of Scientific &amp; Industrial Research, 67, 1115–1117. </w:t>
      </w:r>
      <w:hyperlink r:id="rId37" w:history="1">
        <w:r w:rsidRPr="00CF035C">
          <w:rPr>
            <w:rStyle w:val="Hyperlink"/>
            <w:rFonts w:ascii="Times New Roman" w:eastAsia="Times New Roman" w:hAnsi="Times New Roman" w:cs="Times New Roman"/>
            <w:sz w:val="24"/>
            <w:szCs w:val="24"/>
          </w:rPr>
          <w:t>https://nopr.niscair.res.in/handle/123456789/369</w:t>
        </w:r>
      </w:hyperlink>
      <w:r>
        <w:rPr>
          <w:rFonts w:ascii="Times New Roman" w:eastAsia="Times New Roman" w:hAnsi="Times New Roman" w:cs="Times New Roman"/>
          <w:sz w:val="24"/>
          <w:szCs w:val="24"/>
        </w:rPr>
        <w:t xml:space="preserve"> </w:t>
      </w:r>
    </w:p>
    <w:p w:rsidR="00F22068" w:rsidRPr="00B8362C" w:rsidRDefault="00DA40D2" w:rsidP="00DA40D2">
      <w:pPr>
        <w:pStyle w:val="ListParagraph"/>
        <w:numPr>
          <w:ilvl w:val="0"/>
          <w:numId w:val="2"/>
        </w:numPr>
        <w:tabs>
          <w:tab w:val="left" w:pos="180"/>
          <w:tab w:val="left" w:pos="360"/>
          <w:tab w:val="left" w:pos="810"/>
        </w:tabs>
        <w:spacing w:line="240" w:lineRule="auto"/>
        <w:jc w:val="both"/>
        <w:rPr>
          <w:rFonts w:ascii="Times New Roman" w:eastAsia="Times New Roman" w:hAnsi="Times New Roman" w:cs="Times New Roman"/>
          <w:sz w:val="24"/>
          <w:szCs w:val="24"/>
        </w:rPr>
      </w:pPr>
      <w:r w:rsidRPr="00DA40D2">
        <w:rPr>
          <w:rFonts w:ascii="Times New Roman" w:eastAsia="Times New Roman" w:hAnsi="Times New Roman" w:cs="Times New Roman"/>
          <w:sz w:val="24"/>
          <w:szCs w:val="24"/>
        </w:rPr>
        <w:t xml:space="preserve">Zodape, S. T., Mukhopadhyay, S., Eswaran, K., Reddy, M. P., &amp; Chikara, J. (2010). Enhanced yield and nutritional quality in green gram (Phaseolus radiata L) treated with seaweed (Kappaphycus alvarezii) extract. Journal of Scientific and Industrial Research, 69, 468-471. </w:t>
      </w:r>
      <w:hyperlink r:id="rId38" w:history="1">
        <w:r w:rsidRPr="00CF035C">
          <w:rPr>
            <w:rStyle w:val="Hyperlink"/>
            <w:rFonts w:ascii="Times New Roman" w:eastAsia="Times New Roman" w:hAnsi="Times New Roman" w:cs="Times New Roman"/>
            <w:sz w:val="24"/>
            <w:szCs w:val="24"/>
          </w:rPr>
          <w:t>http://nopr.niscpr.res.in/handle/123456789/10600</w:t>
        </w:r>
      </w:hyperlink>
      <w:r>
        <w:rPr>
          <w:rFonts w:ascii="Times New Roman" w:eastAsia="Times New Roman" w:hAnsi="Times New Roman" w:cs="Times New Roman"/>
          <w:sz w:val="24"/>
          <w:szCs w:val="24"/>
        </w:rPr>
        <w:t xml:space="preserve"> </w:t>
      </w:r>
    </w:p>
    <w:sectPr w:rsidR="00F22068" w:rsidRPr="00B8362C" w:rsidSect="00ED5450">
      <w:headerReference w:type="even" r:id="rId39"/>
      <w:headerReference w:type="default" r:id="rId40"/>
      <w:footerReference w:type="even" r:id="rId41"/>
      <w:footerReference w:type="default" r:id="rId42"/>
      <w:headerReference w:type="first" r:id="rId43"/>
      <w:footerReference w:type="first" r:id="rId44"/>
      <w:pgSz w:w="12240" w:h="15840"/>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299" w:rsidRDefault="00AC5299" w:rsidP="00E678A0">
      <w:pPr>
        <w:spacing w:after="0" w:line="240" w:lineRule="auto"/>
      </w:pPr>
      <w:r>
        <w:separator/>
      </w:r>
    </w:p>
  </w:endnote>
  <w:endnote w:type="continuationSeparator" w:id="0">
    <w:p w:rsidR="00AC5299" w:rsidRDefault="00AC5299" w:rsidP="00E6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2" w:rsidRDefault="00882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2" w:rsidRDefault="00882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2" w:rsidRDefault="0088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299" w:rsidRDefault="00AC5299" w:rsidP="00E678A0">
      <w:pPr>
        <w:spacing w:after="0" w:line="240" w:lineRule="auto"/>
      </w:pPr>
      <w:r>
        <w:separator/>
      </w:r>
    </w:p>
  </w:footnote>
  <w:footnote w:type="continuationSeparator" w:id="0">
    <w:p w:rsidR="00AC5299" w:rsidRDefault="00AC5299" w:rsidP="00E67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2" w:rsidRDefault="008827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26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2" w:rsidRDefault="008827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26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B2" w:rsidRDefault="008827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26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C2A14"/>
    <w:multiLevelType w:val="hybridMultilevel"/>
    <w:tmpl w:val="0EAAD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C75C28"/>
    <w:multiLevelType w:val="hybridMultilevel"/>
    <w:tmpl w:val="4EBCD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A2D"/>
    <w:rsid w:val="00011C6E"/>
    <w:rsid w:val="00014E51"/>
    <w:rsid w:val="000162B3"/>
    <w:rsid w:val="00017ED2"/>
    <w:rsid w:val="00030F72"/>
    <w:rsid w:val="00034ECF"/>
    <w:rsid w:val="000514E6"/>
    <w:rsid w:val="00055F98"/>
    <w:rsid w:val="00070EEB"/>
    <w:rsid w:val="000733C6"/>
    <w:rsid w:val="00076A8F"/>
    <w:rsid w:val="00097456"/>
    <w:rsid w:val="000A358D"/>
    <w:rsid w:val="000B2913"/>
    <w:rsid w:val="000C57E0"/>
    <w:rsid w:val="000D1A95"/>
    <w:rsid w:val="000F06FF"/>
    <w:rsid w:val="00101A8F"/>
    <w:rsid w:val="001166A8"/>
    <w:rsid w:val="00120746"/>
    <w:rsid w:val="001278CD"/>
    <w:rsid w:val="00140143"/>
    <w:rsid w:val="00141BA1"/>
    <w:rsid w:val="001508A8"/>
    <w:rsid w:val="0016401E"/>
    <w:rsid w:val="00164530"/>
    <w:rsid w:val="0018055D"/>
    <w:rsid w:val="00192590"/>
    <w:rsid w:val="001B49B3"/>
    <w:rsid w:val="001E2741"/>
    <w:rsid w:val="001F0177"/>
    <w:rsid w:val="002066C6"/>
    <w:rsid w:val="00211463"/>
    <w:rsid w:val="002133FD"/>
    <w:rsid w:val="00216DCE"/>
    <w:rsid w:val="0022185D"/>
    <w:rsid w:val="00225657"/>
    <w:rsid w:val="0023323D"/>
    <w:rsid w:val="00234B4F"/>
    <w:rsid w:val="00253553"/>
    <w:rsid w:val="00257F8E"/>
    <w:rsid w:val="0026031B"/>
    <w:rsid w:val="00261875"/>
    <w:rsid w:val="0027263E"/>
    <w:rsid w:val="00273A87"/>
    <w:rsid w:val="00275C67"/>
    <w:rsid w:val="002805FE"/>
    <w:rsid w:val="00281C4F"/>
    <w:rsid w:val="002826F3"/>
    <w:rsid w:val="0029009A"/>
    <w:rsid w:val="00295724"/>
    <w:rsid w:val="002A65DF"/>
    <w:rsid w:val="002B2703"/>
    <w:rsid w:val="002B3477"/>
    <w:rsid w:val="002B5B93"/>
    <w:rsid w:val="002C05CF"/>
    <w:rsid w:val="002E471B"/>
    <w:rsid w:val="002E6132"/>
    <w:rsid w:val="002E61BD"/>
    <w:rsid w:val="00324AAD"/>
    <w:rsid w:val="00326B8B"/>
    <w:rsid w:val="00342F0C"/>
    <w:rsid w:val="00350D1D"/>
    <w:rsid w:val="00356B1E"/>
    <w:rsid w:val="0037165B"/>
    <w:rsid w:val="003768E5"/>
    <w:rsid w:val="00393897"/>
    <w:rsid w:val="003A2388"/>
    <w:rsid w:val="003A33F9"/>
    <w:rsid w:val="003B7C64"/>
    <w:rsid w:val="003D65DD"/>
    <w:rsid w:val="003F784E"/>
    <w:rsid w:val="004060CF"/>
    <w:rsid w:val="00420758"/>
    <w:rsid w:val="00422023"/>
    <w:rsid w:val="00446B1E"/>
    <w:rsid w:val="00450080"/>
    <w:rsid w:val="00473CBB"/>
    <w:rsid w:val="00477868"/>
    <w:rsid w:val="00477D9D"/>
    <w:rsid w:val="00481E51"/>
    <w:rsid w:val="004906AF"/>
    <w:rsid w:val="004D7713"/>
    <w:rsid w:val="004E2198"/>
    <w:rsid w:val="004E36B7"/>
    <w:rsid w:val="004E370A"/>
    <w:rsid w:val="005050DA"/>
    <w:rsid w:val="00513EC2"/>
    <w:rsid w:val="005448BB"/>
    <w:rsid w:val="005463A5"/>
    <w:rsid w:val="00561E74"/>
    <w:rsid w:val="005622CF"/>
    <w:rsid w:val="005712AF"/>
    <w:rsid w:val="00576BD7"/>
    <w:rsid w:val="00580721"/>
    <w:rsid w:val="00593E76"/>
    <w:rsid w:val="00596F19"/>
    <w:rsid w:val="005A35D6"/>
    <w:rsid w:val="005C22EE"/>
    <w:rsid w:val="005E6EC6"/>
    <w:rsid w:val="005F132D"/>
    <w:rsid w:val="0060083D"/>
    <w:rsid w:val="00606B1D"/>
    <w:rsid w:val="00616F69"/>
    <w:rsid w:val="00621CC8"/>
    <w:rsid w:val="0062766E"/>
    <w:rsid w:val="006472EF"/>
    <w:rsid w:val="00662656"/>
    <w:rsid w:val="0069002A"/>
    <w:rsid w:val="006D21E6"/>
    <w:rsid w:val="006D5F3D"/>
    <w:rsid w:val="006D78EB"/>
    <w:rsid w:val="006E4033"/>
    <w:rsid w:val="006F257C"/>
    <w:rsid w:val="00700955"/>
    <w:rsid w:val="00703E5B"/>
    <w:rsid w:val="00714CF9"/>
    <w:rsid w:val="007155DF"/>
    <w:rsid w:val="00720DEF"/>
    <w:rsid w:val="00723878"/>
    <w:rsid w:val="00730C8E"/>
    <w:rsid w:val="00742DEE"/>
    <w:rsid w:val="00747FDD"/>
    <w:rsid w:val="00755AF1"/>
    <w:rsid w:val="0075780C"/>
    <w:rsid w:val="007902DB"/>
    <w:rsid w:val="00795DFA"/>
    <w:rsid w:val="007A7DBE"/>
    <w:rsid w:val="007C30E3"/>
    <w:rsid w:val="007D232A"/>
    <w:rsid w:val="007D3CB2"/>
    <w:rsid w:val="007D7EEB"/>
    <w:rsid w:val="007D7F5E"/>
    <w:rsid w:val="00802296"/>
    <w:rsid w:val="0080752C"/>
    <w:rsid w:val="00811B8E"/>
    <w:rsid w:val="00826D7C"/>
    <w:rsid w:val="00843C01"/>
    <w:rsid w:val="00850787"/>
    <w:rsid w:val="00854FC2"/>
    <w:rsid w:val="00862539"/>
    <w:rsid w:val="00873DD7"/>
    <w:rsid w:val="008827B2"/>
    <w:rsid w:val="0088393C"/>
    <w:rsid w:val="008879B2"/>
    <w:rsid w:val="00887EB7"/>
    <w:rsid w:val="008A4B9F"/>
    <w:rsid w:val="008A5714"/>
    <w:rsid w:val="008A5D08"/>
    <w:rsid w:val="008B75C0"/>
    <w:rsid w:val="008B7D3C"/>
    <w:rsid w:val="008C0684"/>
    <w:rsid w:val="008F6110"/>
    <w:rsid w:val="00901E15"/>
    <w:rsid w:val="00902CA7"/>
    <w:rsid w:val="0090775D"/>
    <w:rsid w:val="00913FAE"/>
    <w:rsid w:val="009271F5"/>
    <w:rsid w:val="0093615D"/>
    <w:rsid w:val="009461A8"/>
    <w:rsid w:val="00956DEE"/>
    <w:rsid w:val="00962274"/>
    <w:rsid w:val="009634B9"/>
    <w:rsid w:val="00997FCD"/>
    <w:rsid w:val="009C5CFD"/>
    <w:rsid w:val="009C5E16"/>
    <w:rsid w:val="00A11BF9"/>
    <w:rsid w:val="00A16047"/>
    <w:rsid w:val="00A31D37"/>
    <w:rsid w:val="00A33880"/>
    <w:rsid w:val="00A372B0"/>
    <w:rsid w:val="00A41966"/>
    <w:rsid w:val="00A562C2"/>
    <w:rsid w:val="00A6275F"/>
    <w:rsid w:val="00A63729"/>
    <w:rsid w:val="00AC37AD"/>
    <w:rsid w:val="00AC5299"/>
    <w:rsid w:val="00AE71EA"/>
    <w:rsid w:val="00B03B8A"/>
    <w:rsid w:val="00B10A4E"/>
    <w:rsid w:val="00B1165B"/>
    <w:rsid w:val="00B203E2"/>
    <w:rsid w:val="00B22F7E"/>
    <w:rsid w:val="00B33C90"/>
    <w:rsid w:val="00B354A8"/>
    <w:rsid w:val="00B41F90"/>
    <w:rsid w:val="00B42614"/>
    <w:rsid w:val="00B43478"/>
    <w:rsid w:val="00B74F51"/>
    <w:rsid w:val="00B8362C"/>
    <w:rsid w:val="00BC1B19"/>
    <w:rsid w:val="00BD5D69"/>
    <w:rsid w:val="00BD660B"/>
    <w:rsid w:val="00C00755"/>
    <w:rsid w:val="00C27F72"/>
    <w:rsid w:val="00C34C5E"/>
    <w:rsid w:val="00C4565E"/>
    <w:rsid w:val="00C47DE7"/>
    <w:rsid w:val="00C57D13"/>
    <w:rsid w:val="00C6037E"/>
    <w:rsid w:val="00C653E4"/>
    <w:rsid w:val="00C6751B"/>
    <w:rsid w:val="00C86E71"/>
    <w:rsid w:val="00C8725F"/>
    <w:rsid w:val="00C95E71"/>
    <w:rsid w:val="00CA1BD8"/>
    <w:rsid w:val="00CA39B7"/>
    <w:rsid w:val="00CB3533"/>
    <w:rsid w:val="00CC3F6F"/>
    <w:rsid w:val="00CD36C7"/>
    <w:rsid w:val="00CD5018"/>
    <w:rsid w:val="00CD77EE"/>
    <w:rsid w:val="00CF69B0"/>
    <w:rsid w:val="00D01E5B"/>
    <w:rsid w:val="00D369C3"/>
    <w:rsid w:val="00D425B1"/>
    <w:rsid w:val="00D46AF3"/>
    <w:rsid w:val="00D46C3A"/>
    <w:rsid w:val="00D57CBE"/>
    <w:rsid w:val="00D70836"/>
    <w:rsid w:val="00D74351"/>
    <w:rsid w:val="00D7599C"/>
    <w:rsid w:val="00D869A5"/>
    <w:rsid w:val="00D87440"/>
    <w:rsid w:val="00D927B9"/>
    <w:rsid w:val="00D93942"/>
    <w:rsid w:val="00DA21BF"/>
    <w:rsid w:val="00DA40D2"/>
    <w:rsid w:val="00DB3C77"/>
    <w:rsid w:val="00DD3F30"/>
    <w:rsid w:val="00DE1CEC"/>
    <w:rsid w:val="00DF48CE"/>
    <w:rsid w:val="00DF7428"/>
    <w:rsid w:val="00E10678"/>
    <w:rsid w:val="00E11D35"/>
    <w:rsid w:val="00E24D10"/>
    <w:rsid w:val="00E276C8"/>
    <w:rsid w:val="00E43233"/>
    <w:rsid w:val="00E46F3E"/>
    <w:rsid w:val="00E63CE3"/>
    <w:rsid w:val="00E678A0"/>
    <w:rsid w:val="00E80111"/>
    <w:rsid w:val="00E83A2F"/>
    <w:rsid w:val="00ED5450"/>
    <w:rsid w:val="00EE4B8C"/>
    <w:rsid w:val="00EE52EF"/>
    <w:rsid w:val="00EE5826"/>
    <w:rsid w:val="00EF685D"/>
    <w:rsid w:val="00F0360F"/>
    <w:rsid w:val="00F22068"/>
    <w:rsid w:val="00F354E3"/>
    <w:rsid w:val="00F37901"/>
    <w:rsid w:val="00F41CC6"/>
    <w:rsid w:val="00F42193"/>
    <w:rsid w:val="00F61115"/>
    <w:rsid w:val="00F64CCF"/>
    <w:rsid w:val="00F71717"/>
    <w:rsid w:val="00F77321"/>
    <w:rsid w:val="00F95BFD"/>
    <w:rsid w:val="00F9646A"/>
    <w:rsid w:val="00FA5CFF"/>
    <w:rsid w:val="00FA763D"/>
    <w:rsid w:val="00FB06D2"/>
    <w:rsid w:val="00FE1F51"/>
    <w:rsid w:val="00FE4A2D"/>
    <w:rsid w:val="00FF2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2C6A075-22EC-4569-AE21-90D78FB3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7"/>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19"/>
    <w:pPr>
      <w:ind w:left="720"/>
      <w:contextualSpacing/>
    </w:pPr>
  </w:style>
  <w:style w:type="paragraph" w:styleId="Header">
    <w:name w:val="header"/>
    <w:basedOn w:val="Normal"/>
    <w:link w:val="HeaderChar"/>
    <w:uiPriority w:val="99"/>
    <w:unhideWhenUsed/>
    <w:rsid w:val="00E67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A0"/>
  </w:style>
  <w:style w:type="paragraph" w:styleId="Footer">
    <w:name w:val="footer"/>
    <w:basedOn w:val="Normal"/>
    <w:link w:val="FooterChar"/>
    <w:uiPriority w:val="99"/>
    <w:unhideWhenUsed/>
    <w:rsid w:val="00E67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A0"/>
  </w:style>
  <w:style w:type="table" w:styleId="TableGrid">
    <w:name w:val="Table Grid"/>
    <w:basedOn w:val="TableNormal"/>
    <w:uiPriority w:val="37"/>
    <w:rsid w:val="00AE71EA"/>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0360F"/>
    <w:rPr>
      <w:color w:val="0563C1"/>
      <w:u w:val="single"/>
    </w:rPr>
  </w:style>
  <w:style w:type="character" w:styleId="Strong">
    <w:name w:val="Strong"/>
    <w:basedOn w:val="DefaultParagraphFont"/>
    <w:uiPriority w:val="22"/>
    <w:qFormat/>
    <w:rsid w:val="00253553"/>
    <w:rPr>
      <w:b/>
      <w:bCs/>
    </w:rPr>
  </w:style>
  <w:style w:type="character" w:styleId="Emphasis">
    <w:name w:val="Emphasis"/>
    <w:basedOn w:val="DefaultParagraphFont"/>
    <w:uiPriority w:val="20"/>
    <w:qFormat/>
    <w:rsid w:val="00253553"/>
    <w:rPr>
      <w:i/>
      <w:iCs/>
    </w:rPr>
  </w:style>
  <w:style w:type="paragraph" w:styleId="NormalWeb">
    <w:name w:val="Normal (Web)"/>
    <w:basedOn w:val="Normal"/>
    <w:uiPriority w:val="99"/>
    <w:semiHidden/>
    <w:unhideWhenUsed/>
    <w:rsid w:val="00221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46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0659">
      <w:bodyDiv w:val="1"/>
      <w:marLeft w:val="0"/>
      <w:marRight w:val="0"/>
      <w:marTop w:val="0"/>
      <w:marBottom w:val="0"/>
      <w:divBdr>
        <w:top w:val="none" w:sz="0" w:space="0" w:color="auto"/>
        <w:left w:val="none" w:sz="0" w:space="0" w:color="auto"/>
        <w:bottom w:val="none" w:sz="0" w:space="0" w:color="auto"/>
        <w:right w:val="none" w:sz="0" w:space="0" w:color="auto"/>
      </w:divBdr>
      <w:divsChild>
        <w:div w:id="1979845506">
          <w:marLeft w:val="0"/>
          <w:marRight w:val="0"/>
          <w:marTop w:val="0"/>
          <w:marBottom w:val="0"/>
          <w:divBdr>
            <w:top w:val="none" w:sz="0" w:space="0" w:color="auto"/>
            <w:left w:val="none" w:sz="0" w:space="0" w:color="auto"/>
            <w:bottom w:val="none" w:sz="0" w:space="0" w:color="auto"/>
            <w:right w:val="none" w:sz="0" w:space="0" w:color="auto"/>
          </w:divBdr>
          <w:divsChild>
            <w:div w:id="1888833087">
              <w:marLeft w:val="0"/>
              <w:marRight w:val="0"/>
              <w:marTop w:val="0"/>
              <w:marBottom w:val="0"/>
              <w:divBdr>
                <w:top w:val="none" w:sz="0" w:space="0" w:color="auto"/>
                <w:left w:val="none" w:sz="0" w:space="0" w:color="auto"/>
                <w:bottom w:val="none" w:sz="0" w:space="0" w:color="auto"/>
                <w:right w:val="none" w:sz="0" w:space="0" w:color="auto"/>
              </w:divBdr>
              <w:divsChild>
                <w:div w:id="1687369131">
                  <w:marLeft w:val="0"/>
                  <w:marRight w:val="0"/>
                  <w:marTop w:val="0"/>
                  <w:marBottom w:val="0"/>
                  <w:divBdr>
                    <w:top w:val="none" w:sz="0" w:space="0" w:color="auto"/>
                    <w:left w:val="none" w:sz="0" w:space="0" w:color="auto"/>
                    <w:bottom w:val="none" w:sz="0" w:space="0" w:color="auto"/>
                    <w:right w:val="none" w:sz="0" w:space="0" w:color="auto"/>
                  </w:divBdr>
                  <w:divsChild>
                    <w:div w:id="1437483639">
                      <w:marLeft w:val="0"/>
                      <w:marRight w:val="0"/>
                      <w:marTop w:val="0"/>
                      <w:marBottom w:val="0"/>
                      <w:divBdr>
                        <w:top w:val="none" w:sz="0" w:space="0" w:color="auto"/>
                        <w:left w:val="none" w:sz="0" w:space="0" w:color="auto"/>
                        <w:bottom w:val="none" w:sz="0" w:space="0" w:color="auto"/>
                        <w:right w:val="none" w:sz="0" w:space="0" w:color="auto"/>
                      </w:divBdr>
                      <w:divsChild>
                        <w:div w:id="1835220808">
                          <w:marLeft w:val="0"/>
                          <w:marRight w:val="0"/>
                          <w:marTop w:val="0"/>
                          <w:marBottom w:val="0"/>
                          <w:divBdr>
                            <w:top w:val="none" w:sz="0" w:space="0" w:color="auto"/>
                            <w:left w:val="none" w:sz="0" w:space="0" w:color="auto"/>
                            <w:bottom w:val="none" w:sz="0" w:space="0" w:color="auto"/>
                            <w:right w:val="none" w:sz="0" w:space="0" w:color="auto"/>
                          </w:divBdr>
                          <w:divsChild>
                            <w:div w:id="16495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32350">
      <w:bodyDiv w:val="1"/>
      <w:marLeft w:val="0"/>
      <w:marRight w:val="0"/>
      <w:marTop w:val="0"/>
      <w:marBottom w:val="0"/>
      <w:divBdr>
        <w:top w:val="none" w:sz="0" w:space="0" w:color="auto"/>
        <w:left w:val="none" w:sz="0" w:space="0" w:color="auto"/>
        <w:bottom w:val="none" w:sz="0" w:space="0" w:color="auto"/>
        <w:right w:val="none" w:sz="0" w:space="0" w:color="auto"/>
      </w:divBdr>
    </w:div>
    <w:div w:id="1185754903">
      <w:bodyDiv w:val="1"/>
      <w:marLeft w:val="0"/>
      <w:marRight w:val="0"/>
      <w:marTop w:val="0"/>
      <w:marBottom w:val="0"/>
      <w:divBdr>
        <w:top w:val="none" w:sz="0" w:space="0" w:color="auto"/>
        <w:left w:val="none" w:sz="0" w:space="0" w:color="auto"/>
        <w:bottom w:val="none" w:sz="0" w:space="0" w:color="auto"/>
        <w:right w:val="none" w:sz="0" w:space="0" w:color="auto"/>
      </w:divBdr>
    </w:div>
    <w:div w:id="14224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869/acadpub.ejgcst.7.1.143" TargetMode="External"/><Relationship Id="rId18" Type="http://schemas.openxmlformats.org/officeDocument/2006/relationships/hyperlink" Target="https://doi.org/10.3923/ja.2006.251.256" TargetMode="External"/><Relationship Id="rId26" Type="http://schemas.openxmlformats.org/officeDocument/2006/relationships/hyperlink" Target="https://doi.org/10.1081/CSS-120014499" TargetMode="External"/><Relationship Id="rId39" Type="http://schemas.openxmlformats.org/officeDocument/2006/relationships/header" Target="header1.xml"/><Relationship Id="rId21" Type="http://schemas.openxmlformats.org/officeDocument/2006/relationships/hyperlink" Target="https://www.researcherslinks.com/journal/hosts-and-viruses/article/microbial-bio-stimulants-as-sustainable-strategies-for-enhancing-plant-resistance-to-viral-diseases-mechanisms-and-applications/300" TargetMode="External"/><Relationship Id="rId34" Type="http://schemas.openxmlformats.org/officeDocument/2006/relationships/hyperlink" Target="https://doi.org/10.1016/B978-0-12-408062-1.00007-X" TargetMode="External"/><Relationship Id="rId42" Type="http://schemas.openxmlformats.org/officeDocument/2006/relationships/footer" Target="footer2.xml"/><Relationship Id="rId7" Type="http://schemas.openxmlformats.org/officeDocument/2006/relationships/hyperlink" Target="https://doi.org/10.51406/jagse.v19i1.2019" TargetMode="External"/><Relationship Id="rId2" Type="http://schemas.openxmlformats.org/officeDocument/2006/relationships/styles" Target="styles.xml"/><Relationship Id="rId16" Type="http://schemas.openxmlformats.org/officeDocument/2006/relationships/hyperlink" Target="https://doi.org/10.1111/tpj.15090" TargetMode="External"/><Relationship Id="rId29" Type="http://schemas.openxmlformats.org/officeDocument/2006/relationships/hyperlink" Target="https://doi.org/10.2136/sssaj2000.641247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192/PSCP.SA.2016.16.2.4348" TargetMode="External"/><Relationship Id="rId24" Type="http://schemas.openxmlformats.org/officeDocument/2006/relationships/hyperlink" Target="https://doi.org/10.1400/53262" TargetMode="External"/><Relationship Id="rId32" Type="http://schemas.openxmlformats.org/officeDocument/2006/relationships/hyperlink" Target="https://updatepublishing.com/journal/index.php/jp/article/view/2125" TargetMode="External"/><Relationship Id="rId37" Type="http://schemas.openxmlformats.org/officeDocument/2006/relationships/hyperlink" Target="https://nopr.niscair.res.in/handle/123456789/369"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7352680902743069" TargetMode="External"/><Relationship Id="rId23" Type="http://schemas.openxmlformats.org/officeDocument/2006/relationships/hyperlink" Target="https://doi.org/10.1016/j.scienta.2022.111161" TargetMode="External"/><Relationship Id="rId28" Type="http://schemas.openxmlformats.org/officeDocument/2006/relationships/hyperlink" Target="https://doi.org/10.17660/ActaHortic.2019.1251.31" TargetMode="External"/><Relationship Id="rId36" Type="http://schemas.openxmlformats.org/officeDocument/2006/relationships/hyperlink" Target="https://www.inhort.pl/wydawnictwa-archiwalne/journal-of-fruit-and-ornamental-plant-research/contents/vol-xii-2004-special-ed-orchard-management-in-sustainable-fruit-production" TargetMode="External"/><Relationship Id="rId10" Type="http://schemas.openxmlformats.org/officeDocument/2006/relationships/hyperlink" Target="https://doi.org/10.1016/j.scienta.2015.09.012" TargetMode="External"/><Relationship Id="rId19" Type="http://schemas.openxmlformats.org/officeDocument/2006/relationships/hyperlink" Target="https://doi.org/10.1007/978-90-481-8741-6_13" TargetMode="External"/><Relationship Id="rId31" Type="http://schemas.openxmlformats.org/officeDocument/2006/relationships/hyperlink" Target="https://catalogue.nla.gov.au/Record/2681955"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oac.org/official-methods-of-analysis/" TargetMode="External"/><Relationship Id="rId14" Type="http://schemas.openxmlformats.org/officeDocument/2006/relationships/hyperlink" Target="https://www.fao.org/sustainable-food-value-chains/library/details/en/c/266510/" TargetMode="External"/><Relationship Id="rId22" Type="http://schemas.openxmlformats.org/officeDocument/2006/relationships/hyperlink" Target="https://attra.ncat.org/publication/foliar-fertilization/" TargetMode="External"/><Relationship Id="rId27" Type="http://schemas.openxmlformats.org/officeDocument/2006/relationships/hyperlink" Target="https://doi.org/10.3923/ja.2014.35.39" TargetMode="External"/><Relationship Id="rId30" Type="http://schemas.openxmlformats.org/officeDocument/2006/relationships/hyperlink" Target="https://www.researchgate.net/publication/322609000_FOLIAR_FERTILIZATION_OF_NUTRIENTS" TargetMode="External"/><Relationship Id="rId35" Type="http://schemas.openxmlformats.org/officeDocument/2006/relationships/hyperlink" Target="https://doi.org/10.1088/1755-1315/492/1/012009" TargetMode="External"/><Relationship Id="rId43" Type="http://schemas.openxmlformats.org/officeDocument/2006/relationships/header" Target="header3.xml"/><Relationship Id="rId8" Type="http://schemas.openxmlformats.org/officeDocument/2006/relationships/hyperlink" Target="https://doi.org/10.1016/S0254-6299(15)30348-3" TargetMode="External"/><Relationship Id="rId3" Type="http://schemas.openxmlformats.org/officeDocument/2006/relationships/settings" Target="settings.xml"/><Relationship Id="rId12" Type="http://schemas.openxmlformats.org/officeDocument/2006/relationships/hyperlink" Target="https://doi.org/10.5897/JPBCS.9000074" TargetMode="External"/><Relationship Id="rId17" Type="http://schemas.openxmlformats.org/officeDocument/2006/relationships/hyperlink" Target="https://doi.org/10.1016/j.livsci.2006.03.024" TargetMode="External"/><Relationship Id="rId25" Type="http://schemas.openxmlformats.org/officeDocument/2006/relationships/hyperlink" Target="https://doi.org/10.21162/PAKJAS/16.2011" TargetMode="External"/><Relationship Id="rId33" Type="http://schemas.openxmlformats.org/officeDocument/2006/relationships/hyperlink" Target="https://doi.org/10.1016/j.jafr.2021.100246" TargetMode="External"/><Relationship Id="rId38" Type="http://schemas.openxmlformats.org/officeDocument/2006/relationships/hyperlink" Target="http://nopr.niscpr.res.in/handle/123456789/10600" TargetMode="External"/><Relationship Id="rId46" Type="http://schemas.openxmlformats.org/officeDocument/2006/relationships/theme" Target="theme/theme1.xml"/><Relationship Id="rId20" Type="http://schemas.openxmlformats.org/officeDocument/2006/relationships/hyperlink" Target="https://www.worldveg.org/resources/publications/e01036/"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15</Pages>
  <Words>7402</Words>
  <Characters>42192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Nnadi Kelechi Joseph</dc:creator>
  <cp:lastModifiedBy>SDI 1084</cp:lastModifiedBy>
  <cp:revision>76</cp:revision>
  <dcterms:created xsi:type="dcterms:W3CDTF">2025-12-03T13:53:00Z</dcterms:created>
  <dcterms:modified xsi:type="dcterms:W3CDTF">2025-12-04T10:28:00Z</dcterms:modified>
</cp:coreProperties>
</file>